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765331"/>
    <w:p w14:paraId="31E29456" w14:textId="05A1E264" w:rsidR="00B24923" w:rsidRPr="00FC3554" w:rsidRDefault="005F1A01" w:rsidP="00B24923">
      <w:pPr>
        <w:pStyle w:val="coverpageReporttitledescription"/>
        <w:rPr>
          <w:lang w:val="en-GB"/>
        </w:rPr>
      </w:pPr>
      <w:r>
        <w:rPr>
          <w:rFonts w:eastAsia="Calibri"/>
          <w:lang w:val="en-GB"/>
        </w:rPr>
        <w:fldChar w:fldCharType="begin">
          <w:ffData>
            <w:name w:val=""/>
            <w:enabled/>
            <w:calcOnExit w:val="0"/>
            <w:textInput>
              <w:default w:val="UWB radiodetermination applications in the frequency range 116-260 GHz"/>
            </w:textInput>
          </w:ffData>
        </w:fldChar>
      </w:r>
      <w:r>
        <w:rPr>
          <w:rFonts w:eastAsia="Calibri"/>
          <w:lang w:val="en-GB"/>
        </w:rPr>
        <w:instrText xml:space="preserve"> FORMTEXT </w:instrText>
      </w:r>
      <w:r>
        <w:rPr>
          <w:rFonts w:eastAsia="Calibri"/>
          <w:lang w:val="en-GB"/>
        </w:rPr>
      </w:r>
      <w:r>
        <w:rPr>
          <w:rFonts w:eastAsia="Calibri"/>
          <w:lang w:val="en-GB"/>
        </w:rPr>
        <w:fldChar w:fldCharType="separate"/>
      </w:r>
      <w:r>
        <w:rPr>
          <w:rFonts w:eastAsia="Calibri"/>
          <w:noProof/>
          <w:lang w:val="en-GB"/>
        </w:rPr>
        <w:t>UWB radiodetermination applications in the frequency range 116-260 GHz</w:t>
      </w:r>
      <w:r>
        <w:rPr>
          <w:rFonts w:eastAsia="Calibri"/>
          <w:lang w:val="en-GB"/>
        </w:rPr>
        <w:fldChar w:fldCharType="end"/>
      </w:r>
    </w:p>
    <w:bookmarkEnd w:id="0"/>
    <w:p w14:paraId="7140EA89" w14:textId="4E36DECE" w:rsidR="00930439" w:rsidRPr="0025339C" w:rsidRDefault="0027787F" w:rsidP="00941D3A">
      <w:pPr>
        <w:pStyle w:val="coverpageapprovedDDMMYY"/>
        <w:rPr>
          <w:noProof/>
        </w:rPr>
      </w:pPr>
      <w:r w:rsidRPr="0025339C">
        <w:rPr>
          <w:noProof/>
          <w:lang w:val="de-DE" w:eastAsia="de-DE"/>
        </w:rPr>
        <mc:AlternateContent>
          <mc:Choice Requires="wpg">
            <w:drawing>
              <wp:anchor distT="0" distB="0" distL="114300" distR="114300" simplePos="0" relativeHeight="251648000" behindDoc="0" locked="1" layoutInCell="1" allowOverlap="1" wp14:anchorId="408AE95D" wp14:editId="2C277C1D">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F39F7D" w14:textId="4FBBF217" w:rsidR="00E70E36" w:rsidRPr="00F7440E" w:rsidRDefault="00E70E36" w:rsidP="00264464">
                              <w:pPr>
                                <w:pStyle w:val="coverpageECCReport"/>
                                <w:shd w:val="clear" w:color="auto" w:fill="auto"/>
                              </w:pPr>
                              <w:r w:rsidRPr="00264464">
                                <w:t xml:space="preserve">ECC Report </w:t>
                              </w:r>
                              <w:r>
                                <w:rPr>
                                  <w:rStyle w:val="IntenseReference"/>
                                </w:rPr>
                                <w:t>334</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08AE95D" id="Gruppieren 15" o:spid="_x0000_s1026" style="position:absolute;left:0;text-align:left;margin-left:0;margin-top:113.4pt;width:595.3pt;height:128.15pt;z-index:25164800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0EF39F7D" w14:textId="4FBBF217" w:rsidR="00E70E36" w:rsidRPr="00F7440E" w:rsidRDefault="00E70E36" w:rsidP="00264464">
                        <w:pPr>
                          <w:pStyle w:val="coverpageECCReport"/>
                          <w:shd w:val="clear" w:color="auto" w:fill="auto"/>
                        </w:pPr>
                        <w:r w:rsidRPr="00264464">
                          <w:t xml:space="preserve">ECC Report </w:t>
                        </w:r>
                        <w:r>
                          <w:rPr>
                            <w:rStyle w:val="IntenseReference"/>
                          </w:rPr>
                          <w:t>334</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751D49" w:rsidRPr="0025339C">
        <w:rPr>
          <w:noProof/>
        </w:rPr>
        <w:fldChar w:fldCharType="begin">
          <w:ffData>
            <w:name w:val="Text8"/>
            <w:enabled/>
            <w:calcOnExit w:val="0"/>
            <w:textInput>
              <w:default w:val="approved 28 January 2022"/>
            </w:textInput>
          </w:ffData>
        </w:fldChar>
      </w:r>
      <w:bookmarkStart w:id="1" w:name="Text8"/>
      <w:r w:rsidR="00751D49" w:rsidRPr="0025339C">
        <w:rPr>
          <w:noProof/>
        </w:rPr>
        <w:instrText xml:space="preserve"> FORMTEXT </w:instrText>
      </w:r>
      <w:r w:rsidR="00751D49" w:rsidRPr="0025339C">
        <w:rPr>
          <w:noProof/>
        </w:rPr>
      </w:r>
      <w:r w:rsidR="00751D49" w:rsidRPr="0025339C">
        <w:rPr>
          <w:noProof/>
        </w:rPr>
        <w:fldChar w:fldCharType="separate"/>
      </w:r>
      <w:r w:rsidR="00751D49" w:rsidRPr="0025339C">
        <w:rPr>
          <w:noProof/>
        </w:rPr>
        <w:t>approved 28 January 2022</w:t>
      </w:r>
      <w:r w:rsidR="00751D49" w:rsidRPr="0025339C">
        <w:rPr>
          <w:noProof/>
        </w:rPr>
        <w:fldChar w:fldCharType="end"/>
      </w:r>
      <w:bookmarkEnd w:id="1"/>
    </w:p>
    <w:p w14:paraId="627282DA" w14:textId="2049DADF" w:rsidR="00930439" w:rsidRPr="006D6727" w:rsidRDefault="00930439" w:rsidP="00673A9B">
      <w:pPr>
        <w:pStyle w:val="coverpagelastupdatedDDMMYY"/>
        <w:rPr>
          <w:noProof/>
          <w:lang w:val="en-GB"/>
        </w:rPr>
      </w:pPr>
      <w:r w:rsidRPr="006D6727">
        <w:rPr>
          <w:noProof/>
          <w:lang w:val="de-DE" w:eastAsia="de-DE"/>
        </w:rPr>
        <mc:AlternateContent>
          <mc:Choice Requires="wps">
            <w:drawing>
              <wp:anchor distT="0" distB="0" distL="114300" distR="114300" simplePos="0" relativeHeight="251649024" behindDoc="0" locked="1" layoutInCell="1" allowOverlap="1" wp14:anchorId="01D12A86" wp14:editId="5058FCD1">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E56A7B" id="Rectangle 8" o:spid="_x0000_s1026" style="position:absolute;margin-left:-.1pt;margin-top:771.95pt;width:595.25pt;height:14.1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9C6289">
        <w:rPr>
          <w:noProof/>
          <w:lang w:val="en-GB"/>
        </w:rPr>
        <w:fldChar w:fldCharType="begin">
          <w:ffData>
            <w:name w:val="Text3"/>
            <w:enabled/>
            <w:calcOnExit w:val="0"/>
            <w:textInput>
              <w:default w:val="amended 3 February 2023"/>
            </w:textInput>
          </w:ffData>
        </w:fldChar>
      </w:r>
      <w:r w:rsidR="009C6289">
        <w:rPr>
          <w:noProof/>
          <w:lang w:val="en-GB"/>
        </w:rPr>
        <w:instrText xml:space="preserve"> </w:instrText>
      </w:r>
      <w:bookmarkStart w:id="2" w:name="Text3"/>
      <w:r w:rsidR="009C6289">
        <w:rPr>
          <w:noProof/>
          <w:lang w:val="en-GB"/>
        </w:rPr>
        <w:instrText xml:space="preserve">FORMTEXT </w:instrText>
      </w:r>
      <w:r w:rsidR="009C6289">
        <w:rPr>
          <w:noProof/>
          <w:lang w:val="en-GB"/>
        </w:rPr>
      </w:r>
      <w:r w:rsidR="009C6289">
        <w:rPr>
          <w:noProof/>
          <w:lang w:val="en-GB"/>
        </w:rPr>
        <w:fldChar w:fldCharType="separate"/>
      </w:r>
      <w:r w:rsidR="009C6289">
        <w:rPr>
          <w:noProof/>
          <w:lang w:val="en-GB"/>
        </w:rPr>
        <w:t>amended 3 February 2023</w:t>
      </w:r>
      <w:r w:rsidR="009C6289">
        <w:rPr>
          <w:noProof/>
          <w:lang w:val="en-GB"/>
        </w:rPr>
        <w:fldChar w:fldCharType="end"/>
      </w:r>
      <w:bookmarkEnd w:id="2"/>
    </w:p>
    <w:p w14:paraId="5E12D36A" w14:textId="77777777" w:rsidR="008A54FC" w:rsidRPr="006D6727" w:rsidRDefault="008A54FC" w:rsidP="00264464">
      <w:pPr>
        <w:rPr>
          <w:rStyle w:val="ECCParagraph"/>
          <w:noProof/>
        </w:rPr>
      </w:pPr>
    </w:p>
    <w:p w14:paraId="13456AC5" w14:textId="77777777" w:rsidR="008A54FC" w:rsidRPr="006D6727" w:rsidRDefault="008A54FC" w:rsidP="009465E0">
      <w:pPr>
        <w:pStyle w:val="Heading1"/>
        <w:rPr>
          <w:noProof/>
          <w:lang w:val="en-GB"/>
        </w:rPr>
      </w:pPr>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bookmarkStart w:id="15" w:name="_Toc84325227"/>
      <w:bookmarkStart w:id="16" w:name="_Toc127346211"/>
      <w:r w:rsidRPr="006D6727">
        <w:rPr>
          <w:noProof/>
          <w:lang w:val="en-GB"/>
        </w:rPr>
        <w:lastRenderedPageBreak/>
        <w:t>Executive summary</w:t>
      </w:r>
      <w:bookmarkEnd w:id="3"/>
      <w:bookmarkEnd w:id="4"/>
      <w:bookmarkEnd w:id="5"/>
      <w:bookmarkEnd w:id="6"/>
      <w:bookmarkEnd w:id="7"/>
      <w:bookmarkEnd w:id="8"/>
      <w:bookmarkEnd w:id="9"/>
      <w:bookmarkEnd w:id="10"/>
      <w:bookmarkEnd w:id="11"/>
      <w:bookmarkEnd w:id="12"/>
      <w:bookmarkEnd w:id="13"/>
      <w:bookmarkEnd w:id="14"/>
      <w:bookmarkEnd w:id="15"/>
      <w:bookmarkEnd w:id="16"/>
    </w:p>
    <w:p w14:paraId="691DB233" w14:textId="25E4BEBF" w:rsidR="00BB41AD" w:rsidRPr="00BB41AD" w:rsidRDefault="00BB41AD" w:rsidP="00BB41AD">
      <w:r>
        <w:t>This Report</w:t>
      </w:r>
      <w:r w:rsidRPr="00BB41AD">
        <w:t xml:space="preserve"> considers </w:t>
      </w:r>
      <w:r w:rsidR="009D5FA2">
        <w:t>coexistence</w:t>
      </w:r>
      <w:r w:rsidRPr="00BB41AD">
        <w:t xml:space="preserve"> of altogether </w:t>
      </w:r>
      <w:r w:rsidR="00FA0482">
        <w:t>eight</w:t>
      </w:r>
      <w:r w:rsidRPr="00BB41AD">
        <w:t xml:space="preserve"> proposed different UWB applications to incumbent Radio Services</w:t>
      </w:r>
      <w:r w:rsidR="00487D23">
        <w:t>:</w:t>
      </w:r>
    </w:p>
    <w:p w14:paraId="334A35EE" w14:textId="525CB6E5" w:rsidR="00C12619" w:rsidRPr="00BB41AD" w:rsidRDefault="00C12619" w:rsidP="00C12619">
      <w:pPr>
        <w:pStyle w:val="ECCBulletsLv1"/>
      </w:pPr>
      <w:r>
        <w:t>Generic indoor surveillance radar</w:t>
      </w:r>
      <w:r w:rsidR="00FA0482">
        <w:t xml:space="preserve"> (</w:t>
      </w:r>
      <w:r w:rsidR="009D5FA2">
        <w:t>section</w:t>
      </w:r>
      <w:r w:rsidR="00FA0482">
        <w:t xml:space="preserve"> </w:t>
      </w:r>
      <w:r w:rsidR="00FA0482">
        <w:fldChar w:fldCharType="begin"/>
      </w:r>
      <w:r w:rsidR="00FA0482">
        <w:instrText xml:space="preserve"> REF _Ref67041471 \r \h </w:instrText>
      </w:r>
      <w:r w:rsidR="00FA0482">
        <w:fldChar w:fldCharType="separate"/>
      </w:r>
      <w:r w:rsidR="004F49F9">
        <w:t>2.2.1</w:t>
      </w:r>
      <w:r w:rsidR="00FA0482">
        <w:fldChar w:fldCharType="end"/>
      </w:r>
      <w:r w:rsidR="00FA0482">
        <w:t>)</w:t>
      </w:r>
      <w:r w:rsidR="00487D23">
        <w:t>;</w:t>
      </w:r>
    </w:p>
    <w:p w14:paraId="4103B86A" w14:textId="65424C7A" w:rsidR="00BB41AD" w:rsidRDefault="00BB41AD" w:rsidP="00C12619">
      <w:pPr>
        <w:pStyle w:val="ECCBulletsLv1"/>
      </w:pPr>
      <w:r>
        <w:t>Radiodetermination systems for industry automation (RDI)</w:t>
      </w:r>
      <w:r w:rsidR="00FA0482">
        <w:t xml:space="preserve"> (</w:t>
      </w:r>
      <w:r w:rsidR="009D5FA2">
        <w:t>section</w:t>
      </w:r>
      <w:r w:rsidR="00FA0482">
        <w:t xml:space="preserve"> </w:t>
      </w:r>
      <w:r w:rsidR="00FA0482">
        <w:fldChar w:fldCharType="begin"/>
      </w:r>
      <w:r w:rsidR="00FA0482">
        <w:instrText xml:space="preserve"> REF _Ref67041472 \r \h </w:instrText>
      </w:r>
      <w:r w:rsidR="00FA0482">
        <w:fldChar w:fldCharType="separate"/>
      </w:r>
      <w:r w:rsidR="004F49F9">
        <w:t>2.2.2</w:t>
      </w:r>
      <w:r w:rsidR="00FA0482">
        <w:fldChar w:fldCharType="end"/>
      </w:r>
      <w:r w:rsidR="00FA0482">
        <w:t>)</w:t>
      </w:r>
      <w:r w:rsidR="00487D23">
        <w:t>;</w:t>
      </w:r>
    </w:p>
    <w:p w14:paraId="46C682E3" w14:textId="404C6661" w:rsidR="00C12619" w:rsidRDefault="00C12619" w:rsidP="00C12619">
      <w:pPr>
        <w:pStyle w:val="ECCBulletsLv1"/>
      </w:pPr>
      <w:r>
        <w:t>Short-range assist and surrounding monitoring for vehicles and autonomous systems</w:t>
      </w:r>
      <w:r w:rsidR="00FA0482">
        <w:t xml:space="preserve"> (</w:t>
      </w:r>
      <w:r w:rsidR="009D5FA2">
        <w:t>section</w:t>
      </w:r>
      <w:r w:rsidR="00FA0482">
        <w:t xml:space="preserve"> </w:t>
      </w:r>
      <w:r w:rsidR="00FA0482">
        <w:fldChar w:fldCharType="begin"/>
      </w:r>
      <w:r w:rsidR="00FA0482">
        <w:instrText xml:space="preserve"> REF _Ref20473265 \r \h </w:instrText>
      </w:r>
      <w:r w:rsidR="00FA0482">
        <w:fldChar w:fldCharType="separate"/>
      </w:r>
      <w:r w:rsidR="004F49F9">
        <w:t>2.2.3</w:t>
      </w:r>
      <w:r w:rsidR="00FA0482">
        <w:fldChar w:fldCharType="end"/>
      </w:r>
      <w:r w:rsidR="00FA0482">
        <w:t>)</w:t>
      </w:r>
      <w:r w:rsidR="00487D23">
        <w:t>;</w:t>
      </w:r>
    </w:p>
    <w:p w14:paraId="48982A23" w14:textId="01DF3F5D" w:rsidR="00C12619" w:rsidRDefault="00C12619" w:rsidP="00C12619">
      <w:pPr>
        <w:pStyle w:val="ECCBulletsLv1"/>
      </w:pPr>
      <w:r>
        <w:t>Ground based synthetic aperture radar (GBSAR)</w:t>
      </w:r>
      <w:r w:rsidR="00FA0482">
        <w:t xml:space="preserve"> (</w:t>
      </w:r>
      <w:r w:rsidR="009D5FA2">
        <w:t>section</w:t>
      </w:r>
      <w:r w:rsidR="00FA0482">
        <w:t xml:space="preserve"> </w:t>
      </w:r>
      <w:r w:rsidR="00FA0482">
        <w:fldChar w:fldCharType="begin"/>
      </w:r>
      <w:r w:rsidR="00FA0482">
        <w:instrText xml:space="preserve"> REF _Ref67041473 \r \h </w:instrText>
      </w:r>
      <w:r w:rsidR="00FA0482">
        <w:fldChar w:fldCharType="separate"/>
      </w:r>
      <w:r w:rsidR="004F49F9">
        <w:t>2.2.4</w:t>
      </w:r>
      <w:r w:rsidR="00FA0482">
        <w:fldChar w:fldCharType="end"/>
      </w:r>
      <w:r w:rsidR="00FA0482">
        <w:t>)</w:t>
      </w:r>
      <w:r w:rsidR="00487D23">
        <w:t>;</w:t>
      </w:r>
    </w:p>
    <w:p w14:paraId="10955B3B" w14:textId="33BB9EC4" w:rsidR="00FA0482" w:rsidRPr="00BB41AD" w:rsidRDefault="00FA0482" w:rsidP="00FA0482">
      <w:pPr>
        <w:pStyle w:val="ECCBulletsLv1"/>
      </w:pPr>
      <w:r>
        <w:t>Level probing radar (LPR) (</w:t>
      </w:r>
      <w:r w:rsidR="009D5FA2">
        <w:t>section</w:t>
      </w:r>
      <w:r>
        <w:t xml:space="preserve"> </w:t>
      </w:r>
      <w:r>
        <w:fldChar w:fldCharType="begin"/>
      </w:r>
      <w:r>
        <w:instrText xml:space="preserve"> REF _Ref15643917 \r \h </w:instrText>
      </w:r>
      <w:r>
        <w:fldChar w:fldCharType="separate"/>
      </w:r>
      <w:r w:rsidR="004F49F9">
        <w:t>2.2.5</w:t>
      </w:r>
      <w:r>
        <w:fldChar w:fldCharType="end"/>
      </w:r>
      <w:r>
        <w:t>)</w:t>
      </w:r>
      <w:r w:rsidR="00487D23">
        <w:t>;</w:t>
      </w:r>
    </w:p>
    <w:p w14:paraId="4CD9AA18" w14:textId="3D74ECD9" w:rsidR="00FA0482" w:rsidRPr="00BB41AD" w:rsidRDefault="00FA0482" w:rsidP="00FA0482">
      <w:pPr>
        <w:pStyle w:val="ECCBulletsLv1"/>
      </w:pPr>
      <w:r>
        <w:t>Contour determination and acquisition (CDR) (</w:t>
      </w:r>
      <w:r w:rsidR="009D5FA2">
        <w:t>section</w:t>
      </w:r>
      <w:r>
        <w:t xml:space="preserve"> </w:t>
      </w:r>
      <w:r>
        <w:fldChar w:fldCharType="begin"/>
      </w:r>
      <w:r>
        <w:instrText xml:space="preserve"> REF _Ref67041474 \r \h </w:instrText>
      </w:r>
      <w:r>
        <w:fldChar w:fldCharType="separate"/>
      </w:r>
      <w:r w:rsidR="004F49F9">
        <w:t>2.2.6</w:t>
      </w:r>
      <w:r>
        <w:fldChar w:fldCharType="end"/>
      </w:r>
      <w:r>
        <w:t>)</w:t>
      </w:r>
      <w:r w:rsidR="00487D23">
        <w:t>;</w:t>
      </w:r>
    </w:p>
    <w:p w14:paraId="555F3562" w14:textId="5BB66024" w:rsidR="00FA0482" w:rsidRPr="00BB41AD" w:rsidRDefault="00FA0482" w:rsidP="00FA0482">
      <w:pPr>
        <w:pStyle w:val="ECCBulletsLv1"/>
      </w:pPr>
      <w:r>
        <w:t>Tank level probing radar (TLPR) (</w:t>
      </w:r>
      <w:r w:rsidR="009D5FA2">
        <w:t>section</w:t>
      </w:r>
      <w:r>
        <w:t xml:space="preserve"> </w:t>
      </w:r>
      <w:r>
        <w:fldChar w:fldCharType="begin"/>
      </w:r>
      <w:r>
        <w:instrText xml:space="preserve"> REF _Ref67041475 \r \h </w:instrText>
      </w:r>
      <w:r>
        <w:fldChar w:fldCharType="separate"/>
      </w:r>
      <w:r w:rsidR="004F49F9">
        <w:t>2.2.7</w:t>
      </w:r>
      <w:r>
        <w:fldChar w:fldCharType="end"/>
      </w:r>
      <w:r>
        <w:t>)</w:t>
      </w:r>
      <w:r w:rsidR="00487D23">
        <w:t>;</w:t>
      </w:r>
    </w:p>
    <w:p w14:paraId="408FC233" w14:textId="6E85DE7D" w:rsidR="00BB41AD" w:rsidRPr="00BB41AD" w:rsidRDefault="00BB41AD" w:rsidP="00BB41AD">
      <w:pPr>
        <w:pStyle w:val="ECCBulletsLv1"/>
      </w:pPr>
      <w:r>
        <w:t xml:space="preserve">Radiodetermination systems for industry automation in </w:t>
      </w:r>
      <w:r w:rsidRPr="00BB41AD">
        <w:t>shielded environments (RDI-S)</w:t>
      </w:r>
      <w:r w:rsidR="00FA0482">
        <w:t xml:space="preserve"> (</w:t>
      </w:r>
      <w:r w:rsidR="009D5FA2">
        <w:t>section</w:t>
      </w:r>
      <w:r w:rsidR="00FA0482">
        <w:t xml:space="preserve"> </w:t>
      </w:r>
      <w:r w:rsidR="00FA0482">
        <w:fldChar w:fldCharType="begin"/>
      </w:r>
      <w:r w:rsidR="00FA0482">
        <w:instrText xml:space="preserve"> REF _Ref65057294 \r \h </w:instrText>
      </w:r>
      <w:r w:rsidR="00FA0482">
        <w:fldChar w:fldCharType="separate"/>
      </w:r>
      <w:r w:rsidR="004F49F9">
        <w:t>2.2.8</w:t>
      </w:r>
      <w:r w:rsidR="00FA0482">
        <w:fldChar w:fldCharType="end"/>
      </w:r>
      <w:r w:rsidR="00FA0482">
        <w:t>)</w:t>
      </w:r>
      <w:r w:rsidR="00487D23">
        <w:t>.</w:t>
      </w:r>
    </w:p>
    <w:p w14:paraId="6619F0F2" w14:textId="5A500F05" w:rsidR="00BB41AD" w:rsidRDefault="00BB41AD" w:rsidP="00BB41AD">
      <w:r w:rsidRPr="005F00E5">
        <w:t>The concept</w:t>
      </w:r>
      <w:r>
        <w:t xml:space="preserve">, the technical properties and deployment characteristics </w:t>
      </w:r>
      <w:r w:rsidRPr="005F00E5">
        <w:t xml:space="preserve">of </w:t>
      </w:r>
      <w:r>
        <w:t xml:space="preserve">these applications </w:t>
      </w:r>
      <w:r w:rsidRPr="005F00E5">
        <w:t>were communicated to CEPT with appropriate request for authorisation of use of spectrum</w:t>
      </w:r>
      <w:r>
        <w:t xml:space="preserve"> in </w:t>
      </w:r>
      <w:r w:rsidRPr="005F00E5">
        <w:t xml:space="preserve">ETSI </w:t>
      </w:r>
      <w:r w:rsidRPr="001E76B8">
        <w:t>TR 103 </w:t>
      </w:r>
      <w:r>
        <w:t xml:space="preserve">498 </w:t>
      </w:r>
      <w:r w:rsidR="00056EE5" w:rsidRPr="00056EE5">
        <w:rPr>
          <w:rStyle w:val="ECCParagraph"/>
        </w:rPr>
        <w:fldChar w:fldCharType="begin"/>
      </w:r>
      <w:r w:rsidR="00056EE5" w:rsidRPr="00056EE5">
        <w:rPr>
          <w:rStyle w:val="ECCParagraph"/>
        </w:rPr>
        <w:instrText xml:space="preserve"> REF ETSITR103498 \w \h </w:instrText>
      </w:r>
      <w:r w:rsidR="00056EE5" w:rsidRPr="00056EE5">
        <w:rPr>
          <w:rStyle w:val="ECCParagraph"/>
        </w:rPr>
      </w:r>
      <w:r w:rsidR="00056EE5" w:rsidRPr="00056EE5">
        <w:rPr>
          <w:rStyle w:val="ECCParagraph"/>
        </w:rPr>
        <w:fldChar w:fldCharType="separate"/>
      </w:r>
      <w:r w:rsidR="004F49F9">
        <w:rPr>
          <w:rStyle w:val="ECCParagraph"/>
        </w:rPr>
        <w:t>[1]</w:t>
      </w:r>
      <w:r w:rsidR="00056EE5" w:rsidRPr="00056EE5">
        <w:rPr>
          <w:rStyle w:val="ECCParagraph"/>
        </w:rPr>
        <w:fldChar w:fldCharType="end"/>
      </w:r>
      <w:r w:rsidR="00056EE5">
        <w:rPr>
          <w:rStyle w:val="ECCParagraph"/>
        </w:rPr>
        <w:t xml:space="preserve">. </w:t>
      </w:r>
      <w:r>
        <w:t>For these applications, different candidate frequency bands in the frequency range from 116 GHz up to 260 GHz have been defined (</w:t>
      </w:r>
      <w:r w:rsidR="009D5FA2">
        <w:t>section</w:t>
      </w:r>
      <w:r>
        <w:t xml:space="preserve"> </w:t>
      </w:r>
      <w:r w:rsidR="00AB5727">
        <w:rPr>
          <w:highlight w:val="yellow"/>
        </w:rPr>
        <w:fldChar w:fldCharType="begin"/>
      </w:r>
      <w:r w:rsidR="00AB5727">
        <w:instrText xml:space="preserve"> REF _Ref9415617 \r \h </w:instrText>
      </w:r>
      <w:r w:rsidR="00AB5727">
        <w:rPr>
          <w:highlight w:val="yellow"/>
        </w:rPr>
      </w:r>
      <w:r w:rsidR="00AB5727">
        <w:rPr>
          <w:highlight w:val="yellow"/>
        </w:rPr>
        <w:fldChar w:fldCharType="separate"/>
      </w:r>
      <w:r w:rsidR="004F49F9">
        <w:t>2.2</w:t>
      </w:r>
      <w:r w:rsidR="00AB5727">
        <w:rPr>
          <w:highlight w:val="yellow"/>
        </w:rPr>
        <w:fldChar w:fldCharType="end"/>
      </w:r>
      <w:r w:rsidR="00841814">
        <w:t xml:space="preserve"> </w:t>
      </w:r>
      <w:r>
        <w:t xml:space="preserve">and </w:t>
      </w:r>
      <w:r w:rsidR="009D5FA2">
        <w:t>section</w:t>
      </w:r>
      <w:r w:rsidR="00AB5727">
        <w:t xml:space="preserve"> </w:t>
      </w:r>
      <w:r w:rsidR="00AB5727">
        <w:rPr>
          <w:highlight w:val="yellow"/>
        </w:rPr>
        <w:fldChar w:fldCharType="begin"/>
      </w:r>
      <w:r w:rsidR="00AB5727">
        <w:instrText xml:space="preserve"> REF _Ref12610323 \r \h </w:instrText>
      </w:r>
      <w:r w:rsidR="00AB5727">
        <w:rPr>
          <w:highlight w:val="yellow"/>
        </w:rPr>
      </w:r>
      <w:r w:rsidR="00AB5727">
        <w:rPr>
          <w:highlight w:val="yellow"/>
        </w:rPr>
        <w:fldChar w:fldCharType="separate"/>
      </w:r>
      <w:r w:rsidR="004F49F9">
        <w:t>3.1</w:t>
      </w:r>
      <w:r w:rsidR="00AB5727">
        <w:rPr>
          <w:highlight w:val="yellow"/>
        </w:rPr>
        <w:fldChar w:fldCharType="end"/>
      </w:r>
      <w:r>
        <w:t xml:space="preserve">) and investigated </w:t>
      </w:r>
      <w:r w:rsidRPr="00FD3584">
        <w:t>in MCL-based deterministic analyses.</w:t>
      </w:r>
    </w:p>
    <w:p w14:paraId="0C3D6CA1" w14:textId="77777777" w:rsidR="00C2621E" w:rsidRDefault="00C2621E" w:rsidP="00BB41AD">
      <w:r w:rsidRPr="00C2621E">
        <w:t xml:space="preserve">It should be noted that the analyses in this Report do not cover </w:t>
      </w:r>
      <w:r w:rsidRPr="00C2621E">
        <w:rPr>
          <w:rStyle w:val="ECCParagraph"/>
        </w:rPr>
        <w:t>generic EHF regulations for use by terrestrial services as authorised in one CEPT country. The studies performed when making these national regulations used different sharing criteria.</w:t>
      </w:r>
    </w:p>
    <w:p w14:paraId="2B7D0181" w14:textId="2CC35AAA" w:rsidR="00BB41AD" w:rsidRPr="00BB41AD" w:rsidRDefault="00BB41AD" w:rsidP="00BB41AD">
      <w:r>
        <w:t>The following</w:t>
      </w:r>
      <w:r w:rsidRPr="00BB41AD">
        <w:t xml:space="preserve"> Radio Services, operating either in these candidate bands or adjacent to them, have been identified as possible victims of interference arising from the mentioned UWB applications (</w:t>
      </w:r>
      <w:r w:rsidR="00DA3555">
        <w:t>section</w:t>
      </w:r>
      <w:r w:rsidR="00AB5727">
        <w:t xml:space="preserve"> </w:t>
      </w:r>
      <w:r w:rsidR="00AB5727">
        <w:rPr>
          <w:highlight w:val="yellow"/>
        </w:rPr>
        <w:fldChar w:fldCharType="begin"/>
      </w:r>
      <w:r w:rsidR="00AB5727">
        <w:instrText xml:space="preserve"> REF _Ref15647073 \r \h </w:instrText>
      </w:r>
      <w:r w:rsidR="00AB5727">
        <w:rPr>
          <w:highlight w:val="yellow"/>
        </w:rPr>
      </w:r>
      <w:r w:rsidR="00AB5727">
        <w:rPr>
          <w:highlight w:val="yellow"/>
        </w:rPr>
        <w:fldChar w:fldCharType="separate"/>
      </w:r>
      <w:r w:rsidR="004F49F9">
        <w:t>3.2</w:t>
      </w:r>
      <w:r w:rsidR="00AB5727">
        <w:rPr>
          <w:highlight w:val="yellow"/>
        </w:rPr>
        <w:fldChar w:fldCharType="end"/>
      </w:r>
      <w:r w:rsidRPr="00BB41AD">
        <w:t>)</w:t>
      </w:r>
      <w:r w:rsidR="00DA3555">
        <w:t>:</w:t>
      </w:r>
    </w:p>
    <w:p w14:paraId="75AF815C" w14:textId="4E713855" w:rsidR="00BB41AD" w:rsidRPr="00BB41AD" w:rsidRDefault="00BB41AD" w:rsidP="00BB41AD">
      <w:pPr>
        <w:pStyle w:val="ECCBulletsLv1"/>
      </w:pPr>
      <w:r>
        <w:t>Radio Astronomy Service</w:t>
      </w:r>
      <w:r w:rsidR="00DA3555">
        <w:t>;</w:t>
      </w:r>
    </w:p>
    <w:p w14:paraId="69029BE8" w14:textId="6F6D03B3" w:rsidR="00BB41AD" w:rsidRPr="00BB41AD" w:rsidRDefault="00BB41AD" w:rsidP="00BB41AD">
      <w:pPr>
        <w:pStyle w:val="ECCBulletsLv1"/>
      </w:pPr>
      <w:r>
        <w:t>Fixed Service</w:t>
      </w:r>
      <w:r w:rsidR="00DA3555">
        <w:t>;</w:t>
      </w:r>
    </w:p>
    <w:p w14:paraId="24240C4B" w14:textId="66ED31F4" w:rsidR="00BB41AD" w:rsidRPr="00BB41AD" w:rsidRDefault="00BB41AD" w:rsidP="00BB41AD">
      <w:pPr>
        <w:pStyle w:val="ECCBulletsLv1"/>
      </w:pPr>
      <w:r>
        <w:t xml:space="preserve">Earth Exploration </w:t>
      </w:r>
      <w:r w:rsidR="00A210FA">
        <w:t>S</w:t>
      </w:r>
      <w:r>
        <w:t xml:space="preserve">atellite </w:t>
      </w:r>
      <w:r w:rsidR="00A210FA">
        <w:t>S</w:t>
      </w:r>
      <w:r>
        <w:t>ervice (passive)</w:t>
      </w:r>
      <w:r w:rsidR="00DA3555">
        <w:t>;</w:t>
      </w:r>
    </w:p>
    <w:p w14:paraId="15F85A23" w14:textId="105D5C91" w:rsidR="00BB41AD" w:rsidRDefault="00BB41AD" w:rsidP="00BB41AD">
      <w:pPr>
        <w:pStyle w:val="ECCBulletsLv1"/>
      </w:pPr>
      <w:r>
        <w:t>Amateur</w:t>
      </w:r>
      <w:r w:rsidR="00A210FA">
        <w:t xml:space="preserve"> Service</w:t>
      </w:r>
      <w:r w:rsidR="00DA3555">
        <w:t>;</w:t>
      </w:r>
    </w:p>
    <w:p w14:paraId="73A6AFBA" w14:textId="77777777" w:rsidR="00C2621E" w:rsidRPr="00BB41AD" w:rsidRDefault="00C2621E" w:rsidP="00BB41AD">
      <w:pPr>
        <w:pStyle w:val="ECCBulletsLv1"/>
      </w:pPr>
      <w:r>
        <w:t>Mobile (not studied)</w:t>
      </w:r>
      <w:r w:rsidR="00260248">
        <w:t>.</w:t>
      </w:r>
    </w:p>
    <w:p w14:paraId="5CB0698E" w14:textId="292D9EAF" w:rsidR="00BB41AD" w:rsidRPr="00BB41AD" w:rsidRDefault="00BB41AD" w:rsidP="00BB41AD">
      <w:pPr>
        <w:rPr>
          <w:rStyle w:val="ECCParagraph"/>
        </w:rPr>
      </w:pPr>
      <w:r w:rsidRPr="00DC0A69">
        <w:rPr>
          <w:rStyle w:val="ECCParagraph"/>
        </w:rPr>
        <w:t xml:space="preserve">A detailed graphical overview of the </w:t>
      </w:r>
      <w:r w:rsidRPr="00BB41AD">
        <w:rPr>
          <w:rStyle w:val="ECCParagraph"/>
        </w:rPr>
        <w:t xml:space="preserve">band assignments to these Radio Services inside and nearby each investigated candidate band is given in </w:t>
      </w:r>
      <w:r w:rsidR="009D5FA2">
        <w:rPr>
          <w:rStyle w:val="ECCParagraph"/>
        </w:rPr>
        <w:t>section</w:t>
      </w:r>
      <w:r w:rsidR="00AB5727">
        <w:rPr>
          <w:rStyle w:val="ECCParagraph"/>
        </w:rPr>
        <w:t xml:space="preserve"> </w:t>
      </w:r>
      <w:r w:rsidR="00AB5727">
        <w:rPr>
          <w:rStyle w:val="ECCParagraph"/>
          <w:highlight w:val="yellow"/>
        </w:rPr>
        <w:fldChar w:fldCharType="begin"/>
      </w:r>
      <w:r w:rsidR="00AB5727">
        <w:rPr>
          <w:rStyle w:val="ECCParagraph"/>
        </w:rPr>
        <w:instrText xml:space="preserve"> REF _Ref66361706 \r \h </w:instrText>
      </w:r>
      <w:r w:rsidR="00AB5727">
        <w:rPr>
          <w:rStyle w:val="ECCParagraph"/>
          <w:highlight w:val="yellow"/>
        </w:rPr>
      </w:r>
      <w:r w:rsidR="00AB5727">
        <w:rPr>
          <w:rStyle w:val="ECCParagraph"/>
          <w:highlight w:val="yellow"/>
        </w:rPr>
        <w:fldChar w:fldCharType="separate"/>
      </w:r>
      <w:r w:rsidR="004F49F9">
        <w:rPr>
          <w:rStyle w:val="ECCParagraph"/>
        </w:rPr>
        <w:t>3.3</w:t>
      </w:r>
      <w:r w:rsidR="00AB5727">
        <w:rPr>
          <w:rStyle w:val="ECCParagraph"/>
          <w:highlight w:val="yellow"/>
        </w:rPr>
        <w:fldChar w:fldCharType="end"/>
      </w:r>
      <w:r w:rsidRPr="00BB41AD">
        <w:rPr>
          <w:rStyle w:val="ECCParagraph"/>
        </w:rPr>
        <w:t>.</w:t>
      </w:r>
    </w:p>
    <w:p w14:paraId="76CE5781" w14:textId="418BF641" w:rsidR="00BB41AD" w:rsidRPr="00C2621E" w:rsidRDefault="00BB41AD" w:rsidP="00BB41AD">
      <w:r w:rsidRPr="0081122A">
        <w:t xml:space="preserve">The evaluation of </w:t>
      </w:r>
      <w:r w:rsidRPr="00BB41AD">
        <w:t xml:space="preserve">the maximum interference ranges for the different UWB applications under consideration for all terrestrial victims was carried out using an MCL deterministic approach by applying a worst-case interference scenario of one single interferer to one terrestrial victim receiver. </w:t>
      </w:r>
      <w:r w:rsidR="004A5A8E">
        <w:rPr>
          <w:rStyle w:val="ECCParagraph"/>
        </w:rPr>
        <w:t>A</w:t>
      </w:r>
      <w:r w:rsidRPr="00BB41AD">
        <w:rPr>
          <w:rStyle w:val="ECCParagraph"/>
        </w:rPr>
        <w:t xml:space="preserve">ll MCL calculations have been performed with line-of-sight (LOS) conditions (except for those interferers which are only located indoors) and without any natural shielding, like </w:t>
      </w:r>
      <w:r w:rsidR="00686BE7" w:rsidRPr="00BB41AD">
        <w:rPr>
          <w:rStyle w:val="ECCParagraph"/>
        </w:rPr>
        <w:t>vegetation</w:t>
      </w:r>
      <w:r w:rsidRPr="00BB41AD">
        <w:rPr>
          <w:rStyle w:val="ECCParagraph"/>
        </w:rPr>
        <w:t xml:space="preserve"> and other obstacles, located in the direct path from the interferer to the victim. </w:t>
      </w:r>
      <w:r w:rsidR="00C2621E" w:rsidRPr="00C2621E">
        <w:t>It should be noted that as UWB is not defined as a radiocommunication service and there are a number of different UWB applications being studied in this Report, a degree of caution has been taken when looking at sharing impacts and criteria used.</w:t>
      </w:r>
      <w:r w:rsidR="00C2621E">
        <w:rPr>
          <w:rStyle w:val="ECCParagraph"/>
        </w:rPr>
        <w:t xml:space="preserve"> </w:t>
      </w:r>
      <w:r w:rsidRPr="00BB41AD">
        <w:rPr>
          <w:rStyle w:val="ECCParagraph"/>
        </w:rPr>
        <w:t xml:space="preserve">As a result, all calculated interference impacts represent the most conservative estimates, which in many real-life scenarios will be further reduced due to </w:t>
      </w:r>
      <w:r w:rsidR="005120C0">
        <w:rPr>
          <w:rStyle w:val="ECCParagraph"/>
        </w:rPr>
        <w:t xml:space="preserve">the </w:t>
      </w:r>
      <w:r w:rsidRPr="00BB41AD">
        <w:rPr>
          <w:rStyle w:val="ECCParagraph"/>
        </w:rPr>
        <w:t>aforementioned natural shielding mechanisms.</w:t>
      </w:r>
    </w:p>
    <w:p w14:paraId="64FFF7C8" w14:textId="77777777" w:rsidR="00BB41AD" w:rsidRPr="00BB41AD" w:rsidRDefault="00BB41AD" w:rsidP="00BB41AD">
      <w:pPr>
        <w:rPr>
          <w:rStyle w:val="ECCParagraph"/>
        </w:rPr>
      </w:pPr>
      <w:r w:rsidRPr="00BB41AD">
        <w:rPr>
          <w:rStyle w:val="ECCParagraph"/>
        </w:rPr>
        <w:t>For the space-based victims, like EESS, the margins to the protection criteria, i.e. the maximum interference level in the victim receiver, have been also calculated in a single-entry scenario assuming worst-case conditions. In addition, a scenario where the aggregation of numerous interfering devices located in the satellite field of view on Earth’s surface have been considered.</w:t>
      </w:r>
    </w:p>
    <w:p w14:paraId="4AD1A0AD" w14:textId="2305AC3D" w:rsidR="00BB41AD" w:rsidRPr="00BB41AD" w:rsidRDefault="00BB41AD" w:rsidP="00BB41AD">
      <w:r w:rsidRPr="00BB41AD">
        <w:rPr>
          <w:rStyle w:val="ECCParagraph"/>
        </w:rPr>
        <w:t xml:space="preserve">The calculations are provided in separate calculation sheets which are annexed to this Report. The results of these studies and the conclusions are provided in </w:t>
      </w:r>
      <w:r w:rsidR="009D5FA2">
        <w:rPr>
          <w:rStyle w:val="ECCParagraph"/>
        </w:rPr>
        <w:t>section</w:t>
      </w:r>
      <w:r w:rsidRPr="00BB41AD">
        <w:rPr>
          <w:rStyle w:val="ECCParagraph"/>
        </w:rPr>
        <w:t xml:space="preserve">s </w:t>
      </w:r>
      <w:r w:rsidR="00AB5727">
        <w:rPr>
          <w:rStyle w:val="ECCParagraph"/>
          <w:highlight w:val="yellow"/>
        </w:rPr>
        <w:fldChar w:fldCharType="begin"/>
      </w:r>
      <w:r w:rsidR="00AB5727">
        <w:rPr>
          <w:rStyle w:val="ECCParagraph"/>
        </w:rPr>
        <w:instrText xml:space="preserve"> REF _Ref66370562 \r \h </w:instrText>
      </w:r>
      <w:r w:rsidR="00AB5727">
        <w:rPr>
          <w:rStyle w:val="ECCParagraph"/>
          <w:highlight w:val="yellow"/>
        </w:rPr>
      </w:r>
      <w:r w:rsidR="00AB5727">
        <w:rPr>
          <w:rStyle w:val="ECCParagraph"/>
          <w:highlight w:val="yellow"/>
        </w:rPr>
        <w:fldChar w:fldCharType="separate"/>
      </w:r>
      <w:r w:rsidR="004F49F9">
        <w:rPr>
          <w:rStyle w:val="ECCParagraph"/>
        </w:rPr>
        <w:t>4</w:t>
      </w:r>
      <w:r w:rsidR="00AB5727">
        <w:rPr>
          <w:rStyle w:val="ECCParagraph"/>
          <w:highlight w:val="yellow"/>
        </w:rPr>
        <w:fldChar w:fldCharType="end"/>
      </w:r>
      <w:r w:rsidRPr="00BB41AD">
        <w:rPr>
          <w:rStyle w:val="ECCParagraph"/>
        </w:rPr>
        <w:t xml:space="preserve"> to</w:t>
      </w:r>
      <w:r w:rsidR="00AB5727">
        <w:rPr>
          <w:rStyle w:val="ECCParagraph"/>
        </w:rPr>
        <w:t xml:space="preserve"> </w:t>
      </w:r>
      <w:r w:rsidR="005C1E7B">
        <w:rPr>
          <w:rStyle w:val="ECCParagraph"/>
          <w:highlight w:val="yellow"/>
        </w:rPr>
        <w:fldChar w:fldCharType="begin"/>
      </w:r>
      <w:r w:rsidR="005C1E7B">
        <w:rPr>
          <w:rStyle w:val="ECCParagraph"/>
        </w:rPr>
        <w:instrText xml:space="preserve"> REF _Ref67995904 \r \h </w:instrText>
      </w:r>
      <w:r w:rsidR="005C1E7B">
        <w:rPr>
          <w:rStyle w:val="ECCParagraph"/>
          <w:highlight w:val="yellow"/>
        </w:rPr>
      </w:r>
      <w:r w:rsidR="005C1E7B">
        <w:rPr>
          <w:rStyle w:val="ECCParagraph"/>
          <w:highlight w:val="yellow"/>
        </w:rPr>
        <w:fldChar w:fldCharType="separate"/>
      </w:r>
      <w:r w:rsidR="004F49F9">
        <w:rPr>
          <w:rStyle w:val="ECCParagraph"/>
        </w:rPr>
        <w:t>8</w:t>
      </w:r>
      <w:r w:rsidR="005C1E7B">
        <w:rPr>
          <w:rStyle w:val="ECCParagraph"/>
          <w:highlight w:val="yellow"/>
        </w:rPr>
        <w:fldChar w:fldCharType="end"/>
      </w:r>
      <w:r w:rsidRPr="00BB41AD">
        <w:rPr>
          <w:rStyle w:val="ECCParagraph"/>
        </w:rPr>
        <w:t>.</w:t>
      </w:r>
    </w:p>
    <w:p w14:paraId="670DF1B3" w14:textId="459A038B" w:rsidR="00BB41AD" w:rsidRPr="00BB41AD" w:rsidRDefault="00BB41AD" w:rsidP="00686BE7">
      <w:r w:rsidRPr="00123AC1">
        <w:t>Finally</w:t>
      </w:r>
      <w:r w:rsidRPr="00BB41AD">
        <w:t xml:space="preserve">, is worth to mention that the conducted calculations were supported by two specific actual measurement campaigns. In the first campaign the transmission attenuation of typical building materials has been evaluated </w:t>
      </w:r>
      <w:r w:rsidRPr="00BB41AD">
        <w:lastRenderedPageBreak/>
        <w:t>in the frequency range 120</w:t>
      </w:r>
      <w:r w:rsidR="00035154">
        <w:t>-</w:t>
      </w:r>
      <w:r w:rsidRPr="00BB41AD">
        <w:t>175 GHz</w:t>
      </w:r>
      <w:r w:rsidRPr="00686BE7">
        <w:rPr>
          <w:rStyle w:val="ECCParagraph"/>
        </w:rPr>
        <w:t xml:space="preserve"> (</w:t>
      </w:r>
      <w:r w:rsidR="00686BE7">
        <w:rPr>
          <w:rStyle w:val="ECCParagraph"/>
        </w:rPr>
        <w:t>see</w:t>
      </w:r>
      <w:r w:rsidR="00AB5727">
        <w:rPr>
          <w:rStyle w:val="ECCParagraph"/>
        </w:rPr>
        <w:t xml:space="preserve"> </w:t>
      </w:r>
      <w:r w:rsidR="00AB5727">
        <w:rPr>
          <w:rStyle w:val="ECCParagraph"/>
        </w:rPr>
        <w:fldChar w:fldCharType="begin"/>
      </w:r>
      <w:r w:rsidR="00AB5727">
        <w:rPr>
          <w:rStyle w:val="ECCParagraph"/>
        </w:rPr>
        <w:instrText xml:space="preserve"> REF _Ref36130414 \r \h </w:instrText>
      </w:r>
      <w:r w:rsidR="00AB5727">
        <w:rPr>
          <w:rStyle w:val="ECCParagraph"/>
        </w:rPr>
      </w:r>
      <w:r w:rsidR="00AB5727">
        <w:rPr>
          <w:rStyle w:val="ECCParagraph"/>
        </w:rPr>
        <w:fldChar w:fldCharType="separate"/>
      </w:r>
      <w:r w:rsidR="0041125F">
        <w:rPr>
          <w:rStyle w:val="ECCParagraph"/>
        </w:rPr>
        <w:t>ANNEX 2</w:t>
      </w:r>
      <w:r w:rsidR="00AB5727">
        <w:rPr>
          <w:rStyle w:val="ECCParagraph"/>
        </w:rPr>
        <w:fldChar w:fldCharType="end"/>
      </w:r>
      <w:r w:rsidR="00686BE7">
        <w:rPr>
          <w:rStyle w:val="ECCParagraph"/>
        </w:rPr>
        <w:t>)</w:t>
      </w:r>
      <w:r w:rsidRPr="00686BE7">
        <w:rPr>
          <w:rStyle w:val="ECCParagraph"/>
        </w:rPr>
        <w:t xml:space="preserve">. </w:t>
      </w:r>
      <w:r w:rsidRPr="00BB41AD">
        <w:t>This was necessary in order to determine reasonable values for the indoor to outdoor attenuation for all applications which are only used indoors, like RDI-S.</w:t>
      </w:r>
    </w:p>
    <w:p w14:paraId="1CFE4C9A" w14:textId="531795B0" w:rsidR="00BB41AD" w:rsidRDefault="00BB41AD" w:rsidP="00BB41AD">
      <w:r w:rsidRPr="00BB41AD">
        <w:t>In the second measurement trial the reflection attenuation of a flat and smooth sand surface in different angles of incidence has been evaluated in the frequency range from 140 GHz up to 330 GHz (</w:t>
      </w:r>
      <w:r w:rsidR="00B93974">
        <w:t>see</w:t>
      </w:r>
      <w:r w:rsidR="00AB5727">
        <w:t xml:space="preserve"> </w:t>
      </w:r>
      <w:r w:rsidR="00AB5727">
        <w:rPr>
          <w:highlight w:val="yellow"/>
        </w:rPr>
        <w:fldChar w:fldCharType="begin"/>
      </w:r>
      <w:r w:rsidR="00AB5727">
        <w:instrText xml:space="preserve"> REF _Ref36028853 \r \h </w:instrText>
      </w:r>
      <w:r w:rsidR="00AB5727">
        <w:rPr>
          <w:highlight w:val="yellow"/>
        </w:rPr>
      </w:r>
      <w:r w:rsidR="00AB5727">
        <w:rPr>
          <w:highlight w:val="yellow"/>
        </w:rPr>
        <w:fldChar w:fldCharType="separate"/>
      </w:r>
      <w:r w:rsidR="0041125F">
        <w:t>ANNEX 3</w:t>
      </w:r>
      <w:r w:rsidR="00AB5727">
        <w:rPr>
          <w:highlight w:val="yellow"/>
        </w:rPr>
        <w:fldChar w:fldCharType="end"/>
      </w:r>
      <w:r w:rsidRPr="00BB41AD">
        <w:t>). The reflection attenuation of this ideal sand surface has been used in the study for level probing radar (LPR) and contour detection radar (CDR) as a worst-case reflection scenario.</w:t>
      </w:r>
    </w:p>
    <w:p w14:paraId="6470B9C1" w14:textId="3200476A" w:rsidR="00E576F8" w:rsidRDefault="00E576F8" w:rsidP="00E576F8">
      <w:r>
        <w:t xml:space="preserve">The general outcome of this Report is summarised in the following </w:t>
      </w:r>
      <w:r>
        <w:fldChar w:fldCharType="begin"/>
      </w:r>
      <w:r>
        <w:instrText xml:space="preserve"> REF _Ref90479762 \h </w:instrText>
      </w:r>
      <w:r>
        <w:fldChar w:fldCharType="separate"/>
      </w:r>
      <w:r w:rsidR="0041125F" w:rsidRPr="00236279">
        <w:t>Figure </w:t>
      </w:r>
      <w:r w:rsidR="0041125F">
        <w:rPr>
          <w:noProof/>
        </w:rPr>
        <w:t>1</w:t>
      </w:r>
      <w:r>
        <w:fldChar w:fldCharType="end"/>
      </w:r>
      <w:r>
        <w:t>.</w:t>
      </w:r>
    </w:p>
    <w:p w14:paraId="3014068C" w14:textId="491C28FA" w:rsidR="00E576F8" w:rsidRDefault="00E576F8" w:rsidP="00BB41AD">
      <w:r w:rsidRPr="00E576F8">
        <w:rPr>
          <w:noProof/>
          <w:lang w:val="de-DE" w:eastAsia="de-DE"/>
        </w:rPr>
        <w:drawing>
          <wp:inline distT="0" distB="0" distL="0" distR="0" wp14:anchorId="044FDDE2" wp14:editId="1A1FBFF7">
            <wp:extent cx="6120765" cy="63157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6315710"/>
                    </a:xfrm>
                    <a:prstGeom prst="rect">
                      <a:avLst/>
                    </a:prstGeom>
                    <a:noFill/>
                    <a:ln>
                      <a:noFill/>
                    </a:ln>
                  </pic:spPr>
                </pic:pic>
              </a:graphicData>
            </a:graphic>
          </wp:inline>
        </w:drawing>
      </w:r>
    </w:p>
    <w:p w14:paraId="511192D0" w14:textId="0FDC8483" w:rsidR="00E576F8" w:rsidRDefault="00E576F8" w:rsidP="00E576F8">
      <w:pPr>
        <w:pStyle w:val="Caption"/>
      </w:pPr>
      <w:bookmarkStart w:id="17" w:name="_Ref90479762"/>
      <w:r w:rsidRPr="00236279">
        <w:t>Figure </w:t>
      </w:r>
      <w:r w:rsidRPr="00E576F8">
        <w:fldChar w:fldCharType="begin"/>
      </w:r>
      <w:r>
        <w:instrText xml:space="preserve"> SEQ Figure \* ARABIC </w:instrText>
      </w:r>
      <w:r w:rsidRPr="00E576F8">
        <w:fldChar w:fldCharType="separate"/>
      </w:r>
      <w:r w:rsidR="004F49F9">
        <w:rPr>
          <w:noProof/>
        </w:rPr>
        <w:t>1</w:t>
      </w:r>
      <w:r w:rsidRPr="00E576F8">
        <w:fldChar w:fldCharType="end"/>
      </w:r>
      <w:bookmarkEnd w:id="17"/>
      <w:r w:rsidRPr="00236279">
        <w:t xml:space="preserve">: </w:t>
      </w:r>
      <w:r>
        <w:t>Compatibility situation between the investigated UWB-applications and all considered Radio Services</w:t>
      </w:r>
    </w:p>
    <w:p w14:paraId="6C01940E" w14:textId="0F290838" w:rsidR="00807F5A" w:rsidRPr="00807F5A" w:rsidRDefault="00807F5A" w:rsidP="00807F5A">
      <w:r w:rsidRPr="00807F5A">
        <w:rPr>
          <w:lang w:val="da-DK"/>
        </w:rPr>
        <w:t>The application “short-range assist and surrounding monitoring for vehicles and autonomous systems” (section</w:t>
      </w:r>
      <w:r w:rsidR="00EB4E57">
        <w:t xml:space="preserve"> </w:t>
      </w:r>
      <w:r w:rsidR="00EB4E57">
        <w:fldChar w:fldCharType="begin"/>
      </w:r>
      <w:r w:rsidR="00EB4E57">
        <w:instrText xml:space="preserve"> REF _Ref122086596 \r \h </w:instrText>
      </w:r>
      <w:r w:rsidR="00EB4E57">
        <w:fldChar w:fldCharType="separate"/>
      </w:r>
      <w:r w:rsidR="004F49F9">
        <w:t>2.2.3</w:t>
      </w:r>
      <w:r w:rsidR="00EB4E57">
        <w:fldChar w:fldCharType="end"/>
      </w:r>
      <w:r w:rsidRPr="00807F5A">
        <w:rPr>
          <w:lang w:val="da-DK"/>
        </w:rPr>
        <w:t>) was studied in the separate ECC Report 351</w:t>
      </w:r>
      <w:r>
        <w:t xml:space="preserve"> </w:t>
      </w:r>
      <w:r w:rsidR="006E572E">
        <w:fldChar w:fldCharType="begin"/>
      </w:r>
      <w:r w:rsidR="006E572E">
        <w:instrText xml:space="preserve"> REF ECCRep351 \w \h </w:instrText>
      </w:r>
      <w:r w:rsidR="006E572E">
        <w:fldChar w:fldCharType="separate"/>
      </w:r>
      <w:r w:rsidR="004F49F9">
        <w:t>[72]</w:t>
      </w:r>
      <w:r w:rsidR="006E572E">
        <w:fldChar w:fldCharType="end"/>
      </w:r>
      <w:r>
        <w:t>.</w:t>
      </w:r>
    </w:p>
    <w:p w14:paraId="62CD6AFD" w14:textId="77777777" w:rsidR="00D70800" w:rsidRDefault="00D70800" w:rsidP="00BB41AD">
      <w:pPr>
        <w:pStyle w:val="Heading2"/>
      </w:pPr>
      <w:bookmarkStart w:id="18" w:name="_Toc84325228"/>
      <w:bookmarkStart w:id="19" w:name="_Toc127346212"/>
      <w:bookmarkStart w:id="20" w:name="_Hlk67409371"/>
      <w:r>
        <w:t>Generic indoor surveillance radar</w:t>
      </w:r>
      <w:bookmarkEnd w:id="18"/>
      <w:bookmarkEnd w:id="19"/>
    </w:p>
    <w:p w14:paraId="7D8E4AD7" w14:textId="0DCDD927" w:rsidR="00214A9F" w:rsidRDefault="00F528BF" w:rsidP="00F528BF">
      <w:r>
        <w:t xml:space="preserve">Generic indoor surveillance radar is </w:t>
      </w:r>
      <w:r w:rsidRPr="00BB41AD">
        <w:t>used for measuring different physical parameters like presence, distance, velocity, or material properties of a target object. The obtained information is further processed and used for</w:t>
      </w:r>
      <w:r>
        <w:t xml:space="preserve"> </w:t>
      </w:r>
      <w:r w:rsidRPr="00BB41AD">
        <w:t>automation purposes</w:t>
      </w:r>
      <w:r>
        <w:t xml:space="preserve"> within the home and building environment (smart home)</w:t>
      </w:r>
      <w:r w:rsidRPr="00BB41AD">
        <w:t>.</w:t>
      </w:r>
      <w:r w:rsidR="00214A9F">
        <w:t xml:space="preserve"> The generic indoor surveillance radar application is intended for private use and has been divided into the two subcategories </w:t>
      </w:r>
      <w:r w:rsidR="009D5FA2">
        <w:t>hand-held</w:t>
      </w:r>
      <w:r w:rsidR="00214A9F">
        <w:t>/mobile and fixed generic indoor use.</w:t>
      </w:r>
    </w:p>
    <w:p w14:paraId="56DA1FA0" w14:textId="77777777" w:rsidR="00F528BF" w:rsidRDefault="00C2621E" w:rsidP="00F528BF">
      <w:r>
        <w:t>It is recommended that a</w:t>
      </w:r>
      <w:r w:rsidR="00F528BF" w:rsidRPr="00BB41AD">
        <w:t xml:space="preserve">ll </w:t>
      </w:r>
      <w:r w:rsidR="00F528BF">
        <w:t xml:space="preserve">fixed </w:t>
      </w:r>
      <w:r w:rsidR="00214A9F">
        <w:t xml:space="preserve">generic </w:t>
      </w:r>
      <w:r w:rsidR="00F528BF">
        <w:t>indoor surveillance radar</w:t>
      </w:r>
      <w:r w:rsidR="00214A9F">
        <w:t xml:space="preserve">s </w:t>
      </w:r>
      <w:r w:rsidR="00F528BF">
        <w:t>should</w:t>
      </w:r>
      <w:r w:rsidR="00F528BF" w:rsidRPr="00BB41AD">
        <w:t xml:space="preserve"> comply with the following </w:t>
      </w:r>
      <w:r w:rsidR="00F528BF">
        <w:t>(</w:t>
      </w:r>
      <w:r w:rsidR="00F528BF" w:rsidRPr="00BB41AD">
        <w:t>installation</w:t>
      </w:r>
      <w:r w:rsidR="00F528BF">
        <w:t>)</w:t>
      </w:r>
      <w:r w:rsidR="00F528BF" w:rsidRPr="00BB41AD">
        <w:t xml:space="preserve"> requirements:</w:t>
      </w:r>
    </w:p>
    <w:p w14:paraId="08FC3158" w14:textId="2C6D69B2" w:rsidR="005E5875" w:rsidRDefault="005E5875" w:rsidP="00F528BF">
      <w:pPr>
        <w:pStyle w:val="ECCBulletsLv1"/>
      </w:pPr>
      <w:r>
        <w:t>Fixed generic indoor surveillance radars shall only be installed and operated inside buildings</w:t>
      </w:r>
      <w:r w:rsidR="00936361">
        <w:t>;</w:t>
      </w:r>
    </w:p>
    <w:p w14:paraId="4DFDA5E1" w14:textId="7C7C95C5" w:rsidR="00F528BF" w:rsidRDefault="005E5875" w:rsidP="00F528BF">
      <w:pPr>
        <w:pStyle w:val="ECCBulletsLv1"/>
      </w:pPr>
      <w:r>
        <w:t>Users and i</w:t>
      </w:r>
      <w:r w:rsidRPr="00E2283A">
        <w:t>nstallers have to ensure</w:t>
      </w:r>
      <w:r w:rsidR="00F528BF">
        <w:t xml:space="preserve"> </w:t>
      </w:r>
      <w:r w:rsidR="00F528BF" w:rsidRPr="00E3375B">
        <w:t>that</w:t>
      </w:r>
      <w:r w:rsidR="00F528BF">
        <w:t xml:space="preserve"> </w:t>
      </w:r>
      <w:r>
        <w:t xml:space="preserve">fixed generic indoor surveillance radars, although installed inside a building, do not </w:t>
      </w:r>
      <w:r w:rsidR="00F528BF" w:rsidRPr="00E3375B">
        <w:t xml:space="preserve">perform a function outside the building structure, such as </w:t>
      </w:r>
      <w:r>
        <w:t xml:space="preserve">for example </w:t>
      </w:r>
      <w:r w:rsidR="00F528BF" w:rsidRPr="00E3375B">
        <w:t xml:space="preserve">the detection of persons outside </w:t>
      </w:r>
      <w:r>
        <w:t xml:space="preserve">the </w:t>
      </w:r>
      <w:r w:rsidR="00F528BF" w:rsidRPr="00E3375B">
        <w:t>building</w:t>
      </w:r>
      <w:r>
        <w:t xml:space="preserve"> (e.g. through wall imaging)</w:t>
      </w:r>
      <w:r w:rsidR="00936361">
        <w:t>;</w:t>
      </w:r>
    </w:p>
    <w:p w14:paraId="16D18953" w14:textId="77777777" w:rsidR="005E5875" w:rsidRDefault="005E5875" w:rsidP="005E5875">
      <w:pPr>
        <w:pStyle w:val="ECCBulletsLv1"/>
      </w:pPr>
      <w:r w:rsidRPr="00BB41AD">
        <w:t xml:space="preserve">The provider is required to inform the users and installers of </w:t>
      </w:r>
      <w:r>
        <w:t xml:space="preserve">fixed generic indoor surveillance </w:t>
      </w:r>
      <w:r w:rsidRPr="00BB41AD">
        <w:t>equipment about the installation requirements and the additional special mounting instructions</w:t>
      </w:r>
      <w:r>
        <w:t>.</w:t>
      </w:r>
    </w:p>
    <w:p w14:paraId="7F8DEDCB" w14:textId="77777777" w:rsidR="00F528BF" w:rsidRDefault="00F528BF" w:rsidP="00F528BF">
      <w:r>
        <w:t xml:space="preserve">In addition, the following antenna requirement is </w:t>
      </w:r>
      <w:r w:rsidR="00C2621E">
        <w:t>recommended</w:t>
      </w:r>
      <w:r>
        <w:t>:</w:t>
      </w:r>
    </w:p>
    <w:p w14:paraId="02E8913E" w14:textId="77777777" w:rsidR="00F528BF" w:rsidRDefault="00F528BF" w:rsidP="00F528BF">
      <w:pPr>
        <w:pStyle w:val="ECCBulletsLv1"/>
      </w:pPr>
      <w:r w:rsidRPr="00D827F6">
        <w:t xml:space="preserve">For </w:t>
      </w:r>
      <w:r w:rsidRPr="00F528BF">
        <w:t>fixed</w:t>
      </w:r>
      <w:r w:rsidR="00E53C45">
        <w:t xml:space="preserve"> generic</w:t>
      </w:r>
      <w:r w:rsidRPr="00F528BF">
        <w:t xml:space="preserve"> indoor surveillance radar</w:t>
      </w:r>
      <w:r w:rsidR="00E53C45">
        <w:t>s</w:t>
      </w:r>
      <w:r w:rsidRPr="00F528BF">
        <w:t xml:space="preserve">, the </w:t>
      </w:r>
      <w:r w:rsidR="008F113C">
        <w:t>mean e.i.r.p.</w:t>
      </w:r>
      <w:r w:rsidRPr="00F528BF">
        <w:t xml:space="preserve"> above 0</w:t>
      </w:r>
      <w:r w:rsidR="009F7700">
        <w:t>°</w:t>
      </w:r>
      <w:r w:rsidRPr="00F528BF">
        <w:t xml:space="preserve"> elevation shall be </w:t>
      </w:r>
      <w:r w:rsidR="007B4984">
        <w:t>limited to 12 dBm (</w:t>
      </w:r>
      <w:r w:rsidRPr="00F528BF">
        <w:t>8</w:t>
      </w:r>
      <w:r w:rsidR="005E5875">
        <w:t> </w:t>
      </w:r>
      <w:r w:rsidRPr="00F528BF">
        <w:t>dB below the max</w:t>
      </w:r>
      <w:r w:rsidR="005E5875">
        <w:t>imum</w:t>
      </w:r>
      <w:r w:rsidRPr="00F528BF">
        <w:t xml:space="preserve"> mean e.i.r.p. of 20</w:t>
      </w:r>
      <w:r w:rsidR="005E5875">
        <w:t> </w:t>
      </w:r>
      <w:r w:rsidRPr="00F528BF">
        <w:t>dBm</w:t>
      </w:r>
      <w:r w:rsidR="007B4984">
        <w:t>)</w:t>
      </w:r>
      <w:r w:rsidRPr="00F528BF">
        <w:t>.</w:t>
      </w:r>
    </w:p>
    <w:p w14:paraId="2F189AD1" w14:textId="5F39AAC2" w:rsidR="00F55F3A" w:rsidRPr="00F55F3A" w:rsidRDefault="00157C3F" w:rsidP="00F55F3A">
      <w:r>
        <w:fldChar w:fldCharType="begin"/>
      </w:r>
      <w:r>
        <w:instrText xml:space="preserve"> REF _Ref67423021 \h </w:instrText>
      </w:r>
      <w:r>
        <w:fldChar w:fldCharType="separate"/>
      </w:r>
      <w:r w:rsidR="0041125F" w:rsidRPr="00BB41AD">
        <w:t>Table </w:t>
      </w:r>
      <w:r w:rsidR="0041125F">
        <w:rPr>
          <w:noProof/>
        </w:rPr>
        <w:t>1</w:t>
      </w:r>
      <w:r>
        <w:fldChar w:fldCharType="end"/>
      </w:r>
      <w:r w:rsidR="00F55F3A" w:rsidRPr="00F55F3A">
        <w:t xml:space="preserve"> and </w:t>
      </w:r>
      <w:r w:rsidR="00943E30">
        <w:fldChar w:fldCharType="begin"/>
      </w:r>
      <w:r w:rsidR="00943E30">
        <w:instrText xml:space="preserve"> REF _Ref67424853 \h </w:instrText>
      </w:r>
      <w:r w:rsidR="00943E30">
        <w:fldChar w:fldCharType="separate"/>
      </w:r>
      <w:r w:rsidR="0041125F" w:rsidRPr="00BB41AD">
        <w:t>Table </w:t>
      </w:r>
      <w:r w:rsidR="0041125F">
        <w:rPr>
          <w:noProof/>
        </w:rPr>
        <w:t>2</w:t>
      </w:r>
      <w:r w:rsidR="00943E30">
        <w:fldChar w:fldCharType="end"/>
      </w:r>
      <w:r>
        <w:t xml:space="preserve"> </w:t>
      </w:r>
      <w:r w:rsidR="00F55F3A" w:rsidRPr="00F55F3A">
        <w:t xml:space="preserve">show the proposed technical limitations under which the compatibility with the investigated Radio Services can be </w:t>
      </w:r>
      <w:r w:rsidR="00907A5D">
        <w:t>achieved</w:t>
      </w:r>
      <w:r w:rsidR="00F55F3A" w:rsidRPr="00F55F3A">
        <w:t>.</w:t>
      </w:r>
    </w:p>
    <w:p w14:paraId="5DF80C9B" w14:textId="2FD352C7" w:rsidR="00F55F3A" w:rsidRPr="00F55F3A" w:rsidRDefault="00E53C45" w:rsidP="00F55F3A">
      <w:pPr>
        <w:pStyle w:val="Caption"/>
      </w:pPr>
      <w:bookmarkStart w:id="21" w:name="_Ref67423021"/>
      <w:r w:rsidRPr="00BB41AD">
        <w:t>Table </w:t>
      </w:r>
      <w:r>
        <w:fldChar w:fldCharType="begin"/>
      </w:r>
      <w:r>
        <w:instrText>SEQ Table \* ARABIC</w:instrText>
      </w:r>
      <w:r>
        <w:fldChar w:fldCharType="separate"/>
      </w:r>
      <w:r w:rsidR="004F49F9">
        <w:rPr>
          <w:noProof/>
        </w:rPr>
        <w:t>1</w:t>
      </w:r>
      <w:r>
        <w:fldChar w:fldCharType="end"/>
      </w:r>
      <w:bookmarkEnd w:id="21"/>
      <w:r>
        <w:t xml:space="preserve">: </w:t>
      </w:r>
      <w:r w:rsidR="00F55F3A" w:rsidRPr="00F55F3A">
        <w:t xml:space="preserve">Proposed technical limitations for </w:t>
      </w:r>
      <w:r w:rsidR="009D5FA2">
        <w:t>hand-held</w:t>
      </w:r>
      <w:r w:rsidR="00F55F3A" w:rsidRPr="00F55F3A">
        <w:t>/mobile</w:t>
      </w:r>
      <w:r>
        <w:t xml:space="preserve"> </w:t>
      </w:r>
      <w:r w:rsidRPr="00F55F3A">
        <w:t>generic</w:t>
      </w:r>
      <w:r w:rsidR="00F55F3A" w:rsidRPr="00F55F3A">
        <w:t xml:space="preserve"> indoor surveil</w:t>
      </w:r>
      <w:r w:rsidR="00F55F3A">
        <w:t>l</w:t>
      </w:r>
      <w:r w:rsidR="00F55F3A" w:rsidRPr="00F55F3A">
        <w:t xml:space="preserve">ance devices in </w:t>
      </w:r>
      <w:r w:rsidR="00AA0E73">
        <w:t>the</w:t>
      </w:r>
      <w:r w:rsidR="00AA0E73" w:rsidRPr="00F55F3A">
        <w:t xml:space="preserve"> </w:t>
      </w:r>
      <w:r w:rsidR="00F55F3A" w:rsidRPr="00F55F3A">
        <w:t>candidate bands</w:t>
      </w:r>
    </w:p>
    <w:tbl>
      <w:tblPr>
        <w:tblStyle w:val="ECCTable-redheader"/>
        <w:tblW w:w="9766" w:type="dxa"/>
        <w:tblInd w:w="0" w:type="dxa"/>
        <w:tblLook w:val="04A0" w:firstRow="1" w:lastRow="0" w:firstColumn="1" w:lastColumn="0" w:noHBand="0" w:noVBand="1"/>
      </w:tblPr>
      <w:tblGrid>
        <w:gridCol w:w="1183"/>
        <w:gridCol w:w="1139"/>
        <w:gridCol w:w="1616"/>
        <w:gridCol w:w="1139"/>
        <w:gridCol w:w="2431"/>
        <w:gridCol w:w="2258"/>
      </w:tblGrid>
      <w:tr w:rsidR="009D5FA2" w:rsidRPr="00566944" w14:paraId="5B56DA83" w14:textId="77777777" w:rsidTr="00E70E36">
        <w:trPr>
          <w:cnfStyle w:val="100000000000" w:firstRow="1" w:lastRow="0" w:firstColumn="0" w:lastColumn="0" w:oddVBand="0" w:evenVBand="0" w:oddHBand="0" w:evenHBand="0" w:firstRowFirstColumn="0" w:firstRowLastColumn="0" w:lastRowFirstColumn="0" w:lastRowLastColumn="0"/>
        </w:trPr>
        <w:tc>
          <w:tcPr>
            <w:tcW w:w="1183" w:type="dxa"/>
          </w:tcPr>
          <w:p w14:paraId="10088E7F" w14:textId="77777777" w:rsidR="00F55F3A" w:rsidRPr="00F55F3A" w:rsidRDefault="00F55F3A" w:rsidP="00031A36">
            <w:pPr>
              <w:pStyle w:val="ECCTableHeaderwhitefont"/>
            </w:pPr>
            <w:r>
              <w:t xml:space="preserve">Candidate </w:t>
            </w:r>
            <w:r w:rsidRPr="00F55F3A">
              <w:t>frequency band</w:t>
            </w:r>
          </w:p>
        </w:tc>
        <w:tc>
          <w:tcPr>
            <w:tcW w:w="1139" w:type="dxa"/>
          </w:tcPr>
          <w:p w14:paraId="334F5F1A" w14:textId="77777777" w:rsidR="00F55F3A" w:rsidRPr="00F55F3A" w:rsidRDefault="00F55F3A" w:rsidP="00876039">
            <w:pPr>
              <w:pStyle w:val="ECCTableHeaderwhitefont"/>
            </w:pPr>
            <w:r>
              <w:t xml:space="preserve">Maximum mean </w:t>
            </w:r>
            <w:r w:rsidRPr="00F55F3A">
              <w:t>e.i.r.p (Note</w:t>
            </w:r>
            <w:r w:rsidR="00157C3F">
              <w:t> </w:t>
            </w:r>
            <w:r w:rsidRPr="00F55F3A">
              <w:t>1)</w:t>
            </w:r>
          </w:p>
        </w:tc>
        <w:tc>
          <w:tcPr>
            <w:tcW w:w="1616" w:type="dxa"/>
          </w:tcPr>
          <w:p w14:paraId="07002E6F" w14:textId="77777777" w:rsidR="00F55F3A" w:rsidRPr="00F55F3A" w:rsidRDefault="00F55F3A" w:rsidP="00876039">
            <w:pPr>
              <w:pStyle w:val="ECCTableHeaderwhitefont"/>
            </w:pPr>
            <w:r>
              <w:t>Max</w:t>
            </w:r>
            <w:r w:rsidRPr="00F55F3A">
              <w:t>imum mean e.i.r.p. spectral density (Note</w:t>
            </w:r>
            <w:r w:rsidR="00157C3F">
              <w:t> </w:t>
            </w:r>
            <w:r w:rsidRPr="00F55F3A">
              <w:t>2)</w:t>
            </w:r>
          </w:p>
        </w:tc>
        <w:tc>
          <w:tcPr>
            <w:tcW w:w="1139" w:type="dxa"/>
          </w:tcPr>
          <w:p w14:paraId="2D01FE77" w14:textId="77777777" w:rsidR="00F55F3A" w:rsidRPr="00F55F3A" w:rsidRDefault="00F55F3A" w:rsidP="00876039">
            <w:pPr>
              <w:pStyle w:val="ECCTableHeaderwhitefont"/>
            </w:pPr>
            <w:r>
              <w:t xml:space="preserve">Maximum peak e.i.r.p </w:t>
            </w:r>
            <w:r w:rsidRPr="00F55F3A">
              <w:t>(</w:t>
            </w:r>
            <w:r w:rsidR="0092380C">
              <w:t>Note 5</w:t>
            </w:r>
            <w:r w:rsidRPr="00F55F3A">
              <w:t>)</w:t>
            </w:r>
          </w:p>
        </w:tc>
        <w:tc>
          <w:tcPr>
            <w:tcW w:w="2431" w:type="dxa"/>
          </w:tcPr>
          <w:p w14:paraId="408BE02A" w14:textId="77777777" w:rsidR="00F55F3A" w:rsidRPr="00F55F3A" w:rsidRDefault="00F55F3A" w:rsidP="00876039">
            <w:pPr>
              <w:pStyle w:val="ECCTableHeaderwhitefont"/>
            </w:pPr>
            <w:r>
              <w:t>Spectrum access and mitigation requirements</w:t>
            </w:r>
            <w:r w:rsidRPr="00F55F3A">
              <w:t xml:space="preserve"> (Note 3)</w:t>
            </w:r>
          </w:p>
        </w:tc>
        <w:tc>
          <w:tcPr>
            <w:tcW w:w="2258" w:type="dxa"/>
          </w:tcPr>
          <w:p w14:paraId="5123894B" w14:textId="77777777" w:rsidR="00F55F3A" w:rsidRPr="00F55F3A" w:rsidRDefault="00F55F3A" w:rsidP="00876039">
            <w:pPr>
              <w:pStyle w:val="ECCTableHeaderwhitefont"/>
            </w:pPr>
            <w:r>
              <w:t xml:space="preserve">Minimum </w:t>
            </w:r>
            <w:r w:rsidR="003E0FA9">
              <w:t>unwanted emissions</w:t>
            </w:r>
            <w:r>
              <w:t xml:space="preserve"> attenuation (Note </w:t>
            </w:r>
            <w:r w:rsidRPr="00F55F3A">
              <w:t>4)</w:t>
            </w:r>
          </w:p>
        </w:tc>
      </w:tr>
      <w:tr w:rsidR="00157C3F" w:rsidRPr="00C53FB5" w14:paraId="0EB1D5D4" w14:textId="77777777" w:rsidTr="00E70E36">
        <w:tc>
          <w:tcPr>
            <w:tcW w:w="1183" w:type="dxa"/>
          </w:tcPr>
          <w:p w14:paraId="2E09AC62" w14:textId="77777777" w:rsidR="00F55F3A" w:rsidRPr="00F55F3A" w:rsidRDefault="00F55F3A" w:rsidP="001B1AC5">
            <w:pPr>
              <w:pStyle w:val="ECCTabletext"/>
              <w:jc w:val="left"/>
            </w:pPr>
            <w:r>
              <w:t>122</w:t>
            </w:r>
            <w:r w:rsidR="00CF4994">
              <w:t>.2</w:t>
            </w:r>
            <w:r>
              <w:t>5 to 130 GHz</w:t>
            </w:r>
          </w:p>
        </w:tc>
        <w:tc>
          <w:tcPr>
            <w:tcW w:w="1139" w:type="dxa"/>
          </w:tcPr>
          <w:p w14:paraId="4426E872" w14:textId="77777777" w:rsidR="00F55F3A" w:rsidRPr="00F55F3A" w:rsidRDefault="00F55F3A" w:rsidP="001B1AC5">
            <w:pPr>
              <w:pStyle w:val="ECCTabletext"/>
              <w:jc w:val="left"/>
            </w:pPr>
            <w:r>
              <w:t>10</w:t>
            </w:r>
            <w:r w:rsidR="00157C3F">
              <w:t> </w:t>
            </w:r>
            <w:r>
              <w:t>dBm</w:t>
            </w:r>
          </w:p>
        </w:tc>
        <w:tc>
          <w:tcPr>
            <w:tcW w:w="1616" w:type="dxa"/>
          </w:tcPr>
          <w:p w14:paraId="23B023C6" w14:textId="77777777" w:rsidR="00F55F3A" w:rsidRPr="00F55F3A" w:rsidRDefault="00F55F3A" w:rsidP="001B1AC5">
            <w:pPr>
              <w:pStyle w:val="ECCTabletext"/>
              <w:jc w:val="left"/>
            </w:pPr>
            <w:r w:rsidRPr="001462D5">
              <w:t>-</w:t>
            </w:r>
            <w:r w:rsidRPr="00F55F3A">
              <w:t>20 dBm/MHz</w:t>
            </w:r>
          </w:p>
        </w:tc>
        <w:tc>
          <w:tcPr>
            <w:tcW w:w="1139" w:type="dxa"/>
          </w:tcPr>
          <w:p w14:paraId="37592BE9" w14:textId="77777777" w:rsidR="00F55F3A" w:rsidRPr="00F55F3A" w:rsidRDefault="00F55F3A" w:rsidP="001B1AC5">
            <w:pPr>
              <w:pStyle w:val="ECCTabletext"/>
              <w:jc w:val="left"/>
              <w:rPr>
                <w:rStyle w:val="ECCParagraph"/>
              </w:rPr>
            </w:pPr>
            <w:r w:rsidRPr="00F55F3A">
              <w:rPr>
                <w:rStyle w:val="ECCParagraph"/>
              </w:rPr>
              <w:t>20</w:t>
            </w:r>
            <w:r w:rsidR="00157C3F">
              <w:rPr>
                <w:rStyle w:val="ECCParagraph"/>
              </w:rPr>
              <w:t> </w:t>
            </w:r>
            <w:r w:rsidRPr="00F55F3A">
              <w:rPr>
                <w:rStyle w:val="ECCParagraph"/>
              </w:rPr>
              <w:t>dBm</w:t>
            </w:r>
          </w:p>
        </w:tc>
        <w:tc>
          <w:tcPr>
            <w:tcW w:w="2431" w:type="dxa"/>
          </w:tcPr>
          <w:p w14:paraId="72F66055" w14:textId="0E4418C7" w:rsidR="00F55F3A" w:rsidRPr="008A0674" w:rsidRDefault="00F55F3A" w:rsidP="001B1AC5">
            <w:pPr>
              <w:pStyle w:val="ECCTabletext"/>
              <w:jc w:val="left"/>
            </w:pPr>
            <w:r w:rsidRPr="008A0674">
              <w:rPr>
                <w:rStyle w:val="ECCParagraph"/>
              </w:rPr>
              <w:t>∑T</w:t>
            </w:r>
            <w:r w:rsidRPr="008A0674">
              <w:rPr>
                <w:rStyle w:val="ECCParagraph"/>
                <w:vertAlign w:val="subscript"/>
              </w:rPr>
              <w:t>meas</w:t>
            </w:r>
            <w:r w:rsidRPr="008A0674">
              <w:rPr>
                <w:rStyle w:val="ECCParagraph"/>
              </w:rPr>
              <w:t xml:space="preserve"> ≤ 400</w:t>
            </w:r>
            <w:r w:rsidR="00E502C6" w:rsidRPr="008A0674">
              <w:rPr>
                <w:rStyle w:val="ECCParagraph"/>
              </w:rPr>
              <w:t> </w:t>
            </w:r>
            <w:r w:rsidRPr="008A0674">
              <w:rPr>
                <w:rStyle w:val="ECCParagraph"/>
              </w:rPr>
              <w:t>ms within T</w:t>
            </w:r>
            <w:r w:rsidRPr="007C3A48">
              <w:rPr>
                <w:rStyle w:val="ECCParagraph"/>
                <w:vertAlign w:val="subscript"/>
              </w:rPr>
              <w:t>obs</w:t>
            </w:r>
            <w:r w:rsidRPr="008A0674">
              <w:rPr>
                <w:rStyle w:val="ECCParagraph"/>
              </w:rPr>
              <w:t xml:space="preserve"> = 1</w:t>
            </w:r>
            <w:r w:rsidR="00E502C6" w:rsidRPr="008A0674">
              <w:rPr>
                <w:rStyle w:val="ECCParagraph"/>
              </w:rPr>
              <w:t> </w:t>
            </w:r>
            <w:r w:rsidRPr="008A0674">
              <w:rPr>
                <w:rStyle w:val="ECCParagraph"/>
              </w:rPr>
              <w:t>s</w:t>
            </w:r>
            <w:r w:rsidR="00213722" w:rsidRPr="008A0674">
              <w:rPr>
                <w:rStyle w:val="ECCParagraph"/>
              </w:rPr>
              <w:t xml:space="preserve"> is equivalent</w:t>
            </w:r>
            <w:r w:rsidRPr="008A0674">
              <w:rPr>
                <w:rStyle w:val="ECCParagraph"/>
              </w:rPr>
              <w:t xml:space="preserve"> </w:t>
            </w:r>
            <w:r w:rsidR="00E502C6" w:rsidRPr="008A0674">
              <w:rPr>
                <w:rStyle w:val="ECCParagraph"/>
              </w:rPr>
              <w:t xml:space="preserve">to a maximum duty cycle of </w:t>
            </w:r>
            <w:r w:rsidRPr="008A0674">
              <w:rPr>
                <w:rStyle w:val="ECCParagraph"/>
              </w:rPr>
              <w:t>40</w:t>
            </w:r>
            <w:r w:rsidR="00E91B50" w:rsidRPr="008A0674">
              <w:rPr>
                <w:rStyle w:val="ECCParagraph"/>
              </w:rPr>
              <w:t>%</w:t>
            </w:r>
          </w:p>
        </w:tc>
        <w:tc>
          <w:tcPr>
            <w:tcW w:w="2258" w:type="dxa"/>
          </w:tcPr>
          <w:p w14:paraId="70DAA326" w14:textId="77777777" w:rsidR="00F55F3A" w:rsidRPr="00F55F3A" w:rsidRDefault="00F55F3A" w:rsidP="001B1AC5">
            <w:pPr>
              <w:pStyle w:val="ECCTabletext"/>
              <w:jc w:val="left"/>
            </w:pPr>
            <w:r w:rsidRPr="00497690">
              <w:t>20 dB</w:t>
            </w:r>
          </w:p>
        </w:tc>
      </w:tr>
      <w:tr w:rsidR="00157C3F" w:rsidRPr="00C53FB5" w14:paraId="33D7BC69" w14:textId="77777777" w:rsidTr="00E70E36">
        <w:tc>
          <w:tcPr>
            <w:tcW w:w="1183" w:type="dxa"/>
          </w:tcPr>
          <w:p w14:paraId="5764E494" w14:textId="77777777" w:rsidR="00F55F3A" w:rsidRPr="00F55F3A" w:rsidRDefault="00F55F3A" w:rsidP="001B1AC5">
            <w:pPr>
              <w:pStyle w:val="ECCTabletext"/>
              <w:jc w:val="left"/>
            </w:pPr>
            <w:r>
              <w:t>134 to 148</w:t>
            </w:r>
            <w:r w:rsidR="00CF4994">
              <w:t>.5</w:t>
            </w:r>
            <w:r>
              <w:t> GHz</w:t>
            </w:r>
          </w:p>
        </w:tc>
        <w:tc>
          <w:tcPr>
            <w:tcW w:w="1139" w:type="dxa"/>
          </w:tcPr>
          <w:p w14:paraId="54A1F54E" w14:textId="77777777" w:rsidR="00F55F3A" w:rsidRPr="00F55F3A" w:rsidRDefault="00F55F3A" w:rsidP="001B1AC5">
            <w:pPr>
              <w:pStyle w:val="ECCTabletext"/>
              <w:jc w:val="left"/>
            </w:pPr>
            <w:r>
              <w:t>10</w:t>
            </w:r>
            <w:r w:rsidR="00157C3F">
              <w:t> </w:t>
            </w:r>
            <w:r w:rsidRPr="00F55F3A">
              <w:t>dBm</w:t>
            </w:r>
          </w:p>
        </w:tc>
        <w:tc>
          <w:tcPr>
            <w:tcW w:w="1616" w:type="dxa"/>
          </w:tcPr>
          <w:p w14:paraId="644C8E9F" w14:textId="77777777" w:rsidR="00F55F3A" w:rsidRPr="00F55F3A" w:rsidRDefault="00F55F3A" w:rsidP="001B1AC5">
            <w:pPr>
              <w:pStyle w:val="ECCTabletext"/>
              <w:jc w:val="left"/>
            </w:pPr>
            <w:r w:rsidRPr="001462D5">
              <w:t>-</w:t>
            </w:r>
            <w:r w:rsidRPr="00F55F3A">
              <w:t>20 dBm/MHz</w:t>
            </w:r>
          </w:p>
        </w:tc>
        <w:tc>
          <w:tcPr>
            <w:tcW w:w="1139" w:type="dxa"/>
          </w:tcPr>
          <w:p w14:paraId="68084912" w14:textId="77777777" w:rsidR="00F55F3A" w:rsidRPr="00F55F3A" w:rsidRDefault="00F55F3A" w:rsidP="001B1AC5">
            <w:pPr>
              <w:pStyle w:val="ECCTabletext"/>
              <w:jc w:val="left"/>
              <w:rPr>
                <w:rStyle w:val="ECCParagraph"/>
              </w:rPr>
            </w:pPr>
            <w:r w:rsidRPr="00F55F3A">
              <w:rPr>
                <w:rStyle w:val="ECCParagraph"/>
              </w:rPr>
              <w:t>20</w:t>
            </w:r>
            <w:r w:rsidR="00157C3F">
              <w:rPr>
                <w:rStyle w:val="ECCParagraph"/>
              </w:rPr>
              <w:t> </w:t>
            </w:r>
            <w:r w:rsidRPr="00F55F3A">
              <w:rPr>
                <w:rStyle w:val="ECCParagraph"/>
              </w:rPr>
              <w:t>dBm</w:t>
            </w:r>
          </w:p>
        </w:tc>
        <w:tc>
          <w:tcPr>
            <w:tcW w:w="2431" w:type="dxa"/>
          </w:tcPr>
          <w:p w14:paraId="20E8132E" w14:textId="6577329A" w:rsidR="00F55F3A" w:rsidRPr="00F55F3A" w:rsidRDefault="00E502C6" w:rsidP="001B1AC5">
            <w:pPr>
              <w:pStyle w:val="ECCTabletext"/>
              <w:jc w:val="left"/>
            </w:pPr>
            <w:r w:rsidRPr="00F55F3A">
              <w:rPr>
                <w:rStyle w:val="ECCParagraph"/>
              </w:rPr>
              <w:t>∑</w:t>
            </w:r>
            <w:r w:rsidRPr="00E502C6">
              <w:rPr>
                <w:rStyle w:val="ECCParagraph"/>
              </w:rPr>
              <w:t>T</w:t>
            </w:r>
            <w:r w:rsidRPr="007C3A48">
              <w:rPr>
                <w:rStyle w:val="ECCParagraph"/>
                <w:vertAlign w:val="subscript"/>
              </w:rPr>
              <w:t>meas</w:t>
            </w:r>
            <w:r w:rsidRPr="00E502C6">
              <w:rPr>
                <w:rStyle w:val="ECCParagraph"/>
              </w:rPr>
              <w:t xml:space="preserve"> ≤ 400 ms within T</w:t>
            </w:r>
            <w:r w:rsidRPr="007C3A48">
              <w:rPr>
                <w:rStyle w:val="ECCParagraph"/>
                <w:vertAlign w:val="subscript"/>
              </w:rPr>
              <w:t>obs</w:t>
            </w:r>
            <w:r w:rsidRPr="00E502C6">
              <w:rPr>
                <w:rStyle w:val="ECCParagraph"/>
              </w:rPr>
              <w:t xml:space="preserve"> = 1 s</w:t>
            </w:r>
            <w:r w:rsidR="00213722">
              <w:rPr>
                <w:rStyle w:val="ECCParagraph"/>
              </w:rPr>
              <w:t xml:space="preserve"> is equivalent</w:t>
            </w:r>
            <w:r w:rsidRPr="00F55F3A">
              <w:rPr>
                <w:rStyle w:val="ECCParagraph"/>
              </w:rPr>
              <w:t xml:space="preserve"> </w:t>
            </w:r>
            <w:r w:rsidRPr="00E502C6">
              <w:rPr>
                <w:rStyle w:val="ECCParagraph"/>
              </w:rPr>
              <w:t>to a maximum duty cycle of 40</w:t>
            </w:r>
            <w:r w:rsidR="00E91B50">
              <w:rPr>
                <w:rStyle w:val="ECCParagraph"/>
              </w:rPr>
              <w:t>%</w:t>
            </w:r>
          </w:p>
        </w:tc>
        <w:tc>
          <w:tcPr>
            <w:tcW w:w="2258" w:type="dxa"/>
          </w:tcPr>
          <w:p w14:paraId="023484CF" w14:textId="77777777" w:rsidR="00F55F3A" w:rsidRPr="00F55F3A" w:rsidRDefault="00F55F3A" w:rsidP="001B1AC5">
            <w:pPr>
              <w:pStyle w:val="ECCTabletext"/>
              <w:jc w:val="left"/>
            </w:pPr>
            <w:r>
              <w:t>20 dB</w:t>
            </w:r>
          </w:p>
        </w:tc>
      </w:tr>
      <w:tr w:rsidR="00BF4A4B" w:rsidRPr="00C53FB5" w14:paraId="68DA4606" w14:textId="77777777" w:rsidTr="007C3A48">
        <w:tc>
          <w:tcPr>
            <w:tcW w:w="9766" w:type="dxa"/>
            <w:gridSpan w:val="6"/>
          </w:tcPr>
          <w:p w14:paraId="7663DF5C" w14:textId="1F4987E9" w:rsidR="00BF4A4B" w:rsidRPr="00BF4A4B" w:rsidRDefault="00BF4A4B" w:rsidP="00464AE0">
            <w:pPr>
              <w:pStyle w:val="ECCTablenote"/>
            </w:pPr>
            <w:r>
              <w:t xml:space="preserve">Note 1: Maximum mean e.i.r.p </w:t>
            </w:r>
            <w:r w:rsidRPr="00BF4A4B">
              <w:t>within the OFR (see Note 4) and during T</w:t>
            </w:r>
            <w:r w:rsidRPr="007C3A48">
              <w:rPr>
                <w:vertAlign w:val="subscript"/>
              </w:rPr>
              <w:t>meas</w:t>
            </w:r>
            <w:r w:rsidRPr="00BF4A4B">
              <w:t xml:space="preserve"> (time when transmission is on,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w:t>
            </w:r>
          </w:p>
          <w:p w14:paraId="707CCDBF" w14:textId="77777777" w:rsidR="00BF4A4B" w:rsidRPr="00BF4A4B" w:rsidRDefault="00BF4A4B" w:rsidP="00464AE0">
            <w:pPr>
              <w:pStyle w:val="ECCTablenote"/>
            </w:pPr>
            <w:r>
              <w:t>Note 2: These limits should be measured with a</w:t>
            </w:r>
            <w:r w:rsidRPr="00BF4A4B">
              <w:t>n RMS detector and averaging time of 1 ms.</w:t>
            </w:r>
          </w:p>
          <w:p w14:paraId="7EEE0601" w14:textId="6EF736B2" w:rsidR="00BF4A4B" w:rsidRPr="00BF4A4B" w:rsidRDefault="00BF4A4B" w:rsidP="00464AE0">
            <w:pPr>
              <w:pStyle w:val="ECCTablenote"/>
            </w:pPr>
            <w:r>
              <w:t xml:space="preserve">Note 3: The maximum duty cycle is not included in the proposed maximum mean e.i.r.p and maximum mean e.i.r.p. spectral density values. </w:t>
            </w:r>
            <w:r w:rsidRPr="00BF4A4B">
              <w:t>Consequently, these values must be reduced by 4 dB when averaging over the observation time T</w:t>
            </w:r>
            <w:r w:rsidRPr="007C3A48">
              <w:rPr>
                <w:vertAlign w:val="subscript"/>
              </w:rPr>
              <w:t>obs</w:t>
            </w:r>
            <w:r w:rsidRPr="00BF4A4B">
              <w:t xml:space="preserve"> = 1 s because of the inclusion of the maximum duty cycle of 40</w:t>
            </w:r>
            <w:r w:rsidR="009D5FA2">
              <w:t>%</w:t>
            </w:r>
            <w:r w:rsidRPr="00BF4A4B">
              <w:t>.</w:t>
            </w:r>
          </w:p>
          <w:p w14:paraId="0C694AAE" w14:textId="5CEE441E" w:rsidR="00BF4A4B" w:rsidRPr="00464AE0" w:rsidRDefault="00BF4A4B" w:rsidP="00464AE0">
            <w:pPr>
              <w:pStyle w:val="ECCTablenote"/>
            </w:pPr>
            <w:r w:rsidRPr="00464AE0">
              <w:t xml:space="preserve">Note 4: </w:t>
            </w:r>
            <w:r w:rsidR="00197774" w:rsidRPr="001B0CBB">
              <w:t xml:space="preserve">The operating frequency range (OFR) is defined over the 20 dB reduction of the </w:t>
            </w:r>
            <w:r w:rsidR="00114106">
              <w:t xml:space="preserve">intentional transmission </w:t>
            </w:r>
            <w:r w:rsidR="00197774" w:rsidRPr="00197774">
              <w:t>(20 dB bandwidth) radiated by the equipment into the air and shall remain in the candidate frequency bands. The unwanted emissions attenuation applies to the frequencies outside the OFR and is to be reduced from the maximum mean e.i.r.p. spectral density and the maximum peak e.i.r.p. The measurement bandwidth for the unwanted emissions domain is 1 MHz.</w:t>
            </w:r>
          </w:p>
          <w:p w14:paraId="3E62A17E" w14:textId="3BB82D55" w:rsidR="0092380C" w:rsidRDefault="0092380C" w:rsidP="00464AE0">
            <w:pPr>
              <w:pStyle w:val="ECCTablenote"/>
            </w:pPr>
            <w:r w:rsidRPr="00464AE0">
              <w:t>Note 5: The max</w:t>
            </w:r>
            <w:r w:rsidR="00114106">
              <w:t>imum</w:t>
            </w:r>
            <w:r w:rsidR="00114106" w:rsidRPr="00464AE0">
              <w:t xml:space="preserve"> </w:t>
            </w:r>
            <w:r w:rsidRPr="00464AE0">
              <w:t>peak e.i.r.p. shall be measured/evaluated in 1 GHz bandwidth.</w:t>
            </w:r>
          </w:p>
        </w:tc>
      </w:tr>
    </w:tbl>
    <w:p w14:paraId="18BD398F" w14:textId="3D24B128" w:rsidR="00B76A98" w:rsidRPr="00B76A98" w:rsidRDefault="00B76A98" w:rsidP="001F27EA">
      <w:pPr>
        <w:pStyle w:val="Caption"/>
        <w:keepNext/>
      </w:pPr>
      <w:bookmarkStart w:id="22" w:name="_Ref67424853"/>
      <w:r w:rsidRPr="00BB41AD">
        <w:t>Table </w:t>
      </w:r>
      <w:r>
        <w:fldChar w:fldCharType="begin"/>
      </w:r>
      <w:r>
        <w:instrText>SEQ Table \* ARABIC</w:instrText>
      </w:r>
      <w:r>
        <w:fldChar w:fldCharType="separate"/>
      </w:r>
      <w:r w:rsidR="004F49F9">
        <w:rPr>
          <w:noProof/>
        </w:rPr>
        <w:t>2</w:t>
      </w:r>
      <w:r>
        <w:fldChar w:fldCharType="end"/>
      </w:r>
      <w:bookmarkEnd w:id="22"/>
      <w:r w:rsidRPr="00B76A98">
        <w:t>: Proposed technical limitations for fixed generic indoor surveil</w:t>
      </w:r>
      <w:r w:rsidR="00995FDF">
        <w:t>l</w:t>
      </w:r>
      <w:r w:rsidRPr="00B76A98">
        <w:t xml:space="preserve">ance devices in </w:t>
      </w:r>
      <w:r w:rsidR="00AA0E73">
        <w:t>the</w:t>
      </w:r>
      <w:r w:rsidR="00AA0E73" w:rsidRPr="00B76A98">
        <w:t xml:space="preserve"> </w:t>
      </w:r>
      <w:r w:rsidRPr="00B76A98">
        <w:t>candidate bands</w:t>
      </w:r>
    </w:p>
    <w:tbl>
      <w:tblPr>
        <w:tblStyle w:val="ECCTable-redheader"/>
        <w:tblW w:w="9776" w:type="dxa"/>
        <w:tblInd w:w="0" w:type="dxa"/>
        <w:tblLook w:val="04A0" w:firstRow="1" w:lastRow="0" w:firstColumn="1" w:lastColumn="0" w:noHBand="0" w:noVBand="1"/>
      </w:tblPr>
      <w:tblGrid>
        <w:gridCol w:w="1412"/>
        <w:gridCol w:w="1276"/>
        <w:gridCol w:w="1841"/>
        <w:gridCol w:w="1139"/>
        <w:gridCol w:w="2814"/>
        <w:gridCol w:w="1294"/>
      </w:tblGrid>
      <w:tr w:rsidR="00DC0F24" w:rsidRPr="00566944" w14:paraId="399684FA" w14:textId="77777777" w:rsidTr="00E70E36">
        <w:trPr>
          <w:cnfStyle w:val="100000000000" w:firstRow="1" w:lastRow="0" w:firstColumn="0" w:lastColumn="0" w:oddVBand="0" w:evenVBand="0" w:oddHBand="0" w:evenHBand="0" w:firstRowFirstColumn="0" w:firstRowLastColumn="0" w:lastRowFirstColumn="0" w:lastRowLastColumn="0"/>
        </w:trPr>
        <w:tc>
          <w:tcPr>
            <w:tcW w:w="1413" w:type="dxa"/>
          </w:tcPr>
          <w:p w14:paraId="2E55F393" w14:textId="77777777" w:rsidR="00B76A98" w:rsidRPr="00B76A98" w:rsidRDefault="00B76A98" w:rsidP="001F27EA">
            <w:pPr>
              <w:keepNext/>
            </w:pPr>
            <w:r>
              <w:t xml:space="preserve">Candidate </w:t>
            </w:r>
            <w:r w:rsidRPr="00B76A98">
              <w:t>frequency band</w:t>
            </w:r>
          </w:p>
        </w:tc>
        <w:tc>
          <w:tcPr>
            <w:tcW w:w="1276" w:type="dxa"/>
          </w:tcPr>
          <w:p w14:paraId="326E12F6" w14:textId="77777777" w:rsidR="00B76A98" w:rsidRPr="00B76A98" w:rsidRDefault="00943E30" w:rsidP="001F27EA">
            <w:pPr>
              <w:keepNext/>
            </w:pPr>
            <w:r>
              <w:t xml:space="preserve">Maximum mean </w:t>
            </w:r>
            <w:r w:rsidRPr="00943E30">
              <w:t>e.i.r.p (Note 1)</w:t>
            </w:r>
          </w:p>
        </w:tc>
        <w:tc>
          <w:tcPr>
            <w:tcW w:w="1842" w:type="dxa"/>
          </w:tcPr>
          <w:p w14:paraId="43DA48ED" w14:textId="77777777" w:rsidR="00B76A98" w:rsidRPr="00B76A98" w:rsidRDefault="00943E30" w:rsidP="001F27EA">
            <w:pPr>
              <w:keepNext/>
            </w:pPr>
            <w:r>
              <w:t>Max</w:t>
            </w:r>
            <w:r w:rsidRPr="00943E30">
              <w:t>imum mean e.i.r.p. spectral density (Note 2)</w:t>
            </w:r>
          </w:p>
        </w:tc>
        <w:tc>
          <w:tcPr>
            <w:tcW w:w="1134" w:type="dxa"/>
          </w:tcPr>
          <w:p w14:paraId="282C729B" w14:textId="77777777" w:rsidR="00B76A98" w:rsidRPr="00B76A98" w:rsidRDefault="00943E30" w:rsidP="001F27EA">
            <w:pPr>
              <w:keepNext/>
            </w:pPr>
            <w:r>
              <w:t xml:space="preserve">Maximum peak </w:t>
            </w:r>
            <w:r w:rsidRPr="00943E30">
              <w:t>e.i.r.p (</w:t>
            </w:r>
            <w:r w:rsidR="00A96536">
              <w:t>Note 5</w:t>
            </w:r>
            <w:r w:rsidRPr="00943E30">
              <w:t>)</w:t>
            </w:r>
          </w:p>
        </w:tc>
        <w:tc>
          <w:tcPr>
            <w:tcW w:w="2817" w:type="dxa"/>
          </w:tcPr>
          <w:p w14:paraId="4C357B3A" w14:textId="77777777" w:rsidR="00B76A98" w:rsidRPr="00B76A98" w:rsidRDefault="00B76A98" w:rsidP="001F27EA">
            <w:pPr>
              <w:keepNext/>
            </w:pPr>
            <w:r>
              <w:t>Spectrum access and mitigation requirements (Note 3)</w:t>
            </w:r>
          </w:p>
        </w:tc>
        <w:tc>
          <w:tcPr>
            <w:tcW w:w="1294" w:type="dxa"/>
          </w:tcPr>
          <w:p w14:paraId="3AC52E85" w14:textId="77777777" w:rsidR="00B76A98" w:rsidRPr="00B76A98" w:rsidRDefault="00B76A98" w:rsidP="001F27EA">
            <w:pPr>
              <w:keepNext/>
            </w:pPr>
            <w:r>
              <w:t xml:space="preserve">Minimum </w:t>
            </w:r>
            <w:r w:rsidR="003E0FA9">
              <w:t>unwanted emissions</w:t>
            </w:r>
            <w:r w:rsidR="003E0FA9" w:rsidRPr="003E0FA9">
              <w:t xml:space="preserve"> </w:t>
            </w:r>
            <w:r>
              <w:t>attenuation (Note 4)</w:t>
            </w:r>
          </w:p>
        </w:tc>
      </w:tr>
      <w:tr w:rsidR="00DC0F24" w:rsidRPr="00C53FB5" w14:paraId="2EC956B1" w14:textId="77777777" w:rsidTr="00E70E36">
        <w:tc>
          <w:tcPr>
            <w:tcW w:w="1413" w:type="dxa"/>
          </w:tcPr>
          <w:p w14:paraId="5E782A6F" w14:textId="77777777" w:rsidR="00DC0F24" w:rsidRPr="00DC0F24" w:rsidRDefault="00DC0F24" w:rsidP="001F27EA">
            <w:pPr>
              <w:keepNext/>
              <w:jc w:val="left"/>
            </w:pPr>
            <w:r>
              <w:t>122</w:t>
            </w:r>
            <w:r w:rsidR="00CF4994">
              <w:t>.2</w:t>
            </w:r>
            <w:r w:rsidRPr="00DC0F24">
              <w:t>5 to 130 GHz</w:t>
            </w:r>
          </w:p>
        </w:tc>
        <w:tc>
          <w:tcPr>
            <w:tcW w:w="1276" w:type="dxa"/>
          </w:tcPr>
          <w:p w14:paraId="4300C655" w14:textId="77777777" w:rsidR="00DC0F24" w:rsidRPr="00DC0F24" w:rsidRDefault="00DC0F24" w:rsidP="001F27EA">
            <w:pPr>
              <w:keepNext/>
              <w:jc w:val="left"/>
            </w:pPr>
            <w:r>
              <w:t>20</w:t>
            </w:r>
            <w:r w:rsidRPr="00DC0F24">
              <w:t xml:space="preserve"> dBm and 12 dBm &gt; </w:t>
            </w:r>
            <w:r w:rsidRPr="00DC0F24">
              <w:rPr>
                <w:rStyle w:val="ECCParagraph"/>
              </w:rPr>
              <w:t>0° elevation</w:t>
            </w:r>
          </w:p>
        </w:tc>
        <w:tc>
          <w:tcPr>
            <w:tcW w:w="1842" w:type="dxa"/>
          </w:tcPr>
          <w:p w14:paraId="0FC574D6" w14:textId="77777777" w:rsidR="00DC0F24" w:rsidRPr="00DC0F24" w:rsidRDefault="00DC0F24" w:rsidP="001F27EA">
            <w:pPr>
              <w:keepNext/>
              <w:jc w:val="left"/>
            </w:pPr>
            <w:r w:rsidRPr="001462D5">
              <w:t>-</w:t>
            </w:r>
            <w:r w:rsidRPr="00DC0F24">
              <w:t>10 dBm/MHz and -18</w:t>
            </w:r>
            <w:r w:rsidR="00BD67B8">
              <w:t> </w:t>
            </w:r>
            <w:r w:rsidRPr="00DC0F24">
              <w:t xml:space="preserve">dBm/MHz &gt; </w:t>
            </w:r>
            <w:r w:rsidRPr="00DC0F24">
              <w:rPr>
                <w:rStyle w:val="ECCParagraph"/>
              </w:rPr>
              <w:t>0° elevation</w:t>
            </w:r>
          </w:p>
        </w:tc>
        <w:tc>
          <w:tcPr>
            <w:tcW w:w="1134" w:type="dxa"/>
          </w:tcPr>
          <w:p w14:paraId="251FF3EF" w14:textId="77777777" w:rsidR="00DC0F24" w:rsidRPr="00DC0F24" w:rsidRDefault="00667AEA" w:rsidP="001F27EA">
            <w:pPr>
              <w:keepNext/>
              <w:jc w:val="left"/>
              <w:rPr>
                <w:rStyle w:val="ECCParagraph"/>
                <w:lang w:eastAsia="en-US" w:bidi="ar-SA"/>
              </w:rPr>
            </w:pPr>
            <w:r>
              <w:rPr>
                <w:rStyle w:val="ECCParagraph"/>
              </w:rPr>
              <w:t>30</w:t>
            </w:r>
            <w:r w:rsidR="00BD67B8">
              <w:rPr>
                <w:rStyle w:val="ECCParagraph"/>
              </w:rPr>
              <w:t> </w:t>
            </w:r>
            <w:r w:rsidR="00DC0F24" w:rsidRPr="00B76A98">
              <w:rPr>
                <w:rStyle w:val="ECCParagraph"/>
              </w:rPr>
              <w:t xml:space="preserve">dBm and </w:t>
            </w:r>
            <w:r>
              <w:rPr>
                <w:rStyle w:val="ECCParagraph"/>
              </w:rPr>
              <w:t>2</w:t>
            </w:r>
            <w:r w:rsidR="00DC0F24" w:rsidRPr="00B76A98">
              <w:rPr>
                <w:rStyle w:val="ECCParagraph"/>
              </w:rPr>
              <w:t>2</w:t>
            </w:r>
            <w:r w:rsidR="00BD67B8">
              <w:rPr>
                <w:rStyle w:val="ECCParagraph"/>
              </w:rPr>
              <w:t> </w:t>
            </w:r>
            <w:r w:rsidR="00DC0F24" w:rsidRPr="00B76A98">
              <w:rPr>
                <w:rStyle w:val="ECCParagraph"/>
              </w:rPr>
              <w:t xml:space="preserve">dBm </w:t>
            </w:r>
            <w:r w:rsidR="00DC0F24" w:rsidRPr="00DC0F24">
              <w:t xml:space="preserve">&gt; </w:t>
            </w:r>
            <w:r w:rsidR="00DC0F24" w:rsidRPr="00DC0F24">
              <w:rPr>
                <w:rStyle w:val="ECCParagraph"/>
              </w:rPr>
              <w:t>0° elevation</w:t>
            </w:r>
          </w:p>
        </w:tc>
        <w:tc>
          <w:tcPr>
            <w:tcW w:w="2817" w:type="dxa"/>
          </w:tcPr>
          <w:p w14:paraId="55DDE885" w14:textId="46DD1436" w:rsidR="00DC0F24" w:rsidRPr="00DC0F24" w:rsidRDefault="00DC0F24" w:rsidP="001F27EA">
            <w:pPr>
              <w:keepNext/>
              <w:jc w:val="left"/>
            </w:pPr>
            <w:r w:rsidRPr="00F55F3A">
              <w:rPr>
                <w:rStyle w:val="ECCParagraph"/>
              </w:rPr>
              <w:t>∑</w:t>
            </w:r>
            <w:r w:rsidRPr="00DC0F24">
              <w:rPr>
                <w:rStyle w:val="ECCParagraph"/>
              </w:rPr>
              <w:t>T</w:t>
            </w:r>
            <w:r w:rsidRPr="007C3A48">
              <w:rPr>
                <w:rStyle w:val="ECCParagraph"/>
                <w:vertAlign w:val="subscript"/>
              </w:rPr>
              <w:t>meas</w:t>
            </w:r>
            <w:r w:rsidRPr="00DC0F24">
              <w:rPr>
                <w:rStyle w:val="ECCParagraph"/>
              </w:rPr>
              <w:t xml:space="preserve"> ≤ </w:t>
            </w:r>
            <w:r>
              <w:rPr>
                <w:rStyle w:val="ECCParagraph"/>
              </w:rPr>
              <w:t>1</w:t>
            </w:r>
            <w:r w:rsidRPr="00DC0F24">
              <w:rPr>
                <w:rStyle w:val="ECCParagraph"/>
              </w:rPr>
              <w:t>00 ms within T</w:t>
            </w:r>
            <w:r w:rsidRPr="007C3A48">
              <w:rPr>
                <w:rStyle w:val="ECCParagraph"/>
                <w:vertAlign w:val="subscript"/>
              </w:rPr>
              <w:t>obs</w:t>
            </w:r>
            <w:r w:rsidRPr="00DC0F24">
              <w:rPr>
                <w:rStyle w:val="ECCParagraph"/>
              </w:rPr>
              <w:t xml:space="preserve"> = 1 s is equivalent to a maximum duty cycle of </w:t>
            </w:r>
            <w:r>
              <w:rPr>
                <w:rStyle w:val="ECCParagraph"/>
              </w:rPr>
              <w:t>1</w:t>
            </w:r>
            <w:r w:rsidRPr="00DC0F24">
              <w:rPr>
                <w:rStyle w:val="ECCParagraph"/>
              </w:rPr>
              <w:t>0</w:t>
            </w:r>
            <w:r w:rsidR="009D5FA2">
              <w:rPr>
                <w:rStyle w:val="ECCParagraph"/>
              </w:rPr>
              <w:t>%</w:t>
            </w:r>
          </w:p>
        </w:tc>
        <w:tc>
          <w:tcPr>
            <w:tcW w:w="1294" w:type="dxa"/>
          </w:tcPr>
          <w:p w14:paraId="3D2E2835" w14:textId="77777777" w:rsidR="00DC0F24" w:rsidRPr="00DC0F24" w:rsidRDefault="00DC0F24" w:rsidP="001F27EA">
            <w:pPr>
              <w:keepNext/>
              <w:jc w:val="left"/>
            </w:pPr>
            <w:r w:rsidRPr="00497690">
              <w:t>20 dB</w:t>
            </w:r>
          </w:p>
        </w:tc>
      </w:tr>
      <w:tr w:rsidR="00DC0F24" w:rsidRPr="00C53FB5" w14:paraId="4EA9AA0D" w14:textId="77777777" w:rsidTr="00E70E36">
        <w:tc>
          <w:tcPr>
            <w:tcW w:w="1413" w:type="dxa"/>
          </w:tcPr>
          <w:p w14:paraId="7D0F8B2E" w14:textId="77777777" w:rsidR="00DC0F24" w:rsidRPr="00DC0F24" w:rsidRDefault="00DC0F24" w:rsidP="001F27EA">
            <w:pPr>
              <w:keepNext/>
              <w:jc w:val="left"/>
            </w:pPr>
            <w:r>
              <w:t>134 to 148</w:t>
            </w:r>
            <w:r w:rsidR="00CF4994">
              <w:t>.5</w:t>
            </w:r>
            <w:r w:rsidRPr="00DC0F24">
              <w:t> GHz</w:t>
            </w:r>
          </w:p>
        </w:tc>
        <w:tc>
          <w:tcPr>
            <w:tcW w:w="1276" w:type="dxa"/>
          </w:tcPr>
          <w:p w14:paraId="585B5D78" w14:textId="77777777" w:rsidR="00DC0F24" w:rsidRPr="00DC0F24" w:rsidRDefault="00DC0F24" w:rsidP="001F27EA">
            <w:pPr>
              <w:keepNext/>
              <w:jc w:val="left"/>
            </w:pPr>
            <w:r>
              <w:t>20</w:t>
            </w:r>
            <w:r w:rsidRPr="00DC0F24">
              <w:t xml:space="preserve"> dBm and 12 dBm &gt; </w:t>
            </w:r>
            <w:r w:rsidRPr="00DC0F24">
              <w:rPr>
                <w:rStyle w:val="ECCParagraph"/>
              </w:rPr>
              <w:t>0° elevation</w:t>
            </w:r>
          </w:p>
        </w:tc>
        <w:tc>
          <w:tcPr>
            <w:tcW w:w="1842" w:type="dxa"/>
          </w:tcPr>
          <w:p w14:paraId="441DA4E0" w14:textId="77777777" w:rsidR="00DC0F24" w:rsidRPr="00DC0F24" w:rsidRDefault="00DC0F24" w:rsidP="001F27EA">
            <w:pPr>
              <w:keepNext/>
              <w:jc w:val="left"/>
            </w:pPr>
            <w:r w:rsidRPr="001462D5">
              <w:t>-</w:t>
            </w:r>
            <w:r w:rsidRPr="00DC0F24">
              <w:t>10 dBm/MHz and -18</w:t>
            </w:r>
            <w:r w:rsidR="00BD67B8">
              <w:t> </w:t>
            </w:r>
            <w:r w:rsidRPr="00DC0F24">
              <w:t xml:space="preserve">dBm/MHz &gt; </w:t>
            </w:r>
            <w:r w:rsidRPr="00DC0F24">
              <w:rPr>
                <w:rStyle w:val="ECCParagraph"/>
              </w:rPr>
              <w:t>0° elevation</w:t>
            </w:r>
          </w:p>
        </w:tc>
        <w:tc>
          <w:tcPr>
            <w:tcW w:w="1134" w:type="dxa"/>
          </w:tcPr>
          <w:p w14:paraId="404B0EE0" w14:textId="77777777" w:rsidR="00DC0F24" w:rsidRPr="00DC0F24" w:rsidRDefault="00667AEA" w:rsidP="001F27EA">
            <w:pPr>
              <w:keepNext/>
              <w:jc w:val="left"/>
              <w:rPr>
                <w:rStyle w:val="ECCParagraph"/>
                <w:lang w:eastAsia="en-US" w:bidi="ar-SA"/>
              </w:rPr>
            </w:pPr>
            <w:r>
              <w:rPr>
                <w:rStyle w:val="ECCParagraph"/>
              </w:rPr>
              <w:t>30</w:t>
            </w:r>
            <w:r w:rsidR="00BD67B8">
              <w:rPr>
                <w:rStyle w:val="ECCParagraph"/>
              </w:rPr>
              <w:t> </w:t>
            </w:r>
            <w:r w:rsidR="00DC0F24" w:rsidRPr="00B76A98">
              <w:rPr>
                <w:rStyle w:val="ECCParagraph"/>
              </w:rPr>
              <w:t xml:space="preserve">dBm </w:t>
            </w:r>
            <w:r w:rsidR="00DC0F24" w:rsidRPr="00DC0F24">
              <w:rPr>
                <w:rStyle w:val="ECCParagraph"/>
              </w:rPr>
              <w:t xml:space="preserve">and </w:t>
            </w:r>
            <w:r>
              <w:rPr>
                <w:rStyle w:val="ECCParagraph"/>
              </w:rPr>
              <w:t>22</w:t>
            </w:r>
            <w:r w:rsidR="00BD67B8">
              <w:rPr>
                <w:rStyle w:val="ECCParagraph"/>
              </w:rPr>
              <w:t> </w:t>
            </w:r>
            <w:r w:rsidR="00DC0F24" w:rsidRPr="00DC0F24">
              <w:rPr>
                <w:rStyle w:val="ECCParagraph"/>
              </w:rPr>
              <w:t xml:space="preserve">dBm </w:t>
            </w:r>
            <w:r w:rsidR="00DC0F24" w:rsidRPr="00DC0F24">
              <w:t xml:space="preserve">&gt; </w:t>
            </w:r>
            <w:r w:rsidR="00DC0F24" w:rsidRPr="00DC0F24">
              <w:rPr>
                <w:rStyle w:val="ECCParagraph"/>
              </w:rPr>
              <w:t>0° elevation</w:t>
            </w:r>
          </w:p>
        </w:tc>
        <w:tc>
          <w:tcPr>
            <w:tcW w:w="2817" w:type="dxa"/>
          </w:tcPr>
          <w:p w14:paraId="1A8677A0" w14:textId="025D6985" w:rsidR="00DC0F24" w:rsidRPr="00DC0F24" w:rsidRDefault="00DC0F24" w:rsidP="001F27EA">
            <w:pPr>
              <w:keepNext/>
              <w:jc w:val="left"/>
            </w:pPr>
            <w:r w:rsidRPr="00F55F3A">
              <w:rPr>
                <w:rStyle w:val="ECCParagraph"/>
              </w:rPr>
              <w:t>∑</w:t>
            </w:r>
            <w:r w:rsidRPr="00DC0F24">
              <w:rPr>
                <w:rStyle w:val="ECCParagraph"/>
              </w:rPr>
              <w:t>T</w:t>
            </w:r>
            <w:r w:rsidRPr="007C3A48">
              <w:rPr>
                <w:rStyle w:val="ECCParagraph"/>
                <w:vertAlign w:val="subscript"/>
              </w:rPr>
              <w:t>meas</w:t>
            </w:r>
            <w:r w:rsidRPr="00DC0F24">
              <w:rPr>
                <w:rStyle w:val="ECCParagraph"/>
              </w:rPr>
              <w:t xml:space="preserve"> ≤ </w:t>
            </w:r>
            <w:r>
              <w:rPr>
                <w:rStyle w:val="ECCParagraph"/>
              </w:rPr>
              <w:t>1</w:t>
            </w:r>
            <w:r w:rsidRPr="00DC0F24">
              <w:rPr>
                <w:rStyle w:val="ECCParagraph"/>
              </w:rPr>
              <w:t>00 ms within T</w:t>
            </w:r>
            <w:r w:rsidRPr="007C3A48">
              <w:rPr>
                <w:rStyle w:val="ECCParagraph"/>
                <w:vertAlign w:val="subscript"/>
              </w:rPr>
              <w:t>obs</w:t>
            </w:r>
            <w:r w:rsidRPr="00DC0F24">
              <w:rPr>
                <w:rStyle w:val="ECCParagraph"/>
              </w:rPr>
              <w:t xml:space="preserve"> = 1 s is equivalent to a maximum duty cycle of </w:t>
            </w:r>
            <w:r>
              <w:rPr>
                <w:rStyle w:val="ECCParagraph"/>
              </w:rPr>
              <w:t>1</w:t>
            </w:r>
            <w:r w:rsidRPr="00DC0F24">
              <w:rPr>
                <w:rStyle w:val="ECCParagraph"/>
              </w:rPr>
              <w:t>0</w:t>
            </w:r>
            <w:r w:rsidR="009D5FA2">
              <w:rPr>
                <w:rStyle w:val="ECCParagraph"/>
              </w:rPr>
              <w:t>%</w:t>
            </w:r>
          </w:p>
        </w:tc>
        <w:tc>
          <w:tcPr>
            <w:tcW w:w="1294" w:type="dxa"/>
          </w:tcPr>
          <w:p w14:paraId="33A7FD35" w14:textId="77777777" w:rsidR="00DC0F24" w:rsidRPr="00DC0F24" w:rsidRDefault="00DC0F24" w:rsidP="001F27EA">
            <w:pPr>
              <w:keepNext/>
              <w:jc w:val="left"/>
            </w:pPr>
            <w:r>
              <w:t>20 dB</w:t>
            </w:r>
          </w:p>
        </w:tc>
      </w:tr>
      <w:tr w:rsidR="00BF4A4B" w:rsidRPr="00C53FB5" w14:paraId="025FB282" w14:textId="77777777" w:rsidTr="00BF4A4B">
        <w:tc>
          <w:tcPr>
            <w:tcW w:w="9776" w:type="dxa"/>
            <w:gridSpan w:val="6"/>
          </w:tcPr>
          <w:p w14:paraId="5DED9FB8" w14:textId="2C694F55" w:rsidR="00BF4A4B" w:rsidRPr="00BF4A4B" w:rsidRDefault="00BF4A4B" w:rsidP="001F27EA">
            <w:pPr>
              <w:pStyle w:val="ECCTablenote"/>
              <w:keepNext/>
            </w:pPr>
            <w:r w:rsidRPr="005471A6">
              <w:t>Note 1: Maximum mean e.i.r.p within the OFR (see Note 4) and during T</w:t>
            </w:r>
            <w:r w:rsidRPr="007C3A48">
              <w:rPr>
                <w:vertAlign w:val="subscript"/>
              </w:rPr>
              <w:t>meas</w:t>
            </w:r>
            <w:r w:rsidRPr="005471A6">
              <w:t xml:space="preserve"> (time when transmission is on,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w:t>
            </w:r>
          </w:p>
          <w:p w14:paraId="00153E5F" w14:textId="77777777" w:rsidR="00BF4A4B" w:rsidRPr="00BF4A4B" w:rsidRDefault="00BF4A4B" w:rsidP="001F27EA">
            <w:pPr>
              <w:pStyle w:val="ECCTablenote"/>
              <w:keepNext/>
            </w:pPr>
            <w:r w:rsidRPr="005471A6">
              <w:t>Note 2: These limits should be measured with an RMS detector and averaging time of 1 ms.</w:t>
            </w:r>
          </w:p>
          <w:p w14:paraId="4A0684E6" w14:textId="2E6704B5" w:rsidR="00BF4A4B" w:rsidRPr="00BF4A4B" w:rsidRDefault="00BF4A4B" w:rsidP="001F27EA">
            <w:pPr>
              <w:pStyle w:val="ECCTablenote"/>
              <w:keepNext/>
            </w:pPr>
            <w:r w:rsidRPr="005471A6">
              <w:t xml:space="preserve">Note 3: The maximum duty cycle is not included in the proposed maximum mean e.i.r.p and maximum mean e.i.r.p. spectral density values. Consequently, these values must be reduced by </w:t>
            </w:r>
            <w:r w:rsidR="003E165E">
              <w:t>10</w:t>
            </w:r>
            <w:r w:rsidR="003E165E" w:rsidRPr="005471A6">
              <w:t> </w:t>
            </w:r>
            <w:r w:rsidRPr="005471A6">
              <w:t>dB when averaging over the observation time T</w:t>
            </w:r>
            <w:r w:rsidRPr="007C3A48">
              <w:rPr>
                <w:vertAlign w:val="subscript"/>
              </w:rPr>
              <w:t>obs</w:t>
            </w:r>
            <w:r w:rsidRPr="005471A6">
              <w:t xml:space="preserve"> = 1 s because of the inclusion of the maximum duty cycle of </w:t>
            </w:r>
            <w:r w:rsidR="00DC2B87">
              <w:t>10</w:t>
            </w:r>
            <w:r w:rsidR="00F800A2">
              <w:t>%</w:t>
            </w:r>
            <w:r w:rsidRPr="005471A6">
              <w:t>.</w:t>
            </w:r>
          </w:p>
          <w:p w14:paraId="24CC8FE5" w14:textId="56B0291A" w:rsidR="001245A8" w:rsidRPr="00DB4AB6" w:rsidRDefault="001B0CBB" w:rsidP="001F27EA">
            <w:pPr>
              <w:pStyle w:val="ECCTablenote"/>
              <w:keepNext/>
            </w:pPr>
            <w:r>
              <w:t xml:space="preserve">Note 4: </w:t>
            </w:r>
            <w:r w:rsidR="001245A8" w:rsidRPr="001B0CBB">
              <w:t xml:space="preserve">The operating frequency range (OFR) is defined over the 20 dB reduction of the </w:t>
            </w:r>
            <w:r w:rsidR="00114106">
              <w:t>intentional transmission</w:t>
            </w:r>
            <w:r w:rsidR="001245A8" w:rsidRPr="001B0CBB">
              <w:t xml:space="preserve"> (20 dB bandwidth) radiated by the equipment into the air</w:t>
            </w:r>
            <w:r w:rsidR="008F7939">
              <w:t xml:space="preserve"> and shall remain in the candidate frequency bands</w:t>
            </w:r>
            <w:r w:rsidR="001245A8" w:rsidRPr="001B0CBB">
              <w:t xml:space="preserve">. The unwanted emissions attenuation applies to the frequencies outside the </w:t>
            </w:r>
            <w:r>
              <w:t xml:space="preserve">OFR </w:t>
            </w:r>
            <w:r w:rsidR="001245A8" w:rsidRPr="001B0CBB">
              <w:t xml:space="preserve">and </w:t>
            </w:r>
            <w:r w:rsidR="004146E0">
              <w:t xml:space="preserve">is to be reduced from </w:t>
            </w:r>
            <w:r w:rsidR="001245A8" w:rsidRPr="001B0CBB">
              <w:t xml:space="preserve">the maximum mean e.i.r.p. spectral density and the maximum peak e.i.r.p. </w:t>
            </w:r>
            <w:r w:rsidR="00841D39" w:rsidRPr="001B0CBB">
              <w:t>The measurement bandwidth</w:t>
            </w:r>
            <w:r w:rsidR="00841D39" w:rsidRPr="004A5A8E">
              <w:t xml:space="preserve"> for the unwanted emissions domain is 1 MHz</w:t>
            </w:r>
            <w:r w:rsidR="00841D39" w:rsidRPr="00DB4AB6">
              <w:t>.</w:t>
            </w:r>
          </w:p>
          <w:p w14:paraId="6B825765" w14:textId="3F25AE8D" w:rsidR="00A96536" w:rsidRDefault="00A96536" w:rsidP="001F27EA">
            <w:pPr>
              <w:pStyle w:val="ECCTablenote"/>
              <w:keepNext/>
            </w:pPr>
            <w:r>
              <w:t>Note 5: T</w:t>
            </w:r>
            <w:r w:rsidRPr="00A96536">
              <w:t>he max</w:t>
            </w:r>
            <w:r w:rsidR="00114106">
              <w:t>imum</w:t>
            </w:r>
            <w:r w:rsidRPr="00A96536">
              <w:t xml:space="preserve"> peak e.i.r.p. shall be measured/evaluated in 1 GHz bandwidth.</w:t>
            </w:r>
          </w:p>
        </w:tc>
      </w:tr>
    </w:tbl>
    <w:p w14:paraId="2C4FDF99" w14:textId="5DA3BB48" w:rsidR="00943E30" w:rsidRDefault="00943E30" w:rsidP="00943E30">
      <w:r>
        <w:t>The lower portion, 116 to 122</w:t>
      </w:r>
      <w:r w:rsidR="00CF4994">
        <w:t>.2</w:t>
      </w:r>
      <w:r>
        <w:t xml:space="preserve">5 GHz, of the whole candidate band 116 to 130 GHz has also been investigated. However, </w:t>
      </w:r>
      <w:r w:rsidR="00C2621E">
        <w:t xml:space="preserve">based on the results of this analysis </w:t>
      </w:r>
      <w:r>
        <w:t xml:space="preserve">compatibility between generic indoor surveillance radar sensors and EESS (passive) cannot be </w:t>
      </w:r>
      <w:r w:rsidR="00C2621E">
        <w:t xml:space="preserve">achieved </w:t>
      </w:r>
      <w:r>
        <w:t xml:space="preserve">in this </w:t>
      </w:r>
      <w:r w:rsidR="00C2621E">
        <w:t xml:space="preserve">portion of the </w:t>
      </w:r>
      <w:r>
        <w:t xml:space="preserve">band assuming the </w:t>
      </w:r>
      <w:r w:rsidR="00C2621E">
        <w:t xml:space="preserve">number of devices </w:t>
      </w:r>
      <w:r w:rsidR="005A1CD1">
        <w:t>studied</w:t>
      </w:r>
      <w:r w:rsidR="00F53F91">
        <w:t>,</w:t>
      </w:r>
      <w:r w:rsidR="00C2621E">
        <w:t xml:space="preserve"> and the </w:t>
      </w:r>
      <w:r>
        <w:t xml:space="preserve">power levels </w:t>
      </w:r>
      <w:r w:rsidR="007E2B2D">
        <w:t xml:space="preserve">are </w:t>
      </w:r>
      <w:r>
        <w:t xml:space="preserve">given in </w:t>
      </w:r>
      <w:r>
        <w:fldChar w:fldCharType="begin"/>
      </w:r>
      <w:r>
        <w:instrText xml:space="preserve"> REF _Ref67423021 \h </w:instrText>
      </w:r>
      <w:r>
        <w:fldChar w:fldCharType="separate"/>
      </w:r>
      <w:r w:rsidR="0041125F" w:rsidRPr="00BB41AD">
        <w:t>Table </w:t>
      </w:r>
      <w:r w:rsidR="0041125F">
        <w:rPr>
          <w:noProof/>
        </w:rPr>
        <w:t>1</w:t>
      </w:r>
      <w:r>
        <w:fldChar w:fldCharType="end"/>
      </w:r>
      <w:r>
        <w:t xml:space="preserve"> and </w:t>
      </w:r>
      <w:r>
        <w:fldChar w:fldCharType="begin"/>
      </w:r>
      <w:r>
        <w:instrText xml:space="preserve"> REF _Ref67424853 \h </w:instrText>
      </w:r>
      <w:r>
        <w:fldChar w:fldCharType="separate"/>
      </w:r>
      <w:r w:rsidR="0041125F" w:rsidRPr="00BB41AD">
        <w:t>Table </w:t>
      </w:r>
      <w:r w:rsidR="0041125F">
        <w:rPr>
          <w:noProof/>
        </w:rPr>
        <w:t>2</w:t>
      </w:r>
      <w:r>
        <w:fldChar w:fldCharType="end"/>
      </w:r>
      <w:r>
        <w:t>.</w:t>
      </w:r>
    </w:p>
    <w:p w14:paraId="0F41B72C" w14:textId="77777777" w:rsidR="00FF14DD" w:rsidRDefault="00FF14DD" w:rsidP="00FF14DD">
      <w:r>
        <w:t>For coexistence with RAS, the studies have concluded that:</w:t>
      </w:r>
    </w:p>
    <w:p w14:paraId="671CBB25" w14:textId="724CB116" w:rsidR="00FF14DD" w:rsidRDefault="00FF14DD" w:rsidP="00FF14DD">
      <w:pPr>
        <w:pStyle w:val="ECCBulletsLv1"/>
      </w:pPr>
      <w:r w:rsidRPr="00B10E31">
        <w:t xml:space="preserve">The separation distances in the lower frequency range </w:t>
      </w:r>
      <w:r>
        <w:t>123 </w:t>
      </w:r>
      <w:r w:rsidRPr="00B10E31">
        <w:t xml:space="preserve">GHz to </w:t>
      </w:r>
      <w:r>
        <w:t>158</w:t>
      </w:r>
      <w:r w:rsidR="00D12A67">
        <w:t>.</w:t>
      </w:r>
      <w:r>
        <w:t>5 </w:t>
      </w:r>
      <w:r w:rsidRPr="00B10E31">
        <w:t xml:space="preserve">GHz </w:t>
      </w:r>
      <w:r>
        <w:t>obtained in the single-entry study are</w:t>
      </w:r>
      <w:r w:rsidRPr="00B10E31">
        <w:t xml:space="preserve"> </w:t>
      </w:r>
      <w:r>
        <w:t>for the fixed generic indoor surveillance radar devices 35</w:t>
      </w:r>
      <w:r w:rsidR="007A4134">
        <w:t>.</w:t>
      </w:r>
      <w:r>
        <w:t xml:space="preserve">2 km for the outdoor consideration </w:t>
      </w:r>
      <w:r w:rsidRPr="00B10E31">
        <w:t xml:space="preserve">and </w:t>
      </w:r>
      <w:r>
        <w:t>10</w:t>
      </w:r>
      <w:r w:rsidR="007A4134">
        <w:t>.</w:t>
      </w:r>
      <w:r>
        <w:t>7</w:t>
      </w:r>
      <w:r w:rsidRPr="00B10E31">
        <w:t> km</w:t>
      </w:r>
      <w:r>
        <w:t xml:space="preserve"> for the indoor case. For the </w:t>
      </w:r>
      <w:r w:rsidR="009D5FA2">
        <w:t>hand-held</w:t>
      </w:r>
      <w:r>
        <w:t>/mobile generic indoor surveillance equipment the separation distances are 19 km for the outdoor consideration and 1</w:t>
      </w:r>
      <w:r w:rsidR="007A4134">
        <w:t>.</w:t>
      </w:r>
      <w:r>
        <w:t>6 km for the indoor case</w:t>
      </w:r>
      <w:r w:rsidR="009654A2">
        <w:t>;</w:t>
      </w:r>
    </w:p>
    <w:p w14:paraId="54446211" w14:textId="77777777" w:rsidR="00FF14DD" w:rsidRPr="00B10E31" w:rsidRDefault="003752C9" w:rsidP="00FF14DD">
      <w:pPr>
        <w:pStyle w:val="ECCBulletsLv1"/>
      </w:pPr>
      <w:r>
        <w:t>F</w:t>
      </w:r>
      <w:r w:rsidR="00FF14DD">
        <w:t xml:space="preserve">or the fixed indoor equipment an installation requirement limiting the related mean e.i.r.p. to a maximal value of 12 dBm for elevation angles larger than 0° could be requested. In this case the </w:t>
      </w:r>
      <w:r>
        <w:t>separation</w:t>
      </w:r>
      <w:r w:rsidR="00FF14DD">
        <w:t xml:space="preserve"> distance would drop to 17</w:t>
      </w:r>
      <w:r w:rsidR="007A4134">
        <w:t>.</w:t>
      </w:r>
      <w:r w:rsidR="00FF14DD">
        <w:t>5 km for the outdoor consideration.</w:t>
      </w:r>
    </w:p>
    <w:p w14:paraId="5E730808" w14:textId="77777777" w:rsidR="00FF14DD" w:rsidRDefault="00FF14DD" w:rsidP="00FF14DD">
      <w:r w:rsidRPr="002D77B3">
        <w:t>For the frequency bands 76</w:t>
      </w:r>
      <w:r w:rsidR="00843E5A">
        <w:t> </w:t>
      </w:r>
      <w:r w:rsidRPr="002D77B3">
        <w:t>GHz to 116</w:t>
      </w:r>
      <w:r w:rsidR="00843E5A">
        <w:t> </w:t>
      </w:r>
      <w:r w:rsidRPr="002D77B3">
        <w:t>GHz, 148.5</w:t>
      </w:r>
      <w:r w:rsidR="00843E5A">
        <w:t> </w:t>
      </w:r>
      <w:r w:rsidRPr="002D77B3">
        <w:t>GHz to 151.5</w:t>
      </w:r>
      <w:r w:rsidR="00843E5A">
        <w:t> </w:t>
      </w:r>
      <w:r w:rsidRPr="002D77B3">
        <w:t xml:space="preserve">GHz (adjacent frequency situation) compatibility can be </w:t>
      </w:r>
      <w:r w:rsidR="00E83890">
        <w:t>achieved</w:t>
      </w:r>
      <w:r w:rsidR="00E83890" w:rsidRPr="002D77B3">
        <w:t xml:space="preserve"> </w:t>
      </w:r>
      <w:r w:rsidRPr="002D77B3">
        <w:t>between both types of generic indoor surveillance radar equipment and RAS without the implementation of additional mitigation techniques. The separation distances obtained in the MCL calculations are all below 5</w:t>
      </w:r>
      <w:r w:rsidR="00843E5A">
        <w:t> </w:t>
      </w:r>
      <w:r w:rsidRPr="002D77B3">
        <w:t>km.</w:t>
      </w:r>
    </w:p>
    <w:p w14:paraId="7E07FD49" w14:textId="77777777" w:rsidR="00FF14DD" w:rsidRDefault="00FF14DD" w:rsidP="00FF14DD">
      <w:r w:rsidRPr="00FF14DD">
        <w:t xml:space="preserve">Operational </w:t>
      </w:r>
      <w:r>
        <w:t>solutions</w:t>
      </w:r>
      <w:r w:rsidRPr="00FF14DD">
        <w:t xml:space="preserve"> to implement these separation distances were not studied in this </w:t>
      </w:r>
      <w:r>
        <w:t>R</w:t>
      </w:r>
      <w:r w:rsidRPr="00FF14DD">
        <w:t>eport.</w:t>
      </w:r>
    </w:p>
    <w:p w14:paraId="138CC652" w14:textId="77777777" w:rsidR="00BB41AD" w:rsidRDefault="00BB41AD" w:rsidP="00BB41AD">
      <w:pPr>
        <w:pStyle w:val="Heading2"/>
      </w:pPr>
      <w:bookmarkStart w:id="23" w:name="_Toc84325229"/>
      <w:bookmarkStart w:id="24" w:name="_Toc127346213"/>
      <w:bookmarkEnd w:id="20"/>
      <w:r w:rsidRPr="0063010D">
        <w:t>Radiodetermination systems for industry automation (RDI)</w:t>
      </w:r>
      <w:bookmarkEnd w:id="23"/>
      <w:bookmarkEnd w:id="24"/>
    </w:p>
    <w:p w14:paraId="7B4A1DC6" w14:textId="43B5E01B" w:rsidR="008B73F2" w:rsidRDefault="00BB41AD" w:rsidP="00BB41AD">
      <w:r w:rsidRPr="002E0249">
        <w:t>RDI is a</w:t>
      </w:r>
      <w:r w:rsidRPr="00BB41AD">
        <w:t>n industrial and professional application used for measuring different physical parameters like presence, distance, velocity or material properties of a target object. The obtained information is further processed and used for industrial automation purposes.</w:t>
      </w:r>
    </w:p>
    <w:p w14:paraId="668D2908" w14:textId="2E2D7174" w:rsidR="008A2884" w:rsidRDefault="008A2884" w:rsidP="008A2884">
      <w:r w:rsidRPr="008A2884">
        <w:t xml:space="preserve">The candidate bands 116 to 130 GHz and 134 to 141 GHz have been investigated. However, based on the results of this analysis compatibility between RDI and RAS cannot be achieved in these bands assuming the power levels given in </w:t>
      </w:r>
      <w:r w:rsidRPr="008A2884">
        <w:fldChar w:fldCharType="begin"/>
      </w:r>
      <w:r w:rsidRPr="008A2884">
        <w:instrText xml:space="preserve"> REF _Ref66453563 \h </w:instrText>
      </w:r>
      <w:r w:rsidRPr="008A2884">
        <w:fldChar w:fldCharType="separate"/>
      </w:r>
      <w:r w:rsidR="0041125F" w:rsidRPr="007C3BF5">
        <w:t>Table </w:t>
      </w:r>
      <w:r w:rsidR="0041125F">
        <w:rPr>
          <w:noProof/>
        </w:rPr>
        <w:t>52</w:t>
      </w:r>
      <w:r w:rsidRPr="008A2884">
        <w:fldChar w:fldCharType="end"/>
      </w:r>
      <w:r w:rsidRPr="008A2884">
        <w:t xml:space="preserve"> in section </w:t>
      </w:r>
      <w:r w:rsidRPr="008A2884">
        <w:fldChar w:fldCharType="begin"/>
      </w:r>
      <w:r w:rsidRPr="008A2884">
        <w:instrText xml:space="preserve"> REF _Ref67388530 \r \h </w:instrText>
      </w:r>
      <w:r w:rsidRPr="008A2884">
        <w:fldChar w:fldCharType="separate"/>
      </w:r>
      <w:r w:rsidR="004F49F9">
        <w:t>4.2.1</w:t>
      </w:r>
      <w:r w:rsidRPr="008A2884">
        <w:fldChar w:fldCharType="end"/>
      </w:r>
      <w:r w:rsidRPr="008A2884">
        <w:t xml:space="preserve"> without the implementation of additional mitigation techniques.</w:t>
      </w:r>
    </w:p>
    <w:p w14:paraId="42790E20" w14:textId="3FD5D587" w:rsidR="00AE1A18" w:rsidRPr="008A2884" w:rsidRDefault="00AE1A18" w:rsidP="008A2884">
      <w:r>
        <w:t xml:space="preserve">A graphical summary of all the candidate bands can be found in </w:t>
      </w:r>
      <w:r w:rsidR="00DB4AB6">
        <w:t>s</w:t>
      </w:r>
      <w:r w:rsidRPr="00AE1A18">
        <w:t xml:space="preserve">ection </w:t>
      </w:r>
      <w:r w:rsidRPr="00AE1A18">
        <w:fldChar w:fldCharType="begin"/>
      </w:r>
      <w:r w:rsidRPr="00AE1A18">
        <w:instrText xml:space="preserve"> REF _Ref67996394 \r \h </w:instrText>
      </w:r>
      <w:r w:rsidRPr="00AE1A18">
        <w:fldChar w:fldCharType="separate"/>
      </w:r>
      <w:r w:rsidR="004F49F9">
        <w:t>8.9</w:t>
      </w:r>
      <w:r w:rsidRPr="00AE1A18">
        <w:fldChar w:fldCharType="end"/>
      </w:r>
      <w:r>
        <w:t>.</w:t>
      </w:r>
    </w:p>
    <w:p w14:paraId="1AA0E160" w14:textId="5C7B2AC9" w:rsidR="00BB41AD" w:rsidRPr="00BB41AD" w:rsidRDefault="008B73F2" w:rsidP="008B73F2">
      <w:r w:rsidRPr="008B73F2">
        <w:t xml:space="preserve">Consequently, </w:t>
      </w:r>
      <w:r>
        <w:t>i</w:t>
      </w:r>
      <w:r w:rsidR="00907A5D">
        <w:t>t is recommended that a</w:t>
      </w:r>
      <w:r w:rsidR="00BB41AD" w:rsidRPr="00BB41AD">
        <w:t xml:space="preserve">ll RDI sensors </w:t>
      </w:r>
      <w:r w:rsidR="00F057A3">
        <w:t>should</w:t>
      </w:r>
      <w:r w:rsidR="00BB41AD" w:rsidRPr="00BB41AD">
        <w:t xml:space="preserve"> </w:t>
      </w:r>
      <w:r w:rsidR="008A2884">
        <w:t xml:space="preserve">be limited to the bands </w:t>
      </w:r>
      <w:r w:rsidR="008A2884" w:rsidRPr="008A2884">
        <w:t>174.8 to 182 GHz</w:t>
      </w:r>
      <w:r w:rsidR="008A2884">
        <w:t>,</w:t>
      </w:r>
      <w:r w:rsidR="008A2884" w:rsidRPr="008A2884">
        <w:t xml:space="preserve"> 185 to 190 GHz</w:t>
      </w:r>
      <w:r w:rsidR="008A2884">
        <w:t xml:space="preserve"> and</w:t>
      </w:r>
      <w:r w:rsidR="008A2884" w:rsidRPr="008A2884">
        <w:t xml:space="preserve"> 231.5 to 250 GHz</w:t>
      </w:r>
      <w:r w:rsidR="008A2884">
        <w:t xml:space="preserve"> and should </w:t>
      </w:r>
      <w:r w:rsidR="00BB41AD" w:rsidRPr="00BB41AD">
        <w:t xml:space="preserve">comply with the following </w:t>
      </w:r>
      <w:r w:rsidR="00955C2F">
        <w:t>(</w:t>
      </w:r>
      <w:r w:rsidR="00BB41AD" w:rsidRPr="00BB41AD">
        <w:t>installation</w:t>
      </w:r>
      <w:r w:rsidR="00955C2F">
        <w:t>)</w:t>
      </w:r>
      <w:r w:rsidR="00BB41AD" w:rsidRPr="00BB41AD">
        <w:t xml:space="preserve"> requirements:</w:t>
      </w:r>
    </w:p>
    <w:p w14:paraId="28F2F273" w14:textId="7C253875" w:rsidR="00BB41AD" w:rsidRPr="00BB41AD" w:rsidRDefault="00BB41AD" w:rsidP="00BB41AD">
      <w:pPr>
        <w:pStyle w:val="ECCBulletsLv1"/>
        <w:rPr>
          <w:rStyle w:val="ECCParagraph"/>
        </w:rPr>
      </w:pPr>
      <w:r w:rsidRPr="00E2283A">
        <w:rPr>
          <w:rStyle w:val="ECCParagraph"/>
        </w:rPr>
        <w:t>The operation of RDI sensors is envisaged for industrial purposes only</w:t>
      </w:r>
      <w:r w:rsidR="009654A2">
        <w:rPr>
          <w:rStyle w:val="ECCParagraph"/>
        </w:rPr>
        <w:t>;</w:t>
      </w:r>
    </w:p>
    <w:p w14:paraId="0B4BDFB3" w14:textId="3AF3DFBC" w:rsidR="00BB41AD" w:rsidRPr="00BB41AD" w:rsidRDefault="00BB41AD" w:rsidP="00BB41AD">
      <w:pPr>
        <w:pStyle w:val="ECCBulletsLv1"/>
      </w:pPr>
      <w:r w:rsidRPr="00E2283A">
        <w:t>Installation and maintenance of RDI equipment shall be performed by professionally trained individuals only</w:t>
      </w:r>
      <w:r w:rsidR="009654A2">
        <w:t>;</w:t>
      </w:r>
    </w:p>
    <w:p w14:paraId="78D19929" w14:textId="38DAF342" w:rsidR="00BB41AD" w:rsidRPr="00BB41AD" w:rsidRDefault="00BB41AD" w:rsidP="00BB41AD">
      <w:pPr>
        <w:pStyle w:val="ECCBulletsLv1"/>
      </w:pPr>
      <w:r w:rsidRPr="00E2283A">
        <w:t xml:space="preserve">RDI equipment shall not be marketed to private end </w:t>
      </w:r>
      <w:r w:rsidRPr="00BB41AD">
        <w:t>customers</w:t>
      </w:r>
      <w:r w:rsidR="009654A2">
        <w:t>;</w:t>
      </w:r>
    </w:p>
    <w:p w14:paraId="1BEDB082" w14:textId="6759C847" w:rsidR="00BB41AD" w:rsidRPr="00BB41AD" w:rsidRDefault="00BB41AD" w:rsidP="00BB41AD">
      <w:pPr>
        <w:pStyle w:val="ECCBulletsLv1"/>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r w:rsidR="009654A2">
        <w:t>;</w:t>
      </w:r>
    </w:p>
    <w:p w14:paraId="08993363" w14:textId="7A654613" w:rsidR="00BB41AD" w:rsidRPr="00BB41AD" w:rsidRDefault="00BB41AD" w:rsidP="00BB41AD">
      <w:pPr>
        <w:pStyle w:val="ECCBulletsLv1"/>
        <w:rPr>
          <w:rStyle w:val="ECCParagraph"/>
        </w:rPr>
      </w:pPr>
      <w:r w:rsidRPr="00E2283A">
        <w:rPr>
          <w:rStyle w:val="ECCParagraph"/>
        </w:rPr>
        <w:t>A</w:t>
      </w:r>
      <w:r w:rsidRPr="00BB41AD">
        <w:rPr>
          <w:rStyle w:val="ECCParagraph"/>
        </w:rPr>
        <w:t>ll outdoor RDI sensors under consideration shall be installed in heights from 0 m to 3 m above ground</w:t>
      </w:r>
      <w:r w:rsidR="009654A2">
        <w:rPr>
          <w:rStyle w:val="ECCParagraph"/>
        </w:rPr>
        <w:t>;</w:t>
      </w:r>
    </w:p>
    <w:p w14:paraId="78550D5E" w14:textId="4C776DB8" w:rsidR="00BB41AD" w:rsidRPr="00BB41AD" w:rsidRDefault="00BB41AD" w:rsidP="00BB41AD">
      <w:pPr>
        <w:pStyle w:val="ECCBulletsLv1"/>
      </w:pPr>
      <w:r w:rsidRPr="00E2283A">
        <w:t xml:space="preserve">In order to protect the </w:t>
      </w:r>
      <w:r w:rsidRPr="00F3122D">
        <w:t>Radio Astronomy Service</w:t>
      </w:r>
      <w:r w:rsidRPr="00E2283A">
        <w:t xml:space="preserve">, inside a radius of </w:t>
      </w:r>
      <w:r w:rsidRPr="00BB41AD">
        <w:t>20 km around the stations of NOEMA and IRAM</w:t>
      </w:r>
      <w:r w:rsidR="001909F5">
        <w:t xml:space="preserve"> </w:t>
      </w:r>
      <w:r w:rsidRPr="00BB41AD">
        <w:t xml:space="preserve">30 m, the installation and operation of RDI devices should be prohibited, unless a special authorisation has been provided by the responsible national administration. </w:t>
      </w:r>
      <w:r w:rsidR="00CA1907">
        <w:rPr>
          <w:highlight w:val="yellow"/>
        </w:rPr>
        <w:fldChar w:fldCharType="begin"/>
      </w:r>
      <w:r w:rsidR="00CA1907">
        <w:instrText xml:space="preserve"> REF _Ref66370646 \h </w:instrText>
      </w:r>
      <w:r w:rsidR="00CA1907">
        <w:rPr>
          <w:highlight w:val="yellow"/>
        </w:rPr>
      </w:r>
      <w:r w:rsidR="00CA1907">
        <w:rPr>
          <w:highlight w:val="yellow"/>
        </w:rPr>
        <w:fldChar w:fldCharType="separate"/>
      </w:r>
      <w:r w:rsidR="0041125F" w:rsidRPr="00BB41AD">
        <w:t>Table </w:t>
      </w:r>
      <w:r w:rsidR="0041125F">
        <w:rPr>
          <w:noProof/>
        </w:rPr>
        <w:t>3</w:t>
      </w:r>
      <w:r w:rsidR="00CA1907">
        <w:rPr>
          <w:highlight w:val="yellow"/>
        </w:rPr>
        <w:fldChar w:fldCharType="end"/>
      </w:r>
      <w:r w:rsidR="00CA1907">
        <w:t xml:space="preserve"> </w:t>
      </w:r>
      <w:r w:rsidRPr="00BB41AD">
        <w:t>shows the locations of the two European observatories operating in the frequency range from 116 GHz to 260 GHz</w:t>
      </w:r>
      <w:r w:rsidR="009654A2">
        <w:t>;</w:t>
      </w:r>
    </w:p>
    <w:p w14:paraId="71EEB606" w14:textId="77777777" w:rsidR="00BB41AD" w:rsidRPr="00D827F6" w:rsidRDefault="00BB41AD" w:rsidP="00BB41AD">
      <w:pPr>
        <w:pStyle w:val="ECCBulletsLv1"/>
        <w:rPr>
          <w:shd w:val="solid" w:color="FFFF00" w:fill="auto"/>
        </w:rPr>
      </w:pPr>
      <w:r w:rsidRPr="00BB41AD">
        <w:t>The provider is required to inform the users and installers of RDI equipment about the installation requirements and the additional special mounting instructions.</w:t>
      </w:r>
    </w:p>
    <w:p w14:paraId="6DC9ED27" w14:textId="77777777" w:rsidR="00D827F6" w:rsidRDefault="00D827F6" w:rsidP="00D827F6">
      <w:r>
        <w:t xml:space="preserve">In addition, the following antenna requirement is </w:t>
      </w:r>
      <w:r w:rsidR="00907A5D">
        <w:t>recommended</w:t>
      </w:r>
      <w:r>
        <w:t>:</w:t>
      </w:r>
    </w:p>
    <w:p w14:paraId="769BDD70" w14:textId="77777777" w:rsidR="00D827F6" w:rsidRPr="00D827F6" w:rsidRDefault="00D827F6" w:rsidP="00D827F6">
      <w:pPr>
        <w:pStyle w:val="ECCBulletsLv1"/>
      </w:pPr>
      <w:r w:rsidRPr="00D827F6">
        <w:t xml:space="preserve">For </w:t>
      </w:r>
      <w:r>
        <w:t xml:space="preserve">RDI </w:t>
      </w:r>
      <w:r w:rsidRPr="00D827F6">
        <w:t>devices using an antenna gain smaller than 20</w:t>
      </w:r>
      <w:r>
        <w:t> </w:t>
      </w:r>
      <w:r w:rsidRPr="00D827F6">
        <w:t>dBi, the maximum conducted peak output power shall be limited to 15</w:t>
      </w:r>
      <w:r w:rsidR="00747744">
        <w:t> </w:t>
      </w:r>
      <w:r w:rsidRPr="00D827F6">
        <w:t>dBm.</w:t>
      </w:r>
    </w:p>
    <w:p w14:paraId="548AFDA9" w14:textId="088D9C4D" w:rsidR="00BB41AD" w:rsidRDefault="00BB41AD" w:rsidP="00BB41AD">
      <w:pPr>
        <w:pStyle w:val="Caption"/>
      </w:pPr>
      <w:bookmarkStart w:id="25" w:name="_Ref66370646"/>
      <w:r w:rsidRPr="00BB41AD">
        <w:t>Table </w:t>
      </w:r>
      <w:r>
        <w:fldChar w:fldCharType="begin"/>
      </w:r>
      <w:r>
        <w:instrText>SEQ Table \* ARABIC</w:instrText>
      </w:r>
      <w:r>
        <w:fldChar w:fldCharType="separate"/>
      </w:r>
      <w:r w:rsidR="004F49F9">
        <w:rPr>
          <w:noProof/>
        </w:rPr>
        <w:t>3</w:t>
      </w:r>
      <w:r>
        <w:fldChar w:fldCharType="end"/>
      </w:r>
      <w:bookmarkEnd w:id="25"/>
      <w:r w:rsidRPr="00BB41AD">
        <w:t xml:space="preserve">: </w:t>
      </w:r>
      <w:r w:rsidRPr="00BB41AD">
        <w:rPr>
          <w:rStyle w:val="ECCParagraph"/>
          <w:rFonts w:eastAsia="Calibri"/>
        </w:rPr>
        <w:t>European radio astronomy observatories</w:t>
      </w:r>
      <w:r w:rsidRPr="00BB41AD">
        <w:t xml:space="preserve"> operating in the frequency range 116 GHz to 260 GHz</w:t>
      </w:r>
    </w:p>
    <w:tbl>
      <w:tblPr>
        <w:tblStyle w:val="ECCTable-redheader"/>
        <w:tblW w:w="0" w:type="auto"/>
        <w:tblInd w:w="0" w:type="dxa"/>
        <w:tblLook w:val="04A0" w:firstRow="1" w:lastRow="0" w:firstColumn="1" w:lastColumn="0" w:noHBand="0" w:noVBand="1"/>
      </w:tblPr>
      <w:tblGrid>
        <w:gridCol w:w="2630"/>
        <w:gridCol w:w="3324"/>
        <w:gridCol w:w="1559"/>
        <w:gridCol w:w="1701"/>
      </w:tblGrid>
      <w:tr w:rsidR="00BB41AD" w14:paraId="7A6A6006" w14:textId="77777777" w:rsidTr="00F3122D">
        <w:trPr>
          <w:cnfStyle w:val="100000000000" w:firstRow="1" w:lastRow="0" w:firstColumn="0" w:lastColumn="0" w:oddVBand="0" w:evenVBand="0" w:oddHBand="0" w:evenHBand="0" w:firstRowFirstColumn="0" w:firstRowLastColumn="0" w:lastRowFirstColumn="0" w:lastRowLastColumn="0"/>
        </w:trPr>
        <w:tc>
          <w:tcPr>
            <w:tcW w:w="2630" w:type="dxa"/>
          </w:tcPr>
          <w:p w14:paraId="73320C7D" w14:textId="5EFECDCD" w:rsidR="00BB41AD" w:rsidRPr="00BB41AD" w:rsidRDefault="00BB41AD" w:rsidP="00031A36">
            <w:pPr>
              <w:pStyle w:val="ECCTableHeaderwhitefont"/>
            </w:pPr>
            <w:r w:rsidRPr="00BB41AD">
              <w:t>Country/Administration</w:t>
            </w:r>
          </w:p>
        </w:tc>
        <w:tc>
          <w:tcPr>
            <w:tcW w:w="3324" w:type="dxa"/>
          </w:tcPr>
          <w:p w14:paraId="62161E48" w14:textId="77777777" w:rsidR="00BB41AD" w:rsidRPr="00BB41AD" w:rsidRDefault="00BB41AD" w:rsidP="001B1AC5">
            <w:pPr>
              <w:pStyle w:val="ECCTableHeaderwhitefont"/>
            </w:pPr>
            <w:r w:rsidRPr="00BB41AD">
              <w:t>Observatory name and location</w:t>
            </w:r>
          </w:p>
        </w:tc>
        <w:tc>
          <w:tcPr>
            <w:tcW w:w="1559" w:type="dxa"/>
          </w:tcPr>
          <w:p w14:paraId="05948833" w14:textId="77777777" w:rsidR="00BB41AD" w:rsidRPr="00BB41AD" w:rsidRDefault="00BB41AD" w:rsidP="009D5FA2">
            <w:pPr>
              <w:pStyle w:val="ECCTableHeaderwhitefont"/>
              <w:spacing w:before="0" w:after="0"/>
            </w:pPr>
            <w:r w:rsidRPr="00082234">
              <w:t>Geographic</w:t>
            </w:r>
          </w:p>
          <w:p w14:paraId="2E39D06A" w14:textId="77777777" w:rsidR="00BB41AD" w:rsidRPr="00BB41AD" w:rsidRDefault="00BB41AD" w:rsidP="009D5FA2">
            <w:pPr>
              <w:pStyle w:val="ECCTableHeaderwhitefont"/>
              <w:spacing w:before="0" w:after="0"/>
            </w:pPr>
            <w:r w:rsidRPr="00082234">
              <w:t>Latitude</w:t>
            </w:r>
          </w:p>
        </w:tc>
        <w:tc>
          <w:tcPr>
            <w:tcW w:w="1701" w:type="dxa"/>
          </w:tcPr>
          <w:p w14:paraId="7AFD3BB6" w14:textId="77777777" w:rsidR="00BB41AD" w:rsidRPr="00BB41AD" w:rsidRDefault="00BB41AD" w:rsidP="009D5FA2">
            <w:pPr>
              <w:pStyle w:val="ECCTableHeaderwhitefont"/>
              <w:spacing w:before="0" w:after="0"/>
            </w:pPr>
            <w:r w:rsidRPr="00082234">
              <w:t>Geographic</w:t>
            </w:r>
          </w:p>
          <w:p w14:paraId="5FE8A0B6" w14:textId="77777777" w:rsidR="00BB41AD" w:rsidRPr="00BB41AD" w:rsidRDefault="00BB41AD" w:rsidP="009D5FA2">
            <w:pPr>
              <w:pStyle w:val="ECCTableHeaderwhitefont"/>
              <w:spacing w:before="0" w:after="0"/>
            </w:pPr>
            <w:r w:rsidRPr="00082234">
              <w:t>Longitude</w:t>
            </w:r>
          </w:p>
        </w:tc>
      </w:tr>
      <w:tr w:rsidR="00BB41AD" w:rsidRPr="00213154" w14:paraId="77C79341" w14:textId="77777777" w:rsidTr="00F3122D">
        <w:tc>
          <w:tcPr>
            <w:tcW w:w="2630" w:type="dxa"/>
          </w:tcPr>
          <w:p w14:paraId="5DF2B453" w14:textId="77777777" w:rsidR="00BB41AD" w:rsidRPr="009D5FA2" w:rsidRDefault="00BB41AD" w:rsidP="009D5FA2">
            <w:pPr>
              <w:pStyle w:val="ECCTabletext"/>
            </w:pPr>
            <w:r w:rsidRPr="009D5FA2">
              <w:t>France</w:t>
            </w:r>
          </w:p>
        </w:tc>
        <w:tc>
          <w:tcPr>
            <w:tcW w:w="3324" w:type="dxa"/>
          </w:tcPr>
          <w:p w14:paraId="42FCAE97" w14:textId="77777777" w:rsidR="00BB41AD" w:rsidRPr="009D5FA2" w:rsidRDefault="00BB41AD" w:rsidP="009D5FA2">
            <w:pPr>
              <w:pStyle w:val="ECCTabletext"/>
            </w:pPr>
            <w:r w:rsidRPr="009D5FA2">
              <w:t>NOEMA, Plateau de Bure</w:t>
            </w:r>
          </w:p>
        </w:tc>
        <w:tc>
          <w:tcPr>
            <w:tcW w:w="1559" w:type="dxa"/>
          </w:tcPr>
          <w:p w14:paraId="72C2B9E8" w14:textId="77777777" w:rsidR="00BB41AD" w:rsidRPr="009D5FA2" w:rsidRDefault="00BB41AD" w:rsidP="009D5FA2">
            <w:pPr>
              <w:pStyle w:val="ECCTabletext"/>
            </w:pPr>
            <w:r w:rsidRPr="009D5FA2">
              <w:t>44°38'02" N</w:t>
            </w:r>
          </w:p>
        </w:tc>
        <w:tc>
          <w:tcPr>
            <w:tcW w:w="1701" w:type="dxa"/>
          </w:tcPr>
          <w:p w14:paraId="3362FE6E" w14:textId="77777777" w:rsidR="00BB41AD" w:rsidRPr="009D5FA2" w:rsidRDefault="00BB41AD" w:rsidP="009D5FA2">
            <w:pPr>
              <w:pStyle w:val="ECCTabletext"/>
              <w:jc w:val="left"/>
            </w:pPr>
            <w:r w:rsidRPr="009D5FA2">
              <w:t>05°54'28" E</w:t>
            </w:r>
          </w:p>
        </w:tc>
      </w:tr>
      <w:tr w:rsidR="00BB41AD" w14:paraId="0C5DF276" w14:textId="77777777" w:rsidTr="00F3122D">
        <w:tc>
          <w:tcPr>
            <w:tcW w:w="2630" w:type="dxa"/>
          </w:tcPr>
          <w:p w14:paraId="3E6927E3" w14:textId="77777777" w:rsidR="00BB41AD" w:rsidRPr="009D5FA2" w:rsidRDefault="00BB41AD" w:rsidP="009D5FA2">
            <w:pPr>
              <w:pStyle w:val="ECCTabletext"/>
            </w:pPr>
            <w:r w:rsidRPr="009D5FA2">
              <w:t>Spain</w:t>
            </w:r>
          </w:p>
        </w:tc>
        <w:tc>
          <w:tcPr>
            <w:tcW w:w="3324" w:type="dxa"/>
          </w:tcPr>
          <w:p w14:paraId="632C124B" w14:textId="2C168FA0" w:rsidR="00BB41AD" w:rsidRPr="009D5FA2" w:rsidRDefault="00BB41AD" w:rsidP="009D5FA2">
            <w:pPr>
              <w:pStyle w:val="ECCTabletext"/>
            </w:pPr>
            <w:r w:rsidRPr="009D5FA2">
              <w:t>IRAM</w:t>
            </w:r>
            <w:r w:rsidR="001909F5">
              <w:t xml:space="preserve"> </w:t>
            </w:r>
            <w:r w:rsidRPr="009D5FA2">
              <w:t>30 m, Pico Veleta</w:t>
            </w:r>
          </w:p>
        </w:tc>
        <w:tc>
          <w:tcPr>
            <w:tcW w:w="1559" w:type="dxa"/>
          </w:tcPr>
          <w:p w14:paraId="2CC6B77D" w14:textId="77777777" w:rsidR="00BB41AD" w:rsidRPr="009D5FA2" w:rsidRDefault="00BB41AD" w:rsidP="009D5FA2">
            <w:pPr>
              <w:pStyle w:val="ECCTabletext"/>
            </w:pPr>
            <w:r w:rsidRPr="009D5FA2">
              <w:t>37°04'06" N</w:t>
            </w:r>
          </w:p>
        </w:tc>
        <w:tc>
          <w:tcPr>
            <w:tcW w:w="1701" w:type="dxa"/>
          </w:tcPr>
          <w:p w14:paraId="5E7A13FE" w14:textId="77777777" w:rsidR="00BB41AD" w:rsidRPr="009D5FA2" w:rsidRDefault="00BB41AD" w:rsidP="009D5FA2">
            <w:pPr>
              <w:pStyle w:val="ECCTabletext"/>
              <w:jc w:val="left"/>
            </w:pPr>
            <w:r w:rsidRPr="009D5FA2">
              <w:t>03°23'55" W</w:t>
            </w:r>
          </w:p>
        </w:tc>
      </w:tr>
    </w:tbl>
    <w:p w14:paraId="0B2B3DA9" w14:textId="7EE6EAA2" w:rsidR="00BB41AD" w:rsidRPr="00E2283A" w:rsidRDefault="00CA1907" w:rsidP="00BB41AD">
      <w:r>
        <w:fldChar w:fldCharType="begin"/>
      </w:r>
      <w:r>
        <w:instrText xml:space="preserve"> REF _Ref65588156 \h </w:instrText>
      </w:r>
      <w:r>
        <w:fldChar w:fldCharType="separate"/>
      </w:r>
      <w:r w:rsidR="0041125F" w:rsidRPr="00BB41AD">
        <w:t>Table </w:t>
      </w:r>
      <w:r w:rsidR="0041125F">
        <w:rPr>
          <w:noProof/>
        </w:rPr>
        <w:t>4</w:t>
      </w:r>
      <w:r>
        <w:fldChar w:fldCharType="end"/>
      </w:r>
      <w:r>
        <w:t xml:space="preserve"> </w:t>
      </w:r>
      <w:r w:rsidR="00BB41AD" w:rsidRPr="00E2283A">
        <w:t xml:space="preserve">shows the </w:t>
      </w:r>
      <w:r w:rsidR="00BB41AD">
        <w:t xml:space="preserve">proposed technical limitations under which the compatibility with the investigated Radio Services can be </w:t>
      </w:r>
      <w:r w:rsidR="00907A5D">
        <w:t>achieved</w:t>
      </w:r>
      <w:r w:rsidR="00BB41AD">
        <w:t>.</w:t>
      </w:r>
    </w:p>
    <w:p w14:paraId="14E936FE" w14:textId="1CC14CCD" w:rsidR="00BB41AD" w:rsidRDefault="00BB41AD" w:rsidP="00BB41AD">
      <w:pPr>
        <w:pStyle w:val="Caption"/>
      </w:pPr>
      <w:bookmarkStart w:id="26" w:name="_Ref65588156"/>
      <w:r w:rsidRPr="00BB41AD">
        <w:t>Table </w:t>
      </w:r>
      <w:r>
        <w:fldChar w:fldCharType="begin"/>
      </w:r>
      <w:r>
        <w:instrText>SEQ Table \* ARABIC</w:instrText>
      </w:r>
      <w:r>
        <w:fldChar w:fldCharType="separate"/>
      </w:r>
      <w:r w:rsidR="004F49F9">
        <w:rPr>
          <w:noProof/>
        </w:rPr>
        <w:t>4</w:t>
      </w:r>
      <w:r>
        <w:fldChar w:fldCharType="end"/>
      </w:r>
      <w:bookmarkEnd w:id="26"/>
      <w:r w:rsidRPr="0030332D">
        <w:t xml:space="preserve">: </w:t>
      </w:r>
      <w:bookmarkStart w:id="27" w:name="_Ref65588150"/>
      <w:r>
        <w:t>Proposed t</w:t>
      </w:r>
      <w:r w:rsidRPr="0030332D">
        <w:t xml:space="preserve">echnical </w:t>
      </w:r>
      <w:r>
        <w:t>limitations</w:t>
      </w:r>
      <w:r w:rsidRPr="005F00E5">
        <w:t xml:space="preserve"> for </w:t>
      </w:r>
      <w:r>
        <w:t>RDI</w:t>
      </w:r>
      <w:r w:rsidRPr="005F00E5">
        <w:t xml:space="preserve"> devices</w:t>
      </w:r>
      <w:r>
        <w:t xml:space="preserve"> in </w:t>
      </w:r>
      <w:r w:rsidR="00AA0E73">
        <w:t xml:space="preserve">the </w:t>
      </w:r>
      <w:r>
        <w:t>candidate bands</w:t>
      </w:r>
      <w:bookmarkEnd w:id="27"/>
    </w:p>
    <w:tbl>
      <w:tblPr>
        <w:tblStyle w:val="ECCTable-redheader"/>
        <w:tblW w:w="9918" w:type="dxa"/>
        <w:tblInd w:w="0" w:type="dxa"/>
        <w:tblLook w:val="04A0" w:firstRow="1" w:lastRow="0" w:firstColumn="1" w:lastColumn="0" w:noHBand="0" w:noVBand="1"/>
      </w:tblPr>
      <w:tblGrid>
        <w:gridCol w:w="1790"/>
        <w:gridCol w:w="1324"/>
        <w:gridCol w:w="2423"/>
        <w:gridCol w:w="2053"/>
        <w:gridCol w:w="2328"/>
      </w:tblGrid>
      <w:tr w:rsidR="009D5FA2" w:rsidRPr="00566944" w14:paraId="6D0C33B2" w14:textId="77777777" w:rsidTr="00920F05">
        <w:trPr>
          <w:cnfStyle w:val="100000000000" w:firstRow="1" w:lastRow="0" w:firstColumn="0" w:lastColumn="0" w:oddVBand="0" w:evenVBand="0" w:oddHBand="0" w:evenHBand="0" w:firstRowFirstColumn="0" w:firstRowLastColumn="0" w:lastRowFirstColumn="0" w:lastRowLastColumn="0"/>
        </w:trPr>
        <w:tc>
          <w:tcPr>
            <w:tcW w:w="1790" w:type="dxa"/>
          </w:tcPr>
          <w:p w14:paraId="51EF6366" w14:textId="77777777" w:rsidR="00554750" w:rsidRPr="00554750" w:rsidRDefault="00554750" w:rsidP="00031A36">
            <w:pPr>
              <w:pStyle w:val="ECCTableHeaderwhitefont"/>
            </w:pPr>
            <w:r>
              <w:t xml:space="preserve">Candidate </w:t>
            </w:r>
            <w:r w:rsidRPr="00554750">
              <w:t>frequency band</w:t>
            </w:r>
          </w:p>
        </w:tc>
        <w:tc>
          <w:tcPr>
            <w:tcW w:w="1324" w:type="dxa"/>
          </w:tcPr>
          <w:p w14:paraId="67C51193" w14:textId="77777777" w:rsidR="00554750" w:rsidRPr="00554750" w:rsidRDefault="00554750" w:rsidP="001B1AC5">
            <w:pPr>
              <w:pStyle w:val="ECCTableHeaderwhitefont"/>
            </w:pPr>
            <w:r>
              <w:t>Max</w:t>
            </w:r>
            <w:r w:rsidR="00E651F1">
              <w:t>imum</w:t>
            </w:r>
            <w:r>
              <w:t xml:space="preserve"> d</w:t>
            </w:r>
            <w:r w:rsidRPr="00554750">
              <w:t>uty cycle</w:t>
            </w:r>
          </w:p>
        </w:tc>
        <w:tc>
          <w:tcPr>
            <w:tcW w:w="2423" w:type="dxa"/>
          </w:tcPr>
          <w:p w14:paraId="0E402639" w14:textId="77777777" w:rsidR="00554750" w:rsidRPr="00554750" w:rsidRDefault="00554750" w:rsidP="001B1AC5">
            <w:pPr>
              <w:pStyle w:val="ECCTableHeaderwhitefont"/>
            </w:pPr>
            <w:r>
              <w:t>Max</w:t>
            </w:r>
            <w:r w:rsidRPr="00554750">
              <w:t>imum mean e.i.r.p. spectral density</w:t>
            </w:r>
            <w:r w:rsidR="00E651F1">
              <w:t xml:space="preserve"> (Note 2)</w:t>
            </w:r>
          </w:p>
        </w:tc>
        <w:tc>
          <w:tcPr>
            <w:tcW w:w="2053" w:type="dxa"/>
          </w:tcPr>
          <w:p w14:paraId="4E0708CF" w14:textId="77777777" w:rsidR="00554750" w:rsidRPr="00554750" w:rsidRDefault="00554750" w:rsidP="001B1AC5">
            <w:pPr>
              <w:pStyle w:val="ECCTableHeaderwhitefont"/>
            </w:pPr>
            <w:r>
              <w:t>Max</w:t>
            </w:r>
            <w:r w:rsidRPr="00554750">
              <w:t>imum peak e.i.r.p.</w:t>
            </w:r>
            <w:r w:rsidR="00D61104">
              <w:t xml:space="preserve"> </w:t>
            </w:r>
            <w:r w:rsidR="00D61104" w:rsidRPr="00F55F3A">
              <w:t>(</w:t>
            </w:r>
            <w:r w:rsidR="00A96536">
              <w:t>Note 3</w:t>
            </w:r>
            <w:r w:rsidR="00D61104" w:rsidRPr="00D61104">
              <w:t>)</w:t>
            </w:r>
          </w:p>
        </w:tc>
        <w:tc>
          <w:tcPr>
            <w:tcW w:w="2328" w:type="dxa"/>
          </w:tcPr>
          <w:p w14:paraId="7EE9DE90" w14:textId="77777777" w:rsidR="00554750" w:rsidRPr="00554750" w:rsidRDefault="00554750" w:rsidP="001B1AC5">
            <w:pPr>
              <w:pStyle w:val="ECCTableHeaderwhitefont"/>
            </w:pPr>
            <w:r>
              <w:t>Min</w:t>
            </w:r>
            <w:r w:rsidR="00E651F1">
              <w:t>imum</w:t>
            </w:r>
            <w:r>
              <w:t xml:space="preserve"> </w:t>
            </w:r>
            <w:r w:rsidR="003E0FA9">
              <w:t>unwanted emissions</w:t>
            </w:r>
            <w:r w:rsidR="003E0FA9" w:rsidRPr="003E0FA9">
              <w:t xml:space="preserve"> </w:t>
            </w:r>
            <w:r>
              <w:t>attenuation (Note 1)</w:t>
            </w:r>
          </w:p>
        </w:tc>
      </w:tr>
      <w:tr w:rsidR="009D5FA2" w:rsidRPr="00C53FB5" w14:paraId="1E648874" w14:textId="77777777" w:rsidTr="00920F05">
        <w:tc>
          <w:tcPr>
            <w:tcW w:w="1790" w:type="dxa"/>
          </w:tcPr>
          <w:p w14:paraId="08281766" w14:textId="77777777" w:rsidR="00BB41AD" w:rsidRPr="00BB41AD" w:rsidRDefault="00BB41AD" w:rsidP="001B1AC5">
            <w:pPr>
              <w:pStyle w:val="ECCTabletext"/>
              <w:jc w:val="left"/>
            </w:pPr>
            <w:r w:rsidRPr="00C53FB5">
              <w:t>174</w:t>
            </w:r>
            <w:r w:rsidR="00CF4994">
              <w:t>.8</w:t>
            </w:r>
            <w:r w:rsidRPr="00C53FB5">
              <w:t xml:space="preserve"> to 182 GHz</w:t>
            </w:r>
          </w:p>
        </w:tc>
        <w:tc>
          <w:tcPr>
            <w:tcW w:w="1324" w:type="dxa"/>
          </w:tcPr>
          <w:p w14:paraId="05164E8B" w14:textId="702A0F6E" w:rsidR="00BB41AD" w:rsidRPr="00BB41AD" w:rsidRDefault="00BB41AD" w:rsidP="001B1AC5">
            <w:pPr>
              <w:pStyle w:val="ECCTabletext"/>
              <w:jc w:val="left"/>
            </w:pPr>
            <w:r>
              <w:t>5</w:t>
            </w:r>
            <w:r w:rsidR="00F800A2">
              <w:t>%</w:t>
            </w:r>
          </w:p>
        </w:tc>
        <w:tc>
          <w:tcPr>
            <w:tcW w:w="2423" w:type="dxa"/>
          </w:tcPr>
          <w:p w14:paraId="43CFDD99" w14:textId="77777777" w:rsidR="00BB41AD" w:rsidRPr="00BB41AD" w:rsidRDefault="00BB41AD" w:rsidP="001B1AC5">
            <w:pPr>
              <w:pStyle w:val="ECCTabletext"/>
              <w:jc w:val="left"/>
            </w:pPr>
            <w:r w:rsidRPr="001462D5">
              <w:t>-13</w:t>
            </w:r>
            <w:r w:rsidR="00CF4994">
              <w:t>.8</w:t>
            </w:r>
            <w:r w:rsidRPr="00BB41AD">
              <w:t> dBm/MHz</w:t>
            </w:r>
          </w:p>
        </w:tc>
        <w:tc>
          <w:tcPr>
            <w:tcW w:w="2053" w:type="dxa"/>
          </w:tcPr>
          <w:p w14:paraId="18750BC7" w14:textId="77777777" w:rsidR="00BB41AD" w:rsidRPr="00BB41AD" w:rsidRDefault="00BB41AD" w:rsidP="001B1AC5">
            <w:pPr>
              <w:pStyle w:val="ECCTabletext"/>
              <w:jc w:val="left"/>
            </w:pPr>
            <w:r w:rsidRPr="001462D5">
              <w:t>31 dBm</w:t>
            </w:r>
          </w:p>
        </w:tc>
        <w:tc>
          <w:tcPr>
            <w:tcW w:w="2328" w:type="dxa"/>
          </w:tcPr>
          <w:p w14:paraId="5D5198EC" w14:textId="77777777" w:rsidR="00BB41AD" w:rsidRPr="00BB41AD" w:rsidRDefault="00BB41AD" w:rsidP="001B1AC5">
            <w:pPr>
              <w:pStyle w:val="ECCTabletext"/>
              <w:jc w:val="left"/>
            </w:pPr>
            <w:r w:rsidRPr="00497690">
              <w:t>20 dB</w:t>
            </w:r>
          </w:p>
        </w:tc>
      </w:tr>
      <w:tr w:rsidR="009D5FA2" w:rsidRPr="00C53FB5" w14:paraId="78919107" w14:textId="77777777" w:rsidTr="00920F05">
        <w:tc>
          <w:tcPr>
            <w:tcW w:w="1790" w:type="dxa"/>
          </w:tcPr>
          <w:p w14:paraId="11D38124" w14:textId="77777777" w:rsidR="00BB41AD" w:rsidRPr="00BB41AD" w:rsidRDefault="00BB41AD" w:rsidP="001B1AC5">
            <w:pPr>
              <w:pStyle w:val="ECCTabletext"/>
              <w:jc w:val="left"/>
            </w:pPr>
            <w:r w:rsidRPr="00C53FB5">
              <w:t>185 to 190 GHz</w:t>
            </w:r>
          </w:p>
        </w:tc>
        <w:tc>
          <w:tcPr>
            <w:tcW w:w="1324" w:type="dxa"/>
          </w:tcPr>
          <w:p w14:paraId="7A0E01FD" w14:textId="189EE6A0" w:rsidR="00BB41AD" w:rsidRPr="00BB41AD" w:rsidRDefault="00BB41AD" w:rsidP="001B1AC5">
            <w:pPr>
              <w:pStyle w:val="ECCTabletext"/>
              <w:jc w:val="left"/>
            </w:pPr>
            <w:r>
              <w:t>5</w:t>
            </w:r>
            <w:r w:rsidR="00F800A2">
              <w:t>%</w:t>
            </w:r>
          </w:p>
        </w:tc>
        <w:tc>
          <w:tcPr>
            <w:tcW w:w="2423" w:type="dxa"/>
          </w:tcPr>
          <w:p w14:paraId="066F44CB" w14:textId="20694325" w:rsidR="00BB41AD" w:rsidRPr="00BB41AD" w:rsidRDefault="00BB41AD" w:rsidP="001B1AC5">
            <w:pPr>
              <w:pStyle w:val="ECCTabletext"/>
              <w:jc w:val="left"/>
            </w:pPr>
            <w:r w:rsidRPr="001462D5">
              <w:t>-13</w:t>
            </w:r>
            <w:r w:rsidR="00CF4994">
              <w:t>.</w:t>
            </w:r>
            <w:r w:rsidR="003E165E">
              <w:t>8</w:t>
            </w:r>
            <w:r w:rsidRPr="001462D5">
              <w:t> dBm/MHz</w:t>
            </w:r>
          </w:p>
        </w:tc>
        <w:tc>
          <w:tcPr>
            <w:tcW w:w="2053" w:type="dxa"/>
          </w:tcPr>
          <w:p w14:paraId="75AED937" w14:textId="77777777" w:rsidR="00BB41AD" w:rsidRPr="00BB41AD" w:rsidRDefault="00BB41AD" w:rsidP="001B1AC5">
            <w:pPr>
              <w:pStyle w:val="ECCTabletext"/>
              <w:jc w:val="left"/>
            </w:pPr>
            <w:r w:rsidRPr="001462D5">
              <w:t>31 dBm</w:t>
            </w:r>
          </w:p>
        </w:tc>
        <w:tc>
          <w:tcPr>
            <w:tcW w:w="2328" w:type="dxa"/>
          </w:tcPr>
          <w:p w14:paraId="4FCFF908" w14:textId="77777777" w:rsidR="00BB41AD" w:rsidRPr="00BB41AD" w:rsidRDefault="00BB41AD" w:rsidP="001B1AC5">
            <w:pPr>
              <w:pStyle w:val="ECCTabletext"/>
              <w:jc w:val="left"/>
            </w:pPr>
            <w:r>
              <w:t>20 dB</w:t>
            </w:r>
          </w:p>
        </w:tc>
      </w:tr>
      <w:tr w:rsidR="009D5FA2" w:rsidRPr="00C53FB5" w14:paraId="6979B225" w14:textId="77777777" w:rsidTr="00920F05">
        <w:tc>
          <w:tcPr>
            <w:tcW w:w="1790" w:type="dxa"/>
          </w:tcPr>
          <w:p w14:paraId="0375B3AE" w14:textId="77777777" w:rsidR="00BB41AD" w:rsidRPr="00BB41AD" w:rsidRDefault="00BB41AD" w:rsidP="001B1AC5">
            <w:pPr>
              <w:pStyle w:val="ECCTabletext"/>
              <w:jc w:val="left"/>
            </w:pPr>
            <w:r w:rsidRPr="00C53FB5">
              <w:t>231</w:t>
            </w:r>
            <w:r w:rsidR="00CF4994">
              <w:t>.5</w:t>
            </w:r>
            <w:r w:rsidRPr="00C53FB5">
              <w:t xml:space="preserve"> to </w:t>
            </w:r>
            <w:r w:rsidRPr="00BB41AD">
              <w:t>250 GHz</w:t>
            </w:r>
          </w:p>
        </w:tc>
        <w:tc>
          <w:tcPr>
            <w:tcW w:w="1324" w:type="dxa"/>
          </w:tcPr>
          <w:p w14:paraId="557AD0AF" w14:textId="23023EC0" w:rsidR="00BB41AD" w:rsidRPr="00BB41AD" w:rsidRDefault="00BB41AD" w:rsidP="001B1AC5">
            <w:pPr>
              <w:pStyle w:val="ECCTabletext"/>
              <w:jc w:val="left"/>
            </w:pPr>
            <w:r>
              <w:t>5</w:t>
            </w:r>
            <w:r w:rsidR="00F800A2">
              <w:t>%</w:t>
            </w:r>
          </w:p>
        </w:tc>
        <w:tc>
          <w:tcPr>
            <w:tcW w:w="2423" w:type="dxa"/>
          </w:tcPr>
          <w:p w14:paraId="63A4A56F" w14:textId="77777777" w:rsidR="00BB41AD" w:rsidRPr="00BB41AD" w:rsidRDefault="00BB41AD" w:rsidP="001B1AC5">
            <w:pPr>
              <w:pStyle w:val="ECCTabletext"/>
              <w:jc w:val="left"/>
            </w:pPr>
            <w:r w:rsidRPr="001462D5">
              <w:t>-25</w:t>
            </w:r>
            <w:r w:rsidR="00CF4994">
              <w:t>.6</w:t>
            </w:r>
            <w:r w:rsidRPr="001462D5">
              <w:t> dBm/MHz</w:t>
            </w:r>
          </w:p>
        </w:tc>
        <w:tc>
          <w:tcPr>
            <w:tcW w:w="2053" w:type="dxa"/>
          </w:tcPr>
          <w:p w14:paraId="3E6B87B0" w14:textId="77777777" w:rsidR="00BB41AD" w:rsidRPr="00BB41AD" w:rsidRDefault="00BB41AD" w:rsidP="001B1AC5">
            <w:pPr>
              <w:pStyle w:val="ECCTabletext"/>
              <w:jc w:val="left"/>
            </w:pPr>
            <w:r w:rsidRPr="001462D5">
              <w:t>31 dBm</w:t>
            </w:r>
          </w:p>
        </w:tc>
        <w:tc>
          <w:tcPr>
            <w:tcW w:w="2328" w:type="dxa"/>
          </w:tcPr>
          <w:p w14:paraId="3E414826" w14:textId="77777777" w:rsidR="00BB41AD" w:rsidRPr="00BB41AD" w:rsidRDefault="00BB41AD" w:rsidP="001B1AC5">
            <w:pPr>
              <w:pStyle w:val="ECCTabletext"/>
              <w:jc w:val="left"/>
            </w:pPr>
            <w:r>
              <w:t>20 dB</w:t>
            </w:r>
          </w:p>
        </w:tc>
      </w:tr>
      <w:tr w:rsidR="00BF4A4B" w:rsidRPr="00C53FB5" w14:paraId="6E8967E5" w14:textId="77777777" w:rsidTr="009D5FA2">
        <w:tc>
          <w:tcPr>
            <w:tcW w:w="9918" w:type="dxa"/>
            <w:gridSpan w:val="5"/>
          </w:tcPr>
          <w:p w14:paraId="7CB41532" w14:textId="47221F22" w:rsidR="00BF4A4B" w:rsidRPr="00BF4A4B" w:rsidRDefault="00BF4A4B" w:rsidP="00464AE0">
            <w:pPr>
              <w:pStyle w:val="ECCTablenote"/>
            </w:pPr>
            <w:r w:rsidRPr="00095340">
              <w:t xml:space="preserve">Note 1: </w:t>
            </w:r>
            <w:r w:rsidR="00197774" w:rsidRPr="001B0CBB">
              <w:t xml:space="preserve">The operating frequency range (OFR) is defined over the 20 dB reduction of the </w:t>
            </w:r>
            <w:r w:rsidR="00114106">
              <w:t>intentional transmission</w:t>
            </w:r>
            <w:r w:rsidR="00197774" w:rsidRPr="00197774">
              <w:t xml:space="preserve"> (20 dB bandwidth) radiated by the equipment into the air and shall remain in the candidate frequency bands. The unwanted emissions attenuation applies to the frequencies outside the OFR and is to be reduced from the maximum mean e.i.r.p. spectral density and the maximum peak e.i.r.p. The measurement bandwidth for the unwanted emissions domain is 1 MHz.</w:t>
            </w:r>
          </w:p>
          <w:p w14:paraId="239E249D" w14:textId="7D19670C" w:rsidR="00BF4A4B" w:rsidRDefault="00BF4A4B" w:rsidP="00464AE0">
            <w:pPr>
              <w:pStyle w:val="ECCTablenote"/>
            </w:pPr>
            <w:r>
              <w:t>Note 2:</w:t>
            </w:r>
            <w:r w:rsidRPr="00BF4A4B">
              <w:t xml:space="preserve"> The maximum duty cycle of 5</w:t>
            </w:r>
            <w:r w:rsidR="00F800A2">
              <w:t>%</w:t>
            </w:r>
            <w:r w:rsidRPr="00BF4A4B">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04EF61D9" w14:textId="0311338C" w:rsidR="00A96536" w:rsidRDefault="00A96536" w:rsidP="00464AE0">
            <w:pPr>
              <w:pStyle w:val="ECCTablenote"/>
            </w:pPr>
            <w:r>
              <w:t>Note 3: T</w:t>
            </w:r>
            <w:r w:rsidRPr="00A96536">
              <w:t>he max</w:t>
            </w:r>
            <w:r w:rsidR="00114106">
              <w:t>imum</w:t>
            </w:r>
            <w:r w:rsidRPr="00A96536">
              <w:t xml:space="preserve"> peak e.i.r.p. shall be measured/evaluated in 1 GHz bandwidth.</w:t>
            </w:r>
          </w:p>
        </w:tc>
      </w:tr>
    </w:tbl>
    <w:p w14:paraId="1111F08D" w14:textId="77777777" w:rsidR="00D70800" w:rsidRDefault="00D70800" w:rsidP="00D70800">
      <w:pPr>
        <w:pStyle w:val="Heading2"/>
      </w:pPr>
      <w:bookmarkStart w:id="28" w:name="_Toc84325230"/>
      <w:bookmarkStart w:id="29" w:name="_Toc127346214"/>
      <w:r>
        <w:t>Short-range assist and surrounding monitoring for vehicles and autonomous systems</w:t>
      </w:r>
      <w:bookmarkEnd w:id="28"/>
      <w:bookmarkEnd w:id="29"/>
    </w:p>
    <w:p w14:paraId="784609B7" w14:textId="77777777" w:rsidR="000F706A" w:rsidRDefault="007351FD" w:rsidP="000F706A">
      <w:r w:rsidRPr="007351FD">
        <w:t>To perform different functionalities for driving assistance, cars are equipped with different type</w:t>
      </w:r>
      <w:r>
        <w:t>s</w:t>
      </w:r>
      <w:r w:rsidRPr="007351FD">
        <w:t xml:space="preserve"> of radars that are integrated in specific positions onboard the vehicle. Front and corner radars are currently used for applications requiring long and medium range such as automatic cruise control, lane keep, lane change assist</w:t>
      </w:r>
      <w:r w:rsidR="004A1876">
        <w:t xml:space="preserve"> and</w:t>
      </w:r>
      <w:r w:rsidRPr="007351FD">
        <w:t xml:space="preserve"> automatic emergency braking</w:t>
      </w:r>
      <w:r w:rsidR="004A1876">
        <w:t xml:space="preserve">. </w:t>
      </w:r>
      <w:r w:rsidRPr="007351FD">
        <w:t>On the other hand, future applications</w:t>
      </w:r>
      <w:r w:rsidR="004A1876">
        <w:t>,</w:t>
      </w:r>
      <w:r w:rsidRPr="007351FD">
        <w:t xml:space="preserve"> providing the vehicle with higher degree of autonomy</w:t>
      </w:r>
      <w:r w:rsidR="004A1876">
        <w:t>,</w:t>
      </w:r>
      <w:r w:rsidRPr="007351FD">
        <w:t xml:space="preserve"> require </w:t>
      </w:r>
      <w:r>
        <w:t>short</w:t>
      </w:r>
      <w:r w:rsidR="004A1876">
        <w:t>-</w:t>
      </w:r>
      <w:r>
        <w:t xml:space="preserve"> and </w:t>
      </w:r>
      <w:r w:rsidRPr="007351FD">
        <w:t xml:space="preserve">ultra-short-range radars for </w:t>
      </w:r>
      <w:r>
        <w:t>front</w:t>
      </w:r>
      <w:r w:rsidR="004A1876">
        <w:t>-</w:t>
      </w:r>
      <w:r>
        <w:t xml:space="preserve">, </w:t>
      </w:r>
      <w:r w:rsidRPr="007351FD">
        <w:t>side</w:t>
      </w:r>
      <w:r w:rsidR="004A1876">
        <w:t>-</w:t>
      </w:r>
      <w:r>
        <w:t xml:space="preserve"> and rear</w:t>
      </w:r>
      <w:r w:rsidRPr="007351FD">
        <w:t>-view</w:t>
      </w:r>
      <w:r>
        <w:t>, such that 360° sensing is enabled</w:t>
      </w:r>
      <w:r w:rsidRPr="007351FD">
        <w:t xml:space="preserve">. </w:t>
      </w:r>
      <w:r>
        <w:t>Those</w:t>
      </w:r>
      <w:r w:rsidRPr="007351FD">
        <w:t xml:space="preserve"> radars would allow to obtain a wide field of view (</w:t>
      </w:r>
      <w:r w:rsidR="004A1876">
        <w:t xml:space="preserve">in </w:t>
      </w:r>
      <w:r w:rsidRPr="007351FD">
        <w:t xml:space="preserve">elevation and azimuth) in the close proximity of the vehicle </w:t>
      </w:r>
      <w:r w:rsidR="004A1876">
        <w:t>required for</w:t>
      </w:r>
      <w:r w:rsidRPr="007351FD">
        <w:t xml:space="preserve"> features like automated parking assistance</w:t>
      </w:r>
      <w:r w:rsidR="004A1876">
        <w:t>.</w:t>
      </w:r>
    </w:p>
    <w:p w14:paraId="31EFB009" w14:textId="178FF6AB" w:rsidR="00A0629A" w:rsidRDefault="001B3E0C" w:rsidP="00A0629A">
      <w:r>
        <w:t xml:space="preserve">For short-range assist and surrounding monitoring for vehicles and autonomous systems the candidate frequency bands </w:t>
      </w:r>
      <w:r w:rsidRPr="00300D7E">
        <w:rPr>
          <w:rStyle w:val="ECCParagraph"/>
        </w:rPr>
        <w:t>116 to 130 GHz</w:t>
      </w:r>
      <w:r>
        <w:rPr>
          <w:rStyle w:val="ECCParagraph"/>
        </w:rPr>
        <w:t xml:space="preserve">, </w:t>
      </w:r>
      <w:r w:rsidRPr="00300D7E">
        <w:rPr>
          <w:rStyle w:val="ECCParagraph"/>
        </w:rPr>
        <w:t>134 to 141 GHz</w:t>
      </w:r>
      <w:r>
        <w:rPr>
          <w:rStyle w:val="ECCParagraph"/>
        </w:rPr>
        <w:t xml:space="preserve"> and 141 to 148.5 GHz have been studied. </w:t>
      </w:r>
      <w:r w:rsidR="00907A5D">
        <w:rPr>
          <w:rStyle w:val="ECCParagraph"/>
        </w:rPr>
        <w:t xml:space="preserve">Based on the results of this analysis </w:t>
      </w:r>
      <w:r>
        <w:t>in none of the mentioned frequency ranges</w:t>
      </w:r>
      <w:r>
        <w:rPr>
          <w:rStyle w:val="ECCParagraph"/>
        </w:rPr>
        <w:t xml:space="preserve"> </w:t>
      </w:r>
      <w:r>
        <w:t xml:space="preserve">compatibility between short-range assist and the investigated Radio Services </w:t>
      </w:r>
      <w:r w:rsidR="00907A5D">
        <w:t xml:space="preserve">could </w:t>
      </w:r>
      <w:r>
        <w:t xml:space="preserve">be </w:t>
      </w:r>
      <w:r w:rsidR="00907A5D">
        <w:t>achieved</w:t>
      </w:r>
      <w:r>
        <w:t xml:space="preserve"> under the technical assumptions used in the studies (see </w:t>
      </w:r>
      <w:r w:rsidR="009D5FA2">
        <w:t>section</w:t>
      </w:r>
      <w:r>
        <w:t xml:space="preserve"> </w:t>
      </w:r>
      <w:r>
        <w:fldChar w:fldCharType="begin"/>
      </w:r>
      <w:r>
        <w:instrText xml:space="preserve"> REF _Ref20313340 \r \h </w:instrText>
      </w:r>
      <w:r>
        <w:fldChar w:fldCharType="separate"/>
      </w:r>
      <w:r w:rsidR="004F49F9">
        <w:t>2.2.3.3</w:t>
      </w:r>
      <w:r>
        <w:fldChar w:fldCharType="end"/>
      </w:r>
      <w:r>
        <w:t xml:space="preserve"> and </w:t>
      </w:r>
      <w:r>
        <w:fldChar w:fldCharType="begin"/>
      </w:r>
      <w:r>
        <w:instrText xml:space="preserve"> REF _Ref67226273 \h </w:instrText>
      </w:r>
      <w:r>
        <w:fldChar w:fldCharType="separate"/>
      </w:r>
      <w:r w:rsidR="0041125F" w:rsidRPr="00477961">
        <w:t>Table </w:t>
      </w:r>
      <w:r w:rsidR="0041125F">
        <w:rPr>
          <w:noProof/>
        </w:rPr>
        <w:t>89</w:t>
      </w:r>
      <w:r>
        <w:fldChar w:fldCharType="end"/>
      </w:r>
      <w:r>
        <w:t xml:space="preserve">). </w:t>
      </w:r>
      <w:r w:rsidR="00A0629A" w:rsidRPr="00A0629A">
        <w:t>This conclusion has been initially drawn for a maximum e</w:t>
      </w:r>
      <w:r w:rsidR="00A0629A">
        <w:t>.</w:t>
      </w:r>
      <w:r w:rsidR="00A0629A" w:rsidRPr="00A0629A">
        <w:t>i</w:t>
      </w:r>
      <w:r w:rsidR="00A0629A">
        <w:t>.</w:t>
      </w:r>
      <w:r w:rsidR="00A0629A" w:rsidRPr="00A0629A">
        <w:t>r</w:t>
      </w:r>
      <w:r w:rsidR="00A0629A">
        <w:t>.</w:t>
      </w:r>
      <w:r w:rsidR="00A0629A" w:rsidRPr="00A0629A">
        <w:t>p</w:t>
      </w:r>
      <w:r w:rsidR="00A0629A">
        <w:t>.</w:t>
      </w:r>
      <w:r w:rsidR="00A0629A" w:rsidRPr="00A0629A">
        <w:t xml:space="preserve"> of 47</w:t>
      </w:r>
      <w:r w:rsidR="00A0629A">
        <w:t> </w:t>
      </w:r>
      <w:r w:rsidR="00A0629A" w:rsidRPr="00A0629A">
        <w:t xml:space="preserve">dBm and has been further confirmed even with </w:t>
      </w:r>
      <w:r w:rsidR="00A8216F">
        <w:t xml:space="preserve">a </w:t>
      </w:r>
      <w:r w:rsidR="00A0629A" w:rsidRPr="00A0629A">
        <w:t>decreased e</w:t>
      </w:r>
      <w:r w:rsidR="00A0629A">
        <w:t>.</w:t>
      </w:r>
      <w:r w:rsidR="00A0629A" w:rsidRPr="00A0629A">
        <w:t>i</w:t>
      </w:r>
      <w:r w:rsidR="00A0629A">
        <w:t>.</w:t>
      </w:r>
      <w:r w:rsidR="00A0629A" w:rsidRPr="00A0629A">
        <w:t>r</w:t>
      </w:r>
      <w:r w:rsidR="00A0629A">
        <w:t>.</w:t>
      </w:r>
      <w:r w:rsidR="00A0629A" w:rsidRPr="00A0629A">
        <w:t>p</w:t>
      </w:r>
      <w:r w:rsidR="00A0629A">
        <w:t>.</w:t>
      </w:r>
      <w:r w:rsidR="00A0629A" w:rsidRPr="00A0629A">
        <w:t xml:space="preserve"> of 40</w:t>
      </w:r>
      <w:r w:rsidR="00A0629A">
        <w:t> </w:t>
      </w:r>
      <w:r w:rsidR="00A0629A" w:rsidRPr="00A0629A">
        <w:t>dBm and 26</w:t>
      </w:r>
      <w:r w:rsidR="00A0629A">
        <w:t> </w:t>
      </w:r>
      <w:r w:rsidR="00A0629A" w:rsidRPr="00A0629A">
        <w:t>dBm.</w:t>
      </w:r>
    </w:p>
    <w:p w14:paraId="53411B2A" w14:textId="77777777" w:rsidR="001B3E0C" w:rsidRDefault="001B3E0C" w:rsidP="001B3E0C">
      <w:pPr>
        <w:rPr>
          <w:rStyle w:val="ECCParagraph"/>
        </w:rPr>
      </w:pPr>
      <w:r>
        <w:rPr>
          <w:rStyle w:val="ECCParagraph"/>
        </w:rPr>
        <w:t>The following protection requirement has been assumed:</w:t>
      </w:r>
    </w:p>
    <w:p w14:paraId="03BC088E" w14:textId="7F87CE79" w:rsidR="001B3E0C" w:rsidRPr="00300D7E" w:rsidRDefault="001B3E0C" w:rsidP="001B3E0C">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5FA0F172" w14:textId="29FCE97F" w:rsidR="00A0629A" w:rsidRDefault="00A0629A" w:rsidP="00A0629A">
      <w:r>
        <w:t>Despite the fact that</w:t>
      </w:r>
      <w:r w:rsidR="00CA5072">
        <w:t xml:space="preserve"> studies for the other relevant Radio Services, FS and Amateur, have not been conducted</w:t>
      </w:r>
      <w:r>
        <w:t xml:space="preserve">, </w:t>
      </w:r>
      <w:r w:rsidRPr="00A0629A">
        <w:t xml:space="preserve">it </w:t>
      </w:r>
      <w:r w:rsidR="00907A5D">
        <w:t>was considered</w:t>
      </w:r>
      <w:r w:rsidR="00907A5D" w:rsidRPr="00A0629A">
        <w:t xml:space="preserve"> </w:t>
      </w:r>
      <w:r w:rsidRPr="00A0629A">
        <w:t xml:space="preserve">sufficient </w:t>
      </w:r>
      <w:r w:rsidR="00907A5D">
        <w:t xml:space="preserve">at this </w:t>
      </w:r>
      <w:r w:rsidR="004C4345">
        <w:t xml:space="preserve">time </w:t>
      </w:r>
      <w:r w:rsidRPr="00A0629A">
        <w:t xml:space="preserve">to conclude that </w:t>
      </w:r>
      <w:r w:rsidR="00E765BE">
        <w:t>,</w:t>
      </w:r>
      <w:r w:rsidR="00137FAF" w:rsidRPr="00137FAF">
        <w:t xml:space="preserve"> under the technical assumptions proposed by the industry (see </w:t>
      </w:r>
      <w:r w:rsidR="00137FAF">
        <w:fldChar w:fldCharType="begin"/>
      </w:r>
      <w:r w:rsidR="00137FAF">
        <w:instrText xml:space="preserve"> REF _Ref67226273 \h </w:instrText>
      </w:r>
      <w:r w:rsidR="00137FAF">
        <w:fldChar w:fldCharType="separate"/>
      </w:r>
      <w:r w:rsidR="0041125F" w:rsidRPr="00477961">
        <w:t>Table </w:t>
      </w:r>
      <w:r w:rsidR="0041125F">
        <w:rPr>
          <w:noProof/>
        </w:rPr>
        <w:t>89</w:t>
      </w:r>
      <w:r w:rsidR="00137FAF">
        <w:fldChar w:fldCharType="end"/>
      </w:r>
      <w:r w:rsidR="00137FAF" w:rsidRPr="00137FAF">
        <w:t>)</w:t>
      </w:r>
      <w:r w:rsidR="00137FAF">
        <w:t xml:space="preserve"> </w:t>
      </w:r>
      <w:r w:rsidRPr="00A0629A">
        <w:t xml:space="preserve">these UWB applications </w:t>
      </w:r>
      <w:r w:rsidR="00907A5D">
        <w:t>should not</w:t>
      </w:r>
      <w:r w:rsidR="00907A5D" w:rsidRPr="00A0629A">
        <w:t xml:space="preserve"> </w:t>
      </w:r>
      <w:r w:rsidRPr="00A0629A">
        <w:t xml:space="preserve">be authorised to operate in the </w:t>
      </w:r>
      <w:r w:rsidR="001230DD">
        <w:t xml:space="preserve">investigated </w:t>
      </w:r>
      <w:r w:rsidRPr="00A0629A">
        <w:t xml:space="preserve">candidate bands </w:t>
      </w:r>
      <w:r w:rsidR="001230DD">
        <w:t xml:space="preserve">(see </w:t>
      </w:r>
      <w:r w:rsidR="009D5FA2">
        <w:t>section</w:t>
      </w:r>
      <w:r w:rsidR="001230DD">
        <w:t xml:space="preserve"> </w:t>
      </w:r>
      <w:r w:rsidR="001230DD">
        <w:fldChar w:fldCharType="begin"/>
      </w:r>
      <w:r w:rsidR="001230DD">
        <w:instrText xml:space="preserve"> REF _Ref67225688 \r \h </w:instrText>
      </w:r>
      <w:r w:rsidR="001230DD">
        <w:fldChar w:fldCharType="separate"/>
      </w:r>
      <w:r w:rsidR="004F49F9">
        <w:t>2.2.3.2</w:t>
      </w:r>
      <w:r w:rsidR="001230DD">
        <w:fldChar w:fldCharType="end"/>
      </w:r>
      <w:r w:rsidR="001230DD">
        <w:t>)</w:t>
      </w:r>
      <w:r w:rsidR="00F84742" w:rsidRPr="00A0629A" w:rsidDel="00F84742">
        <w:t xml:space="preserve"> </w:t>
      </w:r>
    </w:p>
    <w:p w14:paraId="60472654" w14:textId="4CF3BD1A" w:rsidR="00011827" w:rsidRDefault="00011827" w:rsidP="00A0629A">
      <w:pPr>
        <w:rPr>
          <w:rStyle w:val="ECCParagraph"/>
        </w:rPr>
      </w:pPr>
      <w:r w:rsidRPr="00011827">
        <w:rPr>
          <w:rStyle w:val="ECCParagraph"/>
        </w:rPr>
        <w:t xml:space="preserve">Further studies have been conducted which resulted in ECC Report 351 </w:t>
      </w:r>
      <w:r w:rsidR="006E572E">
        <w:rPr>
          <w:rStyle w:val="ECCParagraph"/>
        </w:rPr>
        <w:fldChar w:fldCharType="begin"/>
      </w:r>
      <w:r w:rsidR="006E572E">
        <w:rPr>
          <w:rStyle w:val="ECCParagraph"/>
        </w:rPr>
        <w:instrText xml:space="preserve"> REF ECCRep351 \w \h </w:instrText>
      </w:r>
      <w:r w:rsidR="006E572E">
        <w:rPr>
          <w:rStyle w:val="ECCParagraph"/>
        </w:rPr>
      </w:r>
      <w:r w:rsidR="006E572E">
        <w:rPr>
          <w:rStyle w:val="ECCParagraph"/>
        </w:rPr>
        <w:fldChar w:fldCharType="separate"/>
      </w:r>
      <w:r w:rsidR="004F49F9">
        <w:rPr>
          <w:rStyle w:val="ECCParagraph"/>
        </w:rPr>
        <w:t>[72]</w:t>
      </w:r>
      <w:r w:rsidR="006E572E">
        <w:rPr>
          <w:rStyle w:val="ECCParagraph"/>
        </w:rPr>
        <w:fldChar w:fldCharType="end"/>
      </w:r>
      <w:r w:rsidR="006E572E">
        <w:rPr>
          <w:rStyle w:val="ECCParagraph"/>
        </w:rPr>
        <w:t xml:space="preserve"> </w:t>
      </w:r>
      <w:r w:rsidRPr="00011827">
        <w:rPr>
          <w:rStyle w:val="ECCParagraph"/>
        </w:rPr>
        <w:t>in order to address the latest insight in the technical assumptions in bands adjacent to EESS (passive)</w:t>
      </w:r>
      <w:r w:rsidR="00D07E94">
        <w:rPr>
          <w:rStyle w:val="ECCParagraph"/>
        </w:rPr>
        <w:t xml:space="preserve"> bands</w:t>
      </w:r>
      <w:r w:rsidRPr="00011827">
        <w:rPr>
          <w:rStyle w:val="ECCParagraph"/>
        </w:rPr>
        <w:t>.</w:t>
      </w:r>
    </w:p>
    <w:p w14:paraId="20890F72" w14:textId="77777777" w:rsidR="00D70800" w:rsidRDefault="00D70800" w:rsidP="00D70800">
      <w:pPr>
        <w:pStyle w:val="Heading2"/>
      </w:pPr>
      <w:bookmarkStart w:id="30" w:name="_Toc84325231"/>
      <w:bookmarkStart w:id="31" w:name="_Toc127346215"/>
      <w:r>
        <w:t>Ground based synthetic aperture radar (GBSAR)</w:t>
      </w:r>
      <w:bookmarkEnd w:id="30"/>
      <w:bookmarkEnd w:id="31"/>
    </w:p>
    <w:p w14:paraId="452251D8" w14:textId="77777777" w:rsidR="00D70800" w:rsidRPr="005138A3" w:rsidRDefault="00D70800" w:rsidP="00D70800">
      <w:r>
        <w:t xml:space="preserve">Ground based synthetic aperture radar </w:t>
      </w:r>
      <w:r>
        <w:rPr>
          <w:rStyle w:val="ECCParagraph"/>
        </w:rPr>
        <w:t>(GBSAR)</w:t>
      </w:r>
      <w:r w:rsidRPr="00BB41AD">
        <w:rPr>
          <w:rStyle w:val="ECCParagraph"/>
        </w:rPr>
        <w:t xml:space="preserve"> is </w:t>
      </w:r>
      <w:r w:rsidRPr="00865EFA">
        <w:rPr>
          <w:rStyle w:val="ECCParagraph"/>
        </w:rPr>
        <w:t>a</w:t>
      </w:r>
      <w:r>
        <w:rPr>
          <w:rStyle w:val="ECCParagraph"/>
        </w:rPr>
        <w:t xml:space="preserve"> </w:t>
      </w:r>
      <w:r w:rsidRPr="00865EFA">
        <w:rPr>
          <w:rStyle w:val="ECCParagraph"/>
        </w:rPr>
        <w:t>professional application</w:t>
      </w:r>
      <w:r>
        <w:rPr>
          <w:rStyle w:val="ECCParagraph"/>
        </w:rPr>
        <w:t xml:space="preserve"> </w:t>
      </w:r>
      <w:r w:rsidRPr="00BB41AD">
        <w:rPr>
          <w:rStyle w:val="ECCParagraph"/>
        </w:rPr>
        <w:t xml:space="preserve">used </w:t>
      </w:r>
      <w:r w:rsidRPr="003435BD">
        <w:t>to remotely monitor the displacements of thousands of points over a surface with a high accuracy</w:t>
      </w:r>
      <w:r>
        <w:t xml:space="preserve">. </w:t>
      </w:r>
      <w:r w:rsidRPr="005138A3">
        <w:t>The displacement information is in general used to provide early warning</w:t>
      </w:r>
      <w:r>
        <w:t>s</w:t>
      </w:r>
      <w:r w:rsidRPr="005138A3">
        <w:t xml:space="preserve"> in case of deformation</w:t>
      </w:r>
      <w:r>
        <w:t>,</w:t>
      </w:r>
      <w:r w:rsidRPr="005138A3">
        <w:t xml:space="preserve"> having magnitude and rate indicative of hazardous instabilities of the monitored scenario.</w:t>
      </w:r>
      <w:r>
        <w:t xml:space="preserve"> Such radars are used in order to</w:t>
      </w:r>
      <w:r w:rsidRPr="003435BD">
        <w:t xml:space="preserve"> </w:t>
      </w:r>
      <w:r>
        <w:t xml:space="preserve">improve the safety standard for </w:t>
      </w:r>
      <w:r w:rsidRPr="003435BD">
        <w:t>a wide range of applications</w:t>
      </w:r>
      <w:r>
        <w:t xml:space="preserve"> such as:</w:t>
      </w:r>
    </w:p>
    <w:p w14:paraId="50AAA59B" w14:textId="30A510AE" w:rsidR="00D70800" w:rsidRPr="005138A3" w:rsidRDefault="00D70800" w:rsidP="00D70800">
      <w:pPr>
        <w:pStyle w:val="ECCBulletsLv1"/>
      </w:pPr>
      <w:r w:rsidRPr="004C7709">
        <w:t>Structural Health Monitoring (SHM)</w:t>
      </w:r>
      <w:r w:rsidR="009654A2">
        <w:t>;</w:t>
      </w:r>
    </w:p>
    <w:p w14:paraId="3DA018DB" w14:textId="51389578" w:rsidR="00D70800" w:rsidRDefault="00D70800" w:rsidP="00D70800">
      <w:pPr>
        <w:pStyle w:val="ECCBulletsLv1"/>
      </w:pPr>
      <w:r w:rsidRPr="004C7709">
        <w:t xml:space="preserve">Slope </w:t>
      </w:r>
      <w:r>
        <w:t>S</w:t>
      </w:r>
      <w:r w:rsidRPr="004C7709">
        <w:t xml:space="preserve">tability </w:t>
      </w:r>
      <w:r>
        <w:t>M</w:t>
      </w:r>
      <w:r w:rsidRPr="004C7709">
        <w:t>onitoring</w:t>
      </w:r>
      <w:r w:rsidR="009654A2">
        <w:t>;</w:t>
      </w:r>
    </w:p>
    <w:p w14:paraId="41E65277" w14:textId="77777777" w:rsidR="00D70800" w:rsidRPr="005138A3" w:rsidRDefault="00D70800" w:rsidP="00D70800">
      <w:pPr>
        <w:pStyle w:val="ECCBulletsLv1"/>
      </w:pPr>
      <w:r w:rsidRPr="004C7709">
        <w:t xml:space="preserve">Tunnel </w:t>
      </w:r>
      <w:r>
        <w:t>M</w:t>
      </w:r>
      <w:r w:rsidRPr="004C7709">
        <w:t>onitoring</w:t>
      </w:r>
      <w:r>
        <w:t>.</w:t>
      </w:r>
    </w:p>
    <w:p w14:paraId="3BF66EF4" w14:textId="77777777" w:rsidR="00D70800" w:rsidRDefault="00D70800" w:rsidP="00D70800">
      <w:r>
        <w:t>The conducted studies show that GBSAR</w:t>
      </w:r>
      <w:r w:rsidR="002C45CB">
        <w:t>, operated in the band 134 to 141 GHz,</w:t>
      </w:r>
      <w:r>
        <w:t xml:space="preserve"> can </w:t>
      </w:r>
      <w:r w:rsidR="00907A5D">
        <w:t xml:space="preserve">achieve </w:t>
      </w:r>
      <w:r>
        <w:t xml:space="preserve">compatibility with the Earth Exploration Satellite Service (passive) if the maximum mean </w:t>
      </w:r>
      <w:r w:rsidR="00554750">
        <w:t>e.i.r.p.</w:t>
      </w:r>
      <w:r>
        <w:t xml:space="preserve"> spectral density can be limited to </w:t>
      </w:r>
      <w:r>
        <w:noBreakHyphen/>
        <w:t>21</w:t>
      </w:r>
      <w:r w:rsidR="00CF4994">
        <w:t>.8</w:t>
      </w:r>
      <w:r>
        <w:t xml:space="preserve"> dBm/MHz in adjacent bands </w:t>
      </w:r>
      <w:r w:rsidR="00B712F4">
        <w:t xml:space="preserve">(unwanted emissions domain) </w:t>
      </w:r>
      <w:r>
        <w:t>allocated to this service. However, studies for the other relevant Radio Services</w:t>
      </w:r>
      <w:r w:rsidR="00CA5072">
        <w:t>, RAS, FS and Amateur,</w:t>
      </w:r>
      <w:r>
        <w:t xml:space="preserve"> have not been conducted. A conclusion whether compatibility </w:t>
      </w:r>
      <w:r w:rsidR="00907A5D">
        <w:t xml:space="preserve">with </w:t>
      </w:r>
      <w:r>
        <w:t xml:space="preserve">these services can also be </w:t>
      </w:r>
      <w:r w:rsidR="00907A5D">
        <w:t>achieved cannot be drawn at this time</w:t>
      </w:r>
      <w:r>
        <w:t>.</w:t>
      </w:r>
    </w:p>
    <w:p w14:paraId="780B6AAB" w14:textId="77777777" w:rsidR="00D70800" w:rsidRDefault="00D70800" w:rsidP="00D70800">
      <w:pPr>
        <w:pStyle w:val="Heading2"/>
      </w:pPr>
      <w:bookmarkStart w:id="32" w:name="_Toc84325232"/>
      <w:bookmarkStart w:id="33" w:name="_Toc127346216"/>
      <w:r>
        <w:t>Level probing radar (LPR)</w:t>
      </w:r>
      <w:bookmarkEnd w:id="32"/>
      <w:bookmarkEnd w:id="33"/>
    </w:p>
    <w:p w14:paraId="69080EC4" w14:textId="77777777" w:rsidR="00D70800" w:rsidRPr="00BB41AD" w:rsidRDefault="00D70800" w:rsidP="00DF4682">
      <w:pPr>
        <w:rPr>
          <w:rStyle w:val="ECCParagraph"/>
        </w:rPr>
      </w:pPr>
      <w:r w:rsidRPr="00BB41AD">
        <w:rPr>
          <w:rStyle w:val="ECCParagraph"/>
        </w:rPr>
        <w:t xml:space="preserve">Level probing radar (LPR) is </w:t>
      </w:r>
      <w:r w:rsidRPr="00865EFA">
        <w:rPr>
          <w:rStyle w:val="ECCParagraph"/>
        </w:rPr>
        <w:t>an industrial and professional application</w:t>
      </w:r>
      <w:r>
        <w:rPr>
          <w:rStyle w:val="ECCParagraph"/>
        </w:rPr>
        <w:t xml:space="preserve"> </w:t>
      </w:r>
      <w:r w:rsidRPr="00BB41AD">
        <w:rPr>
          <w:rStyle w:val="ECCParagraph"/>
        </w:rPr>
        <w:t>used in many industries to measure the distance to the surface of various materials and substances (mostly liquids and solids) and thus indirectly the amount of these goods in open-air areas or in tanks with non-attenuating shells (e.g. plastic tanks).</w:t>
      </w:r>
    </w:p>
    <w:p w14:paraId="752B5DBA" w14:textId="77777777" w:rsidR="00D70800" w:rsidRPr="00BB41AD" w:rsidRDefault="00907A5D" w:rsidP="00ED69E3">
      <w:pPr>
        <w:pStyle w:val="ECCTabletext"/>
        <w:keepNext/>
        <w:spacing w:before="240"/>
        <w:rPr>
          <w:rStyle w:val="ECCParagraph"/>
        </w:rPr>
      </w:pPr>
      <w:r>
        <w:rPr>
          <w:rStyle w:val="ECCParagraph"/>
        </w:rPr>
        <w:t>It is recommended that a</w:t>
      </w:r>
      <w:r w:rsidR="00D70800" w:rsidRPr="00BB41AD">
        <w:rPr>
          <w:rStyle w:val="ECCParagraph"/>
        </w:rPr>
        <w:t xml:space="preserve">ll level probing radars </w:t>
      </w:r>
      <w:r w:rsidR="00A1483A">
        <w:rPr>
          <w:rStyle w:val="ECCParagraph"/>
        </w:rPr>
        <w:t>should</w:t>
      </w:r>
      <w:r w:rsidR="00D70800" w:rsidRPr="00BB41AD">
        <w:rPr>
          <w:rStyle w:val="ECCParagraph"/>
        </w:rPr>
        <w:t xml:space="preserve"> comply with the following </w:t>
      </w:r>
      <w:r w:rsidR="00A1483A">
        <w:rPr>
          <w:rStyle w:val="ECCParagraph"/>
        </w:rPr>
        <w:t>(</w:t>
      </w:r>
      <w:r w:rsidR="00D70800" w:rsidRPr="00BB41AD">
        <w:rPr>
          <w:rStyle w:val="ECCParagraph"/>
        </w:rPr>
        <w:t>installation</w:t>
      </w:r>
      <w:r w:rsidR="00A1483A">
        <w:rPr>
          <w:rStyle w:val="ECCParagraph"/>
        </w:rPr>
        <w:t>)</w:t>
      </w:r>
      <w:r w:rsidR="00D70800" w:rsidRPr="00BB41AD">
        <w:rPr>
          <w:rStyle w:val="ECCParagraph"/>
        </w:rPr>
        <w:t xml:space="preserve"> requirements:</w:t>
      </w:r>
    </w:p>
    <w:p w14:paraId="1BB79153" w14:textId="2E2980C2" w:rsidR="00D70800" w:rsidRPr="00BB41AD" w:rsidRDefault="00D70800" w:rsidP="00ED69E3">
      <w:pPr>
        <w:pStyle w:val="ECCBulletsLv1"/>
        <w:keepNext/>
        <w:rPr>
          <w:rStyle w:val="ECCParagraph"/>
        </w:rPr>
      </w:pPr>
      <w:r w:rsidRPr="00BB41AD">
        <w:rPr>
          <w:rStyle w:val="ECCParagraph"/>
        </w:rPr>
        <w:t>The operation of LPR sensors is envisaged for industrial purposes only</w:t>
      </w:r>
      <w:r w:rsidR="00C62798">
        <w:rPr>
          <w:rStyle w:val="ECCParagraph"/>
        </w:rPr>
        <w:t>;</w:t>
      </w:r>
    </w:p>
    <w:p w14:paraId="6C4ECE3A" w14:textId="093D5C22" w:rsidR="00D70800" w:rsidRPr="00BB41AD" w:rsidRDefault="00D70800" w:rsidP="00ED69E3">
      <w:pPr>
        <w:pStyle w:val="ECCBulletsLv1"/>
        <w:keepNext/>
      </w:pPr>
      <w:r w:rsidRPr="00BB41AD">
        <w:t>Installation and maintenance of LPR equipment shall be performed by professionally trained individuals only</w:t>
      </w:r>
      <w:r w:rsidR="00C62798">
        <w:t>;</w:t>
      </w:r>
    </w:p>
    <w:p w14:paraId="264A864D" w14:textId="12044D09" w:rsidR="00D70800" w:rsidRPr="00BB41AD" w:rsidRDefault="00D70800" w:rsidP="00ED69E3">
      <w:pPr>
        <w:pStyle w:val="ECCBulletsLv1"/>
        <w:keepNext/>
      </w:pPr>
      <w:r w:rsidRPr="00BB41AD">
        <w:t>LPR equipment shall not be marketed to private end customers</w:t>
      </w:r>
      <w:r w:rsidR="00C62798">
        <w:t>;</w:t>
      </w:r>
    </w:p>
    <w:p w14:paraId="140EFBF0" w14:textId="4A0C0D17" w:rsidR="00D70800" w:rsidRPr="00BB41AD" w:rsidRDefault="00D70800" w:rsidP="00ED69E3">
      <w:pPr>
        <w:pStyle w:val="ECCBulletsLv1"/>
        <w:keepNext/>
      </w:pPr>
      <w:r w:rsidRPr="00BB41AD">
        <w:t>Level probing radars are required to be installed at a permanent fixed position pointing in a downwards direction towards the ground. The equipment shall not operate while being moved, or while inside a moving container</w:t>
      </w:r>
      <w:r w:rsidR="00C62798">
        <w:t>;</w:t>
      </w:r>
    </w:p>
    <w:p w14:paraId="1DE3D000" w14:textId="14F89C20" w:rsidR="00D70800" w:rsidRPr="00BB41AD" w:rsidRDefault="00D70800" w:rsidP="00ED69E3">
      <w:pPr>
        <w:pStyle w:val="ECCBulletsLv1"/>
        <w:keepNext/>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r w:rsidR="00C62798">
        <w:t>;</w:t>
      </w:r>
    </w:p>
    <w:p w14:paraId="47AF511D" w14:textId="4E7DED5F" w:rsidR="00D70800" w:rsidRPr="00BB41AD" w:rsidRDefault="00D70800" w:rsidP="00ED69E3">
      <w:pPr>
        <w:pStyle w:val="ECCBulletsLv1"/>
        <w:keepNext/>
        <w:rPr>
          <w:rStyle w:val="ECCParagraph"/>
        </w:rPr>
      </w:pPr>
      <w:r w:rsidRPr="00BB41AD">
        <w:rPr>
          <w:rStyle w:val="ECCParagraph"/>
        </w:rPr>
        <w:t>In order to protect the Radio Astronomy Service, inside a radius of 13 km around the stations of NOEMA and IRAM</w:t>
      </w:r>
      <w:r w:rsidR="0069133D">
        <w:rPr>
          <w:rStyle w:val="ECCParagraph"/>
        </w:rPr>
        <w:t xml:space="preserve"> </w:t>
      </w:r>
      <w:r w:rsidRPr="00BB41AD">
        <w:rPr>
          <w:rStyle w:val="ECCParagraph"/>
        </w:rPr>
        <w:t xml:space="preserve">30 m, the installation and operation of LPR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r w:rsidR="00C62798">
        <w:rPr>
          <w:rStyle w:val="ECCParagraph"/>
        </w:rPr>
        <w:t>;</w:t>
      </w:r>
    </w:p>
    <w:p w14:paraId="2BC79975" w14:textId="77777777" w:rsidR="00D70800" w:rsidRPr="00747744" w:rsidRDefault="00D70800" w:rsidP="00ED69E3">
      <w:pPr>
        <w:pStyle w:val="ECCBulletsLv1"/>
        <w:keepNext/>
        <w:rPr>
          <w:shd w:val="solid" w:color="FFFF00" w:fill="auto"/>
        </w:rPr>
      </w:pPr>
      <w:r w:rsidRPr="00BB41AD">
        <w:t>The provider is required to inform the users and installers of LPR equipment about the installation requirements and the additional special mounting instructions.</w:t>
      </w:r>
    </w:p>
    <w:p w14:paraId="2356E1C4" w14:textId="77777777" w:rsidR="004865BC" w:rsidRPr="004865BC" w:rsidRDefault="004865BC" w:rsidP="004865BC">
      <w:r w:rsidRPr="004865BC">
        <w:t xml:space="preserve">In addition, the following two requirements are </w:t>
      </w:r>
      <w:r w:rsidR="00907A5D">
        <w:t>recommended</w:t>
      </w:r>
      <w:r w:rsidRPr="004865BC">
        <w:t>:</w:t>
      </w:r>
    </w:p>
    <w:p w14:paraId="571FE1E3" w14:textId="73674ACA" w:rsidR="00BC08AA" w:rsidRPr="00BC08AA" w:rsidRDefault="00BC08AA" w:rsidP="00BC08AA">
      <w:pPr>
        <w:pStyle w:val="ECCBulletsLv1"/>
      </w:pPr>
      <w:r w:rsidRPr="00BC08AA">
        <w:t>For LPR devices, the peak e.i.r.p. for elevations above 0° shall be limited to 0</w:t>
      </w:r>
      <w:r>
        <w:t> </w:t>
      </w:r>
      <w:r w:rsidRPr="00BC08AA">
        <w:t>dBm</w:t>
      </w:r>
      <w:r w:rsidR="00C62798">
        <w:t>;</w:t>
      </w:r>
    </w:p>
    <w:p w14:paraId="7D299874" w14:textId="77777777" w:rsidR="00747744" w:rsidRDefault="00747744" w:rsidP="00747744">
      <w:pPr>
        <w:pStyle w:val="ECCBulletsLv1"/>
      </w:pPr>
      <w:r w:rsidRPr="00747744">
        <w:t xml:space="preserve">For </w:t>
      </w:r>
      <w:r>
        <w:t>LPR</w:t>
      </w:r>
      <w:r w:rsidRPr="00747744">
        <w:t xml:space="preserve"> devices using an antenna gain smaller than 20 dBi, the maximum conducted peak output power shall be limited to 15 dBm.</w:t>
      </w:r>
    </w:p>
    <w:p w14:paraId="3FCA95EC" w14:textId="2696885E" w:rsidR="00D70800" w:rsidRPr="00BB41AD" w:rsidRDefault="00D70800" w:rsidP="00160AE0">
      <w:pPr>
        <w:rPr>
          <w:rStyle w:val="ECCParagraph"/>
        </w:rPr>
      </w:pPr>
      <w:r>
        <w:rPr>
          <w:rStyle w:val="ECCParagraph"/>
        </w:rPr>
        <w:fldChar w:fldCharType="begin"/>
      </w:r>
      <w:r>
        <w:rPr>
          <w:rStyle w:val="ECCParagraph"/>
        </w:rPr>
        <w:instrText xml:space="preserve"> REF _Ref65588720 \h </w:instrText>
      </w:r>
      <w:r w:rsidR="00747744">
        <w:rPr>
          <w:rStyle w:val="ECCParagraph"/>
        </w:rPr>
        <w:instrText xml:space="preserve"> \* MERGEFORMAT </w:instrText>
      </w:r>
      <w:r>
        <w:rPr>
          <w:rStyle w:val="ECCParagraph"/>
        </w:rPr>
      </w:r>
      <w:r>
        <w:rPr>
          <w:rStyle w:val="ECCParagraph"/>
        </w:rPr>
        <w:fldChar w:fldCharType="separate"/>
      </w:r>
      <w:r w:rsidR="0041125F" w:rsidRPr="00BB41AD">
        <w:t>Table </w:t>
      </w:r>
      <w:r w:rsidR="0041125F">
        <w:t>5</w:t>
      </w:r>
      <w:r>
        <w:rPr>
          <w:rStyle w:val="ECCParagraph"/>
        </w:rPr>
        <w:fldChar w:fldCharType="end"/>
      </w:r>
      <w:r>
        <w:rPr>
          <w:rStyle w:val="ECCParagraph"/>
        </w:rPr>
        <w:t xml:space="preserve"> </w:t>
      </w:r>
      <w:r w:rsidRPr="00BB41AD">
        <w:rPr>
          <w:rStyle w:val="ECCParagraph"/>
        </w:rPr>
        <w:t xml:space="preserve">shows the proposed technical limitations under which the compatibility with the investigated Radio Services can be </w:t>
      </w:r>
      <w:r w:rsidR="00907A5D">
        <w:rPr>
          <w:rStyle w:val="ECCParagraph"/>
        </w:rPr>
        <w:t xml:space="preserve">achieved </w:t>
      </w:r>
      <w:r w:rsidR="000432D8">
        <w:t>without the implementation of additional mitigation techniques</w:t>
      </w:r>
      <w:r w:rsidRPr="00BB41AD">
        <w:rPr>
          <w:rStyle w:val="ECCParagraph"/>
        </w:rPr>
        <w:t>.</w:t>
      </w:r>
    </w:p>
    <w:p w14:paraId="59E65B45" w14:textId="2F52FE61" w:rsidR="00D70800" w:rsidRDefault="00D70800" w:rsidP="00D70800">
      <w:pPr>
        <w:pStyle w:val="Caption"/>
      </w:pPr>
      <w:bookmarkStart w:id="34" w:name="_Ref65588720"/>
      <w:r w:rsidRPr="00BB41AD">
        <w:t>Table </w:t>
      </w:r>
      <w:r>
        <w:fldChar w:fldCharType="begin"/>
      </w:r>
      <w:r>
        <w:instrText>SEQ Table \* ARABIC</w:instrText>
      </w:r>
      <w:r>
        <w:fldChar w:fldCharType="separate"/>
      </w:r>
      <w:r w:rsidR="004F49F9">
        <w:rPr>
          <w:noProof/>
        </w:rPr>
        <w:t>5</w:t>
      </w:r>
      <w:r>
        <w:fldChar w:fldCharType="end"/>
      </w:r>
      <w:bookmarkEnd w:id="34"/>
      <w:r w:rsidRPr="0030332D">
        <w:t xml:space="preserve">: </w:t>
      </w:r>
      <w:r>
        <w:t>Proposed</w:t>
      </w:r>
      <w:r w:rsidRPr="0030332D">
        <w:t xml:space="preserve"> technical </w:t>
      </w:r>
      <w:r>
        <w:t>limitations</w:t>
      </w:r>
      <w:r w:rsidRPr="005F00E5">
        <w:t xml:space="preserve"> for </w:t>
      </w:r>
      <w:r w:rsidR="0050092B">
        <w:t>LPR</w:t>
      </w:r>
      <w:r w:rsidRPr="005F00E5">
        <w:t xml:space="preserve"> devices</w:t>
      </w:r>
      <w:r>
        <w:t xml:space="preserve"> in </w:t>
      </w:r>
      <w:r w:rsidR="00AA0E73">
        <w:t xml:space="preserve">the </w:t>
      </w:r>
      <w:r>
        <w:t>candidate bands</w:t>
      </w:r>
    </w:p>
    <w:tbl>
      <w:tblPr>
        <w:tblStyle w:val="ECCTable-redheader"/>
        <w:tblW w:w="9634" w:type="dxa"/>
        <w:tblInd w:w="0" w:type="dxa"/>
        <w:tblLook w:val="04A0" w:firstRow="1" w:lastRow="0" w:firstColumn="1" w:lastColumn="0" w:noHBand="0" w:noVBand="1"/>
      </w:tblPr>
      <w:tblGrid>
        <w:gridCol w:w="2570"/>
        <w:gridCol w:w="1242"/>
        <w:gridCol w:w="1903"/>
        <w:gridCol w:w="1685"/>
        <w:gridCol w:w="2234"/>
      </w:tblGrid>
      <w:tr w:rsidR="00D70800" w:rsidRPr="00566944" w14:paraId="0425DE42" w14:textId="77777777" w:rsidTr="00CF3342">
        <w:trPr>
          <w:cnfStyle w:val="100000000000" w:firstRow="1" w:lastRow="0" w:firstColumn="0" w:lastColumn="0" w:oddVBand="0" w:evenVBand="0" w:oddHBand="0" w:evenHBand="0" w:firstRowFirstColumn="0" w:firstRowLastColumn="0" w:lastRowFirstColumn="0" w:lastRowLastColumn="0"/>
        </w:trPr>
        <w:tc>
          <w:tcPr>
            <w:tcW w:w="2570" w:type="dxa"/>
          </w:tcPr>
          <w:p w14:paraId="75484C6A" w14:textId="77777777" w:rsidR="00D70800" w:rsidRPr="00D70800" w:rsidRDefault="00D70800" w:rsidP="00031A36">
            <w:pPr>
              <w:pStyle w:val="ECCTableHeaderwhitefont"/>
            </w:pPr>
            <w:r>
              <w:t xml:space="preserve">Candidate </w:t>
            </w:r>
            <w:r w:rsidRPr="00D70800">
              <w:t>frequency band</w:t>
            </w:r>
          </w:p>
        </w:tc>
        <w:tc>
          <w:tcPr>
            <w:tcW w:w="1242" w:type="dxa"/>
          </w:tcPr>
          <w:p w14:paraId="71A8835A" w14:textId="77777777" w:rsidR="00D70800" w:rsidRPr="00D70800" w:rsidRDefault="00D70800" w:rsidP="001B1AC5">
            <w:pPr>
              <w:pStyle w:val="ECCTableHeaderwhitefont"/>
            </w:pPr>
            <w:r>
              <w:t>Max</w:t>
            </w:r>
            <w:r w:rsidR="00E651F1">
              <w:t>imum</w:t>
            </w:r>
            <w:r>
              <w:t xml:space="preserve"> d</w:t>
            </w:r>
            <w:r w:rsidRPr="00D70800">
              <w:t>uty cycle</w:t>
            </w:r>
          </w:p>
        </w:tc>
        <w:tc>
          <w:tcPr>
            <w:tcW w:w="1903" w:type="dxa"/>
          </w:tcPr>
          <w:p w14:paraId="68C415D8" w14:textId="77777777" w:rsidR="00D70800" w:rsidRPr="00D70800" w:rsidRDefault="00D70800" w:rsidP="001B1AC5">
            <w:pPr>
              <w:pStyle w:val="ECCTableHeaderwhitefont"/>
            </w:pPr>
            <w:r>
              <w:t>Max</w:t>
            </w:r>
            <w:r w:rsidR="007C3932">
              <w:t>imum</w:t>
            </w:r>
            <w:r>
              <w:t xml:space="preserve"> m</w:t>
            </w:r>
            <w:r w:rsidRPr="00D70800">
              <w:t>ean e.i.r.p.</w:t>
            </w:r>
            <w:r w:rsidR="007C3932">
              <w:t xml:space="preserve"> spectral density</w:t>
            </w:r>
            <w:r w:rsidR="00E651F1">
              <w:t xml:space="preserve"> (Note 2)</w:t>
            </w:r>
          </w:p>
        </w:tc>
        <w:tc>
          <w:tcPr>
            <w:tcW w:w="1685" w:type="dxa"/>
          </w:tcPr>
          <w:p w14:paraId="4586ECF0" w14:textId="77777777" w:rsidR="00D70800" w:rsidRPr="00D70800" w:rsidRDefault="00D70800" w:rsidP="001B1AC5">
            <w:pPr>
              <w:pStyle w:val="ECCTableHeaderwhitefont"/>
            </w:pPr>
            <w:r>
              <w:t>Max</w:t>
            </w:r>
            <w:r w:rsidR="00724C97">
              <w:t>imum</w:t>
            </w:r>
            <w:r>
              <w:t xml:space="preserve"> p</w:t>
            </w:r>
            <w:r w:rsidRPr="00D70800">
              <w:t>eak e.i.r.p.</w:t>
            </w:r>
            <w:r w:rsidR="00D61104">
              <w:t xml:space="preserve"> </w:t>
            </w:r>
            <w:r w:rsidR="00D61104" w:rsidRPr="00F55F3A">
              <w:t>(</w:t>
            </w:r>
            <w:r w:rsidR="00A96536">
              <w:t>Note 3</w:t>
            </w:r>
            <w:r w:rsidR="00D61104" w:rsidRPr="00D61104">
              <w:t>)</w:t>
            </w:r>
          </w:p>
        </w:tc>
        <w:tc>
          <w:tcPr>
            <w:tcW w:w="2234" w:type="dxa"/>
          </w:tcPr>
          <w:p w14:paraId="643C9B7C" w14:textId="77777777" w:rsidR="00D70800" w:rsidRPr="00D70800" w:rsidRDefault="00E651F1" w:rsidP="001B1AC5">
            <w:pPr>
              <w:pStyle w:val="ECCTableHeaderwhitefont"/>
            </w:pPr>
            <w:r>
              <w:t>Min</w:t>
            </w:r>
            <w:r w:rsidRPr="00E651F1">
              <w:t xml:space="preserve">imum </w:t>
            </w:r>
            <w:r w:rsidR="003E0FA9">
              <w:t>unwanted emissions</w:t>
            </w:r>
            <w:r w:rsidRPr="00E651F1">
              <w:t xml:space="preserve"> attenuation (Note 1)</w:t>
            </w:r>
          </w:p>
        </w:tc>
      </w:tr>
      <w:tr w:rsidR="00D70800" w:rsidRPr="00C53FB5" w14:paraId="7BBE4623" w14:textId="77777777" w:rsidTr="00CF3342">
        <w:tc>
          <w:tcPr>
            <w:tcW w:w="2570" w:type="dxa"/>
          </w:tcPr>
          <w:p w14:paraId="3BCC4745" w14:textId="77777777" w:rsidR="00D70800" w:rsidRPr="00D70800" w:rsidRDefault="00D70800" w:rsidP="001B1AC5">
            <w:pPr>
              <w:pStyle w:val="ECCTabletext"/>
              <w:jc w:val="left"/>
            </w:pPr>
            <w:r>
              <w:t>116 to 148</w:t>
            </w:r>
            <w:r w:rsidR="00CF4994">
              <w:t>.5</w:t>
            </w:r>
            <w:r>
              <w:t> GHz</w:t>
            </w:r>
          </w:p>
        </w:tc>
        <w:tc>
          <w:tcPr>
            <w:tcW w:w="1242" w:type="dxa"/>
          </w:tcPr>
          <w:p w14:paraId="26D6EBDF" w14:textId="72C9B1D1" w:rsidR="00D70800" w:rsidRPr="00D70800" w:rsidRDefault="00D70800" w:rsidP="001B1AC5">
            <w:pPr>
              <w:pStyle w:val="ECCTabletext"/>
              <w:jc w:val="left"/>
            </w:pPr>
            <w:r>
              <w:t>5</w:t>
            </w:r>
            <w:r w:rsidR="00F800A2">
              <w:t>%</w:t>
            </w:r>
          </w:p>
        </w:tc>
        <w:tc>
          <w:tcPr>
            <w:tcW w:w="1903" w:type="dxa"/>
          </w:tcPr>
          <w:p w14:paraId="1E23A0A2" w14:textId="77777777" w:rsidR="00D70800" w:rsidRPr="00D70800" w:rsidRDefault="00D70800" w:rsidP="001B1AC5">
            <w:pPr>
              <w:pStyle w:val="ECCTabletext"/>
              <w:jc w:val="left"/>
            </w:pPr>
            <w:r>
              <w:t>-8</w:t>
            </w:r>
            <w:r w:rsidR="00CF4994">
              <w:t>.0</w:t>
            </w:r>
            <w:r w:rsidRPr="00D70800">
              <w:t> dBm/MHz</w:t>
            </w:r>
          </w:p>
        </w:tc>
        <w:tc>
          <w:tcPr>
            <w:tcW w:w="1685" w:type="dxa"/>
          </w:tcPr>
          <w:p w14:paraId="57D6196D" w14:textId="77777777" w:rsidR="00D70800" w:rsidRPr="00D70800" w:rsidRDefault="00D70800" w:rsidP="001B1AC5">
            <w:pPr>
              <w:pStyle w:val="ECCTabletext"/>
              <w:jc w:val="left"/>
            </w:pPr>
            <w:r w:rsidRPr="001462D5">
              <w:t>3</w:t>
            </w:r>
            <w:r w:rsidRPr="00D70800">
              <w:t>7 dBm</w:t>
            </w:r>
          </w:p>
        </w:tc>
        <w:tc>
          <w:tcPr>
            <w:tcW w:w="2234" w:type="dxa"/>
          </w:tcPr>
          <w:p w14:paraId="4B9A5BBD" w14:textId="77777777" w:rsidR="00D70800" w:rsidRPr="00D70800" w:rsidRDefault="00D70800" w:rsidP="001B1AC5">
            <w:pPr>
              <w:pStyle w:val="ECCTabletext"/>
              <w:jc w:val="left"/>
            </w:pPr>
            <w:r w:rsidRPr="00497690">
              <w:t>20 dB</w:t>
            </w:r>
          </w:p>
        </w:tc>
      </w:tr>
      <w:tr w:rsidR="00D70800" w:rsidRPr="00C53FB5" w14:paraId="5D4E4175" w14:textId="77777777" w:rsidTr="00CF3342">
        <w:tc>
          <w:tcPr>
            <w:tcW w:w="2570" w:type="dxa"/>
          </w:tcPr>
          <w:p w14:paraId="4D959CCF" w14:textId="77777777" w:rsidR="00D70800" w:rsidRPr="00D70800" w:rsidRDefault="00D70800" w:rsidP="001B1AC5">
            <w:pPr>
              <w:pStyle w:val="ECCTabletext"/>
              <w:jc w:val="left"/>
            </w:pPr>
            <w:r w:rsidRPr="00C53FB5">
              <w:t>1</w:t>
            </w:r>
            <w:r w:rsidRPr="00D70800">
              <w:t>67 to 182 GHz</w:t>
            </w:r>
          </w:p>
        </w:tc>
        <w:tc>
          <w:tcPr>
            <w:tcW w:w="1242" w:type="dxa"/>
          </w:tcPr>
          <w:p w14:paraId="7FAD80D8" w14:textId="3EB79B28" w:rsidR="00D70800" w:rsidRPr="00D70800" w:rsidRDefault="00D70800" w:rsidP="001B1AC5">
            <w:pPr>
              <w:pStyle w:val="ECCTabletext"/>
              <w:jc w:val="left"/>
            </w:pPr>
            <w:r>
              <w:t>5</w:t>
            </w:r>
            <w:r w:rsidR="00F800A2">
              <w:t>%</w:t>
            </w:r>
          </w:p>
        </w:tc>
        <w:tc>
          <w:tcPr>
            <w:tcW w:w="1903" w:type="dxa"/>
          </w:tcPr>
          <w:p w14:paraId="3E34E1E5" w14:textId="77777777" w:rsidR="00D70800" w:rsidRPr="00D70800" w:rsidRDefault="00D70800" w:rsidP="001B1AC5">
            <w:pPr>
              <w:pStyle w:val="ECCTabletext"/>
              <w:jc w:val="left"/>
            </w:pPr>
            <w:r>
              <w:t>-6</w:t>
            </w:r>
            <w:r w:rsidR="00CF4994">
              <w:t>.0</w:t>
            </w:r>
            <w:r>
              <w:t> dBm/MHz</w:t>
            </w:r>
          </w:p>
        </w:tc>
        <w:tc>
          <w:tcPr>
            <w:tcW w:w="1685" w:type="dxa"/>
          </w:tcPr>
          <w:p w14:paraId="0DCAD8C0" w14:textId="77777777" w:rsidR="00D70800" w:rsidRPr="00D70800" w:rsidRDefault="00D70800" w:rsidP="001B1AC5">
            <w:pPr>
              <w:pStyle w:val="ECCTabletext"/>
              <w:jc w:val="left"/>
            </w:pPr>
            <w:r w:rsidRPr="001462D5">
              <w:t>3</w:t>
            </w:r>
            <w:r w:rsidRPr="00D70800">
              <w:t>7 dBm</w:t>
            </w:r>
          </w:p>
        </w:tc>
        <w:tc>
          <w:tcPr>
            <w:tcW w:w="2234" w:type="dxa"/>
          </w:tcPr>
          <w:p w14:paraId="39E9E6F6" w14:textId="77777777" w:rsidR="00D70800" w:rsidRPr="00D70800" w:rsidRDefault="00D70800" w:rsidP="001B1AC5">
            <w:pPr>
              <w:pStyle w:val="ECCTabletext"/>
              <w:jc w:val="left"/>
            </w:pPr>
            <w:r>
              <w:t>20 dB</w:t>
            </w:r>
          </w:p>
        </w:tc>
      </w:tr>
      <w:tr w:rsidR="00D70800" w:rsidRPr="00C53FB5" w14:paraId="0AA0CB00" w14:textId="77777777" w:rsidTr="00CF3342">
        <w:tc>
          <w:tcPr>
            <w:tcW w:w="2570" w:type="dxa"/>
          </w:tcPr>
          <w:p w14:paraId="1E321A65" w14:textId="77777777" w:rsidR="00D70800" w:rsidRPr="00D70800" w:rsidRDefault="00D70800" w:rsidP="001B1AC5">
            <w:pPr>
              <w:pStyle w:val="ECCTabletext"/>
              <w:jc w:val="left"/>
            </w:pPr>
            <w:r w:rsidRPr="00C53FB5">
              <w:t>231</w:t>
            </w:r>
            <w:r w:rsidR="00CF4994">
              <w:t>.5</w:t>
            </w:r>
            <w:r w:rsidRPr="00C53FB5">
              <w:t xml:space="preserve"> to </w:t>
            </w:r>
            <w:r w:rsidRPr="00D70800">
              <w:t>250 GHz</w:t>
            </w:r>
          </w:p>
        </w:tc>
        <w:tc>
          <w:tcPr>
            <w:tcW w:w="1242" w:type="dxa"/>
          </w:tcPr>
          <w:p w14:paraId="032B55F5" w14:textId="24C82DAB" w:rsidR="00D70800" w:rsidRPr="00D70800" w:rsidRDefault="00D70800" w:rsidP="001B1AC5">
            <w:pPr>
              <w:pStyle w:val="ECCTabletext"/>
              <w:jc w:val="left"/>
            </w:pPr>
            <w:r>
              <w:t>5</w:t>
            </w:r>
            <w:r w:rsidR="00F800A2">
              <w:t>%</w:t>
            </w:r>
          </w:p>
        </w:tc>
        <w:tc>
          <w:tcPr>
            <w:tcW w:w="1903" w:type="dxa"/>
          </w:tcPr>
          <w:p w14:paraId="308D5380" w14:textId="77777777" w:rsidR="00D70800" w:rsidRPr="00D70800" w:rsidRDefault="00D70800" w:rsidP="001B1AC5">
            <w:pPr>
              <w:pStyle w:val="ECCTabletext"/>
              <w:jc w:val="left"/>
            </w:pPr>
            <w:r>
              <w:t>-6</w:t>
            </w:r>
            <w:r w:rsidR="00CF4994">
              <w:t>.0</w:t>
            </w:r>
            <w:r>
              <w:t> dBm/MHz</w:t>
            </w:r>
          </w:p>
        </w:tc>
        <w:tc>
          <w:tcPr>
            <w:tcW w:w="1685" w:type="dxa"/>
          </w:tcPr>
          <w:p w14:paraId="38C91185" w14:textId="77777777" w:rsidR="00D70800" w:rsidRPr="00D70800" w:rsidRDefault="00D70800" w:rsidP="001B1AC5">
            <w:pPr>
              <w:pStyle w:val="ECCTabletext"/>
              <w:jc w:val="left"/>
            </w:pPr>
            <w:r w:rsidRPr="001462D5">
              <w:t>3</w:t>
            </w:r>
            <w:r w:rsidRPr="00D70800">
              <w:t>7 dBm</w:t>
            </w:r>
          </w:p>
        </w:tc>
        <w:tc>
          <w:tcPr>
            <w:tcW w:w="2234" w:type="dxa"/>
          </w:tcPr>
          <w:p w14:paraId="14B1F8C1" w14:textId="77777777" w:rsidR="00D70800" w:rsidRPr="00D70800" w:rsidRDefault="00D70800" w:rsidP="001B1AC5">
            <w:pPr>
              <w:pStyle w:val="ECCTabletext"/>
              <w:jc w:val="left"/>
            </w:pPr>
            <w:r>
              <w:t>20 dB</w:t>
            </w:r>
          </w:p>
        </w:tc>
      </w:tr>
      <w:tr w:rsidR="00BF4A4B" w:rsidRPr="00C53FB5" w14:paraId="1281D68C" w14:textId="77777777" w:rsidTr="00CF3342">
        <w:tc>
          <w:tcPr>
            <w:tcW w:w="9634" w:type="dxa"/>
            <w:gridSpan w:val="5"/>
          </w:tcPr>
          <w:p w14:paraId="55986C08" w14:textId="5C25DA07" w:rsidR="00BF4A4B" w:rsidRPr="00BF4A4B" w:rsidRDefault="00BF4A4B" w:rsidP="00464AE0">
            <w:pPr>
              <w:pStyle w:val="ECCTablenote"/>
            </w:pPr>
            <w:r w:rsidRPr="00BB41AD">
              <w:t xml:space="preserve">Note 1: </w:t>
            </w:r>
            <w:r w:rsidR="00614829" w:rsidRPr="001B0CBB">
              <w:t xml:space="preserve">The operating frequency range (OFR) is defined over the 20 dB reduction of the </w:t>
            </w:r>
            <w:r w:rsidR="00AA0E73">
              <w:t>intentional transmission</w:t>
            </w:r>
            <w:r w:rsidR="00614829" w:rsidRPr="00614829">
              <w:t xml:space="preserve"> (20 dB bandwidth) radiated by the equipment into the air and shall remain in the candidate frequency bands. The unwanted emissions attenuation applies to the frequencies outside the OFR and is to be reduced from the maximum mean e.i.r.p. spectral density and the maximum peak e.i.r.p. The measurement bandwidth for the unwanted emissions domain is 1 MHz.</w:t>
            </w:r>
          </w:p>
          <w:p w14:paraId="53754F1D" w14:textId="5F187251" w:rsidR="00BF4A4B" w:rsidRDefault="00BF4A4B" w:rsidP="00464AE0">
            <w:pPr>
              <w:pStyle w:val="ECCTablenote"/>
            </w:pPr>
            <w:r>
              <w:t>Note 2: The duty cycle of 5</w:t>
            </w:r>
            <w:r w:rsidR="00F800A2">
              <w:t>%</w:t>
            </w:r>
            <w:r>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5668EE11" w14:textId="332A3156" w:rsidR="00A96536" w:rsidRDefault="00A96536" w:rsidP="00464AE0">
            <w:pPr>
              <w:pStyle w:val="ECCTablenote"/>
            </w:pPr>
            <w:r>
              <w:t>Note 3: T</w:t>
            </w:r>
            <w:r w:rsidRPr="00A96536">
              <w:t>he max</w:t>
            </w:r>
            <w:r w:rsidR="00AA0E73">
              <w:t>imum</w:t>
            </w:r>
            <w:r w:rsidRPr="00A96536">
              <w:t xml:space="preserve"> peak e.i.r.p. shall be measured/evaluated in 1 GHz bandwidth.</w:t>
            </w:r>
          </w:p>
        </w:tc>
      </w:tr>
    </w:tbl>
    <w:p w14:paraId="1A108092" w14:textId="77777777" w:rsidR="00D70800" w:rsidRPr="008405D2" w:rsidRDefault="00D70800" w:rsidP="008405D2">
      <w:pPr>
        <w:pStyle w:val="Heading2"/>
      </w:pPr>
      <w:bookmarkStart w:id="35" w:name="_Ref66370561"/>
      <w:bookmarkStart w:id="36" w:name="_Ref67388672"/>
      <w:bookmarkStart w:id="37" w:name="_Ref67388689"/>
      <w:bookmarkStart w:id="38" w:name="_Toc84325233"/>
      <w:bookmarkStart w:id="39" w:name="_Toc127346217"/>
      <w:r w:rsidRPr="008405D2">
        <w:t>Contour determination and acquisition (CDR)</w:t>
      </w:r>
      <w:bookmarkEnd w:id="35"/>
      <w:bookmarkEnd w:id="36"/>
      <w:bookmarkEnd w:id="37"/>
      <w:bookmarkEnd w:id="38"/>
      <w:bookmarkEnd w:id="39"/>
    </w:p>
    <w:p w14:paraId="06210E00" w14:textId="77777777" w:rsidR="00D70800" w:rsidRPr="00BB41AD" w:rsidRDefault="00D70800" w:rsidP="0067131A">
      <w:pPr>
        <w:rPr>
          <w:rStyle w:val="ECCParagraph"/>
        </w:rPr>
      </w:pPr>
      <w:r w:rsidRPr="00B21DB4">
        <w:t xml:space="preserve">Contour determination and acquisition radar sensors (CDR) are the most advanced sensors in the emerging field of bulk level measurement. </w:t>
      </w:r>
      <w:r>
        <w:t>These</w:t>
      </w:r>
      <w:r w:rsidRPr="00B21DB4">
        <w:t xml:space="preserve"> sensors are equipped to gather a plurality of distance values to different points located on the surface of the bulk material. These </w:t>
      </w:r>
      <w:r>
        <w:t xml:space="preserve">distance </w:t>
      </w:r>
      <w:r w:rsidRPr="00B21DB4">
        <w:t>values can be used to form a digital representation of the bulk material surface</w:t>
      </w:r>
      <w:r>
        <w:t xml:space="preserve"> or contour and can consequently be used to determine the volume or mass of material available in the current measurement scenario.</w:t>
      </w:r>
      <w:r w:rsidR="00A1483A">
        <w:t xml:space="preserve"> </w:t>
      </w:r>
      <w:r w:rsidR="00E83890">
        <w:t xml:space="preserve">It is recommended that </w:t>
      </w:r>
      <w:r w:rsidR="00E83890">
        <w:rPr>
          <w:rStyle w:val="ECCParagraph"/>
        </w:rPr>
        <w:t>a</w:t>
      </w:r>
      <w:r w:rsidRPr="00BB41AD">
        <w:rPr>
          <w:rStyle w:val="ECCParagraph"/>
        </w:rPr>
        <w:t xml:space="preserve">ll CDR sensors </w:t>
      </w:r>
      <w:r w:rsidR="00A1483A">
        <w:rPr>
          <w:rStyle w:val="ECCParagraph"/>
        </w:rPr>
        <w:t>should</w:t>
      </w:r>
      <w:r w:rsidRPr="00BB41AD">
        <w:rPr>
          <w:rStyle w:val="ECCParagraph"/>
        </w:rPr>
        <w:t xml:space="preserve"> comply with the following </w:t>
      </w:r>
      <w:r w:rsidR="00A1483A">
        <w:rPr>
          <w:rStyle w:val="ECCParagraph"/>
        </w:rPr>
        <w:t>(</w:t>
      </w:r>
      <w:r w:rsidRPr="00BB41AD">
        <w:rPr>
          <w:rStyle w:val="ECCParagraph"/>
        </w:rPr>
        <w:t>installation</w:t>
      </w:r>
      <w:r w:rsidR="00A1483A">
        <w:rPr>
          <w:rStyle w:val="ECCParagraph"/>
        </w:rPr>
        <w:t>)</w:t>
      </w:r>
      <w:r w:rsidRPr="00BB41AD">
        <w:rPr>
          <w:rStyle w:val="ECCParagraph"/>
        </w:rPr>
        <w:t xml:space="preserve"> requirements:</w:t>
      </w:r>
    </w:p>
    <w:p w14:paraId="3D22C8E0" w14:textId="165BD252" w:rsidR="00D70800" w:rsidRPr="00BB41AD" w:rsidRDefault="00D70800" w:rsidP="00D70800">
      <w:pPr>
        <w:pStyle w:val="ECCBulletsLv1"/>
        <w:rPr>
          <w:rStyle w:val="ECCParagraph"/>
        </w:rPr>
      </w:pPr>
      <w:r w:rsidRPr="00BB41AD">
        <w:rPr>
          <w:rStyle w:val="ECCParagraph"/>
        </w:rPr>
        <w:t>The operation of CDR sensors is envisaged for industrial purposes only</w:t>
      </w:r>
      <w:r w:rsidR="008A0674">
        <w:rPr>
          <w:rStyle w:val="ECCParagraph"/>
        </w:rPr>
        <w:t>;</w:t>
      </w:r>
    </w:p>
    <w:p w14:paraId="7A812006" w14:textId="5BA04FBB" w:rsidR="00D70800" w:rsidRPr="00BB41AD" w:rsidRDefault="00D70800" w:rsidP="00D70800">
      <w:pPr>
        <w:pStyle w:val="ECCBulletsLv1"/>
      </w:pPr>
      <w:r w:rsidRPr="00BB41AD">
        <w:t>Installation and maintenance of CDR equipment shall be performed by professionally trained individuals only</w:t>
      </w:r>
      <w:r w:rsidR="008A0674">
        <w:t>;</w:t>
      </w:r>
    </w:p>
    <w:p w14:paraId="46B6808A" w14:textId="301F9EC3" w:rsidR="00D70800" w:rsidRPr="00BB41AD" w:rsidRDefault="00D70800" w:rsidP="00ED69E3">
      <w:pPr>
        <w:pStyle w:val="ECCBulletsLv1"/>
        <w:spacing w:after="60"/>
      </w:pPr>
      <w:r w:rsidRPr="00BB41AD">
        <w:t>CDR equipment shall not be marketed to private end customers</w:t>
      </w:r>
      <w:r w:rsidR="008A0674">
        <w:t>;</w:t>
      </w:r>
    </w:p>
    <w:p w14:paraId="626DF96F" w14:textId="481A72E9" w:rsidR="00D70800" w:rsidRPr="00BB41AD" w:rsidRDefault="00D70800" w:rsidP="00ED69E3">
      <w:pPr>
        <w:pStyle w:val="ECCBulletsLv1"/>
        <w:spacing w:after="60"/>
      </w:pPr>
      <w:r w:rsidRPr="00BB41AD">
        <w:t>CDR equipment is required to be installed at a permanent fixed position. The equipment shall not operate while being moved</w:t>
      </w:r>
      <w:r w:rsidR="008A0674">
        <w:t>;</w:t>
      </w:r>
    </w:p>
    <w:p w14:paraId="30070638" w14:textId="2F79D115" w:rsidR="00D70800" w:rsidRPr="00BB41AD" w:rsidRDefault="00D70800" w:rsidP="00ED69E3">
      <w:pPr>
        <w:pStyle w:val="ECCBulletsLv1"/>
        <w:spacing w:after="60"/>
      </w:pPr>
      <w:r w:rsidRPr="001B2D17">
        <w:t>Installers have to ensure that there are no unwanted obstacles in the main beam of the antenna in order to mini</w:t>
      </w:r>
      <w:r w:rsidR="001D7996">
        <w:t>mise</w:t>
      </w:r>
      <w:r w:rsidRPr="001B2D17">
        <w:t xml:space="preserve"> unintentional reflections and scattering</w:t>
      </w:r>
      <w:r w:rsidR="00D763F5">
        <w:t>;</w:t>
      </w:r>
    </w:p>
    <w:p w14:paraId="18866598" w14:textId="41300337" w:rsidR="00D70800" w:rsidRPr="00BB41AD" w:rsidRDefault="00D70800" w:rsidP="00ED69E3">
      <w:pPr>
        <w:pStyle w:val="ECCBulletsLv1"/>
        <w:spacing w:after="60"/>
        <w:rPr>
          <w:rStyle w:val="ECCParagraph"/>
        </w:rPr>
      </w:pPr>
      <w:r w:rsidRPr="00BB41AD">
        <w:rPr>
          <w:rStyle w:val="ECCParagraph"/>
        </w:rPr>
        <w:t>In order to protect the Radio Astronomy Service, inside a radius of 20 km around the stations of NOEMA and IRAM</w:t>
      </w:r>
      <w:r w:rsidR="0069133D">
        <w:rPr>
          <w:rStyle w:val="ECCParagraph"/>
        </w:rPr>
        <w:t xml:space="preserve"> </w:t>
      </w:r>
      <w:r w:rsidRPr="00BB41AD">
        <w:rPr>
          <w:rStyle w:val="ECCParagraph"/>
        </w:rPr>
        <w:t xml:space="preserve">30 m, the installation and operation of CDR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r w:rsidR="008A0674">
        <w:rPr>
          <w:rStyle w:val="ECCParagraph"/>
        </w:rPr>
        <w:t>;</w:t>
      </w:r>
    </w:p>
    <w:p w14:paraId="76F42420" w14:textId="77777777" w:rsidR="00D70800" w:rsidRPr="00654096" w:rsidRDefault="00D70800" w:rsidP="00ED69E3">
      <w:pPr>
        <w:pStyle w:val="ECCBulletsLv1"/>
        <w:spacing w:after="60"/>
        <w:rPr>
          <w:shd w:val="solid" w:color="FFFF00" w:fill="auto"/>
        </w:rPr>
      </w:pPr>
      <w:r w:rsidRPr="00BB41AD">
        <w:t>The provider is required to inform the users and installers of CDR equipment about the installation requirements and the additional special mounting instructions.</w:t>
      </w:r>
    </w:p>
    <w:p w14:paraId="0F1ACA67" w14:textId="77777777" w:rsidR="00654096" w:rsidRPr="00654096" w:rsidRDefault="00654096" w:rsidP="00654096">
      <w:r w:rsidRPr="00654096">
        <w:t xml:space="preserve">In addition, the following antenna requirement is </w:t>
      </w:r>
      <w:r w:rsidR="00E83890">
        <w:t>recommended</w:t>
      </w:r>
      <w:r w:rsidRPr="00654096">
        <w:t>:</w:t>
      </w:r>
    </w:p>
    <w:p w14:paraId="11D37EC1" w14:textId="77777777" w:rsidR="00654096" w:rsidRPr="00654096" w:rsidRDefault="00654096" w:rsidP="00654096">
      <w:pPr>
        <w:pStyle w:val="ECCBulletsLv1"/>
      </w:pPr>
      <w:r w:rsidRPr="00654096">
        <w:t xml:space="preserve">For </w:t>
      </w:r>
      <w:r>
        <w:t>CDR</w:t>
      </w:r>
      <w:r w:rsidRPr="00654096">
        <w:t xml:space="preserve"> devices using an antenna gain smaller than 20 dBi, the maximum conducted peak output power shall be limited to 15 dBm.</w:t>
      </w:r>
    </w:p>
    <w:p w14:paraId="79B26177" w14:textId="77777777" w:rsidR="00D70800" w:rsidRPr="00020116" w:rsidRDefault="00D70800" w:rsidP="008309FD">
      <w:pPr>
        <w:pStyle w:val="Heading3"/>
        <w:spacing w:before="300"/>
        <w:rPr>
          <w:rStyle w:val="Hyperlink"/>
          <w:color w:val="auto"/>
          <w:u w:val="none"/>
        </w:rPr>
      </w:pPr>
      <w:bookmarkStart w:id="40" w:name="_Toc84325234"/>
      <w:bookmarkStart w:id="41" w:name="_Toc127346218"/>
      <w:r w:rsidRPr="00020116">
        <w:rPr>
          <w:rStyle w:val="Hyperlink"/>
          <w:color w:val="auto"/>
          <w:u w:val="none"/>
        </w:rPr>
        <w:t>Digital beamforming contour determination and acquisition sensors (DBF-CDR)</w:t>
      </w:r>
      <w:bookmarkEnd w:id="40"/>
      <w:bookmarkEnd w:id="41"/>
    </w:p>
    <w:p w14:paraId="4B520AA4" w14:textId="59359CAF" w:rsidR="00D70800" w:rsidRPr="001B2D17" w:rsidRDefault="00D70800" w:rsidP="00D70800">
      <w:r w:rsidRPr="001B2D17">
        <w:t xml:space="preserve">In addition to the installation </w:t>
      </w:r>
      <w:r w:rsidR="00654096">
        <w:t xml:space="preserve">and antenna </w:t>
      </w:r>
      <w:r w:rsidRPr="001B2D17">
        <w:t xml:space="preserve">requirements in </w:t>
      </w:r>
      <w:r w:rsidR="009D5FA2">
        <w:t>section</w:t>
      </w:r>
      <w:r w:rsidRPr="001B2D17">
        <w:t xml:space="preserve"> </w:t>
      </w:r>
      <w:r w:rsidR="000432D8">
        <w:fldChar w:fldCharType="begin"/>
      </w:r>
      <w:r w:rsidR="000432D8">
        <w:instrText xml:space="preserve"> REF _Ref67388672 \r \h </w:instrText>
      </w:r>
      <w:r w:rsidR="000432D8">
        <w:fldChar w:fldCharType="separate"/>
      </w:r>
      <w:r w:rsidR="004F49F9">
        <w:t>0.6</w:t>
      </w:r>
      <w:r w:rsidR="000432D8">
        <w:fldChar w:fldCharType="end"/>
      </w:r>
      <w:r w:rsidR="00654096">
        <w:t>,</w:t>
      </w:r>
      <w:r w:rsidRPr="001B2D17">
        <w:t xml:space="preserve"> </w:t>
      </w:r>
      <w:r>
        <w:t xml:space="preserve">applicable to all CDRs, </w:t>
      </w:r>
      <w:r w:rsidRPr="001B2D17">
        <w:t xml:space="preserve">the following condition </w:t>
      </w:r>
      <w:r w:rsidR="00A1483A">
        <w:t xml:space="preserve">is </w:t>
      </w:r>
      <w:r w:rsidR="00E83890">
        <w:t xml:space="preserve">recommended </w:t>
      </w:r>
      <w:r w:rsidRPr="001B2D17">
        <w:t>for the subclass of DBF-CDR</w:t>
      </w:r>
      <w:r w:rsidR="00E83890">
        <w:t xml:space="preserve"> only</w:t>
      </w:r>
      <w:r w:rsidR="00C62798">
        <w:t>:</w:t>
      </w:r>
    </w:p>
    <w:p w14:paraId="256F0B86" w14:textId="77777777" w:rsidR="00D70800" w:rsidRPr="00BB41AD" w:rsidRDefault="00D70800" w:rsidP="00D70800">
      <w:pPr>
        <w:pStyle w:val="ECCBulletsLv1"/>
      </w:pPr>
      <w:r w:rsidRPr="00BB41AD">
        <w:t>DBF-CDRs are required to be pointing vertically downwards towards the ground.</w:t>
      </w:r>
    </w:p>
    <w:p w14:paraId="3019D445" w14:textId="02B7F02F" w:rsidR="00D70800" w:rsidRDefault="00D70800" w:rsidP="00D70800">
      <w:pPr>
        <w:rPr>
          <w:rStyle w:val="ECCParagraph"/>
        </w:rPr>
      </w:pPr>
      <w:r>
        <w:rPr>
          <w:rStyle w:val="ECCParagraph"/>
        </w:rPr>
        <w:fldChar w:fldCharType="begin"/>
      </w:r>
      <w:r>
        <w:rPr>
          <w:rStyle w:val="ECCParagraph"/>
        </w:rPr>
        <w:instrText xml:space="preserve"> REF _Ref65591438 \h </w:instrText>
      </w:r>
      <w:r>
        <w:rPr>
          <w:rStyle w:val="ECCParagraph"/>
        </w:rPr>
      </w:r>
      <w:r>
        <w:rPr>
          <w:rStyle w:val="ECCParagraph"/>
        </w:rPr>
        <w:fldChar w:fldCharType="separate"/>
      </w:r>
      <w:r w:rsidR="0041125F" w:rsidRPr="00BB41AD">
        <w:t>Table </w:t>
      </w:r>
      <w:r w:rsidR="0041125F">
        <w:rPr>
          <w:noProof/>
        </w:rPr>
        <w:t>6</w:t>
      </w:r>
      <w:r>
        <w:rPr>
          <w:rStyle w:val="ECCParagraph"/>
        </w:rPr>
        <w:fldChar w:fldCharType="end"/>
      </w:r>
      <w:r>
        <w:rPr>
          <w:rStyle w:val="ECCParagraph"/>
        </w:rPr>
        <w:t xml:space="preserve"> </w:t>
      </w:r>
      <w:r w:rsidRPr="00E73B64">
        <w:rPr>
          <w:rStyle w:val="ECCParagraph"/>
        </w:rPr>
        <w:t xml:space="preserve">shows the proposed technical limitations under which the compatibility of DBF-CDR equipment with the investigated Radio Services can be </w:t>
      </w:r>
      <w:r w:rsidR="00E83890">
        <w:rPr>
          <w:rStyle w:val="ECCParagraph"/>
        </w:rPr>
        <w:t xml:space="preserve">achieved </w:t>
      </w:r>
      <w:r w:rsidR="000432D8">
        <w:t>without the implementation of additional mitigation techniques</w:t>
      </w:r>
      <w:r w:rsidRPr="00E73B64">
        <w:rPr>
          <w:rStyle w:val="ECCParagraph"/>
        </w:rPr>
        <w:t>.</w:t>
      </w:r>
    </w:p>
    <w:p w14:paraId="69F12492" w14:textId="622599BD" w:rsidR="00D70800" w:rsidRDefault="00D70800" w:rsidP="00D70800">
      <w:pPr>
        <w:pStyle w:val="Caption"/>
      </w:pPr>
      <w:bookmarkStart w:id="42" w:name="_Ref65591438"/>
      <w:r w:rsidRPr="00BB41AD">
        <w:t>Table </w:t>
      </w:r>
      <w:r>
        <w:fldChar w:fldCharType="begin"/>
      </w:r>
      <w:r>
        <w:instrText>SEQ Table \* ARABIC</w:instrText>
      </w:r>
      <w:r>
        <w:fldChar w:fldCharType="separate"/>
      </w:r>
      <w:r w:rsidR="004F49F9">
        <w:rPr>
          <w:noProof/>
        </w:rPr>
        <w:t>6</w:t>
      </w:r>
      <w:r>
        <w:fldChar w:fldCharType="end"/>
      </w:r>
      <w:bookmarkEnd w:id="42"/>
      <w:r w:rsidRPr="0030332D">
        <w:t xml:space="preserve">: </w:t>
      </w:r>
      <w:r>
        <w:t>Proposed</w:t>
      </w:r>
      <w:r w:rsidRPr="0030332D">
        <w:t xml:space="preserve"> technical </w:t>
      </w:r>
      <w:r>
        <w:t>limitations</w:t>
      </w:r>
      <w:r w:rsidRPr="005F00E5">
        <w:t xml:space="preserve"> for </w:t>
      </w:r>
      <w:r>
        <w:t>DBF-CDR</w:t>
      </w:r>
      <w:r w:rsidRPr="005F00E5">
        <w:t xml:space="preserve"> devices</w:t>
      </w:r>
      <w:r>
        <w:t xml:space="preserve"> in </w:t>
      </w:r>
      <w:r w:rsidR="00F0123C">
        <w:t xml:space="preserve">the </w:t>
      </w:r>
      <w:r>
        <w:t>candidate bands</w:t>
      </w:r>
    </w:p>
    <w:tbl>
      <w:tblPr>
        <w:tblStyle w:val="ECCTable-redheader"/>
        <w:tblW w:w="9356" w:type="dxa"/>
        <w:tblInd w:w="0" w:type="dxa"/>
        <w:tblLayout w:type="fixed"/>
        <w:tblLook w:val="04A0" w:firstRow="1" w:lastRow="0" w:firstColumn="1" w:lastColumn="0" w:noHBand="0" w:noVBand="1"/>
      </w:tblPr>
      <w:tblGrid>
        <w:gridCol w:w="1838"/>
        <w:gridCol w:w="1276"/>
        <w:gridCol w:w="1843"/>
        <w:gridCol w:w="1842"/>
        <w:gridCol w:w="2557"/>
      </w:tblGrid>
      <w:tr w:rsidR="00554750" w:rsidRPr="00566944" w14:paraId="0C3A113C" w14:textId="77777777" w:rsidTr="00472115">
        <w:trPr>
          <w:cnfStyle w:val="100000000000" w:firstRow="1" w:lastRow="0" w:firstColumn="0" w:lastColumn="0" w:oddVBand="0" w:evenVBand="0" w:oddHBand="0" w:evenHBand="0" w:firstRowFirstColumn="0" w:firstRowLastColumn="0" w:lastRowFirstColumn="0" w:lastRowLastColumn="0"/>
        </w:trPr>
        <w:tc>
          <w:tcPr>
            <w:tcW w:w="1838" w:type="dxa"/>
          </w:tcPr>
          <w:p w14:paraId="6314D625" w14:textId="77777777" w:rsidR="00554750" w:rsidRPr="00554750" w:rsidRDefault="00554750" w:rsidP="00031A36">
            <w:pPr>
              <w:pStyle w:val="ECCTableHeaderwhitefont"/>
            </w:pPr>
            <w:r>
              <w:t xml:space="preserve">Candidate </w:t>
            </w:r>
            <w:r w:rsidRPr="00554750">
              <w:t>frequency band</w:t>
            </w:r>
          </w:p>
        </w:tc>
        <w:tc>
          <w:tcPr>
            <w:tcW w:w="1276" w:type="dxa"/>
          </w:tcPr>
          <w:p w14:paraId="316832DE" w14:textId="77777777" w:rsidR="00554750" w:rsidRPr="00554750" w:rsidRDefault="00554750" w:rsidP="001B1AC5">
            <w:pPr>
              <w:pStyle w:val="ECCTableHeaderwhitefont"/>
            </w:pPr>
            <w:r>
              <w:t>Max</w:t>
            </w:r>
            <w:r w:rsidR="00E651F1">
              <w:t>imum</w:t>
            </w:r>
            <w:r>
              <w:t xml:space="preserve"> d</w:t>
            </w:r>
            <w:r w:rsidRPr="00554750">
              <w:t>uty cycle</w:t>
            </w:r>
          </w:p>
        </w:tc>
        <w:tc>
          <w:tcPr>
            <w:tcW w:w="1843" w:type="dxa"/>
          </w:tcPr>
          <w:p w14:paraId="057437EF" w14:textId="77777777" w:rsidR="00554750" w:rsidRPr="00554750" w:rsidRDefault="00554750" w:rsidP="001B1AC5">
            <w:pPr>
              <w:pStyle w:val="ECCTableHeaderwhitefont"/>
            </w:pPr>
            <w:r>
              <w:t>Max</w:t>
            </w:r>
            <w:r w:rsidRPr="00554750">
              <w:t>imum mean e.i.r.p. spectral density</w:t>
            </w:r>
            <w:r w:rsidR="00E651F1">
              <w:t xml:space="preserve"> (Note 2)</w:t>
            </w:r>
          </w:p>
        </w:tc>
        <w:tc>
          <w:tcPr>
            <w:tcW w:w="1842" w:type="dxa"/>
          </w:tcPr>
          <w:p w14:paraId="569271A9" w14:textId="77777777" w:rsidR="00554750" w:rsidRPr="00554750" w:rsidRDefault="00554750" w:rsidP="001B1AC5">
            <w:pPr>
              <w:pStyle w:val="ECCTableHeaderwhitefont"/>
            </w:pPr>
            <w:r>
              <w:t>Max</w:t>
            </w:r>
            <w:r w:rsidRPr="00554750">
              <w:t>imum peak e.i.r.p.</w:t>
            </w:r>
            <w:r w:rsidR="00D61104">
              <w:t xml:space="preserve"> </w:t>
            </w:r>
            <w:r w:rsidR="00D61104" w:rsidRPr="00F55F3A">
              <w:t>(</w:t>
            </w:r>
            <w:r w:rsidR="00A96536">
              <w:t>Note 3</w:t>
            </w:r>
            <w:r w:rsidR="00D61104" w:rsidRPr="00D61104">
              <w:t>)</w:t>
            </w:r>
          </w:p>
        </w:tc>
        <w:tc>
          <w:tcPr>
            <w:tcW w:w="2557" w:type="dxa"/>
          </w:tcPr>
          <w:p w14:paraId="4B1F562E" w14:textId="77777777" w:rsidR="00554750" w:rsidRPr="00554750" w:rsidRDefault="00E651F1" w:rsidP="001B1AC5">
            <w:pPr>
              <w:pStyle w:val="ECCTableHeaderwhitefont"/>
            </w:pPr>
            <w:r>
              <w:t>Min</w:t>
            </w:r>
            <w:r w:rsidRPr="00E651F1">
              <w:t xml:space="preserve">imum </w:t>
            </w:r>
            <w:r w:rsidR="007D0AC6">
              <w:t>unwanted emissions</w:t>
            </w:r>
            <w:r w:rsidRPr="00E651F1">
              <w:t xml:space="preserve"> attenuation (Note 1)</w:t>
            </w:r>
          </w:p>
        </w:tc>
      </w:tr>
      <w:tr w:rsidR="00D70800" w:rsidRPr="00C53FB5" w14:paraId="3E4F6CA5" w14:textId="77777777" w:rsidTr="00472115">
        <w:tc>
          <w:tcPr>
            <w:tcW w:w="1838" w:type="dxa"/>
          </w:tcPr>
          <w:p w14:paraId="2AB3DB34" w14:textId="77777777" w:rsidR="00D70800" w:rsidRPr="00D70800" w:rsidRDefault="00D70800" w:rsidP="001B1AC5">
            <w:pPr>
              <w:pStyle w:val="ECCTabletext"/>
              <w:jc w:val="left"/>
            </w:pPr>
            <w:r w:rsidRPr="00DA3E3C">
              <w:t>116 to 148</w:t>
            </w:r>
            <w:r w:rsidR="00CF4994">
              <w:t>.5</w:t>
            </w:r>
            <w:r w:rsidRPr="00DA3E3C">
              <w:t> GHz</w:t>
            </w:r>
          </w:p>
        </w:tc>
        <w:tc>
          <w:tcPr>
            <w:tcW w:w="1276" w:type="dxa"/>
          </w:tcPr>
          <w:p w14:paraId="50ED1A67" w14:textId="7C6A9B29" w:rsidR="00D70800" w:rsidRPr="00D70800" w:rsidRDefault="00D70800" w:rsidP="001B1AC5">
            <w:pPr>
              <w:pStyle w:val="ECCTabletext"/>
              <w:jc w:val="left"/>
            </w:pPr>
            <w:r>
              <w:t>10</w:t>
            </w:r>
            <w:r w:rsidR="009D5FA2">
              <w:t>%</w:t>
            </w:r>
          </w:p>
        </w:tc>
        <w:tc>
          <w:tcPr>
            <w:tcW w:w="1843" w:type="dxa"/>
          </w:tcPr>
          <w:p w14:paraId="331ACA52" w14:textId="77777777" w:rsidR="00D70800" w:rsidRPr="00D70800" w:rsidRDefault="00D70800" w:rsidP="001B1AC5">
            <w:pPr>
              <w:pStyle w:val="ECCTabletext"/>
              <w:jc w:val="left"/>
            </w:pPr>
            <w:r>
              <w:t>-32</w:t>
            </w:r>
            <w:r w:rsidR="00CF4994">
              <w:t>.6</w:t>
            </w:r>
            <w:r>
              <w:t> dBm/MHz</w:t>
            </w:r>
          </w:p>
        </w:tc>
        <w:tc>
          <w:tcPr>
            <w:tcW w:w="1842" w:type="dxa"/>
            <w:shd w:val="clear" w:color="auto" w:fill="auto"/>
          </w:tcPr>
          <w:p w14:paraId="25D06AA8" w14:textId="77777777" w:rsidR="00D70800" w:rsidRPr="00D70800" w:rsidRDefault="00D70800" w:rsidP="001B1AC5">
            <w:pPr>
              <w:pStyle w:val="ECCTabletext"/>
              <w:jc w:val="left"/>
            </w:pPr>
            <w:r w:rsidRPr="00535AD3">
              <w:t>15 dBm</w:t>
            </w:r>
          </w:p>
        </w:tc>
        <w:tc>
          <w:tcPr>
            <w:tcW w:w="2557" w:type="dxa"/>
          </w:tcPr>
          <w:p w14:paraId="479871B8" w14:textId="77777777" w:rsidR="00D70800" w:rsidRPr="00D70800" w:rsidRDefault="00D70800" w:rsidP="001B1AC5">
            <w:pPr>
              <w:pStyle w:val="ECCTabletext"/>
              <w:jc w:val="left"/>
            </w:pPr>
            <w:r w:rsidRPr="00DA3E3C">
              <w:t>20 dB</w:t>
            </w:r>
          </w:p>
        </w:tc>
      </w:tr>
      <w:tr w:rsidR="00D70800" w:rsidRPr="00C53FB5" w14:paraId="58447F75" w14:textId="77777777" w:rsidTr="00472115">
        <w:tc>
          <w:tcPr>
            <w:tcW w:w="1838" w:type="dxa"/>
          </w:tcPr>
          <w:p w14:paraId="0807D6C1" w14:textId="77777777" w:rsidR="00D70800" w:rsidRPr="00D70800" w:rsidRDefault="00D70800" w:rsidP="001B1AC5">
            <w:pPr>
              <w:pStyle w:val="ECCTabletext"/>
              <w:jc w:val="left"/>
            </w:pPr>
            <w:r w:rsidRPr="00DA3E3C">
              <w:t>167 to 182 GHz</w:t>
            </w:r>
          </w:p>
        </w:tc>
        <w:tc>
          <w:tcPr>
            <w:tcW w:w="1276" w:type="dxa"/>
          </w:tcPr>
          <w:p w14:paraId="2FC6514D" w14:textId="20CF7453" w:rsidR="00D70800" w:rsidRPr="00D70800" w:rsidRDefault="00D70800" w:rsidP="001B1AC5">
            <w:pPr>
              <w:pStyle w:val="ECCTabletext"/>
              <w:jc w:val="left"/>
            </w:pPr>
            <w:r>
              <w:t>10</w:t>
            </w:r>
            <w:r w:rsidR="009D5FA2">
              <w:t>%</w:t>
            </w:r>
          </w:p>
        </w:tc>
        <w:tc>
          <w:tcPr>
            <w:tcW w:w="1843" w:type="dxa"/>
          </w:tcPr>
          <w:p w14:paraId="6629D0BC" w14:textId="77777777" w:rsidR="00D70800" w:rsidRPr="00D70800" w:rsidRDefault="00D70800" w:rsidP="001B1AC5">
            <w:pPr>
              <w:pStyle w:val="ECCTabletext"/>
              <w:jc w:val="left"/>
            </w:pPr>
            <w:r w:rsidRPr="00535AD3">
              <w:t>-2</w:t>
            </w:r>
            <w:r w:rsidRPr="00D70800">
              <w:t>9</w:t>
            </w:r>
            <w:r w:rsidR="00CF4994">
              <w:t>.0</w:t>
            </w:r>
            <w:r w:rsidRPr="00D70800">
              <w:t> dBm/MHz</w:t>
            </w:r>
          </w:p>
        </w:tc>
        <w:tc>
          <w:tcPr>
            <w:tcW w:w="1842" w:type="dxa"/>
            <w:shd w:val="clear" w:color="auto" w:fill="auto"/>
          </w:tcPr>
          <w:p w14:paraId="6D39AD5C" w14:textId="77777777" w:rsidR="00D70800" w:rsidRPr="00D70800" w:rsidRDefault="00D70800" w:rsidP="001B1AC5">
            <w:pPr>
              <w:pStyle w:val="ECCTabletext"/>
              <w:jc w:val="left"/>
            </w:pPr>
            <w:r w:rsidRPr="00535AD3">
              <w:t>15 dBm</w:t>
            </w:r>
          </w:p>
        </w:tc>
        <w:tc>
          <w:tcPr>
            <w:tcW w:w="2557" w:type="dxa"/>
          </w:tcPr>
          <w:p w14:paraId="58BCA64B" w14:textId="77777777" w:rsidR="00D70800" w:rsidRPr="00D70800" w:rsidRDefault="00D70800" w:rsidP="001B1AC5">
            <w:pPr>
              <w:pStyle w:val="ECCTabletext"/>
              <w:jc w:val="left"/>
            </w:pPr>
            <w:r w:rsidRPr="00DA3E3C">
              <w:t>20 dB</w:t>
            </w:r>
          </w:p>
        </w:tc>
      </w:tr>
      <w:tr w:rsidR="00D70800" w:rsidRPr="00C53FB5" w14:paraId="2598FDC4" w14:textId="77777777" w:rsidTr="00472115">
        <w:tc>
          <w:tcPr>
            <w:tcW w:w="1838" w:type="dxa"/>
          </w:tcPr>
          <w:p w14:paraId="56DAA124" w14:textId="77777777" w:rsidR="00D70800" w:rsidRPr="00D70800" w:rsidRDefault="00D70800" w:rsidP="001B1AC5">
            <w:pPr>
              <w:pStyle w:val="ECCTabletext"/>
              <w:jc w:val="left"/>
            </w:pPr>
            <w:r w:rsidRPr="00DA3E3C">
              <w:t>231</w:t>
            </w:r>
            <w:r w:rsidR="00CF4994">
              <w:t>.5</w:t>
            </w:r>
            <w:r w:rsidRPr="00DA3E3C">
              <w:t xml:space="preserve"> to 250 GHz</w:t>
            </w:r>
          </w:p>
        </w:tc>
        <w:tc>
          <w:tcPr>
            <w:tcW w:w="1276" w:type="dxa"/>
          </w:tcPr>
          <w:p w14:paraId="1C64C2AA" w14:textId="51AE5484" w:rsidR="00D70800" w:rsidRPr="00D70800" w:rsidRDefault="00D70800" w:rsidP="001B1AC5">
            <w:pPr>
              <w:pStyle w:val="ECCTabletext"/>
              <w:jc w:val="left"/>
            </w:pPr>
            <w:r>
              <w:t>10</w:t>
            </w:r>
            <w:r w:rsidR="009D5FA2">
              <w:t>%</w:t>
            </w:r>
          </w:p>
        </w:tc>
        <w:tc>
          <w:tcPr>
            <w:tcW w:w="1843" w:type="dxa"/>
          </w:tcPr>
          <w:p w14:paraId="608CAC67" w14:textId="77777777" w:rsidR="00D70800" w:rsidRPr="00D70800" w:rsidRDefault="00D70800" w:rsidP="001B1AC5">
            <w:pPr>
              <w:pStyle w:val="ECCTabletext"/>
              <w:jc w:val="left"/>
            </w:pPr>
            <w:r w:rsidRPr="00535AD3">
              <w:t>-2</w:t>
            </w:r>
            <w:r w:rsidRPr="00D70800">
              <w:t>3</w:t>
            </w:r>
            <w:r w:rsidR="00CF4994">
              <w:t>.0</w:t>
            </w:r>
            <w:r w:rsidRPr="00D70800">
              <w:t> dBm/MHz</w:t>
            </w:r>
          </w:p>
        </w:tc>
        <w:tc>
          <w:tcPr>
            <w:tcW w:w="1842" w:type="dxa"/>
            <w:shd w:val="clear" w:color="auto" w:fill="auto"/>
          </w:tcPr>
          <w:p w14:paraId="0FBED18C" w14:textId="77777777" w:rsidR="00D70800" w:rsidRPr="00D70800" w:rsidRDefault="00D70800" w:rsidP="001B1AC5">
            <w:pPr>
              <w:pStyle w:val="ECCTabletext"/>
              <w:jc w:val="left"/>
            </w:pPr>
            <w:r w:rsidRPr="00535AD3">
              <w:t>15 dBm</w:t>
            </w:r>
          </w:p>
        </w:tc>
        <w:tc>
          <w:tcPr>
            <w:tcW w:w="2557" w:type="dxa"/>
          </w:tcPr>
          <w:p w14:paraId="2679B171" w14:textId="77777777" w:rsidR="00D70800" w:rsidRPr="00D70800" w:rsidRDefault="00D70800" w:rsidP="001B1AC5">
            <w:pPr>
              <w:pStyle w:val="ECCTabletext"/>
              <w:jc w:val="left"/>
            </w:pPr>
            <w:r w:rsidRPr="00DA3E3C">
              <w:t>20 dB</w:t>
            </w:r>
          </w:p>
        </w:tc>
      </w:tr>
      <w:tr w:rsidR="00BF4A4B" w:rsidRPr="00C53FB5" w14:paraId="2251E4F8" w14:textId="77777777" w:rsidTr="008A0674">
        <w:tc>
          <w:tcPr>
            <w:tcW w:w="9356" w:type="dxa"/>
            <w:gridSpan w:val="5"/>
          </w:tcPr>
          <w:p w14:paraId="794C0724" w14:textId="03F2098A" w:rsidR="00BF4A4B" w:rsidRPr="00BF4A4B" w:rsidRDefault="00BF4A4B" w:rsidP="00464AE0">
            <w:pPr>
              <w:pStyle w:val="ECCTablenote"/>
            </w:pPr>
            <w:r w:rsidRPr="00BB41AD">
              <w:t xml:space="preserve">Note 1: </w:t>
            </w:r>
            <w:r w:rsidR="00614829" w:rsidRPr="001B0CBB">
              <w:t xml:space="preserve">The operating frequency range (OFR) is defined over the 20 dB reduction of the </w:t>
            </w:r>
            <w:r w:rsidR="00F0123C">
              <w:t>intentional transmission</w:t>
            </w:r>
            <w:r w:rsidR="00614829" w:rsidRPr="00614829">
              <w:t xml:space="preserve"> (20 dB bandwidth) radiated by the equipment into the air and shall remain in the candidate frequency bands. The unwanted emissions attenuation applies to the frequencies outside the OFR and is to be reduced from the maximum mean e.i.r.p. spectral density and the maximum peak e.i.r.p. The measurement bandwidth for the unwanted emissions domain is 1 MHz.</w:t>
            </w:r>
          </w:p>
          <w:p w14:paraId="74BAE018" w14:textId="553D6E04" w:rsidR="00BF4A4B" w:rsidRDefault="00BF4A4B" w:rsidP="00464AE0">
            <w:pPr>
              <w:pStyle w:val="ECCTablenote"/>
            </w:pPr>
            <w:r>
              <w:t>Note 2: The duty cycle of 10</w:t>
            </w:r>
            <w:r w:rsidR="009D5FA2">
              <w:t>%</w:t>
            </w:r>
            <w:r>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4033E7D6" w14:textId="776492E6" w:rsidR="00A96536" w:rsidRPr="00DA3E3C" w:rsidRDefault="00A96536" w:rsidP="00464AE0">
            <w:pPr>
              <w:pStyle w:val="ECCTablenote"/>
            </w:pPr>
            <w:r>
              <w:t>Note 3: T</w:t>
            </w:r>
            <w:r w:rsidRPr="00A96536">
              <w:t>he max</w:t>
            </w:r>
            <w:r w:rsidR="00F0123C">
              <w:t>imum</w:t>
            </w:r>
            <w:r w:rsidRPr="00A96536">
              <w:t xml:space="preserve"> peak e.i.r.p. shall be measured/evaluated in 1 GHz bandwidth.</w:t>
            </w:r>
          </w:p>
        </w:tc>
      </w:tr>
    </w:tbl>
    <w:p w14:paraId="3AC9CAF9" w14:textId="77777777" w:rsidR="00D70800" w:rsidRPr="00020116" w:rsidRDefault="00D70800" w:rsidP="00020116">
      <w:pPr>
        <w:pStyle w:val="Heading3"/>
        <w:rPr>
          <w:rStyle w:val="Hyperlink"/>
          <w:color w:val="auto"/>
          <w:u w:val="none"/>
        </w:rPr>
      </w:pPr>
      <w:bookmarkStart w:id="43" w:name="_Toc84325235"/>
      <w:bookmarkStart w:id="44" w:name="_Toc127346219"/>
      <w:r w:rsidRPr="00020116">
        <w:rPr>
          <w:rStyle w:val="Hyperlink"/>
          <w:color w:val="auto"/>
          <w:u w:val="none"/>
        </w:rPr>
        <w:t>Mechanical- and phased-array contour determination and acquisition sensors (M- and PA-CDR)</w:t>
      </w:r>
      <w:bookmarkEnd w:id="43"/>
      <w:bookmarkEnd w:id="44"/>
    </w:p>
    <w:p w14:paraId="6A7C73DE" w14:textId="33D2CA78" w:rsidR="00D70800" w:rsidRDefault="00D70800" w:rsidP="00D70800">
      <w:r w:rsidRPr="001B2D17">
        <w:t xml:space="preserve">In addition to the installation </w:t>
      </w:r>
      <w:r w:rsidR="00654096">
        <w:t xml:space="preserve">and antenna </w:t>
      </w:r>
      <w:r w:rsidRPr="001B2D17">
        <w:t xml:space="preserve">requirements in </w:t>
      </w:r>
      <w:r w:rsidR="009D5FA2">
        <w:t>section</w:t>
      </w:r>
      <w:r w:rsidRPr="001B2D17">
        <w:t xml:space="preserve"> </w:t>
      </w:r>
      <w:r w:rsidR="000432D8">
        <w:fldChar w:fldCharType="begin"/>
      </w:r>
      <w:r w:rsidR="000432D8">
        <w:instrText xml:space="preserve"> REF _Ref67388689 \r \h </w:instrText>
      </w:r>
      <w:r w:rsidR="000432D8">
        <w:fldChar w:fldCharType="separate"/>
      </w:r>
      <w:r w:rsidR="004F49F9">
        <w:t>0.6</w:t>
      </w:r>
      <w:r w:rsidR="000432D8">
        <w:fldChar w:fldCharType="end"/>
      </w:r>
      <w:r w:rsidR="00654096">
        <w:t>,</w:t>
      </w:r>
      <w:r w:rsidRPr="001B2D17">
        <w:t xml:space="preserve"> </w:t>
      </w:r>
      <w:r>
        <w:t xml:space="preserve">applicable to all CDRs, </w:t>
      </w:r>
      <w:r w:rsidRPr="001B2D17">
        <w:t>the following condition</w:t>
      </w:r>
      <w:r>
        <w:t>s</w:t>
      </w:r>
      <w:r w:rsidRPr="001B2D17">
        <w:t xml:space="preserve"> </w:t>
      </w:r>
      <w:r w:rsidR="00611008">
        <w:t xml:space="preserve">are </w:t>
      </w:r>
      <w:r w:rsidR="00E83890">
        <w:t xml:space="preserve">recommended </w:t>
      </w:r>
      <w:r w:rsidRPr="001B2D17">
        <w:t xml:space="preserve">for the subclass of </w:t>
      </w:r>
      <w:r w:rsidR="00F800A2">
        <w:t>M-CDRs and PA-CDRs</w:t>
      </w:r>
      <w:r w:rsidR="00E83890">
        <w:t xml:space="preserve"> only</w:t>
      </w:r>
      <w:r w:rsidR="001D7996">
        <w:t>:</w:t>
      </w:r>
    </w:p>
    <w:p w14:paraId="4375FB71" w14:textId="0A125240" w:rsidR="00D70800" w:rsidRDefault="00F800A2" w:rsidP="00D70800">
      <w:pPr>
        <w:pStyle w:val="ECCBulletsLv1"/>
        <w:rPr>
          <w:rStyle w:val="ECCParagraph"/>
        </w:rPr>
      </w:pPr>
      <w:r>
        <w:rPr>
          <w:rStyle w:val="ECCParagraph"/>
        </w:rPr>
        <w:t>M-CDRs and PA-CDRs</w:t>
      </w:r>
      <w:r w:rsidR="00D70800" w:rsidRPr="00BB41AD">
        <w:rPr>
          <w:rStyle w:val="ECCParagraph"/>
        </w:rPr>
        <w:t xml:space="preserve"> shall have a permanent spatially scanning behaviour of the antenna main beam direction at any time during operation</w:t>
      </w:r>
      <w:r w:rsidR="001D7996">
        <w:rPr>
          <w:rStyle w:val="ECCParagraph"/>
        </w:rPr>
        <w:t>;</w:t>
      </w:r>
    </w:p>
    <w:p w14:paraId="203BF831" w14:textId="7BEA176B" w:rsidR="00D70800" w:rsidRDefault="00D70800" w:rsidP="00D70800">
      <w:pPr>
        <w:pStyle w:val="ECCBulletsLv1"/>
        <w:rPr>
          <w:rStyle w:val="ECCParagraph"/>
        </w:rPr>
      </w:pPr>
      <w:r w:rsidRPr="00BB41AD">
        <w:rPr>
          <w:rStyle w:val="ECCParagraph"/>
        </w:rPr>
        <w:t>The maximum tilting angle of the antenna main beam direction in relation to the vertical axis towards the ground shall never exceed 60°</w:t>
      </w:r>
      <w:r w:rsidR="001D7996">
        <w:rPr>
          <w:rStyle w:val="ECCParagraph"/>
        </w:rPr>
        <w:t>;</w:t>
      </w:r>
    </w:p>
    <w:p w14:paraId="37AD36FC" w14:textId="77777777" w:rsidR="008465EF" w:rsidRPr="008465EF" w:rsidRDefault="008465EF" w:rsidP="008465EF">
      <w:pPr>
        <w:pStyle w:val="ECCBulletsLv1"/>
      </w:pPr>
      <w:r w:rsidRPr="008465EF">
        <w:t>The peak e.i.r.p. for elevations above 0° shall be limited to 0 dBm.</w:t>
      </w:r>
    </w:p>
    <w:p w14:paraId="0B232A75" w14:textId="29403612" w:rsidR="00D70800" w:rsidRDefault="00D70800" w:rsidP="00D70800">
      <w:pPr>
        <w:rPr>
          <w:rStyle w:val="ECCParagraph"/>
        </w:rPr>
      </w:pPr>
      <w:r>
        <w:rPr>
          <w:rStyle w:val="ECCParagraph"/>
        </w:rPr>
        <w:fldChar w:fldCharType="begin"/>
      </w:r>
      <w:r>
        <w:rPr>
          <w:rStyle w:val="ECCParagraph"/>
        </w:rPr>
        <w:instrText xml:space="preserve"> REF _Ref65592335 \h </w:instrText>
      </w:r>
      <w:r>
        <w:rPr>
          <w:rStyle w:val="ECCParagraph"/>
        </w:rPr>
      </w:r>
      <w:r>
        <w:rPr>
          <w:rStyle w:val="ECCParagraph"/>
        </w:rPr>
        <w:fldChar w:fldCharType="separate"/>
      </w:r>
      <w:r w:rsidR="0041125F" w:rsidRPr="00BB41AD">
        <w:t>Table </w:t>
      </w:r>
      <w:r w:rsidR="0041125F">
        <w:rPr>
          <w:noProof/>
        </w:rPr>
        <w:t>7</w:t>
      </w:r>
      <w:r>
        <w:rPr>
          <w:rStyle w:val="ECCParagraph"/>
        </w:rPr>
        <w:fldChar w:fldCharType="end"/>
      </w:r>
      <w:r>
        <w:rPr>
          <w:rStyle w:val="ECCParagraph"/>
        </w:rPr>
        <w:t xml:space="preserve"> </w:t>
      </w:r>
      <w:r w:rsidRPr="00E73B64">
        <w:rPr>
          <w:rStyle w:val="ECCParagraph"/>
        </w:rPr>
        <w:t xml:space="preserve">shows the </w:t>
      </w:r>
      <w:r w:rsidR="00E83890">
        <w:rPr>
          <w:rStyle w:val="ECCParagraph"/>
        </w:rPr>
        <w:t>recommended</w:t>
      </w:r>
      <w:r w:rsidR="00E83890" w:rsidRPr="00E73B64">
        <w:rPr>
          <w:rStyle w:val="ECCParagraph"/>
        </w:rPr>
        <w:t xml:space="preserve"> </w:t>
      </w:r>
      <w:r w:rsidRPr="00E73B64">
        <w:rPr>
          <w:rStyle w:val="ECCParagraph"/>
        </w:rPr>
        <w:t xml:space="preserve">technical limitations under which the compatibility of </w:t>
      </w:r>
      <w:r>
        <w:rPr>
          <w:rStyle w:val="ECCParagraph"/>
        </w:rPr>
        <w:t>M-</w:t>
      </w:r>
      <w:r w:rsidR="008A0674">
        <w:rPr>
          <w:rStyle w:val="ECCParagraph"/>
        </w:rPr>
        <w:t>CDR</w:t>
      </w:r>
      <w:r>
        <w:rPr>
          <w:rStyle w:val="ECCParagraph"/>
        </w:rPr>
        <w:t xml:space="preserve"> and PA</w:t>
      </w:r>
      <w:r w:rsidRPr="00E73B64">
        <w:rPr>
          <w:rStyle w:val="ECCParagraph"/>
        </w:rPr>
        <w:t xml:space="preserve">-CDR equipment with the investigated Radio Services can be </w:t>
      </w:r>
      <w:r w:rsidR="00E83890">
        <w:rPr>
          <w:rStyle w:val="ECCParagraph"/>
        </w:rPr>
        <w:t xml:space="preserve">achieved </w:t>
      </w:r>
      <w:r w:rsidR="000432D8">
        <w:t>without the implementation of additional mitigation techniques</w:t>
      </w:r>
      <w:r w:rsidRPr="00E73B64">
        <w:rPr>
          <w:rStyle w:val="ECCParagraph"/>
        </w:rPr>
        <w:t>.</w:t>
      </w:r>
    </w:p>
    <w:p w14:paraId="5F2073DD" w14:textId="0489B215" w:rsidR="00D70800" w:rsidRDefault="00D70800" w:rsidP="004D58F2">
      <w:pPr>
        <w:pStyle w:val="Caption"/>
        <w:keepNext/>
      </w:pPr>
      <w:bookmarkStart w:id="45" w:name="_Ref65592335"/>
      <w:r w:rsidRPr="00BB41AD">
        <w:t>Table </w:t>
      </w:r>
      <w:r>
        <w:fldChar w:fldCharType="begin"/>
      </w:r>
      <w:r>
        <w:instrText>SEQ Table \* ARABIC</w:instrText>
      </w:r>
      <w:r>
        <w:fldChar w:fldCharType="separate"/>
      </w:r>
      <w:r w:rsidR="004F49F9">
        <w:rPr>
          <w:noProof/>
        </w:rPr>
        <w:t>7</w:t>
      </w:r>
      <w:r>
        <w:fldChar w:fldCharType="end"/>
      </w:r>
      <w:bookmarkEnd w:id="45"/>
      <w:r w:rsidRPr="0030332D">
        <w:t xml:space="preserve">: </w:t>
      </w:r>
      <w:r>
        <w:t>Proposed</w:t>
      </w:r>
      <w:r w:rsidRPr="0030332D">
        <w:t xml:space="preserve"> technical </w:t>
      </w:r>
      <w:r>
        <w:t>limitations</w:t>
      </w:r>
      <w:r w:rsidRPr="005F00E5">
        <w:t xml:space="preserve"> for </w:t>
      </w:r>
      <w:r>
        <w:t>M-</w:t>
      </w:r>
      <w:r w:rsidR="008A0674">
        <w:t>CDR</w:t>
      </w:r>
      <w:r>
        <w:t xml:space="preserve"> and PA-CDR</w:t>
      </w:r>
      <w:r w:rsidRPr="005F00E5">
        <w:t xml:space="preserve"> devices</w:t>
      </w:r>
      <w:r>
        <w:t xml:space="preserve"> in </w:t>
      </w:r>
      <w:r w:rsidR="00F0123C">
        <w:t xml:space="preserve">the </w:t>
      </w:r>
      <w:r>
        <w:t>candidate bands</w:t>
      </w:r>
    </w:p>
    <w:tbl>
      <w:tblPr>
        <w:tblStyle w:val="ECCTable-redheader"/>
        <w:tblW w:w="9215" w:type="dxa"/>
        <w:tblInd w:w="0" w:type="dxa"/>
        <w:tblLook w:val="04A0" w:firstRow="1" w:lastRow="0" w:firstColumn="1" w:lastColumn="0" w:noHBand="0" w:noVBand="1"/>
      </w:tblPr>
      <w:tblGrid>
        <w:gridCol w:w="1837"/>
        <w:gridCol w:w="1139"/>
        <w:gridCol w:w="1981"/>
        <w:gridCol w:w="2126"/>
        <w:gridCol w:w="2132"/>
      </w:tblGrid>
      <w:tr w:rsidR="00554750" w:rsidRPr="00566944" w14:paraId="726F510D" w14:textId="77777777" w:rsidTr="009D5FA2">
        <w:trPr>
          <w:cnfStyle w:val="100000000000" w:firstRow="1" w:lastRow="0" w:firstColumn="0" w:lastColumn="0" w:oddVBand="0" w:evenVBand="0" w:oddHBand="0" w:evenHBand="0" w:firstRowFirstColumn="0" w:firstRowLastColumn="0" w:lastRowFirstColumn="0" w:lastRowLastColumn="0"/>
        </w:trPr>
        <w:tc>
          <w:tcPr>
            <w:tcW w:w="1837" w:type="dxa"/>
          </w:tcPr>
          <w:p w14:paraId="7B09C950" w14:textId="77777777" w:rsidR="00554750" w:rsidRPr="00554750" w:rsidRDefault="00554750" w:rsidP="004D58F2">
            <w:pPr>
              <w:pStyle w:val="ECCTableHeaderwhitefont"/>
              <w:keepNext/>
            </w:pPr>
            <w:r>
              <w:t xml:space="preserve">Candidate </w:t>
            </w:r>
            <w:r w:rsidRPr="00554750">
              <w:t>frequency band</w:t>
            </w:r>
          </w:p>
        </w:tc>
        <w:tc>
          <w:tcPr>
            <w:tcW w:w="1139" w:type="dxa"/>
          </w:tcPr>
          <w:p w14:paraId="417CEEB5" w14:textId="77777777" w:rsidR="00554750" w:rsidRPr="00554750" w:rsidRDefault="00554750" w:rsidP="004D58F2">
            <w:pPr>
              <w:pStyle w:val="ECCTableHeaderwhitefont"/>
              <w:keepNext/>
            </w:pPr>
            <w:r>
              <w:t>Max</w:t>
            </w:r>
            <w:r w:rsidR="00E651F1">
              <w:t>imum</w:t>
            </w:r>
            <w:r>
              <w:t xml:space="preserve"> d</w:t>
            </w:r>
            <w:r w:rsidRPr="00554750">
              <w:t>uty cycle</w:t>
            </w:r>
          </w:p>
        </w:tc>
        <w:tc>
          <w:tcPr>
            <w:tcW w:w="1981" w:type="dxa"/>
          </w:tcPr>
          <w:p w14:paraId="70DE7E47" w14:textId="77777777" w:rsidR="00554750" w:rsidRPr="00554750" w:rsidRDefault="00554750" w:rsidP="004D58F2">
            <w:pPr>
              <w:pStyle w:val="ECCTableHeaderwhitefont"/>
              <w:keepNext/>
            </w:pPr>
            <w:r>
              <w:t>Max</w:t>
            </w:r>
            <w:r w:rsidRPr="00554750">
              <w:t>imum mean e.i.r.p. spectral density</w:t>
            </w:r>
            <w:r w:rsidR="00E651F1">
              <w:t xml:space="preserve"> (Note 2)</w:t>
            </w:r>
          </w:p>
        </w:tc>
        <w:tc>
          <w:tcPr>
            <w:tcW w:w="2126" w:type="dxa"/>
          </w:tcPr>
          <w:p w14:paraId="229F528B" w14:textId="77777777" w:rsidR="00554750" w:rsidRPr="00554750" w:rsidRDefault="00554750" w:rsidP="004D58F2">
            <w:pPr>
              <w:pStyle w:val="ECCTableHeaderwhitefont"/>
              <w:keepNext/>
            </w:pPr>
            <w:r>
              <w:t>Max</w:t>
            </w:r>
            <w:r w:rsidRPr="00554750">
              <w:t>imum peak e.i.r.p.</w:t>
            </w:r>
            <w:r w:rsidR="005432E9">
              <w:t xml:space="preserve"> </w:t>
            </w:r>
            <w:r w:rsidR="005432E9" w:rsidRPr="00F55F3A">
              <w:t>(</w:t>
            </w:r>
            <w:r w:rsidR="00A96536">
              <w:t>Note 3</w:t>
            </w:r>
            <w:r w:rsidR="005432E9" w:rsidRPr="005432E9">
              <w:t>)</w:t>
            </w:r>
          </w:p>
        </w:tc>
        <w:tc>
          <w:tcPr>
            <w:tcW w:w="2132" w:type="dxa"/>
          </w:tcPr>
          <w:p w14:paraId="552E75F0" w14:textId="77777777" w:rsidR="00554750" w:rsidRPr="00554750" w:rsidRDefault="00E651F1" w:rsidP="004D58F2">
            <w:pPr>
              <w:pStyle w:val="ECCTableHeaderwhitefont"/>
              <w:keepNext/>
            </w:pPr>
            <w:r>
              <w:t>Min</w:t>
            </w:r>
            <w:r w:rsidRPr="00E651F1">
              <w:t xml:space="preserve">imum </w:t>
            </w:r>
            <w:r w:rsidR="00035AA7">
              <w:t>unwanted emissions</w:t>
            </w:r>
            <w:r w:rsidRPr="00E651F1">
              <w:t xml:space="preserve"> attenuation (Note 1)</w:t>
            </w:r>
          </w:p>
        </w:tc>
      </w:tr>
      <w:tr w:rsidR="00D70800" w:rsidRPr="00C53FB5" w14:paraId="438DD04A" w14:textId="77777777" w:rsidTr="009D5FA2">
        <w:tc>
          <w:tcPr>
            <w:tcW w:w="1837" w:type="dxa"/>
          </w:tcPr>
          <w:p w14:paraId="338549E6" w14:textId="77777777" w:rsidR="00D70800" w:rsidRPr="00D70800" w:rsidRDefault="00D70800" w:rsidP="004D58F2">
            <w:pPr>
              <w:pStyle w:val="ECCTabletext"/>
              <w:keepNext/>
              <w:jc w:val="left"/>
            </w:pPr>
            <w:r w:rsidRPr="00DA3E3C">
              <w:t>116 to 148</w:t>
            </w:r>
            <w:r w:rsidR="00CF4994">
              <w:t>.5</w:t>
            </w:r>
            <w:r w:rsidRPr="00DA3E3C">
              <w:t> GHz</w:t>
            </w:r>
          </w:p>
        </w:tc>
        <w:tc>
          <w:tcPr>
            <w:tcW w:w="1139" w:type="dxa"/>
          </w:tcPr>
          <w:p w14:paraId="1B70BEDE" w14:textId="799F30A1" w:rsidR="00D70800" w:rsidRPr="00D70800" w:rsidRDefault="00D70800" w:rsidP="004D58F2">
            <w:pPr>
              <w:pStyle w:val="ECCTabletext"/>
              <w:keepNext/>
              <w:jc w:val="left"/>
            </w:pPr>
            <w:r>
              <w:t>10</w:t>
            </w:r>
            <w:r w:rsidR="00E91B50">
              <w:t>%</w:t>
            </w:r>
          </w:p>
        </w:tc>
        <w:tc>
          <w:tcPr>
            <w:tcW w:w="1981" w:type="dxa"/>
            <w:shd w:val="clear" w:color="auto" w:fill="auto"/>
          </w:tcPr>
          <w:p w14:paraId="4F571AF9" w14:textId="77777777" w:rsidR="00D70800" w:rsidRPr="00D70800" w:rsidRDefault="00D70800" w:rsidP="004D58F2">
            <w:pPr>
              <w:keepNext/>
            </w:pPr>
            <w:r w:rsidRPr="002701DE">
              <w:t>-</w:t>
            </w:r>
            <w:r w:rsidRPr="00D70800">
              <w:t>12</w:t>
            </w:r>
            <w:r w:rsidR="00CF4994">
              <w:t>.0</w:t>
            </w:r>
            <w:r w:rsidRPr="00D70800">
              <w:t> dBm/MHz</w:t>
            </w:r>
          </w:p>
        </w:tc>
        <w:tc>
          <w:tcPr>
            <w:tcW w:w="2126" w:type="dxa"/>
            <w:shd w:val="clear" w:color="auto" w:fill="auto"/>
          </w:tcPr>
          <w:p w14:paraId="5BB29181" w14:textId="77777777" w:rsidR="00D70800" w:rsidRPr="00D70800" w:rsidRDefault="00D70800" w:rsidP="004D58F2">
            <w:pPr>
              <w:pStyle w:val="ECCTabletext"/>
              <w:keepNext/>
              <w:jc w:val="left"/>
            </w:pPr>
            <w:r>
              <w:t>28</w:t>
            </w:r>
            <w:r w:rsidR="00CF4994">
              <w:t>.6</w:t>
            </w:r>
            <w:r w:rsidRPr="00D70800">
              <w:t> dBm</w:t>
            </w:r>
          </w:p>
        </w:tc>
        <w:tc>
          <w:tcPr>
            <w:tcW w:w="2132" w:type="dxa"/>
          </w:tcPr>
          <w:p w14:paraId="6C84F3E7" w14:textId="77777777" w:rsidR="00D70800" w:rsidRPr="00D70800" w:rsidRDefault="00D70800" w:rsidP="004D58F2">
            <w:pPr>
              <w:pStyle w:val="ECCTabletext"/>
              <w:keepNext/>
              <w:jc w:val="left"/>
            </w:pPr>
            <w:r w:rsidRPr="00DA3E3C">
              <w:t>20 dB</w:t>
            </w:r>
          </w:p>
        </w:tc>
      </w:tr>
      <w:tr w:rsidR="00D70800" w:rsidRPr="00C53FB5" w14:paraId="5A169A21" w14:textId="77777777" w:rsidTr="009D5FA2">
        <w:tc>
          <w:tcPr>
            <w:tcW w:w="1837" w:type="dxa"/>
          </w:tcPr>
          <w:p w14:paraId="327C8BF6" w14:textId="77777777" w:rsidR="00D70800" w:rsidRPr="00D70800" w:rsidRDefault="00D70800" w:rsidP="004D58F2">
            <w:pPr>
              <w:pStyle w:val="ECCTabletext"/>
              <w:keepNext/>
              <w:jc w:val="left"/>
            </w:pPr>
            <w:r w:rsidRPr="00DA3E3C">
              <w:t xml:space="preserve">167 to </w:t>
            </w:r>
            <w:r w:rsidRPr="00D70800">
              <w:t>182 GHz</w:t>
            </w:r>
          </w:p>
        </w:tc>
        <w:tc>
          <w:tcPr>
            <w:tcW w:w="1139" w:type="dxa"/>
          </w:tcPr>
          <w:p w14:paraId="6F12377A" w14:textId="6B19987B" w:rsidR="00D70800" w:rsidRPr="00D70800" w:rsidRDefault="00D70800" w:rsidP="004D58F2">
            <w:pPr>
              <w:pStyle w:val="ECCTabletext"/>
              <w:keepNext/>
              <w:jc w:val="left"/>
            </w:pPr>
            <w:r>
              <w:t>10</w:t>
            </w:r>
            <w:r w:rsidR="00E91B50">
              <w:t>%</w:t>
            </w:r>
          </w:p>
        </w:tc>
        <w:tc>
          <w:tcPr>
            <w:tcW w:w="1981" w:type="dxa"/>
            <w:shd w:val="clear" w:color="auto" w:fill="auto"/>
          </w:tcPr>
          <w:p w14:paraId="28E73EBB" w14:textId="77777777" w:rsidR="00D70800" w:rsidRPr="00D70800" w:rsidRDefault="00D70800" w:rsidP="004D58F2">
            <w:pPr>
              <w:keepNext/>
            </w:pPr>
            <w:r w:rsidRPr="002701DE">
              <w:t>-</w:t>
            </w:r>
            <w:r w:rsidRPr="00D70800">
              <w:t>9</w:t>
            </w:r>
            <w:r w:rsidR="00CF4994">
              <w:t>.0</w:t>
            </w:r>
            <w:r w:rsidRPr="00D70800">
              <w:t> dBm/MHz</w:t>
            </w:r>
          </w:p>
        </w:tc>
        <w:tc>
          <w:tcPr>
            <w:tcW w:w="2126" w:type="dxa"/>
            <w:shd w:val="clear" w:color="auto" w:fill="auto"/>
          </w:tcPr>
          <w:p w14:paraId="4A5E45B4" w14:textId="77777777" w:rsidR="00D70800" w:rsidRPr="00D70800" w:rsidRDefault="00D70800" w:rsidP="004D58F2">
            <w:pPr>
              <w:pStyle w:val="ECCTabletext"/>
              <w:keepNext/>
              <w:jc w:val="left"/>
            </w:pPr>
            <w:r>
              <w:t>34</w:t>
            </w:r>
            <w:r w:rsidR="00CF4994">
              <w:t>.6</w:t>
            </w:r>
            <w:r w:rsidRPr="00D70800">
              <w:t> dBm</w:t>
            </w:r>
          </w:p>
        </w:tc>
        <w:tc>
          <w:tcPr>
            <w:tcW w:w="2132" w:type="dxa"/>
          </w:tcPr>
          <w:p w14:paraId="1DA4E5F5" w14:textId="77777777" w:rsidR="00D70800" w:rsidRPr="00D70800" w:rsidRDefault="00D70800" w:rsidP="004D58F2">
            <w:pPr>
              <w:pStyle w:val="ECCTabletext"/>
              <w:keepNext/>
              <w:jc w:val="left"/>
            </w:pPr>
            <w:r w:rsidRPr="00DA3E3C">
              <w:t>20 dB</w:t>
            </w:r>
          </w:p>
        </w:tc>
      </w:tr>
      <w:tr w:rsidR="00D70800" w:rsidRPr="00C53FB5" w14:paraId="79D08459" w14:textId="77777777" w:rsidTr="009D5FA2">
        <w:tc>
          <w:tcPr>
            <w:tcW w:w="1837" w:type="dxa"/>
          </w:tcPr>
          <w:p w14:paraId="3023D1AF" w14:textId="77777777" w:rsidR="00D70800" w:rsidRPr="00D70800" w:rsidRDefault="00D70800" w:rsidP="004D58F2">
            <w:pPr>
              <w:pStyle w:val="ECCTabletext"/>
              <w:keepNext/>
              <w:jc w:val="left"/>
            </w:pPr>
            <w:r w:rsidRPr="00DA3E3C">
              <w:t>231</w:t>
            </w:r>
            <w:r w:rsidR="00CF4994">
              <w:t>.5</w:t>
            </w:r>
            <w:r w:rsidRPr="00DA3E3C">
              <w:t xml:space="preserve"> to 250 GHz</w:t>
            </w:r>
          </w:p>
        </w:tc>
        <w:tc>
          <w:tcPr>
            <w:tcW w:w="1139" w:type="dxa"/>
          </w:tcPr>
          <w:p w14:paraId="692FFD6A" w14:textId="4FFB9A99" w:rsidR="00D70800" w:rsidRPr="00D70800" w:rsidRDefault="00D70800" w:rsidP="004D58F2">
            <w:pPr>
              <w:pStyle w:val="ECCTabletext"/>
              <w:keepNext/>
              <w:jc w:val="left"/>
            </w:pPr>
            <w:r>
              <w:t>10</w:t>
            </w:r>
            <w:r w:rsidR="00E91B50">
              <w:t>%</w:t>
            </w:r>
          </w:p>
        </w:tc>
        <w:tc>
          <w:tcPr>
            <w:tcW w:w="1981" w:type="dxa"/>
            <w:shd w:val="clear" w:color="auto" w:fill="auto"/>
          </w:tcPr>
          <w:p w14:paraId="7119B95A" w14:textId="77777777" w:rsidR="00D70800" w:rsidRPr="00D70800" w:rsidRDefault="00D70800" w:rsidP="004D58F2">
            <w:pPr>
              <w:keepNext/>
            </w:pPr>
            <w:r w:rsidRPr="002701DE">
              <w:t>-</w:t>
            </w:r>
            <w:r w:rsidRPr="00D70800">
              <w:t>6</w:t>
            </w:r>
            <w:r w:rsidR="00CF4994">
              <w:t>.0</w:t>
            </w:r>
            <w:r w:rsidRPr="00D70800">
              <w:t> dBm/MHz</w:t>
            </w:r>
          </w:p>
        </w:tc>
        <w:tc>
          <w:tcPr>
            <w:tcW w:w="2126" w:type="dxa"/>
            <w:shd w:val="clear" w:color="auto" w:fill="auto"/>
          </w:tcPr>
          <w:p w14:paraId="02E8967A" w14:textId="77777777" w:rsidR="00D70800" w:rsidRPr="00D70800" w:rsidRDefault="00D70800" w:rsidP="004D58F2">
            <w:pPr>
              <w:pStyle w:val="ECCTabletext"/>
              <w:keepNext/>
              <w:jc w:val="left"/>
            </w:pPr>
            <w:r>
              <w:t>37</w:t>
            </w:r>
            <w:r w:rsidRPr="00D70800">
              <w:t> dBm</w:t>
            </w:r>
          </w:p>
        </w:tc>
        <w:tc>
          <w:tcPr>
            <w:tcW w:w="2132" w:type="dxa"/>
          </w:tcPr>
          <w:p w14:paraId="2FE185A3" w14:textId="77777777" w:rsidR="00D70800" w:rsidRPr="00D70800" w:rsidRDefault="00D70800" w:rsidP="004D58F2">
            <w:pPr>
              <w:pStyle w:val="ECCTabletext"/>
              <w:keepNext/>
              <w:jc w:val="left"/>
            </w:pPr>
            <w:r w:rsidRPr="00DA3E3C">
              <w:t>20 dB</w:t>
            </w:r>
          </w:p>
        </w:tc>
      </w:tr>
      <w:tr w:rsidR="00BF4A4B" w:rsidRPr="00C53FB5" w14:paraId="5B61D443" w14:textId="77777777" w:rsidTr="009D5FA2">
        <w:tc>
          <w:tcPr>
            <w:tcW w:w="9215" w:type="dxa"/>
            <w:gridSpan w:val="5"/>
          </w:tcPr>
          <w:p w14:paraId="4F723BC6" w14:textId="02EC1D33" w:rsidR="00BF4A4B" w:rsidRPr="00BF4A4B" w:rsidRDefault="00BF4A4B" w:rsidP="004D58F2">
            <w:pPr>
              <w:pStyle w:val="ECCTablenote"/>
              <w:keepNext/>
            </w:pPr>
            <w:r w:rsidRPr="00BB41AD">
              <w:t xml:space="preserve">Note 1: </w:t>
            </w:r>
            <w:r w:rsidR="00614829" w:rsidRPr="001B0CBB">
              <w:t xml:space="preserve">The operating frequency range (OFR) is defined over the 20 dB reduction of the </w:t>
            </w:r>
            <w:r w:rsidR="00F0123C">
              <w:t>intentional transmission</w:t>
            </w:r>
            <w:r w:rsidR="00614829" w:rsidRPr="00614829">
              <w:t xml:space="preserve"> (20 dB bandwidth) radiated by the equipment into the air and shall remain in the candidate frequency bands. The unwanted emissions attenuation applies to the frequencies outside the OFR and is to be reduced from the maximum mean e.i.r.p. spectral density and the maximum peak e.i.r.p. The measurement bandwidth for the unwanted emissions domain is 1 MHz.</w:t>
            </w:r>
          </w:p>
          <w:p w14:paraId="6C6BF511" w14:textId="77CD0D5C" w:rsidR="00BF4A4B" w:rsidRDefault="00BF4A4B" w:rsidP="004D58F2">
            <w:pPr>
              <w:pStyle w:val="ECCTablenote"/>
              <w:keepNext/>
            </w:pPr>
            <w:r>
              <w:t>Note 2: The duty cycle of 10</w:t>
            </w:r>
            <w:r w:rsidR="00E91B50">
              <w:t>%</w:t>
            </w:r>
            <w:r>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04A57ABA" w14:textId="3728E679" w:rsidR="00A96536" w:rsidRPr="00DA3E3C" w:rsidRDefault="00A96536" w:rsidP="004D58F2">
            <w:pPr>
              <w:pStyle w:val="ECCTablenote"/>
              <w:keepNext/>
            </w:pPr>
            <w:r>
              <w:t>Note 3: T</w:t>
            </w:r>
            <w:r w:rsidRPr="00A96536">
              <w:t>he max</w:t>
            </w:r>
            <w:r w:rsidR="00F0123C">
              <w:t>imum</w:t>
            </w:r>
            <w:r w:rsidRPr="00A96536">
              <w:t xml:space="preserve"> peak e.i.r.p. shall be measured/evaluated in 1 GHz bandwidth.</w:t>
            </w:r>
          </w:p>
        </w:tc>
      </w:tr>
    </w:tbl>
    <w:p w14:paraId="5318EC00" w14:textId="77777777" w:rsidR="00D70800" w:rsidRDefault="00D70800" w:rsidP="00D70800">
      <w:pPr>
        <w:pStyle w:val="Heading2"/>
      </w:pPr>
      <w:bookmarkStart w:id="46" w:name="_Toc84325236"/>
      <w:bookmarkStart w:id="47" w:name="_Toc127346220"/>
      <w:r>
        <w:t>Tank level probing radar (TLPR)</w:t>
      </w:r>
      <w:bookmarkEnd w:id="46"/>
      <w:bookmarkEnd w:id="47"/>
    </w:p>
    <w:p w14:paraId="7E2297C9" w14:textId="77777777" w:rsidR="00D70800" w:rsidRPr="00BB41AD" w:rsidRDefault="00D70800" w:rsidP="0070341C">
      <w:pPr>
        <w:rPr>
          <w:rStyle w:val="ECCParagraph"/>
        </w:rPr>
      </w:pPr>
      <w:r w:rsidRPr="00BB41AD">
        <w:rPr>
          <w:rStyle w:val="ECCParagraph"/>
        </w:rPr>
        <w:t xml:space="preserve">Tank level probing radar (TLPR) is </w:t>
      </w:r>
      <w:r w:rsidRPr="00865EFA">
        <w:rPr>
          <w:rStyle w:val="ECCParagraph"/>
        </w:rPr>
        <w:t>an industrial and professional application</w:t>
      </w:r>
      <w:r>
        <w:rPr>
          <w:rStyle w:val="ECCParagraph"/>
        </w:rPr>
        <w:t xml:space="preserve"> </w:t>
      </w:r>
      <w:r w:rsidRPr="00BB41AD">
        <w:rPr>
          <w:rStyle w:val="ECCParagraph"/>
        </w:rPr>
        <w:t>used in many different industries to determine the amount of a substance (mostly liquids and solids) inside shielded tanks or containers.</w:t>
      </w:r>
      <w:r w:rsidR="0070341C">
        <w:rPr>
          <w:rStyle w:val="ECCParagraph"/>
        </w:rPr>
        <w:t xml:space="preserve"> </w:t>
      </w:r>
      <w:r w:rsidR="00E83890">
        <w:rPr>
          <w:rStyle w:val="ECCParagraph"/>
        </w:rPr>
        <w:t>It is recommended that a</w:t>
      </w:r>
      <w:r w:rsidRPr="00BB41AD">
        <w:rPr>
          <w:rStyle w:val="ECCParagraph"/>
        </w:rPr>
        <w:t xml:space="preserve">ll tank level probing radars </w:t>
      </w:r>
      <w:r w:rsidR="0070341C">
        <w:rPr>
          <w:rStyle w:val="ECCParagraph"/>
        </w:rPr>
        <w:t>should</w:t>
      </w:r>
      <w:r w:rsidRPr="00BB41AD">
        <w:rPr>
          <w:rStyle w:val="ECCParagraph"/>
        </w:rPr>
        <w:t xml:space="preserve"> comply with the following </w:t>
      </w:r>
      <w:r w:rsidR="0070341C">
        <w:rPr>
          <w:rStyle w:val="ECCParagraph"/>
        </w:rPr>
        <w:t>(</w:t>
      </w:r>
      <w:r w:rsidRPr="00BB41AD">
        <w:rPr>
          <w:rStyle w:val="ECCParagraph"/>
        </w:rPr>
        <w:t>installation</w:t>
      </w:r>
      <w:r w:rsidR="0070341C">
        <w:rPr>
          <w:rStyle w:val="ECCParagraph"/>
        </w:rPr>
        <w:t>)</w:t>
      </w:r>
      <w:r w:rsidRPr="00BB41AD">
        <w:rPr>
          <w:rStyle w:val="ECCParagraph"/>
        </w:rPr>
        <w:t xml:space="preserve"> requirements:</w:t>
      </w:r>
    </w:p>
    <w:p w14:paraId="1025E76B" w14:textId="13CC342E" w:rsidR="00D70800" w:rsidRPr="00BB41AD" w:rsidRDefault="00D70800" w:rsidP="00D70800">
      <w:pPr>
        <w:pStyle w:val="ECCBulletsLv1"/>
      </w:pPr>
      <w:r w:rsidRPr="00B70EEC">
        <w:t>The operation of TLPR sensors is envisaged for industrial purposes only</w:t>
      </w:r>
      <w:r w:rsidR="001D7996">
        <w:t>;</w:t>
      </w:r>
    </w:p>
    <w:p w14:paraId="192BAED8" w14:textId="1BFA7A51" w:rsidR="00D70800" w:rsidRPr="00BB41AD" w:rsidRDefault="00D70800" w:rsidP="00D70800">
      <w:pPr>
        <w:pStyle w:val="ECCBulletsLv1"/>
      </w:pPr>
      <w:r w:rsidRPr="00B70EEC">
        <w:t>Installation and maintenance of TLPR equipment shall be performed by professionally trained individuals only</w:t>
      </w:r>
      <w:r w:rsidR="001D7996">
        <w:t>;</w:t>
      </w:r>
    </w:p>
    <w:p w14:paraId="3BDF4612" w14:textId="73333257" w:rsidR="00D70800" w:rsidRPr="00BB41AD" w:rsidRDefault="00D70800" w:rsidP="00D70800">
      <w:pPr>
        <w:pStyle w:val="ECCBulletsLv1"/>
      </w:pPr>
      <w:r w:rsidRPr="00B70EEC">
        <w:t xml:space="preserve">TLPR equipment shall not be marketed to private end </w:t>
      </w:r>
      <w:r w:rsidRPr="00BB41AD">
        <w:t>customers</w:t>
      </w:r>
      <w:r w:rsidR="001D7996">
        <w:t>;</w:t>
      </w:r>
    </w:p>
    <w:p w14:paraId="7F9003D1" w14:textId="0E1F274C" w:rsidR="00D70800" w:rsidRPr="00BB41AD" w:rsidRDefault="00D70800" w:rsidP="00D70800">
      <w:pPr>
        <w:pStyle w:val="ECCBulletsLv1"/>
      </w:pPr>
      <w:r w:rsidRPr="00B70EEC">
        <w:t xml:space="preserve">TLPRs </w:t>
      </w:r>
      <w:r w:rsidRPr="00BB41AD">
        <w:t>shall be installed at a permanent fixed position at a closed metallic tank or concrete tank, or a similar enclosure structure made of comparable attenuating material</w:t>
      </w:r>
      <w:r w:rsidR="001D7996">
        <w:t>;</w:t>
      </w:r>
    </w:p>
    <w:p w14:paraId="52EF5C9D" w14:textId="337BA3DC" w:rsidR="00D70800" w:rsidRPr="00BB41AD" w:rsidRDefault="00D70800" w:rsidP="00D70800">
      <w:pPr>
        <w:pStyle w:val="ECCBulletsLv1"/>
      </w:pPr>
      <w:r w:rsidRPr="00B70EEC">
        <w:t>Flanges and attachments of the TLPR equipment shall provide the necessary microwave sealing by design</w:t>
      </w:r>
      <w:r w:rsidR="001D7996">
        <w:t>;</w:t>
      </w:r>
    </w:p>
    <w:p w14:paraId="43C0DE42" w14:textId="7FC1B055" w:rsidR="00D70800" w:rsidRPr="00BB41AD" w:rsidRDefault="00D70800" w:rsidP="00D70800">
      <w:pPr>
        <w:pStyle w:val="ECCBulletsLv1"/>
      </w:pPr>
      <w:r w:rsidRPr="00B70EEC">
        <w:t xml:space="preserve">Sight glasses shall be coated with a microwave-proof coating when necessary (i.e. electrically conductive </w:t>
      </w:r>
      <w:r w:rsidRPr="00BB41AD">
        <w:t>or microwave absorbing coating)</w:t>
      </w:r>
      <w:r w:rsidR="001D7996">
        <w:t>;</w:t>
      </w:r>
    </w:p>
    <w:p w14:paraId="591B610B" w14:textId="24F36B40" w:rsidR="00D70800" w:rsidRPr="00BB41AD" w:rsidRDefault="00D70800" w:rsidP="00D70800">
      <w:pPr>
        <w:pStyle w:val="ECCBulletsLv1"/>
      </w:pPr>
      <w:r w:rsidRPr="00B70EEC">
        <w:t xml:space="preserve">Manholes or connection flanges </w:t>
      </w:r>
      <w:r w:rsidRPr="00BB41AD">
        <w:t>attached to the tank shall be closed while the TLPR equipment is in operation to ensure a low-level leakage of the signal into the free space outside the tank</w:t>
      </w:r>
      <w:r w:rsidR="001D7996">
        <w:t>;</w:t>
      </w:r>
    </w:p>
    <w:p w14:paraId="0A66BF63" w14:textId="77777777" w:rsidR="00D70800" w:rsidRPr="00654096" w:rsidRDefault="00D70800" w:rsidP="00D70800">
      <w:pPr>
        <w:pStyle w:val="ECCBulletsLv1"/>
        <w:rPr>
          <w:shd w:val="solid" w:color="FFFF00" w:fill="auto"/>
        </w:rPr>
      </w:pPr>
      <w:r w:rsidRPr="00BB41AD">
        <w:t>The provider is required to inform the users and installers of TLPR equipment about the installation requirements and the additional special mounting instructions.</w:t>
      </w:r>
    </w:p>
    <w:p w14:paraId="22C8EB05" w14:textId="77777777" w:rsidR="00654096" w:rsidRPr="00654096" w:rsidRDefault="00654096" w:rsidP="00654096">
      <w:r w:rsidRPr="00654096">
        <w:t xml:space="preserve">In addition, the following antenna requirement is </w:t>
      </w:r>
      <w:r w:rsidR="00E83890">
        <w:t>recommended</w:t>
      </w:r>
      <w:r w:rsidRPr="00654096">
        <w:t>:</w:t>
      </w:r>
    </w:p>
    <w:p w14:paraId="10ECDF2F" w14:textId="77777777" w:rsidR="00654096" w:rsidRPr="00654096" w:rsidRDefault="00654096" w:rsidP="00654096">
      <w:pPr>
        <w:pStyle w:val="ECCBulletsLv1"/>
      </w:pPr>
      <w:r w:rsidRPr="00654096">
        <w:t xml:space="preserve">For </w:t>
      </w:r>
      <w:r>
        <w:t>TLPR</w:t>
      </w:r>
      <w:r w:rsidRPr="00654096">
        <w:t xml:space="preserve"> devices using an antenna gain smaller than 20 dBi, the maximum conducted peak output power shall be limited to 15 dBm.</w:t>
      </w:r>
    </w:p>
    <w:p w14:paraId="6A3AC2AC" w14:textId="053E5C51" w:rsidR="00D70800" w:rsidRPr="00D70800" w:rsidRDefault="00D70800" w:rsidP="00654096">
      <w:pPr>
        <w:rPr>
          <w:rStyle w:val="ECCParagraph"/>
        </w:rPr>
      </w:pPr>
      <w:r w:rsidRPr="00D70800">
        <w:rPr>
          <w:rStyle w:val="ECCParagraph"/>
        </w:rPr>
        <w:fldChar w:fldCharType="begin"/>
      </w:r>
      <w:r w:rsidRPr="00D70800">
        <w:rPr>
          <w:rStyle w:val="ECCParagraph"/>
        </w:rPr>
        <w:instrText xml:space="preserve"> REF _Ref65588917 \h </w:instrText>
      </w:r>
      <w:r w:rsidR="00654096">
        <w:rPr>
          <w:rStyle w:val="ECCParagraph"/>
        </w:rPr>
        <w:instrText xml:space="preserve"> \* MERGEFORMAT </w:instrText>
      </w:r>
      <w:r w:rsidRPr="00D70800">
        <w:rPr>
          <w:rStyle w:val="ECCParagraph"/>
        </w:rPr>
      </w:r>
      <w:r w:rsidRPr="00D70800">
        <w:rPr>
          <w:rStyle w:val="ECCParagraph"/>
        </w:rPr>
        <w:fldChar w:fldCharType="separate"/>
      </w:r>
      <w:r w:rsidR="0041125F" w:rsidRPr="00BB41AD">
        <w:t>Table </w:t>
      </w:r>
      <w:r w:rsidR="0041125F">
        <w:t>8</w:t>
      </w:r>
      <w:r w:rsidRPr="00D70800">
        <w:rPr>
          <w:rStyle w:val="ECCParagraph"/>
        </w:rPr>
        <w:fldChar w:fldCharType="end"/>
      </w:r>
      <w:r w:rsidRPr="00D70800">
        <w:rPr>
          <w:rStyle w:val="ECCParagraph"/>
        </w:rPr>
        <w:t xml:space="preserve"> shows the proposed technical limitations under which the compatibility with all investigated Radio Services can be </w:t>
      </w:r>
      <w:r w:rsidR="00E83890">
        <w:rPr>
          <w:rStyle w:val="ECCParagraph"/>
        </w:rPr>
        <w:t xml:space="preserve">achieved </w:t>
      </w:r>
      <w:r w:rsidR="000432D8">
        <w:t>without the implementation of additional mitigation techniques</w:t>
      </w:r>
      <w:r w:rsidRPr="00D70800">
        <w:rPr>
          <w:rStyle w:val="ECCParagraph"/>
        </w:rPr>
        <w:t>.</w:t>
      </w:r>
    </w:p>
    <w:p w14:paraId="6B4B2DF4" w14:textId="33DC049D" w:rsidR="00D70800" w:rsidRDefault="00D70800" w:rsidP="00300D3F">
      <w:pPr>
        <w:pStyle w:val="Caption"/>
        <w:keepNext/>
      </w:pPr>
      <w:bookmarkStart w:id="48" w:name="_Ref65588917"/>
      <w:r w:rsidRPr="00BB41AD">
        <w:t>Table </w:t>
      </w:r>
      <w:r>
        <w:fldChar w:fldCharType="begin"/>
      </w:r>
      <w:r>
        <w:instrText>SEQ Table \* ARABIC</w:instrText>
      </w:r>
      <w:r>
        <w:fldChar w:fldCharType="separate"/>
      </w:r>
      <w:r w:rsidR="004F49F9">
        <w:rPr>
          <w:noProof/>
        </w:rPr>
        <w:t>8</w:t>
      </w:r>
      <w:r>
        <w:fldChar w:fldCharType="end"/>
      </w:r>
      <w:bookmarkEnd w:id="48"/>
      <w:r w:rsidRPr="0030332D">
        <w:t xml:space="preserve">: </w:t>
      </w:r>
      <w:r>
        <w:t>Proposed</w:t>
      </w:r>
      <w:r w:rsidRPr="0030332D">
        <w:t xml:space="preserve"> technical </w:t>
      </w:r>
      <w:r>
        <w:t>limitations</w:t>
      </w:r>
      <w:r w:rsidRPr="005F00E5">
        <w:t xml:space="preserve"> for </w:t>
      </w:r>
      <w:r>
        <w:t>TLPR</w:t>
      </w:r>
      <w:r w:rsidRPr="005F00E5">
        <w:t xml:space="preserve"> devices</w:t>
      </w:r>
      <w:r>
        <w:t xml:space="preserve"> in </w:t>
      </w:r>
      <w:r w:rsidR="00F0123C">
        <w:t xml:space="preserve">the </w:t>
      </w:r>
      <w:r>
        <w:t>candidate bands</w:t>
      </w:r>
    </w:p>
    <w:tbl>
      <w:tblPr>
        <w:tblStyle w:val="ECCTable-redheader"/>
        <w:tblW w:w="9209" w:type="dxa"/>
        <w:tblInd w:w="0" w:type="dxa"/>
        <w:tblLook w:val="04A0" w:firstRow="1" w:lastRow="0" w:firstColumn="1" w:lastColumn="0" w:noHBand="0" w:noVBand="1"/>
      </w:tblPr>
      <w:tblGrid>
        <w:gridCol w:w="2263"/>
        <w:gridCol w:w="1276"/>
        <w:gridCol w:w="1985"/>
        <w:gridCol w:w="1559"/>
        <w:gridCol w:w="2126"/>
      </w:tblGrid>
      <w:tr w:rsidR="00554750" w:rsidRPr="00566944" w14:paraId="73E7B2D1" w14:textId="77777777" w:rsidTr="00441195">
        <w:trPr>
          <w:cnfStyle w:val="100000000000" w:firstRow="1" w:lastRow="0" w:firstColumn="0" w:lastColumn="0" w:oddVBand="0" w:evenVBand="0" w:oddHBand="0" w:evenHBand="0" w:firstRowFirstColumn="0" w:firstRowLastColumn="0" w:lastRowFirstColumn="0" w:lastRowLastColumn="0"/>
        </w:trPr>
        <w:tc>
          <w:tcPr>
            <w:tcW w:w="2263" w:type="dxa"/>
          </w:tcPr>
          <w:p w14:paraId="3E2ED1F1" w14:textId="77777777" w:rsidR="00554750" w:rsidRPr="00554750" w:rsidRDefault="00554750" w:rsidP="00300D3F">
            <w:pPr>
              <w:pStyle w:val="ECCTableHeaderwhitefont"/>
              <w:keepNext/>
            </w:pPr>
            <w:r>
              <w:t xml:space="preserve">Candidate </w:t>
            </w:r>
            <w:r w:rsidRPr="00554750">
              <w:t>frequency band</w:t>
            </w:r>
          </w:p>
        </w:tc>
        <w:tc>
          <w:tcPr>
            <w:tcW w:w="1276" w:type="dxa"/>
          </w:tcPr>
          <w:p w14:paraId="2538DE66" w14:textId="77777777" w:rsidR="00554750" w:rsidRPr="00554750" w:rsidRDefault="00554750" w:rsidP="00300D3F">
            <w:pPr>
              <w:pStyle w:val="ECCTableHeaderwhitefont"/>
              <w:keepNext/>
            </w:pPr>
            <w:r>
              <w:t>Max</w:t>
            </w:r>
            <w:r w:rsidR="00E651F1">
              <w:t>imum</w:t>
            </w:r>
            <w:r>
              <w:t xml:space="preserve"> d</w:t>
            </w:r>
            <w:r w:rsidRPr="00554750">
              <w:t>uty cycle</w:t>
            </w:r>
          </w:p>
        </w:tc>
        <w:tc>
          <w:tcPr>
            <w:tcW w:w="1985" w:type="dxa"/>
          </w:tcPr>
          <w:p w14:paraId="11B8AC59" w14:textId="77777777" w:rsidR="00554750" w:rsidRPr="00554750" w:rsidRDefault="00554750" w:rsidP="00300D3F">
            <w:pPr>
              <w:pStyle w:val="ECCTableHeaderwhitefont"/>
              <w:keepNext/>
            </w:pPr>
            <w:r>
              <w:t>Max</w:t>
            </w:r>
            <w:r w:rsidRPr="00554750">
              <w:t>imum mean e.i.r.p. spectral density</w:t>
            </w:r>
            <w:r w:rsidR="00904E7A">
              <w:t xml:space="preserve"> (Note 2)</w:t>
            </w:r>
          </w:p>
        </w:tc>
        <w:tc>
          <w:tcPr>
            <w:tcW w:w="1559" w:type="dxa"/>
          </w:tcPr>
          <w:p w14:paraId="74B89C22" w14:textId="77777777" w:rsidR="00554750" w:rsidRPr="00554750" w:rsidRDefault="00554750" w:rsidP="00300D3F">
            <w:pPr>
              <w:pStyle w:val="ECCTableHeaderwhitefont"/>
              <w:keepNext/>
            </w:pPr>
            <w:r>
              <w:t>Max</w:t>
            </w:r>
            <w:r w:rsidRPr="00554750">
              <w:t>imum peak e.i.r.p.</w:t>
            </w:r>
            <w:r w:rsidR="005432E9">
              <w:t xml:space="preserve"> </w:t>
            </w:r>
            <w:r w:rsidR="005432E9" w:rsidRPr="00F55F3A">
              <w:t>(</w:t>
            </w:r>
            <w:r w:rsidR="00A96536">
              <w:t>Note 3</w:t>
            </w:r>
            <w:r w:rsidR="005432E9" w:rsidRPr="005432E9">
              <w:t>)</w:t>
            </w:r>
          </w:p>
        </w:tc>
        <w:tc>
          <w:tcPr>
            <w:tcW w:w="2126" w:type="dxa"/>
          </w:tcPr>
          <w:p w14:paraId="694AC154" w14:textId="77777777" w:rsidR="00554750" w:rsidRPr="00554750" w:rsidRDefault="00E651F1" w:rsidP="00300D3F">
            <w:pPr>
              <w:pStyle w:val="ECCTableHeaderwhitefont"/>
              <w:keepNext/>
            </w:pPr>
            <w:r>
              <w:t>Min</w:t>
            </w:r>
            <w:r w:rsidRPr="00E651F1">
              <w:t xml:space="preserve">imum </w:t>
            </w:r>
            <w:r w:rsidR="00035AA7">
              <w:t>unwanted emissions</w:t>
            </w:r>
            <w:r w:rsidRPr="00E651F1">
              <w:t xml:space="preserve"> attenuation (Note 1)</w:t>
            </w:r>
          </w:p>
        </w:tc>
      </w:tr>
      <w:tr w:rsidR="00D70800" w:rsidRPr="00C53FB5" w14:paraId="0659C21A" w14:textId="77777777" w:rsidTr="00441195">
        <w:tc>
          <w:tcPr>
            <w:tcW w:w="2263" w:type="dxa"/>
          </w:tcPr>
          <w:p w14:paraId="1AC3ED12" w14:textId="77777777" w:rsidR="00D70800" w:rsidRPr="00D70800" w:rsidRDefault="00D70800" w:rsidP="00300D3F">
            <w:pPr>
              <w:pStyle w:val="ECCTabletext"/>
              <w:keepNext/>
              <w:jc w:val="left"/>
            </w:pPr>
            <w:r w:rsidRPr="00DA3E3C">
              <w:t>116 to 148</w:t>
            </w:r>
            <w:r w:rsidR="00CF4994">
              <w:t>.5</w:t>
            </w:r>
            <w:r w:rsidRPr="00DA3E3C">
              <w:t> GHz</w:t>
            </w:r>
          </w:p>
        </w:tc>
        <w:tc>
          <w:tcPr>
            <w:tcW w:w="1276" w:type="dxa"/>
          </w:tcPr>
          <w:p w14:paraId="696A89CD" w14:textId="2E15AA5E" w:rsidR="00D70800" w:rsidRPr="00D70800" w:rsidRDefault="00D70800" w:rsidP="00300D3F">
            <w:pPr>
              <w:pStyle w:val="ECCTabletext"/>
              <w:keepNext/>
              <w:jc w:val="left"/>
            </w:pPr>
            <w:r>
              <w:t>100</w:t>
            </w:r>
            <w:r w:rsidR="00F800A2">
              <w:t>%</w:t>
            </w:r>
          </w:p>
        </w:tc>
        <w:tc>
          <w:tcPr>
            <w:tcW w:w="1985" w:type="dxa"/>
          </w:tcPr>
          <w:p w14:paraId="37357B81" w14:textId="77777777" w:rsidR="00D70800" w:rsidRPr="00D70800" w:rsidRDefault="00D70800" w:rsidP="00300D3F">
            <w:pPr>
              <w:pStyle w:val="ECCTabletext"/>
              <w:keepNext/>
              <w:jc w:val="left"/>
            </w:pPr>
            <w:r>
              <w:t>12 dBm/MHz</w:t>
            </w:r>
          </w:p>
        </w:tc>
        <w:tc>
          <w:tcPr>
            <w:tcW w:w="1559" w:type="dxa"/>
            <w:shd w:val="clear" w:color="auto" w:fill="auto"/>
          </w:tcPr>
          <w:p w14:paraId="19CFCB46" w14:textId="77777777" w:rsidR="00D70800" w:rsidRPr="00D70800" w:rsidRDefault="00D70800" w:rsidP="00300D3F">
            <w:pPr>
              <w:pStyle w:val="ECCTabletext"/>
              <w:keepNext/>
              <w:jc w:val="left"/>
            </w:pPr>
            <w:r w:rsidRPr="00EE6559">
              <w:t>42 dBm</w:t>
            </w:r>
          </w:p>
        </w:tc>
        <w:tc>
          <w:tcPr>
            <w:tcW w:w="2126" w:type="dxa"/>
          </w:tcPr>
          <w:p w14:paraId="53B5F3E0" w14:textId="77777777" w:rsidR="00D70800" w:rsidRPr="00D70800" w:rsidRDefault="00D70800" w:rsidP="00300D3F">
            <w:pPr>
              <w:pStyle w:val="ECCTabletext"/>
              <w:keepNext/>
              <w:jc w:val="left"/>
            </w:pPr>
            <w:r w:rsidRPr="00DA3E3C">
              <w:t>20 dB</w:t>
            </w:r>
          </w:p>
        </w:tc>
      </w:tr>
      <w:tr w:rsidR="00D70800" w:rsidRPr="00C53FB5" w14:paraId="03244084" w14:textId="77777777" w:rsidTr="00441195">
        <w:tc>
          <w:tcPr>
            <w:tcW w:w="2263" w:type="dxa"/>
          </w:tcPr>
          <w:p w14:paraId="3C781E3C" w14:textId="77777777" w:rsidR="00D70800" w:rsidRPr="00D70800" w:rsidRDefault="00D70800" w:rsidP="00300D3F">
            <w:pPr>
              <w:pStyle w:val="ECCTabletext"/>
              <w:keepNext/>
              <w:jc w:val="left"/>
            </w:pPr>
            <w:r w:rsidRPr="00DA3E3C">
              <w:t xml:space="preserve">167 to </w:t>
            </w:r>
            <w:r w:rsidRPr="00D70800">
              <w:t>182 GHz</w:t>
            </w:r>
          </w:p>
        </w:tc>
        <w:tc>
          <w:tcPr>
            <w:tcW w:w="1276" w:type="dxa"/>
          </w:tcPr>
          <w:p w14:paraId="672CC5E0" w14:textId="1035B031" w:rsidR="00D70800" w:rsidRPr="00D70800" w:rsidRDefault="00D70800" w:rsidP="00300D3F">
            <w:pPr>
              <w:pStyle w:val="ECCTabletext"/>
              <w:keepNext/>
              <w:jc w:val="left"/>
            </w:pPr>
            <w:r>
              <w:t>100</w:t>
            </w:r>
            <w:r w:rsidR="00F800A2">
              <w:t>%</w:t>
            </w:r>
          </w:p>
        </w:tc>
        <w:tc>
          <w:tcPr>
            <w:tcW w:w="1985" w:type="dxa"/>
          </w:tcPr>
          <w:p w14:paraId="3BB019A9" w14:textId="77777777" w:rsidR="00D70800" w:rsidRPr="00D70800" w:rsidRDefault="00D70800" w:rsidP="00300D3F">
            <w:pPr>
              <w:pStyle w:val="ECCTabletext"/>
              <w:keepNext/>
              <w:jc w:val="left"/>
            </w:pPr>
            <w:r>
              <w:t>12 dBm/MHz</w:t>
            </w:r>
          </w:p>
        </w:tc>
        <w:tc>
          <w:tcPr>
            <w:tcW w:w="1559" w:type="dxa"/>
            <w:shd w:val="clear" w:color="auto" w:fill="auto"/>
          </w:tcPr>
          <w:p w14:paraId="6DD548D3" w14:textId="77777777" w:rsidR="00D70800" w:rsidRPr="00D70800" w:rsidRDefault="00D70800" w:rsidP="00300D3F">
            <w:pPr>
              <w:pStyle w:val="ECCTabletext"/>
              <w:keepNext/>
              <w:jc w:val="left"/>
            </w:pPr>
            <w:r w:rsidRPr="00EE6559">
              <w:t>42 dBm</w:t>
            </w:r>
          </w:p>
        </w:tc>
        <w:tc>
          <w:tcPr>
            <w:tcW w:w="2126" w:type="dxa"/>
          </w:tcPr>
          <w:p w14:paraId="2A57BE17" w14:textId="77777777" w:rsidR="00D70800" w:rsidRPr="00D70800" w:rsidRDefault="00D70800" w:rsidP="00300D3F">
            <w:pPr>
              <w:pStyle w:val="ECCTabletext"/>
              <w:keepNext/>
              <w:jc w:val="left"/>
            </w:pPr>
            <w:r w:rsidRPr="00DA3E3C">
              <w:t>20 dB</w:t>
            </w:r>
          </w:p>
        </w:tc>
      </w:tr>
      <w:tr w:rsidR="00D70800" w:rsidRPr="00C53FB5" w14:paraId="0684B8EE" w14:textId="77777777" w:rsidTr="00441195">
        <w:tc>
          <w:tcPr>
            <w:tcW w:w="2263" w:type="dxa"/>
          </w:tcPr>
          <w:p w14:paraId="20CBB85C" w14:textId="77777777" w:rsidR="00D70800" w:rsidRPr="00D70800" w:rsidRDefault="00D70800" w:rsidP="00300D3F">
            <w:pPr>
              <w:pStyle w:val="ECCTabletext"/>
              <w:keepNext/>
              <w:jc w:val="left"/>
            </w:pPr>
            <w:r w:rsidRPr="00DA3E3C">
              <w:t>231</w:t>
            </w:r>
            <w:r w:rsidR="00CF4994">
              <w:t>.5</w:t>
            </w:r>
            <w:r w:rsidRPr="00DA3E3C">
              <w:t xml:space="preserve"> to </w:t>
            </w:r>
            <w:r w:rsidRPr="00D70800">
              <w:t>250 GHz</w:t>
            </w:r>
          </w:p>
        </w:tc>
        <w:tc>
          <w:tcPr>
            <w:tcW w:w="1276" w:type="dxa"/>
          </w:tcPr>
          <w:p w14:paraId="426C61F0" w14:textId="76B50BAF" w:rsidR="00D70800" w:rsidRPr="00D70800" w:rsidRDefault="00D70800" w:rsidP="00300D3F">
            <w:pPr>
              <w:pStyle w:val="ECCTabletext"/>
              <w:keepNext/>
              <w:jc w:val="left"/>
            </w:pPr>
            <w:r>
              <w:t>100</w:t>
            </w:r>
            <w:r w:rsidR="00F800A2">
              <w:t>%</w:t>
            </w:r>
          </w:p>
        </w:tc>
        <w:tc>
          <w:tcPr>
            <w:tcW w:w="1985" w:type="dxa"/>
          </w:tcPr>
          <w:p w14:paraId="52F60DBA" w14:textId="77777777" w:rsidR="00D70800" w:rsidRPr="00D70800" w:rsidRDefault="00D70800" w:rsidP="00300D3F">
            <w:pPr>
              <w:pStyle w:val="ECCTabletext"/>
              <w:keepNext/>
              <w:jc w:val="left"/>
            </w:pPr>
            <w:r>
              <w:t>12 dBm/MHz</w:t>
            </w:r>
          </w:p>
        </w:tc>
        <w:tc>
          <w:tcPr>
            <w:tcW w:w="1559" w:type="dxa"/>
            <w:shd w:val="clear" w:color="auto" w:fill="auto"/>
          </w:tcPr>
          <w:p w14:paraId="447974BB" w14:textId="77777777" w:rsidR="00D70800" w:rsidRPr="00D70800" w:rsidRDefault="00D70800" w:rsidP="00300D3F">
            <w:pPr>
              <w:pStyle w:val="ECCTabletext"/>
              <w:keepNext/>
              <w:jc w:val="left"/>
            </w:pPr>
            <w:r w:rsidRPr="00EE6559">
              <w:t>42 dBm</w:t>
            </w:r>
          </w:p>
        </w:tc>
        <w:tc>
          <w:tcPr>
            <w:tcW w:w="2126" w:type="dxa"/>
          </w:tcPr>
          <w:p w14:paraId="028013D0" w14:textId="77777777" w:rsidR="00D70800" w:rsidRPr="00D70800" w:rsidRDefault="00D70800" w:rsidP="00300D3F">
            <w:pPr>
              <w:pStyle w:val="ECCTabletext"/>
              <w:keepNext/>
              <w:jc w:val="left"/>
            </w:pPr>
            <w:r w:rsidRPr="00DA3E3C">
              <w:t>20 dB</w:t>
            </w:r>
          </w:p>
        </w:tc>
      </w:tr>
      <w:tr w:rsidR="00BF4A4B" w:rsidRPr="00C53FB5" w14:paraId="3D5D5478" w14:textId="77777777" w:rsidTr="008309FD">
        <w:tc>
          <w:tcPr>
            <w:tcW w:w="9209" w:type="dxa"/>
            <w:gridSpan w:val="5"/>
          </w:tcPr>
          <w:p w14:paraId="2CB735F1" w14:textId="24823E27" w:rsidR="00BF4A4B" w:rsidRPr="00BF4A4B" w:rsidRDefault="00BF4A4B" w:rsidP="00300D3F">
            <w:pPr>
              <w:pStyle w:val="ECCTablenote"/>
              <w:keepNext/>
            </w:pPr>
            <w:bookmarkStart w:id="49" w:name="_Ref65590576"/>
            <w:r w:rsidRPr="00BB41AD">
              <w:t xml:space="preserve">Note 1: </w:t>
            </w:r>
            <w:r w:rsidR="00614829" w:rsidRPr="001B0CBB">
              <w:t xml:space="preserve">The operating frequency range (OFR) is defined over the 20 dB reduction of the </w:t>
            </w:r>
            <w:r w:rsidR="00F0123C">
              <w:t>intentional transmission</w:t>
            </w:r>
            <w:r w:rsidR="00614829" w:rsidRPr="00614829">
              <w:t xml:space="preserve"> (20 dB bandwidth) radiated by the equipment into the air and shall remain in the candidate frequency bands. The unwanted emissions attenuation applies to the frequencies outside the OFR and is to be reduced from the maximum mean e.i.r.p. spectral density and the maximum peak e.i.r.p. The measurement bandwidth for the unwanted emissions domain is 1 MHz.</w:t>
            </w:r>
          </w:p>
          <w:p w14:paraId="0B9D20DB" w14:textId="250493D6" w:rsidR="00BF4A4B" w:rsidRDefault="00BF4A4B" w:rsidP="00300D3F">
            <w:pPr>
              <w:pStyle w:val="ECCTablenote"/>
              <w:keepNext/>
            </w:pPr>
            <w:r>
              <w:t>Note 2: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bookmarkEnd w:id="49"/>
          </w:p>
          <w:p w14:paraId="260232A3" w14:textId="293AC03E" w:rsidR="00A96536" w:rsidRPr="00DA3E3C" w:rsidRDefault="00A96536" w:rsidP="00300D3F">
            <w:pPr>
              <w:pStyle w:val="ECCTablenote"/>
              <w:keepNext/>
            </w:pPr>
            <w:r>
              <w:t>Note 3: T</w:t>
            </w:r>
            <w:r w:rsidRPr="00A96536">
              <w:t>he max</w:t>
            </w:r>
            <w:r w:rsidR="00F0123C">
              <w:t>imum</w:t>
            </w:r>
            <w:r w:rsidRPr="00A96536">
              <w:t xml:space="preserve"> peak e.i.r.p. shall be measured/evaluated in 1 GHz bandwidth.</w:t>
            </w:r>
          </w:p>
        </w:tc>
      </w:tr>
    </w:tbl>
    <w:p w14:paraId="407E5919" w14:textId="77777777" w:rsidR="00BB41AD" w:rsidRDefault="00BB41AD" w:rsidP="00BB41AD">
      <w:pPr>
        <w:pStyle w:val="Heading2"/>
      </w:pPr>
      <w:bookmarkStart w:id="50" w:name="_Toc84325237"/>
      <w:bookmarkStart w:id="51" w:name="_Toc127346221"/>
      <w:r w:rsidRPr="0063010D">
        <w:t>Radiodetermination systems for industry automation in shielded environments (RDI-S)</w:t>
      </w:r>
      <w:bookmarkEnd w:id="50"/>
      <w:bookmarkEnd w:id="51"/>
    </w:p>
    <w:p w14:paraId="4A2CD99D" w14:textId="77777777" w:rsidR="00DC00FB" w:rsidRDefault="00BB41AD" w:rsidP="00BB41AD">
      <w:pPr>
        <w:rPr>
          <w:rStyle w:val="ECCParagraph"/>
        </w:rPr>
      </w:pPr>
      <w:r w:rsidRPr="008A3030">
        <w:rPr>
          <w:rStyle w:val="ECCParagraph"/>
        </w:rPr>
        <w:t>Radiodetermination devices for industry automation to be used indoor or in similarly shielded environments are potentially used in many different industries. All RDI-S sensors have in common that they are used to sense unique frequency dependent features in the wideband frequency response of target objects. One category are RDI-S systems for plastic extrusion thickness measurement. Covering a wide conti</w:t>
      </w:r>
      <w:r w:rsidR="003E5265">
        <w:rPr>
          <w:rStyle w:val="ECCParagraph"/>
        </w:rPr>
        <w:t>guous</w:t>
      </w:r>
      <w:r w:rsidRPr="008A3030">
        <w:rPr>
          <w:rStyle w:val="ECCParagraph"/>
        </w:rPr>
        <w:t xml:space="preserve"> frequency bandwidth </w:t>
      </w:r>
      <w:r w:rsidR="00DC00FB">
        <w:rPr>
          <w:rStyle w:val="ECCParagraph"/>
        </w:rPr>
        <w:t>allows RDI-S applications to improve the range resolution and measurement precision</w:t>
      </w:r>
      <w:r w:rsidRPr="008A3030">
        <w:rPr>
          <w:rStyle w:val="ECCParagraph"/>
        </w:rPr>
        <w:t xml:space="preserve">. </w:t>
      </w:r>
      <w:r w:rsidRPr="00BB41AD">
        <w:rPr>
          <w:rStyle w:val="ECCParagraph"/>
        </w:rPr>
        <w:t>The operation of RDI-S sensors is envisaged for industrial purposes only.</w:t>
      </w:r>
    </w:p>
    <w:p w14:paraId="35A54B74" w14:textId="50A69891" w:rsidR="0040653E" w:rsidRDefault="0040653E" w:rsidP="0040653E">
      <w:pPr>
        <w:rPr>
          <w:rStyle w:val="ECCParagraph"/>
        </w:rPr>
      </w:pPr>
      <w:r>
        <w:rPr>
          <w:rStyle w:val="ECCParagraph"/>
        </w:rPr>
        <w:t xml:space="preserve">The </w:t>
      </w:r>
      <w:r w:rsidRPr="000C08AD">
        <w:rPr>
          <w:rStyle w:val="ECCParagraph"/>
        </w:rPr>
        <w:t>operation of RDI-S</w:t>
      </w:r>
      <w:r>
        <w:rPr>
          <w:rStyle w:val="ECCParagraph"/>
        </w:rPr>
        <w:t xml:space="preserve"> in</w:t>
      </w:r>
      <w:r w:rsidRPr="000C08AD">
        <w:rPr>
          <w:rStyle w:val="ECCParagraph"/>
        </w:rPr>
        <w:t xml:space="preserve"> </w:t>
      </w:r>
      <w:r>
        <w:rPr>
          <w:rStyle w:val="ECCParagraph"/>
        </w:rPr>
        <w:t xml:space="preserve">the two frequency ranges </w:t>
      </w:r>
      <w:r w:rsidRPr="000C08AD">
        <w:rPr>
          <w:rStyle w:val="ECCParagraph"/>
        </w:rPr>
        <w:t>116</w:t>
      </w:r>
      <w:r w:rsidR="001D7996">
        <w:rPr>
          <w:rStyle w:val="ECCParagraph"/>
        </w:rPr>
        <w:t>-</w:t>
      </w:r>
      <w:r w:rsidRPr="000C08AD">
        <w:rPr>
          <w:rStyle w:val="ECCParagraph"/>
        </w:rPr>
        <w:t>190</w:t>
      </w:r>
      <w:r>
        <w:rPr>
          <w:rStyle w:val="ECCParagraph"/>
        </w:rPr>
        <w:t> </w:t>
      </w:r>
      <w:r w:rsidRPr="000C08AD">
        <w:rPr>
          <w:rStyle w:val="ECCParagraph"/>
        </w:rPr>
        <w:t>GHz</w:t>
      </w:r>
      <w:r>
        <w:rPr>
          <w:rStyle w:val="ECCParagraph"/>
        </w:rPr>
        <w:t xml:space="preserve"> and </w:t>
      </w:r>
      <w:r w:rsidRPr="000C08AD">
        <w:t>190</w:t>
      </w:r>
      <w:r w:rsidR="001D7996">
        <w:t>-</w:t>
      </w:r>
      <w:r w:rsidRPr="000C08AD">
        <w:t>260</w:t>
      </w:r>
      <w:r>
        <w:t> </w:t>
      </w:r>
      <w:r w:rsidRPr="000C08AD">
        <w:t>GHz</w:t>
      </w:r>
      <w:r w:rsidRPr="000C08AD">
        <w:rPr>
          <w:rStyle w:val="ECCParagraph"/>
        </w:rPr>
        <w:t xml:space="preserve"> </w:t>
      </w:r>
      <w:r>
        <w:rPr>
          <w:rStyle w:val="ECCParagraph"/>
        </w:rPr>
        <w:t>are proposed and the need of large bandwidths is considered in the Report. However, contiguous bands of more than 32.5 GHz could only be realised, if passive bands subject to RR No 5.340 would be used. RR No 5.340 prohibits any emission. However, ECC</w:t>
      </w:r>
      <w:r w:rsidR="004C02A7">
        <w:rPr>
          <w:rStyle w:val="ECCParagraph"/>
        </w:rPr>
        <w:t xml:space="preserve"> Plenary #52</w:t>
      </w:r>
      <w:r>
        <w:rPr>
          <w:rStyle w:val="ECCParagraph"/>
        </w:rPr>
        <w:t xml:space="preserve"> decided that these bands should also be considered in the studies </w:t>
      </w:r>
      <w:r w:rsidRPr="00977D3A">
        <w:t xml:space="preserve">under </w:t>
      </w:r>
      <w:r>
        <w:t xml:space="preserve">the </w:t>
      </w:r>
      <w:r w:rsidRPr="00977D3A">
        <w:t xml:space="preserve">conditions described in section </w:t>
      </w:r>
      <w:r>
        <w:fldChar w:fldCharType="begin"/>
      </w:r>
      <w:r>
        <w:instrText xml:space="preserve"> REF _Ref63340020 \r \h </w:instrText>
      </w:r>
      <w:r>
        <w:fldChar w:fldCharType="separate"/>
      </w:r>
      <w:r w:rsidR="004F49F9">
        <w:t>2.4.1</w:t>
      </w:r>
      <w:r>
        <w:fldChar w:fldCharType="end"/>
      </w:r>
      <w:r>
        <w:t>.</w:t>
      </w:r>
    </w:p>
    <w:p w14:paraId="214C7ECE" w14:textId="7BD8A06D" w:rsidR="0040653E" w:rsidRDefault="0040653E" w:rsidP="0040653E">
      <w:pPr>
        <w:rPr>
          <w:rStyle w:val="ECCParagraph"/>
        </w:rPr>
      </w:pPr>
      <w:r>
        <w:rPr>
          <w:rStyle w:val="ECCParagraph"/>
        </w:rPr>
        <w:t>This Report includes compatibility studies, which are based on the assumption that a wide contiguous bandwidth was available and also provides the t</w:t>
      </w:r>
      <w:r w:rsidRPr="00335FA3">
        <w:rPr>
          <w:rStyle w:val="ECCParagraph"/>
        </w:rPr>
        <w:t>echnical justification</w:t>
      </w:r>
      <w:r>
        <w:rPr>
          <w:rStyle w:val="ECCParagraph"/>
        </w:rPr>
        <w:t xml:space="preserve"> why the large bandwidths are needed and why no technical solutions, such as notching out some frequencies, exist to avoid emitting in the </w:t>
      </w:r>
      <w:r w:rsidRPr="00335FA3">
        <w:rPr>
          <w:rStyle w:val="ECCParagraph"/>
        </w:rPr>
        <w:t xml:space="preserve">RR 5.340 </w:t>
      </w:r>
      <w:r>
        <w:rPr>
          <w:rStyle w:val="ECCParagraph"/>
        </w:rPr>
        <w:t>bands.</w:t>
      </w:r>
    </w:p>
    <w:p w14:paraId="0EA95A43" w14:textId="51321B2F" w:rsidR="0040653E" w:rsidRDefault="000B54DE" w:rsidP="00DC00FB">
      <w:pPr>
        <w:rPr>
          <w:rStyle w:val="ECCParagraph"/>
        </w:rPr>
      </w:pPr>
      <w:r w:rsidRPr="000B54DE">
        <w:rPr>
          <w:lang w:eastAsia="de-DE"/>
        </w:rPr>
        <w:t>It is noted that the performance of RDI-S radars in terms of thickness measurements is proportional to the bandwidth used (resolution ~1/BW).</w:t>
      </w:r>
      <w:r w:rsidR="00201DB3">
        <w:t xml:space="preserve"> </w:t>
      </w:r>
      <w:r w:rsidR="0040653E">
        <w:t xml:space="preserve">Further information concerning the technical performance capabilities </w:t>
      </w:r>
      <w:r w:rsidR="009A0CCD">
        <w:t xml:space="preserve">and the wide bandwidth requirements </w:t>
      </w:r>
      <w:r w:rsidR="0040653E">
        <w:t xml:space="preserve">of RDI-S devices can be found in </w:t>
      </w:r>
      <w:r w:rsidR="009D5FA2">
        <w:t>section</w:t>
      </w:r>
      <w:r w:rsidR="0040653E">
        <w:t xml:space="preserve"> </w:t>
      </w:r>
      <w:r w:rsidR="0040653E">
        <w:fldChar w:fldCharType="begin"/>
      </w:r>
      <w:r w:rsidR="0040653E">
        <w:instrText xml:space="preserve"> REF _Ref65057811 \r \h </w:instrText>
      </w:r>
      <w:r w:rsidR="0040653E">
        <w:fldChar w:fldCharType="separate"/>
      </w:r>
      <w:r w:rsidR="004F49F9">
        <w:t>2.4.3.3</w:t>
      </w:r>
      <w:r w:rsidR="0040653E">
        <w:fldChar w:fldCharType="end"/>
      </w:r>
      <w:r w:rsidR="0040653E">
        <w:t>.</w:t>
      </w:r>
    </w:p>
    <w:p w14:paraId="11F88360" w14:textId="77777777" w:rsidR="009A0CCD" w:rsidRPr="004508CB" w:rsidRDefault="009A0CCD" w:rsidP="009A0CCD">
      <w:pPr>
        <w:rPr>
          <w:rStyle w:val="ECCParagraph"/>
        </w:rPr>
      </w:pPr>
      <w:r>
        <w:rPr>
          <w:rStyle w:val="ECCParagraph"/>
        </w:rPr>
        <w:t>It is noted, that n</w:t>
      </w:r>
      <w:r w:rsidRPr="004508CB">
        <w:rPr>
          <w:rStyle w:val="ECCParagraph"/>
        </w:rPr>
        <w:t>otching out ITU RR 5.340 bands is technically possible</w:t>
      </w:r>
      <w:r>
        <w:rPr>
          <w:rStyle w:val="ECCParagraph"/>
        </w:rPr>
        <w:t xml:space="preserve"> for some rare RDI-S applications with low performance requirements and slow measurement rates</w:t>
      </w:r>
      <w:r w:rsidRPr="004508CB">
        <w:rPr>
          <w:rStyle w:val="ECCParagraph"/>
        </w:rPr>
        <w:t xml:space="preserve">, for example </w:t>
      </w:r>
      <w:r>
        <w:rPr>
          <w:rStyle w:val="ECCParagraph"/>
        </w:rPr>
        <w:t xml:space="preserve">by </w:t>
      </w:r>
      <w:r w:rsidRPr="004508CB">
        <w:rPr>
          <w:rStyle w:val="ECCParagraph"/>
        </w:rPr>
        <w:t xml:space="preserve">using specific </w:t>
      </w:r>
      <w:r>
        <w:rPr>
          <w:rStyle w:val="ECCParagraph"/>
        </w:rPr>
        <w:t xml:space="preserve">higher </w:t>
      </w:r>
      <w:r w:rsidRPr="004508CB">
        <w:rPr>
          <w:rStyle w:val="ECCParagraph"/>
        </w:rPr>
        <w:t>sweep</w:t>
      </w:r>
      <w:r>
        <w:rPr>
          <w:rStyle w:val="ECCParagraph"/>
        </w:rPr>
        <w:t>-slopes</w:t>
      </w:r>
      <w:r w:rsidRPr="004508CB">
        <w:rPr>
          <w:rStyle w:val="ECCParagraph"/>
        </w:rPr>
        <w:t xml:space="preserve"> of the local oscillator</w:t>
      </w:r>
      <w:r>
        <w:rPr>
          <w:rStyle w:val="ECCParagraph"/>
        </w:rPr>
        <w:t xml:space="preserve"> or switched amplifiers</w:t>
      </w:r>
      <w:r w:rsidRPr="004508CB">
        <w:rPr>
          <w:rStyle w:val="ECCParagraph"/>
        </w:rPr>
        <w:t xml:space="preserve">. </w:t>
      </w:r>
      <w:r>
        <w:rPr>
          <w:rStyle w:val="ECCParagraph"/>
        </w:rPr>
        <w:t>However, this could</w:t>
      </w:r>
      <w:r w:rsidRPr="004508CB">
        <w:rPr>
          <w:rStyle w:val="ECCParagraph"/>
        </w:rPr>
        <w:t xml:space="preserve"> </w:t>
      </w:r>
      <w:r w:rsidRPr="002B4C9B">
        <w:rPr>
          <w:rStyle w:val="ECCParagraph"/>
        </w:rPr>
        <w:t xml:space="preserve">impact accuracy </w:t>
      </w:r>
      <w:r>
        <w:rPr>
          <w:rStyle w:val="ECCParagraph"/>
        </w:rPr>
        <w:t xml:space="preserve">and is not acceptable </w:t>
      </w:r>
      <w:r w:rsidRPr="002B4C9B">
        <w:rPr>
          <w:rStyle w:val="ECCParagraph"/>
        </w:rPr>
        <w:t xml:space="preserve">for high performance </w:t>
      </w:r>
      <w:r>
        <w:rPr>
          <w:rStyle w:val="ECCParagraph"/>
        </w:rPr>
        <w:t>RDI-S measurements like needed for the vast majority of applications.</w:t>
      </w:r>
    </w:p>
    <w:p w14:paraId="05D4B4D9" w14:textId="77777777" w:rsidR="00BB41AD" w:rsidRPr="00BB41AD" w:rsidRDefault="00E83890" w:rsidP="00BB41AD">
      <w:pPr>
        <w:rPr>
          <w:rStyle w:val="ECCParagraph"/>
        </w:rPr>
      </w:pPr>
      <w:r>
        <w:t>It is recommended that a</w:t>
      </w:r>
      <w:r w:rsidR="00BB41AD" w:rsidRPr="00BB41AD">
        <w:t xml:space="preserve">ll RDI-S sensors </w:t>
      </w:r>
      <w:r w:rsidR="0070341C">
        <w:t>should comply</w:t>
      </w:r>
      <w:r w:rsidR="00BB41AD" w:rsidRPr="00BB41AD">
        <w:t xml:space="preserve"> with the following </w:t>
      </w:r>
      <w:r w:rsidR="0070341C">
        <w:t>(</w:t>
      </w:r>
      <w:r w:rsidR="00BB41AD" w:rsidRPr="00BB41AD">
        <w:t>installation</w:t>
      </w:r>
      <w:r w:rsidR="0070341C">
        <w:t>)</w:t>
      </w:r>
      <w:r w:rsidR="00BB41AD" w:rsidRPr="00BB41AD">
        <w:t xml:space="preserve"> requirements:</w:t>
      </w:r>
    </w:p>
    <w:p w14:paraId="6A1C6D36" w14:textId="360EDD48" w:rsidR="005B1B2E" w:rsidRPr="00BB41AD" w:rsidRDefault="00C14A3D" w:rsidP="005B1B2E">
      <w:pPr>
        <w:pStyle w:val="ECCBulletsLv1"/>
      </w:pPr>
      <w:r>
        <w:t>For RDI-S, t</w:t>
      </w:r>
      <w:r w:rsidR="005B1B2E">
        <w:t xml:space="preserve">he 10 dB </w:t>
      </w:r>
      <w:r w:rsidR="005B1B2E" w:rsidRPr="00BB41AD">
        <w:t xml:space="preserve">contiguous bandwidth shall be </w:t>
      </w:r>
      <w:r>
        <w:t xml:space="preserve">equal to or higher than </w:t>
      </w:r>
      <w:r w:rsidR="005B1B2E">
        <w:t>35 GHz;</w:t>
      </w:r>
    </w:p>
    <w:p w14:paraId="4C2A9A6F" w14:textId="0C897CBD" w:rsidR="004C1073" w:rsidRPr="00BB41AD" w:rsidRDefault="004C1073" w:rsidP="004C1073">
      <w:pPr>
        <w:pStyle w:val="ECCBulletsLv1"/>
        <w:rPr>
          <w:rStyle w:val="ECCParagraph"/>
        </w:rPr>
      </w:pPr>
      <w:r w:rsidRPr="00E2283A">
        <w:rPr>
          <w:rStyle w:val="ECCParagraph"/>
        </w:rPr>
        <w:t>The operation of RDI</w:t>
      </w:r>
      <w:r>
        <w:rPr>
          <w:rStyle w:val="ECCParagraph"/>
        </w:rPr>
        <w:t>-S</w:t>
      </w:r>
      <w:r w:rsidRPr="00E2283A">
        <w:rPr>
          <w:rStyle w:val="ECCParagraph"/>
        </w:rPr>
        <w:t xml:space="preserve"> sensors is envisaged for industrial purposes only</w:t>
      </w:r>
      <w:r w:rsidR="001D7996">
        <w:rPr>
          <w:rStyle w:val="ECCParagraph"/>
        </w:rPr>
        <w:t>;</w:t>
      </w:r>
    </w:p>
    <w:p w14:paraId="1973779B" w14:textId="41CA661B" w:rsidR="00BB41AD" w:rsidRPr="00BB41AD" w:rsidRDefault="00BB41AD" w:rsidP="00BB41AD">
      <w:pPr>
        <w:pStyle w:val="ECCBulletsLv1"/>
        <w:rPr>
          <w:rStyle w:val="ECCParagraph"/>
        </w:rPr>
      </w:pPr>
      <w:r w:rsidRPr="00BB41AD">
        <w:rPr>
          <w:rStyle w:val="ECCParagraph"/>
        </w:rPr>
        <w:t>Installation and maintenance of RDI-S equipment shall be performed by professionally trained individuals only</w:t>
      </w:r>
      <w:r w:rsidR="001D7996">
        <w:rPr>
          <w:rStyle w:val="ECCParagraph"/>
        </w:rPr>
        <w:t>;</w:t>
      </w:r>
    </w:p>
    <w:p w14:paraId="7DC042A2" w14:textId="0CBBE6D7" w:rsidR="00BB41AD" w:rsidRPr="00BB41AD" w:rsidRDefault="00BB41AD" w:rsidP="00BB41AD">
      <w:pPr>
        <w:pStyle w:val="ECCBulletsLv1"/>
        <w:rPr>
          <w:rStyle w:val="ECCParagraph"/>
        </w:rPr>
      </w:pPr>
      <w:r w:rsidRPr="00BB41AD">
        <w:rPr>
          <w:rStyle w:val="ECCParagraph"/>
        </w:rPr>
        <w:t>RDI-S equipment shall not be marketed to private end customers</w:t>
      </w:r>
      <w:r w:rsidR="001D7996">
        <w:rPr>
          <w:rStyle w:val="ECCParagraph"/>
        </w:rPr>
        <w:t>;</w:t>
      </w:r>
    </w:p>
    <w:p w14:paraId="53C92C13" w14:textId="1F936F18" w:rsidR="00BB41AD" w:rsidRPr="00BB41AD" w:rsidRDefault="00BB41AD" w:rsidP="00BB41AD">
      <w:pPr>
        <w:pStyle w:val="ECCBulletsLv1"/>
        <w:rPr>
          <w:rStyle w:val="ECCParagraph"/>
        </w:rPr>
      </w:pPr>
      <w:r w:rsidRPr="00BB41AD">
        <w:rPr>
          <w:rStyle w:val="ECCParagraph"/>
        </w:rPr>
        <w:t>Installers have to ensure that the device main beam is not pointing towards windows or other weak shielded parts of the shield</w:t>
      </w:r>
      <w:r w:rsidR="004C1073">
        <w:rPr>
          <w:rStyle w:val="ECCParagraph"/>
        </w:rPr>
        <w:t>ed</w:t>
      </w:r>
      <w:r w:rsidRPr="00BB41AD">
        <w:rPr>
          <w:rStyle w:val="ECCParagraph"/>
        </w:rPr>
        <w:t xml:space="preserve"> environment. The direction of main radiation shall be indicated on the device</w:t>
      </w:r>
      <w:r w:rsidR="001D7996">
        <w:rPr>
          <w:rStyle w:val="ECCParagraph"/>
        </w:rPr>
        <w:t>;</w:t>
      </w:r>
    </w:p>
    <w:p w14:paraId="67ACAC0B" w14:textId="520B1B2B" w:rsidR="00BB41AD" w:rsidRPr="00BB41AD" w:rsidRDefault="00BB41AD" w:rsidP="00BB41AD">
      <w:pPr>
        <w:pStyle w:val="ECCBulletsLv1"/>
        <w:rPr>
          <w:rStyle w:val="ECCParagraph"/>
        </w:rPr>
      </w:pPr>
      <w:r w:rsidRPr="00BB41AD">
        <w:rPr>
          <w:rStyle w:val="ECCParagraph"/>
        </w:rPr>
        <w:t>Installers have to ensure that there are no unwanted obstacles in the main beam of the antenna in order to minim</w:t>
      </w:r>
      <w:r w:rsidR="001D7996">
        <w:rPr>
          <w:rStyle w:val="ECCParagraph"/>
        </w:rPr>
        <w:t>ise</w:t>
      </w:r>
      <w:r w:rsidRPr="00BB41AD">
        <w:rPr>
          <w:rStyle w:val="ECCParagraph"/>
        </w:rPr>
        <w:t xml:space="preserve"> unintentional reflections and scattering</w:t>
      </w:r>
      <w:r w:rsidR="001D7996">
        <w:rPr>
          <w:rStyle w:val="ECCParagraph"/>
        </w:rPr>
        <w:t>;</w:t>
      </w:r>
    </w:p>
    <w:p w14:paraId="4D4721FD" w14:textId="5B6E2F35" w:rsidR="00BB41AD" w:rsidRPr="00BB41AD" w:rsidRDefault="00BB41AD" w:rsidP="00BB41AD">
      <w:pPr>
        <w:pStyle w:val="ECCBulletsLv1"/>
      </w:pPr>
      <w:r w:rsidRPr="00AE08D2">
        <w:t xml:space="preserve">Slow sweeping RDI-S devices with sweep slopes </w:t>
      </w:r>
      <w:r w:rsidRPr="00BB41AD">
        <w:t xml:space="preserve">smaller than 2.5 GHz/ms shall notch out the </w:t>
      </w:r>
      <w:r w:rsidR="00AE5BFB">
        <w:t xml:space="preserve">frequency bands subject to the provision </w:t>
      </w:r>
      <w:r w:rsidRPr="00BB41AD">
        <w:t>RR</w:t>
      </w:r>
      <w:r w:rsidR="00AE5BFB">
        <w:t xml:space="preserve"> No.</w:t>
      </w:r>
      <w:r w:rsidRPr="00BB41AD">
        <w:t xml:space="preserve"> 5.340 </w:t>
      </w:r>
      <w:r w:rsidR="00C064BA">
        <w:fldChar w:fldCharType="begin"/>
      </w:r>
      <w:r w:rsidR="00C064BA">
        <w:instrText xml:space="preserve"> REF _Ref127346430 \r \h </w:instrText>
      </w:r>
      <w:r w:rsidR="00C064BA">
        <w:fldChar w:fldCharType="separate"/>
      </w:r>
      <w:r w:rsidR="00C064BA">
        <w:t>[71]</w:t>
      </w:r>
      <w:r w:rsidR="00C064BA">
        <w:fldChar w:fldCharType="end"/>
      </w:r>
      <w:r w:rsidR="00C064BA" w:rsidDel="00C064BA">
        <w:t xml:space="preserve"> </w:t>
      </w:r>
      <w:r w:rsidRPr="00BB41AD">
        <w:t>by at least 10 dB reduction in mean and peak power</w:t>
      </w:r>
      <w:r w:rsidR="00AE5BFB">
        <w:t xml:space="preserve"> (</w:t>
      </w:r>
      <w:r w:rsidR="00AE5BFB" w:rsidRPr="006A6CE1">
        <w:t>i.e. limits in</w:t>
      </w:r>
      <w:r w:rsidR="00AE5BFB">
        <w:t> </w:t>
      </w:r>
      <w:r w:rsidR="00AE5BFB">
        <w:fldChar w:fldCharType="begin"/>
      </w:r>
      <w:r w:rsidR="00AE5BFB">
        <w:instrText xml:space="preserve"> REF _Ref66370698 \h </w:instrText>
      </w:r>
      <w:r w:rsidR="00AE5BFB">
        <w:fldChar w:fldCharType="separate"/>
      </w:r>
      <w:r w:rsidR="004F49F9" w:rsidRPr="00BB41AD">
        <w:t>Table </w:t>
      </w:r>
      <w:r w:rsidR="004F49F9">
        <w:rPr>
          <w:noProof/>
        </w:rPr>
        <w:t>9</w:t>
      </w:r>
      <w:r w:rsidR="00AE5BFB">
        <w:fldChar w:fldCharType="end"/>
      </w:r>
      <w:r w:rsidR="00AE5BFB">
        <w:t xml:space="preserve"> for maximum mean e.i.r.p. spectral density and maximum peak e.i.r.p. </w:t>
      </w:r>
      <w:r w:rsidR="00AE5BFB" w:rsidRPr="006A6CE1">
        <w:t>reduced by 10</w:t>
      </w:r>
      <w:r w:rsidR="00AE5BFB">
        <w:t> </w:t>
      </w:r>
      <w:r w:rsidR="00AE5BFB" w:rsidRPr="006A6CE1">
        <w:t>dB</w:t>
      </w:r>
      <w:r w:rsidR="00AE5BFB">
        <w:t>)</w:t>
      </w:r>
      <w:r w:rsidR="001D7996">
        <w:t>;</w:t>
      </w:r>
    </w:p>
    <w:p w14:paraId="3CEFCE03" w14:textId="1E79C577" w:rsidR="00BB41AD" w:rsidRPr="00BB41AD" w:rsidRDefault="00BB41AD" w:rsidP="00F0431B">
      <w:pPr>
        <w:pStyle w:val="ECCBulletsLv1"/>
        <w:rPr>
          <w:rStyle w:val="ECCParagraph"/>
        </w:rPr>
      </w:pPr>
      <w:r w:rsidRPr="00BB41AD">
        <w:rPr>
          <w:rStyle w:val="ECCParagraph"/>
        </w:rPr>
        <w:t xml:space="preserve">In order to protect the Radio Astronomy Service, inside a radius of </w:t>
      </w:r>
      <w:r w:rsidR="00F0431B" w:rsidRPr="00F0431B">
        <w:t>13</w:t>
      </w:r>
      <w:r w:rsidR="00CF4994">
        <w:t>.2</w:t>
      </w:r>
      <w:r w:rsidRPr="00F0431B">
        <w:t> km</w:t>
      </w:r>
      <w:r w:rsidRPr="00BB41AD">
        <w:rPr>
          <w:rStyle w:val="ECCParagraph"/>
        </w:rPr>
        <w:t xml:space="preserve"> around the stations of NOEMA and IRAM</w:t>
      </w:r>
      <w:r w:rsidR="0069133D">
        <w:rPr>
          <w:rStyle w:val="ECCParagraph"/>
        </w:rPr>
        <w:t xml:space="preserve"> </w:t>
      </w:r>
      <w:r w:rsidRPr="00BB41AD">
        <w:rPr>
          <w:rStyle w:val="ECCParagraph"/>
        </w:rPr>
        <w:t>30</w:t>
      </w:r>
      <w:r w:rsidR="007A20F2">
        <w:rPr>
          <w:rStyle w:val="ECCParagraph"/>
        </w:rPr>
        <w:t xml:space="preserve"> </w:t>
      </w:r>
      <w:r w:rsidRPr="00BB41AD">
        <w:rPr>
          <w:rStyle w:val="ECCParagraph"/>
        </w:rPr>
        <w:t xml:space="preserve">m the installation and operation of RDI-S devices should be prohibited, </w:t>
      </w:r>
      <w:r w:rsidRPr="00BB41AD">
        <w:t xml:space="preserve">unless a special authorisation has been provided by the responsible national administration. </w:t>
      </w:r>
      <w:r w:rsidR="00CA1907">
        <w:rPr>
          <w:rStyle w:val="ECCParagraph"/>
          <w:highlight w:val="yellow"/>
        </w:rPr>
        <w:fldChar w:fldCharType="begin"/>
      </w:r>
      <w:r w:rsidR="00CA1907">
        <w:instrText xml:space="preserve"> REF _Ref66370646 \h </w:instrText>
      </w:r>
      <w:r w:rsidR="00CA1907">
        <w:rPr>
          <w:rStyle w:val="ECCParagraph"/>
          <w:highlight w:val="yellow"/>
        </w:rPr>
      </w:r>
      <w:r w:rsidR="00CA1907">
        <w:rPr>
          <w:rStyle w:val="ECCParagraph"/>
          <w:highlight w:val="yellow"/>
        </w:rPr>
        <w:fldChar w:fldCharType="separate"/>
      </w:r>
      <w:r w:rsidR="0041125F" w:rsidRPr="00BB41AD">
        <w:t>Table </w:t>
      </w:r>
      <w:r w:rsidR="0041125F">
        <w:rPr>
          <w:noProof/>
        </w:rPr>
        <w:t>3</w:t>
      </w:r>
      <w:r w:rsidR="00CA1907">
        <w:rPr>
          <w:rStyle w:val="ECCParagraph"/>
          <w:highlight w:val="yellow"/>
        </w:rPr>
        <w:fldChar w:fldCharType="end"/>
      </w:r>
      <w:r w:rsidR="00CA1907">
        <w:rPr>
          <w:rStyle w:val="ECCParagraph"/>
        </w:rPr>
        <w:t xml:space="preserve"> </w:t>
      </w:r>
      <w:r w:rsidRPr="00BB41AD">
        <w:rPr>
          <w:rStyle w:val="ECCParagraph"/>
        </w:rPr>
        <w:t>shows the locations of the two European observatories operating in the frequency range from 116 GHz to 260 GHz</w:t>
      </w:r>
      <w:r w:rsidR="004C02A7">
        <w:rPr>
          <w:rStyle w:val="ECCParagraph"/>
        </w:rPr>
        <w:t>;</w:t>
      </w:r>
    </w:p>
    <w:p w14:paraId="56BF2088" w14:textId="77777777" w:rsidR="00BB41AD" w:rsidRPr="00E83DFA" w:rsidRDefault="00BB41AD" w:rsidP="00BB41AD">
      <w:pPr>
        <w:pStyle w:val="ECCBulletsLv1"/>
        <w:rPr>
          <w:shd w:val="solid" w:color="FFFF00" w:fill="auto"/>
        </w:rPr>
      </w:pPr>
      <w:bookmarkStart w:id="52" w:name="_Hlk65750488"/>
      <w:r w:rsidRPr="00BB41AD">
        <w:t>The provider is required to inform the users and installers of RDI-S equipment about the installation requirements and the additional special mounting instructions.</w:t>
      </w:r>
    </w:p>
    <w:p w14:paraId="7D4FDA45" w14:textId="77777777" w:rsidR="00E83DFA" w:rsidRPr="00E83DFA" w:rsidRDefault="00E83DFA" w:rsidP="00E83DFA">
      <w:r w:rsidRPr="00E83DFA">
        <w:t xml:space="preserve">In addition, the following antenna requirement is </w:t>
      </w:r>
      <w:r w:rsidR="00E83890">
        <w:t>recommended</w:t>
      </w:r>
      <w:r w:rsidRPr="00E83DFA">
        <w:t>:</w:t>
      </w:r>
    </w:p>
    <w:p w14:paraId="7B75733D" w14:textId="77777777" w:rsidR="00E83DFA" w:rsidRPr="00E83DFA" w:rsidRDefault="00E83DFA" w:rsidP="00E83DFA">
      <w:pPr>
        <w:pStyle w:val="ECCBulletsLv1"/>
      </w:pPr>
      <w:r w:rsidRPr="00E83DFA">
        <w:t xml:space="preserve">For </w:t>
      </w:r>
      <w:r>
        <w:t>RDI-S</w:t>
      </w:r>
      <w:r w:rsidRPr="00E83DFA">
        <w:t xml:space="preserve"> devices using an antenna gain smaller than 20 dBi, the maximum conducted peak output power shall be limited to 15 dBm.</w:t>
      </w:r>
    </w:p>
    <w:bookmarkEnd w:id="52"/>
    <w:p w14:paraId="63D2D3D5" w14:textId="23EF7DAD" w:rsidR="00BB41AD" w:rsidRPr="00972B66" w:rsidRDefault="00CA1907" w:rsidP="00BB41AD">
      <w:r>
        <w:fldChar w:fldCharType="begin"/>
      </w:r>
      <w:r>
        <w:instrText xml:space="preserve"> REF _Ref66370698 \h </w:instrText>
      </w:r>
      <w:r>
        <w:fldChar w:fldCharType="separate"/>
      </w:r>
      <w:r w:rsidR="0041125F" w:rsidRPr="00BB41AD">
        <w:t>Table </w:t>
      </w:r>
      <w:r w:rsidR="0041125F">
        <w:rPr>
          <w:noProof/>
        </w:rPr>
        <w:t>9</w:t>
      </w:r>
      <w:r>
        <w:fldChar w:fldCharType="end"/>
      </w:r>
      <w:r>
        <w:t xml:space="preserve"> </w:t>
      </w:r>
      <w:r w:rsidR="00BB41AD" w:rsidRPr="00972B66">
        <w:t xml:space="preserve">shows </w:t>
      </w:r>
      <w:r w:rsidR="00FE2B1E">
        <w:t xml:space="preserve">for all the bands in the frequency range 116 to 260 GHz, including RR 5.340 bands, </w:t>
      </w:r>
      <w:r w:rsidR="00BB41AD" w:rsidRPr="00972B66">
        <w:t xml:space="preserve">the proposed technical limitations under which the compatibility with the investigated Radio Services can be </w:t>
      </w:r>
      <w:r w:rsidR="00E83890">
        <w:t xml:space="preserve">achieved </w:t>
      </w:r>
      <w:r w:rsidR="000432D8">
        <w:t>without the implementation of additional mitigation techniques</w:t>
      </w:r>
      <w:r w:rsidR="00BB41AD" w:rsidRPr="00972B66">
        <w:t>.</w:t>
      </w:r>
      <w:r w:rsidR="00FE2B1E">
        <w:t xml:space="preserve"> </w:t>
      </w:r>
      <w:r w:rsidR="00FE2B1E" w:rsidRPr="00962FC2">
        <w:t xml:space="preserve">This table </w:t>
      </w:r>
      <w:r w:rsidR="00FE2B1E" w:rsidRPr="00334C6D">
        <w:t>shall not be understood as an endorsement for the use of the passive</w:t>
      </w:r>
      <w:r w:rsidR="00FE2B1E" w:rsidRPr="00FE2B1E">
        <w:t xml:space="preserve"> </w:t>
      </w:r>
      <w:r w:rsidR="00FE2B1E">
        <w:t>RR 5.340</w:t>
      </w:r>
      <w:r w:rsidR="00FE2B1E" w:rsidRPr="00FE2B1E">
        <w:t xml:space="preserve"> bands by RDI-S applications.</w:t>
      </w:r>
    </w:p>
    <w:p w14:paraId="2A158924" w14:textId="42F654B9" w:rsidR="00BB41AD" w:rsidRDefault="00BB41AD" w:rsidP="004D58F2">
      <w:pPr>
        <w:pStyle w:val="Caption"/>
      </w:pPr>
      <w:bookmarkStart w:id="53" w:name="_Ref66370698"/>
      <w:r w:rsidRPr="00BB41AD">
        <w:t>Table </w:t>
      </w:r>
      <w:r>
        <w:fldChar w:fldCharType="begin"/>
      </w:r>
      <w:r>
        <w:instrText>SEQ Table \* ARABIC</w:instrText>
      </w:r>
      <w:r>
        <w:fldChar w:fldCharType="separate"/>
      </w:r>
      <w:r w:rsidR="004F49F9">
        <w:rPr>
          <w:noProof/>
        </w:rPr>
        <w:t>9</w:t>
      </w:r>
      <w:r>
        <w:fldChar w:fldCharType="end"/>
      </w:r>
      <w:bookmarkEnd w:id="53"/>
      <w:r w:rsidRPr="0030332D">
        <w:t xml:space="preserve">: </w:t>
      </w:r>
      <w:r>
        <w:t>Proposed t</w:t>
      </w:r>
      <w:r w:rsidRPr="0030332D">
        <w:t xml:space="preserve">echnical </w:t>
      </w:r>
      <w:r>
        <w:t>limitations</w:t>
      </w:r>
      <w:r w:rsidRPr="005F00E5">
        <w:t xml:space="preserve"> for </w:t>
      </w:r>
      <w:r>
        <w:t xml:space="preserve">RDI-S devices in the </w:t>
      </w:r>
      <w:r w:rsidR="0001653B">
        <w:t xml:space="preserve">band </w:t>
      </w:r>
      <w:r>
        <w:t>116 to 260 GHz</w:t>
      </w:r>
    </w:p>
    <w:tbl>
      <w:tblPr>
        <w:tblStyle w:val="ECCTable-redheader"/>
        <w:tblW w:w="9493" w:type="dxa"/>
        <w:tblInd w:w="0" w:type="dxa"/>
        <w:tblLook w:val="04A0" w:firstRow="1" w:lastRow="0" w:firstColumn="1" w:lastColumn="0" w:noHBand="0" w:noVBand="1"/>
      </w:tblPr>
      <w:tblGrid>
        <w:gridCol w:w="2827"/>
        <w:gridCol w:w="1139"/>
        <w:gridCol w:w="1699"/>
        <w:gridCol w:w="1276"/>
        <w:gridCol w:w="2552"/>
      </w:tblGrid>
      <w:tr w:rsidR="00E91B50" w:rsidRPr="00566944" w14:paraId="1E39D556" w14:textId="77777777" w:rsidTr="00E91B50">
        <w:trPr>
          <w:cnfStyle w:val="100000000000" w:firstRow="1" w:lastRow="0" w:firstColumn="0" w:lastColumn="0" w:oddVBand="0" w:evenVBand="0" w:oddHBand="0" w:evenHBand="0" w:firstRowFirstColumn="0" w:firstRowLastColumn="0" w:lastRowFirstColumn="0" w:lastRowLastColumn="0"/>
        </w:trPr>
        <w:tc>
          <w:tcPr>
            <w:tcW w:w="2827" w:type="dxa"/>
          </w:tcPr>
          <w:p w14:paraId="173B0019" w14:textId="1985935C" w:rsidR="00787B4B" w:rsidRPr="00787B4B" w:rsidRDefault="00787B4B" w:rsidP="004D58F2">
            <w:pPr>
              <w:pStyle w:val="ECCTabletext"/>
            </w:pPr>
            <w:bookmarkStart w:id="54" w:name="_Hlk66287045"/>
            <w:r>
              <w:t xml:space="preserve">Candidate </w:t>
            </w:r>
            <w:r w:rsidRPr="00787B4B">
              <w:t xml:space="preserve">frequency </w:t>
            </w:r>
            <w:r w:rsidR="005B1B2E">
              <w:t>rang</w:t>
            </w:r>
            <w:r w:rsidR="00827FB6">
              <w:t>e</w:t>
            </w:r>
          </w:p>
        </w:tc>
        <w:tc>
          <w:tcPr>
            <w:tcW w:w="1139" w:type="dxa"/>
          </w:tcPr>
          <w:p w14:paraId="4D7F86A3" w14:textId="77777777" w:rsidR="00787B4B" w:rsidRPr="00787B4B" w:rsidRDefault="00787B4B" w:rsidP="004D58F2">
            <w:pPr>
              <w:pStyle w:val="ECCTabletext"/>
            </w:pPr>
            <w:r>
              <w:t>Max</w:t>
            </w:r>
            <w:r w:rsidRPr="00787B4B">
              <w:t>imum duty cycle</w:t>
            </w:r>
          </w:p>
        </w:tc>
        <w:tc>
          <w:tcPr>
            <w:tcW w:w="1699" w:type="dxa"/>
          </w:tcPr>
          <w:p w14:paraId="305D06F7" w14:textId="77777777" w:rsidR="00787B4B" w:rsidRPr="00787B4B" w:rsidRDefault="00787B4B" w:rsidP="004D58F2">
            <w:pPr>
              <w:pStyle w:val="ECCTabletext"/>
            </w:pPr>
            <w:r>
              <w:t>Max</w:t>
            </w:r>
            <w:r w:rsidRPr="00787B4B">
              <w:t>imum mean e.i.r.p. spectral density (Note 2)</w:t>
            </w:r>
          </w:p>
        </w:tc>
        <w:tc>
          <w:tcPr>
            <w:tcW w:w="1276" w:type="dxa"/>
          </w:tcPr>
          <w:p w14:paraId="7BE0ECD8" w14:textId="77777777" w:rsidR="00787B4B" w:rsidRPr="00787B4B" w:rsidRDefault="00787B4B" w:rsidP="004D58F2">
            <w:pPr>
              <w:pStyle w:val="ECCTabletext"/>
            </w:pPr>
            <w:r>
              <w:t>Max</w:t>
            </w:r>
            <w:r w:rsidRPr="00787B4B">
              <w:t>imum peak e.i.r.p. (</w:t>
            </w:r>
            <w:r w:rsidR="00A96536">
              <w:t>Note 4</w:t>
            </w:r>
            <w:r w:rsidRPr="00787B4B">
              <w:t>)</w:t>
            </w:r>
          </w:p>
        </w:tc>
        <w:tc>
          <w:tcPr>
            <w:tcW w:w="2552" w:type="dxa"/>
          </w:tcPr>
          <w:p w14:paraId="7EEB26BB" w14:textId="2BB5DC91" w:rsidR="00787B4B" w:rsidRPr="00787B4B" w:rsidRDefault="005B1B2E" w:rsidP="004D58F2">
            <w:pPr>
              <w:pStyle w:val="ECCTabletext"/>
            </w:pPr>
            <w:r>
              <w:t>U</w:t>
            </w:r>
            <w:r w:rsidR="00787B4B" w:rsidRPr="00787B4B">
              <w:t xml:space="preserve">nwanted emission </w:t>
            </w:r>
            <w:r>
              <w:t>limits</w:t>
            </w:r>
            <w:r w:rsidRPr="00787B4B">
              <w:t xml:space="preserve"> </w:t>
            </w:r>
            <w:r w:rsidR="00787B4B" w:rsidRPr="00787B4B">
              <w:t>(Note 1)</w:t>
            </w:r>
          </w:p>
        </w:tc>
      </w:tr>
      <w:tr w:rsidR="00B951B8" w:rsidRPr="00C53FB5" w14:paraId="2FB6750B" w14:textId="77777777" w:rsidTr="00B951B8">
        <w:trPr>
          <w:trHeight w:val="211"/>
        </w:trPr>
        <w:tc>
          <w:tcPr>
            <w:tcW w:w="2827" w:type="dxa"/>
            <w:shd w:val="clear" w:color="auto" w:fill="FFFFFF" w:themeFill="background1"/>
          </w:tcPr>
          <w:p w14:paraId="2BBA1265" w14:textId="7A96CF70" w:rsidR="00B951B8" w:rsidRPr="00787B4B" w:rsidRDefault="00B951B8" w:rsidP="004D58F2">
            <w:pPr>
              <w:pStyle w:val="ECCTabletext"/>
              <w:spacing w:after="40"/>
              <w:jc w:val="left"/>
            </w:pPr>
            <w:r>
              <w:t>116 to 122</w:t>
            </w:r>
            <w:r w:rsidRPr="00787B4B">
              <w:t>.5 GHz</w:t>
            </w:r>
          </w:p>
        </w:tc>
        <w:tc>
          <w:tcPr>
            <w:tcW w:w="1139" w:type="dxa"/>
            <w:shd w:val="clear" w:color="auto" w:fill="FFFFFF" w:themeFill="background1"/>
          </w:tcPr>
          <w:p w14:paraId="1C60717A" w14:textId="740143C7" w:rsidR="00B951B8" w:rsidRPr="00787B4B" w:rsidRDefault="00B951B8" w:rsidP="004D58F2">
            <w:pPr>
              <w:pStyle w:val="ECCTabletext"/>
              <w:spacing w:after="40"/>
              <w:jc w:val="left"/>
            </w:pPr>
            <w:r>
              <w:t>100%</w:t>
            </w:r>
          </w:p>
        </w:tc>
        <w:tc>
          <w:tcPr>
            <w:tcW w:w="1699" w:type="dxa"/>
            <w:shd w:val="clear" w:color="auto" w:fill="FFFFFF" w:themeFill="background1"/>
          </w:tcPr>
          <w:p w14:paraId="3AEE256B" w14:textId="789F5A36" w:rsidR="00B951B8" w:rsidRPr="00787B4B" w:rsidRDefault="00B951B8" w:rsidP="004D58F2">
            <w:pPr>
              <w:pStyle w:val="ECCTabletext"/>
              <w:spacing w:after="40"/>
              <w:jc w:val="left"/>
            </w:pPr>
            <w:r>
              <w:t>-5</w:t>
            </w:r>
            <w:r w:rsidRPr="00787B4B">
              <w:t> dBm/MHz</w:t>
            </w:r>
          </w:p>
        </w:tc>
        <w:tc>
          <w:tcPr>
            <w:tcW w:w="1276" w:type="dxa"/>
            <w:shd w:val="clear" w:color="auto" w:fill="FFFFFF" w:themeFill="background1"/>
          </w:tcPr>
          <w:p w14:paraId="5D1E5A61" w14:textId="6343BE7C" w:rsidR="00B951B8" w:rsidRPr="00787B4B" w:rsidRDefault="00B951B8" w:rsidP="004D58F2">
            <w:pPr>
              <w:pStyle w:val="ECCTabletext"/>
              <w:spacing w:after="40"/>
              <w:jc w:val="left"/>
            </w:pPr>
            <w:r>
              <w:t>45</w:t>
            </w:r>
            <w:r w:rsidRPr="00787B4B">
              <w:t> dBm</w:t>
            </w:r>
          </w:p>
        </w:tc>
        <w:tc>
          <w:tcPr>
            <w:tcW w:w="2552" w:type="dxa"/>
            <w:vMerge w:val="restart"/>
            <w:shd w:val="clear" w:color="auto" w:fill="auto"/>
          </w:tcPr>
          <w:p w14:paraId="360599F1" w14:textId="71737371" w:rsidR="00B951B8" w:rsidRPr="005B1B2E" w:rsidRDefault="00B951B8" w:rsidP="00300D3F">
            <w:pPr>
              <w:pStyle w:val="ECCTabletext"/>
              <w:jc w:val="left"/>
            </w:pPr>
            <w:r>
              <w:t xml:space="preserve">-15 dBm/MHz max. mean e.i.r.p. </w:t>
            </w:r>
            <w:r w:rsidRPr="005B1B2E">
              <w:t>spectral density (Note 2)</w:t>
            </w:r>
          </w:p>
          <w:p w14:paraId="0FEF8F51" w14:textId="77777777" w:rsidR="00B951B8" w:rsidRDefault="00B951B8" w:rsidP="005B1B2E">
            <w:pPr>
              <w:pStyle w:val="ECCTabletext"/>
            </w:pPr>
          </w:p>
          <w:p w14:paraId="7459C4F4" w14:textId="77777777" w:rsidR="00B951B8" w:rsidRPr="005B1B2E" w:rsidRDefault="00B951B8" w:rsidP="005B1B2E">
            <w:pPr>
              <w:pStyle w:val="ECCTabletext"/>
            </w:pPr>
            <w:r>
              <w:t>and</w:t>
            </w:r>
          </w:p>
          <w:p w14:paraId="32E5BD20" w14:textId="77777777" w:rsidR="00B951B8" w:rsidRDefault="00B951B8" w:rsidP="005B1B2E">
            <w:pPr>
              <w:pStyle w:val="ECCTabletext"/>
            </w:pPr>
          </w:p>
          <w:p w14:paraId="707E1347" w14:textId="32955176" w:rsidR="00B951B8" w:rsidRPr="00787B4B" w:rsidRDefault="00B951B8" w:rsidP="005B1B2E">
            <w:pPr>
              <w:pStyle w:val="ECCTabletext"/>
              <w:jc w:val="left"/>
            </w:pPr>
            <w:r>
              <w:t>35 dBm max. peak e.i.r.p. (Note 4)</w:t>
            </w:r>
          </w:p>
        </w:tc>
      </w:tr>
      <w:tr w:rsidR="00E91B50" w:rsidRPr="00C53FB5" w14:paraId="136EB8C7" w14:textId="77777777" w:rsidTr="00E91B50">
        <w:tc>
          <w:tcPr>
            <w:tcW w:w="2827" w:type="dxa"/>
            <w:shd w:val="clear" w:color="auto" w:fill="FFFFFF" w:themeFill="background1"/>
          </w:tcPr>
          <w:p w14:paraId="7C86DB4F" w14:textId="77777777" w:rsidR="00787B4B" w:rsidRPr="00787B4B" w:rsidRDefault="00787B4B" w:rsidP="004D58F2">
            <w:pPr>
              <w:pStyle w:val="ECCTabletext"/>
              <w:spacing w:after="40"/>
              <w:jc w:val="left"/>
            </w:pPr>
            <w:r>
              <w:t>122</w:t>
            </w:r>
            <w:r w:rsidRPr="00787B4B">
              <w:t>.5 to 123 GHz</w:t>
            </w:r>
          </w:p>
        </w:tc>
        <w:tc>
          <w:tcPr>
            <w:tcW w:w="1139" w:type="dxa"/>
            <w:shd w:val="clear" w:color="auto" w:fill="FFFFFF" w:themeFill="background1"/>
          </w:tcPr>
          <w:p w14:paraId="5C986D9E" w14:textId="0898F29E"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5EB2336B"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756B74B9"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3669C9C7" w14:textId="77777777" w:rsidR="00787B4B" w:rsidRDefault="00787B4B" w:rsidP="004D58F2">
            <w:pPr>
              <w:pStyle w:val="ECCTabletext"/>
            </w:pPr>
          </w:p>
        </w:tc>
      </w:tr>
      <w:tr w:rsidR="00E91B50" w:rsidRPr="00C53FB5" w14:paraId="2A7C8452" w14:textId="77777777" w:rsidTr="00E91B50">
        <w:tc>
          <w:tcPr>
            <w:tcW w:w="2827" w:type="dxa"/>
            <w:shd w:val="clear" w:color="auto" w:fill="FFFFFF" w:themeFill="background1"/>
          </w:tcPr>
          <w:p w14:paraId="19B369D6" w14:textId="77777777" w:rsidR="00787B4B" w:rsidRPr="00787B4B" w:rsidRDefault="00787B4B" w:rsidP="004D58F2">
            <w:pPr>
              <w:pStyle w:val="ECCTabletext"/>
              <w:spacing w:after="40"/>
              <w:jc w:val="left"/>
            </w:pPr>
            <w:r>
              <w:t>123 to 130 GHz</w:t>
            </w:r>
          </w:p>
        </w:tc>
        <w:tc>
          <w:tcPr>
            <w:tcW w:w="1139" w:type="dxa"/>
            <w:shd w:val="clear" w:color="auto" w:fill="FFFFFF" w:themeFill="background1"/>
          </w:tcPr>
          <w:p w14:paraId="12EFEB6B" w14:textId="172E7BFF"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192735F3" w14:textId="77777777" w:rsidR="00787B4B" w:rsidRPr="00787B4B" w:rsidRDefault="00787B4B" w:rsidP="004D58F2">
            <w:pPr>
              <w:pStyle w:val="ECCTabletext"/>
              <w:spacing w:after="40"/>
              <w:jc w:val="left"/>
            </w:pPr>
            <w:r>
              <w:t>+</w:t>
            </w:r>
            <w:r w:rsidRPr="00787B4B">
              <w:t>10 dBm/MHz</w:t>
            </w:r>
          </w:p>
        </w:tc>
        <w:tc>
          <w:tcPr>
            <w:tcW w:w="1276" w:type="dxa"/>
            <w:shd w:val="clear" w:color="auto" w:fill="FFFFFF" w:themeFill="background1"/>
          </w:tcPr>
          <w:p w14:paraId="104D6919" w14:textId="77777777" w:rsidR="00787B4B" w:rsidRPr="00787B4B" w:rsidRDefault="00787B4B" w:rsidP="004D58F2">
            <w:pPr>
              <w:pStyle w:val="ECCTabletext"/>
              <w:spacing w:after="40"/>
              <w:jc w:val="left"/>
            </w:pPr>
            <w:r>
              <w:t>60</w:t>
            </w:r>
            <w:r w:rsidRPr="00787B4B">
              <w:t> dBm</w:t>
            </w:r>
          </w:p>
        </w:tc>
        <w:tc>
          <w:tcPr>
            <w:tcW w:w="2552" w:type="dxa"/>
            <w:vMerge/>
            <w:shd w:val="clear" w:color="auto" w:fill="auto"/>
          </w:tcPr>
          <w:p w14:paraId="04C591F1" w14:textId="77777777" w:rsidR="00787B4B" w:rsidRDefault="00787B4B" w:rsidP="004D58F2">
            <w:pPr>
              <w:pStyle w:val="ECCTabletext"/>
            </w:pPr>
          </w:p>
        </w:tc>
      </w:tr>
      <w:tr w:rsidR="00E91B50" w:rsidRPr="00C53FB5" w14:paraId="68D3140D" w14:textId="77777777" w:rsidTr="00E91B50">
        <w:tc>
          <w:tcPr>
            <w:tcW w:w="2827" w:type="dxa"/>
            <w:shd w:val="clear" w:color="auto" w:fill="FFFFFF" w:themeFill="background1"/>
          </w:tcPr>
          <w:p w14:paraId="05ED195B" w14:textId="77777777" w:rsidR="00787B4B" w:rsidRPr="00787B4B" w:rsidRDefault="00787B4B" w:rsidP="004D58F2">
            <w:pPr>
              <w:pStyle w:val="ECCTabletext"/>
              <w:spacing w:after="40"/>
              <w:jc w:val="left"/>
            </w:pPr>
            <w:r>
              <w:t>130 to 134 GHz</w:t>
            </w:r>
          </w:p>
        </w:tc>
        <w:tc>
          <w:tcPr>
            <w:tcW w:w="1139" w:type="dxa"/>
            <w:shd w:val="clear" w:color="auto" w:fill="FFFFFF" w:themeFill="background1"/>
          </w:tcPr>
          <w:p w14:paraId="73F26A2F" w14:textId="574BA02B"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35E07AC5"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7FD2AE68"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5079B9A0" w14:textId="77777777" w:rsidR="00787B4B" w:rsidRDefault="00787B4B" w:rsidP="004D58F2">
            <w:pPr>
              <w:pStyle w:val="ECCTabletext"/>
            </w:pPr>
          </w:p>
        </w:tc>
      </w:tr>
      <w:tr w:rsidR="00E91B50" w:rsidRPr="00C53FB5" w14:paraId="0409AF3B" w14:textId="77777777" w:rsidTr="00E91B50">
        <w:tc>
          <w:tcPr>
            <w:tcW w:w="2827" w:type="dxa"/>
            <w:shd w:val="clear" w:color="auto" w:fill="FFFFFF" w:themeFill="background1"/>
          </w:tcPr>
          <w:p w14:paraId="04B52A44" w14:textId="77777777" w:rsidR="00787B4B" w:rsidRPr="00787B4B" w:rsidRDefault="00787B4B" w:rsidP="004D58F2">
            <w:pPr>
              <w:pStyle w:val="ECCTabletext"/>
              <w:spacing w:after="40"/>
              <w:jc w:val="left"/>
            </w:pPr>
            <w:r>
              <w:t>134 to 141</w:t>
            </w:r>
            <w:r w:rsidRPr="00787B4B">
              <w:t> GHz</w:t>
            </w:r>
          </w:p>
        </w:tc>
        <w:tc>
          <w:tcPr>
            <w:tcW w:w="1139" w:type="dxa"/>
            <w:shd w:val="clear" w:color="auto" w:fill="FFFFFF" w:themeFill="background1"/>
          </w:tcPr>
          <w:p w14:paraId="352329A0" w14:textId="03CD75CB"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2100BE70" w14:textId="77777777" w:rsidR="00787B4B" w:rsidRPr="00787B4B" w:rsidRDefault="00787B4B" w:rsidP="004D58F2">
            <w:pPr>
              <w:pStyle w:val="ECCTabletext"/>
              <w:spacing w:after="40"/>
              <w:jc w:val="left"/>
            </w:pPr>
            <w:r>
              <w:t>+</w:t>
            </w:r>
            <w:r w:rsidRPr="00787B4B">
              <w:t>10 dBm/MHz</w:t>
            </w:r>
          </w:p>
        </w:tc>
        <w:tc>
          <w:tcPr>
            <w:tcW w:w="1276" w:type="dxa"/>
            <w:shd w:val="clear" w:color="auto" w:fill="FFFFFF" w:themeFill="background1"/>
          </w:tcPr>
          <w:p w14:paraId="349683F6" w14:textId="77777777" w:rsidR="00787B4B" w:rsidRPr="00787B4B" w:rsidRDefault="00787B4B" w:rsidP="004D58F2">
            <w:pPr>
              <w:pStyle w:val="ECCTabletext"/>
              <w:spacing w:after="40"/>
              <w:jc w:val="left"/>
            </w:pPr>
            <w:r>
              <w:t>60</w:t>
            </w:r>
            <w:r w:rsidRPr="00787B4B">
              <w:t> dBm</w:t>
            </w:r>
          </w:p>
        </w:tc>
        <w:tc>
          <w:tcPr>
            <w:tcW w:w="2552" w:type="dxa"/>
            <w:vMerge/>
            <w:shd w:val="clear" w:color="auto" w:fill="auto"/>
          </w:tcPr>
          <w:p w14:paraId="0D5153D4" w14:textId="77777777" w:rsidR="00787B4B" w:rsidRDefault="00787B4B" w:rsidP="004D58F2">
            <w:pPr>
              <w:pStyle w:val="ECCTabletext"/>
            </w:pPr>
          </w:p>
        </w:tc>
      </w:tr>
      <w:tr w:rsidR="00E91B50" w:rsidRPr="00C53FB5" w14:paraId="4E7DD6A8" w14:textId="77777777" w:rsidTr="00E91B50">
        <w:tc>
          <w:tcPr>
            <w:tcW w:w="2827" w:type="dxa"/>
            <w:shd w:val="clear" w:color="auto" w:fill="FFFFFF" w:themeFill="background1"/>
          </w:tcPr>
          <w:p w14:paraId="02941B4A" w14:textId="77777777" w:rsidR="00787B4B" w:rsidRPr="00787B4B" w:rsidRDefault="00787B4B" w:rsidP="004D58F2">
            <w:pPr>
              <w:pStyle w:val="ECCTabletext"/>
              <w:spacing w:after="40"/>
              <w:jc w:val="left"/>
            </w:pPr>
            <w:r>
              <w:t>141 to 148</w:t>
            </w:r>
            <w:r w:rsidRPr="00787B4B">
              <w:t>.5 GHz</w:t>
            </w:r>
          </w:p>
        </w:tc>
        <w:tc>
          <w:tcPr>
            <w:tcW w:w="1139" w:type="dxa"/>
            <w:shd w:val="clear" w:color="auto" w:fill="FFFFFF" w:themeFill="background1"/>
          </w:tcPr>
          <w:p w14:paraId="06E7A9D9" w14:textId="55596FE8"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06B93A6"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A0BF90C"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785E2351" w14:textId="77777777" w:rsidR="00787B4B" w:rsidRDefault="00787B4B" w:rsidP="004D58F2">
            <w:pPr>
              <w:pStyle w:val="ECCTabletext"/>
            </w:pPr>
          </w:p>
        </w:tc>
      </w:tr>
      <w:tr w:rsidR="00E91B50" w:rsidRPr="00C53FB5" w14:paraId="0EE5EF99" w14:textId="77777777" w:rsidTr="00E91B50">
        <w:tc>
          <w:tcPr>
            <w:tcW w:w="2827" w:type="dxa"/>
            <w:shd w:val="clear" w:color="auto" w:fill="FFFFFF" w:themeFill="background1"/>
          </w:tcPr>
          <w:p w14:paraId="4CA0CB2A" w14:textId="77777777" w:rsidR="00787B4B" w:rsidRPr="00787B4B" w:rsidRDefault="00787B4B" w:rsidP="004D58F2">
            <w:pPr>
              <w:pStyle w:val="ECCTabletext"/>
              <w:spacing w:after="40"/>
              <w:jc w:val="left"/>
            </w:pPr>
            <w:r>
              <w:t>148</w:t>
            </w:r>
            <w:r w:rsidRPr="00787B4B">
              <w:t>.5 to 151.5 GHz (Note 3)</w:t>
            </w:r>
          </w:p>
        </w:tc>
        <w:tc>
          <w:tcPr>
            <w:tcW w:w="1139" w:type="dxa"/>
            <w:shd w:val="clear" w:color="auto" w:fill="FFFFFF" w:themeFill="background1"/>
          </w:tcPr>
          <w:p w14:paraId="4F9EE5D2" w14:textId="693375F7" w:rsidR="00787B4B" w:rsidRPr="00787B4B" w:rsidRDefault="00787B4B" w:rsidP="004D58F2">
            <w:pPr>
              <w:pStyle w:val="ECCTabletext"/>
              <w:spacing w:after="40"/>
              <w:jc w:val="left"/>
            </w:pPr>
            <w:r>
              <w:t>1</w:t>
            </w:r>
            <w:r w:rsidRPr="00787B4B">
              <w:t>00</w:t>
            </w:r>
            <w:r w:rsidR="00F800A2">
              <w:t>%</w:t>
            </w:r>
          </w:p>
        </w:tc>
        <w:tc>
          <w:tcPr>
            <w:tcW w:w="1699" w:type="dxa"/>
            <w:shd w:val="clear" w:color="auto" w:fill="FFFFFF" w:themeFill="background1"/>
          </w:tcPr>
          <w:p w14:paraId="1DE381C8"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3BF69CFD"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7EF16CC0" w14:textId="77777777" w:rsidR="00787B4B" w:rsidRDefault="00787B4B" w:rsidP="004D58F2">
            <w:pPr>
              <w:pStyle w:val="ECCTabletext"/>
            </w:pPr>
          </w:p>
        </w:tc>
      </w:tr>
      <w:tr w:rsidR="00E91B50" w:rsidRPr="00C53FB5" w14:paraId="3B94190C" w14:textId="77777777" w:rsidTr="00E91B50">
        <w:tc>
          <w:tcPr>
            <w:tcW w:w="2827" w:type="dxa"/>
            <w:shd w:val="clear" w:color="auto" w:fill="FFFFFF" w:themeFill="background1"/>
          </w:tcPr>
          <w:p w14:paraId="26257F26" w14:textId="77777777" w:rsidR="00787B4B" w:rsidRPr="00787B4B" w:rsidRDefault="00787B4B" w:rsidP="004D58F2">
            <w:pPr>
              <w:pStyle w:val="ECCTabletext"/>
              <w:spacing w:after="40"/>
              <w:jc w:val="left"/>
            </w:pPr>
            <w:r>
              <w:t>151</w:t>
            </w:r>
            <w:r w:rsidRPr="00787B4B">
              <w:t>.5 to 158.5 GHz</w:t>
            </w:r>
          </w:p>
        </w:tc>
        <w:tc>
          <w:tcPr>
            <w:tcW w:w="1139" w:type="dxa"/>
            <w:shd w:val="clear" w:color="auto" w:fill="FFFFFF" w:themeFill="background1"/>
          </w:tcPr>
          <w:p w14:paraId="078BA1FC" w14:textId="470EFF1B"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2D1F779"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1C0F95E8"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CF69A8F" w14:textId="77777777" w:rsidR="00787B4B" w:rsidRDefault="00787B4B" w:rsidP="004D58F2">
            <w:pPr>
              <w:pStyle w:val="ECCTabletext"/>
            </w:pPr>
          </w:p>
        </w:tc>
      </w:tr>
      <w:tr w:rsidR="00E91B50" w:rsidRPr="00C53FB5" w14:paraId="4FC6C979" w14:textId="77777777" w:rsidTr="00E91B50">
        <w:tc>
          <w:tcPr>
            <w:tcW w:w="2827" w:type="dxa"/>
            <w:shd w:val="clear" w:color="auto" w:fill="FFFFFF" w:themeFill="background1"/>
          </w:tcPr>
          <w:p w14:paraId="3B91A492" w14:textId="77777777" w:rsidR="00787B4B" w:rsidRPr="00787B4B" w:rsidRDefault="00787B4B" w:rsidP="004D58F2">
            <w:pPr>
              <w:pStyle w:val="ECCTabletext"/>
              <w:spacing w:after="40"/>
              <w:jc w:val="left"/>
            </w:pPr>
            <w:r>
              <w:t>158</w:t>
            </w:r>
            <w:r w:rsidRPr="00787B4B">
              <w:t>.5 to 164 GHz</w:t>
            </w:r>
          </w:p>
        </w:tc>
        <w:tc>
          <w:tcPr>
            <w:tcW w:w="1139" w:type="dxa"/>
            <w:shd w:val="clear" w:color="auto" w:fill="FFFFFF" w:themeFill="background1"/>
          </w:tcPr>
          <w:p w14:paraId="5D634C41" w14:textId="0EB22C9A"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457143F0"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25481E5D"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5AC196E6" w14:textId="77777777" w:rsidR="00787B4B" w:rsidRDefault="00787B4B" w:rsidP="004D58F2">
            <w:pPr>
              <w:pStyle w:val="ECCTabletext"/>
            </w:pPr>
          </w:p>
        </w:tc>
      </w:tr>
      <w:tr w:rsidR="00E91B50" w:rsidRPr="00C53FB5" w14:paraId="2D1776CD" w14:textId="77777777" w:rsidTr="00E91B50">
        <w:tc>
          <w:tcPr>
            <w:tcW w:w="2827" w:type="dxa"/>
            <w:shd w:val="clear" w:color="auto" w:fill="FFFFFF" w:themeFill="background1"/>
          </w:tcPr>
          <w:p w14:paraId="182C1195" w14:textId="77777777" w:rsidR="00787B4B" w:rsidRPr="00787B4B" w:rsidRDefault="00787B4B" w:rsidP="004D58F2">
            <w:pPr>
              <w:pStyle w:val="ECCTabletext"/>
              <w:spacing w:after="40"/>
              <w:jc w:val="left"/>
            </w:pPr>
            <w:r>
              <w:t>164 to 167</w:t>
            </w:r>
            <w:r w:rsidRPr="00787B4B">
              <w:t> GHz (Note 3)</w:t>
            </w:r>
          </w:p>
        </w:tc>
        <w:tc>
          <w:tcPr>
            <w:tcW w:w="1139" w:type="dxa"/>
            <w:shd w:val="clear" w:color="auto" w:fill="FFFFFF" w:themeFill="background1"/>
          </w:tcPr>
          <w:p w14:paraId="6DAB46CF" w14:textId="31A779A5"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5EC8708D"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4A92CD14"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7CD25BC4" w14:textId="77777777" w:rsidR="00787B4B" w:rsidRDefault="00787B4B" w:rsidP="004D58F2">
            <w:pPr>
              <w:pStyle w:val="ECCTabletext"/>
            </w:pPr>
          </w:p>
        </w:tc>
      </w:tr>
      <w:tr w:rsidR="00E91B50" w:rsidRPr="00C53FB5" w14:paraId="00EC4504" w14:textId="77777777" w:rsidTr="00E91B50">
        <w:tc>
          <w:tcPr>
            <w:tcW w:w="2827" w:type="dxa"/>
            <w:shd w:val="clear" w:color="auto" w:fill="FFFFFF" w:themeFill="background1"/>
          </w:tcPr>
          <w:p w14:paraId="78354F0A" w14:textId="77777777" w:rsidR="00787B4B" w:rsidRPr="00787B4B" w:rsidRDefault="00787B4B" w:rsidP="004D58F2">
            <w:pPr>
              <w:pStyle w:val="ECCTabletext"/>
              <w:spacing w:after="40"/>
              <w:jc w:val="left"/>
            </w:pPr>
            <w:r w:rsidRPr="00C53FB5">
              <w:t>1</w:t>
            </w:r>
            <w:r w:rsidRPr="00787B4B">
              <w:t>67 to 174.5 GHz</w:t>
            </w:r>
          </w:p>
        </w:tc>
        <w:tc>
          <w:tcPr>
            <w:tcW w:w="1139" w:type="dxa"/>
            <w:shd w:val="clear" w:color="auto" w:fill="FFFFFF" w:themeFill="background1"/>
          </w:tcPr>
          <w:p w14:paraId="30263828" w14:textId="729BBC27"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45452462"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089192E1"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53BC7BF5" w14:textId="77777777" w:rsidR="00787B4B" w:rsidRDefault="00787B4B" w:rsidP="004D58F2">
            <w:pPr>
              <w:pStyle w:val="ECCTabletext"/>
            </w:pPr>
          </w:p>
        </w:tc>
      </w:tr>
      <w:tr w:rsidR="00E91B50" w:rsidRPr="00C53FB5" w14:paraId="2A65A9A7" w14:textId="77777777" w:rsidTr="00E91B50">
        <w:tc>
          <w:tcPr>
            <w:tcW w:w="2827" w:type="dxa"/>
            <w:shd w:val="clear" w:color="auto" w:fill="FFFFFF" w:themeFill="background1"/>
          </w:tcPr>
          <w:p w14:paraId="03206A39" w14:textId="77777777" w:rsidR="00787B4B" w:rsidRPr="00787B4B" w:rsidRDefault="00787B4B" w:rsidP="004D58F2">
            <w:pPr>
              <w:pStyle w:val="ECCTabletext"/>
              <w:spacing w:after="40"/>
              <w:jc w:val="left"/>
            </w:pPr>
            <w:r>
              <w:t>174</w:t>
            </w:r>
            <w:r w:rsidRPr="00787B4B">
              <w:t>.5 to 174.8 GHz</w:t>
            </w:r>
          </w:p>
        </w:tc>
        <w:tc>
          <w:tcPr>
            <w:tcW w:w="1139" w:type="dxa"/>
            <w:shd w:val="clear" w:color="auto" w:fill="FFFFFF" w:themeFill="background1"/>
          </w:tcPr>
          <w:p w14:paraId="0D97AFEE" w14:textId="77F663B5"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F44E450"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60F787A5"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31BBE71" w14:textId="77777777" w:rsidR="00787B4B" w:rsidRDefault="00787B4B" w:rsidP="004D58F2">
            <w:pPr>
              <w:pStyle w:val="ECCTabletext"/>
            </w:pPr>
          </w:p>
        </w:tc>
      </w:tr>
      <w:tr w:rsidR="00E91B50" w:rsidRPr="00C53FB5" w14:paraId="447ABA0D" w14:textId="77777777" w:rsidTr="00E91B50">
        <w:tc>
          <w:tcPr>
            <w:tcW w:w="2827" w:type="dxa"/>
            <w:shd w:val="clear" w:color="auto" w:fill="FFFFFF" w:themeFill="background1"/>
          </w:tcPr>
          <w:p w14:paraId="192A32C7" w14:textId="77777777" w:rsidR="00787B4B" w:rsidRPr="00787B4B" w:rsidRDefault="00787B4B" w:rsidP="004D58F2">
            <w:pPr>
              <w:pStyle w:val="ECCTabletext"/>
              <w:spacing w:after="40"/>
              <w:jc w:val="left"/>
            </w:pPr>
            <w:r>
              <w:t>174</w:t>
            </w:r>
            <w:r w:rsidRPr="00787B4B">
              <w:t>.8 to 182 GHz</w:t>
            </w:r>
          </w:p>
        </w:tc>
        <w:tc>
          <w:tcPr>
            <w:tcW w:w="1139" w:type="dxa"/>
            <w:shd w:val="clear" w:color="auto" w:fill="FFFFFF" w:themeFill="background1"/>
          </w:tcPr>
          <w:p w14:paraId="02EABE3C" w14:textId="608DB679"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290B148" w14:textId="77777777" w:rsidR="00787B4B" w:rsidRPr="00787B4B" w:rsidRDefault="00787B4B" w:rsidP="004D58F2">
            <w:pPr>
              <w:pStyle w:val="ECCTabletext"/>
              <w:spacing w:after="40"/>
              <w:jc w:val="left"/>
            </w:pPr>
            <w:r>
              <w:t>+</w:t>
            </w:r>
            <w:r w:rsidRPr="00787B4B">
              <w:t>10 dBm/MHz</w:t>
            </w:r>
          </w:p>
        </w:tc>
        <w:tc>
          <w:tcPr>
            <w:tcW w:w="1276" w:type="dxa"/>
            <w:shd w:val="clear" w:color="auto" w:fill="FFFFFF" w:themeFill="background1"/>
          </w:tcPr>
          <w:p w14:paraId="03EDD474" w14:textId="77777777" w:rsidR="00787B4B" w:rsidRPr="00787B4B" w:rsidRDefault="00787B4B" w:rsidP="004D58F2">
            <w:pPr>
              <w:pStyle w:val="ECCTabletext"/>
              <w:spacing w:after="40"/>
              <w:jc w:val="left"/>
            </w:pPr>
            <w:r>
              <w:t>60</w:t>
            </w:r>
            <w:r w:rsidRPr="00787B4B">
              <w:t> dBm</w:t>
            </w:r>
          </w:p>
        </w:tc>
        <w:tc>
          <w:tcPr>
            <w:tcW w:w="2552" w:type="dxa"/>
            <w:vMerge/>
            <w:shd w:val="clear" w:color="auto" w:fill="auto"/>
          </w:tcPr>
          <w:p w14:paraId="55FC2094" w14:textId="77777777" w:rsidR="00787B4B" w:rsidRDefault="00787B4B" w:rsidP="004D58F2">
            <w:pPr>
              <w:pStyle w:val="ECCTabletext"/>
            </w:pPr>
          </w:p>
        </w:tc>
      </w:tr>
      <w:tr w:rsidR="00E91B50" w:rsidRPr="00C53FB5" w14:paraId="08DA2324" w14:textId="77777777" w:rsidTr="00E91B50">
        <w:tc>
          <w:tcPr>
            <w:tcW w:w="2827" w:type="dxa"/>
            <w:shd w:val="clear" w:color="auto" w:fill="FFFFFF" w:themeFill="background1"/>
          </w:tcPr>
          <w:p w14:paraId="3340611C" w14:textId="77777777" w:rsidR="00787B4B" w:rsidRPr="00787B4B" w:rsidRDefault="00787B4B" w:rsidP="004D58F2">
            <w:pPr>
              <w:pStyle w:val="ECCTabletext"/>
              <w:spacing w:after="40"/>
              <w:jc w:val="left"/>
            </w:pPr>
            <w:r>
              <w:t>182 to 185</w:t>
            </w:r>
            <w:r w:rsidRPr="00787B4B">
              <w:t> GHz (Note 3)</w:t>
            </w:r>
          </w:p>
        </w:tc>
        <w:tc>
          <w:tcPr>
            <w:tcW w:w="1139" w:type="dxa"/>
            <w:shd w:val="clear" w:color="auto" w:fill="FFFFFF" w:themeFill="background1"/>
          </w:tcPr>
          <w:p w14:paraId="47DA4796" w14:textId="495301A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BF92C39"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41223B4F"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594A0CCE" w14:textId="77777777" w:rsidR="00787B4B" w:rsidRDefault="00787B4B" w:rsidP="004D58F2">
            <w:pPr>
              <w:pStyle w:val="ECCTabletext"/>
            </w:pPr>
          </w:p>
        </w:tc>
      </w:tr>
      <w:tr w:rsidR="00E91B50" w:rsidRPr="00C53FB5" w14:paraId="1E717AF4" w14:textId="77777777" w:rsidTr="00E91B50">
        <w:tc>
          <w:tcPr>
            <w:tcW w:w="2827" w:type="dxa"/>
            <w:shd w:val="clear" w:color="auto" w:fill="FFFFFF" w:themeFill="background1"/>
          </w:tcPr>
          <w:p w14:paraId="3382C990" w14:textId="77777777" w:rsidR="00787B4B" w:rsidRPr="00787B4B" w:rsidRDefault="00787B4B" w:rsidP="004D58F2">
            <w:pPr>
              <w:pStyle w:val="ECCTabletext"/>
              <w:spacing w:after="40"/>
              <w:jc w:val="left"/>
            </w:pPr>
            <w:r>
              <w:t>185 to 190</w:t>
            </w:r>
            <w:r w:rsidRPr="00787B4B">
              <w:t> GHz</w:t>
            </w:r>
          </w:p>
        </w:tc>
        <w:tc>
          <w:tcPr>
            <w:tcW w:w="1139" w:type="dxa"/>
            <w:shd w:val="clear" w:color="auto" w:fill="FFFFFF" w:themeFill="background1"/>
          </w:tcPr>
          <w:p w14:paraId="3B7B569B" w14:textId="11EB30E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5B6421E"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C132927"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461E961C" w14:textId="77777777" w:rsidR="00787B4B" w:rsidRDefault="00787B4B" w:rsidP="004D58F2">
            <w:pPr>
              <w:pStyle w:val="ECCTabletext"/>
            </w:pPr>
          </w:p>
        </w:tc>
      </w:tr>
      <w:tr w:rsidR="00E91B50" w:rsidRPr="00C53FB5" w14:paraId="10DEFF48" w14:textId="77777777" w:rsidTr="00E91B50">
        <w:tc>
          <w:tcPr>
            <w:tcW w:w="2827" w:type="dxa"/>
            <w:shd w:val="clear" w:color="auto" w:fill="FFFFFF" w:themeFill="background1"/>
          </w:tcPr>
          <w:p w14:paraId="0286A0C3" w14:textId="77777777" w:rsidR="00787B4B" w:rsidRPr="00787B4B" w:rsidRDefault="00787B4B" w:rsidP="004D58F2">
            <w:pPr>
              <w:pStyle w:val="ECCTabletext"/>
              <w:spacing w:after="40"/>
              <w:jc w:val="left"/>
            </w:pPr>
            <w:r>
              <w:t>190 to 191</w:t>
            </w:r>
            <w:r w:rsidRPr="00787B4B">
              <w:t>.8 GHz (Note 3)</w:t>
            </w:r>
          </w:p>
        </w:tc>
        <w:tc>
          <w:tcPr>
            <w:tcW w:w="1139" w:type="dxa"/>
            <w:shd w:val="clear" w:color="auto" w:fill="FFFFFF" w:themeFill="background1"/>
          </w:tcPr>
          <w:p w14:paraId="01D1FC36" w14:textId="69D46F1D"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FC54CE7"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7F242DF9"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2A04AFF4" w14:textId="77777777" w:rsidR="00787B4B" w:rsidRDefault="00787B4B" w:rsidP="004D58F2">
            <w:pPr>
              <w:pStyle w:val="ECCTabletext"/>
            </w:pPr>
          </w:p>
        </w:tc>
      </w:tr>
      <w:tr w:rsidR="00E91B50" w:rsidRPr="00C53FB5" w14:paraId="3E66BCF7" w14:textId="77777777" w:rsidTr="00E91B50">
        <w:tc>
          <w:tcPr>
            <w:tcW w:w="2827" w:type="dxa"/>
            <w:shd w:val="clear" w:color="auto" w:fill="FFFFFF" w:themeFill="background1"/>
          </w:tcPr>
          <w:p w14:paraId="55F42640" w14:textId="77777777" w:rsidR="00787B4B" w:rsidRPr="00787B4B" w:rsidRDefault="00787B4B" w:rsidP="004D58F2">
            <w:pPr>
              <w:pStyle w:val="ECCTabletext"/>
              <w:spacing w:after="40"/>
              <w:jc w:val="left"/>
            </w:pPr>
            <w:r>
              <w:t>191</w:t>
            </w:r>
            <w:r w:rsidRPr="00787B4B">
              <w:t>.8 to 200 GHz</w:t>
            </w:r>
          </w:p>
        </w:tc>
        <w:tc>
          <w:tcPr>
            <w:tcW w:w="1139" w:type="dxa"/>
            <w:shd w:val="clear" w:color="auto" w:fill="FFFFFF" w:themeFill="background1"/>
          </w:tcPr>
          <w:p w14:paraId="126C4ED4" w14:textId="41D42860"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018CBDE"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251EDF9"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C2339A2" w14:textId="77777777" w:rsidR="00787B4B" w:rsidRDefault="00787B4B" w:rsidP="004D58F2">
            <w:pPr>
              <w:pStyle w:val="ECCTabletext"/>
            </w:pPr>
          </w:p>
        </w:tc>
      </w:tr>
      <w:tr w:rsidR="00E91B50" w:rsidRPr="00C53FB5" w14:paraId="163FD758" w14:textId="77777777" w:rsidTr="00E91B50">
        <w:tc>
          <w:tcPr>
            <w:tcW w:w="2827" w:type="dxa"/>
            <w:shd w:val="clear" w:color="auto" w:fill="FFFFFF" w:themeFill="background1"/>
          </w:tcPr>
          <w:p w14:paraId="066C23A7" w14:textId="77777777" w:rsidR="00787B4B" w:rsidRPr="00787B4B" w:rsidRDefault="00787B4B" w:rsidP="004D58F2">
            <w:pPr>
              <w:pStyle w:val="ECCTabletext"/>
              <w:spacing w:after="40"/>
              <w:jc w:val="left"/>
            </w:pPr>
            <w:r>
              <w:t>200 to 209</w:t>
            </w:r>
            <w:r w:rsidRPr="00787B4B">
              <w:t> GHz (Note 3)</w:t>
            </w:r>
          </w:p>
        </w:tc>
        <w:tc>
          <w:tcPr>
            <w:tcW w:w="1139" w:type="dxa"/>
            <w:shd w:val="clear" w:color="auto" w:fill="FFFFFF" w:themeFill="background1"/>
          </w:tcPr>
          <w:p w14:paraId="7DA081ED" w14:textId="29160663"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1A54D26"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0D8D5B96"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02FF467D" w14:textId="77777777" w:rsidR="00787B4B" w:rsidRDefault="00787B4B" w:rsidP="004D58F2">
            <w:pPr>
              <w:pStyle w:val="ECCTabletext"/>
            </w:pPr>
          </w:p>
        </w:tc>
      </w:tr>
      <w:tr w:rsidR="00E91B50" w:rsidRPr="00C53FB5" w14:paraId="4059C544" w14:textId="77777777" w:rsidTr="00E91B50">
        <w:tc>
          <w:tcPr>
            <w:tcW w:w="2827" w:type="dxa"/>
            <w:shd w:val="clear" w:color="auto" w:fill="FFFFFF" w:themeFill="background1"/>
          </w:tcPr>
          <w:p w14:paraId="2A350BB6" w14:textId="77777777" w:rsidR="00787B4B" w:rsidRPr="00787B4B" w:rsidRDefault="00787B4B" w:rsidP="004D58F2">
            <w:pPr>
              <w:pStyle w:val="ECCTabletext"/>
              <w:spacing w:after="40"/>
              <w:jc w:val="left"/>
            </w:pPr>
            <w:r>
              <w:t>209 to 226</w:t>
            </w:r>
            <w:r w:rsidRPr="00787B4B">
              <w:t> GHz</w:t>
            </w:r>
          </w:p>
        </w:tc>
        <w:tc>
          <w:tcPr>
            <w:tcW w:w="1139" w:type="dxa"/>
            <w:shd w:val="clear" w:color="auto" w:fill="FFFFFF" w:themeFill="background1"/>
          </w:tcPr>
          <w:p w14:paraId="500F0D33" w14:textId="0A66A4A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C7A2D53"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2629B427"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28F0FE55" w14:textId="77777777" w:rsidR="00787B4B" w:rsidRDefault="00787B4B" w:rsidP="004D58F2">
            <w:pPr>
              <w:pStyle w:val="ECCTabletext"/>
            </w:pPr>
          </w:p>
        </w:tc>
      </w:tr>
      <w:tr w:rsidR="00E91B50" w:rsidRPr="00C53FB5" w14:paraId="472825DE" w14:textId="77777777" w:rsidTr="00E91B50">
        <w:tc>
          <w:tcPr>
            <w:tcW w:w="2827" w:type="dxa"/>
            <w:shd w:val="clear" w:color="auto" w:fill="FFFFFF" w:themeFill="background1"/>
          </w:tcPr>
          <w:p w14:paraId="4EF198FE" w14:textId="77777777" w:rsidR="00787B4B" w:rsidRPr="00787B4B" w:rsidRDefault="00787B4B" w:rsidP="004D58F2">
            <w:pPr>
              <w:pStyle w:val="ECCTabletext"/>
              <w:spacing w:after="40"/>
              <w:jc w:val="left"/>
            </w:pPr>
            <w:r>
              <w:t>226 to 231</w:t>
            </w:r>
            <w:r w:rsidRPr="00787B4B">
              <w:t>.5 GHz (Note 3)</w:t>
            </w:r>
          </w:p>
        </w:tc>
        <w:tc>
          <w:tcPr>
            <w:tcW w:w="1139" w:type="dxa"/>
            <w:shd w:val="clear" w:color="auto" w:fill="FFFFFF" w:themeFill="background1"/>
          </w:tcPr>
          <w:p w14:paraId="25873991" w14:textId="428E3B58"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4FB83BBA"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69D8366B"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26AC9DA2" w14:textId="77777777" w:rsidR="00787B4B" w:rsidRDefault="00787B4B" w:rsidP="004D58F2">
            <w:pPr>
              <w:pStyle w:val="ECCTabletext"/>
            </w:pPr>
          </w:p>
        </w:tc>
      </w:tr>
      <w:tr w:rsidR="00E91B50" w:rsidRPr="00C53FB5" w14:paraId="5EB80C8B" w14:textId="77777777" w:rsidTr="00E91B50">
        <w:tc>
          <w:tcPr>
            <w:tcW w:w="2827" w:type="dxa"/>
            <w:shd w:val="clear" w:color="auto" w:fill="FFFFFF" w:themeFill="background1"/>
          </w:tcPr>
          <w:p w14:paraId="6A41A391" w14:textId="77777777" w:rsidR="00787B4B" w:rsidRPr="00787B4B" w:rsidRDefault="00787B4B" w:rsidP="004D58F2">
            <w:pPr>
              <w:pStyle w:val="ECCTabletext"/>
              <w:spacing w:after="40"/>
              <w:jc w:val="left"/>
            </w:pPr>
            <w:r>
              <w:t>231</w:t>
            </w:r>
            <w:r w:rsidRPr="00787B4B">
              <w:t>.5 to 235 GHz</w:t>
            </w:r>
          </w:p>
        </w:tc>
        <w:tc>
          <w:tcPr>
            <w:tcW w:w="1139" w:type="dxa"/>
            <w:shd w:val="clear" w:color="auto" w:fill="FFFFFF" w:themeFill="background1"/>
          </w:tcPr>
          <w:p w14:paraId="732CDD6B" w14:textId="170A87B4"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B3759B8"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579A775"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71A1583" w14:textId="77777777" w:rsidR="00787B4B" w:rsidRDefault="00787B4B" w:rsidP="004D58F2">
            <w:pPr>
              <w:pStyle w:val="ECCTabletext"/>
            </w:pPr>
          </w:p>
        </w:tc>
      </w:tr>
      <w:tr w:rsidR="00E91B50" w:rsidRPr="00C53FB5" w14:paraId="02DE0E3F" w14:textId="77777777" w:rsidTr="00E91B50">
        <w:tc>
          <w:tcPr>
            <w:tcW w:w="2827" w:type="dxa"/>
            <w:shd w:val="clear" w:color="auto" w:fill="FFFFFF" w:themeFill="background1"/>
          </w:tcPr>
          <w:p w14:paraId="55C6150D" w14:textId="77777777" w:rsidR="00787B4B" w:rsidRPr="00787B4B" w:rsidRDefault="00787B4B" w:rsidP="004D58F2">
            <w:pPr>
              <w:pStyle w:val="ECCTabletext"/>
              <w:spacing w:after="40"/>
              <w:jc w:val="left"/>
            </w:pPr>
            <w:r>
              <w:t>235 to 238</w:t>
            </w:r>
            <w:r w:rsidRPr="00787B4B">
              <w:t> GHz</w:t>
            </w:r>
          </w:p>
        </w:tc>
        <w:tc>
          <w:tcPr>
            <w:tcW w:w="1139" w:type="dxa"/>
            <w:shd w:val="clear" w:color="auto" w:fill="FFFFFF" w:themeFill="background1"/>
          </w:tcPr>
          <w:p w14:paraId="2B22646C" w14:textId="759528B6"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1734EC3"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1FA16C47"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EC3A6AE" w14:textId="77777777" w:rsidR="00787B4B" w:rsidRDefault="00787B4B" w:rsidP="004D58F2">
            <w:pPr>
              <w:pStyle w:val="ECCTabletext"/>
            </w:pPr>
          </w:p>
        </w:tc>
      </w:tr>
      <w:tr w:rsidR="00E91B50" w:rsidRPr="00C53FB5" w14:paraId="7F4DAE65" w14:textId="77777777" w:rsidTr="00E91B50">
        <w:tc>
          <w:tcPr>
            <w:tcW w:w="2827" w:type="dxa"/>
            <w:shd w:val="clear" w:color="auto" w:fill="FFFFFF" w:themeFill="background1"/>
          </w:tcPr>
          <w:p w14:paraId="1BD540BC" w14:textId="77777777" w:rsidR="00787B4B" w:rsidRPr="00787B4B" w:rsidRDefault="00787B4B" w:rsidP="004D58F2">
            <w:pPr>
              <w:pStyle w:val="ECCTabletext"/>
              <w:spacing w:after="40"/>
              <w:jc w:val="left"/>
            </w:pPr>
            <w:r>
              <w:t>238 to 241</w:t>
            </w:r>
            <w:r w:rsidRPr="00787B4B">
              <w:t xml:space="preserve"> GHz</w:t>
            </w:r>
          </w:p>
        </w:tc>
        <w:tc>
          <w:tcPr>
            <w:tcW w:w="1139" w:type="dxa"/>
            <w:shd w:val="clear" w:color="auto" w:fill="FFFFFF" w:themeFill="background1"/>
          </w:tcPr>
          <w:p w14:paraId="5F212877" w14:textId="377EA2AE"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61A489B"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096020F4"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47DCDE6C" w14:textId="77777777" w:rsidR="00787B4B" w:rsidRDefault="00787B4B" w:rsidP="004D58F2">
            <w:pPr>
              <w:pStyle w:val="ECCTabletext"/>
            </w:pPr>
          </w:p>
        </w:tc>
      </w:tr>
      <w:tr w:rsidR="00E91B50" w:rsidRPr="00C53FB5" w14:paraId="046DA715" w14:textId="77777777" w:rsidTr="00E91B50">
        <w:tc>
          <w:tcPr>
            <w:tcW w:w="2827" w:type="dxa"/>
            <w:shd w:val="clear" w:color="auto" w:fill="FFFFFF" w:themeFill="background1"/>
          </w:tcPr>
          <w:p w14:paraId="62285EBD" w14:textId="77777777" w:rsidR="00787B4B" w:rsidRPr="00787B4B" w:rsidRDefault="00787B4B" w:rsidP="004D58F2">
            <w:pPr>
              <w:pStyle w:val="ECCTabletext"/>
              <w:spacing w:after="40"/>
              <w:jc w:val="left"/>
            </w:pPr>
            <w:r>
              <w:t>241 to 244</w:t>
            </w:r>
            <w:r w:rsidRPr="00787B4B">
              <w:t> GHz</w:t>
            </w:r>
          </w:p>
        </w:tc>
        <w:tc>
          <w:tcPr>
            <w:tcW w:w="1139" w:type="dxa"/>
            <w:shd w:val="clear" w:color="auto" w:fill="FFFFFF" w:themeFill="background1"/>
          </w:tcPr>
          <w:p w14:paraId="41C750DA" w14:textId="2D5C8FEA"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6758D05"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6AFB9C8"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E76F3A5" w14:textId="77777777" w:rsidR="00787B4B" w:rsidRDefault="00787B4B" w:rsidP="004D58F2">
            <w:pPr>
              <w:pStyle w:val="ECCTabletext"/>
            </w:pPr>
          </w:p>
        </w:tc>
      </w:tr>
      <w:tr w:rsidR="00E91B50" w:rsidRPr="00C53FB5" w14:paraId="2B964B68" w14:textId="77777777" w:rsidTr="00E91B50">
        <w:tc>
          <w:tcPr>
            <w:tcW w:w="2827" w:type="dxa"/>
            <w:shd w:val="clear" w:color="auto" w:fill="FFFFFF" w:themeFill="background1"/>
          </w:tcPr>
          <w:p w14:paraId="7DAF958F" w14:textId="77777777" w:rsidR="00787B4B" w:rsidRPr="00787B4B" w:rsidRDefault="00787B4B" w:rsidP="004D58F2">
            <w:pPr>
              <w:pStyle w:val="ECCTabletext"/>
              <w:spacing w:after="40"/>
              <w:jc w:val="left"/>
            </w:pPr>
            <w:r>
              <w:t>244 to 246</w:t>
            </w:r>
            <w:r w:rsidRPr="00787B4B">
              <w:t> GHz</w:t>
            </w:r>
          </w:p>
        </w:tc>
        <w:tc>
          <w:tcPr>
            <w:tcW w:w="1139" w:type="dxa"/>
            <w:shd w:val="clear" w:color="auto" w:fill="FFFFFF" w:themeFill="background1"/>
          </w:tcPr>
          <w:p w14:paraId="54099359" w14:textId="3938060B"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E6695AD"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1088C73F"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6A50749B" w14:textId="77777777" w:rsidR="00787B4B" w:rsidRDefault="00787B4B" w:rsidP="004D58F2">
            <w:pPr>
              <w:pStyle w:val="ECCTabletext"/>
            </w:pPr>
          </w:p>
        </w:tc>
      </w:tr>
      <w:tr w:rsidR="00E91B50" w:rsidRPr="00C53FB5" w14:paraId="7EB04BB9" w14:textId="77777777" w:rsidTr="00E91B50">
        <w:tc>
          <w:tcPr>
            <w:tcW w:w="2827" w:type="dxa"/>
            <w:shd w:val="clear" w:color="auto" w:fill="FFFFFF" w:themeFill="background1"/>
          </w:tcPr>
          <w:p w14:paraId="3FD79A3D" w14:textId="77777777" w:rsidR="00787B4B" w:rsidRPr="00787B4B" w:rsidRDefault="00787B4B" w:rsidP="004D58F2">
            <w:pPr>
              <w:pStyle w:val="ECCTabletext"/>
              <w:spacing w:after="40"/>
              <w:jc w:val="left"/>
            </w:pPr>
            <w:r>
              <w:t>246 to 250</w:t>
            </w:r>
            <w:r w:rsidRPr="00787B4B">
              <w:t> GHz</w:t>
            </w:r>
          </w:p>
        </w:tc>
        <w:tc>
          <w:tcPr>
            <w:tcW w:w="1139" w:type="dxa"/>
            <w:shd w:val="clear" w:color="auto" w:fill="FFFFFF" w:themeFill="background1"/>
          </w:tcPr>
          <w:p w14:paraId="4D44FE9C" w14:textId="59B5BC6A"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AE88873"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75C7A58D"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7270325" w14:textId="77777777" w:rsidR="00787B4B" w:rsidRDefault="00787B4B" w:rsidP="004D58F2">
            <w:pPr>
              <w:pStyle w:val="ECCTabletext"/>
            </w:pPr>
          </w:p>
        </w:tc>
      </w:tr>
      <w:tr w:rsidR="00E91B50" w:rsidRPr="00C53FB5" w14:paraId="622CF5ED" w14:textId="77777777" w:rsidTr="00E91B50">
        <w:tc>
          <w:tcPr>
            <w:tcW w:w="2827" w:type="dxa"/>
            <w:shd w:val="clear" w:color="auto" w:fill="FFFFFF" w:themeFill="background1"/>
          </w:tcPr>
          <w:p w14:paraId="4C55FBA1" w14:textId="77777777" w:rsidR="00787B4B" w:rsidRPr="00787B4B" w:rsidRDefault="00787B4B" w:rsidP="004D58F2">
            <w:pPr>
              <w:pStyle w:val="ECCTabletext"/>
              <w:spacing w:after="40"/>
              <w:jc w:val="left"/>
            </w:pPr>
            <w:r>
              <w:t>250 t</w:t>
            </w:r>
            <w:r w:rsidRPr="00787B4B">
              <w:t>o 252 GHz (Note 3)</w:t>
            </w:r>
          </w:p>
        </w:tc>
        <w:tc>
          <w:tcPr>
            <w:tcW w:w="1139" w:type="dxa"/>
            <w:shd w:val="clear" w:color="auto" w:fill="FFFFFF" w:themeFill="background1"/>
          </w:tcPr>
          <w:p w14:paraId="19A34068" w14:textId="4A3670F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26EAA55B"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12D66A27"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46B328B1" w14:textId="77777777" w:rsidR="00787B4B" w:rsidRDefault="00787B4B" w:rsidP="004D58F2">
            <w:pPr>
              <w:pStyle w:val="ECCTabletext"/>
            </w:pPr>
          </w:p>
        </w:tc>
      </w:tr>
      <w:tr w:rsidR="00E91B50" w:rsidRPr="00C53FB5" w14:paraId="03BD6063" w14:textId="77777777" w:rsidTr="00E91B50">
        <w:tc>
          <w:tcPr>
            <w:tcW w:w="2827" w:type="dxa"/>
            <w:tcBorders>
              <w:bottom w:val="single" w:sz="4" w:space="0" w:color="D22A23"/>
            </w:tcBorders>
            <w:shd w:val="clear" w:color="auto" w:fill="FFFFFF" w:themeFill="background1"/>
          </w:tcPr>
          <w:p w14:paraId="71E366F4" w14:textId="77777777" w:rsidR="00787B4B" w:rsidRPr="00787B4B" w:rsidRDefault="00787B4B" w:rsidP="004D58F2">
            <w:pPr>
              <w:pStyle w:val="ECCTabletext"/>
              <w:spacing w:after="40"/>
              <w:jc w:val="left"/>
            </w:pPr>
            <w:r>
              <w:t>252 t</w:t>
            </w:r>
            <w:r w:rsidRPr="00787B4B">
              <w:t>o 260 GHz</w:t>
            </w:r>
          </w:p>
        </w:tc>
        <w:tc>
          <w:tcPr>
            <w:tcW w:w="1139" w:type="dxa"/>
            <w:tcBorders>
              <w:bottom w:val="single" w:sz="4" w:space="0" w:color="D22A23"/>
            </w:tcBorders>
            <w:shd w:val="clear" w:color="auto" w:fill="FFFFFF" w:themeFill="background1"/>
          </w:tcPr>
          <w:p w14:paraId="3BF18106" w14:textId="2597C1FE" w:rsidR="00787B4B" w:rsidRPr="00787B4B" w:rsidRDefault="00787B4B" w:rsidP="004D58F2">
            <w:pPr>
              <w:pStyle w:val="ECCTabletext"/>
              <w:spacing w:after="40"/>
              <w:jc w:val="left"/>
            </w:pPr>
            <w:r>
              <w:t>100</w:t>
            </w:r>
            <w:r w:rsidR="00F800A2">
              <w:t>%</w:t>
            </w:r>
          </w:p>
        </w:tc>
        <w:tc>
          <w:tcPr>
            <w:tcW w:w="1699" w:type="dxa"/>
            <w:tcBorders>
              <w:bottom w:val="single" w:sz="4" w:space="0" w:color="D22A23"/>
            </w:tcBorders>
            <w:shd w:val="clear" w:color="auto" w:fill="FFFFFF" w:themeFill="background1"/>
          </w:tcPr>
          <w:p w14:paraId="3AEF89B0" w14:textId="77777777" w:rsidR="00787B4B" w:rsidRPr="00787B4B" w:rsidRDefault="00787B4B" w:rsidP="004D58F2">
            <w:pPr>
              <w:pStyle w:val="ECCTabletext"/>
              <w:spacing w:after="40"/>
              <w:jc w:val="left"/>
            </w:pPr>
            <w:r>
              <w:t>-5</w:t>
            </w:r>
            <w:r w:rsidRPr="00787B4B">
              <w:t> dBm/MHz</w:t>
            </w:r>
          </w:p>
        </w:tc>
        <w:tc>
          <w:tcPr>
            <w:tcW w:w="1276" w:type="dxa"/>
            <w:tcBorders>
              <w:bottom w:val="single" w:sz="4" w:space="0" w:color="D22A23"/>
            </w:tcBorders>
            <w:shd w:val="clear" w:color="auto" w:fill="FFFFFF" w:themeFill="background1"/>
          </w:tcPr>
          <w:p w14:paraId="1281FBDB"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FA7CF03" w14:textId="77777777" w:rsidR="00787B4B" w:rsidRDefault="00787B4B" w:rsidP="004D58F2">
            <w:pPr>
              <w:pStyle w:val="ECCTabletext"/>
            </w:pPr>
          </w:p>
        </w:tc>
      </w:tr>
      <w:tr w:rsidR="00787B4B" w:rsidRPr="00C53FB5" w14:paraId="1C8F8CD9" w14:textId="77777777" w:rsidTr="00E91B50">
        <w:tc>
          <w:tcPr>
            <w:tcW w:w="9493" w:type="dxa"/>
            <w:gridSpan w:val="5"/>
            <w:shd w:val="clear" w:color="auto" w:fill="auto"/>
          </w:tcPr>
          <w:p w14:paraId="4A7B0D81" w14:textId="47A9F574" w:rsidR="00787B4B" w:rsidRPr="00787B4B" w:rsidRDefault="00787B4B" w:rsidP="004D58F2">
            <w:pPr>
              <w:pStyle w:val="ECCTablenote"/>
            </w:pPr>
            <w:r w:rsidRPr="00095340">
              <w:t xml:space="preserve">Note 1: </w:t>
            </w:r>
            <w:r w:rsidR="00614829" w:rsidRPr="001B0CBB">
              <w:t xml:space="preserve">The operating frequency range (OFR) is defined over the </w:t>
            </w:r>
            <w:r w:rsidR="005B1B2E">
              <w:t>10</w:t>
            </w:r>
            <w:r w:rsidR="005B1B2E" w:rsidRPr="001B0CBB">
              <w:t> </w:t>
            </w:r>
            <w:r w:rsidR="00614829" w:rsidRPr="001B0CBB">
              <w:t xml:space="preserve">dB reduction of the </w:t>
            </w:r>
            <w:r w:rsidR="005B1B2E">
              <w:t>intentional transmission</w:t>
            </w:r>
            <w:r w:rsidR="00614829" w:rsidRPr="00614829">
              <w:t xml:space="preserve"> (</w:t>
            </w:r>
            <w:r w:rsidR="005B1B2E">
              <w:t>1</w:t>
            </w:r>
            <w:r w:rsidR="00614829" w:rsidRPr="00614829">
              <w:t xml:space="preserve">0 dB bandwidth) radiated by the equipment into the air and shall remain in the candidate frequency bands. The unwanted emissions </w:t>
            </w:r>
            <w:r w:rsidR="005B1B2E">
              <w:t>limits</w:t>
            </w:r>
            <w:r w:rsidR="005B1B2E" w:rsidRPr="00614829">
              <w:t xml:space="preserve"> </w:t>
            </w:r>
            <w:r w:rsidR="00614829" w:rsidRPr="00614829">
              <w:t>appl</w:t>
            </w:r>
            <w:r w:rsidR="005B1B2E">
              <w:t>y</w:t>
            </w:r>
            <w:r w:rsidR="00614829" w:rsidRPr="00614829">
              <w:t xml:space="preserve"> to the frequencies outside OFR</w:t>
            </w:r>
            <w:r w:rsidR="005B1B2E">
              <w:t>.</w:t>
            </w:r>
            <w:r w:rsidR="00614829" w:rsidRPr="00614829">
              <w:t xml:space="preserve"> The measurement bandwidth for the unwanted emissions domain is 1 MHz.</w:t>
            </w:r>
          </w:p>
          <w:p w14:paraId="6DC1F796" w14:textId="34B91E1F" w:rsidR="00787B4B" w:rsidRPr="00787B4B" w:rsidRDefault="00787B4B" w:rsidP="004D58F2">
            <w:pPr>
              <w:pStyle w:val="ECCTablenote"/>
            </w:pPr>
            <w:r>
              <w:t>Note 2: The given maximum mean e.i.r.p. spec</w:t>
            </w:r>
            <w:r w:rsidRPr="00787B4B">
              <w:t>tral density is valid for averaging over the whole measurement cycle T</w:t>
            </w:r>
            <w:r w:rsidRPr="00787B4B">
              <w:rPr>
                <w:rStyle w:val="ECCHLsubscript"/>
              </w:rPr>
              <w:t xml:space="preserve">meas_cycle </w:t>
            </w:r>
            <w:r w:rsidRPr="00787B4B">
              <w:t>of the device including any T</w:t>
            </w:r>
            <w:r w:rsidRPr="00787B4B">
              <w:rPr>
                <w:rStyle w:val="ECCHLsubscript"/>
              </w:rPr>
              <w:t>off</w:t>
            </w:r>
            <w:r w:rsidRPr="00787B4B">
              <w:t xml:space="preserve"> times (see </w:t>
            </w:r>
            <w:r w:rsidRPr="00787B4B">
              <w:fldChar w:fldCharType="begin"/>
            </w:r>
            <w:r w:rsidRPr="00787B4B">
              <w:instrText xml:space="preserve"> REF _Ref8900572 \h  \* MERGEFORMAT </w:instrText>
            </w:r>
            <w:r w:rsidRPr="00787B4B">
              <w:fldChar w:fldCharType="separate"/>
            </w:r>
            <w:r w:rsidR="004F49F9" w:rsidRPr="006D6727">
              <w:t>Figure </w:t>
            </w:r>
            <w:r w:rsidR="004F49F9">
              <w:t>36</w:t>
            </w:r>
            <w:r w:rsidRPr="00787B4B">
              <w:fldChar w:fldCharType="end"/>
            </w:r>
            <w:r w:rsidRPr="00787B4B">
              <w:t>) in 1 MHz resolution bandwidth of the measuring receiver.</w:t>
            </w:r>
          </w:p>
          <w:p w14:paraId="45441AA5" w14:textId="0B80F798" w:rsidR="00787B4B" w:rsidRDefault="00787B4B" w:rsidP="004D58F2">
            <w:pPr>
              <w:pStyle w:val="ECCTablenote"/>
            </w:pPr>
            <w:r>
              <w:t>Note 3</w:t>
            </w:r>
            <w:r w:rsidRPr="00787B4B">
              <w:t xml:space="preserve">: Sub-band protected by </w:t>
            </w:r>
            <w:r w:rsidR="00F763DD">
              <w:t xml:space="preserve">the provision </w:t>
            </w:r>
            <w:r w:rsidRPr="00787B4B">
              <w:t xml:space="preserve">ITU RR </w:t>
            </w:r>
            <w:r w:rsidR="00F763DD">
              <w:t xml:space="preserve">No. </w:t>
            </w:r>
            <w:r w:rsidRPr="00787B4B">
              <w:t>5.340</w:t>
            </w:r>
            <w:r w:rsidR="00813C6B">
              <w:t xml:space="preserve"> </w:t>
            </w:r>
            <w:r w:rsidR="00C064BA">
              <w:fldChar w:fldCharType="begin"/>
            </w:r>
            <w:r w:rsidR="00C064BA">
              <w:instrText xml:space="preserve"> REF _Ref127346430 \r \h </w:instrText>
            </w:r>
            <w:r w:rsidR="00C064BA">
              <w:fldChar w:fldCharType="separate"/>
            </w:r>
            <w:r w:rsidR="00C064BA">
              <w:t>[71]</w:t>
            </w:r>
            <w:r w:rsidR="00C064BA">
              <w:fldChar w:fldCharType="end"/>
            </w:r>
            <w:r w:rsidRPr="00787B4B">
              <w:t>.</w:t>
            </w:r>
          </w:p>
          <w:p w14:paraId="60BF0E2C" w14:textId="5C90248D" w:rsidR="00A96536" w:rsidRPr="00787B4B" w:rsidRDefault="00A96536" w:rsidP="004D58F2">
            <w:pPr>
              <w:pStyle w:val="ECCTablenote"/>
            </w:pPr>
            <w:r>
              <w:t>Note 4: T</w:t>
            </w:r>
            <w:r w:rsidRPr="00A96536">
              <w:t>he max</w:t>
            </w:r>
            <w:r w:rsidR="005B1B2E">
              <w:t>imum</w:t>
            </w:r>
            <w:r w:rsidRPr="00A96536">
              <w:t xml:space="preserve"> peak e.i.r.p. shall be measured/evaluated in 1 GHz bandwidth.</w:t>
            </w:r>
          </w:p>
        </w:tc>
      </w:tr>
    </w:tbl>
    <w:bookmarkEnd w:id="54"/>
    <w:p w14:paraId="4A1B12A9" w14:textId="1DBF1F55" w:rsidR="00BB41AD" w:rsidRPr="00B354BE" w:rsidRDefault="00CD627E" w:rsidP="0098093D">
      <w:r>
        <w:t xml:space="preserve">A graphical illustration of </w:t>
      </w:r>
      <w:r>
        <w:fldChar w:fldCharType="begin"/>
      </w:r>
      <w:r>
        <w:instrText xml:space="preserve"> REF _Ref66370698 \h </w:instrText>
      </w:r>
      <w:r>
        <w:fldChar w:fldCharType="separate"/>
      </w:r>
      <w:r w:rsidR="0041125F" w:rsidRPr="00BB41AD">
        <w:t>Table </w:t>
      </w:r>
      <w:r w:rsidR="0041125F">
        <w:rPr>
          <w:noProof/>
        </w:rPr>
        <w:t>9</w:t>
      </w:r>
      <w:r>
        <w:fldChar w:fldCharType="end"/>
      </w:r>
      <w:r>
        <w:t xml:space="preserve"> can be found in</w:t>
      </w:r>
      <w:r w:rsidR="001237B7">
        <w:t xml:space="preserve"> </w:t>
      </w:r>
      <w:r w:rsidR="001237B7">
        <w:fldChar w:fldCharType="begin"/>
      </w:r>
      <w:r w:rsidR="001237B7">
        <w:instrText xml:space="preserve"> REF _Ref68944596 \r \h </w:instrText>
      </w:r>
      <w:r w:rsidR="001237B7">
        <w:fldChar w:fldCharType="separate"/>
      </w:r>
      <w:r w:rsidR="0041125F">
        <w:t>A</w:t>
      </w:r>
      <w:r w:rsidR="00187F06">
        <w:t>nnex</w:t>
      </w:r>
      <w:r w:rsidR="0041125F">
        <w:t xml:space="preserve"> 10</w:t>
      </w:r>
      <w:r w:rsidR="001237B7">
        <w:fldChar w:fldCharType="end"/>
      </w:r>
      <w:r>
        <w:t>.</w:t>
      </w:r>
    </w:p>
    <w:p w14:paraId="0BA7AF38" w14:textId="77777777" w:rsidR="00F77680" w:rsidRPr="006D6727" w:rsidRDefault="00F77680" w:rsidP="00264464">
      <w:pPr>
        <w:rPr>
          <w:rStyle w:val="ECCParagraph"/>
          <w:noProof/>
        </w:rPr>
      </w:pPr>
      <w:r w:rsidRPr="006D6727">
        <w:rPr>
          <w:rStyle w:val="ECCParagraph"/>
          <w:noProof/>
        </w:rPr>
        <w:br w:type="page"/>
      </w:r>
    </w:p>
    <w:p w14:paraId="3AF9B84F" w14:textId="77777777" w:rsidR="00F77680" w:rsidRPr="006D6727" w:rsidRDefault="00F77680" w:rsidP="00E2303A">
      <w:pPr>
        <w:pStyle w:val="coverpageTableofContent"/>
        <w:rPr>
          <w:lang w:val="en-GB"/>
        </w:rPr>
      </w:pPr>
    </w:p>
    <w:p w14:paraId="192074AF" w14:textId="77777777" w:rsidR="008A54FC" w:rsidRPr="006D6727" w:rsidRDefault="005C5A96" w:rsidP="00E2303A">
      <w:pPr>
        <w:pStyle w:val="coverpageTableofContent"/>
        <w:rPr>
          <w:lang w:val="en-GB"/>
        </w:rPr>
      </w:pPr>
      <w:r w:rsidRPr="006D6727">
        <mc:AlternateContent>
          <mc:Choice Requires="wps">
            <w:drawing>
              <wp:anchor distT="0" distB="0" distL="114300" distR="114300" simplePos="0" relativeHeight="251644928" behindDoc="1" locked="1" layoutInCell="1" allowOverlap="1" wp14:anchorId="00E7C93B" wp14:editId="571F84BE">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4F604" w14:textId="77777777" w:rsidR="00E70E36" w:rsidRPr="005C5A96" w:rsidRDefault="00E70E36" w:rsidP="005C5A96">
                            <w:pPr>
                              <w:pStyle w:val="coverpageTableofContent"/>
                            </w:pPr>
                          </w:p>
                          <w:p w14:paraId="488EEB11" w14:textId="77777777" w:rsidR="00E70E36" w:rsidRDefault="00E70E36" w:rsidP="00E2303A">
                            <w:pPr>
                              <w:pStyle w:val="coverpageTableofContent"/>
                            </w:pPr>
                          </w:p>
                          <w:p w14:paraId="2DDCCF6E" w14:textId="77777777" w:rsidR="00E70E36" w:rsidRPr="003226D8" w:rsidRDefault="00E70E36"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7C93B" id="Rectangle 21" o:spid="_x0000_s1034" style="position:absolute;left:0;text-align:left;margin-left:0;margin-top:70.9pt;width:597.25pt;height:56.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8F4F604" w14:textId="77777777" w:rsidR="00E70E36" w:rsidRPr="005C5A96" w:rsidRDefault="00E70E36" w:rsidP="005C5A96">
                      <w:pPr>
                        <w:pStyle w:val="coverpageTableofContent"/>
                      </w:pPr>
                    </w:p>
                    <w:p w14:paraId="488EEB11" w14:textId="77777777" w:rsidR="00E70E36" w:rsidRDefault="00E70E36" w:rsidP="00E2303A">
                      <w:pPr>
                        <w:pStyle w:val="coverpageTableofContent"/>
                      </w:pPr>
                    </w:p>
                    <w:p w14:paraId="2DDCCF6E" w14:textId="77777777" w:rsidR="00E70E36" w:rsidRPr="003226D8" w:rsidRDefault="00E70E36" w:rsidP="004930E1">
                      <w:pPr>
                        <w:rPr>
                          <w:rStyle w:val="ECCParagraph"/>
                        </w:rPr>
                      </w:pPr>
                    </w:p>
                  </w:txbxContent>
                </v:textbox>
                <w10:wrap anchorx="page" anchory="page"/>
                <w10:anchorlock/>
              </v:rect>
            </w:pict>
          </mc:Fallback>
        </mc:AlternateContent>
      </w:r>
      <w:r w:rsidR="00E059C5" w:rsidRPr="006D6727">
        <w:rPr>
          <w:lang w:val="en-GB"/>
        </w:rPr>
        <w:t>T</w:t>
      </w:r>
      <w:r w:rsidR="00763BA3" w:rsidRPr="006D6727">
        <w:rPr>
          <w:lang w:val="en-GB"/>
        </w:rPr>
        <w:t>ABLE OF CONTENTS</w:t>
      </w:r>
    </w:p>
    <w:p w14:paraId="0D292A14" w14:textId="77777777" w:rsidR="00067793" w:rsidRPr="006D6727" w:rsidRDefault="00067793" w:rsidP="00AC2686">
      <w:pPr>
        <w:pStyle w:val="coverpageTableofContent"/>
        <w:rPr>
          <w:lang w:val="en-GB"/>
        </w:rPr>
      </w:pPr>
    </w:p>
    <w:sdt>
      <w:sdtPr>
        <w:rPr>
          <w:rStyle w:val="ECCParagraph"/>
          <w:b w:val="0"/>
          <w:noProof/>
          <w:szCs w:val="22"/>
        </w:rPr>
        <w:id w:val="-1998710737"/>
        <w:docPartObj>
          <w:docPartGallery w:val="Table of Contents"/>
          <w:docPartUnique/>
        </w:docPartObj>
      </w:sdtPr>
      <w:sdtEndPr>
        <w:rPr>
          <w:rStyle w:val="ECCParagraph"/>
        </w:rPr>
      </w:sdtEndPr>
      <w:sdtContent>
        <w:p w14:paraId="38321BC9" w14:textId="68D46F90" w:rsidR="004F49F9" w:rsidRDefault="004E36C2">
          <w:pPr>
            <w:pStyle w:val="TOC1"/>
            <w:rPr>
              <w:rFonts w:asciiTheme="minorHAnsi" w:eastAsiaTheme="minorEastAsia" w:hAnsiTheme="minorHAnsi" w:cstheme="minorBidi"/>
              <w:b w:val="0"/>
              <w:noProof/>
              <w:sz w:val="22"/>
              <w:szCs w:val="22"/>
              <w:lang w:val="en-DK" w:eastAsia="en-DK"/>
            </w:rPr>
          </w:pPr>
          <w:r>
            <w:rPr>
              <w:rStyle w:val="ECCParagraph"/>
              <w:noProof/>
            </w:rPr>
            <w:fldChar w:fldCharType="begin"/>
          </w:r>
          <w:r>
            <w:rPr>
              <w:rStyle w:val="ECCParagraph"/>
              <w:noProof/>
            </w:rPr>
            <w:instrText xml:space="preserve"> TOC \o "1-3" \h \z \t "ECC Annex heading1,1" </w:instrText>
          </w:r>
          <w:r>
            <w:rPr>
              <w:rStyle w:val="ECCParagraph"/>
              <w:noProof/>
            </w:rPr>
            <w:fldChar w:fldCharType="separate"/>
          </w:r>
          <w:hyperlink w:anchor="_Toc127346211" w:history="1">
            <w:r w:rsidR="004F49F9" w:rsidRPr="000366E0">
              <w:rPr>
                <w:rStyle w:val="Hyperlink"/>
                <w:noProof/>
              </w:rPr>
              <w:t>0</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Executive summary</w:t>
            </w:r>
            <w:r w:rsidR="004F49F9">
              <w:rPr>
                <w:noProof/>
                <w:webHidden/>
              </w:rPr>
              <w:tab/>
            </w:r>
            <w:r w:rsidR="004F49F9">
              <w:rPr>
                <w:noProof/>
                <w:webHidden/>
              </w:rPr>
              <w:fldChar w:fldCharType="begin"/>
            </w:r>
            <w:r w:rsidR="004F49F9">
              <w:rPr>
                <w:noProof/>
                <w:webHidden/>
              </w:rPr>
              <w:instrText xml:space="preserve"> PAGEREF _Toc127346211 \h </w:instrText>
            </w:r>
            <w:r w:rsidR="004F49F9">
              <w:rPr>
                <w:noProof/>
                <w:webHidden/>
              </w:rPr>
            </w:r>
            <w:r w:rsidR="004F49F9">
              <w:rPr>
                <w:noProof/>
                <w:webHidden/>
              </w:rPr>
              <w:fldChar w:fldCharType="separate"/>
            </w:r>
            <w:r w:rsidR="003E544B">
              <w:rPr>
                <w:noProof/>
                <w:webHidden/>
              </w:rPr>
              <w:t>2</w:t>
            </w:r>
            <w:r w:rsidR="004F49F9">
              <w:rPr>
                <w:noProof/>
                <w:webHidden/>
              </w:rPr>
              <w:fldChar w:fldCharType="end"/>
            </w:r>
          </w:hyperlink>
        </w:p>
        <w:p w14:paraId="7560B4AD" w14:textId="0E07A8E5" w:rsidR="004F49F9" w:rsidRDefault="00E55534">
          <w:pPr>
            <w:pStyle w:val="TOC2"/>
            <w:rPr>
              <w:rFonts w:asciiTheme="minorHAnsi" w:eastAsiaTheme="minorEastAsia" w:hAnsiTheme="minorHAnsi" w:cstheme="minorBidi"/>
              <w:bCs w:val="0"/>
              <w:sz w:val="22"/>
              <w:szCs w:val="22"/>
              <w:lang w:val="en-DK" w:eastAsia="en-DK"/>
            </w:rPr>
          </w:pPr>
          <w:hyperlink w:anchor="_Toc127346212" w:history="1">
            <w:r w:rsidR="004F49F9" w:rsidRPr="000366E0">
              <w:rPr>
                <w:rStyle w:val="Hyperlink"/>
              </w:rPr>
              <w:t>0.1</w:t>
            </w:r>
            <w:r w:rsidR="004F49F9">
              <w:rPr>
                <w:rFonts w:asciiTheme="minorHAnsi" w:eastAsiaTheme="minorEastAsia" w:hAnsiTheme="minorHAnsi" w:cstheme="minorBidi"/>
                <w:bCs w:val="0"/>
                <w:sz w:val="22"/>
                <w:szCs w:val="22"/>
                <w:lang w:val="en-DK" w:eastAsia="en-DK"/>
              </w:rPr>
              <w:tab/>
            </w:r>
            <w:r w:rsidR="004F49F9" w:rsidRPr="000366E0">
              <w:rPr>
                <w:rStyle w:val="Hyperlink"/>
              </w:rPr>
              <w:t>Generic indoor surveillance radar</w:t>
            </w:r>
            <w:r w:rsidR="004F49F9">
              <w:rPr>
                <w:webHidden/>
              </w:rPr>
              <w:tab/>
            </w:r>
            <w:r w:rsidR="004F49F9">
              <w:rPr>
                <w:webHidden/>
              </w:rPr>
              <w:fldChar w:fldCharType="begin"/>
            </w:r>
            <w:r w:rsidR="004F49F9">
              <w:rPr>
                <w:webHidden/>
              </w:rPr>
              <w:instrText xml:space="preserve"> PAGEREF _Toc127346212 \h </w:instrText>
            </w:r>
            <w:r w:rsidR="004F49F9">
              <w:rPr>
                <w:webHidden/>
              </w:rPr>
            </w:r>
            <w:r w:rsidR="004F49F9">
              <w:rPr>
                <w:webHidden/>
              </w:rPr>
              <w:fldChar w:fldCharType="separate"/>
            </w:r>
            <w:r w:rsidR="003E544B">
              <w:rPr>
                <w:webHidden/>
              </w:rPr>
              <w:t>4</w:t>
            </w:r>
            <w:r w:rsidR="004F49F9">
              <w:rPr>
                <w:webHidden/>
              </w:rPr>
              <w:fldChar w:fldCharType="end"/>
            </w:r>
          </w:hyperlink>
        </w:p>
        <w:p w14:paraId="1A0035B4" w14:textId="7BEE8A7C" w:rsidR="004F49F9" w:rsidRDefault="00E55534">
          <w:pPr>
            <w:pStyle w:val="TOC2"/>
            <w:rPr>
              <w:rFonts w:asciiTheme="minorHAnsi" w:eastAsiaTheme="minorEastAsia" w:hAnsiTheme="minorHAnsi" w:cstheme="minorBidi"/>
              <w:bCs w:val="0"/>
              <w:sz w:val="22"/>
              <w:szCs w:val="22"/>
              <w:lang w:val="en-DK" w:eastAsia="en-DK"/>
            </w:rPr>
          </w:pPr>
          <w:hyperlink w:anchor="_Toc127346213" w:history="1">
            <w:r w:rsidR="004F49F9" w:rsidRPr="000366E0">
              <w:rPr>
                <w:rStyle w:val="Hyperlink"/>
              </w:rPr>
              <w:t>0.2</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(RDI)</w:t>
            </w:r>
            <w:r w:rsidR="004F49F9">
              <w:rPr>
                <w:webHidden/>
              </w:rPr>
              <w:tab/>
            </w:r>
            <w:r w:rsidR="004F49F9">
              <w:rPr>
                <w:webHidden/>
              </w:rPr>
              <w:fldChar w:fldCharType="begin"/>
            </w:r>
            <w:r w:rsidR="004F49F9">
              <w:rPr>
                <w:webHidden/>
              </w:rPr>
              <w:instrText xml:space="preserve"> PAGEREF _Toc127346213 \h </w:instrText>
            </w:r>
            <w:r w:rsidR="004F49F9">
              <w:rPr>
                <w:webHidden/>
              </w:rPr>
            </w:r>
            <w:r w:rsidR="004F49F9">
              <w:rPr>
                <w:webHidden/>
              </w:rPr>
              <w:fldChar w:fldCharType="separate"/>
            </w:r>
            <w:r w:rsidR="003E544B">
              <w:rPr>
                <w:webHidden/>
              </w:rPr>
              <w:t>5</w:t>
            </w:r>
            <w:r w:rsidR="004F49F9">
              <w:rPr>
                <w:webHidden/>
              </w:rPr>
              <w:fldChar w:fldCharType="end"/>
            </w:r>
          </w:hyperlink>
        </w:p>
        <w:p w14:paraId="151900C0" w14:textId="03E89A73" w:rsidR="004F49F9" w:rsidRDefault="00E55534">
          <w:pPr>
            <w:pStyle w:val="TOC2"/>
            <w:rPr>
              <w:rFonts w:asciiTheme="minorHAnsi" w:eastAsiaTheme="minorEastAsia" w:hAnsiTheme="minorHAnsi" w:cstheme="minorBidi"/>
              <w:bCs w:val="0"/>
              <w:sz w:val="22"/>
              <w:szCs w:val="22"/>
              <w:lang w:val="en-DK" w:eastAsia="en-DK"/>
            </w:rPr>
          </w:pPr>
          <w:hyperlink w:anchor="_Toc127346214" w:history="1">
            <w:r w:rsidR="004F49F9" w:rsidRPr="000366E0">
              <w:rPr>
                <w:rStyle w:val="Hyperlink"/>
              </w:rPr>
              <w:t>0.3</w:t>
            </w:r>
            <w:r w:rsidR="004F49F9">
              <w:rPr>
                <w:rFonts w:asciiTheme="minorHAnsi" w:eastAsiaTheme="minorEastAsia" w:hAnsiTheme="minorHAnsi" w:cstheme="minorBidi"/>
                <w:bCs w:val="0"/>
                <w:sz w:val="22"/>
                <w:szCs w:val="22"/>
                <w:lang w:val="en-DK" w:eastAsia="en-DK"/>
              </w:rPr>
              <w:tab/>
            </w:r>
            <w:r w:rsidR="004F49F9" w:rsidRPr="000366E0">
              <w:rPr>
                <w:rStyle w:val="Hyperlink"/>
              </w:rPr>
              <w:t>Short-range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_Toc127346214 \h </w:instrText>
            </w:r>
            <w:r w:rsidR="004F49F9">
              <w:rPr>
                <w:webHidden/>
              </w:rPr>
            </w:r>
            <w:r w:rsidR="004F49F9">
              <w:rPr>
                <w:webHidden/>
              </w:rPr>
              <w:fldChar w:fldCharType="separate"/>
            </w:r>
            <w:r w:rsidR="003E544B">
              <w:rPr>
                <w:webHidden/>
              </w:rPr>
              <w:t>7</w:t>
            </w:r>
            <w:r w:rsidR="004F49F9">
              <w:rPr>
                <w:webHidden/>
              </w:rPr>
              <w:fldChar w:fldCharType="end"/>
            </w:r>
          </w:hyperlink>
        </w:p>
        <w:p w14:paraId="7B3E8EBA" w14:textId="1764708E" w:rsidR="004F49F9" w:rsidRDefault="00E55534">
          <w:pPr>
            <w:pStyle w:val="TOC2"/>
            <w:rPr>
              <w:rFonts w:asciiTheme="minorHAnsi" w:eastAsiaTheme="minorEastAsia" w:hAnsiTheme="minorHAnsi" w:cstheme="minorBidi"/>
              <w:bCs w:val="0"/>
              <w:sz w:val="22"/>
              <w:szCs w:val="22"/>
              <w:lang w:val="en-DK" w:eastAsia="en-DK"/>
            </w:rPr>
          </w:pPr>
          <w:hyperlink w:anchor="_Toc127346215" w:history="1">
            <w:r w:rsidR="004F49F9" w:rsidRPr="000366E0">
              <w:rPr>
                <w:rStyle w:val="Hyperlink"/>
              </w:rPr>
              <w:t>0.4</w:t>
            </w:r>
            <w:r w:rsidR="004F49F9">
              <w:rPr>
                <w:rFonts w:asciiTheme="minorHAnsi" w:eastAsiaTheme="minorEastAsia" w:hAnsiTheme="minorHAnsi" w:cstheme="minorBidi"/>
                <w:bCs w:val="0"/>
                <w:sz w:val="22"/>
                <w:szCs w:val="22"/>
                <w:lang w:val="en-DK" w:eastAsia="en-DK"/>
              </w:rPr>
              <w:tab/>
            </w:r>
            <w:r w:rsidR="004F49F9" w:rsidRPr="000366E0">
              <w:rPr>
                <w:rStyle w:val="Hyperlink"/>
              </w:rPr>
              <w:t>Ground based synthetic aperture radar (GBSAR)</w:t>
            </w:r>
            <w:r w:rsidR="004F49F9">
              <w:rPr>
                <w:webHidden/>
              </w:rPr>
              <w:tab/>
            </w:r>
            <w:r w:rsidR="004F49F9">
              <w:rPr>
                <w:webHidden/>
              </w:rPr>
              <w:fldChar w:fldCharType="begin"/>
            </w:r>
            <w:r w:rsidR="004F49F9">
              <w:rPr>
                <w:webHidden/>
              </w:rPr>
              <w:instrText xml:space="preserve"> PAGEREF _Toc127346215 \h </w:instrText>
            </w:r>
            <w:r w:rsidR="004F49F9">
              <w:rPr>
                <w:webHidden/>
              </w:rPr>
            </w:r>
            <w:r w:rsidR="004F49F9">
              <w:rPr>
                <w:webHidden/>
              </w:rPr>
              <w:fldChar w:fldCharType="separate"/>
            </w:r>
            <w:r w:rsidR="003E544B">
              <w:rPr>
                <w:webHidden/>
              </w:rPr>
              <w:t>7</w:t>
            </w:r>
            <w:r w:rsidR="004F49F9">
              <w:rPr>
                <w:webHidden/>
              </w:rPr>
              <w:fldChar w:fldCharType="end"/>
            </w:r>
          </w:hyperlink>
        </w:p>
        <w:p w14:paraId="29F672A1" w14:textId="1946132E" w:rsidR="004F49F9" w:rsidRDefault="00E55534">
          <w:pPr>
            <w:pStyle w:val="TOC2"/>
            <w:rPr>
              <w:rFonts w:asciiTheme="minorHAnsi" w:eastAsiaTheme="minorEastAsia" w:hAnsiTheme="minorHAnsi" w:cstheme="minorBidi"/>
              <w:bCs w:val="0"/>
              <w:sz w:val="22"/>
              <w:szCs w:val="22"/>
              <w:lang w:val="en-DK" w:eastAsia="en-DK"/>
            </w:rPr>
          </w:pPr>
          <w:hyperlink w:anchor="_Toc127346216" w:history="1">
            <w:r w:rsidR="004F49F9" w:rsidRPr="000366E0">
              <w:rPr>
                <w:rStyle w:val="Hyperlink"/>
              </w:rPr>
              <w:t>0.5</w:t>
            </w:r>
            <w:r w:rsidR="004F49F9">
              <w:rPr>
                <w:rFonts w:asciiTheme="minorHAnsi" w:eastAsiaTheme="minorEastAsia" w:hAnsiTheme="minorHAnsi" w:cstheme="minorBidi"/>
                <w:bCs w:val="0"/>
                <w:sz w:val="22"/>
                <w:szCs w:val="22"/>
                <w:lang w:val="en-DK" w:eastAsia="en-DK"/>
              </w:rPr>
              <w:tab/>
            </w:r>
            <w:r w:rsidR="004F49F9" w:rsidRPr="000366E0">
              <w:rPr>
                <w:rStyle w:val="Hyperlink"/>
              </w:rPr>
              <w:t>Level probing radar (LPR)</w:t>
            </w:r>
            <w:r w:rsidR="004F49F9">
              <w:rPr>
                <w:webHidden/>
              </w:rPr>
              <w:tab/>
            </w:r>
            <w:r w:rsidR="004F49F9">
              <w:rPr>
                <w:webHidden/>
              </w:rPr>
              <w:fldChar w:fldCharType="begin"/>
            </w:r>
            <w:r w:rsidR="004F49F9">
              <w:rPr>
                <w:webHidden/>
              </w:rPr>
              <w:instrText xml:space="preserve"> PAGEREF _Toc127346216 \h </w:instrText>
            </w:r>
            <w:r w:rsidR="004F49F9">
              <w:rPr>
                <w:webHidden/>
              </w:rPr>
            </w:r>
            <w:r w:rsidR="004F49F9">
              <w:rPr>
                <w:webHidden/>
              </w:rPr>
              <w:fldChar w:fldCharType="separate"/>
            </w:r>
            <w:r w:rsidR="003E544B">
              <w:rPr>
                <w:webHidden/>
              </w:rPr>
              <w:t>7</w:t>
            </w:r>
            <w:r w:rsidR="004F49F9">
              <w:rPr>
                <w:webHidden/>
              </w:rPr>
              <w:fldChar w:fldCharType="end"/>
            </w:r>
          </w:hyperlink>
        </w:p>
        <w:p w14:paraId="6E98441B" w14:textId="1E9CB146" w:rsidR="004F49F9" w:rsidRDefault="00E55534">
          <w:pPr>
            <w:pStyle w:val="TOC2"/>
            <w:rPr>
              <w:rFonts w:asciiTheme="minorHAnsi" w:eastAsiaTheme="minorEastAsia" w:hAnsiTheme="minorHAnsi" w:cstheme="minorBidi"/>
              <w:bCs w:val="0"/>
              <w:sz w:val="22"/>
              <w:szCs w:val="22"/>
              <w:lang w:val="en-DK" w:eastAsia="en-DK"/>
            </w:rPr>
          </w:pPr>
          <w:hyperlink w:anchor="_Toc127346217" w:history="1">
            <w:r w:rsidR="004F49F9" w:rsidRPr="000366E0">
              <w:rPr>
                <w:rStyle w:val="Hyperlink"/>
              </w:rPr>
              <w:t>0.6</w:t>
            </w:r>
            <w:r w:rsidR="004F49F9">
              <w:rPr>
                <w:rFonts w:asciiTheme="minorHAnsi" w:eastAsiaTheme="minorEastAsia" w:hAnsiTheme="minorHAnsi" w:cstheme="minorBidi"/>
                <w:bCs w:val="0"/>
                <w:sz w:val="22"/>
                <w:szCs w:val="22"/>
                <w:lang w:val="en-DK" w:eastAsia="en-DK"/>
              </w:rPr>
              <w:tab/>
            </w:r>
            <w:r w:rsidR="004F49F9" w:rsidRPr="000366E0">
              <w:rPr>
                <w:rStyle w:val="Hyperlink"/>
              </w:rPr>
              <w:t>Contour determination and acquisition (CDR)</w:t>
            </w:r>
            <w:r w:rsidR="004F49F9">
              <w:rPr>
                <w:webHidden/>
              </w:rPr>
              <w:tab/>
            </w:r>
            <w:r w:rsidR="004F49F9">
              <w:rPr>
                <w:webHidden/>
              </w:rPr>
              <w:fldChar w:fldCharType="begin"/>
            </w:r>
            <w:r w:rsidR="004F49F9">
              <w:rPr>
                <w:webHidden/>
              </w:rPr>
              <w:instrText xml:space="preserve"> PAGEREF _Toc127346217 \h </w:instrText>
            </w:r>
            <w:r w:rsidR="004F49F9">
              <w:rPr>
                <w:webHidden/>
              </w:rPr>
            </w:r>
            <w:r w:rsidR="004F49F9">
              <w:rPr>
                <w:webHidden/>
              </w:rPr>
              <w:fldChar w:fldCharType="separate"/>
            </w:r>
            <w:r w:rsidR="003E544B">
              <w:rPr>
                <w:webHidden/>
              </w:rPr>
              <w:t>8</w:t>
            </w:r>
            <w:r w:rsidR="004F49F9">
              <w:rPr>
                <w:webHidden/>
              </w:rPr>
              <w:fldChar w:fldCharType="end"/>
            </w:r>
          </w:hyperlink>
        </w:p>
        <w:p w14:paraId="6279B3CC" w14:textId="2C5E68B6" w:rsidR="004F49F9" w:rsidRDefault="00E55534">
          <w:pPr>
            <w:pStyle w:val="TOC3"/>
            <w:rPr>
              <w:rFonts w:asciiTheme="minorHAnsi" w:eastAsiaTheme="minorEastAsia" w:hAnsiTheme="minorHAnsi" w:cstheme="minorBidi"/>
              <w:sz w:val="22"/>
              <w:szCs w:val="22"/>
              <w:lang w:val="en-DK" w:eastAsia="en-DK"/>
            </w:rPr>
          </w:pPr>
          <w:hyperlink w:anchor="_Toc127346218" w:history="1">
            <w:r w:rsidR="004F49F9" w:rsidRPr="000366E0">
              <w:rPr>
                <w:rStyle w:val="Hyperlink"/>
              </w:rPr>
              <w:t>0.6.1</w:t>
            </w:r>
            <w:r w:rsidR="004F49F9">
              <w:rPr>
                <w:rFonts w:asciiTheme="minorHAnsi" w:eastAsiaTheme="minorEastAsia" w:hAnsiTheme="minorHAnsi" w:cstheme="minorBidi"/>
                <w:sz w:val="22"/>
                <w:szCs w:val="22"/>
                <w:lang w:val="en-DK" w:eastAsia="en-DK"/>
              </w:rPr>
              <w:tab/>
            </w:r>
            <w:r w:rsidR="004F49F9" w:rsidRPr="000366E0">
              <w:rPr>
                <w:rStyle w:val="Hyperlink"/>
              </w:rPr>
              <w:t>Digital beamforming contour determination and acquisition sensors (DBF-CDR)</w:t>
            </w:r>
            <w:r w:rsidR="004F49F9">
              <w:rPr>
                <w:webHidden/>
              </w:rPr>
              <w:tab/>
            </w:r>
            <w:r w:rsidR="004F49F9">
              <w:rPr>
                <w:webHidden/>
              </w:rPr>
              <w:fldChar w:fldCharType="begin"/>
            </w:r>
            <w:r w:rsidR="004F49F9">
              <w:rPr>
                <w:webHidden/>
              </w:rPr>
              <w:instrText xml:space="preserve"> PAGEREF _Toc127346218 \h </w:instrText>
            </w:r>
            <w:r w:rsidR="004F49F9">
              <w:rPr>
                <w:webHidden/>
              </w:rPr>
            </w:r>
            <w:r w:rsidR="004F49F9">
              <w:rPr>
                <w:webHidden/>
              </w:rPr>
              <w:fldChar w:fldCharType="separate"/>
            </w:r>
            <w:r w:rsidR="003E544B">
              <w:rPr>
                <w:webHidden/>
              </w:rPr>
              <w:t>9</w:t>
            </w:r>
            <w:r w:rsidR="004F49F9">
              <w:rPr>
                <w:webHidden/>
              </w:rPr>
              <w:fldChar w:fldCharType="end"/>
            </w:r>
          </w:hyperlink>
        </w:p>
        <w:p w14:paraId="71F379D7" w14:textId="0B7D93C1" w:rsidR="004F49F9" w:rsidRDefault="00E55534">
          <w:pPr>
            <w:pStyle w:val="TOC3"/>
            <w:rPr>
              <w:rFonts w:asciiTheme="minorHAnsi" w:eastAsiaTheme="minorEastAsia" w:hAnsiTheme="minorHAnsi" w:cstheme="minorBidi"/>
              <w:sz w:val="22"/>
              <w:szCs w:val="22"/>
              <w:lang w:val="en-DK" w:eastAsia="en-DK"/>
            </w:rPr>
          </w:pPr>
          <w:hyperlink w:anchor="_Toc127346219" w:history="1">
            <w:r w:rsidR="004F49F9" w:rsidRPr="000366E0">
              <w:rPr>
                <w:rStyle w:val="Hyperlink"/>
              </w:rPr>
              <w:t>0.6.2</w:t>
            </w:r>
            <w:r w:rsidR="004F49F9">
              <w:rPr>
                <w:rFonts w:asciiTheme="minorHAnsi" w:eastAsiaTheme="minorEastAsia" w:hAnsiTheme="minorHAnsi" w:cstheme="minorBidi"/>
                <w:sz w:val="22"/>
                <w:szCs w:val="22"/>
                <w:lang w:val="en-DK" w:eastAsia="en-DK"/>
              </w:rPr>
              <w:tab/>
            </w:r>
            <w:r w:rsidR="004F49F9" w:rsidRPr="000366E0">
              <w:rPr>
                <w:rStyle w:val="Hyperlink"/>
              </w:rPr>
              <w:t>Mechanical- and phased-array contour determination and acquisition sensors (M- and PA-CDR)</w:t>
            </w:r>
            <w:r w:rsidR="004F49F9">
              <w:rPr>
                <w:webHidden/>
              </w:rPr>
              <w:tab/>
            </w:r>
            <w:r w:rsidR="004F49F9">
              <w:rPr>
                <w:webHidden/>
              </w:rPr>
              <w:fldChar w:fldCharType="begin"/>
            </w:r>
            <w:r w:rsidR="004F49F9">
              <w:rPr>
                <w:webHidden/>
              </w:rPr>
              <w:instrText xml:space="preserve"> PAGEREF _Toc127346219 \h </w:instrText>
            </w:r>
            <w:r w:rsidR="004F49F9">
              <w:rPr>
                <w:webHidden/>
              </w:rPr>
            </w:r>
            <w:r w:rsidR="004F49F9">
              <w:rPr>
                <w:webHidden/>
              </w:rPr>
              <w:fldChar w:fldCharType="separate"/>
            </w:r>
            <w:r w:rsidR="003E544B">
              <w:rPr>
                <w:webHidden/>
              </w:rPr>
              <w:t>9</w:t>
            </w:r>
            <w:r w:rsidR="004F49F9">
              <w:rPr>
                <w:webHidden/>
              </w:rPr>
              <w:fldChar w:fldCharType="end"/>
            </w:r>
          </w:hyperlink>
        </w:p>
        <w:p w14:paraId="24961A0E" w14:textId="0CD9791A" w:rsidR="004F49F9" w:rsidRDefault="00E55534">
          <w:pPr>
            <w:pStyle w:val="TOC2"/>
            <w:rPr>
              <w:rFonts w:asciiTheme="minorHAnsi" w:eastAsiaTheme="minorEastAsia" w:hAnsiTheme="minorHAnsi" w:cstheme="minorBidi"/>
              <w:bCs w:val="0"/>
              <w:sz w:val="22"/>
              <w:szCs w:val="22"/>
              <w:lang w:val="en-DK" w:eastAsia="en-DK"/>
            </w:rPr>
          </w:pPr>
          <w:hyperlink w:anchor="_Toc127346220" w:history="1">
            <w:r w:rsidR="004F49F9" w:rsidRPr="000366E0">
              <w:rPr>
                <w:rStyle w:val="Hyperlink"/>
              </w:rPr>
              <w:t>0.7</w:t>
            </w:r>
            <w:r w:rsidR="004F49F9">
              <w:rPr>
                <w:rFonts w:asciiTheme="minorHAnsi" w:eastAsiaTheme="minorEastAsia" w:hAnsiTheme="minorHAnsi" w:cstheme="minorBidi"/>
                <w:bCs w:val="0"/>
                <w:sz w:val="22"/>
                <w:szCs w:val="22"/>
                <w:lang w:val="en-DK" w:eastAsia="en-DK"/>
              </w:rPr>
              <w:tab/>
            </w:r>
            <w:r w:rsidR="004F49F9" w:rsidRPr="000366E0">
              <w:rPr>
                <w:rStyle w:val="Hyperlink"/>
              </w:rPr>
              <w:t>Tank level probing radar (TLPR)</w:t>
            </w:r>
            <w:r w:rsidR="004F49F9">
              <w:rPr>
                <w:webHidden/>
              </w:rPr>
              <w:tab/>
            </w:r>
            <w:r w:rsidR="004F49F9">
              <w:rPr>
                <w:webHidden/>
              </w:rPr>
              <w:fldChar w:fldCharType="begin"/>
            </w:r>
            <w:r w:rsidR="004F49F9">
              <w:rPr>
                <w:webHidden/>
              </w:rPr>
              <w:instrText xml:space="preserve"> PAGEREF _Toc127346220 \h </w:instrText>
            </w:r>
            <w:r w:rsidR="004F49F9">
              <w:rPr>
                <w:webHidden/>
              </w:rPr>
            </w:r>
            <w:r w:rsidR="004F49F9">
              <w:rPr>
                <w:webHidden/>
              </w:rPr>
              <w:fldChar w:fldCharType="separate"/>
            </w:r>
            <w:r w:rsidR="003E544B">
              <w:rPr>
                <w:webHidden/>
              </w:rPr>
              <w:t>10</w:t>
            </w:r>
            <w:r w:rsidR="004F49F9">
              <w:rPr>
                <w:webHidden/>
              </w:rPr>
              <w:fldChar w:fldCharType="end"/>
            </w:r>
          </w:hyperlink>
        </w:p>
        <w:p w14:paraId="2D7242C2" w14:textId="5526CE06" w:rsidR="004F49F9" w:rsidRDefault="00E55534">
          <w:pPr>
            <w:pStyle w:val="TOC2"/>
            <w:rPr>
              <w:rFonts w:asciiTheme="minorHAnsi" w:eastAsiaTheme="minorEastAsia" w:hAnsiTheme="minorHAnsi" w:cstheme="minorBidi"/>
              <w:bCs w:val="0"/>
              <w:sz w:val="22"/>
              <w:szCs w:val="22"/>
              <w:lang w:val="en-DK" w:eastAsia="en-DK"/>
            </w:rPr>
          </w:pPr>
          <w:hyperlink w:anchor="_Toc127346221" w:history="1">
            <w:r w:rsidR="004F49F9" w:rsidRPr="000366E0">
              <w:rPr>
                <w:rStyle w:val="Hyperlink"/>
              </w:rPr>
              <w:t>0.8</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in shielded environments (RDI-S)</w:t>
            </w:r>
            <w:r w:rsidR="004F49F9">
              <w:rPr>
                <w:webHidden/>
              </w:rPr>
              <w:tab/>
            </w:r>
            <w:r w:rsidR="004F49F9">
              <w:rPr>
                <w:webHidden/>
              </w:rPr>
              <w:fldChar w:fldCharType="begin"/>
            </w:r>
            <w:r w:rsidR="004F49F9">
              <w:rPr>
                <w:webHidden/>
              </w:rPr>
              <w:instrText xml:space="preserve"> PAGEREF _Toc127346221 \h </w:instrText>
            </w:r>
            <w:r w:rsidR="004F49F9">
              <w:rPr>
                <w:webHidden/>
              </w:rPr>
            </w:r>
            <w:r w:rsidR="004F49F9">
              <w:rPr>
                <w:webHidden/>
              </w:rPr>
              <w:fldChar w:fldCharType="separate"/>
            </w:r>
            <w:r w:rsidR="003E544B">
              <w:rPr>
                <w:webHidden/>
              </w:rPr>
              <w:t>11</w:t>
            </w:r>
            <w:r w:rsidR="004F49F9">
              <w:rPr>
                <w:webHidden/>
              </w:rPr>
              <w:fldChar w:fldCharType="end"/>
            </w:r>
          </w:hyperlink>
        </w:p>
        <w:p w14:paraId="1377E4BF" w14:textId="2D874A93" w:rsidR="004F49F9" w:rsidRDefault="00E55534">
          <w:pPr>
            <w:pStyle w:val="TOC1"/>
            <w:rPr>
              <w:rFonts w:asciiTheme="minorHAnsi" w:eastAsiaTheme="minorEastAsia" w:hAnsiTheme="minorHAnsi" w:cstheme="minorBidi"/>
              <w:b w:val="0"/>
              <w:noProof/>
              <w:sz w:val="22"/>
              <w:szCs w:val="22"/>
              <w:lang w:val="en-DK" w:eastAsia="en-DK"/>
            </w:rPr>
          </w:pPr>
          <w:hyperlink w:anchor="_Toc127346222" w:history="1">
            <w:r w:rsidR="004F49F9" w:rsidRPr="000366E0">
              <w:rPr>
                <w:rStyle w:val="Hyperlink"/>
                <w:noProof/>
              </w:rPr>
              <w:t>1</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Introduction</w:t>
            </w:r>
            <w:r w:rsidR="004F49F9">
              <w:rPr>
                <w:noProof/>
                <w:webHidden/>
              </w:rPr>
              <w:tab/>
            </w:r>
            <w:r w:rsidR="004F49F9">
              <w:rPr>
                <w:noProof/>
                <w:webHidden/>
              </w:rPr>
              <w:fldChar w:fldCharType="begin"/>
            </w:r>
            <w:r w:rsidR="004F49F9">
              <w:rPr>
                <w:noProof/>
                <w:webHidden/>
              </w:rPr>
              <w:instrText xml:space="preserve"> PAGEREF _Toc127346222 \h </w:instrText>
            </w:r>
            <w:r w:rsidR="004F49F9">
              <w:rPr>
                <w:noProof/>
                <w:webHidden/>
              </w:rPr>
            </w:r>
            <w:r w:rsidR="004F49F9">
              <w:rPr>
                <w:noProof/>
                <w:webHidden/>
              </w:rPr>
              <w:fldChar w:fldCharType="separate"/>
            </w:r>
            <w:r w:rsidR="003E544B">
              <w:rPr>
                <w:noProof/>
                <w:webHidden/>
              </w:rPr>
              <w:t>24</w:t>
            </w:r>
            <w:r w:rsidR="004F49F9">
              <w:rPr>
                <w:noProof/>
                <w:webHidden/>
              </w:rPr>
              <w:fldChar w:fldCharType="end"/>
            </w:r>
          </w:hyperlink>
        </w:p>
        <w:p w14:paraId="798F25CF" w14:textId="7A78F966" w:rsidR="004F49F9" w:rsidRDefault="00E55534">
          <w:pPr>
            <w:pStyle w:val="TOC1"/>
            <w:rPr>
              <w:rFonts w:asciiTheme="minorHAnsi" w:eastAsiaTheme="minorEastAsia" w:hAnsiTheme="minorHAnsi" w:cstheme="minorBidi"/>
              <w:b w:val="0"/>
              <w:noProof/>
              <w:sz w:val="22"/>
              <w:szCs w:val="22"/>
              <w:lang w:val="en-DK" w:eastAsia="en-DK"/>
            </w:rPr>
          </w:pPr>
          <w:hyperlink w:anchor="_Toc127346223" w:history="1">
            <w:r w:rsidR="004F49F9" w:rsidRPr="000366E0">
              <w:rPr>
                <w:rStyle w:val="Hyperlink"/>
                <w:noProof/>
              </w:rPr>
              <w:t>2</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UWB Radiodetermination Applications and Technology</w:t>
            </w:r>
            <w:r w:rsidR="004F49F9">
              <w:rPr>
                <w:noProof/>
                <w:webHidden/>
              </w:rPr>
              <w:tab/>
            </w:r>
            <w:r w:rsidR="004F49F9">
              <w:rPr>
                <w:noProof/>
                <w:webHidden/>
              </w:rPr>
              <w:fldChar w:fldCharType="begin"/>
            </w:r>
            <w:r w:rsidR="004F49F9">
              <w:rPr>
                <w:noProof/>
                <w:webHidden/>
              </w:rPr>
              <w:instrText xml:space="preserve"> PAGEREF _Toc127346223 \h </w:instrText>
            </w:r>
            <w:r w:rsidR="004F49F9">
              <w:rPr>
                <w:noProof/>
                <w:webHidden/>
              </w:rPr>
            </w:r>
            <w:r w:rsidR="004F49F9">
              <w:rPr>
                <w:noProof/>
                <w:webHidden/>
              </w:rPr>
              <w:fldChar w:fldCharType="separate"/>
            </w:r>
            <w:r w:rsidR="003E544B">
              <w:rPr>
                <w:noProof/>
                <w:webHidden/>
              </w:rPr>
              <w:t>26</w:t>
            </w:r>
            <w:r w:rsidR="004F49F9">
              <w:rPr>
                <w:noProof/>
                <w:webHidden/>
              </w:rPr>
              <w:fldChar w:fldCharType="end"/>
            </w:r>
          </w:hyperlink>
        </w:p>
        <w:p w14:paraId="03AA7FC6" w14:textId="67D87227" w:rsidR="004F49F9" w:rsidRDefault="00E55534">
          <w:pPr>
            <w:pStyle w:val="TOC2"/>
            <w:rPr>
              <w:rFonts w:asciiTheme="minorHAnsi" w:eastAsiaTheme="minorEastAsia" w:hAnsiTheme="minorHAnsi" w:cstheme="minorBidi"/>
              <w:bCs w:val="0"/>
              <w:sz w:val="22"/>
              <w:szCs w:val="22"/>
              <w:lang w:val="en-DK" w:eastAsia="en-DK"/>
            </w:rPr>
          </w:pPr>
          <w:hyperlink w:anchor="_Toc127346224" w:history="1">
            <w:r w:rsidR="004F49F9" w:rsidRPr="000366E0">
              <w:rPr>
                <w:rStyle w:val="Hyperlink"/>
              </w:rPr>
              <w:t>2.1</w:t>
            </w:r>
            <w:r w:rsidR="004F49F9">
              <w:rPr>
                <w:rFonts w:asciiTheme="minorHAnsi" w:eastAsiaTheme="minorEastAsia" w:hAnsiTheme="minorHAnsi" w:cstheme="minorBidi"/>
                <w:bCs w:val="0"/>
                <w:sz w:val="22"/>
                <w:szCs w:val="22"/>
                <w:lang w:val="en-DK" w:eastAsia="en-DK"/>
              </w:rPr>
              <w:tab/>
            </w:r>
            <w:r w:rsidR="004F49F9" w:rsidRPr="000366E0">
              <w:rPr>
                <w:rStyle w:val="Hyperlink"/>
              </w:rPr>
              <w:t>Categorisation of applications under consideration</w:t>
            </w:r>
            <w:r w:rsidR="004F49F9">
              <w:rPr>
                <w:webHidden/>
              </w:rPr>
              <w:tab/>
            </w:r>
            <w:r w:rsidR="004F49F9">
              <w:rPr>
                <w:webHidden/>
              </w:rPr>
              <w:fldChar w:fldCharType="begin"/>
            </w:r>
            <w:r w:rsidR="004F49F9">
              <w:rPr>
                <w:webHidden/>
              </w:rPr>
              <w:instrText xml:space="preserve"> PAGEREF _Toc127346224 \h </w:instrText>
            </w:r>
            <w:r w:rsidR="004F49F9">
              <w:rPr>
                <w:webHidden/>
              </w:rPr>
            </w:r>
            <w:r w:rsidR="004F49F9">
              <w:rPr>
                <w:webHidden/>
              </w:rPr>
              <w:fldChar w:fldCharType="separate"/>
            </w:r>
            <w:r w:rsidR="003E544B">
              <w:rPr>
                <w:webHidden/>
              </w:rPr>
              <w:t>26</w:t>
            </w:r>
            <w:r w:rsidR="004F49F9">
              <w:rPr>
                <w:webHidden/>
              </w:rPr>
              <w:fldChar w:fldCharType="end"/>
            </w:r>
          </w:hyperlink>
        </w:p>
        <w:p w14:paraId="3EF46EED" w14:textId="1BA41BCA" w:rsidR="004F49F9" w:rsidRDefault="00E55534">
          <w:pPr>
            <w:pStyle w:val="TOC2"/>
            <w:rPr>
              <w:rFonts w:asciiTheme="minorHAnsi" w:eastAsiaTheme="minorEastAsia" w:hAnsiTheme="minorHAnsi" w:cstheme="minorBidi"/>
              <w:bCs w:val="0"/>
              <w:sz w:val="22"/>
              <w:szCs w:val="22"/>
              <w:lang w:val="en-DK" w:eastAsia="en-DK"/>
            </w:rPr>
          </w:pPr>
          <w:hyperlink w:anchor="_Toc127346225" w:history="1">
            <w:r w:rsidR="004F49F9" w:rsidRPr="000366E0">
              <w:rPr>
                <w:rStyle w:val="Hyperlink"/>
              </w:rPr>
              <w:t>2.2</w:t>
            </w:r>
            <w:r w:rsidR="004F49F9">
              <w:rPr>
                <w:rFonts w:asciiTheme="minorHAnsi" w:eastAsiaTheme="minorEastAsia" w:hAnsiTheme="minorHAnsi" w:cstheme="minorBidi"/>
                <w:bCs w:val="0"/>
                <w:sz w:val="22"/>
                <w:szCs w:val="22"/>
                <w:lang w:val="en-DK" w:eastAsia="en-DK"/>
              </w:rPr>
              <w:tab/>
            </w:r>
            <w:r w:rsidR="004F49F9" w:rsidRPr="000366E0">
              <w:rPr>
                <w:rStyle w:val="Hyperlink"/>
              </w:rPr>
              <w:t>Description of applications</w:t>
            </w:r>
            <w:r w:rsidR="004F49F9">
              <w:rPr>
                <w:webHidden/>
              </w:rPr>
              <w:tab/>
            </w:r>
            <w:r w:rsidR="004F49F9">
              <w:rPr>
                <w:webHidden/>
              </w:rPr>
              <w:fldChar w:fldCharType="begin"/>
            </w:r>
            <w:r w:rsidR="004F49F9">
              <w:rPr>
                <w:webHidden/>
              </w:rPr>
              <w:instrText xml:space="preserve"> PAGEREF _Toc127346225 \h </w:instrText>
            </w:r>
            <w:r w:rsidR="004F49F9">
              <w:rPr>
                <w:webHidden/>
              </w:rPr>
            </w:r>
            <w:r w:rsidR="004F49F9">
              <w:rPr>
                <w:webHidden/>
              </w:rPr>
              <w:fldChar w:fldCharType="separate"/>
            </w:r>
            <w:r w:rsidR="003E544B">
              <w:rPr>
                <w:webHidden/>
              </w:rPr>
              <w:t>27</w:t>
            </w:r>
            <w:r w:rsidR="004F49F9">
              <w:rPr>
                <w:webHidden/>
              </w:rPr>
              <w:fldChar w:fldCharType="end"/>
            </w:r>
          </w:hyperlink>
        </w:p>
        <w:p w14:paraId="42504314" w14:textId="5A879E6C" w:rsidR="004F49F9" w:rsidRDefault="00E55534">
          <w:pPr>
            <w:pStyle w:val="TOC3"/>
            <w:rPr>
              <w:rFonts w:asciiTheme="minorHAnsi" w:eastAsiaTheme="minorEastAsia" w:hAnsiTheme="minorHAnsi" w:cstheme="minorBidi"/>
              <w:sz w:val="22"/>
              <w:szCs w:val="22"/>
              <w:lang w:val="en-DK" w:eastAsia="en-DK"/>
            </w:rPr>
          </w:pPr>
          <w:hyperlink w:anchor="_Toc127346226" w:history="1">
            <w:r w:rsidR="004F49F9" w:rsidRPr="000366E0">
              <w:rPr>
                <w:rStyle w:val="Hyperlink"/>
              </w:rPr>
              <w:t>2.2.1</w:t>
            </w:r>
            <w:r w:rsidR="004F49F9">
              <w:rPr>
                <w:rFonts w:asciiTheme="minorHAnsi" w:eastAsiaTheme="minorEastAsia" w:hAnsiTheme="minorHAnsi" w:cstheme="minorBidi"/>
                <w:sz w:val="22"/>
                <w:szCs w:val="22"/>
                <w:lang w:val="en-DK" w:eastAsia="en-DK"/>
              </w:rPr>
              <w:tab/>
            </w:r>
            <w:r w:rsidR="004F49F9" w:rsidRPr="000366E0">
              <w:rPr>
                <w:rStyle w:val="Hyperlink"/>
              </w:rPr>
              <w:t>Generic indoor surveillance Radar</w:t>
            </w:r>
            <w:r w:rsidR="004F49F9">
              <w:rPr>
                <w:webHidden/>
              </w:rPr>
              <w:tab/>
            </w:r>
            <w:r w:rsidR="004F49F9">
              <w:rPr>
                <w:webHidden/>
              </w:rPr>
              <w:fldChar w:fldCharType="begin"/>
            </w:r>
            <w:r w:rsidR="004F49F9">
              <w:rPr>
                <w:webHidden/>
              </w:rPr>
              <w:instrText xml:space="preserve"> PAGEREF _Toc127346226 \h </w:instrText>
            </w:r>
            <w:r w:rsidR="004F49F9">
              <w:rPr>
                <w:webHidden/>
              </w:rPr>
            </w:r>
            <w:r w:rsidR="004F49F9">
              <w:rPr>
                <w:webHidden/>
              </w:rPr>
              <w:fldChar w:fldCharType="separate"/>
            </w:r>
            <w:r w:rsidR="003E544B">
              <w:rPr>
                <w:webHidden/>
              </w:rPr>
              <w:t>27</w:t>
            </w:r>
            <w:r w:rsidR="004F49F9">
              <w:rPr>
                <w:webHidden/>
              </w:rPr>
              <w:fldChar w:fldCharType="end"/>
            </w:r>
          </w:hyperlink>
        </w:p>
        <w:p w14:paraId="1C2A2CF6" w14:textId="5AF34A7D" w:rsidR="004F49F9" w:rsidRDefault="00E55534">
          <w:pPr>
            <w:pStyle w:val="TOC3"/>
            <w:rPr>
              <w:rFonts w:asciiTheme="minorHAnsi" w:eastAsiaTheme="minorEastAsia" w:hAnsiTheme="minorHAnsi" w:cstheme="minorBidi"/>
              <w:sz w:val="22"/>
              <w:szCs w:val="22"/>
              <w:lang w:val="en-DK" w:eastAsia="en-DK"/>
            </w:rPr>
          </w:pPr>
          <w:hyperlink w:anchor="_Toc127346227" w:history="1">
            <w:r w:rsidR="004F49F9" w:rsidRPr="000366E0">
              <w:rPr>
                <w:rStyle w:val="Hyperlink"/>
              </w:rPr>
              <w:t>2.2.2</w:t>
            </w:r>
            <w:r w:rsidR="004F49F9">
              <w:rPr>
                <w:rFonts w:asciiTheme="minorHAnsi" w:eastAsiaTheme="minorEastAsia" w:hAnsiTheme="minorHAnsi" w:cstheme="minorBidi"/>
                <w:sz w:val="22"/>
                <w:szCs w:val="22"/>
                <w:lang w:val="en-DK" w:eastAsia="en-DK"/>
              </w:rPr>
              <w:tab/>
            </w:r>
            <w:r w:rsidR="004F49F9" w:rsidRPr="000366E0">
              <w:rPr>
                <w:rStyle w:val="Hyperlink"/>
              </w:rPr>
              <w:t>Radiodetermination systems for industry automation (RDI)</w:t>
            </w:r>
            <w:r w:rsidR="004F49F9">
              <w:rPr>
                <w:webHidden/>
              </w:rPr>
              <w:tab/>
            </w:r>
            <w:r w:rsidR="004F49F9">
              <w:rPr>
                <w:webHidden/>
              </w:rPr>
              <w:fldChar w:fldCharType="begin"/>
            </w:r>
            <w:r w:rsidR="004F49F9">
              <w:rPr>
                <w:webHidden/>
              </w:rPr>
              <w:instrText xml:space="preserve"> PAGEREF _Toc127346227 \h </w:instrText>
            </w:r>
            <w:r w:rsidR="004F49F9">
              <w:rPr>
                <w:webHidden/>
              </w:rPr>
            </w:r>
            <w:r w:rsidR="004F49F9">
              <w:rPr>
                <w:webHidden/>
              </w:rPr>
              <w:fldChar w:fldCharType="separate"/>
            </w:r>
            <w:r w:rsidR="003E544B">
              <w:rPr>
                <w:webHidden/>
              </w:rPr>
              <w:t>32</w:t>
            </w:r>
            <w:r w:rsidR="004F49F9">
              <w:rPr>
                <w:webHidden/>
              </w:rPr>
              <w:fldChar w:fldCharType="end"/>
            </w:r>
          </w:hyperlink>
        </w:p>
        <w:p w14:paraId="190B92EA" w14:textId="6479AB38" w:rsidR="004F49F9" w:rsidRDefault="00E55534">
          <w:pPr>
            <w:pStyle w:val="TOC3"/>
            <w:rPr>
              <w:rFonts w:asciiTheme="minorHAnsi" w:eastAsiaTheme="minorEastAsia" w:hAnsiTheme="minorHAnsi" w:cstheme="minorBidi"/>
              <w:sz w:val="22"/>
              <w:szCs w:val="22"/>
              <w:lang w:val="en-DK" w:eastAsia="en-DK"/>
            </w:rPr>
          </w:pPr>
          <w:hyperlink w:anchor="_Toc127346228" w:history="1">
            <w:r w:rsidR="004F49F9" w:rsidRPr="000366E0">
              <w:rPr>
                <w:rStyle w:val="Hyperlink"/>
              </w:rPr>
              <w:t>2.2.3</w:t>
            </w:r>
            <w:r w:rsidR="004F49F9">
              <w:rPr>
                <w:rFonts w:asciiTheme="minorHAnsi" w:eastAsiaTheme="minorEastAsia" w:hAnsiTheme="minorHAnsi" w:cstheme="minorBidi"/>
                <w:sz w:val="22"/>
                <w:szCs w:val="22"/>
                <w:lang w:val="en-DK" w:eastAsia="en-DK"/>
              </w:rPr>
              <w:tab/>
            </w:r>
            <w:r w:rsidR="004F49F9" w:rsidRPr="000366E0">
              <w:rPr>
                <w:rStyle w:val="Hyperlink"/>
              </w:rPr>
              <w:t>Short 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_Toc127346228 \h </w:instrText>
            </w:r>
            <w:r w:rsidR="004F49F9">
              <w:rPr>
                <w:webHidden/>
              </w:rPr>
            </w:r>
            <w:r w:rsidR="004F49F9">
              <w:rPr>
                <w:webHidden/>
              </w:rPr>
              <w:fldChar w:fldCharType="separate"/>
            </w:r>
            <w:r w:rsidR="003E544B">
              <w:rPr>
                <w:webHidden/>
              </w:rPr>
              <w:t>41</w:t>
            </w:r>
            <w:r w:rsidR="004F49F9">
              <w:rPr>
                <w:webHidden/>
              </w:rPr>
              <w:fldChar w:fldCharType="end"/>
            </w:r>
          </w:hyperlink>
        </w:p>
        <w:p w14:paraId="6C0FE1AA" w14:textId="677A6694" w:rsidR="004F49F9" w:rsidRDefault="00E55534">
          <w:pPr>
            <w:pStyle w:val="TOC3"/>
            <w:rPr>
              <w:rFonts w:asciiTheme="minorHAnsi" w:eastAsiaTheme="minorEastAsia" w:hAnsiTheme="minorHAnsi" w:cstheme="minorBidi"/>
              <w:sz w:val="22"/>
              <w:szCs w:val="22"/>
              <w:lang w:val="en-DK" w:eastAsia="en-DK"/>
            </w:rPr>
          </w:pPr>
          <w:hyperlink w:anchor="_Toc127346229" w:history="1">
            <w:r w:rsidR="004F49F9" w:rsidRPr="000366E0">
              <w:rPr>
                <w:rStyle w:val="Hyperlink"/>
              </w:rPr>
              <w:t>2.2.4</w:t>
            </w:r>
            <w:r w:rsidR="004F49F9">
              <w:rPr>
                <w:rFonts w:asciiTheme="minorHAnsi" w:eastAsiaTheme="minorEastAsia" w:hAnsiTheme="minorHAnsi" w:cstheme="minorBidi"/>
                <w:sz w:val="22"/>
                <w:szCs w:val="22"/>
                <w:lang w:val="en-DK" w:eastAsia="en-DK"/>
              </w:rPr>
              <w:tab/>
            </w:r>
            <w:r w:rsidR="004F49F9" w:rsidRPr="000366E0">
              <w:rPr>
                <w:rStyle w:val="Hyperlink"/>
              </w:rPr>
              <w:t>Ground Based Synthetic Aperture Radar (GBSAR)</w:t>
            </w:r>
            <w:r w:rsidR="004F49F9">
              <w:rPr>
                <w:webHidden/>
              </w:rPr>
              <w:tab/>
            </w:r>
            <w:r w:rsidR="004F49F9">
              <w:rPr>
                <w:webHidden/>
              </w:rPr>
              <w:fldChar w:fldCharType="begin"/>
            </w:r>
            <w:r w:rsidR="004F49F9">
              <w:rPr>
                <w:webHidden/>
              </w:rPr>
              <w:instrText xml:space="preserve"> PAGEREF _Toc127346229 \h </w:instrText>
            </w:r>
            <w:r w:rsidR="004F49F9">
              <w:rPr>
                <w:webHidden/>
              </w:rPr>
            </w:r>
            <w:r w:rsidR="004F49F9">
              <w:rPr>
                <w:webHidden/>
              </w:rPr>
              <w:fldChar w:fldCharType="separate"/>
            </w:r>
            <w:r w:rsidR="003E544B">
              <w:rPr>
                <w:webHidden/>
              </w:rPr>
              <w:t>47</w:t>
            </w:r>
            <w:r w:rsidR="004F49F9">
              <w:rPr>
                <w:webHidden/>
              </w:rPr>
              <w:fldChar w:fldCharType="end"/>
            </w:r>
          </w:hyperlink>
        </w:p>
        <w:p w14:paraId="38511B9D" w14:textId="60E24662" w:rsidR="004F49F9" w:rsidRDefault="00E55534">
          <w:pPr>
            <w:pStyle w:val="TOC3"/>
            <w:rPr>
              <w:rFonts w:asciiTheme="minorHAnsi" w:eastAsiaTheme="minorEastAsia" w:hAnsiTheme="minorHAnsi" w:cstheme="minorBidi"/>
              <w:sz w:val="22"/>
              <w:szCs w:val="22"/>
              <w:lang w:val="en-DK" w:eastAsia="en-DK"/>
            </w:rPr>
          </w:pPr>
          <w:hyperlink w:anchor="_Toc127346230" w:history="1">
            <w:r w:rsidR="004F49F9" w:rsidRPr="000366E0">
              <w:rPr>
                <w:rStyle w:val="Hyperlink"/>
              </w:rPr>
              <w:t>2.2.5</w:t>
            </w:r>
            <w:r w:rsidR="004F49F9">
              <w:rPr>
                <w:rFonts w:asciiTheme="minorHAnsi" w:eastAsiaTheme="minorEastAsia" w:hAnsiTheme="minorHAnsi" w:cstheme="minorBidi"/>
                <w:sz w:val="22"/>
                <w:szCs w:val="22"/>
                <w:lang w:val="en-DK" w:eastAsia="en-DK"/>
              </w:rPr>
              <w:tab/>
            </w:r>
            <w:r w:rsidR="004F49F9" w:rsidRPr="000366E0">
              <w:rPr>
                <w:rStyle w:val="Hyperlink"/>
              </w:rPr>
              <w:t>Level Probing Radar (LPR)</w:t>
            </w:r>
            <w:r w:rsidR="004F49F9">
              <w:rPr>
                <w:webHidden/>
              </w:rPr>
              <w:tab/>
            </w:r>
            <w:r w:rsidR="004F49F9">
              <w:rPr>
                <w:webHidden/>
              </w:rPr>
              <w:fldChar w:fldCharType="begin"/>
            </w:r>
            <w:r w:rsidR="004F49F9">
              <w:rPr>
                <w:webHidden/>
              </w:rPr>
              <w:instrText xml:space="preserve"> PAGEREF _Toc127346230 \h </w:instrText>
            </w:r>
            <w:r w:rsidR="004F49F9">
              <w:rPr>
                <w:webHidden/>
              </w:rPr>
            </w:r>
            <w:r w:rsidR="004F49F9">
              <w:rPr>
                <w:webHidden/>
              </w:rPr>
              <w:fldChar w:fldCharType="separate"/>
            </w:r>
            <w:r w:rsidR="003E544B">
              <w:rPr>
                <w:webHidden/>
              </w:rPr>
              <w:t>56</w:t>
            </w:r>
            <w:r w:rsidR="004F49F9">
              <w:rPr>
                <w:webHidden/>
              </w:rPr>
              <w:fldChar w:fldCharType="end"/>
            </w:r>
          </w:hyperlink>
        </w:p>
        <w:p w14:paraId="1A9D1C65" w14:textId="66B9B9F7" w:rsidR="004F49F9" w:rsidRDefault="00E55534">
          <w:pPr>
            <w:pStyle w:val="TOC3"/>
            <w:rPr>
              <w:rFonts w:asciiTheme="minorHAnsi" w:eastAsiaTheme="minorEastAsia" w:hAnsiTheme="minorHAnsi" w:cstheme="minorBidi"/>
              <w:sz w:val="22"/>
              <w:szCs w:val="22"/>
              <w:lang w:val="en-DK" w:eastAsia="en-DK"/>
            </w:rPr>
          </w:pPr>
          <w:hyperlink w:anchor="_Toc127346231" w:history="1">
            <w:r w:rsidR="004F49F9" w:rsidRPr="000366E0">
              <w:rPr>
                <w:rStyle w:val="Hyperlink"/>
              </w:rPr>
              <w:t>2.2.6</w:t>
            </w:r>
            <w:r w:rsidR="004F49F9">
              <w:rPr>
                <w:rFonts w:asciiTheme="minorHAnsi" w:eastAsiaTheme="minorEastAsia" w:hAnsiTheme="minorHAnsi" w:cstheme="minorBidi"/>
                <w:sz w:val="22"/>
                <w:szCs w:val="22"/>
                <w:lang w:val="en-DK" w:eastAsia="en-DK"/>
              </w:rPr>
              <w:tab/>
            </w:r>
            <w:r w:rsidR="004F49F9" w:rsidRPr="000366E0">
              <w:rPr>
                <w:rStyle w:val="Hyperlink"/>
              </w:rPr>
              <w:t>Contour determination and acquisition</w:t>
            </w:r>
            <w:r w:rsidR="004F49F9">
              <w:rPr>
                <w:webHidden/>
              </w:rPr>
              <w:tab/>
            </w:r>
            <w:r w:rsidR="004F49F9">
              <w:rPr>
                <w:webHidden/>
              </w:rPr>
              <w:fldChar w:fldCharType="begin"/>
            </w:r>
            <w:r w:rsidR="004F49F9">
              <w:rPr>
                <w:webHidden/>
              </w:rPr>
              <w:instrText xml:space="preserve"> PAGEREF _Toc127346231 \h </w:instrText>
            </w:r>
            <w:r w:rsidR="004F49F9">
              <w:rPr>
                <w:webHidden/>
              </w:rPr>
            </w:r>
            <w:r w:rsidR="004F49F9">
              <w:rPr>
                <w:webHidden/>
              </w:rPr>
              <w:fldChar w:fldCharType="separate"/>
            </w:r>
            <w:r w:rsidR="003E544B">
              <w:rPr>
                <w:webHidden/>
              </w:rPr>
              <w:t>65</w:t>
            </w:r>
            <w:r w:rsidR="004F49F9">
              <w:rPr>
                <w:webHidden/>
              </w:rPr>
              <w:fldChar w:fldCharType="end"/>
            </w:r>
          </w:hyperlink>
        </w:p>
        <w:p w14:paraId="185717AD" w14:textId="34ED1DBB" w:rsidR="004F49F9" w:rsidRDefault="00E55534">
          <w:pPr>
            <w:pStyle w:val="TOC3"/>
            <w:rPr>
              <w:rFonts w:asciiTheme="minorHAnsi" w:eastAsiaTheme="minorEastAsia" w:hAnsiTheme="minorHAnsi" w:cstheme="minorBidi"/>
              <w:sz w:val="22"/>
              <w:szCs w:val="22"/>
              <w:lang w:val="en-DK" w:eastAsia="en-DK"/>
            </w:rPr>
          </w:pPr>
          <w:hyperlink w:anchor="_Toc127346232" w:history="1">
            <w:r w:rsidR="004F49F9" w:rsidRPr="000366E0">
              <w:rPr>
                <w:rStyle w:val="Hyperlink"/>
              </w:rPr>
              <w:t>2.2.7</w:t>
            </w:r>
            <w:r w:rsidR="004F49F9">
              <w:rPr>
                <w:rFonts w:asciiTheme="minorHAnsi" w:eastAsiaTheme="minorEastAsia" w:hAnsiTheme="minorHAnsi" w:cstheme="minorBidi"/>
                <w:sz w:val="22"/>
                <w:szCs w:val="22"/>
                <w:lang w:val="en-DK" w:eastAsia="en-DK"/>
              </w:rPr>
              <w:tab/>
            </w:r>
            <w:r w:rsidR="004F49F9" w:rsidRPr="000366E0">
              <w:rPr>
                <w:rStyle w:val="Hyperlink"/>
              </w:rPr>
              <w:t>Tank Level Probing Radar (TLPR)</w:t>
            </w:r>
            <w:r w:rsidR="004F49F9">
              <w:rPr>
                <w:webHidden/>
              </w:rPr>
              <w:tab/>
            </w:r>
            <w:r w:rsidR="004F49F9">
              <w:rPr>
                <w:webHidden/>
              </w:rPr>
              <w:fldChar w:fldCharType="begin"/>
            </w:r>
            <w:r w:rsidR="004F49F9">
              <w:rPr>
                <w:webHidden/>
              </w:rPr>
              <w:instrText xml:space="preserve"> PAGEREF _Toc127346232 \h </w:instrText>
            </w:r>
            <w:r w:rsidR="004F49F9">
              <w:rPr>
                <w:webHidden/>
              </w:rPr>
            </w:r>
            <w:r w:rsidR="004F49F9">
              <w:rPr>
                <w:webHidden/>
              </w:rPr>
              <w:fldChar w:fldCharType="separate"/>
            </w:r>
            <w:r w:rsidR="003E544B">
              <w:rPr>
                <w:webHidden/>
              </w:rPr>
              <w:t>75</w:t>
            </w:r>
            <w:r w:rsidR="004F49F9">
              <w:rPr>
                <w:webHidden/>
              </w:rPr>
              <w:fldChar w:fldCharType="end"/>
            </w:r>
          </w:hyperlink>
        </w:p>
        <w:p w14:paraId="6033F82D" w14:textId="47D51B12" w:rsidR="004F49F9" w:rsidRDefault="00E55534">
          <w:pPr>
            <w:pStyle w:val="TOC3"/>
            <w:rPr>
              <w:rFonts w:asciiTheme="minorHAnsi" w:eastAsiaTheme="minorEastAsia" w:hAnsiTheme="minorHAnsi" w:cstheme="minorBidi"/>
              <w:sz w:val="22"/>
              <w:szCs w:val="22"/>
              <w:lang w:val="en-DK" w:eastAsia="en-DK"/>
            </w:rPr>
          </w:pPr>
          <w:hyperlink w:anchor="_Toc127346233" w:history="1">
            <w:r w:rsidR="004F49F9" w:rsidRPr="000366E0">
              <w:rPr>
                <w:rStyle w:val="Hyperlink"/>
              </w:rPr>
              <w:t>2.2.8</w:t>
            </w:r>
            <w:r w:rsidR="004F49F9">
              <w:rPr>
                <w:rFonts w:asciiTheme="minorHAnsi" w:eastAsiaTheme="minorEastAsia" w:hAnsiTheme="minorHAnsi" w:cstheme="minorBidi"/>
                <w:sz w:val="22"/>
                <w:szCs w:val="22"/>
                <w:lang w:val="en-DK" w:eastAsia="en-DK"/>
              </w:rPr>
              <w:tab/>
            </w:r>
            <w:r w:rsidR="004F49F9" w:rsidRPr="000366E0">
              <w:rPr>
                <w:rStyle w:val="Hyperlink"/>
              </w:rPr>
              <w:t>Radiodetermination systems for industry automation in shielded environments (RDI-S)</w:t>
            </w:r>
            <w:r w:rsidR="004F49F9">
              <w:rPr>
                <w:webHidden/>
              </w:rPr>
              <w:tab/>
            </w:r>
            <w:r w:rsidR="004F49F9">
              <w:rPr>
                <w:webHidden/>
              </w:rPr>
              <w:fldChar w:fldCharType="begin"/>
            </w:r>
            <w:r w:rsidR="004F49F9">
              <w:rPr>
                <w:webHidden/>
              </w:rPr>
              <w:instrText xml:space="preserve"> PAGEREF _Toc127346233 \h </w:instrText>
            </w:r>
            <w:r w:rsidR="004F49F9">
              <w:rPr>
                <w:webHidden/>
              </w:rPr>
            </w:r>
            <w:r w:rsidR="004F49F9">
              <w:rPr>
                <w:webHidden/>
              </w:rPr>
              <w:fldChar w:fldCharType="separate"/>
            </w:r>
            <w:r w:rsidR="003E544B">
              <w:rPr>
                <w:webHidden/>
              </w:rPr>
              <w:t>82</w:t>
            </w:r>
            <w:r w:rsidR="004F49F9">
              <w:rPr>
                <w:webHidden/>
              </w:rPr>
              <w:fldChar w:fldCharType="end"/>
            </w:r>
          </w:hyperlink>
        </w:p>
        <w:p w14:paraId="44C4B642" w14:textId="1DC1F5CF" w:rsidR="004F49F9" w:rsidRDefault="00E55534">
          <w:pPr>
            <w:pStyle w:val="TOC2"/>
            <w:rPr>
              <w:rFonts w:asciiTheme="minorHAnsi" w:eastAsiaTheme="minorEastAsia" w:hAnsiTheme="minorHAnsi" w:cstheme="minorBidi"/>
              <w:bCs w:val="0"/>
              <w:sz w:val="22"/>
              <w:szCs w:val="22"/>
              <w:lang w:val="en-DK" w:eastAsia="en-DK"/>
            </w:rPr>
          </w:pPr>
          <w:hyperlink w:anchor="_Toc127346234" w:history="1">
            <w:r w:rsidR="004F49F9" w:rsidRPr="000366E0">
              <w:rPr>
                <w:rStyle w:val="Hyperlink"/>
              </w:rPr>
              <w:t>2.3</w:t>
            </w:r>
            <w:r w:rsidR="004F49F9">
              <w:rPr>
                <w:rFonts w:asciiTheme="minorHAnsi" w:eastAsiaTheme="minorEastAsia" w:hAnsiTheme="minorHAnsi" w:cstheme="minorBidi"/>
                <w:bCs w:val="0"/>
                <w:sz w:val="22"/>
                <w:szCs w:val="22"/>
                <w:lang w:val="en-DK" w:eastAsia="en-DK"/>
              </w:rPr>
              <w:tab/>
            </w:r>
            <w:r w:rsidR="004F49F9" w:rsidRPr="000366E0">
              <w:rPr>
                <w:rStyle w:val="Hyperlink"/>
              </w:rPr>
              <w:t>Indoor-outdoor attenuation for applications operated in shielded environments</w:t>
            </w:r>
            <w:r w:rsidR="004F49F9">
              <w:rPr>
                <w:webHidden/>
              </w:rPr>
              <w:tab/>
            </w:r>
            <w:r w:rsidR="004F49F9">
              <w:rPr>
                <w:webHidden/>
              </w:rPr>
              <w:fldChar w:fldCharType="begin"/>
            </w:r>
            <w:r w:rsidR="004F49F9">
              <w:rPr>
                <w:webHidden/>
              </w:rPr>
              <w:instrText xml:space="preserve"> PAGEREF _Toc127346234 \h </w:instrText>
            </w:r>
            <w:r w:rsidR="004F49F9">
              <w:rPr>
                <w:webHidden/>
              </w:rPr>
            </w:r>
            <w:r w:rsidR="004F49F9">
              <w:rPr>
                <w:webHidden/>
              </w:rPr>
              <w:fldChar w:fldCharType="separate"/>
            </w:r>
            <w:r w:rsidR="003E544B">
              <w:rPr>
                <w:webHidden/>
              </w:rPr>
              <w:t>90</w:t>
            </w:r>
            <w:r w:rsidR="004F49F9">
              <w:rPr>
                <w:webHidden/>
              </w:rPr>
              <w:fldChar w:fldCharType="end"/>
            </w:r>
          </w:hyperlink>
        </w:p>
        <w:p w14:paraId="4990C8A2" w14:textId="5684F9D7" w:rsidR="004F49F9" w:rsidRDefault="00E55534">
          <w:pPr>
            <w:pStyle w:val="TOC3"/>
            <w:rPr>
              <w:rFonts w:asciiTheme="minorHAnsi" w:eastAsiaTheme="minorEastAsia" w:hAnsiTheme="minorHAnsi" w:cstheme="minorBidi"/>
              <w:sz w:val="22"/>
              <w:szCs w:val="22"/>
              <w:lang w:val="en-DK" w:eastAsia="en-DK"/>
            </w:rPr>
          </w:pPr>
          <w:hyperlink w:anchor="_Toc127346235" w:history="1">
            <w:r w:rsidR="004F49F9" w:rsidRPr="000366E0">
              <w:rPr>
                <w:rStyle w:val="Hyperlink"/>
              </w:rPr>
              <w:t>2.3.1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_Toc127346235 \h </w:instrText>
            </w:r>
            <w:r w:rsidR="004F49F9">
              <w:rPr>
                <w:webHidden/>
              </w:rPr>
            </w:r>
            <w:r w:rsidR="004F49F9">
              <w:rPr>
                <w:webHidden/>
              </w:rPr>
              <w:fldChar w:fldCharType="separate"/>
            </w:r>
            <w:r w:rsidR="003E544B">
              <w:rPr>
                <w:webHidden/>
              </w:rPr>
              <w:t>90</w:t>
            </w:r>
            <w:r w:rsidR="004F49F9">
              <w:rPr>
                <w:webHidden/>
              </w:rPr>
              <w:fldChar w:fldCharType="end"/>
            </w:r>
          </w:hyperlink>
        </w:p>
        <w:p w14:paraId="526DD3B4" w14:textId="0CC5BE6B" w:rsidR="004F49F9" w:rsidRDefault="00E55534">
          <w:pPr>
            <w:pStyle w:val="TOC3"/>
            <w:rPr>
              <w:rFonts w:asciiTheme="minorHAnsi" w:eastAsiaTheme="minorEastAsia" w:hAnsiTheme="minorHAnsi" w:cstheme="minorBidi"/>
              <w:sz w:val="22"/>
              <w:szCs w:val="22"/>
              <w:lang w:val="en-DK" w:eastAsia="en-DK"/>
            </w:rPr>
          </w:pPr>
          <w:hyperlink w:anchor="_Toc127346236" w:history="1">
            <w:r w:rsidR="004F49F9" w:rsidRPr="000366E0">
              <w:rPr>
                <w:rStyle w:val="Hyperlink"/>
              </w:rPr>
              <w:t>2.3.2</w:t>
            </w:r>
            <w:r w:rsidR="004F49F9">
              <w:rPr>
                <w:rFonts w:asciiTheme="minorHAnsi" w:eastAsiaTheme="minorEastAsia" w:hAnsiTheme="minorHAnsi" w:cstheme="minorBidi"/>
                <w:sz w:val="22"/>
                <w:szCs w:val="22"/>
                <w:lang w:val="en-DK" w:eastAsia="en-DK"/>
              </w:rPr>
              <w:tab/>
            </w:r>
            <w:r w:rsidR="004F49F9" w:rsidRPr="000366E0">
              <w:rPr>
                <w:rStyle w:val="Hyperlink"/>
              </w:rPr>
              <w:t>Indoor-outdoor attenuation for aggregate interference scenarios</w:t>
            </w:r>
            <w:r w:rsidR="004F49F9">
              <w:rPr>
                <w:webHidden/>
              </w:rPr>
              <w:tab/>
            </w:r>
            <w:r w:rsidR="004F49F9">
              <w:rPr>
                <w:webHidden/>
              </w:rPr>
              <w:fldChar w:fldCharType="begin"/>
            </w:r>
            <w:r w:rsidR="004F49F9">
              <w:rPr>
                <w:webHidden/>
              </w:rPr>
              <w:instrText xml:space="preserve"> PAGEREF _Toc127346236 \h </w:instrText>
            </w:r>
            <w:r w:rsidR="004F49F9">
              <w:rPr>
                <w:webHidden/>
              </w:rPr>
            </w:r>
            <w:r w:rsidR="004F49F9">
              <w:rPr>
                <w:webHidden/>
              </w:rPr>
              <w:fldChar w:fldCharType="separate"/>
            </w:r>
            <w:r w:rsidR="003E544B">
              <w:rPr>
                <w:webHidden/>
              </w:rPr>
              <w:t>91</w:t>
            </w:r>
            <w:r w:rsidR="004F49F9">
              <w:rPr>
                <w:webHidden/>
              </w:rPr>
              <w:fldChar w:fldCharType="end"/>
            </w:r>
          </w:hyperlink>
        </w:p>
        <w:p w14:paraId="5A5F8CF6" w14:textId="7D34766F" w:rsidR="004F49F9" w:rsidRDefault="00E55534">
          <w:pPr>
            <w:pStyle w:val="TOC3"/>
            <w:rPr>
              <w:rFonts w:asciiTheme="minorHAnsi" w:eastAsiaTheme="minorEastAsia" w:hAnsiTheme="minorHAnsi" w:cstheme="minorBidi"/>
              <w:sz w:val="22"/>
              <w:szCs w:val="22"/>
              <w:lang w:val="en-DK" w:eastAsia="en-DK"/>
            </w:rPr>
          </w:pPr>
          <w:hyperlink w:anchor="_Toc127346237" w:history="1">
            <w:r w:rsidR="004F49F9" w:rsidRPr="000366E0">
              <w:rPr>
                <w:rStyle w:val="Hyperlink"/>
              </w:rPr>
              <w:t>2.3.3</w:t>
            </w:r>
            <w:r w:rsidR="004F49F9">
              <w:rPr>
                <w:rFonts w:asciiTheme="minorHAnsi" w:eastAsiaTheme="minorEastAsia" w:hAnsiTheme="minorHAnsi" w:cstheme="minorBidi"/>
                <w:sz w:val="22"/>
                <w:szCs w:val="22"/>
                <w:lang w:val="en-DK" w:eastAsia="en-DK"/>
              </w:rPr>
              <w:tab/>
            </w:r>
            <w:r w:rsidR="004F49F9" w:rsidRPr="000366E0">
              <w:rPr>
                <w:rStyle w:val="Hyperlink"/>
              </w:rPr>
              <w:t>Indoor-outdoor attenuation for single-entry interference scenarios</w:t>
            </w:r>
            <w:r w:rsidR="004F49F9">
              <w:rPr>
                <w:webHidden/>
              </w:rPr>
              <w:tab/>
            </w:r>
            <w:r w:rsidR="004F49F9">
              <w:rPr>
                <w:webHidden/>
              </w:rPr>
              <w:fldChar w:fldCharType="begin"/>
            </w:r>
            <w:r w:rsidR="004F49F9">
              <w:rPr>
                <w:webHidden/>
              </w:rPr>
              <w:instrText xml:space="preserve"> PAGEREF _Toc127346237 \h </w:instrText>
            </w:r>
            <w:r w:rsidR="004F49F9">
              <w:rPr>
                <w:webHidden/>
              </w:rPr>
            </w:r>
            <w:r w:rsidR="004F49F9">
              <w:rPr>
                <w:webHidden/>
              </w:rPr>
              <w:fldChar w:fldCharType="separate"/>
            </w:r>
            <w:r w:rsidR="003E544B">
              <w:rPr>
                <w:webHidden/>
              </w:rPr>
              <w:t>92</w:t>
            </w:r>
            <w:r w:rsidR="004F49F9">
              <w:rPr>
                <w:webHidden/>
              </w:rPr>
              <w:fldChar w:fldCharType="end"/>
            </w:r>
          </w:hyperlink>
        </w:p>
        <w:p w14:paraId="1EAF9AC7" w14:textId="6E060F60" w:rsidR="004F49F9" w:rsidRDefault="00E55534">
          <w:pPr>
            <w:pStyle w:val="TOC2"/>
            <w:rPr>
              <w:rFonts w:asciiTheme="minorHAnsi" w:eastAsiaTheme="minorEastAsia" w:hAnsiTheme="minorHAnsi" w:cstheme="minorBidi"/>
              <w:bCs w:val="0"/>
              <w:sz w:val="22"/>
              <w:szCs w:val="22"/>
              <w:lang w:val="en-DK" w:eastAsia="en-DK"/>
            </w:rPr>
          </w:pPr>
          <w:hyperlink w:anchor="_Toc127346238" w:history="1">
            <w:r w:rsidR="004F49F9" w:rsidRPr="000366E0">
              <w:rPr>
                <w:rStyle w:val="Hyperlink"/>
              </w:rPr>
              <w:t>2.4</w:t>
            </w:r>
            <w:r w:rsidR="004F49F9">
              <w:rPr>
                <w:rFonts w:asciiTheme="minorHAnsi" w:eastAsiaTheme="minorEastAsia" w:hAnsiTheme="minorHAnsi" w:cstheme="minorBidi"/>
                <w:bCs w:val="0"/>
                <w:sz w:val="22"/>
                <w:szCs w:val="22"/>
                <w:lang w:val="en-DK" w:eastAsia="en-DK"/>
              </w:rPr>
              <w:tab/>
            </w:r>
            <w:r w:rsidR="004F49F9" w:rsidRPr="000366E0">
              <w:rPr>
                <w:rStyle w:val="Hyperlink"/>
                <w:lang w:val="en-US"/>
              </w:rPr>
              <w:t>Sha</w:t>
            </w:r>
            <w:r w:rsidR="004F49F9" w:rsidRPr="000366E0">
              <w:rPr>
                <w:rStyle w:val="Hyperlink"/>
              </w:rPr>
              <w:t>ring</w:t>
            </w:r>
            <w:r w:rsidR="004F49F9" w:rsidRPr="000366E0">
              <w:rPr>
                <w:rStyle w:val="Hyperlink"/>
                <w:lang w:val="en-US"/>
              </w:rPr>
              <w:t xml:space="preserve"> </w:t>
            </w:r>
            <w:r w:rsidR="004F49F9" w:rsidRPr="000366E0">
              <w:rPr>
                <w:rStyle w:val="Hyperlink"/>
              </w:rPr>
              <w:t>and</w:t>
            </w:r>
            <w:r w:rsidR="004F49F9" w:rsidRPr="000366E0">
              <w:rPr>
                <w:rStyle w:val="Hyperlink"/>
                <w:lang w:val="en-US"/>
              </w:rPr>
              <w:t xml:space="preserve"> </w:t>
            </w:r>
            <w:r w:rsidR="004F49F9" w:rsidRPr="000366E0">
              <w:rPr>
                <w:rStyle w:val="Hyperlink"/>
              </w:rPr>
              <w:t>compatibility</w:t>
            </w:r>
            <w:r w:rsidR="004F49F9" w:rsidRPr="000366E0">
              <w:rPr>
                <w:rStyle w:val="Hyperlink"/>
                <w:lang w:val="en-US"/>
              </w:rPr>
              <w:t xml:space="preserve"> </w:t>
            </w:r>
            <w:r w:rsidR="004F49F9" w:rsidRPr="000366E0">
              <w:rPr>
                <w:rStyle w:val="Hyperlink"/>
              </w:rPr>
              <w:t>studies</w:t>
            </w:r>
            <w:r w:rsidR="004F49F9" w:rsidRPr="000366E0">
              <w:rPr>
                <w:rStyle w:val="Hyperlink"/>
                <w:lang w:val="en-US"/>
              </w:rPr>
              <w:t xml:space="preserve"> between RDI-S and </w:t>
            </w:r>
            <w:r w:rsidR="004F49F9" w:rsidRPr="000366E0">
              <w:rPr>
                <w:rStyle w:val="Hyperlink"/>
              </w:rPr>
              <w:t>services operating</w:t>
            </w:r>
            <w:r w:rsidR="004F49F9" w:rsidRPr="000366E0">
              <w:rPr>
                <w:rStyle w:val="Hyperlink"/>
                <w:lang w:val="en-US"/>
              </w:rPr>
              <w:t xml:space="preserve"> </w:t>
            </w:r>
            <w:r w:rsidR="004F49F9" w:rsidRPr="000366E0">
              <w:rPr>
                <w:rStyle w:val="Hyperlink"/>
              </w:rPr>
              <w:t>in passive bands</w:t>
            </w:r>
            <w:r w:rsidR="004F49F9" w:rsidRPr="000366E0">
              <w:rPr>
                <w:rStyle w:val="Hyperlink"/>
                <w:lang w:val="en-US"/>
              </w:rPr>
              <w:t xml:space="preserve"> </w:t>
            </w:r>
            <w:r w:rsidR="004F49F9" w:rsidRPr="000366E0">
              <w:rPr>
                <w:rStyle w:val="Hyperlink"/>
              </w:rPr>
              <w:t>listed</w:t>
            </w:r>
            <w:r w:rsidR="004F49F9" w:rsidRPr="000366E0">
              <w:rPr>
                <w:rStyle w:val="Hyperlink"/>
                <w:lang w:val="en-US"/>
              </w:rPr>
              <w:t xml:space="preserve"> </w:t>
            </w:r>
            <w:r w:rsidR="004F49F9" w:rsidRPr="000366E0">
              <w:rPr>
                <w:rStyle w:val="Hyperlink"/>
              </w:rPr>
              <w:t>in</w:t>
            </w:r>
            <w:r w:rsidR="004F49F9" w:rsidRPr="000366E0">
              <w:rPr>
                <w:rStyle w:val="Hyperlink"/>
                <w:lang w:val="en-US"/>
              </w:rPr>
              <w:t xml:space="preserve"> ITU RR FN 5.340</w:t>
            </w:r>
            <w:r w:rsidR="004F49F9">
              <w:rPr>
                <w:webHidden/>
              </w:rPr>
              <w:tab/>
            </w:r>
            <w:r w:rsidR="004F49F9">
              <w:rPr>
                <w:webHidden/>
              </w:rPr>
              <w:fldChar w:fldCharType="begin"/>
            </w:r>
            <w:r w:rsidR="004F49F9">
              <w:rPr>
                <w:webHidden/>
              </w:rPr>
              <w:instrText xml:space="preserve"> PAGEREF _Toc127346238 \h </w:instrText>
            </w:r>
            <w:r w:rsidR="004F49F9">
              <w:rPr>
                <w:webHidden/>
              </w:rPr>
            </w:r>
            <w:r w:rsidR="004F49F9">
              <w:rPr>
                <w:webHidden/>
              </w:rPr>
              <w:fldChar w:fldCharType="separate"/>
            </w:r>
            <w:r w:rsidR="003E544B">
              <w:rPr>
                <w:webHidden/>
              </w:rPr>
              <w:t>92</w:t>
            </w:r>
            <w:r w:rsidR="004F49F9">
              <w:rPr>
                <w:webHidden/>
              </w:rPr>
              <w:fldChar w:fldCharType="end"/>
            </w:r>
          </w:hyperlink>
        </w:p>
        <w:p w14:paraId="51D17CDD" w14:textId="0D9E5C3A" w:rsidR="004F49F9" w:rsidRDefault="00E55534">
          <w:pPr>
            <w:pStyle w:val="TOC3"/>
            <w:rPr>
              <w:rFonts w:asciiTheme="minorHAnsi" w:eastAsiaTheme="minorEastAsia" w:hAnsiTheme="minorHAnsi" w:cstheme="minorBidi"/>
              <w:sz w:val="22"/>
              <w:szCs w:val="22"/>
              <w:lang w:val="en-DK" w:eastAsia="en-DK"/>
            </w:rPr>
          </w:pPr>
          <w:hyperlink w:anchor="_Toc127346239" w:history="1">
            <w:r w:rsidR="004F49F9" w:rsidRPr="000366E0">
              <w:rPr>
                <w:rStyle w:val="Hyperlink"/>
              </w:rPr>
              <w:t>2.4.1</w:t>
            </w:r>
            <w:r w:rsidR="004F49F9">
              <w:rPr>
                <w:rFonts w:asciiTheme="minorHAnsi" w:eastAsiaTheme="minorEastAsia" w:hAnsiTheme="minorHAnsi" w:cstheme="minorBidi"/>
                <w:sz w:val="22"/>
                <w:szCs w:val="22"/>
                <w:lang w:val="en-DK" w:eastAsia="en-DK"/>
              </w:rPr>
              <w:tab/>
            </w:r>
            <w:r w:rsidR="004F49F9" w:rsidRPr="000366E0">
              <w:rPr>
                <w:rStyle w:val="Hyperlink"/>
              </w:rPr>
              <w:t>Background information</w:t>
            </w:r>
            <w:r w:rsidR="004F49F9">
              <w:rPr>
                <w:webHidden/>
              </w:rPr>
              <w:tab/>
            </w:r>
            <w:r w:rsidR="004F49F9">
              <w:rPr>
                <w:webHidden/>
              </w:rPr>
              <w:fldChar w:fldCharType="begin"/>
            </w:r>
            <w:r w:rsidR="004F49F9">
              <w:rPr>
                <w:webHidden/>
              </w:rPr>
              <w:instrText xml:space="preserve"> PAGEREF _Toc127346239 \h </w:instrText>
            </w:r>
            <w:r w:rsidR="004F49F9">
              <w:rPr>
                <w:webHidden/>
              </w:rPr>
            </w:r>
            <w:r w:rsidR="004F49F9">
              <w:rPr>
                <w:webHidden/>
              </w:rPr>
              <w:fldChar w:fldCharType="separate"/>
            </w:r>
            <w:r w:rsidR="003E544B">
              <w:rPr>
                <w:webHidden/>
              </w:rPr>
              <w:t>92</w:t>
            </w:r>
            <w:r w:rsidR="004F49F9">
              <w:rPr>
                <w:webHidden/>
              </w:rPr>
              <w:fldChar w:fldCharType="end"/>
            </w:r>
          </w:hyperlink>
        </w:p>
        <w:p w14:paraId="6CB00971" w14:textId="5D1B66E0" w:rsidR="004F49F9" w:rsidRDefault="00E55534">
          <w:pPr>
            <w:pStyle w:val="TOC3"/>
            <w:rPr>
              <w:rFonts w:asciiTheme="minorHAnsi" w:eastAsiaTheme="minorEastAsia" w:hAnsiTheme="minorHAnsi" w:cstheme="minorBidi"/>
              <w:sz w:val="22"/>
              <w:szCs w:val="22"/>
              <w:lang w:val="en-DK" w:eastAsia="en-DK"/>
            </w:rPr>
          </w:pPr>
          <w:hyperlink w:anchor="_Toc127346240" w:history="1">
            <w:r w:rsidR="004F49F9" w:rsidRPr="000366E0">
              <w:rPr>
                <w:rStyle w:val="Hyperlink"/>
              </w:rPr>
              <w:t>2.4.2</w:t>
            </w:r>
            <w:r w:rsidR="004F49F9">
              <w:rPr>
                <w:rFonts w:asciiTheme="minorHAnsi" w:eastAsiaTheme="minorEastAsia" w:hAnsiTheme="minorHAnsi" w:cstheme="minorBidi"/>
                <w:sz w:val="22"/>
                <w:szCs w:val="22"/>
                <w:lang w:val="en-DK" w:eastAsia="en-DK"/>
              </w:rPr>
              <w:tab/>
            </w:r>
            <w:r w:rsidR="004F49F9" w:rsidRPr="000366E0">
              <w:rPr>
                <w:rStyle w:val="Hyperlink"/>
              </w:rPr>
              <w:t>RDI-S application description and device number limitation</w:t>
            </w:r>
            <w:r w:rsidR="004F49F9">
              <w:rPr>
                <w:webHidden/>
              </w:rPr>
              <w:tab/>
            </w:r>
            <w:r w:rsidR="004F49F9">
              <w:rPr>
                <w:webHidden/>
              </w:rPr>
              <w:fldChar w:fldCharType="begin"/>
            </w:r>
            <w:r w:rsidR="004F49F9">
              <w:rPr>
                <w:webHidden/>
              </w:rPr>
              <w:instrText xml:space="preserve"> PAGEREF _Toc127346240 \h </w:instrText>
            </w:r>
            <w:r w:rsidR="004F49F9">
              <w:rPr>
                <w:webHidden/>
              </w:rPr>
            </w:r>
            <w:r w:rsidR="004F49F9">
              <w:rPr>
                <w:webHidden/>
              </w:rPr>
              <w:fldChar w:fldCharType="separate"/>
            </w:r>
            <w:r w:rsidR="003E544B">
              <w:rPr>
                <w:webHidden/>
              </w:rPr>
              <w:t>93</w:t>
            </w:r>
            <w:r w:rsidR="004F49F9">
              <w:rPr>
                <w:webHidden/>
              </w:rPr>
              <w:fldChar w:fldCharType="end"/>
            </w:r>
          </w:hyperlink>
        </w:p>
        <w:p w14:paraId="3867281E" w14:textId="50FD9E1D" w:rsidR="004F49F9" w:rsidRDefault="00E55534">
          <w:pPr>
            <w:pStyle w:val="TOC3"/>
            <w:rPr>
              <w:rFonts w:asciiTheme="minorHAnsi" w:eastAsiaTheme="minorEastAsia" w:hAnsiTheme="minorHAnsi" w:cstheme="minorBidi"/>
              <w:sz w:val="22"/>
              <w:szCs w:val="22"/>
              <w:lang w:val="en-DK" w:eastAsia="en-DK"/>
            </w:rPr>
          </w:pPr>
          <w:hyperlink w:anchor="_Toc127346241" w:history="1">
            <w:r w:rsidR="004F49F9" w:rsidRPr="000366E0">
              <w:rPr>
                <w:rStyle w:val="Hyperlink"/>
              </w:rPr>
              <w:t>2.4.3</w:t>
            </w:r>
            <w:r w:rsidR="004F49F9">
              <w:rPr>
                <w:rFonts w:asciiTheme="minorHAnsi" w:eastAsiaTheme="minorEastAsia" w:hAnsiTheme="minorHAnsi" w:cstheme="minorBidi"/>
                <w:sz w:val="22"/>
                <w:szCs w:val="22"/>
                <w:lang w:val="en-DK" w:eastAsia="en-DK"/>
              </w:rPr>
              <w:tab/>
            </w:r>
            <w:r w:rsidR="004F49F9" w:rsidRPr="000366E0">
              <w:rPr>
                <w:rStyle w:val="Hyperlink"/>
              </w:rPr>
              <w:t>RDI-S justification of frequency range and contiguous wide bandwidth needs</w:t>
            </w:r>
            <w:r w:rsidR="004F49F9">
              <w:rPr>
                <w:webHidden/>
              </w:rPr>
              <w:tab/>
            </w:r>
            <w:r w:rsidR="004F49F9">
              <w:rPr>
                <w:webHidden/>
              </w:rPr>
              <w:fldChar w:fldCharType="begin"/>
            </w:r>
            <w:r w:rsidR="004F49F9">
              <w:rPr>
                <w:webHidden/>
              </w:rPr>
              <w:instrText xml:space="preserve"> PAGEREF _Toc127346241 \h </w:instrText>
            </w:r>
            <w:r w:rsidR="004F49F9">
              <w:rPr>
                <w:webHidden/>
              </w:rPr>
            </w:r>
            <w:r w:rsidR="004F49F9">
              <w:rPr>
                <w:webHidden/>
              </w:rPr>
              <w:fldChar w:fldCharType="separate"/>
            </w:r>
            <w:r w:rsidR="003E544B">
              <w:rPr>
                <w:webHidden/>
              </w:rPr>
              <w:t>94</w:t>
            </w:r>
            <w:r w:rsidR="004F49F9">
              <w:rPr>
                <w:webHidden/>
              </w:rPr>
              <w:fldChar w:fldCharType="end"/>
            </w:r>
          </w:hyperlink>
        </w:p>
        <w:p w14:paraId="687AC84F" w14:textId="346AEE1A" w:rsidR="004F49F9" w:rsidRDefault="00E55534">
          <w:pPr>
            <w:pStyle w:val="TOC3"/>
            <w:rPr>
              <w:rFonts w:asciiTheme="minorHAnsi" w:eastAsiaTheme="minorEastAsia" w:hAnsiTheme="minorHAnsi" w:cstheme="minorBidi"/>
              <w:sz w:val="22"/>
              <w:szCs w:val="22"/>
              <w:lang w:val="en-DK" w:eastAsia="en-DK"/>
            </w:rPr>
          </w:pPr>
          <w:hyperlink w:anchor="_Toc127346242" w:history="1">
            <w:r w:rsidR="004F49F9" w:rsidRPr="000366E0">
              <w:rPr>
                <w:rStyle w:val="Hyperlink"/>
              </w:rPr>
              <w:t>2.4.4</w:t>
            </w:r>
            <w:r w:rsidR="004F49F9">
              <w:rPr>
                <w:rFonts w:asciiTheme="minorHAnsi" w:eastAsiaTheme="minorEastAsia" w:hAnsiTheme="minorHAnsi" w:cstheme="minorBidi"/>
                <w:sz w:val="22"/>
                <w:szCs w:val="22"/>
                <w:lang w:val="en-DK" w:eastAsia="en-DK"/>
              </w:rPr>
              <w:tab/>
            </w:r>
            <w:r w:rsidR="004F49F9" w:rsidRPr="000366E0">
              <w:rPr>
                <w:rStyle w:val="Hyperlink"/>
              </w:rPr>
              <w:t>RDI-S and notching of ITU RR footnote 5.340 bands</w:t>
            </w:r>
            <w:r w:rsidR="004F49F9">
              <w:rPr>
                <w:webHidden/>
              </w:rPr>
              <w:tab/>
            </w:r>
            <w:r w:rsidR="004F49F9">
              <w:rPr>
                <w:webHidden/>
              </w:rPr>
              <w:fldChar w:fldCharType="begin"/>
            </w:r>
            <w:r w:rsidR="004F49F9">
              <w:rPr>
                <w:webHidden/>
              </w:rPr>
              <w:instrText xml:space="preserve"> PAGEREF _Toc127346242 \h </w:instrText>
            </w:r>
            <w:r w:rsidR="004F49F9">
              <w:rPr>
                <w:webHidden/>
              </w:rPr>
            </w:r>
            <w:r w:rsidR="004F49F9">
              <w:rPr>
                <w:webHidden/>
              </w:rPr>
              <w:fldChar w:fldCharType="separate"/>
            </w:r>
            <w:r w:rsidR="003E544B">
              <w:rPr>
                <w:webHidden/>
              </w:rPr>
              <w:t>99</w:t>
            </w:r>
            <w:r w:rsidR="004F49F9">
              <w:rPr>
                <w:webHidden/>
              </w:rPr>
              <w:fldChar w:fldCharType="end"/>
            </w:r>
          </w:hyperlink>
        </w:p>
        <w:p w14:paraId="49636E7E" w14:textId="140A730C" w:rsidR="004F49F9" w:rsidRDefault="00E55534">
          <w:pPr>
            <w:pStyle w:val="TOC3"/>
            <w:rPr>
              <w:rFonts w:asciiTheme="minorHAnsi" w:eastAsiaTheme="minorEastAsia" w:hAnsiTheme="minorHAnsi" w:cstheme="minorBidi"/>
              <w:sz w:val="22"/>
              <w:szCs w:val="22"/>
              <w:lang w:val="en-DK" w:eastAsia="en-DK"/>
            </w:rPr>
          </w:pPr>
          <w:hyperlink w:anchor="_Toc127346243" w:history="1">
            <w:r w:rsidR="004F49F9" w:rsidRPr="000366E0">
              <w:rPr>
                <w:rStyle w:val="Hyperlink"/>
                <w:rFonts w:cs="Times New Roman"/>
              </w:rPr>
              <w:t>2.4.5</w:t>
            </w:r>
            <w:r w:rsidR="004F49F9">
              <w:rPr>
                <w:rFonts w:asciiTheme="minorHAnsi" w:eastAsiaTheme="minorEastAsia" w:hAnsiTheme="minorHAnsi" w:cstheme="minorBidi"/>
                <w:sz w:val="22"/>
                <w:szCs w:val="22"/>
                <w:lang w:val="en-DK" w:eastAsia="en-DK"/>
              </w:rPr>
              <w:tab/>
            </w:r>
            <w:r w:rsidR="004F49F9" w:rsidRPr="000366E0">
              <w:rPr>
                <w:rStyle w:val="Hyperlink"/>
              </w:rPr>
              <w:t>RDI-S sharing and compatibility in RR FN 5.340 bands</w:t>
            </w:r>
            <w:r w:rsidR="004F49F9">
              <w:rPr>
                <w:webHidden/>
              </w:rPr>
              <w:tab/>
            </w:r>
            <w:r w:rsidR="004F49F9">
              <w:rPr>
                <w:webHidden/>
              </w:rPr>
              <w:fldChar w:fldCharType="begin"/>
            </w:r>
            <w:r w:rsidR="004F49F9">
              <w:rPr>
                <w:webHidden/>
              </w:rPr>
              <w:instrText xml:space="preserve"> PAGEREF _Toc127346243 \h </w:instrText>
            </w:r>
            <w:r w:rsidR="004F49F9">
              <w:rPr>
                <w:webHidden/>
              </w:rPr>
            </w:r>
            <w:r w:rsidR="004F49F9">
              <w:rPr>
                <w:webHidden/>
              </w:rPr>
              <w:fldChar w:fldCharType="separate"/>
            </w:r>
            <w:r w:rsidR="003E544B">
              <w:rPr>
                <w:webHidden/>
              </w:rPr>
              <w:t>101</w:t>
            </w:r>
            <w:r w:rsidR="004F49F9">
              <w:rPr>
                <w:webHidden/>
              </w:rPr>
              <w:fldChar w:fldCharType="end"/>
            </w:r>
          </w:hyperlink>
        </w:p>
        <w:p w14:paraId="0692B1EA" w14:textId="54DF6300" w:rsidR="004F49F9" w:rsidRDefault="00E55534">
          <w:pPr>
            <w:pStyle w:val="TOC2"/>
            <w:rPr>
              <w:rFonts w:asciiTheme="minorHAnsi" w:eastAsiaTheme="minorEastAsia" w:hAnsiTheme="minorHAnsi" w:cstheme="minorBidi"/>
              <w:bCs w:val="0"/>
              <w:sz w:val="22"/>
              <w:szCs w:val="22"/>
              <w:lang w:val="en-DK" w:eastAsia="en-DK"/>
            </w:rPr>
          </w:pPr>
          <w:hyperlink w:anchor="_Toc127346244" w:history="1">
            <w:r w:rsidR="004F49F9" w:rsidRPr="000366E0">
              <w:rPr>
                <w:rStyle w:val="Hyperlink"/>
              </w:rPr>
              <w:t>2.5</w:t>
            </w:r>
            <w:r w:rsidR="004F49F9">
              <w:rPr>
                <w:rFonts w:asciiTheme="minorHAnsi" w:eastAsiaTheme="minorEastAsia" w:hAnsiTheme="minorHAnsi" w:cstheme="minorBidi"/>
                <w:bCs w:val="0"/>
                <w:sz w:val="22"/>
                <w:szCs w:val="22"/>
                <w:lang w:val="en-DK" w:eastAsia="en-DK"/>
              </w:rPr>
              <w:tab/>
            </w:r>
            <w:r w:rsidR="004F49F9" w:rsidRPr="000366E0">
              <w:rPr>
                <w:rStyle w:val="Hyperlink"/>
              </w:rPr>
              <w:t>Technical justification for the wide bandwidth Need for RDI-S using the example of plastic pipe and sheet thickness measurement</w:t>
            </w:r>
            <w:r w:rsidR="004F49F9">
              <w:rPr>
                <w:webHidden/>
              </w:rPr>
              <w:tab/>
            </w:r>
            <w:r w:rsidR="004F49F9">
              <w:rPr>
                <w:webHidden/>
              </w:rPr>
              <w:fldChar w:fldCharType="begin"/>
            </w:r>
            <w:r w:rsidR="004F49F9">
              <w:rPr>
                <w:webHidden/>
              </w:rPr>
              <w:instrText xml:space="preserve"> PAGEREF _Toc127346244 \h </w:instrText>
            </w:r>
            <w:r w:rsidR="004F49F9">
              <w:rPr>
                <w:webHidden/>
              </w:rPr>
            </w:r>
            <w:r w:rsidR="004F49F9">
              <w:rPr>
                <w:webHidden/>
              </w:rPr>
              <w:fldChar w:fldCharType="separate"/>
            </w:r>
            <w:r w:rsidR="003E544B">
              <w:rPr>
                <w:webHidden/>
              </w:rPr>
              <w:t>101</w:t>
            </w:r>
            <w:r w:rsidR="004F49F9">
              <w:rPr>
                <w:webHidden/>
              </w:rPr>
              <w:fldChar w:fldCharType="end"/>
            </w:r>
          </w:hyperlink>
        </w:p>
        <w:p w14:paraId="44C02531" w14:textId="46FEF1F2" w:rsidR="004F49F9" w:rsidRDefault="00E55534">
          <w:pPr>
            <w:pStyle w:val="TOC3"/>
            <w:rPr>
              <w:rFonts w:asciiTheme="minorHAnsi" w:eastAsiaTheme="minorEastAsia" w:hAnsiTheme="minorHAnsi" w:cstheme="minorBidi"/>
              <w:sz w:val="22"/>
              <w:szCs w:val="22"/>
              <w:lang w:val="en-DK" w:eastAsia="en-DK"/>
            </w:rPr>
          </w:pPr>
          <w:hyperlink w:anchor="_Toc127346245" w:history="1">
            <w:r w:rsidR="004F49F9" w:rsidRPr="000366E0">
              <w:rPr>
                <w:rStyle w:val="Hyperlink"/>
              </w:rPr>
              <w:t>2.5.1</w:t>
            </w:r>
            <w:r w:rsidR="004F49F9">
              <w:rPr>
                <w:rFonts w:asciiTheme="minorHAnsi" w:eastAsiaTheme="minorEastAsia" w:hAnsiTheme="minorHAnsi" w:cstheme="minorBidi"/>
                <w:sz w:val="22"/>
                <w:szCs w:val="22"/>
                <w:lang w:val="en-DK" w:eastAsia="en-DK"/>
              </w:rPr>
              <w:tab/>
            </w:r>
            <w:r w:rsidR="004F49F9" w:rsidRPr="000366E0">
              <w:rPr>
                <w:rStyle w:val="Hyperlink"/>
              </w:rPr>
              <w:t>General information on pipes and sheets</w:t>
            </w:r>
            <w:r w:rsidR="004F49F9">
              <w:rPr>
                <w:webHidden/>
              </w:rPr>
              <w:tab/>
            </w:r>
            <w:r w:rsidR="004F49F9">
              <w:rPr>
                <w:webHidden/>
              </w:rPr>
              <w:fldChar w:fldCharType="begin"/>
            </w:r>
            <w:r w:rsidR="004F49F9">
              <w:rPr>
                <w:webHidden/>
              </w:rPr>
              <w:instrText xml:space="preserve"> PAGEREF _Toc127346245 \h </w:instrText>
            </w:r>
            <w:r w:rsidR="004F49F9">
              <w:rPr>
                <w:webHidden/>
              </w:rPr>
            </w:r>
            <w:r w:rsidR="004F49F9">
              <w:rPr>
                <w:webHidden/>
              </w:rPr>
              <w:fldChar w:fldCharType="separate"/>
            </w:r>
            <w:r w:rsidR="003E544B">
              <w:rPr>
                <w:webHidden/>
              </w:rPr>
              <w:t>101</w:t>
            </w:r>
            <w:r w:rsidR="004F49F9">
              <w:rPr>
                <w:webHidden/>
              </w:rPr>
              <w:fldChar w:fldCharType="end"/>
            </w:r>
          </w:hyperlink>
        </w:p>
        <w:p w14:paraId="1A5F91B5" w14:textId="0AD7C641" w:rsidR="004F49F9" w:rsidRDefault="00E55534">
          <w:pPr>
            <w:pStyle w:val="TOC3"/>
            <w:rPr>
              <w:rFonts w:asciiTheme="minorHAnsi" w:eastAsiaTheme="minorEastAsia" w:hAnsiTheme="minorHAnsi" w:cstheme="minorBidi"/>
              <w:sz w:val="22"/>
              <w:szCs w:val="22"/>
              <w:lang w:val="en-DK" w:eastAsia="en-DK"/>
            </w:rPr>
          </w:pPr>
          <w:hyperlink w:anchor="_Toc127346246" w:history="1">
            <w:r w:rsidR="004F49F9" w:rsidRPr="000366E0">
              <w:rPr>
                <w:rStyle w:val="Hyperlink"/>
              </w:rPr>
              <w:t>2.5.2</w:t>
            </w:r>
            <w:r w:rsidR="004F49F9">
              <w:rPr>
                <w:rFonts w:asciiTheme="minorHAnsi" w:eastAsiaTheme="minorEastAsia" w:hAnsiTheme="minorHAnsi" w:cstheme="minorBidi"/>
                <w:sz w:val="22"/>
                <w:szCs w:val="22"/>
                <w:lang w:val="en-DK" w:eastAsia="en-DK"/>
              </w:rPr>
              <w:tab/>
            </w:r>
            <w:r w:rsidR="004F49F9" w:rsidRPr="000366E0">
              <w:rPr>
                <w:rStyle w:val="Hyperlink"/>
              </w:rPr>
              <w:t>Extrusion of plastic profiles from engineering plastics</w:t>
            </w:r>
            <w:r w:rsidR="004F49F9">
              <w:rPr>
                <w:webHidden/>
              </w:rPr>
              <w:tab/>
            </w:r>
            <w:r w:rsidR="004F49F9">
              <w:rPr>
                <w:webHidden/>
              </w:rPr>
              <w:fldChar w:fldCharType="begin"/>
            </w:r>
            <w:r w:rsidR="004F49F9">
              <w:rPr>
                <w:webHidden/>
              </w:rPr>
              <w:instrText xml:space="preserve"> PAGEREF _Toc127346246 \h </w:instrText>
            </w:r>
            <w:r w:rsidR="004F49F9">
              <w:rPr>
                <w:webHidden/>
              </w:rPr>
            </w:r>
            <w:r w:rsidR="004F49F9">
              <w:rPr>
                <w:webHidden/>
              </w:rPr>
              <w:fldChar w:fldCharType="separate"/>
            </w:r>
            <w:r w:rsidR="003E544B">
              <w:rPr>
                <w:webHidden/>
              </w:rPr>
              <w:t>102</w:t>
            </w:r>
            <w:r w:rsidR="004F49F9">
              <w:rPr>
                <w:webHidden/>
              </w:rPr>
              <w:fldChar w:fldCharType="end"/>
            </w:r>
          </w:hyperlink>
        </w:p>
        <w:p w14:paraId="5F659C7A" w14:textId="53A6AF3B" w:rsidR="004F49F9" w:rsidRDefault="00E55534">
          <w:pPr>
            <w:pStyle w:val="TOC3"/>
            <w:rPr>
              <w:rFonts w:asciiTheme="minorHAnsi" w:eastAsiaTheme="minorEastAsia" w:hAnsiTheme="minorHAnsi" w:cstheme="minorBidi"/>
              <w:sz w:val="22"/>
              <w:szCs w:val="22"/>
              <w:lang w:val="en-DK" w:eastAsia="en-DK"/>
            </w:rPr>
          </w:pPr>
          <w:hyperlink w:anchor="_Toc127346247" w:history="1">
            <w:r w:rsidR="004F49F9" w:rsidRPr="000366E0">
              <w:rPr>
                <w:rStyle w:val="Hyperlink"/>
              </w:rPr>
              <w:t>2.5.3</w:t>
            </w:r>
            <w:r w:rsidR="004F49F9">
              <w:rPr>
                <w:rFonts w:asciiTheme="minorHAnsi" w:eastAsiaTheme="minorEastAsia" w:hAnsiTheme="minorHAnsi" w:cstheme="minorBidi"/>
                <w:sz w:val="22"/>
                <w:szCs w:val="22"/>
                <w:lang w:val="en-DK" w:eastAsia="en-DK"/>
              </w:rPr>
              <w:tab/>
            </w:r>
            <w:r w:rsidR="004F49F9" w:rsidRPr="000366E0">
              <w:rPr>
                <w:rStyle w:val="Hyperlink"/>
              </w:rPr>
              <w:t>Use of measuring devices in extrusion lines</w:t>
            </w:r>
            <w:r w:rsidR="004F49F9">
              <w:rPr>
                <w:webHidden/>
              </w:rPr>
              <w:tab/>
            </w:r>
            <w:r w:rsidR="004F49F9">
              <w:rPr>
                <w:webHidden/>
              </w:rPr>
              <w:fldChar w:fldCharType="begin"/>
            </w:r>
            <w:r w:rsidR="004F49F9">
              <w:rPr>
                <w:webHidden/>
              </w:rPr>
              <w:instrText xml:space="preserve"> PAGEREF _Toc127346247 \h </w:instrText>
            </w:r>
            <w:r w:rsidR="004F49F9">
              <w:rPr>
                <w:webHidden/>
              </w:rPr>
            </w:r>
            <w:r w:rsidR="004F49F9">
              <w:rPr>
                <w:webHidden/>
              </w:rPr>
              <w:fldChar w:fldCharType="separate"/>
            </w:r>
            <w:r w:rsidR="003E544B">
              <w:rPr>
                <w:webHidden/>
              </w:rPr>
              <w:t>103</w:t>
            </w:r>
            <w:r w:rsidR="004F49F9">
              <w:rPr>
                <w:webHidden/>
              </w:rPr>
              <w:fldChar w:fldCharType="end"/>
            </w:r>
          </w:hyperlink>
        </w:p>
        <w:p w14:paraId="5830D859" w14:textId="7998B45B" w:rsidR="004F49F9" w:rsidRDefault="00E55534">
          <w:pPr>
            <w:pStyle w:val="TOC3"/>
            <w:rPr>
              <w:rFonts w:asciiTheme="minorHAnsi" w:eastAsiaTheme="minorEastAsia" w:hAnsiTheme="minorHAnsi" w:cstheme="minorBidi"/>
              <w:sz w:val="22"/>
              <w:szCs w:val="22"/>
              <w:lang w:val="en-DK" w:eastAsia="en-DK"/>
            </w:rPr>
          </w:pPr>
          <w:hyperlink w:anchor="_Toc127346248" w:history="1">
            <w:r w:rsidR="004F49F9" w:rsidRPr="000366E0">
              <w:rPr>
                <w:rStyle w:val="Hyperlink"/>
              </w:rPr>
              <w:t>2.5.4</w:t>
            </w:r>
            <w:r w:rsidR="004F49F9">
              <w:rPr>
                <w:rFonts w:asciiTheme="minorHAnsi" w:eastAsiaTheme="minorEastAsia" w:hAnsiTheme="minorHAnsi" w:cstheme="minorBidi"/>
                <w:sz w:val="22"/>
                <w:szCs w:val="22"/>
                <w:lang w:val="en-DK" w:eastAsia="en-DK"/>
              </w:rPr>
              <w:tab/>
            </w:r>
            <w:r w:rsidR="004F49F9" w:rsidRPr="000366E0">
              <w:rPr>
                <w:rStyle w:val="Hyperlink"/>
              </w:rPr>
              <w:t>Defects in plastic pipes</w:t>
            </w:r>
            <w:r w:rsidR="004F49F9">
              <w:rPr>
                <w:webHidden/>
              </w:rPr>
              <w:tab/>
            </w:r>
            <w:r w:rsidR="004F49F9">
              <w:rPr>
                <w:webHidden/>
              </w:rPr>
              <w:fldChar w:fldCharType="begin"/>
            </w:r>
            <w:r w:rsidR="004F49F9">
              <w:rPr>
                <w:webHidden/>
              </w:rPr>
              <w:instrText xml:space="preserve"> PAGEREF _Toc127346248 \h </w:instrText>
            </w:r>
            <w:r w:rsidR="004F49F9">
              <w:rPr>
                <w:webHidden/>
              </w:rPr>
            </w:r>
            <w:r w:rsidR="004F49F9">
              <w:rPr>
                <w:webHidden/>
              </w:rPr>
              <w:fldChar w:fldCharType="separate"/>
            </w:r>
            <w:r w:rsidR="003E544B">
              <w:rPr>
                <w:webHidden/>
              </w:rPr>
              <w:t>103</w:t>
            </w:r>
            <w:r w:rsidR="004F49F9">
              <w:rPr>
                <w:webHidden/>
              </w:rPr>
              <w:fldChar w:fldCharType="end"/>
            </w:r>
          </w:hyperlink>
        </w:p>
        <w:p w14:paraId="64E8BAFA" w14:textId="6843F828" w:rsidR="004F49F9" w:rsidRDefault="00E55534">
          <w:pPr>
            <w:pStyle w:val="TOC3"/>
            <w:rPr>
              <w:rFonts w:asciiTheme="minorHAnsi" w:eastAsiaTheme="minorEastAsia" w:hAnsiTheme="minorHAnsi" w:cstheme="minorBidi"/>
              <w:sz w:val="22"/>
              <w:szCs w:val="22"/>
              <w:lang w:val="en-DK" w:eastAsia="en-DK"/>
            </w:rPr>
          </w:pPr>
          <w:hyperlink w:anchor="_Toc127346249" w:history="1">
            <w:r w:rsidR="004F49F9" w:rsidRPr="000366E0">
              <w:rPr>
                <w:rStyle w:val="Hyperlink"/>
              </w:rPr>
              <w:t>2.5.5</w:t>
            </w:r>
            <w:r w:rsidR="004F49F9">
              <w:rPr>
                <w:rFonts w:asciiTheme="minorHAnsi" w:eastAsiaTheme="minorEastAsia" w:hAnsiTheme="minorHAnsi" w:cstheme="minorBidi"/>
                <w:sz w:val="22"/>
                <w:szCs w:val="22"/>
                <w:lang w:val="en-DK" w:eastAsia="en-DK"/>
              </w:rPr>
              <w:tab/>
            </w:r>
            <w:r w:rsidR="004F49F9" w:rsidRPr="000366E0">
              <w:rPr>
                <w:rStyle w:val="Hyperlink"/>
              </w:rPr>
              <w:t>Advantage of a large bandwidth when used in measuring systems</w:t>
            </w:r>
            <w:r w:rsidR="004F49F9">
              <w:rPr>
                <w:webHidden/>
              </w:rPr>
              <w:tab/>
            </w:r>
            <w:r w:rsidR="004F49F9">
              <w:rPr>
                <w:webHidden/>
              </w:rPr>
              <w:fldChar w:fldCharType="begin"/>
            </w:r>
            <w:r w:rsidR="004F49F9">
              <w:rPr>
                <w:webHidden/>
              </w:rPr>
              <w:instrText xml:space="preserve"> PAGEREF _Toc127346249 \h </w:instrText>
            </w:r>
            <w:r w:rsidR="004F49F9">
              <w:rPr>
                <w:webHidden/>
              </w:rPr>
            </w:r>
            <w:r w:rsidR="004F49F9">
              <w:rPr>
                <w:webHidden/>
              </w:rPr>
              <w:fldChar w:fldCharType="separate"/>
            </w:r>
            <w:r w:rsidR="003E544B">
              <w:rPr>
                <w:webHidden/>
              </w:rPr>
              <w:t>104</w:t>
            </w:r>
            <w:r w:rsidR="004F49F9">
              <w:rPr>
                <w:webHidden/>
              </w:rPr>
              <w:fldChar w:fldCharType="end"/>
            </w:r>
          </w:hyperlink>
        </w:p>
        <w:p w14:paraId="4F59F132" w14:textId="527EA6E7" w:rsidR="004F49F9" w:rsidRDefault="00E55534">
          <w:pPr>
            <w:pStyle w:val="TOC3"/>
            <w:rPr>
              <w:rFonts w:asciiTheme="minorHAnsi" w:eastAsiaTheme="minorEastAsia" w:hAnsiTheme="minorHAnsi" w:cstheme="minorBidi"/>
              <w:sz w:val="22"/>
              <w:szCs w:val="22"/>
              <w:lang w:val="en-DK" w:eastAsia="en-DK"/>
            </w:rPr>
          </w:pPr>
          <w:hyperlink w:anchor="_Toc127346250" w:history="1">
            <w:r w:rsidR="004F49F9" w:rsidRPr="000366E0">
              <w:rPr>
                <w:rStyle w:val="Hyperlink"/>
              </w:rPr>
              <w:t>2.5.6</w:t>
            </w:r>
            <w:r w:rsidR="004F49F9">
              <w:rPr>
                <w:rFonts w:asciiTheme="minorHAnsi" w:eastAsiaTheme="minorEastAsia" w:hAnsiTheme="minorHAnsi" w:cstheme="minorBidi"/>
                <w:sz w:val="22"/>
                <w:szCs w:val="22"/>
                <w:lang w:val="en-DK" w:eastAsia="en-DK"/>
              </w:rPr>
              <w:tab/>
            </w:r>
            <w:r w:rsidR="004F49F9" w:rsidRPr="000366E0">
              <w:rPr>
                <w:rStyle w:val="Hyperlink"/>
              </w:rPr>
              <w:t>Suitability of the frequency range from 116 GHz to 260 GHz</w:t>
            </w:r>
            <w:r w:rsidR="004F49F9">
              <w:rPr>
                <w:webHidden/>
              </w:rPr>
              <w:tab/>
            </w:r>
            <w:r w:rsidR="004F49F9">
              <w:rPr>
                <w:webHidden/>
              </w:rPr>
              <w:fldChar w:fldCharType="begin"/>
            </w:r>
            <w:r w:rsidR="004F49F9">
              <w:rPr>
                <w:webHidden/>
              </w:rPr>
              <w:instrText xml:space="preserve"> PAGEREF _Toc127346250 \h </w:instrText>
            </w:r>
            <w:r w:rsidR="004F49F9">
              <w:rPr>
                <w:webHidden/>
              </w:rPr>
            </w:r>
            <w:r w:rsidR="004F49F9">
              <w:rPr>
                <w:webHidden/>
              </w:rPr>
              <w:fldChar w:fldCharType="separate"/>
            </w:r>
            <w:r w:rsidR="003E544B">
              <w:rPr>
                <w:webHidden/>
              </w:rPr>
              <w:t>105</w:t>
            </w:r>
            <w:r w:rsidR="004F49F9">
              <w:rPr>
                <w:webHidden/>
              </w:rPr>
              <w:fldChar w:fldCharType="end"/>
            </w:r>
          </w:hyperlink>
        </w:p>
        <w:p w14:paraId="4886E5FA" w14:textId="2AD089F5" w:rsidR="004F49F9" w:rsidRDefault="00E55534">
          <w:pPr>
            <w:pStyle w:val="TOC3"/>
            <w:rPr>
              <w:rFonts w:asciiTheme="minorHAnsi" w:eastAsiaTheme="minorEastAsia" w:hAnsiTheme="minorHAnsi" w:cstheme="minorBidi"/>
              <w:sz w:val="22"/>
              <w:szCs w:val="22"/>
              <w:lang w:val="en-DK" w:eastAsia="en-DK"/>
            </w:rPr>
          </w:pPr>
          <w:hyperlink w:anchor="_Toc127346251" w:history="1">
            <w:r w:rsidR="004F49F9" w:rsidRPr="000366E0">
              <w:rPr>
                <w:rStyle w:val="Hyperlink"/>
              </w:rPr>
              <w:t>2.5.7</w:t>
            </w:r>
            <w:r w:rsidR="004F49F9">
              <w:rPr>
                <w:rFonts w:asciiTheme="minorHAnsi" w:eastAsiaTheme="minorEastAsia" w:hAnsiTheme="minorHAnsi" w:cstheme="minorBidi"/>
                <w:sz w:val="22"/>
                <w:szCs w:val="22"/>
                <w:lang w:val="en-DK" w:eastAsia="en-DK"/>
              </w:rPr>
              <w:tab/>
            </w:r>
            <w:r w:rsidR="004F49F9" w:rsidRPr="000366E0">
              <w:rPr>
                <w:rStyle w:val="Hyperlink"/>
              </w:rPr>
              <w:t>Conservation of resources and CO2 reduction</w:t>
            </w:r>
            <w:r w:rsidR="004F49F9">
              <w:rPr>
                <w:webHidden/>
              </w:rPr>
              <w:tab/>
            </w:r>
            <w:r w:rsidR="004F49F9">
              <w:rPr>
                <w:webHidden/>
              </w:rPr>
              <w:fldChar w:fldCharType="begin"/>
            </w:r>
            <w:r w:rsidR="004F49F9">
              <w:rPr>
                <w:webHidden/>
              </w:rPr>
              <w:instrText xml:space="preserve"> PAGEREF _Toc127346251 \h </w:instrText>
            </w:r>
            <w:r w:rsidR="004F49F9">
              <w:rPr>
                <w:webHidden/>
              </w:rPr>
            </w:r>
            <w:r w:rsidR="004F49F9">
              <w:rPr>
                <w:webHidden/>
              </w:rPr>
              <w:fldChar w:fldCharType="separate"/>
            </w:r>
            <w:r w:rsidR="003E544B">
              <w:rPr>
                <w:webHidden/>
              </w:rPr>
              <w:t>105</w:t>
            </w:r>
            <w:r w:rsidR="004F49F9">
              <w:rPr>
                <w:webHidden/>
              </w:rPr>
              <w:fldChar w:fldCharType="end"/>
            </w:r>
          </w:hyperlink>
        </w:p>
        <w:p w14:paraId="7A31875A" w14:textId="1C504C1E" w:rsidR="004F49F9" w:rsidRDefault="00E55534">
          <w:pPr>
            <w:pStyle w:val="TOC3"/>
            <w:rPr>
              <w:rFonts w:asciiTheme="minorHAnsi" w:eastAsiaTheme="minorEastAsia" w:hAnsiTheme="minorHAnsi" w:cstheme="minorBidi"/>
              <w:sz w:val="22"/>
              <w:szCs w:val="22"/>
              <w:lang w:val="en-DK" w:eastAsia="en-DK"/>
            </w:rPr>
          </w:pPr>
          <w:hyperlink w:anchor="_Toc127346252" w:history="1">
            <w:r w:rsidR="004F49F9" w:rsidRPr="000366E0">
              <w:rPr>
                <w:rStyle w:val="Hyperlink"/>
              </w:rPr>
              <w:t>2.5.8</w:t>
            </w:r>
            <w:r w:rsidR="004F49F9">
              <w:rPr>
                <w:rFonts w:asciiTheme="minorHAnsi" w:eastAsiaTheme="minorEastAsia" w:hAnsiTheme="minorHAnsi" w:cstheme="minorBidi"/>
                <w:sz w:val="22"/>
                <w:szCs w:val="22"/>
                <w:lang w:val="en-DK" w:eastAsia="en-DK"/>
              </w:rPr>
              <w:tab/>
            </w:r>
            <w:r w:rsidR="004F49F9" w:rsidRPr="000366E0">
              <w:rPr>
                <w:rStyle w:val="Hyperlink"/>
              </w:rPr>
              <w:t>Upcoming measurement applications</w:t>
            </w:r>
            <w:r w:rsidR="004F49F9">
              <w:rPr>
                <w:webHidden/>
              </w:rPr>
              <w:tab/>
            </w:r>
            <w:r w:rsidR="004F49F9">
              <w:rPr>
                <w:webHidden/>
              </w:rPr>
              <w:fldChar w:fldCharType="begin"/>
            </w:r>
            <w:r w:rsidR="004F49F9">
              <w:rPr>
                <w:webHidden/>
              </w:rPr>
              <w:instrText xml:space="preserve"> PAGEREF _Toc127346252 \h </w:instrText>
            </w:r>
            <w:r w:rsidR="004F49F9">
              <w:rPr>
                <w:webHidden/>
              </w:rPr>
            </w:r>
            <w:r w:rsidR="004F49F9">
              <w:rPr>
                <w:webHidden/>
              </w:rPr>
              <w:fldChar w:fldCharType="separate"/>
            </w:r>
            <w:r w:rsidR="003E544B">
              <w:rPr>
                <w:webHidden/>
              </w:rPr>
              <w:t>105</w:t>
            </w:r>
            <w:r w:rsidR="004F49F9">
              <w:rPr>
                <w:webHidden/>
              </w:rPr>
              <w:fldChar w:fldCharType="end"/>
            </w:r>
          </w:hyperlink>
        </w:p>
        <w:p w14:paraId="5922783D" w14:textId="34C5CC5C" w:rsidR="004F49F9" w:rsidRDefault="00E55534">
          <w:pPr>
            <w:pStyle w:val="TOC3"/>
            <w:rPr>
              <w:rFonts w:asciiTheme="minorHAnsi" w:eastAsiaTheme="minorEastAsia" w:hAnsiTheme="minorHAnsi" w:cstheme="minorBidi"/>
              <w:sz w:val="22"/>
              <w:szCs w:val="22"/>
              <w:lang w:val="en-DK" w:eastAsia="en-DK"/>
            </w:rPr>
          </w:pPr>
          <w:hyperlink w:anchor="_Toc127346253" w:history="1">
            <w:r w:rsidR="004F49F9" w:rsidRPr="000366E0">
              <w:rPr>
                <w:rStyle w:val="Hyperlink"/>
              </w:rPr>
              <w:t>2.5.9</w:t>
            </w:r>
            <w:r w:rsidR="004F49F9">
              <w:rPr>
                <w:rFonts w:asciiTheme="minorHAnsi" w:eastAsiaTheme="minorEastAsia" w:hAnsiTheme="minorHAnsi" w:cstheme="minorBidi"/>
                <w:sz w:val="22"/>
                <w:szCs w:val="22"/>
                <w:lang w:val="en-DK" w:eastAsia="en-DK"/>
              </w:rPr>
              <w:tab/>
            </w:r>
            <w:r w:rsidR="004F49F9" w:rsidRPr="000366E0">
              <w:rPr>
                <w:rStyle w:val="Hyperlink"/>
              </w:rPr>
              <w:t>Today's achievable measurement accuracies</w:t>
            </w:r>
            <w:r w:rsidR="004F49F9">
              <w:rPr>
                <w:webHidden/>
              </w:rPr>
              <w:tab/>
            </w:r>
            <w:r w:rsidR="004F49F9">
              <w:rPr>
                <w:webHidden/>
              </w:rPr>
              <w:fldChar w:fldCharType="begin"/>
            </w:r>
            <w:r w:rsidR="004F49F9">
              <w:rPr>
                <w:webHidden/>
              </w:rPr>
              <w:instrText xml:space="preserve"> PAGEREF _Toc127346253 \h </w:instrText>
            </w:r>
            <w:r w:rsidR="004F49F9">
              <w:rPr>
                <w:webHidden/>
              </w:rPr>
            </w:r>
            <w:r w:rsidR="004F49F9">
              <w:rPr>
                <w:webHidden/>
              </w:rPr>
              <w:fldChar w:fldCharType="separate"/>
            </w:r>
            <w:r w:rsidR="003E544B">
              <w:rPr>
                <w:webHidden/>
              </w:rPr>
              <w:t>106</w:t>
            </w:r>
            <w:r w:rsidR="004F49F9">
              <w:rPr>
                <w:webHidden/>
              </w:rPr>
              <w:fldChar w:fldCharType="end"/>
            </w:r>
          </w:hyperlink>
        </w:p>
        <w:p w14:paraId="1A6B8F68" w14:textId="0FF3E0A4" w:rsidR="004F49F9" w:rsidRDefault="00E55534">
          <w:pPr>
            <w:pStyle w:val="TOC1"/>
            <w:rPr>
              <w:rFonts w:asciiTheme="minorHAnsi" w:eastAsiaTheme="minorEastAsia" w:hAnsiTheme="minorHAnsi" w:cstheme="minorBidi"/>
              <w:b w:val="0"/>
              <w:noProof/>
              <w:sz w:val="22"/>
              <w:szCs w:val="22"/>
              <w:lang w:val="en-DK" w:eastAsia="en-DK"/>
            </w:rPr>
          </w:pPr>
          <w:hyperlink w:anchor="_Toc127346254" w:history="1">
            <w:r w:rsidR="004F49F9" w:rsidRPr="000366E0">
              <w:rPr>
                <w:rStyle w:val="Hyperlink"/>
                <w:noProof/>
              </w:rPr>
              <w:t>3</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Radio Services and Systems</w:t>
            </w:r>
            <w:r w:rsidR="004F49F9">
              <w:rPr>
                <w:noProof/>
                <w:webHidden/>
              </w:rPr>
              <w:tab/>
            </w:r>
            <w:r w:rsidR="004F49F9">
              <w:rPr>
                <w:noProof/>
                <w:webHidden/>
              </w:rPr>
              <w:fldChar w:fldCharType="begin"/>
            </w:r>
            <w:r w:rsidR="004F49F9">
              <w:rPr>
                <w:noProof/>
                <w:webHidden/>
              </w:rPr>
              <w:instrText xml:space="preserve"> PAGEREF _Toc127346254 \h </w:instrText>
            </w:r>
            <w:r w:rsidR="004F49F9">
              <w:rPr>
                <w:noProof/>
                <w:webHidden/>
              </w:rPr>
            </w:r>
            <w:r w:rsidR="004F49F9">
              <w:rPr>
                <w:noProof/>
                <w:webHidden/>
              </w:rPr>
              <w:fldChar w:fldCharType="separate"/>
            </w:r>
            <w:r w:rsidR="003E544B">
              <w:rPr>
                <w:noProof/>
                <w:webHidden/>
              </w:rPr>
              <w:t>107</w:t>
            </w:r>
            <w:r w:rsidR="004F49F9">
              <w:rPr>
                <w:noProof/>
                <w:webHidden/>
              </w:rPr>
              <w:fldChar w:fldCharType="end"/>
            </w:r>
          </w:hyperlink>
        </w:p>
        <w:p w14:paraId="2B695B0E" w14:textId="3285DB31" w:rsidR="004F49F9" w:rsidRDefault="00E55534">
          <w:pPr>
            <w:pStyle w:val="TOC2"/>
            <w:rPr>
              <w:rFonts w:asciiTheme="minorHAnsi" w:eastAsiaTheme="minorEastAsia" w:hAnsiTheme="minorHAnsi" w:cstheme="minorBidi"/>
              <w:bCs w:val="0"/>
              <w:sz w:val="22"/>
              <w:szCs w:val="22"/>
              <w:lang w:val="en-DK" w:eastAsia="en-DK"/>
            </w:rPr>
          </w:pPr>
          <w:hyperlink w:anchor="_Toc127346255" w:history="1">
            <w:r w:rsidR="004F49F9" w:rsidRPr="000366E0">
              <w:rPr>
                <w:rStyle w:val="Hyperlink"/>
              </w:rPr>
              <w:t>3.1</w:t>
            </w:r>
            <w:r w:rsidR="004F49F9">
              <w:rPr>
                <w:rFonts w:asciiTheme="minorHAnsi" w:eastAsiaTheme="minorEastAsia" w:hAnsiTheme="minorHAnsi" w:cstheme="minorBidi"/>
                <w:bCs w:val="0"/>
                <w:sz w:val="22"/>
                <w:szCs w:val="22"/>
                <w:lang w:val="en-DK" w:eastAsia="en-DK"/>
              </w:rPr>
              <w:tab/>
            </w:r>
            <w:r w:rsidR="004F49F9" w:rsidRPr="000366E0">
              <w:rPr>
                <w:rStyle w:val="Hyperlink"/>
              </w:rPr>
              <w:t>Proposed Bands to be Considered in the Study within the frequency range 116−260 GHz</w:t>
            </w:r>
            <w:r w:rsidR="004F49F9">
              <w:rPr>
                <w:webHidden/>
              </w:rPr>
              <w:tab/>
            </w:r>
            <w:r w:rsidR="004F49F9">
              <w:rPr>
                <w:webHidden/>
              </w:rPr>
              <w:fldChar w:fldCharType="begin"/>
            </w:r>
            <w:r w:rsidR="004F49F9">
              <w:rPr>
                <w:webHidden/>
              </w:rPr>
              <w:instrText xml:space="preserve"> PAGEREF _Toc127346255 \h </w:instrText>
            </w:r>
            <w:r w:rsidR="004F49F9">
              <w:rPr>
                <w:webHidden/>
              </w:rPr>
            </w:r>
            <w:r w:rsidR="004F49F9">
              <w:rPr>
                <w:webHidden/>
              </w:rPr>
              <w:fldChar w:fldCharType="separate"/>
            </w:r>
            <w:r w:rsidR="003E544B">
              <w:rPr>
                <w:webHidden/>
              </w:rPr>
              <w:t>107</w:t>
            </w:r>
            <w:r w:rsidR="004F49F9">
              <w:rPr>
                <w:webHidden/>
              </w:rPr>
              <w:fldChar w:fldCharType="end"/>
            </w:r>
          </w:hyperlink>
        </w:p>
        <w:p w14:paraId="03D6EC80" w14:textId="50A9465B" w:rsidR="004F49F9" w:rsidRDefault="00E55534">
          <w:pPr>
            <w:pStyle w:val="TOC2"/>
            <w:rPr>
              <w:rFonts w:asciiTheme="minorHAnsi" w:eastAsiaTheme="minorEastAsia" w:hAnsiTheme="minorHAnsi" w:cstheme="minorBidi"/>
              <w:bCs w:val="0"/>
              <w:sz w:val="22"/>
              <w:szCs w:val="22"/>
              <w:lang w:val="en-DK" w:eastAsia="en-DK"/>
            </w:rPr>
          </w:pPr>
          <w:hyperlink w:anchor="_Toc127346256" w:history="1">
            <w:r w:rsidR="004F49F9" w:rsidRPr="000366E0">
              <w:rPr>
                <w:rStyle w:val="Hyperlink"/>
              </w:rPr>
              <w:t>3.2</w:t>
            </w:r>
            <w:r w:rsidR="004F49F9">
              <w:rPr>
                <w:rFonts w:asciiTheme="minorHAnsi" w:eastAsiaTheme="minorEastAsia" w:hAnsiTheme="minorHAnsi" w:cstheme="minorBidi"/>
                <w:bCs w:val="0"/>
                <w:sz w:val="22"/>
                <w:szCs w:val="22"/>
                <w:lang w:val="en-DK" w:eastAsia="en-DK"/>
              </w:rPr>
              <w:tab/>
            </w:r>
            <w:r w:rsidR="004F49F9" w:rsidRPr="000366E0">
              <w:rPr>
                <w:rStyle w:val="Hyperlink"/>
              </w:rPr>
              <w:t>European Frequency allocations and applications in the frequency range of interest</w:t>
            </w:r>
            <w:r w:rsidR="004F49F9">
              <w:rPr>
                <w:webHidden/>
              </w:rPr>
              <w:tab/>
            </w:r>
            <w:r w:rsidR="004F49F9">
              <w:rPr>
                <w:webHidden/>
              </w:rPr>
              <w:fldChar w:fldCharType="begin"/>
            </w:r>
            <w:r w:rsidR="004F49F9">
              <w:rPr>
                <w:webHidden/>
              </w:rPr>
              <w:instrText xml:space="preserve"> PAGEREF _Toc127346256 \h </w:instrText>
            </w:r>
            <w:r w:rsidR="004F49F9">
              <w:rPr>
                <w:webHidden/>
              </w:rPr>
            </w:r>
            <w:r w:rsidR="004F49F9">
              <w:rPr>
                <w:webHidden/>
              </w:rPr>
              <w:fldChar w:fldCharType="separate"/>
            </w:r>
            <w:r w:rsidR="003E544B">
              <w:rPr>
                <w:webHidden/>
              </w:rPr>
              <w:t>108</w:t>
            </w:r>
            <w:r w:rsidR="004F49F9">
              <w:rPr>
                <w:webHidden/>
              </w:rPr>
              <w:fldChar w:fldCharType="end"/>
            </w:r>
          </w:hyperlink>
        </w:p>
        <w:p w14:paraId="673B97C1" w14:textId="6C9AEAE5" w:rsidR="004F49F9" w:rsidRDefault="00E55534">
          <w:pPr>
            <w:pStyle w:val="TOC2"/>
            <w:rPr>
              <w:rFonts w:asciiTheme="minorHAnsi" w:eastAsiaTheme="minorEastAsia" w:hAnsiTheme="minorHAnsi" w:cstheme="minorBidi"/>
              <w:bCs w:val="0"/>
              <w:sz w:val="22"/>
              <w:szCs w:val="22"/>
              <w:lang w:val="en-DK" w:eastAsia="en-DK"/>
            </w:rPr>
          </w:pPr>
          <w:hyperlink w:anchor="_Toc127346257" w:history="1">
            <w:r w:rsidR="004F49F9" w:rsidRPr="000366E0">
              <w:rPr>
                <w:rStyle w:val="Hyperlink"/>
              </w:rPr>
              <w:t>3.3</w:t>
            </w:r>
            <w:r w:rsidR="004F49F9">
              <w:rPr>
                <w:rFonts w:asciiTheme="minorHAnsi" w:eastAsiaTheme="minorEastAsia" w:hAnsiTheme="minorHAnsi" w:cstheme="minorBidi"/>
                <w:bCs w:val="0"/>
                <w:sz w:val="22"/>
                <w:szCs w:val="22"/>
                <w:lang w:val="en-DK" w:eastAsia="en-DK"/>
              </w:rPr>
              <w:tab/>
            </w:r>
            <w:r w:rsidR="004F49F9" w:rsidRPr="000366E0">
              <w:rPr>
                <w:rStyle w:val="Hyperlink"/>
              </w:rPr>
              <w:t>Compatibility schemes overview inside and nearby the candidate frequency bands</w:t>
            </w:r>
            <w:r w:rsidR="004F49F9">
              <w:rPr>
                <w:webHidden/>
              </w:rPr>
              <w:tab/>
            </w:r>
            <w:r w:rsidR="004F49F9">
              <w:rPr>
                <w:webHidden/>
              </w:rPr>
              <w:fldChar w:fldCharType="begin"/>
            </w:r>
            <w:r w:rsidR="004F49F9">
              <w:rPr>
                <w:webHidden/>
              </w:rPr>
              <w:instrText xml:space="preserve"> PAGEREF _Toc127346257 \h </w:instrText>
            </w:r>
            <w:r w:rsidR="004F49F9">
              <w:rPr>
                <w:webHidden/>
              </w:rPr>
            </w:r>
            <w:r w:rsidR="004F49F9">
              <w:rPr>
                <w:webHidden/>
              </w:rPr>
              <w:fldChar w:fldCharType="separate"/>
            </w:r>
            <w:r w:rsidR="003E544B">
              <w:rPr>
                <w:webHidden/>
              </w:rPr>
              <w:t>112</w:t>
            </w:r>
            <w:r w:rsidR="004F49F9">
              <w:rPr>
                <w:webHidden/>
              </w:rPr>
              <w:fldChar w:fldCharType="end"/>
            </w:r>
          </w:hyperlink>
        </w:p>
        <w:p w14:paraId="7439BC39" w14:textId="36B9D4DC" w:rsidR="004F49F9" w:rsidRDefault="00E55534">
          <w:pPr>
            <w:pStyle w:val="TOC2"/>
            <w:rPr>
              <w:rFonts w:asciiTheme="minorHAnsi" w:eastAsiaTheme="minorEastAsia" w:hAnsiTheme="minorHAnsi" w:cstheme="minorBidi"/>
              <w:bCs w:val="0"/>
              <w:sz w:val="22"/>
              <w:szCs w:val="22"/>
              <w:lang w:val="en-DK" w:eastAsia="en-DK"/>
            </w:rPr>
          </w:pPr>
          <w:hyperlink w:anchor="_Toc127346258" w:history="1">
            <w:r w:rsidR="004F49F9" w:rsidRPr="000366E0">
              <w:rPr>
                <w:rStyle w:val="Hyperlink"/>
              </w:rPr>
              <w:t>3.4</w:t>
            </w:r>
            <w:r w:rsidR="004F49F9">
              <w:rPr>
                <w:rFonts w:asciiTheme="minorHAnsi" w:eastAsiaTheme="minorEastAsia" w:hAnsiTheme="minorHAnsi" w:cstheme="minorBidi"/>
                <w:bCs w:val="0"/>
                <w:sz w:val="22"/>
                <w:szCs w:val="22"/>
                <w:lang w:val="en-DK" w:eastAsia="en-DK"/>
              </w:rPr>
              <w:tab/>
            </w:r>
            <w:r w:rsidR="004F49F9" w:rsidRPr="000366E0">
              <w:rPr>
                <w:rStyle w:val="Hyperlink"/>
              </w:rPr>
              <w:t>Interference Scenarios</w:t>
            </w:r>
            <w:r w:rsidR="004F49F9">
              <w:rPr>
                <w:webHidden/>
              </w:rPr>
              <w:tab/>
            </w:r>
            <w:r w:rsidR="004F49F9">
              <w:rPr>
                <w:webHidden/>
              </w:rPr>
              <w:fldChar w:fldCharType="begin"/>
            </w:r>
            <w:r w:rsidR="004F49F9">
              <w:rPr>
                <w:webHidden/>
              </w:rPr>
              <w:instrText xml:space="preserve"> PAGEREF _Toc127346258 \h </w:instrText>
            </w:r>
            <w:r w:rsidR="004F49F9">
              <w:rPr>
                <w:webHidden/>
              </w:rPr>
            </w:r>
            <w:r w:rsidR="004F49F9">
              <w:rPr>
                <w:webHidden/>
              </w:rPr>
              <w:fldChar w:fldCharType="separate"/>
            </w:r>
            <w:r w:rsidR="003E544B">
              <w:rPr>
                <w:webHidden/>
              </w:rPr>
              <w:t>114</w:t>
            </w:r>
            <w:r w:rsidR="004F49F9">
              <w:rPr>
                <w:webHidden/>
              </w:rPr>
              <w:fldChar w:fldCharType="end"/>
            </w:r>
          </w:hyperlink>
        </w:p>
        <w:p w14:paraId="65F6D33C" w14:textId="1C7A1470" w:rsidR="004F49F9" w:rsidRDefault="00E55534">
          <w:pPr>
            <w:pStyle w:val="TOC3"/>
            <w:rPr>
              <w:rFonts w:asciiTheme="minorHAnsi" w:eastAsiaTheme="minorEastAsia" w:hAnsiTheme="minorHAnsi" w:cstheme="minorBidi"/>
              <w:sz w:val="22"/>
              <w:szCs w:val="22"/>
              <w:lang w:val="en-DK" w:eastAsia="en-DK"/>
            </w:rPr>
          </w:pPr>
          <w:hyperlink w:anchor="_Toc127346259" w:history="1">
            <w:r w:rsidR="004F49F9" w:rsidRPr="000366E0">
              <w:rPr>
                <w:rStyle w:val="Hyperlink"/>
              </w:rPr>
              <w:t>3.4.1</w:t>
            </w:r>
            <w:r w:rsidR="004F49F9">
              <w:rPr>
                <w:rFonts w:asciiTheme="minorHAnsi" w:eastAsiaTheme="minorEastAsia" w:hAnsiTheme="minorHAnsi" w:cstheme="minorBidi"/>
                <w:sz w:val="22"/>
                <w:szCs w:val="22"/>
                <w:lang w:val="en-DK" w:eastAsia="en-DK"/>
              </w:rPr>
              <w:tab/>
            </w:r>
            <w:r w:rsidR="004F49F9" w:rsidRPr="000366E0">
              <w:rPr>
                <w:rStyle w:val="Hyperlink"/>
              </w:rPr>
              <w:t>Introduction</w:t>
            </w:r>
            <w:r w:rsidR="004F49F9">
              <w:rPr>
                <w:webHidden/>
              </w:rPr>
              <w:tab/>
            </w:r>
            <w:r w:rsidR="004F49F9">
              <w:rPr>
                <w:webHidden/>
              </w:rPr>
              <w:fldChar w:fldCharType="begin"/>
            </w:r>
            <w:r w:rsidR="004F49F9">
              <w:rPr>
                <w:webHidden/>
              </w:rPr>
              <w:instrText xml:space="preserve"> PAGEREF _Toc127346259 \h </w:instrText>
            </w:r>
            <w:r w:rsidR="004F49F9">
              <w:rPr>
                <w:webHidden/>
              </w:rPr>
            </w:r>
            <w:r w:rsidR="004F49F9">
              <w:rPr>
                <w:webHidden/>
              </w:rPr>
              <w:fldChar w:fldCharType="separate"/>
            </w:r>
            <w:r w:rsidR="003E544B">
              <w:rPr>
                <w:webHidden/>
              </w:rPr>
              <w:t>114</w:t>
            </w:r>
            <w:r w:rsidR="004F49F9">
              <w:rPr>
                <w:webHidden/>
              </w:rPr>
              <w:fldChar w:fldCharType="end"/>
            </w:r>
          </w:hyperlink>
        </w:p>
        <w:p w14:paraId="4912A0CE" w14:textId="401C226B" w:rsidR="004F49F9" w:rsidRDefault="00E55534">
          <w:pPr>
            <w:pStyle w:val="TOC3"/>
            <w:rPr>
              <w:rFonts w:asciiTheme="minorHAnsi" w:eastAsiaTheme="minorEastAsia" w:hAnsiTheme="minorHAnsi" w:cstheme="minorBidi"/>
              <w:sz w:val="22"/>
              <w:szCs w:val="22"/>
              <w:lang w:val="en-DK" w:eastAsia="en-DK"/>
            </w:rPr>
          </w:pPr>
          <w:hyperlink w:anchor="_Toc127346260" w:history="1">
            <w:r w:rsidR="004F49F9" w:rsidRPr="000366E0">
              <w:rPr>
                <w:rStyle w:val="Hyperlink"/>
              </w:rPr>
              <w:t>3.4.2</w:t>
            </w:r>
            <w:r w:rsidR="004F49F9">
              <w:rPr>
                <w:rFonts w:asciiTheme="minorHAnsi" w:eastAsiaTheme="minorEastAsia" w:hAnsiTheme="minorHAnsi" w:cstheme="minorBidi"/>
                <w:sz w:val="22"/>
                <w:szCs w:val="22"/>
                <w:lang w:val="en-DK" w:eastAsia="en-DK"/>
              </w:rPr>
              <w:tab/>
            </w:r>
            <w:r w:rsidR="004F49F9" w:rsidRPr="000366E0">
              <w:rPr>
                <w:rStyle w:val="Hyperlink"/>
              </w:rPr>
              <w:t>Terrestrial interference scenario</w:t>
            </w:r>
            <w:r w:rsidR="004F49F9">
              <w:rPr>
                <w:webHidden/>
              </w:rPr>
              <w:tab/>
            </w:r>
            <w:r w:rsidR="004F49F9">
              <w:rPr>
                <w:webHidden/>
              </w:rPr>
              <w:fldChar w:fldCharType="begin"/>
            </w:r>
            <w:r w:rsidR="004F49F9">
              <w:rPr>
                <w:webHidden/>
              </w:rPr>
              <w:instrText xml:space="preserve"> PAGEREF _Toc127346260 \h </w:instrText>
            </w:r>
            <w:r w:rsidR="004F49F9">
              <w:rPr>
                <w:webHidden/>
              </w:rPr>
            </w:r>
            <w:r w:rsidR="004F49F9">
              <w:rPr>
                <w:webHidden/>
              </w:rPr>
              <w:fldChar w:fldCharType="separate"/>
            </w:r>
            <w:r w:rsidR="003E544B">
              <w:rPr>
                <w:webHidden/>
              </w:rPr>
              <w:t>114</w:t>
            </w:r>
            <w:r w:rsidR="004F49F9">
              <w:rPr>
                <w:webHidden/>
              </w:rPr>
              <w:fldChar w:fldCharType="end"/>
            </w:r>
          </w:hyperlink>
        </w:p>
        <w:p w14:paraId="6AAFC9E9" w14:textId="373205FD" w:rsidR="004F49F9" w:rsidRDefault="00E55534">
          <w:pPr>
            <w:pStyle w:val="TOC3"/>
            <w:rPr>
              <w:rFonts w:asciiTheme="minorHAnsi" w:eastAsiaTheme="minorEastAsia" w:hAnsiTheme="minorHAnsi" w:cstheme="minorBidi"/>
              <w:sz w:val="22"/>
              <w:szCs w:val="22"/>
              <w:lang w:val="en-DK" w:eastAsia="en-DK"/>
            </w:rPr>
          </w:pPr>
          <w:hyperlink w:anchor="_Toc127346261" w:history="1">
            <w:r w:rsidR="004F49F9" w:rsidRPr="000366E0">
              <w:rPr>
                <w:rStyle w:val="Hyperlink"/>
              </w:rPr>
              <w:t>3.4.3</w:t>
            </w:r>
            <w:r w:rsidR="004F49F9">
              <w:rPr>
                <w:rFonts w:asciiTheme="minorHAnsi" w:eastAsiaTheme="minorEastAsia" w:hAnsiTheme="minorHAnsi" w:cstheme="minorBidi"/>
                <w:sz w:val="22"/>
                <w:szCs w:val="22"/>
                <w:lang w:val="en-DK" w:eastAsia="en-DK"/>
              </w:rPr>
              <w:tab/>
            </w:r>
            <w:r w:rsidR="004F49F9" w:rsidRPr="000366E0">
              <w:rPr>
                <w:rStyle w:val="Hyperlink"/>
              </w:rPr>
              <w:t>The radio horizon</w:t>
            </w:r>
            <w:r w:rsidR="004F49F9">
              <w:rPr>
                <w:webHidden/>
              </w:rPr>
              <w:tab/>
            </w:r>
            <w:r w:rsidR="004F49F9">
              <w:rPr>
                <w:webHidden/>
              </w:rPr>
              <w:fldChar w:fldCharType="begin"/>
            </w:r>
            <w:r w:rsidR="004F49F9">
              <w:rPr>
                <w:webHidden/>
              </w:rPr>
              <w:instrText xml:space="preserve"> PAGEREF _Toc127346261 \h </w:instrText>
            </w:r>
            <w:r w:rsidR="004F49F9">
              <w:rPr>
                <w:webHidden/>
              </w:rPr>
            </w:r>
            <w:r w:rsidR="004F49F9">
              <w:rPr>
                <w:webHidden/>
              </w:rPr>
              <w:fldChar w:fldCharType="separate"/>
            </w:r>
            <w:r w:rsidR="003E544B">
              <w:rPr>
                <w:webHidden/>
              </w:rPr>
              <w:t>116</w:t>
            </w:r>
            <w:r w:rsidR="004F49F9">
              <w:rPr>
                <w:webHidden/>
              </w:rPr>
              <w:fldChar w:fldCharType="end"/>
            </w:r>
          </w:hyperlink>
        </w:p>
        <w:p w14:paraId="74E1EFFE" w14:textId="037247B6" w:rsidR="004F49F9" w:rsidRDefault="00E55534">
          <w:pPr>
            <w:pStyle w:val="TOC3"/>
            <w:rPr>
              <w:rFonts w:asciiTheme="minorHAnsi" w:eastAsiaTheme="minorEastAsia" w:hAnsiTheme="minorHAnsi" w:cstheme="minorBidi"/>
              <w:sz w:val="22"/>
              <w:szCs w:val="22"/>
              <w:lang w:val="en-DK" w:eastAsia="en-DK"/>
            </w:rPr>
          </w:pPr>
          <w:hyperlink w:anchor="_Toc127346262" w:history="1">
            <w:r w:rsidR="004F49F9" w:rsidRPr="000366E0">
              <w:rPr>
                <w:rStyle w:val="Hyperlink"/>
              </w:rPr>
              <w:t>3.4.4</w:t>
            </w:r>
            <w:r w:rsidR="004F49F9">
              <w:rPr>
                <w:rFonts w:asciiTheme="minorHAnsi" w:eastAsiaTheme="minorEastAsia" w:hAnsiTheme="minorHAnsi" w:cstheme="minorBidi"/>
                <w:sz w:val="22"/>
                <w:szCs w:val="22"/>
                <w:lang w:val="en-DK" w:eastAsia="en-DK"/>
              </w:rPr>
              <w:tab/>
            </w:r>
            <w:r w:rsidR="004F49F9" w:rsidRPr="000366E0">
              <w:rPr>
                <w:rStyle w:val="Hyperlink"/>
              </w:rPr>
              <w:t>Interference scenario to spaceborne passive satellite receivers</w:t>
            </w:r>
            <w:r w:rsidR="004F49F9">
              <w:rPr>
                <w:webHidden/>
              </w:rPr>
              <w:tab/>
            </w:r>
            <w:r w:rsidR="004F49F9">
              <w:rPr>
                <w:webHidden/>
              </w:rPr>
              <w:fldChar w:fldCharType="begin"/>
            </w:r>
            <w:r w:rsidR="004F49F9">
              <w:rPr>
                <w:webHidden/>
              </w:rPr>
              <w:instrText xml:space="preserve"> PAGEREF _Toc127346262 \h </w:instrText>
            </w:r>
            <w:r w:rsidR="004F49F9">
              <w:rPr>
                <w:webHidden/>
              </w:rPr>
            </w:r>
            <w:r w:rsidR="004F49F9">
              <w:rPr>
                <w:webHidden/>
              </w:rPr>
              <w:fldChar w:fldCharType="separate"/>
            </w:r>
            <w:r w:rsidR="003E544B">
              <w:rPr>
                <w:webHidden/>
              </w:rPr>
              <w:t>117</w:t>
            </w:r>
            <w:r w:rsidR="004F49F9">
              <w:rPr>
                <w:webHidden/>
              </w:rPr>
              <w:fldChar w:fldCharType="end"/>
            </w:r>
          </w:hyperlink>
        </w:p>
        <w:p w14:paraId="1AC0E93F" w14:textId="74E06016" w:rsidR="004F49F9" w:rsidRDefault="00E55534">
          <w:pPr>
            <w:pStyle w:val="TOC3"/>
            <w:rPr>
              <w:rFonts w:asciiTheme="minorHAnsi" w:eastAsiaTheme="minorEastAsia" w:hAnsiTheme="minorHAnsi" w:cstheme="minorBidi"/>
              <w:sz w:val="22"/>
              <w:szCs w:val="22"/>
              <w:lang w:val="en-DK" w:eastAsia="en-DK"/>
            </w:rPr>
          </w:pPr>
          <w:hyperlink w:anchor="_Toc127346263" w:history="1">
            <w:r w:rsidR="004F49F9" w:rsidRPr="000366E0">
              <w:rPr>
                <w:rStyle w:val="Hyperlink"/>
              </w:rPr>
              <w:t>3.4.5</w:t>
            </w:r>
            <w:r w:rsidR="004F49F9">
              <w:rPr>
                <w:rFonts w:asciiTheme="minorHAnsi" w:eastAsiaTheme="minorEastAsia" w:hAnsiTheme="minorHAnsi" w:cstheme="minorBidi"/>
                <w:sz w:val="22"/>
                <w:szCs w:val="22"/>
                <w:lang w:val="en-DK" w:eastAsia="en-DK"/>
              </w:rPr>
              <w:tab/>
            </w:r>
            <w:r w:rsidR="004F49F9" w:rsidRPr="000366E0">
              <w:rPr>
                <w:rStyle w:val="Hyperlink"/>
              </w:rPr>
              <w:t>Interference scenario to limb sounding systems</w:t>
            </w:r>
            <w:r w:rsidR="004F49F9">
              <w:rPr>
                <w:webHidden/>
              </w:rPr>
              <w:tab/>
            </w:r>
            <w:r w:rsidR="004F49F9">
              <w:rPr>
                <w:webHidden/>
              </w:rPr>
              <w:fldChar w:fldCharType="begin"/>
            </w:r>
            <w:r w:rsidR="004F49F9">
              <w:rPr>
                <w:webHidden/>
              </w:rPr>
              <w:instrText xml:space="preserve"> PAGEREF _Toc127346263 \h </w:instrText>
            </w:r>
            <w:r w:rsidR="004F49F9">
              <w:rPr>
                <w:webHidden/>
              </w:rPr>
            </w:r>
            <w:r w:rsidR="004F49F9">
              <w:rPr>
                <w:webHidden/>
              </w:rPr>
              <w:fldChar w:fldCharType="separate"/>
            </w:r>
            <w:r w:rsidR="003E544B">
              <w:rPr>
                <w:webHidden/>
              </w:rPr>
              <w:t>118</w:t>
            </w:r>
            <w:r w:rsidR="004F49F9">
              <w:rPr>
                <w:webHidden/>
              </w:rPr>
              <w:fldChar w:fldCharType="end"/>
            </w:r>
          </w:hyperlink>
        </w:p>
        <w:p w14:paraId="75C0E708" w14:textId="629BD6A4" w:rsidR="004F49F9" w:rsidRDefault="00E55534">
          <w:pPr>
            <w:pStyle w:val="TOC2"/>
            <w:rPr>
              <w:rFonts w:asciiTheme="minorHAnsi" w:eastAsiaTheme="minorEastAsia" w:hAnsiTheme="minorHAnsi" w:cstheme="minorBidi"/>
              <w:bCs w:val="0"/>
              <w:sz w:val="22"/>
              <w:szCs w:val="22"/>
              <w:lang w:val="en-DK" w:eastAsia="en-DK"/>
            </w:rPr>
          </w:pPr>
          <w:hyperlink w:anchor="_Toc127346264" w:history="1">
            <w:r w:rsidR="004F49F9" w:rsidRPr="000366E0">
              <w:rPr>
                <w:rStyle w:val="Hyperlink"/>
              </w:rPr>
              <w:t>3.5</w:t>
            </w:r>
            <w:r w:rsidR="004F49F9">
              <w:rPr>
                <w:rFonts w:asciiTheme="minorHAnsi" w:eastAsiaTheme="minorEastAsia" w:hAnsiTheme="minorHAnsi" w:cstheme="minorBidi"/>
                <w:bCs w:val="0"/>
                <w:sz w:val="22"/>
                <w:szCs w:val="22"/>
                <w:lang w:val="en-DK" w:eastAsia="en-DK"/>
              </w:rPr>
              <w:tab/>
            </w:r>
            <w:r w:rsidR="004F49F9" w:rsidRPr="000366E0">
              <w:rPr>
                <w:rStyle w:val="Hyperlink"/>
              </w:rPr>
              <w:t>Technical Parameters and Protection Criteria for Radio Services</w:t>
            </w:r>
            <w:r w:rsidR="004F49F9">
              <w:rPr>
                <w:webHidden/>
              </w:rPr>
              <w:tab/>
            </w:r>
            <w:r w:rsidR="004F49F9">
              <w:rPr>
                <w:webHidden/>
              </w:rPr>
              <w:fldChar w:fldCharType="begin"/>
            </w:r>
            <w:r w:rsidR="004F49F9">
              <w:rPr>
                <w:webHidden/>
              </w:rPr>
              <w:instrText xml:space="preserve"> PAGEREF _Toc127346264 \h </w:instrText>
            </w:r>
            <w:r w:rsidR="004F49F9">
              <w:rPr>
                <w:webHidden/>
              </w:rPr>
            </w:r>
            <w:r w:rsidR="004F49F9">
              <w:rPr>
                <w:webHidden/>
              </w:rPr>
              <w:fldChar w:fldCharType="separate"/>
            </w:r>
            <w:r w:rsidR="003E544B">
              <w:rPr>
                <w:webHidden/>
              </w:rPr>
              <w:t>119</w:t>
            </w:r>
            <w:r w:rsidR="004F49F9">
              <w:rPr>
                <w:webHidden/>
              </w:rPr>
              <w:fldChar w:fldCharType="end"/>
            </w:r>
          </w:hyperlink>
        </w:p>
        <w:p w14:paraId="046C133F" w14:textId="2C5E7576" w:rsidR="004F49F9" w:rsidRDefault="00E55534">
          <w:pPr>
            <w:pStyle w:val="TOC3"/>
            <w:rPr>
              <w:rFonts w:asciiTheme="minorHAnsi" w:eastAsiaTheme="minorEastAsia" w:hAnsiTheme="minorHAnsi" w:cstheme="minorBidi"/>
              <w:sz w:val="22"/>
              <w:szCs w:val="22"/>
              <w:lang w:val="en-DK" w:eastAsia="en-DK"/>
            </w:rPr>
          </w:pPr>
          <w:hyperlink w:anchor="_Toc127346265" w:history="1">
            <w:r w:rsidR="004F49F9" w:rsidRPr="000366E0">
              <w:rPr>
                <w:rStyle w:val="Hyperlink"/>
              </w:rPr>
              <w:t>3.5.1</w:t>
            </w:r>
            <w:r w:rsidR="004F49F9">
              <w:rPr>
                <w:rFonts w:asciiTheme="minorHAnsi" w:eastAsiaTheme="minorEastAsia" w:hAnsiTheme="minorHAnsi" w:cstheme="minorBidi"/>
                <w:sz w:val="22"/>
                <w:szCs w:val="22"/>
                <w:lang w:val="en-DK" w:eastAsia="en-DK"/>
              </w:rPr>
              <w:tab/>
            </w:r>
            <w:r w:rsidR="004F49F9" w:rsidRPr="000366E0">
              <w:rPr>
                <w:rStyle w:val="Hyperlink"/>
              </w:rPr>
              <w:t>Introduction</w:t>
            </w:r>
            <w:r w:rsidR="004F49F9">
              <w:rPr>
                <w:webHidden/>
              </w:rPr>
              <w:tab/>
            </w:r>
            <w:r w:rsidR="004F49F9">
              <w:rPr>
                <w:webHidden/>
              </w:rPr>
              <w:fldChar w:fldCharType="begin"/>
            </w:r>
            <w:r w:rsidR="004F49F9">
              <w:rPr>
                <w:webHidden/>
              </w:rPr>
              <w:instrText xml:space="preserve"> PAGEREF _Toc127346265 \h </w:instrText>
            </w:r>
            <w:r w:rsidR="004F49F9">
              <w:rPr>
                <w:webHidden/>
              </w:rPr>
            </w:r>
            <w:r w:rsidR="004F49F9">
              <w:rPr>
                <w:webHidden/>
              </w:rPr>
              <w:fldChar w:fldCharType="separate"/>
            </w:r>
            <w:r w:rsidR="003E544B">
              <w:rPr>
                <w:webHidden/>
              </w:rPr>
              <w:t>119</w:t>
            </w:r>
            <w:r w:rsidR="004F49F9">
              <w:rPr>
                <w:webHidden/>
              </w:rPr>
              <w:fldChar w:fldCharType="end"/>
            </w:r>
          </w:hyperlink>
        </w:p>
        <w:p w14:paraId="412B1CBF" w14:textId="5B141543" w:rsidR="004F49F9" w:rsidRDefault="00E55534">
          <w:pPr>
            <w:pStyle w:val="TOC3"/>
            <w:rPr>
              <w:rFonts w:asciiTheme="minorHAnsi" w:eastAsiaTheme="minorEastAsia" w:hAnsiTheme="minorHAnsi" w:cstheme="minorBidi"/>
              <w:sz w:val="22"/>
              <w:szCs w:val="22"/>
              <w:lang w:val="en-DK" w:eastAsia="en-DK"/>
            </w:rPr>
          </w:pPr>
          <w:hyperlink w:anchor="_Toc127346266" w:history="1">
            <w:r w:rsidR="004F49F9" w:rsidRPr="000366E0">
              <w:rPr>
                <w:rStyle w:val="Hyperlink"/>
              </w:rPr>
              <w:t>3.5.2</w:t>
            </w:r>
            <w:r w:rsidR="004F49F9">
              <w:rPr>
                <w:rFonts w:asciiTheme="minorHAnsi" w:eastAsiaTheme="minorEastAsia" w:hAnsiTheme="minorHAnsi" w:cstheme="minorBidi"/>
                <w:sz w:val="22"/>
                <w:szCs w:val="22"/>
                <w:lang w:val="en-DK" w:eastAsia="en-DK"/>
              </w:rPr>
              <w:tab/>
            </w:r>
            <w:r w:rsidR="004F49F9" w:rsidRPr="000366E0">
              <w:rPr>
                <w:rStyle w:val="Hyperlink"/>
              </w:rPr>
              <w:t>Radio Astronomy Service</w:t>
            </w:r>
            <w:r w:rsidR="004F49F9">
              <w:rPr>
                <w:webHidden/>
              </w:rPr>
              <w:tab/>
            </w:r>
            <w:r w:rsidR="004F49F9">
              <w:rPr>
                <w:webHidden/>
              </w:rPr>
              <w:fldChar w:fldCharType="begin"/>
            </w:r>
            <w:r w:rsidR="004F49F9">
              <w:rPr>
                <w:webHidden/>
              </w:rPr>
              <w:instrText xml:space="preserve"> PAGEREF _Toc127346266 \h </w:instrText>
            </w:r>
            <w:r w:rsidR="004F49F9">
              <w:rPr>
                <w:webHidden/>
              </w:rPr>
            </w:r>
            <w:r w:rsidR="004F49F9">
              <w:rPr>
                <w:webHidden/>
              </w:rPr>
              <w:fldChar w:fldCharType="separate"/>
            </w:r>
            <w:r w:rsidR="003E544B">
              <w:rPr>
                <w:webHidden/>
              </w:rPr>
              <w:t>119</w:t>
            </w:r>
            <w:r w:rsidR="004F49F9">
              <w:rPr>
                <w:webHidden/>
              </w:rPr>
              <w:fldChar w:fldCharType="end"/>
            </w:r>
          </w:hyperlink>
        </w:p>
        <w:p w14:paraId="2DFAA274" w14:textId="59A1A5F5" w:rsidR="004F49F9" w:rsidRDefault="00E55534">
          <w:pPr>
            <w:pStyle w:val="TOC3"/>
            <w:rPr>
              <w:rFonts w:asciiTheme="minorHAnsi" w:eastAsiaTheme="minorEastAsia" w:hAnsiTheme="minorHAnsi" w:cstheme="minorBidi"/>
              <w:sz w:val="22"/>
              <w:szCs w:val="22"/>
              <w:lang w:val="en-DK" w:eastAsia="en-DK"/>
            </w:rPr>
          </w:pPr>
          <w:hyperlink w:anchor="_Toc127346267" w:history="1">
            <w:r w:rsidR="004F49F9" w:rsidRPr="000366E0">
              <w:rPr>
                <w:rStyle w:val="Hyperlink"/>
              </w:rPr>
              <w:t>3.5.3</w:t>
            </w:r>
            <w:r w:rsidR="004F49F9">
              <w:rPr>
                <w:rFonts w:asciiTheme="minorHAnsi" w:eastAsiaTheme="minorEastAsia" w:hAnsiTheme="minorHAnsi" w:cstheme="minorBidi"/>
                <w:sz w:val="22"/>
                <w:szCs w:val="22"/>
                <w:lang w:val="en-DK" w:eastAsia="en-DK"/>
              </w:rPr>
              <w:tab/>
            </w:r>
            <w:r w:rsidR="004F49F9" w:rsidRPr="000366E0">
              <w:rPr>
                <w:rStyle w:val="Hyperlink"/>
              </w:rPr>
              <w:t>Fixed Service (FS)</w:t>
            </w:r>
            <w:r w:rsidR="004F49F9">
              <w:rPr>
                <w:webHidden/>
              </w:rPr>
              <w:tab/>
            </w:r>
            <w:r w:rsidR="004F49F9">
              <w:rPr>
                <w:webHidden/>
              </w:rPr>
              <w:fldChar w:fldCharType="begin"/>
            </w:r>
            <w:r w:rsidR="004F49F9">
              <w:rPr>
                <w:webHidden/>
              </w:rPr>
              <w:instrText xml:space="preserve"> PAGEREF _Toc127346267 \h </w:instrText>
            </w:r>
            <w:r w:rsidR="004F49F9">
              <w:rPr>
                <w:webHidden/>
              </w:rPr>
            </w:r>
            <w:r w:rsidR="004F49F9">
              <w:rPr>
                <w:webHidden/>
              </w:rPr>
              <w:fldChar w:fldCharType="separate"/>
            </w:r>
            <w:r w:rsidR="003E544B">
              <w:rPr>
                <w:webHidden/>
              </w:rPr>
              <w:t>124</w:t>
            </w:r>
            <w:r w:rsidR="004F49F9">
              <w:rPr>
                <w:webHidden/>
              </w:rPr>
              <w:fldChar w:fldCharType="end"/>
            </w:r>
          </w:hyperlink>
        </w:p>
        <w:p w14:paraId="03371888" w14:textId="2DED37BB" w:rsidR="004F49F9" w:rsidRDefault="00E55534">
          <w:pPr>
            <w:pStyle w:val="TOC3"/>
            <w:rPr>
              <w:rFonts w:asciiTheme="minorHAnsi" w:eastAsiaTheme="minorEastAsia" w:hAnsiTheme="minorHAnsi" w:cstheme="minorBidi"/>
              <w:sz w:val="22"/>
              <w:szCs w:val="22"/>
              <w:lang w:val="en-DK" w:eastAsia="en-DK"/>
            </w:rPr>
          </w:pPr>
          <w:hyperlink w:anchor="_Toc127346268" w:history="1">
            <w:r w:rsidR="004F49F9" w:rsidRPr="000366E0">
              <w:rPr>
                <w:rStyle w:val="Hyperlink"/>
              </w:rPr>
              <w:t>3.5.4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_Toc127346268 \h </w:instrText>
            </w:r>
            <w:r w:rsidR="004F49F9">
              <w:rPr>
                <w:webHidden/>
              </w:rPr>
            </w:r>
            <w:r w:rsidR="004F49F9">
              <w:rPr>
                <w:webHidden/>
              </w:rPr>
              <w:fldChar w:fldCharType="separate"/>
            </w:r>
            <w:r w:rsidR="003E544B">
              <w:rPr>
                <w:webHidden/>
              </w:rPr>
              <w:t>126</w:t>
            </w:r>
            <w:r w:rsidR="004F49F9">
              <w:rPr>
                <w:webHidden/>
              </w:rPr>
              <w:fldChar w:fldCharType="end"/>
            </w:r>
          </w:hyperlink>
        </w:p>
        <w:p w14:paraId="73B4CB75" w14:textId="41CDE890" w:rsidR="004F49F9" w:rsidRDefault="00E55534">
          <w:pPr>
            <w:pStyle w:val="TOC3"/>
            <w:rPr>
              <w:rFonts w:asciiTheme="minorHAnsi" w:eastAsiaTheme="minorEastAsia" w:hAnsiTheme="minorHAnsi" w:cstheme="minorBidi"/>
              <w:sz w:val="22"/>
              <w:szCs w:val="22"/>
              <w:lang w:val="en-DK" w:eastAsia="en-DK"/>
            </w:rPr>
          </w:pPr>
          <w:hyperlink w:anchor="_Toc127346269" w:history="1">
            <w:r w:rsidR="004F49F9" w:rsidRPr="000366E0">
              <w:rPr>
                <w:rStyle w:val="Hyperlink"/>
              </w:rPr>
              <w:t>3.5.5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_Toc127346269 \h </w:instrText>
            </w:r>
            <w:r w:rsidR="004F49F9">
              <w:rPr>
                <w:webHidden/>
              </w:rPr>
            </w:r>
            <w:r w:rsidR="004F49F9">
              <w:rPr>
                <w:webHidden/>
              </w:rPr>
              <w:fldChar w:fldCharType="separate"/>
            </w:r>
            <w:r w:rsidR="003E544B">
              <w:rPr>
                <w:webHidden/>
              </w:rPr>
              <w:t>134</w:t>
            </w:r>
            <w:r w:rsidR="004F49F9">
              <w:rPr>
                <w:webHidden/>
              </w:rPr>
              <w:fldChar w:fldCharType="end"/>
            </w:r>
          </w:hyperlink>
        </w:p>
        <w:p w14:paraId="79EE2E3B" w14:textId="5840C5CC" w:rsidR="004F49F9" w:rsidRDefault="00E55534">
          <w:pPr>
            <w:pStyle w:val="TOC1"/>
            <w:rPr>
              <w:rFonts w:asciiTheme="minorHAnsi" w:eastAsiaTheme="minorEastAsia" w:hAnsiTheme="minorHAnsi" w:cstheme="minorBidi"/>
              <w:b w:val="0"/>
              <w:noProof/>
              <w:sz w:val="22"/>
              <w:szCs w:val="22"/>
              <w:lang w:val="en-DK" w:eastAsia="en-DK"/>
            </w:rPr>
          </w:pPr>
          <w:hyperlink w:anchor="_Toc127346270" w:history="1">
            <w:r w:rsidR="004F49F9" w:rsidRPr="000366E0">
              <w:rPr>
                <w:rStyle w:val="Hyperlink"/>
                <w:noProof/>
              </w:rPr>
              <w:t>4</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Sharing and Compatibility Studies with Radio Astronomy Service</w:t>
            </w:r>
            <w:r w:rsidR="004F49F9">
              <w:rPr>
                <w:noProof/>
                <w:webHidden/>
              </w:rPr>
              <w:tab/>
            </w:r>
            <w:r w:rsidR="004F49F9">
              <w:rPr>
                <w:noProof/>
                <w:webHidden/>
              </w:rPr>
              <w:fldChar w:fldCharType="begin"/>
            </w:r>
            <w:r w:rsidR="004F49F9">
              <w:rPr>
                <w:noProof/>
                <w:webHidden/>
              </w:rPr>
              <w:instrText xml:space="preserve"> PAGEREF _Toc127346270 \h </w:instrText>
            </w:r>
            <w:r w:rsidR="004F49F9">
              <w:rPr>
                <w:noProof/>
                <w:webHidden/>
              </w:rPr>
            </w:r>
            <w:r w:rsidR="004F49F9">
              <w:rPr>
                <w:noProof/>
                <w:webHidden/>
              </w:rPr>
              <w:fldChar w:fldCharType="separate"/>
            </w:r>
            <w:r w:rsidR="003E544B">
              <w:rPr>
                <w:noProof/>
                <w:webHidden/>
              </w:rPr>
              <w:t>136</w:t>
            </w:r>
            <w:r w:rsidR="004F49F9">
              <w:rPr>
                <w:noProof/>
                <w:webHidden/>
              </w:rPr>
              <w:fldChar w:fldCharType="end"/>
            </w:r>
          </w:hyperlink>
        </w:p>
        <w:p w14:paraId="41707F66" w14:textId="03F3BEA4" w:rsidR="004F49F9" w:rsidRDefault="00E55534">
          <w:pPr>
            <w:pStyle w:val="TOC2"/>
            <w:rPr>
              <w:rFonts w:asciiTheme="minorHAnsi" w:eastAsiaTheme="minorEastAsia" w:hAnsiTheme="minorHAnsi" w:cstheme="minorBidi"/>
              <w:bCs w:val="0"/>
              <w:sz w:val="22"/>
              <w:szCs w:val="22"/>
              <w:lang w:val="en-DK" w:eastAsia="en-DK"/>
            </w:rPr>
          </w:pPr>
          <w:hyperlink w:anchor="_Toc127346271" w:history="1">
            <w:r w:rsidR="004F49F9" w:rsidRPr="000366E0">
              <w:rPr>
                <w:rStyle w:val="Hyperlink"/>
              </w:rPr>
              <w:t>4.1</w:t>
            </w:r>
            <w:r w:rsidR="004F49F9">
              <w:rPr>
                <w:rFonts w:asciiTheme="minorHAnsi" w:eastAsiaTheme="minorEastAsia" w:hAnsiTheme="minorHAnsi" w:cstheme="minorBidi"/>
                <w:bCs w:val="0"/>
                <w:sz w:val="22"/>
                <w:szCs w:val="22"/>
                <w:lang w:val="en-DK" w:eastAsia="en-DK"/>
              </w:rPr>
              <w:tab/>
            </w:r>
            <w:r w:rsidR="004F49F9" w:rsidRPr="000366E0">
              <w:rPr>
                <w:rStyle w:val="Hyperlink"/>
              </w:rPr>
              <w:t>Generic Indoor Surveillance Radar</w:t>
            </w:r>
            <w:r w:rsidR="004F49F9">
              <w:rPr>
                <w:webHidden/>
              </w:rPr>
              <w:tab/>
            </w:r>
            <w:r w:rsidR="004F49F9">
              <w:rPr>
                <w:webHidden/>
              </w:rPr>
              <w:fldChar w:fldCharType="begin"/>
            </w:r>
            <w:r w:rsidR="004F49F9">
              <w:rPr>
                <w:webHidden/>
              </w:rPr>
              <w:instrText xml:space="preserve"> PAGEREF _Toc127346271 \h </w:instrText>
            </w:r>
            <w:r w:rsidR="004F49F9">
              <w:rPr>
                <w:webHidden/>
              </w:rPr>
            </w:r>
            <w:r w:rsidR="004F49F9">
              <w:rPr>
                <w:webHidden/>
              </w:rPr>
              <w:fldChar w:fldCharType="separate"/>
            </w:r>
            <w:r w:rsidR="003E544B">
              <w:rPr>
                <w:webHidden/>
              </w:rPr>
              <w:t>136</w:t>
            </w:r>
            <w:r w:rsidR="004F49F9">
              <w:rPr>
                <w:webHidden/>
              </w:rPr>
              <w:fldChar w:fldCharType="end"/>
            </w:r>
          </w:hyperlink>
        </w:p>
        <w:p w14:paraId="13D45089" w14:textId="513F92F2" w:rsidR="004F49F9" w:rsidRDefault="00E55534">
          <w:pPr>
            <w:pStyle w:val="TOC3"/>
            <w:rPr>
              <w:rFonts w:asciiTheme="minorHAnsi" w:eastAsiaTheme="minorEastAsia" w:hAnsiTheme="minorHAnsi" w:cstheme="minorBidi"/>
              <w:sz w:val="22"/>
              <w:szCs w:val="22"/>
              <w:lang w:val="en-DK" w:eastAsia="en-DK"/>
            </w:rPr>
          </w:pPr>
          <w:hyperlink w:anchor="_Toc127346272" w:history="1">
            <w:r w:rsidR="004F49F9" w:rsidRPr="000366E0">
              <w:rPr>
                <w:rStyle w:val="Hyperlink"/>
              </w:rPr>
              <w:t>4.1.1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and interference scenario considerations of generic indoor surveillance radar sensors</w:t>
            </w:r>
            <w:r w:rsidR="004F49F9">
              <w:rPr>
                <w:webHidden/>
              </w:rPr>
              <w:tab/>
            </w:r>
            <w:r w:rsidR="004F49F9">
              <w:rPr>
                <w:webHidden/>
              </w:rPr>
              <w:fldChar w:fldCharType="begin"/>
            </w:r>
            <w:r w:rsidR="004F49F9">
              <w:rPr>
                <w:webHidden/>
              </w:rPr>
              <w:instrText xml:space="preserve"> PAGEREF _Toc127346272 \h </w:instrText>
            </w:r>
            <w:r w:rsidR="004F49F9">
              <w:rPr>
                <w:webHidden/>
              </w:rPr>
            </w:r>
            <w:r w:rsidR="004F49F9">
              <w:rPr>
                <w:webHidden/>
              </w:rPr>
              <w:fldChar w:fldCharType="separate"/>
            </w:r>
            <w:r w:rsidR="003E544B">
              <w:rPr>
                <w:webHidden/>
              </w:rPr>
              <w:t>136</w:t>
            </w:r>
            <w:r w:rsidR="004F49F9">
              <w:rPr>
                <w:webHidden/>
              </w:rPr>
              <w:fldChar w:fldCharType="end"/>
            </w:r>
          </w:hyperlink>
        </w:p>
        <w:p w14:paraId="53226180" w14:textId="6E25673B" w:rsidR="004F49F9" w:rsidRDefault="00E55534">
          <w:pPr>
            <w:pStyle w:val="TOC3"/>
            <w:rPr>
              <w:rFonts w:asciiTheme="minorHAnsi" w:eastAsiaTheme="minorEastAsia" w:hAnsiTheme="minorHAnsi" w:cstheme="minorBidi"/>
              <w:sz w:val="22"/>
              <w:szCs w:val="22"/>
              <w:lang w:val="en-DK" w:eastAsia="en-DK"/>
            </w:rPr>
          </w:pPr>
          <w:hyperlink w:anchor="_Toc127346273" w:history="1">
            <w:r w:rsidR="004F49F9" w:rsidRPr="000366E0">
              <w:rPr>
                <w:rStyle w:val="Hyperlink"/>
              </w:rPr>
              <w:t>4.1.2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_Toc127346273 \h </w:instrText>
            </w:r>
            <w:r w:rsidR="004F49F9">
              <w:rPr>
                <w:webHidden/>
              </w:rPr>
            </w:r>
            <w:r w:rsidR="004F49F9">
              <w:rPr>
                <w:webHidden/>
              </w:rPr>
              <w:fldChar w:fldCharType="separate"/>
            </w:r>
            <w:r w:rsidR="003E544B">
              <w:rPr>
                <w:webHidden/>
              </w:rPr>
              <w:t>137</w:t>
            </w:r>
            <w:r w:rsidR="004F49F9">
              <w:rPr>
                <w:webHidden/>
              </w:rPr>
              <w:fldChar w:fldCharType="end"/>
            </w:r>
          </w:hyperlink>
        </w:p>
        <w:p w14:paraId="69033B26" w14:textId="1FAC8CE1" w:rsidR="004F49F9" w:rsidRDefault="00E55534">
          <w:pPr>
            <w:pStyle w:val="TOC2"/>
            <w:rPr>
              <w:rFonts w:asciiTheme="minorHAnsi" w:eastAsiaTheme="minorEastAsia" w:hAnsiTheme="minorHAnsi" w:cstheme="minorBidi"/>
              <w:bCs w:val="0"/>
              <w:sz w:val="22"/>
              <w:szCs w:val="22"/>
              <w:lang w:val="en-DK" w:eastAsia="en-DK"/>
            </w:rPr>
          </w:pPr>
          <w:hyperlink w:anchor="_Toc127346274" w:history="1">
            <w:r w:rsidR="004F49F9" w:rsidRPr="000366E0">
              <w:rPr>
                <w:rStyle w:val="Hyperlink"/>
              </w:rPr>
              <w:t>4.2</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(RDI)</w:t>
            </w:r>
            <w:r w:rsidR="004F49F9">
              <w:rPr>
                <w:webHidden/>
              </w:rPr>
              <w:tab/>
            </w:r>
            <w:r w:rsidR="004F49F9">
              <w:rPr>
                <w:webHidden/>
              </w:rPr>
              <w:fldChar w:fldCharType="begin"/>
            </w:r>
            <w:r w:rsidR="004F49F9">
              <w:rPr>
                <w:webHidden/>
              </w:rPr>
              <w:instrText xml:space="preserve"> PAGEREF _Toc127346274 \h </w:instrText>
            </w:r>
            <w:r w:rsidR="004F49F9">
              <w:rPr>
                <w:webHidden/>
              </w:rPr>
            </w:r>
            <w:r w:rsidR="004F49F9">
              <w:rPr>
                <w:webHidden/>
              </w:rPr>
              <w:fldChar w:fldCharType="separate"/>
            </w:r>
            <w:r w:rsidR="003E544B">
              <w:rPr>
                <w:webHidden/>
              </w:rPr>
              <w:t>138</w:t>
            </w:r>
            <w:r w:rsidR="004F49F9">
              <w:rPr>
                <w:webHidden/>
              </w:rPr>
              <w:fldChar w:fldCharType="end"/>
            </w:r>
          </w:hyperlink>
        </w:p>
        <w:p w14:paraId="3C00FDDE" w14:textId="18C30B73" w:rsidR="004F49F9" w:rsidRDefault="00E55534">
          <w:pPr>
            <w:pStyle w:val="TOC3"/>
            <w:rPr>
              <w:rFonts w:asciiTheme="minorHAnsi" w:eastAsiaTheme="minorEastAsia" w:hAnsiTheme="minorHAnsi" w:cstheme="minorBidi"/>
              <w:sz w:val="22"/>
              <w:szCs w:val="22"/>
              <w:lang w:val="en-DK" w:eastAsia="en-DK"/>
            </w:rPr>
          </w:pPr>
          <w:hyperlink w:anchor="_Toc127346275" w:history="1">
            <w:r w:rsidR="004F49F9" w:rsidRPr="000366E0">
              <w:rPr>
                <w:rStyle w:val="Hyperlink"/>
              </w:rPr>
              <w:t>4.2.1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w:t>
            </w:r>
            <w:r w:rsidR="004F49F9">
              <w:rPr>
                <w:webHidden/>
              </w:rPr>
              <w:tab/>
            </w:r>
            <w:r w:rsidR="004F49F9">
              <w:rPr>
                <w:webHidden/>
              </w:rPr>
              <w:fldChar w:fldCharType="begin"/>
            </w:r>
            <w:r w:rsidR="004F49F9">
              <w:rPr>
                <w:webHidden/>
              </w:rPr>
              <w:instrText xml:space="preserve"> PAGEREF _Toc127346275 \h </w:instrText>
            </w:r>
            <w:r w:rsidR="004F49F9">
              <w:rPr>
                <w:webHidden/>
              </w:rPr>
            </w:r>
            <w:r w:rsidR="004F49F9">
              <w:rPr>
                <w:webHidden/>
              </w:rPr>
              <w:fldChar w:fldCharType="separate"/>
            </w:r>
            <w:r w:rsidR="003E544B">
              <w:rPr>
                <w:webHidden/>
              </w:rPr>
              <w:t>138</w:t>
            </w:r>
            <w:r w:rsidR="004F49F9">
              <w:rPr>
                <w:webHidden/>
              </w:rPr>
              <w:fldChar w:fldCharType="end"/>
            </w:r>
          </w:hyperlink>
        </w:p>
        <w:p w14:paraId="0D17F80E" w14:textId="102DF1B0" w:rsidR="004F49F9" w:rsidRDefault="00E55534">
          <w:pPr>
            <w:pStyle w:val="TOC3"/>
            <w:rPr>
              <w:rFonts w:asciiTheme="minorHAnsi" w:eastAsiaTheme="minorEastAsia" w:hAnsiTheme="minorHAnsi" w:cstheme="minorBidi"/>
              <w:sz w:val="22"/>
              <w:szCs w:val="22"/>
              <w:lang w:val="en-DK" w:eastAsia="en-DK"/>
            </w:rPr>
          </w:pPr>
          <w:hyperlink w:anchor="_Toc127346276" w:history="1">
            <w:r w:rsidR="004F49F9" w:rsidRPr="000366E0">
              <w:rPr>
                <w:rStyle w:val="Hyperlink"/>
              </w:rPr>
              <w:t>4.2.2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_Toc127346276 \h </w:instrText>
            </w:r>
            <w:r w:rsidR="004F49F9">
              <w:rPr>
                <w:webHidden/>
              </w:rPr>
            </w:r>
            <w:r w:rsidR="004F49F9">
              <w:rPr>
                <w:webHidden/>
              </w:rPr>
              <w:fldChar w:fldCharType="separate"/>
            </w:r>
            <w:r w:rsidR="003E544B">
              <w:rPr>
                <w:webHidden/>
              </w:rPr>
              <w:t>139</w:t>
            </w:r>
            <w:r w:rsidR="004F49F9">
              <w:rPr>
                <w:webHidden/>
              </w:rPr>
              <w:fldChar w:fldCharType="end"/>
            </w:r>
          </w:hyperlink>
        </w:p>
        <w:p w14:paraId="6B93F2B9" w14:textId="33DAABC6" w:rsidR="004F49F9" w:rsidRDefault="00E55534">
          <w:pPr>
            <w:pStyle w:val="TOC2"/>
            <w:rPr>
              <w:rFonts w:asciiTheme="minorHAnsi" w:eastAsiaTheme="minorEastAsia" w:hAnsiTheme="minorHAnsi" w:cstheme="minorBidi"/>
              <w:bCs w:val="0"/>
              <w:sz w:val="22"/>
              <w:szCs w:val="22"/>
              <w:lang w:val="en-DK" w:eastAsia="en-DK"/>
            </w:rPr>
          </w:pPr>
          <w:hyperlink w:anchor="_Toc127346277" w:history="1">
            <w:r w:rsidR="004F49F9" w:rsidRPr="000366E0">
              <w:rPr>
                <w:rStyle w:val="Hyperlink"/>
              </w:rPr>
              <w:t>4.3</w:t>
            </w:r>
            <w:r w:rsidR="004F49F9">
              <w:rPr>
                <w:rFonts w:asciiTheme="minorHAnsi" w:eastAsiaTheme="minorEastAsia" w:hAnsiTheme="minorHAnsi" w:cstheme="minorBidi"/>
                <w:bCs w:val="0"/>
                <w:sz w:val="22"/>
                <w:szCs w:val="22"/>
                <w:lang w:val="en-DK" w:eastAsia="en-DK"/>
              </w:rPr>
              <w:tab/>
            </w:r>
            <w:r w:rsidR="004F49F9" w:rsidRPr="000366E0">
              <w:rPr>
                <w:rStyle w:val="Hyperlink"/>
              </w:rPr>
              <w:t>Short-range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_Toc127346277 \h </w:instrText>
            </w:r>
            <w:r w:rsidR="004F49F9">
              <w:rPr>
                <w:webHidden/>
              </w:rPr>
            </w:r>
            <w:r w:rsidR="004F49F9">
              <w:rPr>
                <w:webHidden/>
              </w:rPr>
              <w:fldChar w:fldCharType="separate"/>
            </w:r>
            <w:r w:rsidR="003E544B">
              <w:rPr>
                <w:webHidden/>
              </w:rPr>
              <w:t>139</w:t>
            </w:r>
            <w:r w:rsidR="004F49F9">
              <w:rPr>
                <w:webHidden/>
              </w:rPr>
              <w:fldChar w:fldCharType="end"/>
            </w:r>
          </w:hyperlink>
        </w:p>
        <w:p w14:paraId="25D3818B" w14:textId="05528ADB" w:rsidR="004F49F9" w:rsidRDefault="00E55534">
          <w:pPr>
            <w:pStyle w:val="TOC3"/>
            <w:rPr>
              <w:rFonts w:asciiTheme="minorHAnsi" w:eastAsiaTheme="minorEastAsia" w:hAnsiTheme="minorHAnsi" w:cstheme="minorBidi"/>
              <w:sz w:val="22"/>
              <w:szCs w:val="22"/>
              <w:lang w:val="en-DK" w:eastAsia="en-DK"/>
            </w:rPr>
          </w:pPr>
          <w:hyperlink w:anchor="_Toc127346278" w:history="1">
            <w:r w:rsidR="004F49F9" w:rsidRPr="000366E0">
              <w:rPr>
                <w:rStyle w:val="Hyperlink"/>
              </w:rPr>
              <w:t>4.3.1</w:t>
            </w:r>
            <w:r w:rsidR="004F49F9">
              <w:rPr>
                <w:rFonts w:asciiTheme="minorHAnsi" w:eastAsiaTheme="minorEastAsia" w:hAnsiTheme="minorHAnsi" w:cstheme="minorBidi"/>
                <w:sz w:val="22"/>
                <w:szCs w:val="22"/>
                <w:lang w:val="en-DK" w:eastAsia="en-DK"/>
              </w:rPr>
              <w:tab/>
            </w:r>
            <w:r w:rsidR="004F49F9" w:rsidRPr="000366E0">
              <w:rPr>
                <w:rStyle w:val="Hyperlink"/>
              </w:rPr>
              <w:t>Calculation of the effectual power of "Short-Range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_Toc127346278 \h </w:instrText>
            </w:r>
            <w:r w:rsidR="004F49F9">
              <w:rPr>
                <w:webHidden/>
              </w:rPr>
            </w:r>
            <w:r w:rsidR="004F49F9">
              <w:rPr>
                <w:webHidden/>
              </w:rPr>
              <w:fldChar w:fldCharType="separate"/>
            </w:r>
            <w:r w:rsidR="003E544B">
              <w:rPr>
                <w:webHidden/>
              </w:rPr>
              <w:t>139</w:t>
            </w:r>
            <w:r w:rsidR="004F49F9">
              <w:rPr>
                <w:webHidden/>
              </w:rPr>
              <w:fldChar w:fldCharType="end"/>
            </w:r>
          </w:hyperlink>
        </w:p>
        <w:p w14:paraId="3E1D7F59" w14:textId="4E1A4C0E" w:rsidR="004F49F9" w:rsidRDefault="00E55534">
          <w:pPr>
            <w:pStyle w:val="TOC3"/>
            <w:rPr>
              <w:rFonts w:asciiTheme="minorHAnsi" w:eastAsiaTheme="minorEastAsia" w:hAnsiTheme="minorHAnsi" w:cstheme="minorBidi"/>
              <w:sz w:val="22"/>
              <w:szCs w:val="22"/>
              <w:lang w:val="en-DK" w:eastAsia="en-DK"/>
            </w:rPr>
          </w:pPr>
          <w:hyperlink w:anchor="_Toc127346279" w:history="1">
            <w:r w:rsidR="004F49F9" w:rsidRPr="000366E0">
              <w:rPr>
                <w:rStyle w:val="Hyperlink"/>
              </w:rPr>
              <w:t>4.3.2</w:t>
            </w:r>
            <w:r w:rsidR="004F49F9">
              <w:rPr>
                <w:rFonts w:asciiTheme="minorHAnsi" w:eastAsiaTheme="minorEastAsia" w:hAnsiTheme="minorHAnsi" w:cstheme="minorBidi"/>
                <w:sz w:val="22"/>
                <w:szCs w:val="22"/>
                <w:lang w:val="en-DK" w:eastAsia="en-DK"/>
              </w:rPr>
              <w:tab/>
            </w:r>
            <w:r w:rsidR="004F49F9" w:rsidRPr="000366E0">
              <w:rPr>
                <w:rStyle w:val="Hyperlink"/>
              </w:rPr>
              <w:t>Bandwidth correction factor</w:t>
            </w:r>
            <w:r w:rsidR="004F49F9">
              <w:rPr>
                <w:webHidden/>
              </w:rPr>
              <w:tab/>
            </w:r>
            <w:r w:rsidR="004F49F9">
              <w:rPr>
                <w:webHidden/>
              </w:rPr>
              <w:fldChar w:fldCharType="begin"/>
            </w:r>
            <w:r w:rsidR="004F49F9">
              <w:rPr>
                <w:webHidden/>
              </w:rPr>
              <w:instrText xml:space="preserve"> PAGEREF _Toc127346279 \h </w:instrText>
            </w:r>
            <w:r w:rsidR="004F49F9">
              <w:rPr>
                <w:webHidden/>
              </w:rPr>
            </w:r>
            <w:r w:rsidR="004F49F9">
              <w:rPr>
                <w:webHidden/>
              </w:rPr>
              <w:fldChar w:fldCharType="separate"/>
            </w:r>
            <w:r w:rsidR="003E544B">
              <w:rPr>
                <w:webHidden/>
              </w:rPr>
              <w:t>140</w:t>
            </w:r>
            <w:r w:rsidR="004F49F9">
              <w:rPr>
                <w:webHidden/>
              </w:rPr>
              <w:fldChar w:fldCharType="end"/>
            </w:r>
          </w:hyperlink>
        </w:p>
        <w:p w14:paraId="0CAB489C" w14:textId="1A59F41B" w:rsidR="004F49F9" w:rsidRDefault="00E55534">
          <w:pPr>
            <w:pStyle w:val="TOC3"/>
            <w:rPr>
              <w:rFonts w:asciiTheme="minorHAnsi" w:eastAsiaTheme="minorEastAsia" w:hAnsiTheme="minorHAnsi" w:cstheme="minorBidi"/>
              <w:sz w:val="22"/>
              <w:szCs w:val="22"/>
              <w:lang w:val="en-DK" w:eastAsia="en-DK"/>
            </w:rPr>
          </w:pPr>
          <w:hyperlink w:anchor="_Toc127346280" w:history="1">
            <w:r w:rsidR="004F49F9" w:rsidRPr="000366E0">
              <w:rPr>
                <w:rStyle w:val="Hyperlink"/>
              </w:rPr>
              <w:t>4.3.3</w:t>
            </w:r>
            <w:r w:rsidR="004F49F9">
              <w:rPr>
                <w:rFonts w:asciiTheme="minorHAnsi" w:eastAsiaTheme="minorEastAsia" w:hAnsiTheme="minorHAnsi" w:cstheme="minorBidi"/>
                <w:sz w:val="22"/>
                <w:szCs w:val="22"/>
                <w:lang w:val="en-DK" w:eastAsia="en-DK"/>
              </w:rPr>
              <w:tab/>
            </w:r>
            <w:r w:rsidR="004F49F9" w:rsidRPr="000366E0">
              <w:rPr>
                <w:rStyle w:val="Hyperlink"/>
              </w:rPr>
              <w:t>Duty cycle</w:t>
            </w:r>
            <w:r w:rsidR="004F49F9">
              <w:rPr>
                <w:webHidden/>
              </w:rPr>
              <w:tab/>
            </w:r>
            <w:r w:rsidR="004F49F9">
              <w:rPr>
                <w:webHidden/>
              </w:rPr>
              <w:fldChar w:fldCharType="begin"/>
            </w:r>
            <w:r w:rsidR="004F49F9">
              <w:rPr>
                <w:webHidden/>
              </w:rPr>
              <w:instrText xml:space="preserve"> PAGEREF _Toc127346280 \h </w:instrText>
            </w:r>
            <w:r w:rsidR="004F49F9">
              <w:rPr>
                <w:webHidden/>
              </w:rPr>
            </w:r>
            <w:r w:rsidR="004F49F9">
              <w:rPr>
                <w:webHidden/>
              </w:rPr>
              <w:fldChar w:fldCharType="separate"/>
            </w:r>
            <w:r w:rsidR="003E544B">
              <w:rPr>
                <w:webHidden/>
              </w:rPr>
              <w:t>140</w:t>
            </w:r>
            <w:r w:rsidR="004F49F9">
              <w:rPr>
                <w:webHidden/>
              </w:rPr>
              <w:fldChar w:fldCharType="end"/>
            </w:r>
          </w:hyperlink>
        </w:p>
        <w:p w14:paraId="220D42E5" w14:textId="14318357" w:rsidR="004F49F9" w:rsidRDefault="00E55534">
          <w:pPr>
            <w:pStyle w:val="TOC3"/>
            <w:rPr>
              <w:rFonts w:asciiTheme="minorHAnsi" w:eastAsiaTheme="minorEastAsia" w:hAnsiTheme="minorHAnsi" w:cstheme="minorBidi"/>
              <w:sz w:val="22"/>
              <w:szCs w:val="22"/>
              <w:lang w:val="en-DK" w:eastAsia="en-DK"/>
            </w:rPr>
          </w:pPr>
          <w:hyperlink w:anchor="_Toc127346281" w:history="1">
            <w:r w:rsidR="004F49F9" w:rsidRPr="000366E0">
              <w:rPr>
                <w:rStyle w:val="Hyperlink"/>
              </w:rPr>
              <w:t>4.3.4</w:t>
            </w:r>
            <w:r w:rsidR="004F49F9">
              <w:rPr>
                <w:rFonts w:asciiTheme="minorHAnsi" w:eastAsiaTheme="minorEastAsia" w:hAnsiTheme="minorHAnsi" w:cstheme="minorBidi"/>
                <w:sz w:val="22"/>
                <w:szCs w:val="22"/>
                <w:lang w:val="en-DK" w:eastAsia="en-DK"/>
              </w:rPr>
              <w:tab/>
            </w:r>
            <w:r w:rsidR="004F49F9" w:rsidRPr="000366E0">
              <w:rPr>
                <w:rStyle w:val="Hyperlink"/>
              </w:rPr>
              <w:t>Antenna pointing</w:t>
            </w:r>
            <w:r w:rsidR="004F49F9">
              <w:rPr>
                <w:webHidden/>
              </w:rPr>
              <w:tab/>
            </w:r>
            <w:r w:rsidR="004F49F9">
              <w:rPr>
                <w:webHidden/>
              </w:rPr>
              <w:fldChar w:fldCharType="begin"/>
            </w:r>
            <w:r w:rsidR="004F49F9">
              <w:rPr>
                <w:webHidden/>
              </w:rPr>
              <w:instrText xml:space="preserve"> PAGEREF _Toc127346281 \h </w:instrText>
            </w:r>
            <w:r w:rsidR="004F49F9">
              <w:rPr>
                <w:webHidden/>
              </w:rPr>
            </w:r>
            <w:r w:rsidR="004F49F9">
              <w:rPr>
                <w:webHidden/>
              </w:rPr>
              <w:fldChar w:fldCharType="separate"/>
            </w:r>
            <w:r w:rsidR="003E544B">
              <w:rPr>
                <w:webHidden/>
              </w:rPr>
              <w:t>141</w:t>
            </w:r>
            <w:r w:rsidR="004F49F9">
              <w:rPr>
                <w:webHidden/>
              </w:rPr>
              <w:fldChar w:fldCharType="end"/>
            </w:r>
          </w:hyperlink>
        </w:p>
        <w:p w14:paraId="71CC03D6" w14:textId="6A1A264B" w:rsidR="004F49F9" w:rsidRDefault="00E55534">
          <w:pPr>
            <w:pStyle w:val="TOC3"/>
            <w:rPr>
              <w:rFonts w:asciiTheme="minorHAnsi" w:eastAsiaTheme="minorEastAsia" w:hAnsiTheme="minorHAnsi" w:cstheme="minorBidi"/>
              <w:sz w:val="22"/>
              <w:szCs w:val="22"/>
              <w:lang w:val="en-DK" w:eastAsia="en-DK"/>
            </w:rPr>
          </w:pPr>
          <w:hyperlink w:anchor="_Toc127346282" w:history="1">
            <w:r w:rsidR="004F49F9" w:rsidRPr="000366E0">
              <w:rPr>
                <w:rStyle w:val="Hyperlink"/>
              </w:rPr>
              <w:t>4.3.5</w:t>
            </w:r>
            <w:r w:rsidR="004F49F9">
              <w:rPr>
                <w:rFonts w:asciiTheme="minorHAnsi" w:eastAsiaTheme="minorEastAsia" w:hAnsiTheme="minorHAnsi" w:cstheme="minorBidi"/>
                <w:sz w:val="22"/>
                <w:szCs w:val="22"/>
                <w:lang w:val="en-DK" w:eastAsia="en-DK"/>
              </w:rPr>
              <w:tab/>
            </w:r>
            <w:r w:rsidR="004F49F9" w:rsidRPr="000366E0">
              <w:rPr>
                <w:rStyle w:val="Hyperlink"/>
              </w:rPr>
              <w:t>Clutter loss</w:t>
            </w:r>
            <w:r w:rsidR="004F49F9">
              <w:rPr>
                <w:webHidden/>
              </w:rPr>
              <w:tab/>
            </w:r>
            <w:r w:rsidR="004F49F9">
              <w:rPr>
                <w:webHidden/>
              </w:rPr>
              <w:fldChar w:fldCharType="begin"/>
            </w:r>
            <w:r w:rsidR="004F49F9">
              <w:rPr>
                <w:webHidden/>
              </w:rPr>
              <w:instrText xml:space="preserve"> PAGEREF _Toc127346282 \h </w:instrText>
            </w:r>
            <w:r w:rsidR="004F49F9">
              <w:rPr>
                <w:webHidden/>
              </w:rPr>
            </w:r>
            <w:r w:rsidR="004F49F9">
              <w:rPr>
                <w:webHidden/>
              </w:rPr>
              <w:fldChar w:fldCharType="separate"/>
            </w:r>
            <w:r w:rsidR="003E544B">
              <w:rPr>
                <w:webHidden/>
              </w:rPr>
              <w:t>143</w:t>
            </w:r>
            <w:r w:rsidR="004F49F9">
              <w:rPr>
                <w:webHidden/>
              </w:rPr>
              <w:fldChar w:fldCharType="end"/>
            </w:r>
          </w:hyperlink>
        </w:p>
        <w:p w14:paraId="3ABC0EDF" w14:textId="7D7FA6C6" w:rsidR="004F49F9" w:rsidRDefault="00E55534">
          <w:pPr>
            <w:pStyle w:val="TOC3"/>
            <w:rPr>
              <w:rFonts w:asciiTheme="minorHAnsi" w:eastAsiaTheme="minorEastAsia" w:hAnsiTheme="minorHAnsi" w:cstheme="minorBidi"/>
              <w:sz w:val="22"/>
              <w:szCs w:val="22"/>
              <w:lang w:val="en-DK" w:eastAsia="en-DK"/>
            </w:rPr>
          </w:pPr>
          <w:hyperlink w:anchor="_Toc127346283" w:history="1">
            <w:r w:rsidR="004F49F9" w:rsidRPr="000366E0">
              <w:rPr>
                <w:rStyle w:val="Hyperlink"/>
              </w:rPr>
              <w:t>4.3.6</w:t>
            </w:r>
            <w:r w:rsidR="004F49F9">
              <w:rPr>
                <w:rFonts w:asciiTheme="minorHAnsi" w:eastAsiaTheme="minorEastAsia" w:hAnsiTheme="minorHAnsi" w:cstheme="minorBidi"/>
                <w:sz w:val="22"/>
                <w:szCs w:val="22"/>
                <w:lang w:val="en-DK" w:eastAsia="en-DK"/>
              </w:rPr>
              <w:tab/>
            </w:r>
            <w:r w:rsidR="004F49F9" w:rsidRPr="000366E0">
              <w:rPr>
                <w:rStyle w:val="Hyperlink"/>
              </w:rPr>
              <w:t>Calculation of “effectual e.i.r.p.” level for radiodetermination devices for short-range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_Toc127346283 \h </w:instrText>
            </w:r>
            <w:r w:rsidR="004F49F9">
              <w:rPr>
                <w:webHidden/>
              </w:rPr>
            </w:r>
            <w:r w:rsidR="004F49F9">
              <w:rPr>
                <w:webHidden/>
              </w:rPr>
              <w:fldChar w:fldCharType="separate"/>
            </w:r>
            <w:r w:rsidR="003E544B">
              <w:rPr>
                <w:webHidden/>
              </w:rPr>
              <w:t>144</w:t>
            </w:r>
            <w:r w:rsidR="004F49F9">
              <w:rPr>
                <w:webHidden/>
              </w:rPr>
              <w:fldChar w:fldCharType="end"/>
            </w:r>
          </w:hyperlink>
        </w:p>
        <w:p w14:paraId="5B934AAA" w14:textId="6CA3018C" w:rsidR="004F49F9" w:rsidRDefault="00E55534">
          <w:pPr>
            <w:pStyle w:val="TOC2"/>
            <w:rPr>
              <w:rFonts w:asciiTheme="minorHAnsi" w:eastAsiaTheme="minorEastAsia" w:hAnsiTheme="minorHAnsi" w:cstheme="minorBidi"/>
              <w:bCs w:val="0"/>
              <w:sz w:val="22"/>
              <w:szCs w:val="22"/>
              <w:lang w:val="en-DK" w:eastAsia="en-DK"/>
            </w:rPr>
          </w:pPr>
          <w:hyperlink w:anchor="_Toc127346284" w:history="1">
            <w:r w:rsidR="004F49F9" w:rsidRPr="000366E0">
              <w:rPr>
                <w:rStyle w:val="Hyperlink"/>
              </w:rPr>
              <w:t>4.4</w:t>
            </w:r>
            <w:r w:rsidR="004F49F9">
              <w:rPr>
                <w:rFonts w:asciiTheme="minorHAnsi" w:eastAsiaTheme="minorEastAsia" w:hAnsiTheme="minorHAnsi" w:cstheme="minorBidi"/>
                <w:bCs w:val="0"/>
                <w:sz w:val="22"/>
                <w:szCs w:val="22"/>
                <w:lang w:val="en-DK" w:eastAsia="en-DK"/>
              </w:rPr>
              <w:tab/>
            </w:r>
            <w:r w:rsidR="004F49F9" w:rsidRPr="000366E0">
              <w:rPr>
                <w:rStyle w:val="Hyperlink"/>
              </w:rPr>
              <w:t>Ground Based Synthetic Aperture Radar (GBSAR)</w:t>
            </w:r>
            <w:r w:rsidR="004F49F9">
              <w:rPr>
                <w:webHidden/>
              </w:rPr>
              <w:tab/>
            </w:r>
            <w:r w:rsidR="004F49F9">
              <w:rPr>
                <w:webHidden/>
              </w:rPr>
              <w:fldChar w:fldCharType="begin"/>
            </w:r>
            <w:r w:rsidR="004F49F9">
              <w:rPr>
                <w:webHidden/>
              </w:rPr>
              <w:instrText xml:space="preserve"> PAGEREF _Toc127346284 \h </w:instrText>
            </w:r>
            <w:r w:rsidR="004F49F9">
              <w:rPr>
                <w:webHidden/>
              </w:rPr>
            </w:r>
            <w:r w:rsidR="004F49F9">
              <w:rPr>
                <w:webHidden/>
              </w:rPr>
              <w:fldChar w:fldCharType="separate"/>
            </w:r>
            <w:r w:rsidR="003E544B">
              <w:rPr>
                <w:webHidden/>
              </w:rPr>
              <w:t>144</w:t>
            </w:r>
            <w:r w:rsidR="004F49F9">
              <w:rPr>
                <w:webHidden/>
              </w:rPr>
              <w:fldChar w:fldCharType="end"/>
            </w:r>
          </w:hyperlink>
        </w:p>
        <w:p w14:paraId="3CA44ACD" w14:textId="60E9F798" w:rsidR="004F49F9" w:rsidRDefault="00E55534">
          <w:pPr>
            <w:pStyle w:val="TOC2"/>
            <w:rPr>
              <w:rFonts w:asciiTheme="minorHAnsi" w:eastAsiaTheme="minorEastAsia" w:hAnsiTheme="minorHAnsi" w:cstheme="minorBidi"/>
              <w:bCs w:val="0"/>
              <w:sz w:val="22"/>
              <w:szCs w:val="22"/>
              <w:lang w:val="en-DK" w:eastAsia="en-DK"/>
            </w:rPr>
          </w:pPr>
          <w:hyperlink w:anchor="_Toc127346285" w:history="1">
            <w:r w:rsidR="004F49F9" w:rsidRPr="000366E0">
              <w:rPr>
                <w:rStyle w:val="Hyperlink"/>
              </w:rPr>
              <w:t>4.5</w:t>
            </w:r>
            <w:r w:rsidR="004F49F9">
              <w:rPr>
                <w:rFonts w:asciiTheme="minorHAnsi" w:eastAsiaTheme="minorEastAsia" w:hAnsiTheme="minorHAnsi" w:cstheme="minorBidi"/>
                <w:bCs w:val="0"/>
                <w:sz w:val="22"/>
                <w:szCs w:val="22"/>
                <w:lang w:val="en-DK" w:eastAsia="en-DK"/>
              </w:rPr>
              <w:tab/>
            </w:r>
            <w:r w:rsidR="004F49F9" w:rsidRPr="000366E0">
              <w:rPr>
                <w:rStyle w:val="Hyperlink"/>
              </w:rPr>
              <w:t>Level Probing Radar (LPR)</w:t>
            </w:r>
            <w:r w:rsidR="004F49F9">
              <w:rPr>
                <w:webHidden/>
              </w:rPr>
              <w:tab/>
            </w:r>
            <w:r w:rsidR="004F49F9">
              <w:rPr>
                <w:webHidden/>
              </w:rPr>
              <w:fldChar w:fldCharType="begin"/>
            </w:r>
            <w:r w:rsidR="004F49F9">
              <w:rPr>
                <w:webHidden/>
              </w:rPr>
              <w:instrText xml:space="preserve"> PAGEREF _Toc127346285 \h </w:instrText>
            </w:r>
            <w:r w:rsidR="004F49F9">
              <w:rPr>
                <w:webHidden/>
              </w:rPr>
            </w:r>
            <w:r w:rsidR="004F49F9">
              <w:rPr>
                <w:webHidden/>
              </w:rPr>
              <w:fldChar w:fldCharType="separate"/>
            </w:r>
            <w:r w:rsidR="003E544B">
              <w:rPr>
                <w:webHidden/>
              </w:rPr>
              <w:t>144</w:t>
            </w:r>
            <w:r w:rsidR="004F49F9">
              <w:rPr>
                <w:webHidden/>
              </w:rPr>
              <w:fldChar w:fldCharType="end"/>
            </w:r>
          </w:hyperlink>
        </w:p>
        <w:p w14:paraId="05D67BA9" w14:textId="6016790A" w:rsidR="004F49F9" w:rsidRDefault="00E55534">
          <w:pPr>
            <w:pStyle w:val="TOC3"/>
            <w:rPr>
              <w:rFonts w:asciiTheme="minorHAnsi" w:eastAsiaTheme="minorEastAsia" w:hAnsiTheme="minorHAnsi" w:cstheme="minorBidi"/>
              <w:sz w:val="22"/>
              <w:szCs w:val="22"/>
              <w:lang w:val="en-DK" w:eastAsia="en-DK"/>
            </w:rPr>
          </w:pPr>
          <w:hyperlink w:anchor="_Toc127346286" w:history="1">
            <w:r w:rsidR="004F49F9" w:rsidRPr="000366E0">
              <w:rPr>
                <w:rStyle w:val="Hyperlink"/>
              </w:rPr>
              <w:t>4.5.1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LPR</w:t>
            </w:r>
            <w:r w:rsidR="004F49F9">
              <w:rPr>
                <w:webHidden/>
              </w:rPr>
              <w:tab/>
            </w:r>
            <w:r w:rsidR="004F49F9">
              <w:rPr>
                <w:webHidden/>
              </w:rPr>
              <w:fldChar w:fldCharType="begin"/>
            </w:r>
            <w:r w:rsidR="004F49F9">
              <w:rPr>
                <w:webHidden/>
              </w:rPr>
              <w:instrText xml:space="preserve"> PAGEREF _Toc127346286 \h </w:instrText>
            </w:r>
            <w:r w:rsidR="004F49F9">
              <w:rPr>
                <w:webHidden/>
              </w:rPr>
            </w:r>
            <w:r w:rsidR="004F49F9">
              <w:rPr>
                <w:webHidden/>
              </w:rPr>
              <w:fldChar w:fldCharType="separate"/>
            </w:r>
            <w:r w:rsidR="003E544B">
              <w:rPr>
                <w:webHidden/>
              </w:rPr>
              <w:t>144</w:t>
            </w:r>
            <w:r w:rsidR="004F49F9">
              <w:rPr>
                <w:webHidden/>
              </w:rPr>
              <w:fldChar w:fldCharType="end"/>
            </w:r>
          </w:hyperlink>
        </w:p>
        <w:p w14:paraId="1052A610" w14:textId="609F2877" w:rsidR="004F49F9" w:rsidRDefault="00E55534">
          <w:pPr>
            <w:pStyle w:val="TOC3"/>
            <w:rPr>
              <w:rFonts w:asciiTheme="minorHAnsi" w:eastAsiaTheme="minorEastAsia" w:hAnsiTheme="minorHAnsi" w:cstheme="minorBidi"/>
              <w:sz w:val="22"/>
              <w:szCs w:val="22"/>
              <w:lang w:val="en-DK" w:eastAsia="en-DK"/>
            </w:rPr>
          </w:pPr>
          <w:hyperlink w:anchor="_Toc127346287" w:history="1">
            <w:r w:rsidR="004F49F9" w:rsidRPr="000366E0">
              <w:rPr>
                <w:rStyle w:val="Hyperlink"/>
              </w:rPr>
              <w:t>4.5.2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_Toc127346287 \h </w:instrText>
            </w:r>
            <w:r w:rsidR="004F49F9">
              <w:rPr>
                <w:webHidden/>
              </w:rPr>
            </w:r>
            <w:r w:rsidR="004F49F9">
              <w:rPr>
                <w:webHidden/>
              </w:rPr>
              <w:fldChar w:fldCharType="separate"/>
            </w:r>
            <w:r w:rsidR="003E544B">
              <w:rPr>
                <w:webHidden/>
              </w:rPr>
              <w:t>145</w:t>
            </w:r>
            <w:r w:rsidR="004F49F9">
              <w:rPr>
                <w:webHidden/>
              </w:rPr>
              <w:fldChar w:fldCharType="end"/>
            </w:r>
          </w:hyperlink>
        </w:p>
        <w:p w14:paraId="4DB978F9" w14:textId="38CD1DCA" w:rsidR="004F49F9" w:rsidRDefault="00E55534">
          <w:pPr>
            <w:pStyle w:val="TOC2"/>
            <w:rPr>
              <w:rFonts w:asciiTheme="minorHAnsi" w:eastAsiaTheme="minorEastAsia" w:hAnsiTheme="minorHAnsi" w:cstheme="minorBidi"/>
              <w:bCs w:val="0"/>
              <w:sz w:val="22"/>
              <w:szCs w:val="22"/>
              <w:lang w:val="en-DK" w:eastAsia="en-DK"/>
            </w:rPr>
          </w:pPr>
          <w:hyperlink w:anchor="_Toc127346288" w:history="1">
            <w:r w:rsidR="004F49F9" w:rsidRPr="000366E0">
              <w:rPr>
                <w:rStyle w:val="Hyperlink"/>
              </w:rPr>
              <w:t>4.6</w:t>
            </w:r>
            <w:r w:rsidR="004F49F9">
              <w:rPr>
                <w:rFonts w:asciiTheme="minorHAnsi" w:eastAsiaTheme="minorEastAsia" w:hAnsiTheme="minorHAnsi" w:cstheme="minorBidi"/>
                <w:bCs w:val="0"/>
                <w:sz w:val="22"/>
                <w:szCs w:val="22"/>
                <w:lang w:val="en-DK" w:eastAsia="en-DK"/>
              </w:rPr>
              <w:tab/>
            </w:r>
            <w:r w:rsidR="004F49F9" w:rsidRPr="000366E0">
              <w:rPr>
                <w:rStyle w:val="Hyperlink"/>
              </w:rPr>
              <w:t>Contour determination and acquisition (CDR)</w:t>
            </w:r>
            <w:r w:rsidR="004F49F9">
              <w:rPr>
                <w:webHidden/>
              </w:rPr>
              <w:tab/>
            </w:r>
            <w:r w:rsidR="004F49F9">
              <w:rPr>
                <w:webHidden/>
              </w:rPr>
              <w:fldChar w:fldCharType="begin"/>
            </w:r>
            <w:r w:rsidR="004F49F9">
              <w:rPr>
                <w:webHidden/>
              </w:rPr>
              <w:instrText xml:space="preserve"> PAGEREF _Toc127346288 \h </w:instrText>
            </w:r>
            <w:r w:rsidR="004F49F9">
              <w:rPr>
                <w:webHidden/>
              </w:rPr>
            </w:r>
            <w:r w:rsidR="004F49F9">
              <w:rPr>
                <w:webHidden/>
              </w:rPr>
              <w:fldChar w:fldCharType="separate"/>
            </w:r>
            <w:r w:rsidR="003E544B">
              <w:rPr>
                <w:webHidden/>
              </w:rPr>
              <w:t>145</w:t>
            </w:r>
            <w:r w:rsidR="004F49F9">
              <w:rPr>
                <w:webHidden/>
              </w:rPr>
              <w:fldChar w:fldCharType="end"/>
            </w:r>
          </w:hyperlink>
        </w:p>
        <w:p w14:paraId="5F62B508" w14:textId="09B1D130" w:rsidR="004F49F9" w:rsidRDefault="00E55534">
          <w:pPr>
            <w:pStyle w:val="TOC3"/>
            <w:rPr>
              <w:rFonts w:asciiTheme="minorHAnsi" w:eastAsiaTheme="minorEastAsia" w:hAnsiTheme="minorHAnsi" w:cstheme="minorBidi"/>
              <w:sz w:val="22"/>
              <w:szCs w:val="22"/>
              <w:lang w:val="en-DK" w:eastAsia="en-DK"/>
            </w:rPr>
          </w:pPr>
          <w:hyperlink w:anchor="_Toc127346289" w:history="1">
            <w:r w:rsidR="004F49F9" w:rsidRPr="000366E0">
              <w:rPr>
                <w:rStyle w:val="Hyperlink"/>
              </w:rPr>
              <w:t>4.6.1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CDR</w:t>
            </w:r>
            <w:r w:rsidR="004F49F9">
              <w:rPr>
                <w:webHidden/>
              </w:rPr>
              <w:tab/>
            </w:r>
            <w:r w:rsidR="004F49F9">
              <w:rPr>
                <w:webHidden/>
              </w:rPr>
              <w:fldChar w:fldCharType="begin"/>
            </w:r>
            <w:r w:rsidR="004F49F9">
              <w:rPr>
                <w:webHidden/>
              </w:rPr>
              <w:instrText xml:space="preserve"> PAGEREF _Toc127346289 \h </w:instrText>
            </w:r>
            <w:r w:rsidR="004F49F9">
              <w:rPr>
                <w:webHidden/>
              </w:rPr>
            </w:r>
            <w:r w:rsidR="004F49F9">
              <w:rPr>
                <w:webHidden/>
              </w:rPr>
              <w:fldChar w:fldCharType="separate"/>
            </w:r>
            <w:r w:rsidR="003E544B">
              <w:rPr>
                <w:webHidden/>
              </w:rPr>
              <w:t>145</w:t>
            </w:r>
            <w:r w:rsidR="004F49F9">
              <w:rPr>
                <w:webHidden/>
              </w:rPr>
              <w:fldChar w:fldCharType="end"/>
            </w:r>
          </w:hyperlink>
        </w:p>
        <w:p w14:paraId="68C7E62B" w14:textId="360108A4" w:rsidR="004F49F9" w:rsidRDefault="00E55534">
          <w:pPr>
            <w:pStyle w:val="TOC3"/>
            <w:rPr>
              <w:rFonts w:asciiTheme="minorHAnsi" w:eastAsiaTheme="minorEastAsia" w:hAnsiTheme="minorHAnsi" w:cstheme="minorBidi"/>
              <w:sz w:val="22"/>
              <w:szCs w:val="22"/>
              <w:lang w:val="en-DK" w:eastAsia="en-DK"/>
            </w:rPr>
          </w:pPr>
          <w:hyperlink w:anchor="_Toc127346290" w:history="1">
            <w:r w:rsidR="004F49F9" w:rsidRPr="000366E0">
              <w:rPr>
                <w:rStyle w:val="Hyperlink"/>
              </w:rPr>
              <w:t>4.6.2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_Toc127346290 \h </w:instrText>
            </w:r>
            <w:r w:rsidR="004F49F9">
              <w:rPr>
                <w:webHidden/>
              </w:rPr>
            </w:r>
            <w:r w:rsidR="004F49F9">
              <w:rPr>
                <w:webHidden/>
              </w:rPr>
              <w:fldChar w:fldCharType="separate"/>
            </w:r>
            <w:r w:rsidR="003E544B">
              <w:rPr>
                <w:webHidden/>
              </w:rPr>
              <w:t>146</w:t>
            </w:r>
            <w:r w:rsidR="004F49F9">
              <w:rPr>
                <w:webHidden/>
              </w:rPr>
              <w:fldChar w:fldCharType="end"/>
            </w:r>
          </w:hyperlink>
        </w:p>
        <w:p w14:paraId="57D5FFE6" w14:textId="25FFAE0A" w:rsidR="004F49F9" w:rsidRDefault="00E55534">
          <w:pPr>
            <w:pStyle w:val="TOC2"/>
            <w:rPr>
              <w:rFonts w:asciiTheme="minorHAnsi" w:eastAsiaTheme="minorEastAsia" w:hAnsiTheme="minorHAnsi" w:cstheme="minorBidi"/>
              <w:bCs w:val="0"/>
              <w:sz w:val="22"/>
              <w:szCs w:val="22"/>
              <w:lang w:val="en-DK" w:eastAsia="en-DK"/>
            </w:rPr>
          </w:pPr>
          <w:hyperlink w:anchor="_Toc127346291" w:history="1">
            <w:r w:rsidR="004F49F9" w:rsidRPr="000366E0">
              <w:rPr>
                <w:rStyle w:val="Hyperlink"/>
              </w:rPr>
              <w:t>4.7</w:t>
            </w:r>
            <w:r w:rsidR="004F49F9">
              <w:rPr>
                <w:rFonts w:asciiTheme="minorHAnsi" w:eastAsiaTheme="minorEastAsia" w:hAnsiTheme="minorHAnsi" w:cstheme="minorBidi"/>
                <w:bCs w:val="0"/>
                <w:sz w:val="22"/>
                <w:szCs w:val="22"/>
                <w:lang w:val="en-DK" w:eastAsia="en-DK"/>
              </w:rPr>
              <w:tab/>
            </w:r>
            <w:r w:rsidR="004F49F9" w:rsidRPr="000366E0">
              <w:rPr>
                <w:rStyle w:val="Hyperlink"/>
              </w:rPr>
              <w:t>Tank Level Probing Radar (TLPR)</w:t>
            </w:r>
            <w:r w:rsidR="004F49F9">
              <w:rPr>
                <w:webHidden/>
              </w:rPr>
              <w:tab/>
            </w:r>
            <w:r w:rsidR="004F49F9">
              <w:rPr>
                <w:webHidden/>
              </w:rPr>
              <w:fldChar w:fldCharType="begin"/>
            </w:r>
            <w:r w:rsidR="004F49F9">
              <w:rPr>
                <w:webHidden/>
              </w:rPr>
              <w:instrText xml:space="preserve"> PAGEREF _Toc127346291 \h </w:instrText>
            </w:r>
            <w:r w:rsidR="004F49F9">
              <w:rPr>
                <w:webHidden/>
              </w:rPr>
            </w:r>
            <w:r w:rsidR="004F49F9">
              <w:rPr>
                <w:webHidden/>
              </w:rPr>
              <w:fldChar w:fldCharType="separate"/>
            </w:r>
            <w:r w:rsidR="003E544B">
              <w:rPr>
                <w:webHidden/>
              </w:rPr>
              <w:t>147</w:t>
            </w:r>
            <w:r w:rsidR="004F49F9">
              <w:rPr>
                <w:webHidden/>
              </w:rPr>
              <w:fldChar w:fldCharType="end"/>
            </w:r>
          </w:hyperlink>
        </w:p>
        <w:p w14:paraId="47C6F332" w14:textId="7803B1B1" w:rsidR="004F49F9" w:rsidRDefault="00E55534">
          <w:pPr>
            <w:pStyle w:val="TOC3"/>
            <w:rPr>
              <w:rFonts w:asciiTheme="minorHAnsi" w:eastAsiaTheme="minorEastAsia" w:hAnsiTheme="minorHAnsi" w:cstheme="minorBidi"/>
              <w:sz w:val="22"/>
              <w:szCs w:val="22"/>
              <w:lang w:val="en-DK" w:eastAsia="en-DK"/>
            </w:rPr>
          </w:pPr>
          <w:hyperlink w:anchor="_Toc127346292" w:history="1">
            <w:r w:rsidR="004F49F9" w:rsidRPr="000366E0">
              <w:rPr>
                <w:rStyle w:val="Hyperlink"/>
              </w:rPr>
              <w:t>4.7.1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TLPR</w:t>
            </w:r>
            <w:r w:rsidR="004F49F9">
              <w:rPr>
                <w:webHidden/>
              </w:rPr>
              <w:tab/>
            </w:r>
            <w:r w:rsidR="004F49F9">
              <w:rPr>
                <w:webHidden/>
              </w:rPr>
              <w:fldChar w:fldCharType="begin"/>
            </w:r>
            <w:r w:rsidR="004F49F9">
              <w:rPr>
                <w:webHidden/>
              </w:rPr>
              <w:instrText xml:space="preserve"> PAGEREF _Toc127346292 \h </w:instrText>
            </w:r>
            <w:r w:rsidR="004F49F9">
              <w:rPr>
                <w:webHidden/>
              </w:rPr>
            </w:r>
            <w:r w:rsidR="004F49F9">
              <w:rPr>
                <w:webHidden/>
              </w:rPr>
              <w:fldChar w:fldCharType="separate"/>
            </w:r>
            <w:r w:rsidR="003E544B">
              <w:rPr>
                <w:webHidden/>
              </w:rPr>
              <w:t>147</w:t>
            </w:r>
            <w:r w:rsidR="004F49F9">
              <w:rPr>
                <w:webHidden/>
              </w:rPr>
              <w:fldChar w:fldCharType="end"/>
            </w:r>
          </w:hyperlink>
        </w:p>
        <w:p w14:paraId="366C9A6F" w14:textId="58913D71" w:rsidR="004F49F9" w:rsidRDefault="00E55534">
          <w:pPr>
            <w:pStyle w:val="TOC3"/>
            <w:rPr>
              <w:rFonts w:asciiTheme="minorHAnsi" w:eastAsiaTheme="minorEastAsia" w:hAnsiTheme="minorHAnsi" w:cstheme="minorBidi"/>
              <w:sz w:val="22"/>
              <w:szCs w:val="22"/>
              <w:lang w:val="en-DK" w:eastAsia="en-DK"/>
            </w:rPr>
          </w:pPr>
          <w:hyperlink w:anchor="_Toc127346293" w:history="1">
            <w:r w:rsidR="004F49F9" w:rsidRPr="000366E0">
              <w:rPr>
                <w:rStyle w:val="Hyperlink"/>
              </w:rPr>
              <w:t>4.7.2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_Toc127346293 \h </w:instrText>
            </w:r>
            <w:r w:rsidR="004F49F9">
              <w:rPr>
                <w:webHidden/>
              </w:rPr>
            </w:r>
            <w:r w:rsidR="004F49F9">
              <w:rPr>
                <w:webHidden/>
              </w:rPr>
              <w:fldChar w:fldCharType="separate"/>
            </w:r>
            <w:r w:rsidR="003E544B">
              <w:rPr>
                <w:webHidden/>
              </w:rPr>
              <w:t>147</w:t>
            </w:r>
            <w:r w:rsidR="004F49F9">
              <w:rPr>
                <w:webHidden/>
              </w:rPr>
              <w:fldChar w:fldCharType="end"/>
            </w:r>
          </w:hyperlink>
        </w:p>
        <w:p w14:paraId="7F6D62EC" w14:textId="28EA9C2E" w:rsidR="004F49F9" w:rsidRDefault="00E55534">
          <w:pPr>
            <w:pStyle w:val="TOC2"/>
            <w:rPr>
              <w:rFonts w:asciiTheme="minorHAnsi" w:eastAsiaTheme="minorEastAsia" w:hAnsiTheme="minorHAnsi" w:cstheme="minorBidi"/>
              <w:bCs w:val="0"/>
              <w:sz w:val="22"/>
              <w:szCs w:val="22"/>
              <w:lang w:val="en-DK" w:eastAsia="en-DK"/>
            </w:rPr>
          </w:pPr>
          <w:hyperlink w:anchor="_Toc127346294" w:history="1">
            <w:r w:rsidR="004F49F9" w:rsidRPr="000366E0">
              <w:rPr>
                <w:rStyle w:val="Hyperlink"/>
              </w:rPr>
              <w:t>4.8</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in shielded environments (RDI-S)</w:t>
            </w:r>
            <w:r w:rsidR="004F49F9">
              <w:rPr>
                <w:webHidden/>
              </w:rPr>
              <w:tab/>
            </w:r>
            <w:r w:rsidR="004F49F9">
              <w:rPr>
                <w:webHidden/>
              </w:rPr>
              <w:fldChar w:fldCharType="begin"/>
            </w:r>
            <w:r w:rsidR="004F49F9">
              <w:rPr>
                <w:webHidden/>
              </w:rPr>
              <w:instrText xml:space="preserve"> PAGEREF _Toc127346294 \h </w:instrText>
            </w:r>
            <w:r w:rsidR="004F49F9">
              <w:rPr>
                <w:webHidden/>
              </w:rPr>
            </w:r>
            <w:r w:rsidR="004F49F9">
              <w:rPr>
                <w:webHidden/>
              </w:rPr>
              <w:fldChar w:fldCharType="separate"/>
            </w:r>
            <w:r w:rsidR="003E544B">
              <w:rPr>
                <w:webHidden/>
              </w:rPr>
              <w:t>148</w:t>
            </w:r>
            <w:r w:rsidR="004F49F9">
              <w:rPr>
                <w:webHidden/>
              </w:rPr>
              <w:fldChar w:fldCharType="end"/>
            </w:r>
          </w:hyperlink>
        </w:p>
        <w:p w14:paraId="2278E655" w14:textId="187259F1" w:rsidR="004F49F9" w:rsidRDefault="00E55534">
          <w:pPr>
            <w:pStyle w:val="TOC3"/>
            <w:rPr>
              <w:rFonts w:asciiTheme="minorHAnsi" w:eastAsiaTheme="minorEastAsia" w:hAnsiTheme="minorHAnsi" w:cstheme="minorBidi"/>
              <w:sz w:val="22"/>
              <w:szCs w:val="22"/>
              <w:lang w:val="en-DK" w:eastAsia="en-DK"/>
            </w:rPr>
          </w:pPr>
          <w:hyperlink w:anchor="_Toc127346295" w:history="1">
            <w:r w:rsidR="004F49F9" w:rsidRPr="000366E0">
              <w:rPr>
                <w:rStyle w:val="Hyperlink"/>
              </w:rPr>
              <w:t>4.8.1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RDI-S</w:t>
            </w:r>
            <w:r w:rsidR="004F49F9">
              <w:rPr>
                <w:webHidden/>
              </w:rPr>
              <w:tab/>
            </w:r>
            <w:r w:rsidR="004F49F9">
              <w:rPr>
                <w:webHidden/>
              </w:rPr>
              <w:fldChar w:fldCharType="begin"/>
            </w:r>
            <w:r w:rsidR="004F49F9">
              <w:rPr>
                <w:webHidden/>
              </w:rPr>
              <w:instrText xml:space="preserve"> PAGEREF _Toc127346295 \h </w:instrText>
            </w:r>
            <w:r w:rsidR="004F49F9">
              <w:rPr>
                <w:webHidden/>
              </w:rPr>
            </w:r>
            <w:r w:rsidR="004F49F9">
              <w:rPr>
                <w:webHidden/>
              </w:rPr>
              <w:fldChar w:fldCharType="separate"/>
            </w:r>
            <w:r w:rsidR="003E544B">
              <w:rPr>
                <w:webHidden/>
              </w:rPr>
              <w:t>148</w:t>
            </w:r>
            <w:r w:rsidR="004F49F9">
              <w:rPr>
                <w:webHidden/>
              </w:rPr>
              <w:fldChar w:fldCharType="end"/>
            </w:r>
          </w:hyperlink>
        </w:p>
        <w:p w14:paraId="13290241" w14:textId="40524072" w:rsidR="004F49F9" w:rsidRDefault="00E55534">
          <w:pPr>
            <w:pStyle w:val="TOC3"/>
            <w:rPr>
              <w:rFonts w:asciiTheme="minorHAnsi" w:eastAsiaTheme="minorEastAsia" w:hAnsiTheme="minorHAnsi" w:cstheme="minorBidi"/>
              <w:sz w:val="22"/>
              <w:szCs w:val="22"/>
              <w:lang w:val="en-DK" w:eastAsia="en-DK"/>
            </w:rPr>
          </w:pPr>
          <w:hyperlink w:anchor="_Toc127346296" w:history="1">
            <w:r w:rsidR="004F49F9" w:rsidRPr="000366E0">
              <w:rPr>
                <w:rStyle w:val="Hyperlink"/>
              </w:rPr>
              <w:t>4.8.2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_Toc127346296 \h </w:instrText>
            </w:r>
            <w:r w:rsidR="004F49F9">
              <w:rPr>
                <w:webHidden/>
              </w:rPr>
            </w:r>
            <w:r w:rsidR="004F49F9">
              <w:rPr>
                <w:webHidden/>
              </w:rPr>
              <w:fldChar w:fldCharType="separate"/>
            </w:r>
            <w:r w:rsidR="003E544B">
              <w:rPr>
                <w:webHidden/>
              </w:rPr>
              <w:t>149</w:t>
            </w:r>
            <w:r w:rsidR="004F49F9">
              <w:rPr>
                <w:webHidden/>
              </w:rPr>
              <w:fldChar w:fldCharType="end"/>
            </w:r>
          </w:hyperlink>
        </w:p>
        <w:p w14:paraId="27483402" w14:textId="6180D40F" w:rsidR="004F49F9" w:rsidRDefault="00E55534">
          <w:pPr>
            <w:pStyle w:val="TOC2"/>
            <w:rPr>
              <w:rFonts w:asciiTheme="minorHAnsi" w:eastAsiaTheme="minorEastAsia" w:hAnsiTheme="minorHAnsi" w:cstheme="minorBidi"/>
              <w:bCs w:val="0"/>
              <w:sz w:val="22"/>
              <w:szCs w:val="22"/>
              <w:lang w:val="en-DK" w:eastAsia="en-DK"/>
            </w:rPr>
          </w:pPr>
          <w:hyperlink w:anchor="_Toc127346297" w:history="1">
            <w:r w:rsidR="004F49F9" w:rsidRPr="000366E0">
              <w:rPr>
                <w:rStyle w:val="Hyperlink"/>
              </w:rPr>
              <w:t>4.9</w:t>
            </w:r>
            <w:r w:rsidR="004F49F9">
              <w:rPr>
                <w:rFonts w:asciiTheme="minorHAnsi" w:eastAsiaTheme="minorEastAsia" w:hAnsiTheme="minorHAnsi" w:cstheme="minorBidi"/>
                <w:bCs w:val="0"/>
                <w:sz w:val="22"/>
                <w:szCs w:val="22"/>
                <w:lang w:val="en-DK" w:eastAsia="en-DK"/>
              </w:rPr>
              <w:tab/>
            </w:r>
            <w:r w:rsidR="004F49F9" w:rsidRPr="000366E0">
              <w:rPr>
                <w:rStyle w:val="Hyperlink"/>
              </w:rPr>
              <w:t>Technical parameters of Radio astronomy stations and protection levels in the frequency range 116 to 260 GHz</w:t>
            </w:r>
            <w:r w:rsidR="004F49F9">
              <w:rPr>
                <w:webHidden/>
              </w:rPr>
              <w:tab/>
            </w:r>
            <w:r w:rsidR="004F49F9">
              <w:rPr>
                <w:webHidden/>
              </w:rPr>
              <w:fldChar w:fldCharType="begin"/>
            </w:r>
            <w:r w:rsidR="004F49F9">
              <w:rPr>
                <w:webHidden/>
              </w:rPr>
              <w:instrText xml:space="preserve"> PAGEREF _Toc127346297 \h </w:instrText>
            </w:r>
            <w:r w:rsidR="004F49F9">
              <w:rPr>
                <w:webHidden/>
              </w:rPr>
            </w:r>
            <w:r w:rsidR="004F49F9">
              <w:rPr>
                <w:webHidden/>
              </w:rPr>
              <w:fldChar w:fldCharType="separate"/>
            </w:r>
            <w:r w:rsidR="003E544B">
              <w:rPr>
                <w:webHidden/>
              </w:rPr>
              <w:t>150</w:t>
            </w:r>
            <w:r w:rsidR="004F49F9">
              <w:rPr>
                <w:webHidden/>
              </w:rPr>
              <w:fldChar w:fldCharType="end"/>
            </w:r>
          </w:hyperlink>
        </w:p>
        <w:p w14:paraId="17FFF3A4" w14:textId="06E125F2" w:rsidR="004F49F9" w:rsidRDefault="00E55534">
          <w:pPr>
            <w:pStyle w:val="TOC2"/>
            <w:rPr>
              <w:rFonts w:asciiTheme="minorHAnsi" w:eastAsiaTheme="minorEastAsia" w:hAnsiTheme="minorHAnsi" w:cstheme="minorBidi"/>
              <w:bCs w:val="0"/>
              <w:sz w:val="22"/>
              <w:szCs w:val="22"/>
              <w:lang w:val="en-DK" w:eastAsia="en-DK"/>
            </w:rPr>
          </w:pPr>
          <w:hyperlink w:anchor="_Toc127346298" w:history="1">
            <w:r w:rsidR="004F49F9" w:rsidRPr="000366E0">
              <w:rPr>
                <w:rStyle w:val="Hyperlink"/>
              </w:rPr>
              <w:t>4.10</w:t>
            </w:r>
            <w:r w:rsidR="004F49F9">
              <w:rPr>
                <w:rFonts w:asciiTheme="minorHAnsi" w:eastAsiaTheme="minorEastAsia" w:hAnsiTheme="minorHAnsi" w:cstheme="minorBidi"/>
                <w:bCs w:val="0"/>
                <w:sz w:val="22"/>
                <w:szCs w:val="22"/>
                <w:lang w:val="en-DK" w:eastAsia="en-DK"/>
              </w:rPr>
              <w:tab/>
            </w:r>
            <w:r w:rsidR="004F49F9" w:rsidRPr="000366E0">
              <w:rPr>
                <w:rStyle w:val="Hyperlink"/>
              </w:rPr>
              <w:t>Technical parameters of short-range Radiodeterminationdevices</w:t>
            </w:r>
            <w:r w:rsidR="004F49F9">
              <w:rPr>
                <w:webHidden/>
              </w:rPr>
              <w:tab/>
            </w:r>
            <w:r w:rsidR="004F49F9">
              <w:rPr>
                <w:webHidden/>
              </w:rPr>
              <w:fldChar w:fldCharType="begin"/>
            </w:r>
            <w:r w:rsidR="004F49F9">
              <w:rPr>
                <w:webHidden/>
              </w:rPr>
              <w:instrText xml:space="preserve"> PAGEREF _Toc127346298 \h </w:instrText>
            </w:r>
            <w:r w:rsidR="004F49F9">
              <w:rPr>
                <w:webHidden/>
              </w:rPr>
            </w:r>
            <w:r w:rsidR="004F49F9">
              <w:rPr>
                <w:webHidden/>
              </w:rPr>
              <w:fldChar w:fldCharType="separate"/>
            </w:r>
            <w:r w:rsidR="003E544B">
              <w:rPr>
                <w:webHidden/>
              </w:rPr>
              <w:t>150</w:t>
            </w:r>
            <w:r w:rsidR="004F49F9">
              <w:rPr>
                <w:webHidden/>
              </w:rPr>
              <w:fldChar w:fldCharType="end"/>
            </w:r>
          </w:hyperlink>
        </w:p>
        <w:p w14:paraId="513295EC" w14:textId="3BE9945B" w:rsidR="004F49F9" w:rsidRDefault="00E55534">
          <w:pPr>
            <w:pStyle w:val="TOC2"/>
            <w:rPr>
              <w:rFonts w:asciiTheme="minorHAnsi" w:eastAsiaTheme="minorEastAsia" w:hAnsiTheme="minorHAnsi" w:cstheme="minorBidi"/>
              <w:bCs w:val="0"/>
              <w:sz w:val="22"/>
              <w:szCs w:val="22"/>
              <w:lang w:val="en-DK" w:eastAsia="en-DK"/>
            </w:rPr>
          </w:pPr>
          <w:hyperlink w:anchor="_Toc127346299" w:history="1">
            <w:r w:rsidR="004F49F9" w:rsidRPr="000366E0">
              <w:rPr>
                <w:rStyle w:val="Hyperlink"/>
              </w:rPr>
              <w:t>4.11</w:t>
            </w:r>
            <w:r w:rsidR="004F49F9">
              <w:rPr>
                <w:rFonts w:asciiTheme="minorHAnsi" w:eastAsiaTheme="minorEastAsia" w:hAnsiTheme="minorHAnsi" w:cstheme="minorBidi"/>
                <w:bCs w:val="0"/>
                <w:sz w:val="22"/>
                <w:szCs w:val="22"/>
                <w:lang w:val="en-DK" w:eastAsia="en-DK"/>
              </w:rPr>
              <w:tab/>
            </w:r>
            <w:r w:rsidR="004F49F9" w:rsidRPr="000366E0">
              <w:rPr>
                <w:rStyle w:val="Hyperlink"/>
              </w:rPr>
              <w:t>Path attenuation maps for line of sight regions around telescopes NOEMA and IRAM</w:t>
            </w:r>
            <w:r w:rsidR="004F49F9">
              <w:rPr>
                <w:webHidden/>
              </w:rPr>
              <w:tab/>
            </w:r>
            <w:r w:rsidR="004F49F9">
              <w:rPr>
                <w:webHidden/>
              </w:rPr>
              <w:fldChar w:fldCharType="begin"/>
            </w:r>
            <w:r w:rsidR="004F49F9">
              <w:rPr>
                <w:webHidden/>
              </w:rPr>
              <w:instrText xml:space="preserve"> PAGEREF _Toc127346299 \h </w:instrText>
            </w:r>
            <w:r w:rsidR="004F49F9">
              <w:rPr>
                <w:webHidden/>
              </w:rPr>
            </w:r>
            <w:r w:rsidR="004F49F9">
              <w:rPr>
                <w:webHidden/>
              </w:rPr>
              <w:fldChar w:fldCharType="separate"/>
            </w:r>
            <w:r w:rsidR="003E544B">
              <w:rPr>
                <w:webHidden/>
              </w:rPr>
              <w:t>151</w:t>
            </w:r>
            <w:r w:rsidR="004F49F9">
              <w:rPr>
                <w:webHidden/>
              </w:rPr>
              <w:fldChar w:fldCharType="end"/>
            </w:r>
          </w:hyperlink>
        </w:p>
        <w:p w14:paraId="1CAE532E" w14:textId="48530695" w:rsidR="004F49F9" w:rsidRDefault="00E55534">
          <w:pPr>
            <w:pStyle w:val="TOC3"/>
            <w:rPr>
              <w:rFonts w:asciiTheme="minorHAnsi" w:eastAsiaTheme="minorEastAsia" w:hAnsiTheme="minorHAnsi" w:cstheme="minorBidi"/>
              <w:sz w:val="22"/>
              <w:szCs w:val="22"/>
              <w:lang w:val="en-DK" w:eastAsia="en-DK"/>
            </w:rPr>
          </w:pPr>
          <w:hyperlink w:anchor="_Toc127346300" w:history="1">
            <w:r w:rsidR="004F49F9" w:rsidRPr="000366E0">
              <w:rPr>
                <w:rStyle w:val="Hyperlink"/>
              </w:rPr>
              <w:t>4.11.1</w:t>
            </w:r>
            <w:r w:rsidR="004F49F9">
              <w:rPr>
                <w:rFonts w:asciiTheme="minorHAnsi" w:eastAsiaTheme="minorEastAsia" w:hAnsiTheme="minorHAnsi" w:cstheme="minorBidi"/>
                <w:sz w:val="22"/>
                <w:szCs w:val="22"/>
                <w:lang w:val="en-DK" w:eastAsia="en-DK"/>
              </w:rPr>
              <w:tab/>
            </w:r>
            <w:r w:rsidR="004F49F9" w:rsidRPr="000366E0">
              <w:rPr>
                <w:rStyle w:val="Hyperlink"/>
              </w:rPr>
              <w:t>Discussion on path propagation</w:t>
            </w:r>
            <w:r w:rsidR="004F49F9">
              <w:rPr>
                <w:webHidden/>
              </w:rPr>
              <w:tab/>
            </w:r>
            <w:r w:rsidR="004F49F9">
              <w:rPr>
                <w:webHidden/>
              </w:rPr>
              <w:fldChar w:fldCharType="begin"/>
            </w:r>
            <w:r w:rsidR="004F49F9">
              <w:rPr>
                <w:webHidden/>
              </w:rPr>
              <w:instrText xml:space="preserve"> PAGEREF _Toc127346300 \h </w:instrText>
            </w:r>
            <w:r w:rsidR="004F49F9">
              <w:rPr>
                <w:webHidden/>
              </w:rPr>
            </w:r>
            <w:r w:rsidR="004F49F9">
              <w:rPr>
                <w:webHidden/>
              </w:rPr>
              <w:fldChar w:fldCharType="separate"/>
            </w:r>
            <w:r w:rsidR="003E544B">
              <w:rPr>
                <w:webHidden/>
              </w:rPr>
              <w:t>151</w:t>
            </w:r>
            <w:r w:rsidR="004F49F9">
              <w:rPr>
                <w:webHidden/>
              </w:rPr>
              <w:fldChar w:fldCharType="end"/>
            </w:r>
          </w:hyperlink>
        </w:p>
        <w:p w14:paraId="66B9DA62" w14:textId="1A60F52F" w:rsidR="004F49F9" w:rsidRDefault="00E55534">
          <w:pPr>
            <w:pStyle w:val="TOC2"/>
            <w:rPr>
              <w:rFonts w:asciiTheme="minorHAnsi" w:eastAsiaTheme="minorEastAsia" w:hAnsiTheme="minorHAnsi" w:cstheme="minorBidi"/>
              <w:bCs w:val="0"/>
              <w:sz w:val="22"/>
              <w:szCs w:val="22"/>
              <w:lang w:val="en-DK" w:eastAsia="en-DK"/>
            </w:rPr>
          </w:pPr>
          <w:hyperlink w:anchor="_Toc127346301" w:history="1">
            <w:r w:rsidR="004F49F9" w:rsidRPr="000366E0">
              <w:rPr>
                <w:rStyle w:val="Hyperlink"/>
              </w:rPr>
              <w:t>4.12</w:t>
            </w:r>
            <w:r w:rsidR="004F49F9">
              <w:rPr>
                <w:rFonts w:asciiTheme="minorHAnsi" w:eastAsiaTheme="minorEastAsia" w:hAnsiTheme="minorHAnsi" w:cstheme="minorBidi"/>
                <w:bCs w:val="0"/>
                <w:sz w:val="22"/>
                <w:szCs w:val="22"/>
                <w:lang w:val="en-DK" w:eastAsia="en-DK"/>
              </w:rPr>
              <w:tab/>
            </w:r>
            <w:r w:rsidR="004F49F9" w:rsidRPr="000366E0">
              <w:rPr>
                <w:rStyle w:val="Hyperlink"/>
              </w:rPr>
              <w:t>Separation Distances for single-interferer scenario</w:t>
            </w:r>
            <w:r w:rsidR="004F49F9">
              <w:rPr>
                <w:webHidden/>
              </w:rPr>
              <w:tab/>
            </w:r>
            <w:r w:rsidR="004F49F9">
              <w:rPr>
                <w:webHidden/>
              </w:rPr>
              <w:fldChar w:fldCharType="begin"/>
            </w:r>
            <w:r w:rsidR="004F49F9">
              <w:rPr>
                <w:webHidden/>
              </w:rPr>
              <w:instrText xml:space="preserve"> PAGEREF _Toc127346301 \h </w:instrText>
            </w:r>
            <w:r w:rsidR="004F49F9">
              <w:rPr>
                <w:webHidden/>
              </w:rPr>
            </w:r>
            <w:r w:rsidR="004F49F9">
              <w:rPr>
                <w:webHidden/>
              </w:rPr>
              <w:fldChar w:fldCharType="separate"/>
            </w:r>
            <w:r w:rsidR="003E544B">
              <w:rPr>
                <w:webHidden/>
              </w:rPr>
              <w:t>153</w:t>
            </w:r>
            <w:r w:rsidR="004F49F9">
              <w:rPr>
                <w:webHidden/>
              </w:rPr>
              <w:fldChar w:fldCharType="end"/>
            </w:r>
          </w:hyperlink>
        </w:p>
        <w:p w14:paraId="02FBD72B" w14:textId="4043DBB6" w:rsidR="004F49F9" w:rsidRDefault="00E55534">
          <w:pPr>
            <w:pStyle w:val="TOC1"/>
            <w:rPr>
              <w:rFonts w:asciiTheme="minorHAnsi" w:eastAsiaTheme="minorEastAsia" w:hAnsiTheme="minorHAnsi" w:cstheme="minorBidi"/>
              <w:b w:val="0"/>
              <w:noProof/>
              <w:sz w:val="22"/>
              <w:szCs w:val="22"/>
              <w:lang w:val="en-DK" w:eastAsia="en-DK"/>
            </w:rPr>
          </w:pPr>
          <w:hyperlink w:anchor="_Toc127346302" w:history="1">
            <w:r w:rsidR="004F49F9" w:rsidRPr="000366E0">
              <w:rPr>
                <w:rStyle w:val="Hyperlink"/>
                <w:noProof/>
              </w:rPr>
              <w:t>5</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Sharing and Compatibility Studies with Fixed Service</w:t>
            </w:r>
            <w:r w:rsidR="004F49F9">
              <w:rPr>
                <w:noProof/>
                <w:webHidden/>
              </w:rPr>
              <w:tab/>
            </w:r>
            <w:r w:rsidR="004F49F9">
              <w:rPr>
                <w:noProof/>
                <w:webHidden/>
              </w:rPr>
              <w:fldChar w:fldCharType="begin"/>
            </w:r>
            <w:r w:rsidR="004F49F9">
              <w:rPr>
                <w:noProof/>
                <w:webHidden/>
              </w:rPr>
              <w:instrText xml:space="preserve"> PAGEREF _Toc127346302 \h </w:instrText>
            </w:r>
            <w:r w:rsidR="004F49F9">
              <w:rPr>
                <w:noProof/>
                <w:webHidden/>
              </w:rPr>
            </w:r>
            <w:r w:rsidR="004F49F9">
              <w:rPr>
                <w:noProof/>
                <w:webHidden/>
              </w:rPr>
              <w:fldChar w:fldCharType="separate"/>
            </w:r>
            <w:r w:rsidR="003E544B">
              <w:rPr>
                <w:noProof/>
                <w:webHidden/>
              </w:rPr>
              <w:t>158</w:t>
            </w:r>
            <w:r w:rsidR="004F49F9">
              <w:rPr>
                <w:noProof/>
                <w:webHidden/>
              </w:rPr>
              <w:fldChar w:fldCharType="end"/>
            </w:r>
          </w:hyperlink>
        </w:p>
        <w:p w14:paraId="127A3FE0" w14:textId="5DD0DBA5" w:rsidR="004F49F9" w:rsidRDefault="00E55534">
          <w:pPr>
            <w:pStyle w:val="TOC2"/>
            <w:rPr>
              <w:rFonts w:asciiTheme="minorHAnsi" w:eastAsiaTheme="minorEastAsia" w:hAnsiTheme="minorHAnsi" w:cstheme="minorBidi"/>
              <w:bCs w:val="0"/>
              <w:sz w:val="22"/>
              <w:szCs w:val="22"/>
              <w:lang w:val="en-DK" w:eastAsia="en-DK"/>
            </w:rPr>
          </w:pPr>
          <w:hyperlink w:anchor="_Toc127346303" w:history="1">
            <w:r w:rsidR="004F49F9" w:rsidRPr="000366E0">
              <w:rPr>
                <w:rStyle w:val="Hyperlink"/>
              </w:rPr>
              <w:t>5.1</w:t>
            </w:r>
            <w:r w:rsidR="004F49F9">
              <w:rPr>
                <w:rFonts w:asciiTheme="minorHAnsi" w:eastAsiaTheme="minorEastAsia" w:hAnsiTheme="minorHAnsi" w:cstheme="minorBidi"/>
                <w:bCs w:val="0"/>
                <w:sz w:val="22"/>
                <w:szCs w:val="22"/>
                <w:lang w:val="en-DK" w:eastAsia="en-DK"/>
              </w:rPr>
              <w:tab/>
            </w:r>
            <w:r w:rsidR="004F49F9" w:rsidRPr="000366E0">
              <w:rPr>
                <w:rStyle w:val="Hyperlink"/>
              </w:rPr>
              <w:t>Generic Indoor Surveillance Radar</w:t>
            </w:r>
            <w:r w:rsidR="004F49F9">
              <w:rPr>
                <w:webHidden/>
              </w:rPr>
              <w:tab/>
            </w:r>
            <w:r w:rsidR="004F49F9">
              <w:rPr>
                <w:webHidden/>
              </w:rPr>
              <w:fldChar w:fldCharType="begin"/>
            </w:r>
            <w:r w:rsidR="004F49F9">
              <w:rPr>
                <w:webHidden/>
              </w:rPr>
              <w:instrText xml:space="preserve"> PAGEREF _Toc127346303 \h </w:instrText>
            </w:r>
            <w:r w:rsidR="004F49F9">
              <w:rPr>
                <w:webHidden/>
              </w:rPr>
            </w:r>
            <w:r w:rsidR="004F49F9">
              <w:rPr>
                <w:webHidden/>
              </w:rPr>
              <w:fldChar w:fldCharType="separate"/>
            </w:r>
            <w:r w:rsidR="003E544B">
              <w:rPr>
                <w:webHidden/>
              </w:rPr>
              <w:t>158</w:t>
            </w:r>
            <w:r w:rsidR="004F49F9">
              <w:rPr>
                <w:webHidden/>
              </w:rPr>
              <w:fldChar w:fldCharType="end"/>
            </w:r>
          </w:hyperlink>
        </w:p>
        <w:p w14:paraId="76F13124" w14:textId="4B98E0F7" w:rsidR="004F49F9" w:rsidRDefault="00E55534">
          <w:pPr>
            <w:pStyle w:val="TOC3"/>
            <w:rPr>
              <w:rFonts w:asciiTheme="minorHAnsi" w:eastAsiaTheme="minorEastAsia" w:hAnsiTheme="minorHAnsi" w:cstheme="minorBidi"/>
              <w:sz w:val="22"/>
              <w:szCs w:val="22"/>
              <w:lang w:val="en-DK" w:eastAsia="en-DK"/>
            </w:rPr>
          </w:pPr>
          <w:hyperlink w:anchor="_Toc127346304" w:history="1">
            <w:r w:rsidR="004F49F9" w:rsidRPr="000366E0">
              <w:rPr>
                <w:rStyle w:val="Hyperlink"/>
              </w:rPr>
              <w:t>5.1.1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and interference scenario considerations of generic indoor surveillance radar sensors</w:t>
            </w:r>
            <w:r w:rsidR="004F49F9">
              <w:rPr>
                <w:webHidden/>
              </w:rPr>
              <w:tab/>
            </w:r>
            <w:r w:rsidR="004F49F9">
              <w:rPr>
                <w:webHidden/>
              </w:rPr>
              <w:fldChar w:fldCharType="begin"/>
            </w:r>
            <w:r w:rsidR="004F49F9">
              <w:rPr>
                <w:webHidden/>
              </w:rPr>
              <w:instrText xml:space="preserve"> PAGEREF _Toc127346304 \h </w:instrText>
            </w:r>
            <w:r w:rsidR="004F49F9">
              <w:rPr>
                <w:webHidden/>
              </w:rPr>
            </w:r>
            <w:r w:rsidR="004F49F9">
              <w:rPr>
                <w:webHidden/>
              </w:rPr>
              <w:fldChar w:fldCharType="separate"/>
            </w:r>
            <w:r w:rsidR="003E544B">
              <w:rPr>
                <w:webHidden/>
              </w:rPr>
              <w:t>158</w:t>
            </w:r>
            <w:r w:rsidR="004F49F9">
              <w:rPr>
                <w:webHidden/>
              </w:rPr>
              <w:fldChar w:fldCharType="end"/>
            </w:r>
          </w:hyperlink>
        </w:p>
        <w:p w14:paraId="1DF72ED6" w14:textId="3C954EC7" w:rsidR="004F49F9" w:rsidRDefault="00E55534">
          <w:pPr>
            <w:pStyle w:val="TOC3"/>
            <w:rPr>
              <w:rFonts w:asciiTheme="minorHAnsi" w:eastAsiaTheme="minorEastAsia" w:hAnsiTheme="minorHAnsi" w:cstheme="minorBidi"/>
              <w:sz w:val="22"/>
              <w:szCs w:val="22"/>
              <w:lang w:val="en-DK" w:eastAsia="en-DK"/>
            </w:rPr>
          </w:pPr>
          <w:hyperlink w:anchor="_Toc127346305" w:history="1">
            <w:r w:rsidR="004F49F9" w:rsidRPr="000366E0">
              <w:rPr>
                <w:rStyle w:val="Hyperlink"/>
              </w:rPr>
              <w:t>5.1.2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_Toc127346305 \h </w:instrText>
            </w:r>
            <w:r w:rsidR="004F49F9">
              <w:rPr>
                <w:webHidden/>
              </w:rPr>
            </w:r>
            <w:r w:rsidR="004F49F9">
              <w:rPr>
                <w:webHidden/>
              </w:rPr>
              <w:fldChar w:fldCharType="separate"/>
            </w:r>
            <w:r w:rsidR="003E544B">
              <w:rPr>
                <w:webHidden/>
              </w:rPr>
              <w:t>160</w:t>
            </w:r>
            <w:r w:rsidR="004F49F9">
              <w:rPr>
                <w:webHidden/>
              </w:rPr>
              <w:fldChar w:fldCharType="end"/>
            </w:r>
          </w:hyperlink>
        </w:p>
        <w:p w14:paraId="2ECC8BDA" w14:textId="4E54D3BA" w:rsidR="004F49F9" w:rsidRDefault="00E55534">
          <w:pPr>
            <w:pStyle w:val="TOC2"/>
            <w:rPr>
              <w:rFonts w:asciiTheme="minorHAnsi" w:eastAsiaTheme="minorEastAsia" w:hAnsiTheme="minorHAnsi" w:cstheme="minorBidi"/>
              <w:bCs w:val="0"/>
              <w:sz w:val="22"/>
              <w:szCs w:val="22"/>
              <w:lang w:val="en-DK" w:eastAsia="en-DK"/>
            </w:rPr>
          </w:pPr>
          <w:hyperlink w:anchor="_Toc127346306" w:history="1">
            <w:r w:rsidR="004F49F9" w:rsidRPr="000366E0">
              <w:rPr>
                <w:rStyle w:val="Hyperlink"/>
              </w:rPr>
              <w:t>5.2</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(RDI)</w:t>
            </w:r>
            <w:r w:rsidR="004F49F9">
              <w:rPr>
                <w:webHidden/>
              </w:rPr>
              <w:tab/>
            </w:r>
            <w:r w:rsidR="004F49F9">
              <w:rPr>
                <w:webHidden/>
              </w:rPr>
              <w:fldChar w:fldCharType="begin"/>
            </w:r>
            <w:r w:rsidR="004F49F9">
              <w:rPr>
                <w:webHidden/>
              </w:rPr>
              <w:instrText xml:space="preserve"> PAGEREF _Toc127346306 \h </w:instrText>
            </w:r>
            <w:r w:rsidR="004F49F9">
              <w:rPr>
                <w:webHidden/>
              </w:rPr>
            </w:r>
            <w:r w:rsidR="004F49F9">
              <w:rPr>
                <w:webHidden/>
              </w:rPr>
              <w:fldChar w:fldCharType="separate"/>
            </w:r>
            <w:r w:rsidR="003E544B">
              <w:rPr>
                <w:webHidden/>
              </w:rPr>
              <w:t>162</w:t>
            </w:r>
            <w:r w:rsidR="004F49F9">
              <w:rPr>
                <w:webHidden/>
              </w:rPr>
              <w:fldChar w:fldCharType="end"/>
            </w:r>
          </w:hyperlink>
        </w:p>
        <w:p w14:paraId="781E084D" w14:textId="14594FD1" w:rsidR="004F49F9" w:rsidRDefault="00E55534">
          <w:pPr>
            <w:pStyle w:val="TOC3"/>
            <w:rPr>
              <w:rFonts w:asciiTheme="minorHAnsi" w:eastAsiaTheme="minorEastAsia" w:hAnsiTheme="minorHAnsi" w:cstheme="minorBidi"/>
              <w:sz w:val="22"/>
              <w:szCs w:val="22"/>
              <w:lang w:val="en-DK" w:eastAsia="en-DK"/>
            </w:rPr>
          </w:pPr>
          <w:hyperlink w:anchor="_Toc127346307" w:history="1">
            <w:r w:rsidR="004F49F9" w:rsidRPr="000366E0">
              <w:rPr>
                <w:rStyle w:val="Hyperlink"/>
              </w:rPr>
              <w:t>5.2.1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w:t>
            </w:r>
            <w:r w:rsidR="004F49F9">
              <w:rPr>
                <w:webHidden/>
              </w:rPr>
              <w:tab/>
            </w:r>
            <w:r w:rsidR="004F49F9">
              <w:rPr>
                <w:webHidden/>
              </w:rPr>
              <w:fldChar w:fldCharType="begin"/>
            </w:r>
            <w:r w:rsidR="004F49F9">
              <w:rPr>
                <w:webHidden/>
              </w:rPr>
              <w:instrText xml:space="preserve"> PAGEREF _Toc127346307 \h </w:instrText>
            </w:r>
            <w:r w:rsidR="004F49F9">
              <w:rPr>
                <w:webHidden/>
              </w:rPr>
            </w:r>
            <w:r w:rsidR="004F49F9">
              <w:rPr>
                <w:webHidden/>
              </w:rPr>
              <w:fldChar w:fldCharType="separate"/>
            </w:r>
            <w:r w:rsidR="003E544B">
              <w:rPr>
                <w:webHidden/>
              </w:rPr>
              <w:t>162</w:t>
            </w:r>
            <w:r w:rsidR="004F49F9">
              <w:rPr>
                <w:webHidden/>
              </w:rPr>
              <w:fldChar w:fldCharType="end"/>
            </w:r>
          </w:hyperlink>
        </w:p>
        <w:p w14:paraId="33317792" w14:textId="5DABD4B1" w:rsidR="004F49F9" w:rsidRDefault="00E55534">
          <w:pPr>
            <w:pStyle w:val="TOC3"/>
            <w:rPr>
              <w:rFonts w:asciiTheme="minorHAnsi" w:eastAsiaTheme="minorEastAsia" w:hAnsiTheme="minorHAnsi" w:cstheme="minorBidi"/>
              <w:sz w:val="22"/>
              <w:szCs w:val="22"/>
              <w:lang w:val="en-DK" w:eastAsia="en-DK"/>
            </w:rPr>
          </w:pPr>
          <w:hyperlink w:anchor="_Toc127346308" w:history="1">
            <w:r w:rsidR="004F49F9" w:rsidRPr="000366E0">
              <w:rPr>
                <w:rStyle w:val="Hyperlink"/>
              </w:rPr>
              <w:t>5.2.2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_Toc127346308 \h </w:instrText>
            </w:r>
            <w:r w:rsidR="004F49F9">
              <w:rPr>
                <w:webHidden/>
              </w:rPr>
            </w:r>
            <w:r w:rsidR="004F49F9">
              <w:rPr>
                <w:webHidden/>
              </w:rPr>
              <w:fldChar w:fldCharType="separate"/>
            </w:r>
            <w:r w:rsidR="003E544B">
              <w:rPr>
                <w:webHidden/>
              </w:rPr>
              <w:t>163</w:t>
            </w:r>
            <w:r w:rsidR="004F49F9">
              <w:rPr>
                <w:webHidden/>
              </w:rPr>
              <w:fldChar w:fldCharType="end"/>
            </w:r>
          </w:hyperlink>
        </w:p>
        <w:p w14:paraId="0BC4F0C9" w14:textId="65FBF481" w:rsidR="004F49F9" w:rsidRDefault="00E55534">
          <w:pPr>
            <w:pStyle w:val="TOC2"/>
            <w:rPr>
              <w:rFonts w:asciiTheme="minorHAnsi" w:eastAsiaTheme="minorEastAsia" w:hAnsiTheme="minorHAnsi" w:cstheme="minorBidi"/>
              <w:bCs w:val="0"/>
              <w:sz w:val="22"/>
              <w:szCs w:val="22"/>
              <w:lang w:val="en-DK" w:eastAsia="en-DK"/>
            </w:rPr>
          </w:pPr>
          <w:hyperlink w:anchor="_Toc127346309" w:history="1">
            <w:r w:rsidR="004F49F9" w:rsidRPr="000366E0">
              <w:rPr>
                <w:rStyle w:val="Hyperlink"/>
              </w:rPr>
              <w:t>5.3</w:t>
            </w:r>
            <w:r w:rsidR="004F49F9">
              <w:rPr>
                <w:rFonts w:asciiTheme="minorHAnsi" w:eastAsiaTheme="minorEastAsia" w:hAnsiTheme="minorHAnsi" w:cstheme="minorBidi"/>
                <w:bCs w:val="0"/>
                <w:sz w:val="22"/>
                <w:szCs w:val="22"/>
                <w:lang w:val="en-DK" w:eastAsia="en-DK"/>
              </w:rPr>
              <w:tab/>
            </w:r>
            <w:r w:rsidR="004F49F9" w:rsidRPr="000366E0">
              <w:rPr>
                <w:rStyle w:val="Hyperlink"/>
              </w:rPr>
              <w:t>Short 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_Toc127346309 \h </w:instrText>
            </w:r>
            <w:r w:rsidR="004F49F9">
              <w:rPr>
                <w:webHidden/>
              </w:rPr>
            </w:r>
            <w:r w:rsidR="004F49F9">
              <w:rPr>
                <w:webHidden/>
              </w:rPr>
              <w:fldChar w:fldCharType="separate"/>
            </w:r>
            <w:r w:rsidR="003E544B">
              <w:rPr>
                <w:webHidden/>
              </w:rPr>
              <w:t>163</w:t>
            </w:r>
            <w:r w:rsidR="004F49F9">
              <w:rPr>
                <w:webHidden/>
              </w:rPr>
              <w:fldChar w:fldCharType="end"/>
            </w:r>
          </w:hyperlink>
        </w:p>
        <w:p w14:paraId="1D561335" w14:textId="6194332D" w:rsidR="004F49F9" w:rsidRDefault="00E55534">
          <w:pPr>
            <w:pStyle w:val="TOC2"/>
            <w:rPr>
              <w:rFonts w:asciiTheme="minorHAnsi" w:eastAsiaTheme="minorEastAsia" w:hAnsiTheme="minorHAnsi" w:cstheme="minorBidi"/>
              <w:bCs w:val="0"/>
              <w:sz w:val="22"/>
              <w:szCs w:val="22"/>
              <w:lang w:val="en-DK" w:eastAsia="en-DK"/>
            </w:rPr>
          </w:pPr>
          <w:hyperlink w:anchor="_Toc127346310" w:history="1">
            <w:r w:rsidR="004F49F9" w:rsidRPr="000366E0">
              <w:rPr>
                <w:rStyle w:val="Hyperlink"/>
              </w:rPr>
              <w:t>5.4</w:t>
            </w:r>
            <w:r w:rsidR="004F49F9">
              <w:rPr>
                <w:rFonts w:asciiTheme="minorHAnsi" w:eastAsiaTheme="minorEastAsia" w:hAnsiTheme="minorHAnsi" w:cstheme="minorBidi"/>
                <w:bCs w:val="0"/>
                <w:sz w:val="22"/>
                <w:szCs w:val="22"/>
                <w:lang w:val="en-DK" w:eastAsia="en-DK"/>
              </w:rPr>
              <w:tab/>
            </w:r>
            <w:r w:rsidR="004F49F9" w:rsidRPr="000366E0">
              <w:rPr>
                <w:rStyle w:val="Hyperlink"/>
              </w:rPr>
              <w:t>Ground Based Synthetic Aperture Radar (GBSAR)</w:t>
            </w:r>
            <w:r w:rsidR="004F49F9">
              <w:rPr>
                <w:webHidden/>
              </w:rPr>
              <w:tab/>
            </w:r>
            <w:r w:rsidR="004F49F9">
              <w:rPr>
                <w:webHidden/>
              </w:rPr>
              <w:fldChar w:fldCharType="begin"/>
            </w:r>
            <w:r w:rsidR="004F49F9">
              <w:rPr>
                <w:webHidden/>
              </w:rPr>
              <w:instrText xml:space="preserve"> PAGEREF _Toc127346310 \h </w:instrText>
            </w:r>
            <w:r w:rsidR="004F49F9">
              <w:rPr>
                <w:webHidden/>
              </w:rPr>
            </w:r>
            <w:r w:rsidR="004F49F9">
              <w:rPr>
                <w:webHidden/>
              </w:rPr>
              <w:fldChar w:fldCharType="separate"/>
            </w:r>
            <w:r w:rsidR="003E544B">
              <w:rPr>
                <w:webHidden/>
              </w:rPr>
              <w:t>163</w:t>
            </w:r>
            <w:r w:rsidR="004F49F9">
              <w:rPr>
                <w:webHidden/>
              </w:rPr>
              <w:fldChar w:fldCharType="end"/>
            </w:r>
          </w:hyperlink>
        </w:p>
        <w:p w14:paraId="0A2B96F9" w14:textId="729F0E3D" w:rsidR="004F49F9" w:rsidRDefault="00E55534">
          <w:pPr>
            <w:pStyle w:val="TOC2"/>
            <w:rPr>
              <w:rFonts w:asciiTheme="minorHAnsi" w:eastAsiaTheme="minorEastAsia" w:hAnsiTheme="minorHAnsi" w:cstheme="minorBidi"/>
              <w:bCs w:val="0"/>
              <w:sz w:val="22"/>
              <w:szCs w:val="22"/>
              <w:lang w:val="en-DK" w:eastAsia="en-DK"/>
            </w:rPr>
          </w:pPr>
          <w:hyperlink w:anchor="_Toc127346311" w:history="1">
            <w:r w:rsidR="004F49F9" w:rsidRPr="000366E0">
              <w:rPr>
                <w:rStyle w:val="Hyperlink"/>
              </w:rPr>
              <w:t>5.5</w:t>
            </w:r>
            <w:r w:rsidR="004F49F9">
              <w:rPr>
                <w:rFonts w:asciiTheme="minorHAnsi" w:eastAsiaTheme="minorEastAsia" w:hAnsiTheme="minorHAnsi" w:cstheme="minorBidi"/>
                <w:bCs w:val="0"/>
                <w:sz w:val="22"/>
                <w:szCs w:val="22"/>
                <w:lang w:val="en-DK" w:eastAsia="en-DK"/>
              </w:rPr>
              <w:tab/>
            </w:r>
            <w:r w:rsidR="004F49F9" w:rsidRPr="000366E0">
              <w:rPr>
                <w:rStyle w:val="Hyperlink"/>
              </w:rPr>
              <w:t>Level Probing Radar (LPR)</w:t>
            </w:r>
            <w:r w:rsidR="004F49F9">
              <w:rPr>
                <w:webHidden/>
              </w:rPr>
              <w:tab/>
            </w:r>
            <w:r w:rsidR="004F49F9">
              <w:rPr>
                <w:webHidden/>
              </w:rPr>
              <w:fldChar w:fldCharType="begin"/>
            </w:r>
            <w:r w:rsidR="004F49F9">
              <w:rPr>
                <w:webHidden/>
              </w:rPr>
              <w:instrText xml:space="preserve"> PAGEREF _Toc127346311 \h </w:instrText>
            </w:r>
            <w:r w:rsidR="004F49F9">
              <w:rPr>
                <w:webHidden/>
              </w:rPr>
            </w:r>
            <w:r w:rsidR="004F49F9">
              <w:rPr>
                <w:webHidden/>
              </w:rPr>
              <w:fldChar w:fldCharType="separate"/>
            </w:r>
            <w:r w:rsidR="003E544B">
              <w:rPr>
                <w:webHidden/>
              </w:rPr>
              <w:t>163</w:t>
            </w:r>
            <w:r w:rsidR="004F49F9">
              <w:rPr>
                <w:webHidden/>
              </w:rPr>
              <w:fldChar w:fldCharType="end"/>
            </w:r>
          </w:hyperlink>
        </w:p>
        <w:p w14:paraId="454B8335" w14:textId="174EAF36" w:rsidR="004F49F9" w:rsidRDefault="00E55534">
          <w:pPr>
            <w:pStyle w:val="TOC3"/>
            <w:rPr>
              <w:rFonts w:asciiTheme="minorHAnsi" w:eastAsiaTheme="minorEastAsia" w:hAnsiTheme="minorHAnsi" w:cstheme="minorBidi"/>
              <w:sz w:val="22"/>
              <w:szCs w:val="22"/>
              <w:lang w:val="en-DK" w:eastAsia="en-DK"/>
            </w:rPr>
          </w:pPr>
          <w:hyperlink w:anchor="_Toc127346312" w:history="1">
            <w:r w:rsidR="004F49F9" w:rsidRPr="000366E0">
              <w:rPr>
                <w:rStyle w:val="Hyperlink"/>
              </w:rPr>
              <w:t>5.5.1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LPR</w:t>
            </w:r>
            <w:r w:rsidR="004F49F9">
              <w:rPr>
                <w:webHidden/>
              </w:rPr>
              <w:tab/>
            </w:r>
            <w:r w:rsidR="004F49F9">
              <w:rPr>
                <w:webHidden/>
              </w:rPr>
              <w:fldChar w:fldCharType="begin"/>
            </w:r>
            <w:r w:rsidR="004F49F9">
              <w:rPr>
                <w:webHidden/>
              </w:rPr>
              <w:instrText xml:space="preserve"> PAGEREF _Toc127346312 \h </w:instrText>
            </w:r>
            <w:r w:rsidR="004F49F9">
              <w:rPr>
                <w:webHidden/>
              </w:rPr>
            </w:r>
            <w:r w:rsidR="004F49F9">
              <w:rPr>
                <w:webHidden/>
              </w:rPr>
              <w:fldChar w:fldCharType="separate"/>
            </w:r>
            <w:r w:rsidR="003E544B">
              <w:rPr>
                <w:webHidden/>
              </w:rPr>
              <w:t>163</w:t>
            </w:r>
            <w:r w:rsidR="004F49F9">
              <w:rPr>
                <w:webHidden/>
              </w:rPr>
              <w:fldChar w:fldCharType="end"/>
            </w:r>
          </w:hyperlink>
        </w:p>
        <w:p w14:paraId="7CF55D4B" w14:textId="7DA365E9" w:rsidR="004F49F9" w:rsidRDefault="00E55534">
          <w:pPr>
            <w:pStyle w:val="TOC3"/>
            <w:rPr>
              <w:rFonts w:asciiTheme="minorHAnsi" w:eastAsiaTheme="minorEastAsia" w:hAnsiTheme="minorHAnsi" w:cstheme="minorBidi"/>
              <w:sz w:val="22"/>
              <w:szCs w:val="22"/>
              <w:lang w:val="en-DK" w:eastAsia="en-DK"/>
            </w:rPr>
          </w:pPr>
          <w:hyperlink w:anchor="_Toc127346313" w:history="1">
            <w:r w:rsidR="004F49F9" w:rsidRPr="000366E0">
              <w:rPr>
                <w:rStyle w:val="Hyperlink"/>
              </w:rPr>
              <w:t>5.5.2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_Toc127346313 \h </w:instrText>
            </w:r>
            <w:r w:rsidR="004F49F9">
              <w:rPr>
                <w:webHidden/>
              </w:rPr>
            </w:r>
            <w:r w:rsidR="004F49F9">
              <w:rPr>
                <w:webHidden/>
              </w:rPr>
              <w:fldChar w:fldCharType="separate"/>
            </w:r>
            <w:r w:rsidR="003E544B">
              <w:rPr>
                <w:webHidden/>
              </w:rPr>
              <w:t>164</w:t>
            </w:r>
            <w:r w:rsidR="004F49F9">
              <w:rPr>
                <w:webHidden/>
              </w:rPr>
              <w:fldChar w:fldCharType="end"/>
            </w:r>
          </w:hyperlink>
        </w:p>
        <w:p w14:paraId="6C090CAA" w14:textId="3BD332A5" w:rsidR="004F49F9" w:rsidRDefault="00E55534">
          <w:pPr>
            <w:pStyle w:val="TOC2"/>
            <w:rPr>
              <w:rFonts w:asciiTheme="minorHAnsi" w:eastAsiaTheme="minorEastAsia" w:hAnsiTheme="minorHAnsi" w:cstheme="minorBidi"/>
              <w:bCs w:val="0"/>
              <w:sz w:val="22"/>
              <w:szCs w:val="22"/>
              <w:lang w:val="en-DK" w:eastAsia="en-DK"/>
            </w:rPr>
          </w:pPr>
          <w:hyperlink w:anchor="_Toc127346314" w:history="1">
            <w:r w:rsidR="004F49F9" w:rsidRPr="000366E0">
              <w:rPr>
                <w:rStyle w:val="Hyperlink"/>
              </w:rPr>
              <w:t>5.6</w:t>
            </w:r>
            <w:r w:rsidR="004F49F9">
              <w:rPr>
                <w:rFonts w:asciiTheme="minorHAnsi" w:eastAsiaTheme="minorEastAsia" w:hAnsiTheme="minorHAnsi" w:cstheme="minorBidi"/>
                <w:bCs w:val="0"/>
                <w:sz w:val="22"/>
                <w:szCs w:val="22"/>
                <w:lang w:val="en-DK" w:eastAsia="en-DK"/>
              </w:rPr>
              <w:tab/>
            </w:r>
            <w:r w:rsidR="004F49F9" w:rsidRPr="000366E0">
              <w:rPr>
                <w:rStyle w:val="Hyperlink"/>
              </w:rPr>
              <w:t>Contour determination and acquisition (CDR)</w:t>
            </w:r>
            <w:r w:rsidR="004F49F9">
              <w:rPr>
                <w:webHidden/>
              </w:rPr>
              <w:tab/>
            </w:r>
            <w:r w:rsidR="004F49F9">
              <w:rPr>
                <w:webHidden/>
              </w:rPr>
              <w:fldChar w:fldCharType="begin"/>
            </w:r>
            <w:r w:rsidR="004F49F9">
              <w:rPr>
                <w:webHidden/>
              </w:rPr>
              <w:instrText xml:space="preserve"> PAGEREF _Toc127346314 \h </w:instrText>
            </w:r>
            <w:r w:rsidR="004F49F9">
              <w:rPr>
                <w:webHidden/>
              </w:rPr>
            </w:r>
            <w:r w:rsidR="004F49F9">
              <w:rPr>
                <w:webHidden/>
              </w:rPr>
              <w:fldChar w:fldCharType="separate"/>
            </w:r>
            <w:r w:rsidR="003E544B">
              <w:rPr>
                <w:webHidden/>
              </w:rPr>
              <w:t>164</w:t>
            </w:r>
            <w:r w:rsidR="004F49F9">
              <w:rPr>
                <w:webHidden/>
              </w:rPr>
              <w:fldChar w:fldCharType="end"/>
            </w:r>
          </w:hyperlink>
        </w:p>
        <w:p w14:paraId="3237D0DE" w14:textId="3BD8BBE4" w:rsidR="004F49F9" w:rsidRDefault="00E55534">
          <w:pPr>
            <w:pStyle w:val="TOC3"/>
            <w:rPr>
              <w:rFonts w:asciiTheme="minorHAnsi" w:eastAsiaTheme="minorEastAsia" w:hAnsiTheme="minorHAnsi" w:cstheme="minorBidi"/>
              <w:sz w:val="22"/>
              <w:szCs w:val="22"/>
              <w:lang w:val="en-DK" w:eastAsia="en-DK"/>
            </w:rPr>
          </w:pPr>
          <w:hyperlink w:anchor="_Toc127346315" w:history="1">
            <w:r w:rsidR="004F49F9" w:rsidRPr="000366E0">
              <w:rPr>
                <w:rStyle w:val="Hyperlink"/>
              </w:rPr>
              <w:t>5.6.1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CDR</w:t>
            </w:r>
            <w:r w:rsidR="004F49F9">
              <w:rPr>
                <w:webHidden/>
              </w:rPr>
              <w:tab/>
            </w:r>
            <w:r w:rsidR="004F49F9">
              <w:rPr>
                <w:webHidden/>
              </w:rPr>
              <w:fldChar w:fldCharType="begin"/>
            </w:r>
            <w:r w:rsidR="004F49F9">
              <w:rPr>
                <w:webHidden/>
              </w:rPr>
              <w:instrText xml:space="preserve"> PAGEREF _Toc127346315 \h </w:instrText>
            </w:r>
            <w:r w:rsidR="004F49F9">
              <w:rPr>
                <w:webHidden/>
              </w:rPr>
            </w:r>
            <w:r w:rsidR="004F49F9">
              <w:rPr>
                <w:webHidden/>
              </w:rPr>
              <w:fldChar w:fldCharType="separate"/>
            </w:r>
            <w:r w:rsidR="003E544B">
              <w:rPr>
                <w:webHidden/>
              </w:rPr>
              <w:t>164</w:t>
            </w:r>
            <w:r w:rsidR="004F49F9">
              <w:rPr>
                <w:webHidden/>
              </w:rPr>
              <w:fldChar w:fldCharType="end"/>
            </w:r>
          </w:hyperlink>
        </w:p>
        <w:p w14:paraId="225498E9" w14:textId="79C1FC27" w:rsidR="004F49F9" w:rsidRDefault="00E55534">
          <w:pPr>
            <w:pStyle w:val="TOC3"/>
            <w:rPr>
              <w:rFonts w:asciiTheme="minorHAnsi" w:eastAsiaTheme="minorEastAsia" w:hAnsiTheme="minorHAnsi" w:cstheme="minorBidi"/>
              <w:sz w:val="22"/>
              <w:szCs w:val="22"/>
              <w:lang w:val="en-DK" w:eastAsia="en-DK"/>
            </w:rPr>
          </w:pPr>
          <w:hyperlink w:anchor="_Toc127346316" w:history="1">
            <w:r w:rsidR="004F49F9" w:rsidRPr="000366E0">
              <w:rPr>
                <w:rStyle w:val="Hyperlink"/>
              </w:rPr>
              <w:t>5.6.2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_Toc127346316 \h </w:instrText>
            </w:r>
            <w:r w:rsidR="004F49F9">
              <w:rPr>
                <w:webHidden/>
              </w:rPr>
            </w:r>
            <w:r w:rsidR="004F49F9">
              <w:rPr>
                <w:webHidden/>
              </w:rPr>
              <w:fldChar w:fldCharType="separate"/>
            </w:r>
            <w:r w:rsidR="003E544B">
              <w:rPr>
                <w:webHidden/>
              </w:rPr>
              <w:t>165</w:t>
            </w:r>
            <w:r w:rsidR="004F49F9">
              <w:rPr>
                <w:webHidden/>
              </w:rPr>
              <w:fldChar w:fldCharType="end"/>
            </w:r>
          </w:hyperlink>
        </w:p>
        <w:p w14:paraId="227AE854" w14:textId="101C70BF" w:rsidR="004F49F9" w:rsidRDefault="00E55534">
          <w:pPr>
            <w:pStyle w:val="TOC2"/>
            <w:rPr>
              <w:rFonts w:asciiTheme="minorHAnsi" w:eastAsiaTheme="minorEastAsia" w:hAnsiTheme="minorHAnsi" w:cstheme="minorBidi"/>
              <w:bCs w:val="0"/>
              <w:sz w:val="22"/>
              <w:szCs w:val="22"/>
              <w:lang w:val="en-DK" w:eastAsia="en-DK"/>
            </w:rPr>
          </w:pPr>
          <w:hyperlink w:anchor="_Toc127346317" w:history="1">
            <w:r w:rsidR="004F49F9" w:rsidRPr="000366E0">
              <w:rPr>
                <w:rStyle w:val="Hyperlink"/>
              </w:rPr>
              <w:t>5.7</w:t>
            </w:r>
            <w:r w:rsidR="004F49F9">
              <w:rPr>
                <w:rFonts w:asciiTheme="minorHAnsi" w:eastAsiaTheme="minorEastAsia" w:hAnsiTheme="minorHAnsi" w:cstheme="minorBidi"/>
                <w:bCs w:val="0"/>
                <w:sz w:val="22"/>
                <w:szCs w:val="22"/>
                <w:lang w:val="en-DK" w:eastAsia="en-DK"/>
              </w:rPr>
              <w:tab/>
            </w:r>
            <w:r w:rsidR="004F49F9" w:rsidRPr="000366E0">
              <w:rPr>
                <w:rStyle w:val="Hyperlink"/>
              </w:rPr>
              <w:t>Tank Level Probing Radar (TLPR)</w:t>
            </w:r>
            <w:r w:rsidR="004F49F9">
              <w:rPr>
                <w:webHidden/>
              </w:rPr>
              <w:tab/>
            </w:r>
            <w:r w:rsidR="004F49F9">
              <w:rPr>
                <w:webHidden/>
              </w:rPr>
              <w:fldChar w:fldCharType="begin"/>
            </w:r>
            <w:r w:rsidR="004F49F9">
              <w:rPr>
                <w:webHidden/>
              </w:rPr>
              <w:instrText xml:space="preserve"> PAGEREF _Toc127346317 \h </w:instrText>
            </w:r>
            <w:r w:rsidR="004F49F9">
              <w:rPr>
                <w:webHidden/>
              </w:rPr>
            </w:r>
            <w:r w:rsidR="004F49F9">
              <w:rPr>
                <w:webHidden/>
              </w:rPr>
              <w:fldChar w:fldCharType="separate"/>
            </w:r>
            <w:r w:rsidR="003E544B">
              <w:rPr>
                <w:webHidden/>
              </w:rPr>
              <w:t>166</w:t>
            </w:r>
            <w:r w:rsidR="004F49F9">
              <w:rPr>
                <w:webHidden/>
              </w:rPr>
              <w:fldChar w:fldCharType="end"/>
            </w:r>
          </w:hyperlink>
        </w:p>
        <w:p w14:paraId="602FB581" w14:textId="5188BCA3" w:rsidR="004F49F9" w:rsidRDefault="00E55534">
          <w:pPr>
            <w:pStyle w:val="TOC3"/>
            <w:rPr>
              <w:rFonts w:asciiTheme="minorHAnsi" w:eastAsiaTheme="minorEastAsia" w:hAnsiTheme="minorHAnsi" w:cstheme="minorBidi"/>
              <w:sz w:val="22"/>
              <w:szCs w:val="22"/>
              <w:lang w:val="en-DK" w:eastAsia="en-DK"/>
            </w:rPr>
          </w:pPr>
          <w:hyperlink w:anchor="_Toc127346318" w:history="1">
            <w:r w:rsidR="004F49F9" w:rsidRPr="000366E0">
              <w:rPr>
                <w:rStyle w:val="Hyperlink"/>
              </w:rPr>
              <w:t>5.7.1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TLPR</w:t>
            </w:r>
            <w:r w:rsidR="004F49F9">
              <w:rPr>
                <w:webHidden/>
              </w:rPr>
              <w:tab/>
            </w:r>
            <w:r w:rsidR="004F49F9">
              <w:rPr>
                <w:webHidden/>
              </w:rPr>
              <w:fldChar w:fldCharType="begin"/>
            </w:r>
            <w:r w:rsidR="004F49F9">
              <w:rPr>
                <w:webHidden/>
              </w:rPr>
              <w:instrText xml:space="preserve"> PAGEREF _Toc127346318 \h </w:instrText>
            </w:r>
            <w:r w:rsidR="004F49F9">
              <w:rPr>
                <w:webHidden/>
              </w:rPr>
            </w:r>
            <w:r w:rsidR="004F49F9">
              <w:rPr>
                <w:webHidden/>
              </w:rPr>
              <w:fldChar w:fldCharType="separate"/>
            </w:r>
            <w:r w:rsidR="003E544B">
              <w:rPr>
                <w:webHidden/>
              </w:rPr>
              <w:t>166</w:t>
            </w:r>
            <w:r w:rsidR="004F49F9">
              <w:rPr>
                <w:webHidden/>
              </w:rPr>
              <w:fldChar w:fldCharType="end"/>
            </w:r>
          </w:hyperlink>
        </w:p>
        <w:p w14:paraId="215311A6" w14:textId="3ADB36CD" w:rsidR="004F49F9" w:rsidRDefault="00E55534">
          <w:pPr>
            <w:pStyle w:val="TOC3"/>
            <w:rPr>
              <w:rFonts w:asciiTheme="minorHAnsi" w:eastAsiaTheme="minorEastAsia" w:hAnsiTheme="minorHAnsi" w:cstheme="minorBidi"/>
              <w:sz w:val="22"/>
              <w:szCs w:val="22"/>
              <w:lang w:val="en-DK" w:eastAsia="en-DK"/>
            </w:rPr>
          </w:pPr>
          <w:hyperlink w:anchor="_Toc127346319" w:history="1">
            <w:r w:rsidR="004F49F9" w:rsidRPr="000366E0">
              <w:rPr>
                <w:rStyle w:val="Hyperlink"/>
              </w:rPr>
              <w:t>5.7.2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_Toc127346319 \h </w:instrText>
            </w:r>
            <w:r w:rsidR="004F49F9">
              <w:rPr>
                <w:webHidden/>
              </w:rPr>
            </w:r>
            <w:r w:rsidR="004F49F9">
              <w:rPr>
                <w:webHidden/>
              </w:rPr>
              <w:fldChar w:fldCharType="separate"/>
            </w:r>
            <w:r w:rsidR="003E544B">
              <w:rPr>
                <w:webHidden/>
              </w:rPr>
              <w:t>167</w:t>
            </w:r>
            <w:r w:rsidR="004F49F9">
              <w:rPr>
                <w:webHidden/>
              </w:rPr>
              <w:fldChar w:fldCharType="end"/>
            </w:r>
          </w:hyperlink>
        </w:p>
        <w:p w14:paraId="0AD8C37B" w14:textId="4999D2F7" w:rsidR="004F49F9" w:rsidRDefault="00E55534">
          <w:pPr>
            <w:pStyle w:val="TOC2"/>
            <w:rPr>
              <w:rFonts w:asciiTheme="minorHAnsi" w:eastAsiaTheme="minorEastAsia" w:hAnsiTheme="minorHAnsi" w:cstheme="minorBidi"/>
              <w:bCs w:val="0"/>
              <w:sz w:val="22"/>
              <w:szCs w:val="22"/>
              <w:lang w:val="en-DK" w:eastAsia="en-DK"/>
            </w:rPr>
          </w:pPr>
          <w:hyperlink w:anchor="_Toc127346320" w:history="1">
            <w:r w:rsidR="004F49F9" w:rsidRPr="000366E0">
              <w:rPr>
                <w:rStyle w:val="Hyperlink"/>
              </w:rPr>
              <w:t>5.8</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in shielded environments (RDI-S)</w:t>
            </w:r>
            <w:r w:rsidR="004F49F9">
              <w:rPr>
                <w:webHidden/>
              </w:rPr>
              <w:tab/>
            </w:r>
            <w:r w:rsidR="004F49F9">
              <w:rPr>
                <w:webHidden/>
              </w:rPr>
              <w:fldChar w:fldCharType="begin"/>
            </w:r>
            <w:r w:rsidR="004F49F9">
              <w:rPr>
                <w:webHidden/>
              </w:rPr>
              <w:instrText xml:space="preserve"> PAGEREF _Toc127346320 \h </w:instrText>
            </w:r>
            <w:r w:rsidR="004F49F9">
              <w:rPr>
                <w:webHidden/>
              </w:rPr>
            </w:r>
            <w:r w:rsidR="004F49F9">
              <w:rPr>
                <w:webHidden/>
              </w:rPr>
              <w:fldChar w:fldCharType="separate"/>
            </w:r>
            <w:r w:rsidR="003E544B">
              <w:rPr>
                <w:webHidden/>
              </w:rPr>
              <w:t>167</w:t>
            </w:r>
            <w:r w:rsidR="004F49F9">
              <w:rPr>
                <w:webHidden/>
              </w:rPr>
              <w:fldChar w:fldCharType="end"/>
            </w:r>
          </w:hyperlink>
        </w:p>
        <w:p w14:paraId="38D005AC" w14:textId="6C172F9D" w:rsidR="004F49F9" w:rsidRDefault="00E55534">
          <w:pPr>
            <w:pStyle w:val="TOC3"/>
            <w:rPr>
              <w:rFonts w:asciiTheme="minorHAnsi" w:eastAsiaTheme="minorEastAsia" w:hAnsiTheme="minorHAnsi" w:cstheme="minorBidi"/>
              <w:sz w:val="22"/>
              <w:szCs w:val="22"/>
              <w:lang w:val="en-DK" w:eastAsia="en-DK"/>
            </w:rPr>
          </w:pPr>
          <w:hyperlink w:anchor="_Toc127346321" w:history="1">
            <w:r w:rsidR="004F49F9" w:rsidRPr="000366E0">
              <w:rPr>
                <w:rStyle w:val="Hyperlink"/>
              </w:rPr>
              <w:t>5.8.1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RDI-S</w:t>
            </w:r>
            <w:r w:rsidR="004F49F9">
              <w:rPr>
                <w:webHidden/>
              </w:rPr>
              <w:tab/>
            </w:r>
            <w:r w:rsidR="004F49F9">
              <w:rPr>
                <w:webHidden/>
              </w:rPr>
              <w:fldChar w:fldCharType="begin"/>
            </w:r>
            <w:r w:rsidR="004F49F9">
              <w:rPr>
                <w:webHidden/>
              </w:rPr>
              <w:instrText xml:space="preserve"> PAGEREF _Toc127346321 \h </w:instrText>
            </w:r>
            <w:r w:rsidR="004F49F9">
              <w:rPr>
                <w:webHidden/>
              </w:rPr>
            </w:r>
            <w:r w:rsidR="004F49F9">
              <w:rPr>
                <w:webHidden/>
              </w:rPr>
              <w:fldChar w:fldCharType="separate"/>
            </w:r>
            <w:r w:rsidR="003E544B">
              <w:rPr>
                <w:webHidden/>
              </w:rPr>
              <w:t>167</w:t>
            </w:r>
            <w:r w:rsidR="004F49F9">
              <w:rPr>
                <w:webHidden/>
              </w:rPr>
              <w:fldChar w:fldCharType="end"/>
            </w:r>
          </w:hyperlink>
        </w:p>
        <w:p w14:paraId="1F7675F9" w14:textId="6C2737B3" w:rsidR="004F49F9" w:rsidRDefault="00E55534">
          <w:pPr>
            <w:pStyle w:val="TOC3"/>
            <w:rPr>
              <w:rFonts w:asciiTheme="minorHAnsi" w:eastAsiaTheme="minorEastAsia" w:hAnsiTheme="minorHAnsi" w:cstheme="minorBidi"/>
              <w:sz w:val="22"/>
              <w:szCs w:val="22"/>
              <w:lang w:val="en-DK" w:eastAsia="en-DK"/>
            </w:rPr>
          </w:pPr>
          <w:hyperlink w:anchor="_Toc127346322" w:history="1">
            <w:r w:rsidR="004F49F9" w:rsidRPr="000366E0">
              <w:rPr>
                <w:rStyle w:val="Hyperlink"/>
              </w:rPr>
              <w:t>5.8.2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_Toc127346322 \h </w:instrText>
            </w:r>
            <w:r w:rsidR="004F49F9">
              <w:rPr>
                <w:webHidden/>
              </w:rPr>
            </w:r>
            <w:r w:rsidR="004F49F9">
              <w:rPr>
                <w:webHidden/>
              </w:rPr>
              <w:fldChar w:fldCharType="separate"/>
            </w:r>
            <w:r w:rsidR="003E544B">
              <w:rPr>
                <w:webHidden/>
              </w:rPr>
              <w:t>168</w:t>
            </w:r>
            <w:r w:rsidR="004F49F9">
              <w:rPr>
                <w:webHidden/>
              </w:rPr>
              <w:fldChar w:fldCharType="end"/>
            </w:r>
          </w:hyperlink>
        </w:p>
        <w:p w14:paraId="1E9886CF" w14:textId="49361FE7" w:rsidR="004F49F9" w:rsidRDefault="00E55534">
          <w:pPr>
            <w:pStyle w:val="TOC1"/>
            <w:rPr>
              <w:rFonts w:asciiTheme="minorHAnsi" w:eastAsiaTheme="minorEastAsia" w:hAnsiTheme="minorHAnsi" w:cstheme="minorBidi"/>
              <w:b w:val="0"/>
              <w:noProof/>
              <w:sz w:val="22"/>
              <w:szCs w:val="22"/>
              <w:lang w:val="en-DK" w:eastAsia="en-DK"/>
            </w:rPr>
          </w:pPr>
          <w:hyperlink w:anchor="_Toc127346323" w:history="1">
            <w:r w:rsidR="004F49F9" w:rsidRPr="000366E0">
              <w:rPr>
                <w:rStyle w:val="Hyperlink"/>
                <w:noProof/>
              </w:rPr>
              <w:t>6</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Sharing and Compatibility Studies with EESS (Passive)</w:t>
            </w:r>
            <w:r w:rsidR="004F49F9">
              <w:rPr>
                <w:noProof/>
                <w:webHidden/>
              </w:rPr>
              <w:tab/>
            </w:r>
            <w:r w:rsidR="004F49F9">
              <w:rPr>
                <w:noProof/>
                <w:webHidden/>
              </w:rPr>
              <w:fldChar w:fldCharType="begin"/>
            </w:r>
            <w:r w:rsidR="004F49F9">
              <w:rPr>
                <w:noProof/>
                <w:webHidden/>
              </w:rPr>
              <w:instrText xml:space="preserve"> PAGEREF _Toc127346323 \h </w:instrText>
            </w:r>
            <w:r w:rsidR="004F49F9">
              <w:rPr>
                <w:noProof/>
                <w:webHidden/>
              </w:rPr>
            </w:r>
            <w:r w:rsidR="004F49F9">
              <w:rPr>
                <w:noProof/>
                <w:webHidden/>
              </w:rPr>
              <w:fldChar w:fldCharType="separate"/>
            </w:r>
            <w:r w:rsidR="003E544B">
              <w:rPr>
                <w:noProof/>
                <w:webHidden/>
              </w:rPr>
              <w:t>169</w:t>
            </w:r>
            <w:r w:rsidR="004F49F9">
              <w:rPr>
                <w:noProof/>
                <w:webHidden/>
              </w:rPr>
              <w:fldChar w:fldCharType="end"/>
            </w:r>
          </w:hyperlink>
        </w:p>
        <w:p w14:paraId="5C787343" w14:textId="17CF9D86" w:rsidR="004F49F9" w:rsidRDefault="00E55534">
          <w:pPr>
            <w:pStyle w:val="TOC2"/>
            <w:rPr>
              <w:rFonts w:asciiTheme="minorHAnsi" w:eastAsiaTheme="minorEastAsia" w:hAnsiTheme="minorHAnsi" w:cstheme="minorBidi"/>
              <w:bCs w:val="0"/>
              <w:sz w:val="22"/>
              <w:szCs w:val="22"/>
              <w:lang w:val="en-DK" w:eastAsia="en-DK"/>
            </w:rPr>
          </w:pPr>
          <w:hyperlink w:anchor="_Toc127346324" w:history="1">
            <w:r w:rsidR="004F49F9" w:rsidRPr="000366E0">
              <w:rPr>
                <w:rStyle w:val="Hyperlink"/>
              </w:rPr>
              <w:t>6.1</w:t>
            </w:r>
            <w:r w:rsidR="004F49F9">
              <w:rPr>
                <w:rFonts w:asciiTheme="minorHAnsi" w:eastAsiaTheme="minorEastAsia" w:hAnsiTheme="minorHAnsi" w:cstheme="minorBidi"/>
                <w:bCs w:val="0"/>
                <w:sz w:val="22"/>
                <w:szCs w:val="22"/>
                <w:lang w:val="en-DK" w:eastAsia="en-DK"/>
              </w:rPr>
              <w:tab/>
            </w:r>
            <w:r w:rsidR="004F49F9" w:rsidRPr="000366E0">
              <w:rPr>
                <w:rStyle w:val="Hyperlink"/>
              </w:rPr>
              <w:t>Generic Indoor surveillance Radar</w:t>
            </w:r>
            <w:r w:rsidR="004F49F9">
              <w:rPr>
                <w:webHidden/>
              </w:rPr>
              <w:tab/>
            </w:r>
            <w:r w:rsidR="004F49F9">
              <w:rPr>
                <w:webHidden/>
              </w:rPr>
              <w:fldChar w:fldCharType="begin"/>
            </w:r>
            <w:r w:rsidR="004F49F9">
              <w:rPr>
                <w:webHidden/>
              </w:rPr>
              <w:instrText xml:space="preserve"> PAGEREF _Toc127346324 \h </w:instrText>
            </w:r>
            <w:r w:rsidR="004F49F9">
              <w:rPr>
                <w:webHidden/>
              </w:rPr>
            </w:r>
            <w:r w:rsidR="004F49F9">
              <w:rPr>
                <w:webHidden/>
              </w:rPr>
              <w:fldChar w:fldCharType="separate"/>
            </w:r>
            <w:r w:rsidR="003E544B">
              <w:rPr>
                <w:webHidden/>
              </w:rPr>
              <w:t>169</w:t>
            </w:r>
            <w:r w:rsidR="004F49F9">
              <w:rPr>
                <w:webHidden/>
              </w:rPr>
              <w:fldChar w:fldCharType="end"/>
            </w:r>
          </w:hyperlink>
        </w:p>
        <w:p w14:paraId="13EAB6CC" w14:textId="703A95D4" w:rsidR="004F49F9" w:rsidRDefault="00E55534">
          <w:pPr>
            <w:pStyle w:val="TOC3"/>
            <w:rPr>
              <w:rFonts w:asciiTheme="minorHAnsi" w:eastAsiaTheme="minorEastAsia" w:hAnsiTheme="minorHAnsi" w:cstheme="minorBidi"/>
              <w:sz w:val="22"/>
              <w:szCs w:val="22"/>
              <w:lang w:val="en-DK" w:eastAsia="en-DK"/>
            </w:rPr>
          </w:pPr>
          <w:hyperlink w:anchor="_Toc127346325" w:history="1">
            <w:r w:rsidR="004F49F9" w:rsidRPr="000366E0">
              <w:rPr>
                <w:rStyle w:val="Hyperlink"/>
              </w:rPr>
              <w:t>6.1.1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generic indoor surveillance radar sensors</w:t>
            </w:r>
            <w:r w:rsidR="004F49F9">
              <w:rPr>
                <w:webHidden/>
              </w:rPr>
              <w:tab/>
            </w:r>
            <w:r w:rsidR="004F49F9">
              <w:rPr>
                <w:webHidden/>
              </w:rPr>
              <w:fldChar w:fldCharType="begin"/>
            </w:r>
            <w:r w:rsidR="004F49F9">
              <w:rPr>
                <w:webHidden/>
              </w:rPr>
              <w:instrText xml:space="preserve"> PAGEREF _Toc127346325 \h </w:instrText>
            </w:r>
            <w:r w:rsidR="004F49F9">
              <w:rPr>
                <w:webHidden/>
              </w:rPr>
            </w:r>
            <w:r w:rsidR="004F49F9">
              <w:rPr>
                <w:webHidden/>
              </w:rPr>
              <w:fldChar w:fldCharType="separate"/>
            </w:r>
            <w:r w:rsidR="003E544B">
              <w:rPr>
                <w:webHidden/>
              </w:rPr>
              <w:t>169</w:t>
            </w:r>
            <w:r w:rsidR="004F49F9">
              <w:rPr>
                <w:webHidden/>
              </w:rPr>
              <w:fldChar w:fldCharType="end"/>
            </w:r>
          </w:hyperlink>
        </w:p>
        <w:p w14:paraId="2E736157" w14:textId="27D06D17" w:rsidR="004F49F9" w:rsidRDefault="00E55534">
          <w:pPr>
            <w:pStyle w:val="TOC3"/>
            <w:rPr>
              <w:rFonts w:asciiTheme="minorHAnsi" w:eastAsiaTheme="minorEastAsia" w:hAnsiTheme="minorHAnsi" w:cstheme="minorBidi"/>
              <w:sz w:val="22"/>
              <w:szCs w:val="22"/>
              <w:lang w:val="en-DK" w:eastAsia="en-DK"/>
            </w:rPr>
          </w:pPr>
          <w:hyperlink w:anchor="_Toc127346326" w:history="1">
            <w:r w:rsidR="004F49F9" w:rsidRPr="000366E0">
              <w:rPr>
                <w:rStyle w:val="Hyperlink"/>
              </w:rPr>
              <w:t>6.1.2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_Toc127346326 \h </w:instrText>
            </w:r>
            <w:r w:rsidR="004F49F9">
              <w:rPr>
                <w:webHidden/>
              </w:rPr>
            </w:r>
            <w:r w:rsidR="004F49F9">
              <w:rPr>
                <w:webHidden/>
              </w:rPr>
              <w:fldChar w:fldCharType="separate"/>
            </w:r>
            <w:r w:rsidR="003E544B">
              <w:rPr>
                <w:webHidden/>
              </w:rPr>
              <w:t>169</w:t>
            </w:r>
            <w:r w:rsidR="004F49F9">
              <w:rPr>
                <w:webHidden/>
              </w:rPr>
              <w:fldChar w:fldCharType="end"/>
            </w:r>
          </w:hyperlink>
        </w:p>
        <w:p w14:paraId="1B6A070C" w14:textId="500AB07C" w:rsidR="004F49F9" w:rsidRDefault="00E55534">
          <w:pPr>
            <w:pStyle w:val="TOC2"/>
            <w:rPr>
              <w:rFonts w:asciiTheme="minorHAnsi" w:eastAsiaTheme="minorEastAsia" w:hAnsiTheme="minorHAnsi" w:cstheme="minorBidi"/>
              <w:bCs w:val="0"/>
              <w:sz w:val="22"/>
              <w:szCs w:val="22"/>
              <w:lang w:val="en-DK" w:eastAsia="en-DK"/>
            </w:rPr>
          </w:pPr>
          <w:hyperlink w:anchor="_Toc127346327" w:history="1">
            <w:r w:rsidR="004F49F9" w:rsidRPr="000366E0">
              <w:rPr>
                <w:rStyle w:val="Hyperlink"/>
              </w:rPr>
              <w:t>6.2</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(RDI)</w:t>
            </w:r>
            <w:r w:rsidR="004F49F9">
              <w:rPr>
                <w:webHidden/>
              </w:rPr>
              <w:tab/>
            </w:r>
            <w:r w:rsidR="004F49F9">
              <w:rPr>
                <w:webHidden/>
              </w:rPr>
              <w:fldChar w:fldCharType="begin"/>
            </w:r>
            <w:r w:rsidR="004F49F9">
              <w:rPr>
                <w:webHidden/>
              </w:rPr>
              <w:instrText xml:space="preserve"> PAGEREF _Toc127346327 \h </w:instrText>
            </w:r>
            <w:r w:rsidR="004F49F9">
              <w:rPr>
                <w:webHidden/>
              </w:rPr>
            </w:r>
            <w:r w:rsidR="004F49F9">
              <w:rPr>
                <w:webHidden/>
              </w:rPr>
              <w:fldChar w:fldCharType="separate"/>
            </w:r>
            <w:r w:rsidR="003E544B">
              <w:rPr>
                <w:webHidden/>
              </w:rPr>
              <w:t>171</w:t>
            </w:r>
            <w:r w:rsidR="004F49F9">
              <w:rPr>
                <w:webHidden/>
              </w:rPr>
              <w:fldChar w:fldCharType="end"/>
            </w:r>
          </w:hyperlink>
        </w:p>
        <w:p w14:paraId="4D9D12ED" w14:textId="2C2DF40C" w:rsidR="004F49F9" w:rsidRDefault="00E55534">
          <w:pPr>
            <w:pStyle w:val="TOC3"/>
            <w:rPr>
              <w:rFonts w:asciiTheme="minorHAnsi" w:eastAsiaTheme="minorEastAsia" w:hAnsiTheme="minorHAnsi" w:cstheme="minorBidi"/>
              <w:sz w:val="22"/>
              <w:szCs w:val="22"/>
              <w:lang w:val="en-DK" w:eastAsia="en-DK"/>
            </w:rPr>
          </w:pPr>
          <w:hyperlink w:anchor="_Toc127346328" w:history="1">
            <w:r w:rsidR="004F49F9" w:rsidRPr="000366E0">
              <w:rPr>
                <w:rStyle w:val="Hyperlink"/>
              </w:rPr>
              <w:t>6.2.1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w:t>
            </w:r>
            <w:r w:rsidR="004F49F9">
              <w:rPr>
                <w:webHidden/>
              </w:rPr>
              <w:tab/>
            </w:r>
            <w:r w:rsidR="004F49F9">
              <w:rPr>
                <w:webHidden/>
              </w:rPr>
              <w:fldChar w:fldCharType="begin"/>
            </w:r>
            <w:r w:rsidR="004F49F9">
              <w:rPr>
                <w:webHidden/>
              </w:rPr>
              <w:instrText xml:space="preserve"> PAGEREF _Toc127346328 \h </w:instrText>
            </w:r>
            <w:r w:rsidR="004F49F9">
              <w:rPr>
                <w:webHidden/>
              </w:rPr>
            </w:r>
            <w:r w:rsidR="004F49F9">
              <w:rPr>
                <w:webHidden/>
              </w:rPr>
              <w:fldChar w:fldCharType="separate"/>
            </w:r>
            <w:r w:rsidR="003E544B">
              <w:rPr>
                <w:webHidden/>
              </w:rPr>
              <w:t>171</w:t>
            </w:r>
            <w:r w:rsidR="004F49F9">
              <w:rPr>
                <w:webHidden/>
              </w:rPr>
              <w:fldChar w:fldCharType="end"/>
            </w:r>
          </w:hyperlink>
        </w:p>
        <w:p w14:paraId="1DEBF773" w14:textId="4269390C" w:rsidR="004F49F9" w:rsidRDefault="00E55534">
          <w:pPr>
            <w:pStyle w:val="TOC3"/>
            <w:rPr>
              <w:rFonts w:asciiTheme="minorHAnsi" w:eastAsiaTheme="minorEastAsia" w:hAnsiTheme="minorHAnsi" w:cstheme="minorBidi"/>
              <w:sz w:val="22"/>
              <w:szCs w:val="22"/>
              <w:lang w:val="en-DK" w:eastAsia="en-DK"/>
            </w:rPr>
          </w:pPr>
          <w:hyperlink w:anchor="_Toc127346329" w:history="1">
            <w:r w:rsidR="004F49F9" w:rsidRPr="000366E0">
              <w:rPr>
                <w:rStyle w:val="Hyperlink"/>
              </w:rPr>
              <w:t>6.2.2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_Toc127346329 \h </w:instrText>
            </w:r>
            <w:r w:rsidR="004F49F9">
              <w:rPr>
                <w:webHidden/>
              </w:rPr>
            </w:r>
            <w:r w:rsidR="004F49F9">
              <w:rPr>
                <w:webHidden/>
              </w:rPr>
              <w:fldChar w:fldCharType="separate"/>
            </w:r>
            <w:r w:rsidR="003E544B">
              <w:rPr>
                <w:webHidden/>
              </w:rPr>
              <w:t>171</w:t>
            </w:r>
            <w:r w:rsidR="004F49F9">
              <w:rPr>
                <w:webHidden/>
              </w:rPr>
              <w:fldChar w:fldCharType="end"/>
            </w:r>
          </w:hyperlink>
        </w:p>
        <w:p w14:paraId="0080B918" w14:textId="784FF317" w:rsidR="004F49F9" w:rsidRDefault="00E55534">
          <w:pPr>
            <w:pStyle w:val="TOC2"/>
            <w:rPr>
              <w:rFonts w:asciiTheme="minorHAnsi" w:eastAsiaTheme="minorEastAsia" w:hAnsiTheme="minorHAnsi" w:cstheme="minorBidi"/>
              <w:bCs w:val="0"/>
              <w:sz w:val="22"/>
              <w:szCs w:val="22"/>
              <w:lang w:val="en-DK" w:eastAsia="en-DK"/>
            </w:rPr>
          </w:pPr>
          <w:hyperlink w:anchor="_Toc127346330" w:history="1">
            <w:r w:rsidR="004F49F9" w:rsidRPr="000366E0">
              <w:rPr>
                <w:rStyle w:val="Hyperlink"/>
              </w:rPr>
              <w:t>6.3</w:t>
            </w:r>
            <w:r w:rsidR="004F49F9">
              <w:rPr>
                <w:rFonts w:asciiTheme="minorHAnsi" w:eastAsiaTheme="minorEastAsia" w:hAnsiTheme="minorHAnsi" w:cstheme="minorBidi"/>
                <w:bCs w:val="0"/>
                <w:sz w:val="22"/>
                <w:szCs w:val="22"/>
                <w:lang w:val="en-DK" w:eastAsia="en-DK"/>
              </w:rPr>
              <w:tab/>
            </w:r>
            <w:r w:rsidR="004F49F9" w:rsidRPr="000366E0">
              <w:rPr>
                <w:rStyle w:val="Hyperlink"/>
              </w:rPr>
              <w:t>Short 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_Toc127346330 \h </w:instrText>
            </w:r>
            <w:r w:rsidR="004F49F9">
              <w:rPr>
                <w:webHidden/>
              </w:rPr>
            </w:r>
            <w:r w:rsidR="004F49F9">
              <w:rPr>
                <w:webHidden/>
              </w:rPr>
              <w:fldChar w:fldCharType="separate"/>
            </w:r>
            <w:r w:rsidR="003E544B">
              <w:rPr>
                <w:webHidden/>
              </w:rPr>
              <w:t>172</w:t>
            </w:r>
            <w:r w:rsidR="004F49F9">
              <w:rPr>
                <w:webHidden/>
              </w:rPr>
              <w:fldChar w:fldCharType="end"/>
            </w:r>
          </w:hyperlink>
        </w:p>
        <w:p w14:paraId="654977AD" w14:textId="2AE9B80F" w:rsidR="004F49F9" w:rsidRDefault="00E55534">
          <w:pPr>
            <w:pStyle w:val="TOC3"/>
            <w:rPr>
              <w:rFonts w:asciiTheme="minorHAnsi" w:eastAsiaTheme="minorEastAsia" w:hAnsiTheme="minorHAnsi" w:cstheme="minorBidi"/>
              <w:sz w:val="22"/>
              <w:szCs w:val="22"/>
              <w:lang w:val="en-DK" w:eastAsia="en-DK"/>
            </w:rPr>
          </w:pPr>
          <w:hyperlink w:anchor="_Toc127346331" w:history="1">
            <w:r w:rsidR="004F49F9" w:rsidRPr="000366E0">
              <w:rPr>
                <w:rStyle w:val="Hyperlink"/>
              </w:rPr>
              <w:t>6.3.1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short-range assist</w:t>
            </w:r>
            <w:r w:rsidR="004F49F9">
              <w:rPr>
                <w:webHidden/>
              </w:rPr>
              <w:tab/>
            </w:r>
            <w:r w:rsidR="004F49F9">
              <w:rPr>
                <w:webHidden/>
              </w:rPr>
              <w:fldChar w:fldCharType="begin"/>
            </w:r>
            <w:r w:rsidR="004F49F9">
              <w:rPr>
                <w:webHidden/>
              </w:rPr>
              <w:instrText xml:space="preserve"> PAGEREF _Toc127346331 \h </w:instrText>
            </w:r>
            <w:r w:rsidR="004F49F9">
              <w:rPr>
                <w:webHidden/>
              </w:rPr>
            </w:r>
            <w:r w:rsidR="004F49F9">
              <w:rPr>
                <w:webHidden/>
              </w:rPr>
              <w:fldChar w:fldCharType="separate"/>
            </w:r>
            <w:r w:rsidR="003E544B">
              <w:rPr>
                <w:webHidden/>
              </w:rPr>
              <w:t>172</w:t>
            </w:r>
            <w:r w:rsidR="004F49F9">
              <w:rPr>
                <w:webHidden/>
              </w:rPr>
              <w:fldChar w:fldCharType="end"/>
            </w:r>
          </w:hyperlink>
        </w:p>
        <w:p w14:paraId="4E811D43" w14:textId="336CD803" w:rsidR="004F49F9" w:rsidRDefault="00E55534">
          <w:pPr>
            <w:pStyle w:val="TOC3"/>
            <w:rPr>
              <w:rFonts w:asciiTheme="minorHAnsi" w:eastAsiaTheme="minorEastAsia" w:hAnsiTheme="minorHAnsi" w:cstheme="minorBidi"/>
              <w:sz w:val="22"/>
              <w:szCs w:val="22"/>
              <w:lang w:val="en-DK" w:eastAsia="en-DK"/>
            </w:rPr>
          </w:pPr>
          <w:hyperlink w:anchor="_Toc127346332" w:history="1">
            <w:r w:rsidR="004F49F9" w:rsidRPr="000366E0">
              <w:rPr>
                <w:rStyle w:val="Hyperlink"/>
              </w:rPr>
              <w:t>6.3.2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_Toc127346332 \h </w:instrText>
            </w:r>
            <w:r w:rsidR="004F49F9">
              <w:rPr>
                <w:webHidden/>
              </w:rPr>
            </w:r>
            <w:r w:rsidR="004F49F9">
              <w:rPr>
                <w:webHidden/>
              </w:rPr>
              <w:fldChar w:fldCharType="separate"/>
            </w:r>
            <w:r w:rsidR="003E544B">
              <w:rPr>
                <w:webHidden/>
              </w:rPr>
              <w:t>173</w:t>
            </w:r>
            <w:r w:rsidR="004F49F9">
              <w:rPr>
                <w:webHidden/>
              </w:rPr>
              <w:fldChar w:fldCharType="end"/>
            </w:r>
          </w:hyperlink>
        </w:p>
        <w:p w14:paraId="4A4C6A7B" w14:textId="4C65CE31" w:rsidR="004F49F9" w:rsidRDefault="00E55534">
          <w:pPr>
            <w:pStyle w:val="TOC2"/>
            <w:rPr>
              <w:rFonts w:asciiTheme="minorHAnsi" w:eastAsiaTheme="minorEastAsia" w:hAnsiTheme="minorHAnsi" w:cstheme="minorBidi"/>
              <w:bCs w:val="0"/>
              <w:sz w:val="22"/>
              <w:szCs w:val="22"/>
              <w:lang w:val="en-DK" w:eastAsia="en-DK"/>
            </w:rPr>
          </w:pPr>
          <w:hyperlink w:anchor="_Toc127346333" w:history="1">
            <w:r w:rsidR="004F49F9" w:rsidRPr="000366E0">
              <w:rPr>
                <w:rStyle w:val="Hyperlink"/>
              </w:rPr>
              <w:t>6.4</w:t>
            </w:r>
            <w:r w:rsidR="004F49F9">
              <w:rPr>
                <w:rFonts w:asciiTheme="minorHAnsi" w:eastAsiaTheme="minorEastAsia" w:hAnsiTheme="minorHAnsi" w:cstheme="minorBidi"/>
                <w:bCs w:val="0"/>
                <w:sz w:val="22"/>
                <w:szCs w:val="22"/>
                <w:lang w:val="en-DK" w:eastAsia="en-DK"/>
              </w:rPr>
              <w:tab/>
            </w:r>
            <w:r w:rsidR="004F49F9" w:rsidRPr="000366E0">
              <w:rPr>
                <w:rStyle w:val="Hyperlink"/>
              </w:rPr>
              <w:t>Ground Based Synthetic Aperture Radar (GBSAR)</w:t>
            </w:r>
            <w:r w:rsidR="004F49F9">
              <w:rPr>
                <w:webHidden/>
              </w:rPr>
              <w:tab/>
            </w:r>
            <w:r w:rsidR="004F49F9">
              <w:rPr>
                <w:webHidden/>
              </w:rPr>
              <w:fldChar w:fldCharType="begin"/>
            </w:r>
            <w:r w:rsidR="004F49F9">
              <w:rPr>
                <w:webHidden/>
              </w:rPr>
              <w:instrText xml:space="preserve"> PAGEREF _Toc127346333 \h </w:instrText>
            </w:r>
            <w:r w:rsidR="004F49F9">
              <w:rPr>
                <w:webHidden/>
              </w:rPr>
            </w:r>
            <w:r w:rsidR="004F49F9">
              <w:rPr>
                <w:webHidden/>
              </w:rPr>
              <w:fldChar w:fldCharType="separate"/>
            </w:r>
            <w:r w:rsidR="003E544B">
              <w:rPr>
                <w:webHidden/>
              </w:rPr>
              <w:t>173</w:t>
            </w:r>
            <w:r w:rsidR="004F49F9">
              <w:rPr>
                <w:webHidden/>
              </w:rPr>
              <w:fldChar w:fldCharType="end"/>
            </w:r>
          </w:hyperlink>
        </w:p>
        <w:p w14:paraId="709DD409" w14:textId="49F39729" w:rsidR="004F49F9" w:rsidRDefault="00E55534">
          <w:pPr>
            <w:pStyle w:val="TOC3"/>
            <w:rPr>
              <w:rFonts w:asciiTheme="minorHAnsi" w:eastAsiaTheme="minorEastAsia" w:hAnsiTheme="minorHAnsi" w:cstheme="minorBidi"/>
              <w:sz w:val="22"/>
              <w:szCs w:val="22"/>
              <w:lang w:val="en-DK" w:eastAsia="en-DK"/>
            </w:rPr>
          </w:pPr>
          <w:hyperlink w:anchor="_Toc127346334" w:history="1">
            <w:r w:rsidR="004F49F9" w:rsidRPr="000366E0">
              <w:rPr>
                <w:rStyle w:val="Hyperlink"/>
              </w:rPr>
              <w:t>6.4.1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GBSAR</w:t>
            </w:r>
            <w:r w:rsidR="004F49F9">
              <w:rPr>
                <w:webHidden/>
              </w:rPr>
              <w:tab/>
            </w:r>
            <w:r w:rsidR="004F49F9">
              <w:rPr>
                <w:webHidden/>
              </w:rPr>
              <w:fldChar w:fldCharType="begin"/>
            </w:r>
            <w:r w:rsidR="004F49F9">
              <w:rPr>
                <w:webHidden/>
              </w:rPr>
              <w:instrText xml:space="preserve"> PAGEREF _Toc127346334 \h </w:instrText>
            </w:r>
            <w:r w:rsidR="004F49F9">
              <w:rPr>
                <w:webHidden/>
              </w:rPr>
            </w:r>
            <w:r w:rsidR="004F49F9">
              <w:rPr>
                <w:webHidden/>
              </w:rPr>
              <w:fldChar w:fldCharType="separate"/>
            </w:r>
            <w:r w:rsidR="003E544B">
              <w:rPr>
                <w:webHidden/>
              </w:rPr>
              <w:t>173</w:t>
            </w:r>
            <w:r w:rsidR="004F49F9">
              <w:rPr>
                <w:webHidden/>
              </w:rPr>
              <w:fldChar w:fldCharType="end"/>
            </w:r>
          </w:hyperlink>
        </w:p>
        <w:p w14:paraId="71DC57ED" w14:textId="535A4924" w:rsidR="004F49F9" w:rsidRDefault="00E55534">
          <w:pPr>
            <w:pStyle w:val="TOC3"/>
            <w:rPr>
              <w:rFonts w:asciiTheme="minorHAnsi" w:eastAsiaTheme="minorEastAsia" w:hAnsiTheme="minorHAnsi" w:cstheme="minorBidi"/>
              <w:sz w:val="22"/>
              <w:szCs w:val="22"/>
              <w:lang w:val="en-DK" w:eastAsia="en-DK"/>
            </w:rPr>
          </w:pPr>
          <w:hyperlink w:anchor="_Toc127346335" w:history="1">
            <w:r w:rsidR="004F49F9" w:rsidRPr="000366E0">
              <w:rPr>
                <w:rStyle w:val="Hyperlink"/>
              </w:rPr>
              <w:t>6.4.2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_Toc127346335 \h </w:instrText>
            </w:r>
            <w:r w:rsidR="004F49F9">
              <w:rPr>
                <w:webHidden/>
              </w:rPr>
            </w:r>
            <w:r w:rsidR="004F49F9">
              <w:rPr>
                <w:webHidden/>
              </w:rPr>
              <w:fldChar w:fldCharType="separate"/>
            </w:r>
            <w:r w:rsidR="003E544B">
              <w:rPr>
                <w:webHidden/>
              </w:rPr>
              <w:t>174</w:t>
            </w:r>
            <w:r w:rsidR="004F49F9">
              <w:rPr>
                <w:webHidden/>
              </w:rPr>
              <w:fldChar w:fldCharType="end"/>
            </w:r>
          </w:hyperlink>
        </w:p>
        <w:p w14:paraId="2D260647" w14:textId="35CA2BAF" w:rsidR="004F49F9" w:rsidRDefault="00E55534">
          <w:pPr>
            <w:pStyle w:val="TOC2"/>
            <w:rPr>
              <w:rFonts w:asciiTheme="minorHAnsi" w:eastAsiaTheme="minorEastAsia" w:hAnsiTheme="minorHAnsi" w:cstheme="minorBidi"/>
              <w:bCs w:val="0"/>
              <w:sz w:val="22"/>
              <w:szCs w:val="22"/>
              <w:lang w:val="en-DK" w:eastAsia="en-DK"/>
            </w:rPr>
          </w:pPr>
          <w:hyperlink w:anchor="_Toc127346336" w:history="1">
            <w:r w:rsidR="004F49F9" w:rsidRPr="000366E0">
              <w:rPr>
                <w:rStyle w:val="Hyperlink"/>
              </w:rPr>
              <w:t>6.5</w:t>
            </w:r>
            <w:r w:rsidR="004F49F9">
              <w:rPr>
                <w:rFonts w:asciiTheme="minorHAnsi" w:eastAsiaTheme="minorEastAsia" w:hAnsiTheme="minorHAnsi" w:cstheme="minorBidi"/>
                <w:bCs w:val="0"/>
                <w:sz w:val="22"/>
                <w:szCs w:val="22"/>
                <w:lang w:val="en-DK" w:eastAsia="en-DK"/>
              </w:rPr>
              <w:tab/>
            </w:r>
            <w:r w:rsidR="004F49F9" w:rsidRPr="000366E0">
              <w:rPr>
                <w:rStyle w:val="Hyperlink"/>
              </w:rPr>
              <w:t>Level Probing Radar (LPR)</w:t>
            </w:r>
            <w:r w:rsidR="004F49F9">
              <w:rPr>
                <w:webHidden/>
              </w:rPr>
              <w:tab/>
            </w:r>
            <w:r w:rsidR="004F49F9">
              <w:rPr>
                <w:webHidden/>
              </w:rPr>
              <w:fldChar w:fldCharType="begin"/>
            </w:r>
            <w:r w:rsidR="004F49F9">
              <w:rPr>
                <w:webHidden/>
              </w:rPr>
              <w:instrText xml:space="preserve"> PAGEREF _Toc127346336 \h </w:instrText>
            </w:r>
            <w:r w:rsidR="004F49F9">
              <w:rPr>
                <w:webHidden/>
              </w:rPr>
            </w:r>
            <w:r w:rsidR="004F49F9">
              <w:rPr>
                <w:webHidden/>
              </w:rPr>
              <w:fldChar w:fldCharType="separate"/>
            </w:r>
            <w:r w:rsidR="003E544B">
              <w:rPr>
                <w:webHidden/>
              </w:rPr>
              <w:t>174</w:t>
            </w:r>
            <w:r w:rsidR="004F49F9">
              <w:rPr>
                <w:webHidden/>
              </w:rPr>
              <w:fldChar w:fldCharType="end"/>
            </w:r>
          </w:hyperlink>
        </w:p>
        <w:p w14:paraId="26CB89EB" w14:textId="55A174F1" w:rsidR="004F49F9" w:rsidRDefault="00E55534">
          <w:pPr>
            <w:pStyle w:val="TOC3"/>
            <w:rPr>
              <w:rFonts w:asciiTheme="minorHAnsi" w:eastAsiaTheme="minorEastAsia" w:hAnsiTheme="minorHAnsi" w:cstheme="minorBidi"/>
              <w:sz w:val="22"/>
              <w:szCs w:val="22"/>
              <w:lang w:val="en-DK" w:eastAsia="en-DK"/>
            </w:rPr>
          </w:pPr>
          <w:hyperlink w:anchor="_Toc127346337" w:history="1">
            <w:r w:rsidR="004F49F9" w:rsidRPr="000366E0">
              <w:rPr>
                <w:rStyle w:val="Hyperlink"/>
              </w:rPr>
              <w:t>6.5.1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LPR</w:t>
            </w:r>
            <w:r w:rsidR="004F49F9">
              <w:rPr>
                <w:webHidden/>
              </w:rPr>
              <w:tab/>
            </w:r>
            <w:r w:rsidR="004F49F9">
              <w:rPr>
                <w:webHidden/>
              </w:rPr>
              <w:fldChar w:fldCharType="begin"/>
            </w:r>
            <w:r w:rsidR="004F49F9">
              <w:rPr>
                <w:webHidden/>
              </w:rPr>
              <w:instrText xml:space="preserve"> PAGEREF _Toc127346337 \h </w:instrText>
            </w:r>
            <w:r w:rsidR="004F49F9">
              <w:rPr>
                <w:webHidden/>
              </w:rPr>
            </w:r>
            <w:r w:rsidR="004F49F9">
              <w:rPr>
                <w:webHidden/>
              </w:rPr>
              <w:fldChar w:fldCharType="separate"/>
            </w:r>
            <w:r w:rsidR="003E544B">
              <w:rPr>
                <w:webHidden/>
              </w:rPr>
              <w:t>174</w:t>
            </w:r>
            <w:r w:rsidR="004F49F9">
              <w:rPr>
                <w:webHidden/>
              </w:rPr>
              <w:fldChar w:fldCharType="end"/>
            </w:r>
          </w:hyperlink>
        </w:p>
        <w:p w14:paraId="6976B1B8" w14:textId="3A5C63FC" w:rsidR="004F49F9" w:rsidRDefault="00E55534">
          <w:pPr>
            <w:pStyle w:val="TOC3"/>
            <w:rPr>
              <w:rFonts w:asciiTheme="minorHAnsi" w:eastAsiaTheme="minorEastAsia" w:hAnsiTheme="minorHAnsi" w:cstheme="minorBidi"/>
              <w:sz w:val="22"/>
              <w:szCs w:val="22"/>
              <w:lang w:val="en-DK" w:eastAsia="en-DK"/>
            </w:rPr>
          </w:pPr>
          <w:hyperlink w:anchor="_Toc127346338" w:history="1">
            <w:r w:rsidR="004F49F9" w:rsidRPr="000366E0">
              <w:rPr>
                <w:rStyle w:val="Hyperlink"/>
              </w:rPr>
              <w:t>6.5.2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_Toc127346338 \h </w:instrText>
            </w:r>
            <w:r w:rsidR="004F49F9">
              <w:rPr>
                <w:webHidden/>
              </w:rPr>
            </w:r>
            <w:r w:rsidR="004F49F9">
              <w:rPr>
                <w:webHidden/>
              </w:rPr>
              <w:fldChar w:fldCharType="separate"/>
            </w:r>
            <w:r w:rsidR="003E544B">
              <w:rPr>
                <w:webHidden/>
              </w:rPr>
              <w:t>175</w:t>
            </w:r>
            <w:r w:rsidR="004F49F9">
              <w:rPr>
                <w:webHidden/>
              </w:rPr>
              <w:fldChar w:fldCharType="end"/>
            </w:r>
          </w:hyperlink>
        </w:p>
        <w:p w14:paraId="098CC646" w14:textId="6336F99A" w:rsidR="004F49F9" w:rsidRDefault="00E55534">
          <w:pPr>
            <w:pStyle w:val="TOC2"/>
            <w:rPr>
              <w:rFonts w:asciiTheme="minorHAnsi" w:eastAsiaTheme="minorEastAsia" w:hAnsiTheme="minorHAnsi" w:cstheme="minorBidi"/>
              <w:bCs w:val="0"/>
              <w:sz w:val="22"/>
              <w:szCs w:val="22"/>
              <w:lang w:val="en-DK" w:eastAsia="en-DK"/>
            </w:rPr>
          </w:pPr>
          <w:hyperlink w:anchor="_Toc127346339" w:history="1">
            <w:r w:rsidR="004F49F9" w:rsidRPr="000366E0">
              <w:rPr>
                <w:rStyle w:val="Hyperlink"/>
              </w:rPr>
              <w:t>6.6</w:t>
            </w:r>
            <w:r w:rsidR="004F49F9">
              <w:rPr>
                <w:rFonts w:asciiTheme="minorHAnsi" w:eastAsiaTheme="minorEastAsia" w:hAnsiTheme="minorHAnsi" w:cstheme="minorBidi"/>
                <w:bCs w:val="0"/>
                <w:sz w:val="22"/>
                <w:szCs w:val="22"/>
                <w:lang w:val="en-DK" w:eastAsia="en-DK"/>
              </w:rPr>
              <w:tab/>
            </w:r>
            <w:r w:rsidR="004F49F9" w:rsidRPr="000366E0">
              <w:rPr>
                <w:rStyle w:val="Hyperlink"/>
              </w:rPr>
              <w:t>Contour determination and acquisition (CDR)</w:t>
            </w:r>
            <w:r w:rsidR="004F49F9">
              <w:rPr>
                <w:webHidden/>
              </w:rPr>
              <w:tab/>
            </w:r>
            <w:r w:rsidR="004F49F9">
              <w:rPr>
                <w:webHidden/>
              </w:rPr>
              <w:fldChar w:fldCharType="begin"/>
            </w:r>
            <w:r w:rsidR="004F49F9">
              <w:rPr>
                <w:webHidden/>
              </w:rPr>
              <w:instrText xml:space="preserve"> PAGEREF _Toc127346339 \h </w:instrText>
            </w:r>
            <w:r w:rsidR="004F49F9">
              <w:rPr>
                <w:webHidden/>
              </w:rPr>
            </w:r>
            <w:r w:rsidR="004F49F9">
              <w:rPr>
                <w:webHidden/>
              </w:rPr>
              <w:fldChar w:fldCharType="separate"/>
            </w:r>
            <w:r w:rsidR="003E544B">
              <w:rPr>
                <w:webHidden/>
              </w:rPr>
              <w:t>176</w:t>
            </w:r>
            <w:r w:rsidR="004F49F9">
              <w:rPr>
                <w:webHidden/>
              </w:rPr>
              <w:fldChar w:fldCharType="end"/>
            </w:r>
          </w:hyperlink>
        </w:p>
        <w:p w14:paraId="789F2A84" w14:textId="12C8A3A3" w:rsidR="004F49F9" w:rsidRDefault="00E55534">
          <w:pPr>
            <w:pStyle w:val="TOC3"/>
            <w:rPr>
              <w:rFonts w:asciiTheme="minorHAnsi" w:eastAsiaTheme="minorEastAsia" w:hAnsiTheme="minorHAnsi" w:cstheme="minorBidi"/>
              <w:sz w:val="22"/>
              <w:szCs w:val="22"/>
              <w:lang w:val="en-DK" w:eastAsia="en-DK"/>
            </w:rPr>
          </w:pPr>
          <w:hyperlink w:anchor="_Toc127346340" w:history="1">
            <w:r w:rsidR="004F49F9" w:rsidRPr="000366E0">
              <w:rPr>
                <w:rStyle w:val="Hyperlink"/>
              </w:rPr>
              <w:t>6.6.1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CDR</w:t>
            </w:r>
            <w:r w:rsidR="004F49F9">
              <w:rPr>
                <w:webHidden/>
              </w:rPr>
              <w:tab/>
            </w:r>
            <w:r w:rsidR="004F49F9">
              <w:rPr>
                <w:webHidden/>
              </w:rPr>
              <w:fldChar w:fldCharType="begin"/>
            </w:r>
            <w:r w:rsidR="004F49F9">
              <w:rPr>
                <w:webHidden/>
              </w:rPr>
              <w:instrText xml:space="preserve"> PAGEREF _Toc127346340 \h </w:instrText>
            </w:r>
            <w:r w:rsidR="004F49F9">
              <w:rPr>
                <w:webHidden/>
              </w:rPr>
            </w:r>
            <w:r w:rsidR="004F49F9">
              <w:rPr>
                <w:webHidden/>
              </w:rPr>
              <w:fldChar w:fldCharType="separate"/>
            </w:r>
            <w:r w:rsidR="003E544B">
              <w:rPr>
                <w:webHidden/>
              </w:rPr>
              <w:t>176</w:t>
            </w:r>
            <w:r w:rsidR="004F49F9">
              <w:rPr>
                <w:webHidden/>
              </w:rPr>
              <w:fldChar w:fldCharType="end"/>
            </w:r>
          </w:hyperlink>
        </w:p>
        <w:p w14:paraId="0D2F07E9" w14:textId="7A67CEC2" w:rsidR="004F49F9" w:rsidRDefault="00E55534">
          <w:pPr>
            <w:pStyle w:val="TOC3"/>
            <w:rPr>
              <w:rFonts w:asciiTheme="minorHAnsi" w:eastAsiaTheme="minorEastAsia" w:hAnsiTheme="minorHAnsi" w:cstheme="minorBidi"/>
              <w:sz w:val="22"/>
              <w:szCs w:val="22"/>
              <w:lang w:val="en-DK" w:eastAsia="en-DK"/>
            </w:rPr>
          </w:pPr>
          <w:hyperlink w:anchor="_Toc127346341" w:history="1">
            <w:r w:rsidR="004F49F9" w:rsidRPr="000366E0">
              <w:rPr>
                <w:rStyle w:val="Hyperlink"/>
              </w:rPr>
              <w:t>6.6.2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_Toc127346341 \h </w:instrText>
            </w:r>
            <w:r w:rsidR="004F49F9">
              <w:rPr>
                <w:webHidden/>
              </w:rPr>
            </w:r>
            <w:r w:rsidR="004F49F9">
              <w:rPr>
                <w:webHidden/>
              </w:rPr>
              <w:fldChar w:fldCharType="separate"/>
            </w:r>
            <w:r w:rsidR="003E544B">
              <w:rPr>
                <w:webHidden/>
              </w:rPr>
              <w:t>176</w:t>
            </w:r>
            <w:r w:rsidR="004F49F9">
              <w:rPr>
                <w:webHidden/>
              </w:rPr>
              <w:fldChar w:fldCharType="end"/>
            </w:r>
          </w:hyperlink>
        </w:p>
        <w:p w14:paraId="604F3628" w14:textId="282DF2E9" w:rsidR="004F49F9" w:rsidRDefault="00E55534">
          <w:pPr>
            <w:pStyle w:val="TOC2"/>
            <w:rPr>
              <w:rFonts w:asciiTheme="minorHAnsi" w:eastAsiaTheme="minorEastAsia" w:hAnsiTheme="minorHAnsi" w:cstheme="minorBidi"/>
              <w:bCs w:val="0"/>
              <w:sz w:val="22"/>
              <w:szCs w:val="22"/>
              <w:lang w:val="en-DK" w:eastAsia="en-DK"/>
            </w:rPr>
          </w:pPr>
          <w:hyperlink w:anchor="_Toc127346342" w:history="1">
            <w:r w:rsidR="004F49F9" w:rsidRPr="000366E0">
              <w:rPr>
                <w:rStyle w:val="Hyperlink"/>
              </w:rPr>
              <w:t>6.7</w:t>
            </w:r>
            <w:r w:rsidR="004F49F9">
              <w:rPr>
                <w:rFonts w:asciiTheme="minorHAnsi" w:eastAsiaTheme="minorEastAsia" w:hAnsiTheme="minorHAnsi" w:cstheme="minorBidi"/>
                <w:bCs w:val="0"/>
                <w:sz w:val="22"/>
                <w:szCs w:val="22"/>
                <w:lang w:val="en-DK" w:eastAsia="en-DK"/>
              </w:rPr>
              <w:tab/>
            </w:r>
            <w:r w:rsidR="004F49F9" w:rsidRPr="000366E0">
              <w:rPr>
                <w:rStyle w:val="Hyperlink"/>
              </w:rPr>
              <w:t>Tank Level Probing Radar (TLPR)</w:t>
            </w:r>
            <w:r w:rsidR="004F49F9">
              <w:rPr>
                <w:webHidden/>
              </w:rPr>
              <w:tab/>
            </w:r>
            <w:r w:rsidR="004F49F9">
              <w:rPr>
                <w:webHidden/>
              </w:rPr>
              <w:fldChar w:fldCharType="begin"/>
            </w:r>
            <w:r w:rsidR="004F49F9">
              <w:rPr>
                <w:webHidden/>
              </w:rPr>
              <w:instrText xml:space="preserve"> PAGEREF _Toc127346342 \h </w:instrText>
            </w:r>
            <w:r w:rsidR="004F49F9">
              <w:rPr>
                <w:webHidden/>
              </w:rPr>
            </w:r>
            <w:r w:rsidR="004F49F9">
              <w:rPr>
                <w:webHidden/>
              </w:rPr>
              <w:fldChar w:fldCharType="separate"/>
            </w:r>
            <w:r w:rsidR="003E544B">
              <w:rPr>
                <w:webHidden/>
              </w:rPr>
              <w:t>178</w:t>
            </w:r>
            <w:r w:rsidR="004F49F9">
              <w:rPr>
                <w:webHidden/>
              </w:rPr>
              <w:fldChar w:fldCharType="end"/>
            </w:r>
          </w:hyperlink>
        </w:p>
        <w:p w14:paraId="59DD856E" w14:textId="13359770" w:rsidR="004F49F9" w:rsidRDefault="00E55534">
          <w:pPr>
            <w:pStyle w:val="TOC3"/>
            <w:rPr>
              <w:rFonts w:asciiTheme="minorHAnsi" w:eastAsiaTheme="minorEastAsia" w:hAnsiTheme="minorHAnsi" w:cstheme="minorBidi"/>
              <w:sz w:val="22"/>
              <w:szCs w:val="22"/>
              <w:lang w:val="en-DK" w:eastAsia="en-DK"/>
            </w:rPr>
          </w:pPr>
          <w:hyperlink w:anchor="_Toc127346343" w:history="1">
            <w:r w:rsidR="004F49F9" w:rsidRPr="000366E0">
              <w:rPr>
                <w:rStyle w:val="Hyperlink"/>
              </w:rPr>
              <w:t>6.7.1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TLPR</w:t>
            </w:r>
            <w:r w:rsidR="004F49F9">
              <w:rPr>
                <w:webHidden/>
              </w:rPr>
              <w:tab/>
            </w:r>
            <w:r w:rsidR="004F49F9">
              <w:rPr>
                <w:webHidden/>
              </w:rPr>
              <w:fldChar w:fldCharType="begin"/>
            </w:r>
            <w:r w:rsidR="004F49F9">
              <w:rPr>
                <w:webHidden/>
              </w:rPr>
              <w:instrText xml:space="preserve"> PAGEREF _Toc127346343 \h </w:instrText>
            </w:r>
            <w:r w:rsidR="004F49F9">
              <w:rPr>
                <w:webHidden/>
              </w:rPr>
            </w:r>
            <w:r w:rsidR="004F49F9">
              <w:rPr>
                <w:webHidden/>
              </w:rPr>
              <w:fldChar w:fldCharType="separate"/>
            </w:r>
            <w:r w:rsidR="003E544B">
              <w:rPr>
                <w:webHidden/>
              </w:rPr>
              <w:t>178</w:t>
            </w:r>
            <w:r w:rsidR="004F49F9">
              <w:rPr>
                <w:webHidden/>
              </w:rPr>
              <w:fldChar w:fldCharType="end"/>
            </w:r>
          </w:hyperlink>
        </w:p>
        <w:p w14:paraId="2254B231" w14:textId="225B47F8" w:rsidR="004F49F9" w:rsidRDefault="00E55534">
          <w:pPr>
            <w:pStyle w:val="TOC3"/>
            <w:rPr>
              <w:rFonts w:asciiTheme="minorHAnsi" w:eastAsiaTheme="minorEastAsia" w:hAnsiTheme="minorHAnsi" w:cstheme="minorBidi"/>
              <w:sz w:val="22"/>
              <w:szCs w:val="22"/>
              <w:lang w:val="en-DK" w:eastAsia="en-DK"/>
            </w:rPr>
          </w:pPr>
          <w:hyperlink w:anchor="_Toc127346344" w:history="1">
            <w:r w:rsidR="004F49F9" w:rsidRPr="000366E0">
              <w:rPr>
                <w:rStyle w:val="Hyperlink"/>
              </w:rPr>
              <w:t>6.7.2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_Toc127346344 \h </w:instrText>
            </w:r>
            <w:r w:rsidR="004F49F9">
              <w:rPr>
                <w:webHidden/>
              </w:rPr>
            </w:r>
            <w:r w:rsidR="004F49F9">
              <w:rPr>
                <w:webHidden/>
              </w:rPr>
              <w:fldChar w:fldCharType="separate"/>
            </w:r>
            <w:r w:rsidR="003E544B">
              <w:rPr>
                <w:webHidden/>
              </w:rPr>
              <w:t>179</w:t>
            </w:r>
            <w:r w:rsidR="004F49F9">
              <w:rPr>
                <w:webHidden/>
              </w:rPr>
              <w:fldChar w:fldCharType="end"/>
            </w:r>
          </w:hyperlink>
        </w:p>
        <w:p w14:paraId="2644C47D" w14:textId="3AE9E647" w:rsidR="004F49F9" w:rsidRDefault="00E55534">
          <w:pPr>
            <w:pStyle w:val="TOC2"/>
            <w:rPr>
              <w:rFonts w:asciiTheme="minorHAnsi" w:eastAsiaTheme="minorEastAsia" w:hAnsiTheme="minorHAnsi" w:cstheme="minorBidi"/>
              <w:bCs w:val="0"/>
              <w:sz w:val="22"/>
              <w:szCs w:val="22"/>
              <w:lang w:val="en-DK" w:eastAsia="en-DK"/>
            </w:rPr>
          </w:pPr>
          <w:hyperlink w:anchor="_Toc127346345" w:history="1">
            <w:r w:rsidR="004F49F9" w:rsidRPr="000366E0">
              <w:rPr>
                <w:rStyle w:val="Hyperlink"/>
              </w:rPr>
              <w:t>6.8</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in shielded environments (RDI-S)</w:t>
            </w:r>
            <w:r w:rsidR="004F49F9">
              <w:rPr>
                <w:webHidden/>
              </w:rPr>
              <w:tab/>
            </w:r>
            <w:r w:rsidR="004F49F9">
              <w:rPr>
                <w:webHidden/>
              </w:rPr>
              <w:fldChar w:fldCharType="begin"/>
            </w:r>
            <w:r w:rsidR="004F49F9">
              <w:rPr>
                <w:webHidden/>
              </w:rPr>
              <w:instrText xml:space="preserve"> PAGEREF _Toc127346345 \h </w:instrText>
            </w:r>
            <w:r w:rsidR="004F49F9">
              <w:rPr>
                <w:webHidden/>
              </w:rPr>
            </w:r>
            <w:r w:rsidR="004F49F9">
              <w:rPr>
                <w:webHidden/>
              </w:rPr>
              <w:fldChar w:fldCharType="separate"/>
            </w:r>
            <w:r w:rsidR="003E544B">
              <w:rPr>
                <w:webHidden/>
              </w:rPr>
              <w:t>180</w:t>
            </w:r>
            <w:r w:rsidR="004F49F9">
              <w:rPr>
                <w:webHidden/>
              </w:rPr>
              <w:fldChar w:fldCharType="end"/>
            </w:r>
          </w:hyperlink>
        </w:p>
        <w:p w14:paraId="3732BC36" w14:textId="79C6167C" w:rsidR="004F49F9" w:rsidRDefault="00E55534">
          <w:pPr>
            <w:pStyle w:val="TOC3"/>
            <w:rPr>
              <w:rFonts w:asciiTheme="minorHAnsi" w:eastAsiaTheme="minorEastAsia" w:hAnsiTheme="minorHAnsi" w:cstheme="minorBidi"/>
              <w:sz w:val="22"/>
              <w:szCs w:val="22"/>
              <w:lang w:val="en-DK" w:eastAsia="en-DK"/>
            </w:rPr>
          </w:pPr>
          <w:hyperlink w:anchor="_Toc127346346" w:history="1">
            <w:r w:rsidR="004F49F9" w:rsidRPr="000366E0">
              <w:rPr>
                <w:rStyle w:val="Hyperlink"/>
              </w:rPr>
              <w:t>6.8.1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RDI-S</w:t>
            </w:r>
            <w:r w:rsidR="004F49F9">
              <w:rPr>
                <w:webHidden/>
              </w:rPr>
              <w:tab/>
            </w:r>
            <w:r w:rsidR="004F49F9">
              <w:rPr>
                <w:webHidden/>
              </w:rPr>
              <w:fldChar w:fldCharType="begin"/>
            </w:r>
            <w:r w:rsidR="004F49F9">
              <w:rPr>
                <w:webHidden/>
              </w:rPr>
              <w:instrText xml:space="preserve"> PAGEREF _Toc127346346 \h </w:instrText>
            </w:r>
            <w:r w:rsidR="004F49F9">
              <w:rPr>
                <w:webHidden/>
              </w:rPr>
            </w:r>
            <w:r w:rsidR="004F49F9">
              <w:rPr>
                <w:webHidden/>
              </w:rPr>
              <w:fldChar w:fldCharType="separate"/>
            </w:r>
            <w:r w:rsidR="003E544B">
              <w:rPr>
                <w:webHidden/>
              </w:rPr>
              <w:t>180</w:t>
            </w:r>
            <w:r w:rsidR="004F49F9">
              <w:rPr>
                <w:webHidden/>
              </w:rPr>
              <w:fldChar w:fldCharType="end"/>
            </w:r>
          </w:hyperlink>
        </w:p>
        <w:p w14:paraId="306B446D" w14:textId="6B308775" w:rsidR="004F49F9" w:rsidRDefault="00E55534">
          <w:pPr>
            <w:pStyle w:val="TOC3"/>
            <w:rPr>
              <w:rFonts w:asciiTheme="minorHAnsi" w:eastAsiaTheme="minorEastAsia" w:hAnsiTheme="minorHAnsi" w:cstheme="minorBidi"/>
              <w:sz w:val="22"/>
              <w:szCs w:val="22"/>
              <w:lang w:val="en-DK" w:eastAsia="en-DK"/>
            </w:rPr>
          </w:pPr>
          <w:hyperlink w:anchor="_Toc127346347" w:history="1">
            <w:r w:rsidR="004F49F9" w:rsidRPr="000366E0">
              <w:rPr>
                <w:rStyle w:val="Hyperlink"/>
              </w:rPr>
              <w:t>6.8.2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_Toc127346347 \h </w:instrText>
            </w:r>
            <w:r w:rsidR="004F49F9">
              <w:rPr>
                <w:webHidden/>
              </w:rPr>
            </w:r>
            <w:r w:rsidR="004F49F9">
              <w:rPr>
                <w:webHidden/>
              </w:rPr>
              <w:fldChar w:fldCharType="separate"/>
            </w:r>
            <w:r w:rsidR="003E544B">
              <w:rPr>
                <w:webHidden/>
              </w:rPr>
              <w:t>181</w:t>
            </w:r>
            <w:r w:rsidR="004F49F9">
              <w:rPr>
                <w:webHidden/>
              </w:rPr>
              <w:fldChar w:fldCharType="end"/>
            </w:r>
          </w:hyperlink>
        </w:p>
        <w:p w14:paraId="1E2CD727" w14:textId="33AA3320" w:rsidR="004F49F9" w:rsidRDefault="00E55534">
          <w:pPr>
            <w:pStyle w:val="TOC1"/>
            <w:rPr>
              <w:rFonts w:asciiTheme="minorHAnsi" w:eastAsiaTheme="minorEastAsia" w:hAnsiTheme="minorHAnsi" w:cstheme="minorBidi"/>
              <w:b w:val="0"/>
              <w:noProof/>
              <w:sz w:val="22"/>
              <w:szCs w:val="22"/>
              <w:lang w:val="en-DK" w:eastAsia="en-DK"/>
            </w:rPr>
          </w:pPr>
          <w:hyperlink w:anchor="_Toc127346348" w:history="1">
            <w:r w:rsidR="004F49F9" w:rsidRPr="000366E0">
              <w:rPr>
                <w:rStyle w:val="Hyperlink"/>
                <w:noProof/>
              </w:rPr>
              <w:t>7</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Sharing and Compatibility Studies with Amateur Service</w:t>
            </w:r>
            <w:r w:rsidR="004F49F9">
              <w:rPr>
                <w:noProof/>
                <w:webHidden/>
              </w:rPr>
              <w:tab/>
            </w:r>
            <w:r w:rsidR="004F49F9">
              <w:rPr>
                <w:noProof/>
                <w:webHidden/>
              </w:rPr>
              <w:fldChar w:fldCharType="begin"/>
            </w:r>
            <w:r w:rsidR="004F49F9">
              <w:rPr>
                <w:noProof/>
                <w:webHidden/>
              </w:rPr>
              <w:instrText xml:space="preserve"> PAGEREF _Toc127346348 \h </w:instrText>
            </w:r>
            <w:r w:rsidR="004F49F9">
              <w:rPr>
                <w:noProof/>
                <w:webHidden/>
              </w:rPr>
            </w:r>
            <w:r w:rsidR="004F49F9">
              <w:rPr>
                <w:noProof/>
                <w:webHidden/>
              </w:rPr>
              <w:fldChar w:fldCharType="separate"/>
            </w:r>
            <w:r w:rsidR="003E544B">
              <w:rPr>
                <w:noProof/>
                <w:webHidden/>
              </w:rPr>
              <w:t>184</w:t>
            </w:r>
            <w:r w:rsidR="004F49F9">
              <w:rPr>
                <w:noProof/>
                <w:webHidden/>
              </w:rPr>
              <w:fldChar w:fldCharType="end"/>
            </w:r>
          </w:hyperlink>
        </w:p>
        <w:p w14:paraId="3946A692" w14:textId="51EA5E73" w:rsidR="004F49F9" w:rsidRDefault="00E55534">
          <w:pPr>
            <w:pStyle w:val="TOC2"/>
            <w:rPr>
              <w:rFonts w:asciiTheme="minorHAnsi" w:eastAsiaTheme="minorEastAsia" w:hAnsiTheme="minorHAnsi" w:cstheme="minorBidi"/>
              <w:bCs w:val="0"/>
              <w:sz w:val="22"/>
              <w:szCs w:val="22"/>
              <w:lang w:val="en-DK" w:eastAsia="en-DK"/>
            </w:rPr>
          </w:pPr>
          <w:hyperlink w:anchor="_Toc127346349" w:history="1">
            <w:r w:rsidR="004F49F9" w:rsidRPr="000366E0">
              <w:rPr>
                <w:rStyle w:val="Hyperlink"/>
              </w:rPr>
              <w:t>7.1</w:t>
            </w:r>
            <w:r w:rsidR="004F49F9">
              <w:rPr>
                <w:rFonts w:asciiTheme="minorHAnsi" w:eastAsiaTheme="minorEastAsia" w:hAnsiTheme="minorHAnsi" w:cstheme="minorBidi"/>
                <w:bCs w:val="0"/>
                <w:sz w:val="22"/>
                <w:szCs w:val="22"/>
                <w:lang w:val="en-DK" w:eastAsia="en-DK"/>
              </w:rPr>
              <w:tab/>
            </w:r>
            <w:r w:rsidR="004F49F9" w:rsidRPr="000366E0">
              <w:rPr>
                <w:rStyle w:val="Hyperlink"/>
              </w:rPr>
              <w:t>Generic Indoor Surveillance Radar</w:t>
            </w:r>
            <w:r w:rsidR="004F49F9">
              <w:rPr>
                <w:webHidden/>
              </w:rPr>
              <w:tab/>
            </w:r>
            <w:r w:rsidR="004F49F9">
              <w:rPr>
                <w:webHidden/>
              </w:rPr>
              <w:fldChar w:fldCharType="begin"/>
            </w:r>
            <w:r w:rsidR="004F49F9">
              <w:rPr>
                <w:webHidden/>
              </w:rPr>
              <w:instrText xml:space="preserve"> PAGEREF _Toc127346349 \h </w:instrText>
            </w:r>
            <w:r w:rsidR="004F49F9">
              <w:rPr>
                <w:webHidden/>
              </w:rPr>
            </w:r>
            <w:r w:rsidR="004F49F9">
              <w:rPr>
                <w:webHidden/>
              </w:rPr>
              <w:fldChar w:fldCharType="separate"/>
            </w:r>
            <w:r w:rsidR="003E544B">
              <w:rPr>
                <w:webHidden/>
              </w:rPr>
              <w:t>184</w:t>
            </w:r>
            <w:r w:rsidR="004F49F9">
              <w:rPr>
                <w:webHidden/>
              </w:rPr>
              <w:fldChar w:fldCharType="end"/>
            </w:r>
          </w:hyperlink>
        </w:p>
        <w:p w14:paraId="6670F9BE" w14:textId="65D956BC" w:rsidR="004F49F9" w:rsidRDefault="00E55534">
          <w:pPr>
            <w:pStyle w:val="TOC3"/>
            <w:rPr>
              <w:rFonts w:asciiTheme="minorHAnsi" w:eastAsiaTheme="minorEastAsia" w:hAnsiTheme="minorHAnsi" w:cstheme="minorBidi"/>
              <w:sz w:val="22"/>
              <w:szCs w:val="22"/>
              <w:lang w:val="en-DK" w:eastAsia="en-DK"/>
            </w:rPr>
          </w:pPr>
          <w:hyperlink w:anchor="_Toc127346350" w:history="1">
            <w:r w:rsidR="004F49F9" w:rsidRPr="000366E0">
              <w:rPr>
                <w:rStyle w:val="Hyperlink"/>
              </w:rPr>
              <w:t>7.1.1</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_Toc127346350 \h </w:instrText>
            </w:r>
            <w:r w:rsidR="004F49F9">
              <w:rPr>
                <w:webHidden/>
              </w:rPr>
            </w:r>
            <w:r w:rsidR="004F49F9">
              <w:rPr>
                <w:webHidden/>
              </w:rPr>
              <w:fldChar w:fldCharType="separate"/>
            </w:r>
            <w:r w:rsidR="003E544B">
              <w:rPr>
                <w:webHidden/>
              </w:rPr>
              <w:t>184</w:t>
            </w:r>
            <w:r w:rsidR="004F49F9">
              <w:rPr>
                <w:webHidden/>
              </w:rPr>
              <w:fldChar w:fldCharType="end"/>
            </w:r>
          </w:hyperlink>
        </w:p>
        <w:p w14:paraId="1729CB89" w14:textId="2710D81A" w:rsidR="004F49F9" w:rsidRDefault="00E55534">
          <w:pPr>
            <w:pStyle w:val="TOC2"/>
            <w:rPr>
              <w:rFonts w:asciiTheme="minorHAnsi" w:eastAsiaTheme="minorEastAsia" w:hAnsiTheme="minorHAnsi" w:cstheme="minorBidi"/>
              <w:bCs w:val="0"/>
              <w:sz w:val="22"/>
              <w:szCs w:val="22"/>
              <w:lang w:val="en-DK" w:eastAsia="en-DK"/>
            </w:rPr>
          </w:pPr>
          <w:hyperlink w:anchor="_Toc127346351" w:history="1">
            <w:r w:rsidR="004F49F9" w:rsidRPr="000366E0">
              <w:rPr>
                <w:rStyle w:val="Hyperlink"/>
              </w:rPr>
              <w:t>7.2</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(RDI)</w:t>
            </w:r>
            <w:r w:rsidR="004F49F9">
              <w:rPr>
                <w:webHidden/>
              </w:rPr>
              <w:tab/>
            </w:r>
            <w:r w:rsidR="004F49F9">
              <w:rPr>
                <w:webHidden/>
              </w:rPr>
              <w:fldChar w:fldCharType="begin"/>
            </w:r>
            <w:r w:rsidR="004F49F9">
              <w:rPr>
                <w:webHidden/>
              </w:rPr>
              <w:instrText xml:space="preserve"> PAGEREF _Toc127346351 \h </w:instrText>
            </w:r>
            <w:r w:rsidR="004F49F9">
              <w:rPr>
                <w:webHidden/>
              </w:rPr>
            </w:r>
            <w:r w:rsidR="004F49F9">
              <w:rPr>
                <w:webHidden/>
              </w:rPr>
              <w:fldChar w:fldCharType="separate"/>
            </w:r>
            <w:r w:rsidR="003E544B">
              <w:rPr>
                <w:webHidden/>
              </w:rPr>
              <w:t>185</w:t>
            </w:r>
            <w:r w:rsidR="004F49F9">
              <w:rPr>
                <w:webHidden/>
              </w:rPr>
              <w:fldChar w:fldCharType="end"/>
            </w:r>
          </w:hyperlink>
        </w:p>
        <w:p w14:paraId="3972149F" w14:textId="2EF9AB8C" w:rsidR="004F49F9" w:rsidRDefault="00E55534">
          <w:pPr>
            <w:pStyle w:val="TOC3"/>
            <w:rPr>
              <w:rFonts w:asciiTheme="minorHAnsi" w:eastAsiaTheme="minorEastAsia" w:hAnsiTheme="minorHAnsi" w:cstheme="minorBidi"/>
              <w:sz w:val="22"/>
              <w:szCs w:val="22"/>
              <w:lang w:val="en-DK" w:eastAsia="en-DK"/>
            </w:rPr>
          </w:pPr>
          <w:hyperlink w:anchor="_Toc127346352" w:history="1">
            <w:r w:rsidR="004F49F9" w:rsidRPr="000366E0">
              <w:rPr>
                <w:rStyle w:val="Hyperlink"/>
              </w:rPr>
              <w:t>7.2.1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w:t>
            </w:r>
            <w:r w:rsidR="004F49F9">
              <w:rPr>
                <w:webHidden/>
              </w:rPr>
              <w:tab/>
            </w:r>
            <w:r w:rsidR="004F49F9">
              <w:rPr>
                <w:webHidden/>
              </w:rPr>
              <w:fldChar w:fldCharType="begin"/>
            </w:r>
            <w:r w:rsidR="004F49F9">
              <w:rPr>
                <w:webHidden/>
              </w:rPr>
              <w:instrText xml:space="preserve"> PAGEREF _Toc127346352 \h </w:instrText>
            </w:r>
            <w:r w:rsidR="004F49F9">
              <w:rPr>
                <w:webHidden/>
              </w:rPr>
            </w:r>
            <w:r w:rsidR="004F49F9">
              <w:rPr>
                <w:webHidden/>
              </w:rPr>
              <w:fldChar w:fldCharType="separate"/>
            </w:r>
            <w:r w:rsidR="003E544B">
              <w:rPr>
                <w:webHidden/>
              </w:rPr>
              <w:t>185</w:t>
            </w:r>
            <w:r w:rsidR="004F49F9">
              <w:rPr>
                <w:webHidden/>
              </w:rPr>
              <w:fldChar w:fldCharType="end"/>
            </w:r>
          </w:hyperlink>
        </w:p>
        <w:p w14:paraId="688DE709" w14:textId="45AE9185" w:rsidR="004F49F9" w:rsidRDefault="00E55534">
          <w:pPr>
            <w:pStyle w:val="TOC3"/>
            <w:rPr>
              <w:rFonts w:asciiTheme="minorHAnsi" w:eastAsiaTheme="minorEastAsia" w:hAnsiTheme="minorHAnsi" w:cstheme="minorBidi"/>
              <w:sz w:val="22"/>
              <w:szCs w:val="22"/>
              <w:lang w:val="en-DK" w:eastAsia="en-DK"/>
            </w:rPr>
          </w:pPr>
          <w:hyperlink w:anchor="_Toc127346353" w:history="1">
            <w:r w:rsidR="004F49F9" w:rsidRPr="000366E0">
              <w:rPr>
                <w:rStyle w:val="Hyperlink"/>
              </w:rPr>
              <w:t>7.2.2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_Toc127346353 \h </w:instrText>
            </w:r>
            <w:r w:rsidR="004F49F9">
              <w:rPr>
                <w:webHidden/>
              </w:rPr>
            </w:r>
            <w:r w:rsidR="004F49F9">
              <w:rPr>
                <w:webHidden/>
              </w:rPr>
              <w:fldChar w:fldCharType="separate"/>
            </w:r>
            <w:r w:rsidR="003E544B">
              <w:rPr>
                <w:webHidden/>
              </w:rPr>
              <w:t>185</w:t>
            </w:r>
            <w:r w:rsidR="004F49F9">
              <w:rPr>
                <w:webHidden/>
              </w:rPr>
              <w:fldChar w:fldCharType="end"/>
            </w:r>
          </w:hyperlink>
        </w:p>
        <w:p w14:paraId="26E524DB" w14:textId="18C2BCF9" w:rsidR="004F49F9" w:rsidRDefault="00E55534">
          <w:pPr>
            <w:pStyle w:val="TOC2"/>
            <w:rPr>
              <w:rFonts w:asciiTheme="minorHAnsi" w:eastAsiaTheme="minorEastAsia" w:hAnsiTheme="minorHAnsi" w:cstheme="minorBidi"/>
              <w:bCs w:val="0"/>
              <w:sz w:val="22"/>
              <w:szCs w:val="22"/>
              <w:lang w:val="en-DK" w:eastAsia="en-DK"/>
            </w:rPr>
          </w:pPr>
          <w:hyperlink w:anchor="_Toc127346354" w:history="1">
            <w:r w:rsidR="004F49F9" w:rsidRPr="000366E0">
              <w:rPr>
                <w:rStyle w:val="Hyperlink"/>
              </w:rPr>
              <w:t>7.3</w:t>
            </w:r>
            <w:r w:rsidR="004F49F9">
              <w:rPr>
                <w:rFonts w:asciiTheme="minorHAnsi" w:eastAsiaTheme="minorEastAsia" w:hAnsiTheme="minorHAnsi" w:cstheme="minorBidi"/>
                <w:bCs w:val="0"/>
                <w:sz w:val="22"/>
                <w:szCs w:val="22"/>
                <w:lang w:val="en-DK" w:eastAsia="en-DK"/>
              </w:rPr>
              <w:tab/>
            </w:r>
            <w:r w:rsidR="004F49F9" w:rsidRPr="000366E0">
              <w:rPr>
                <w:rStyle w:val="Hyperlink"/>
              </w:rPr>
              <w:t>Short 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_Toc127346354 \h </w:instrText>
            </w:r>
            <w:r w:rsidR="004F49F9">
              <w:rPr>
                <w:webHidden/>
              </w:rPr>
            </w:r>
            <w:r w:rsidR="004F49F9">
              <w:rPr>
                <w:webHidden/>
              </w:rPr>
              <w:fldChar w:fldCharType="separate"/>
            </w:r>
            <w:r w:rsidR="003E544B">
              <w:rPr>
                <w:webHidden/>
              </w:rPr>
              <w:t>186</w:t>
            </w:r>
            <w:r w:rsidR="004F49F9">
              <w:rPr>
                <w:webHidden/>
              </w:rPr>
              <w:fldChar w:fldCharType="end"/>
            </w:r>
          </w:hyperlink>
        </w:p>
        <w:p w14:paraId="3FC39E34" w14:textId="66E342ED" w:rsidR="004F49F9" w:rsidRDefault="00E55534">
          <w:pPr>
            <w:pStyle w:val="TOC2"/>
            <w:rPr>
              <w:rFonts w:asciiTheme="minorHAnsi" w:eastAsiaTheme="minorEastAsia" w:hAnsiTheme="minorHAnsi" w:cstheme="minorBidi"/>
              <w:bCs w:val="0"/>
              <w:sz w:val="22"/>
              <w:szCs w:val="22"/>
              <w:lang w:val="en-DK" w:eastAsia="en-DK"/>
            </w:rPr>
          </w:pPr>
          <w:hyperlink w:anchor="_Toc127346355" w:history="1">
            <w:r w:rsidR="004F49F9" w:rsidRPr="000366E0">
              <w:rPr>
                <w:rStyle w:val="Hyperlink"/>
              </w:rPr>
              <w:t>7.4</w:t>
            </w:r>
            <w:r w:rsidR="004F49F9">
              <w:rPr>
                <w:rFonts w:asciiTheme="minorHAnsi" w:eastAsiaTheme="minorEastAsia" w:hAnsiTheme="minorHAnsi" w:cstheme="minorBidi"/>
                <w:bCs w:val="0"/>
                <w:sz w:val="22"/>
                <w:szCs w:val="22"/>
                <w:lang w:val="en-DK" w:eastAsia="en-DK"/>
              </w:rPr>
              <w:tab/>
            </w:r>
            <w:r w:rsidR="004F49F9" w:rsidRPr="000366E0">
              <w:rPr>
                <w:rStyle w:val="Hyperlink"/>
              </w:rPr>
              <w:t>Ground Based Synthetic Aperture Radar (GBSAR)</w:t>
            </w:r>
            <w:r w:rsidR="004F49F9">
              <w:rPr>
                <w:webHidden/>
              </w:rPr>
              <w:tab/>
            </w:r>
            <w:r w:rsidR="004F49F9">
              <w:rPr>
                <w:webHidden/>
              </w:rPr>
              <w:fldChar w:fldCharType="begin"/>
            </w:r>
            <w:r w:rsidR="004F49F9">
              <w:rPr>
                <w:webHidden/>
              </w:rPr>
              <w:instrText xml:space="preserve"> PAGEREF _Toc127346355 \h </w:instrText>
            </w:r>
            <w:r w:rsidR="004F49F9">
              <w:rPr>
                <w:webHidden/>
              </w:rPr>
            </w:r>
            <w:r w:rsidR="004F49F9">
              <w:rPr>
                <w:webHidden/>
              </w:rPr>
              <w:fldChar w:fldCharType="separate"/>
            </w:r>
            <w:r w:rsidR="003E544B">
              <w:rPr>
                <w:webHidden/>
              </w:rPr>
              <w:t>186</w:t>
            </w:r>
            <w:r w:rsidR="004F49F9">
              <w:rPr>
                <w:webHidden/>
              </w:rPr>
              <w:fldChar w:fldCharType="end"/>
            </w:r>
          </w:hyperlink>
        </w:p>
        <w:p w14:paraId="4E991704" w14:textId="7D65198D" w:rsidR="004F49F9" w:rsidRDefault="00E55534">
          <w:pPr>
            <w:pStyle w:val="TOC2"/>
            <w:rPr>
              <w:rFonts w:asciiTheme="minorHAnsi" w:eastAsiaTheme="minorEastAsia" w:hAnsiTheme="minorHAnsi" w:cstheme="minorBidi"/>
              <w:bCs w:val="0"/>
              <w:sz w:val="22"/>
              <w:szCs w:val="22"/>
              <w:lang w:val="en-DK" w:eastAsia="en-DK"/>
            </w:rPr>
          </w:pPr>
          <w:hyperlink w:anchor="_Toc127346356" w:history="1">
            <w:r w:rsidR="004F49F9" w:rsidRPr="000366E0">
              <w:rPr>
                <w:rStyle w:val="Hyperlink"/>
              </w:rPr>
              <w:t>7.5</w:t>
            </w:r>
            <w:r w:rsidR="004F49F9">
              <w:rPr>
                <w:rFonts w:asciiTheme="minorHAnsi" w:eastAsiaTheme="minorEastAsia" w:hAnsiTheme="minorHAnsi" w:cstheme="minorBidi"/>
                <w:bCs w:val="0"/>
                <w:sz w:val="22"/>
                <w:szCs w:val="22"/>
                <w:lang w:val="en-DK" w:eastAsia="en-DK"/>
              </w:rPr>
              <w:tab/>
            </w:r>
            <w:r w:rsidR="004F49F9" w:rsidRPr="000366E0">
              <w:rPr>
                <w:rStyle w:val="Hyperlink"/>
              </w:rPr>
              <w:t>Level Probing Radar (LPR)</w:t>
            </w:r>
            <w:r w:rsidR="004F49F9">
              <w:rPr>
                <w:webHidden/>
              </w:rPr>
              <w:tab/>
            </w:r>
            <w:r w:rsidR="004F49F9">
              <w:rPr>
                <w:webHidden/>
              </w:rPr>
              <w:fldChar w:fldCharType="begin"/>
            </w:r>
            <w:r w:rsidR="004F49F9">
              <w:rPr>
                <w:webHidden/>
              </w:rPr>
              <w:instrText xml:space="preserve"> PAGEREF _Toc127346356 \h </w:instrText>
            </w:r>
            <w:r w:rsidR="004F49F9">
              <w:rPr>
                <w:webHidden/>
              </w:rPr>
            </w:r>
            <w:r w:rsidR="004F49F9">
              <w:rPr>
                <w:webHidden/>
              </w:rPr>
              <w:fldChar w:fldCharType="separate"/>
            </w:r>
            <w:r w:rsidR="003E544B">
              <w:rPr>
                <w:webHidden/>
              </w:rPr>
              <w:t>186</w:t>
            </w:r>
            <w:r w:rsidR="004F49F9">
              <w:rPr>
                <w:webHidden/>
              </w:rPr>
              <w:fldChar w:fldCharType="end"/>
            </w:r>
          </w:hyperlink>
        </w:p>
        <w:p w14:paraId="6214E465" w14:textId="4364A631" w:rsidR="004F49F9" w:rsidRDefault="00E55534">
          <w:pPr>
            <w:pStyle w:val="TOC3"/>
            <w:rPr>
              <w:rFonts w:asciiTheme="minorHAnsi" w:eastAsiaTheme="minorEastAsia" w:hAnsiTheme="minorHAnsi" w:cstheme="minorBidi"/>
              <w:sz w:val="22"/>
              <w:szCs w:val="22"/>
              <w:lang w:val="en-DK" w:eastAsia="en-DK"/>
            </w:rPr>
          </w:pPr>
          <w:hyperlink w:anchor="_Toc127346357" w:history="1">
            <w:r w:rsidR="004F49F9" w:rsidRPr="000366E0">
              <w:rPr>
                <w:rStyle w:val="Hyperlink"/>
              </w:rPr>
              <w:t>7.5.1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LPR</w:t>
            </w:r>
            <w:r w:rsidR="004F49F9">
              <w:rPr>
                <w:webHidden/>
              </w:rPr>
              <w:tab/>
            </w:r>
            <w:r w:rsidR="004F49F9">
              <w:rPr>
                <w:webHidden/>
              </w:rPr>
              <w:fldChar w:fldCharType="begin"/>
            </w:r>
            <w:r w:rsidR="004F49F9">
              <w:rPr>
                <w:webHidden/>
              </w:rPr>
              <w:instrText xml:space="preserve"> PAGEREF _Toc127346357 \h </w:instrText>
            </w:r>
            <w:r w:rsidR="004F49F9">
              <w:rPr>
                <w:webHidden/>
              </w:rPr>
            </w:r>
            <w:r w:rsidR="004F49F9">
              <w:rPr>
                <w:webHidden/>
              </w:rPr>
              <w:fldChar w:fldCharType="separate"/>
            </w:r>
            <w:r w:rsidR="003E544B">
              <w:rPr>
                <w:webHidden/>
              </w:rPr>
              <w:t>186</w:t>
            </w:r>
            <w:r w:rsidR="004F49F9">
              <w:rPr>
                <w:webHidden/>
              </w:rPr>
              <w:fldChar w:fldCharType="end"/>
            </w:r>
          </w:hyperlink>
        </w:p>
        <w:p w14:paraId="568ADEC4" w14:textId="05F34A1F" w:rsidR="004F49F9" w:rsidRDefault="00E55534">
          <w:pPr>
            <w:pStyle w:val="TOC3"/>
            <w:rPr>
              <w:rFonts w:asciiTheme="minorHAnsi" w:eastAsiaTheme="minorEastAsia" w:hAnsiTheme="minorHAnsi" w:cstheme="minorBidi"/>
              <w:sz w:val="22"/>
              <w:szCs w:val="22"/>
              <w:lang w:val="en-DK" w:eastAsia="en-DK"/>
            </w:rPr>
          </w:pPr>
          <w:hyperlink w:anchor="_Toc127346358" w:history="1">
            <w:r w:rsidR="004F49F9" w:rsidRPr="000366E0">
              <w:rPr>
                <w:rStyle w:val="Hyperlink"/>
              </w:rPr>
              <w:t>7.5.2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_Toc127346358 \h </w:instrText>
            </w:r>
            <w:r w:rsidR="004F49F9">
              <w:rPr>
                <w:webHidden/>
              </w:rPr>
            </w:r>
            <w:r w:rsidR="004F49F9">
              <w:rPr>
                <w:webHidden/>
              </w:rPr>
              <w:fldChar w:fldCharType="separate"/>
            </w:r>
            <w:r w:rsidR="003E544B">
              <w:rPr>
                <w:webHidden/>
              </w:rPr>
              <w:t>187</w:t>
            </w:r>
            <w:r w:rsidR="004F49F9">
              <w:rPr>
                <w:webHidden/>
              </w:rPr>
              <w:fldChar w:fldCharType="end"/>
            </w:r>
          </w:hyperlink>
        </w:p>
        <w:p w14:paraId="2890EA82" w14:textId="02F0D90D" w:rsidR="004F49F9" w:rsidRDefault="00E55534">
          <w:pPr>
            <w:pStyle w:val="TOC2"/>
            <w:rPr>
              <w:rFonts w:asciiTheme="minorHAnsi" w:eastAsiaTheme="minorEastAsia" w:hAnsiTheme="minorHAnsi" w:cstheme="minorBidi"/>
              <w:bCs w:val="0"/>
              <w:sz w:val="22"/>
              <w:szCs w:val="22"/>
              <w:lang w:val="en-DK" w:eastAsia="en-DK"/>
            </w:rPr>
          </w:pPr>
          <w:hyperlink w:anchor="_Toc127346359" w:history="1">
            <w:r w:rsidR="004F49F9" w:rsidRPr="000366E0">
              <w:rPr>
                <w:rStyle w:val="Hyperlink"/>
              </w:rPr>
              <w:t>7.6</w:t>
            </w:r>
            <w:r w:rsidR="004F49F9">
              <w:rPr>
                <w:rFonts w:asciiTheme="minorHAnsi" w:eastAsiaTheme="minorEastAsia" w:hAnsiTheme="minorHAnsi" w:cstheme="minorBidi"/>
                <w:bCs w:val="0"/>
                <w:sz w:val="22"/>
                <w:szCs w:val="22"/>
                <w:lang w:val="en-DK" w:eastAsia="en-DK"/>
              </w:rPr>
              <w:tab/>
            </w:r>
            <w:r w:rsidR="004F49F9" w:rsidRPr="000366E0">
              <w:rPr>
                <w:rStyle w:val="Hyperlink"/>
              </w:rPr>
              <w:t>Contour determination and acquisition (CDR)</w:t>
            </w:r>
            <w:r w:rsidR="004F49F9">
              <w:rPr>
                <w:webHidden/>
              </w:rPr>
              <w:tab/>
            </w:r>
            <w:r w:rsidR="004F49F9">
              <w:rPr>
                <w:webHidden/>
              </w:rPr>
              <w:fldChar w:fldCharType="begin"/>
            </w:r>
            <w:r w:rsidR="004F49F9">
              <w:rPr>
                <w:webHidden/>
              </w:rPr>
              <w:instrText xml:space="preserve"> PAGEREF _Toc127346359 \h </w:instrText>
            </w:r>
            <w:r w:rsidR="004F49F9">
              <w:rPr>
                <w:webHidden/>
              </w:rPr>
            </w:r>
            <w:r w:rsidR="004F49F9">
              <w:rPr>
                <w:webHidden/>
              </w:rPr>
              <w:fldChar w:fldCharType="separate"/>
            </w:r>
            <w:r w:rsidR="003E544B">
              <w:rPr>
                <w:webHidden/>
              </w:rPr>
              <w:t>187</w:t>
            </w:r>
            <w:r w:rsidR="004F49F9">
              <w:rPr>
                <w:webHidden/>
              </w:rPr>
              <w:fldChar w:fldCharType="end"/>
            </w:r>
          </w:hyperlink>
        </w:p>
        <w:p w14:paraId="5A8146E1" w14:textId="23C1750A" w:rsidR="004F49F9" w:rsidRDefault="00E55534">
          <w:pPr>
            <w:pStyle w:val="TOC3"/>
            <w:rPr>
              <w:rFonts w:asciiTheme="minorHAnsi" w:eastAsiaTheme="minorEastAsia" w:hAnsiTheme="minorHAnsi" w:cstheme="minorBidi"/>
              <w:sz w:val="22"/>
              <w:szCs w:val="22"/>
              <w:lang w:val="en-DK" w:eastAsia="en-DK"/>
            </w:rPr>
          </w:pPr>
          <w:hyperlink w:anchor="_Toc127346360" w:history="1">
            <w:r w:rsidR="004F49F9" w:rsidRPr="000366E0">
              <w:rPr>
                <w:rStyle w:val="Hyperlink"/>
              </w:rPr>
              <w:t>7.6.1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CDR</w:t>
            </w:r>
            <w:r w:rsidR="004F49F9">
              <w:rPr>
                <w:webHidden/>
              </w:rPr>
              <w:tab/>
            </w:r>
            <w:r w:rsidR="004F49F9">
              <w:rPr>
                <w:webHidden/>
              </w:rPr>
              <w:fldChar w:fldCharType="begin"/>
            </w:r>
            <w:r w:rsidR="004F49F9">
              <w:rPr>
                <w:webHidden/>
              </w:rPr>
              <w:instrText xml:space="preserve"> PAGEREF _Toc127346360 \h </w:instrText>
            </w:r>
            <w:r w:rsidR="004F49F9">
              <w:rPr>
                <w:webHidden/>
              </w:rPr>
            </w:r>
            <w:r w:rsidR="004F49F9">
              <w:rPr>
                <w:webHidden/>
              </w:rPr>
              <w:fldChar w:fldCharType="separate"/>
            </w:r>
            <w:r w:rsidR="003E544B">
              <w:rPr>
                <w:webHidden/>
              </w:rPr>
              <w:t>187</w:t>
            </w:r>
            <w:r w:rsidR="004F49F9">
              <w:rPr>
                <w:webHidden/>
              </w:rPr>
              <w:fldChar w:fldCharType="end"/>
            </w:r>
          </w:hyperlink>
        </w:p>
        <w:p w14:paraId="2C8914C9" w14:textId="3CFD1D3D" w:rsidR="004F49F9" w:rsidRDefault="00E55534">
          <w:pPr>
            <w:pStyle w:val="TOC3"/>
            <w:rPr>
              <w:rFonts w:asciiTheme="minorHAnsi" w:eastAsiaTheme="minorEastAsia" w:hAnsiTheme="minorHAnsi" w:cstheme="minorBidi"/>
              <w:sz w:val="22"/>
              <w:szCs w:val="22"/>
              <w:lang w:val="en-DK" w:eastAsia="en-DK"/>
            </w:rPr>
          </w:pPr>
          <w:hyperlink w:anchor="_Toc127346361" w:history="1">
            <w:r w:rsidR="004F49F9" w:rsidRPr="000366E0">
              <w:rPr>
                <w:rStyle w:val="Hyperlink"/>
              </w:rPr>
              <w:t>7.6.2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_Toc127346361 \h </w:instrText>
            </w:r>
            <w:r w:rsidR="004F49F9">
              <w:rPr>
                <w:webHidden/>
              </w:rPr>
            </w:r>
            <w:r w:rsidR="004F49F9">
              <w:rPr>
                <w:webHidden/>
              </w:rPr>
              <w:fldChar w:fldCharType="separate"/>
            </w:r>
            <w:r w:rsidR="003E544B">
              <w:rPr>
                <w:webHidden/>
              </w:rPr>
              <w:t>188</w:t>
            </w:r>
            <w:r w:rsidR="004F49F9">
              <w:rPr>
                <w:webHidden/>
              </w:rPr>
              <w:fldChar w:fldCharType="end"/>
            </w:r>
          </w:hyperlink>
        </w:p>
        <w:p w14:paraId="21EF1DD7" w14:textId="1AEB50C7" w:rsidR="004F49F9" w:rsidRDefault="00E55534">
          <w:pPr>
            <w:pStyle w:val="TOC2"/>
            <w:rPr>
              <w:rFonts w:asciiTheme="minorHAnsi" w:eastAsiaTheme="minorEastAsia" w:hAnsiTheme="minorHAnsi" w:cstheme="minorBidi"/>
              <w:bCs w:val="0"/>
              <w:sz w:val="22"/>
              <w:szCs w:val="22"/>
              <w:lang w:val="en-DK" w:eastAsia="en-DK"/>
            </w:rPr>
          </w:pPr>
          <w:hyperlink w:anchor="_Toc127346362" w:history="1">
            <w:r w:rsidR="004F49F9" w:rsidRPr="000366E0">
              <w:rPr>
                <w:rStyle w:val="Hyperlink"/>
              </w:rPr>
              <w:t>7.7</w:t>
            </w:r>
            <w:r w:rsidR="004F49F9">
              <w:rPr>
                <w:rFonts w:asciiTheme="minorHAnsi" w:eastAsiaTheme="minorEastAsia" w:hAnsiTheme="minorHAnsi" w:cstheme="minorBidi"/>
                <w:bCs w:val="0"/>
                <w:sz w:val="22"/>
                <w:szCs w:val="22"/>
                <w:lang w:val="en-DK" w:eastAsia="en-DK"/>
              </w:rPr>
              <w:tab/>
            </w:r>
            <w:r w:rsidR="004F49F9" w:rsidRPr="000366E0">
              <w:rPr>
                <w:rStyle w:val="Hyperlink"/>
              </w:rPr>
              <w:t>Tank Level Probing Radar (TLPR)</w:t>
            </w:r>
            <w:r w:rsidR="004F49F9">
              <w:rPr>
                <w:webHidden/>
              </w:rPr>
              <w:tab/>
            </w:r>
            <w:r w:rsidR="004F49F9">
              <w:rPr>
                <w:webHidden/>
              </w:rPr>
              <w:fldChar w:fldCharType="begin"/>
            </w:r>
            <w:r w:rsidR="004F49F9">
              <w:rPr>
                <w:webHidden/>
              </w:rPr>
              <w:instrText xml:space="preserve"> PAGEREF _Toc127346362 \h </w:instrText>
            </w:r>
            <w:r w:rsidR="004F49F9">
              <w:rPr>
                <w:webHidden/>
              </w:rPr>
            </w:r>
            <w:r w:rsidR="004F49F9">
              <w:rPr>
                <w:webHidden/>
              </w:rPr>
              <w:fldChar w:fldCharType="separate"/>
            </w:r>
            <w:r w:rsidR="003E544B">
              <w:rPr>
                <w:webHidden/>
              </w:rPr>
              <w:t>188</w:t>
            </w:r>
            <w:r w:rsidR="004F49F9">
              <w:rPr>
                <w:webHidden/>
              </w:rPr>
              <w:fldChar w:fldCharType="end"/>
            </w:r>
          </w:hyperlink>
        </w:p>
        <w:p w14:paraId="6D588B22" w14:textId="56C7B141" w:rsidR="004F49F9" w:rsidRDefault="00E55534">
          <w:pPr>
            <w:pStyle w:val="TOC3"/>
            <w:rPr>
              <w:rFonts w:asciiTheme="minorHAnsi" w:eastAsiaTheme="minorEastAsia" w:hAnsiTheme="minorHAnsi" w:cstheme="minorBidi"/>
              <w:sz w:val="22"/>
              <w:szCs w:val="22"/>
              <w:lang w:val="en-DK" w:eastAsia="en-DK"/>
            </w:rPr>
          </w:pPr>
          <w:hyperlink w:anchor="_Toc127346363" w:history="1">
            <w:r w:rsidR="004F49F9" w:rsidRPr="000366E0">
              <w:rPr>
                <w:rStyle w:val="Hyperlink"/>
              </w:rPr>
              <w:t>7.7.1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TLPR</w:t>
            </w:r>
            <w:r w:rsidR="004F49F9">
              <w:rPr>
                <w:webHidden/>
              </w:rPr>
              <w:tab/>
            </w:r>
            <w:r w:rsidR="004F49F9">
              <w:rPr>
                <w:webHidden/>
              </w:rPr>
              <w:fldChar w:fldCharType="begin"/>
            </w:r>
            <w:r w:rsidR="004F49F9">
              <w:rPr>
                <w:webHidden/>
              </w:rPr>
              <w:instrText xml:space="preserve"> PAGEREF _Toc127346363 \h </w:instrText>
            </w:r>
            <w:r w:rsidR="004F49F9">
              <w:rPr>
                <w:webHidden/>
              </w:rPr>
            </w:r>
            <w:r w:rsidR="004F49F9">
              <w:rPr>
                <w:webHidden/>
              </w:rPr>
              <w:fldChar w:fldCharType="separate"/>
            </w:r>
            <w:r w:rsidR="003E544B">
              <w:rPr>
                <w:webHidden/>
              </w:rPr>
              <w:t>188</w:t>
            </w:r>
            <w:r w:rsidR="004F49F9">
              <w:rPr>
                <w:webHidden/>
              </w:rPr>
              <w:fldChar w:fldCharType="end"/>
            </w:r>
          </w:hyperlink>
        </w:p>
        <w:p w14:paraId="78DE82DF" w14:textId="6D47FB65" w:rsidR="004F49F9" w:rsidRDefault="00E55534">
          <w:pPr>
            <w:pStyle w:val="TOC3"/>
            <w:rPr>
              <w:rFonts w:asciiTheme="minorHAnsi" w:eastAsiaTheme="minorEastAsia" w:hAnsiTheme="minorHAnsi" w:cstheme="minorBidi"/>
              <w:sz w:val="22"/>
              <w:szCs w:val="22"/>
              <w:lang w:val="en-DK" w:eastAsia="en-DK"/>
            </w:rPr>
          </w:pPr>
          <w:hyperlink w:anchor="_Toc127346364" w:history="1">
            <w:r w:rsidR="004F49F9" w:rsidRPr="000366E0">
              <w:rPr>
                <w:rStyle w:val="Hyperlink"/>
              </w:rPr>
              <w:t>7.7.2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_Toc127346364 \h </w:instrText>
            </w:r>
            <w:r w:rsidR="004F49F9">
              <w:rPr>
                <w:webHidden/>
              </w:rPr>
            </w:r>
            <w:r w:rsidR="004F49F9">
              <w:rPr>
                <w:webHidden/>
              </w:rPr>
              <w:fldChar w:fldCharType="separate"/>
            </w:r>
            <w:r w:rsidR="003E544B">
              <w:rPr>
                <w:webHidden/>
              </w:rPr>
              <w:t>189</w:t>
            </w:r>
            <w:r w:rsidR="004F49F9">
              <w:rPr>
                <w:webHidden/>
              </w:rPr>
              <w:fldChar w:fldCharType="end"/>
            </w:r>
          </w:hyperlink>
        </w:p>
        <w:p w14:paraId="0B4F9808" w14:textId="56696568" w:rsidR="004F49F9" w:rsidRDefault="00E55534">
          <w:pPr>
            <w:pStyle w:val="TOC2"/>
            <w:rPr>
              <w:rFonts w:asciiTheme="minorHAnsi" w:eastAsiaTheme="minorEastAsia" w:hAnsiTheme="minorHAnsi" w:cstheme="minorBidi"/>
              <w:bCs w:val="0"/>
              <w:sz w:val="22"/>
              <w:szCs w:val="22"/>
              <w:lang w:val="en-DK" w:eastAsia="en-DK"/>
            </w:rPr>
          </w:pPr>
          <w:hyperlink w:anchor="_Toc127346365" w:history="1">
            <w:r w:rsidR="004F49F9" w:rsidRPr="000366E0">
              <w:rPr>
                <w:rStyle w:val="Hyperlink"/>
              </w:rPr>
              <w:t>7.8</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in shielded environments (RDI-S)</w:t>
            </w:r>
            <w:r w:rsidR="004F49F9">
              <w:rPr>
                <w:webHidden/>
              </w:rPr>
              <w:tab/>
            </w:r>
            <w:r w:rsidR="004F49F9">
              <w:rPr>
                <w:webHidden/>
              </w:rPr>
              <w:fldChar w:fldCharType="begin"/>
            </w:r>
            <w:r w:rsidR="004F49F9">
              <w:rPr>
                <w:webHidden/>
              </w:rPr>
              <w:instrText xml:space="preserve"> PAGEREF _Toc127346365 \h </w:instrText>
            </w:r>
            <w:r w:rsidR="004F49F9">
              <w:rPr>
                <w:webHidden/>
              </w:rPr>
            </w:r>
            <w:r w:rsidR="004F49F9">
              <w:rPr>
                <w:webHidden/>
              </w:rPr>
              <w:fldChar w:fldCharType="separate"/>
            </w:r>
            <w:r w:rsidR="003E544B">
              <w:rPr>
                <w:webHidden/>
              </w:rPr>
              <w:t>189</w:t>
            </w:r>
            <w:r w:rsidR="004F49F9">
              <w:rPr>
                <w:webHidden/>
              </w:rPr>
              <w:fldChar w:fldCharType="end"/>
            </w:r>
          </w:hyperlink>
        </w:p>
        <w:p w14:paraId="0788177E" w14:textId="304A052D" w:rsidR="004F49F9" w:rsidRDefault="00E55534">
          <w:pPr>
            <w:pStyle w:val="TOC3"/>
            <w:rPr>
              <w:rFonts w:asciiTheme="minorHAnsi" w:eastAsiaTheme="minorEastAsia" w:hAnsiTheme="minorHAnsi" w:cstheme="minorBidi"/>
              <w:sz w:val="22"/>
              <w:szCs w:val="22"/>
              <w:lang w:val="en-DK" w:eastAsia="en-DK"/>
            </w:rPr>
          </w:pPr>
          <w:hyperlink w:anchor="_Toc127346366" w:history="1">
            <w:r w:rsidR="004F49F9" w:rsidRPr="000366E0">
              <w:rPr>
                <w:rStyle w:val="Hyperlink"/>
              </w:rPr>
              <w:t>7.8.1</w:t>
            </w:r>
            <w:r w:rsidR="004F49F9">
              <w:rPr>
                <w:rFonts w:asciiTheme="minorHAnsi" w:eastAsiaTheme="minorEastAsia" w:hAnsiTheme="minorHAnsi" w:cstheme="minorBidi"/>
                <w:sz w:val="22"/>
                <w:szCs w:val="22"/>
                <w:lang w:val="en-DK" w:eastAsia="en-DK"/>
              </w:rPr>
              <w:tab/>
            </w:r>
            <w:r w:rsidR="004F49F9" w:rsidRPr="000366E0">
              <w:rPr>
                <w:rStyle w:val="Hyperlink"/>
              </w:rPr>
              <w:t>Technical parameters of RDI-S</w:t>
            </w:r>
            <w:r w:rsidR="004F49F9">
              <w:rPr>
                <w:webHidden/>
              </w:rPr>
              <w:tab/>
            </w:r>
            <w:r w:rsidR="004F49F9">
              <w:rPr>
                <w:webHidden/>
              </w:rPr>
              <w:fldChar w:fldCharType="begin"/>
            </w:r>
            <w:r w:rsidR="004F49F9">
              <w:rPr>
                <w:webHidden/>
              </w:rPr>
              <w:instrText xml:space="preserve"> PAGEREF _Toc127346366 \h </w:instrText>
            </w:r>
            <w:r w:rsidR="004F49F9">
              <w:rPr>
                <w:webHidden/>
              </w:rPr>
            </w:r>
            <w:r w:rsidR="004F49F9">
              <w:rPr>
                <w:webHidden/>
              </w:rPr>
              <w:fldChar w:fldCharType="separate"/>
            </w:r>
            <w:r w:rsidR="003E544B">
              <w:rPr>
                <w:webHidden/>
              </w:rPr>
              <w:t>189</w:t>
            </w:r>
            <w:r w:rsidR="004F49F9">
              <w:rPr>
                <w:webHidden/>
              </w:rPr>
              <w:fldChar w:fldCharType="end"/>
            </w:r>
          </w:hyperlink>
        </w:p>
        <w:p w14:paraId="0AF9F32D" w14:textId="2343B71D" w:rsidR="004F49F9" w:rsidRDefault="00E55534">
          <w:pPr>
            <w:pStyle w:val="TOC3"/>
            <w:rPr>
              <w:rFonts w:asciiTheme="minorHAnsi" w:eastAsiaTheme="minorEastAsia" w:hAnsiTheme="minorHAnsi" w:cstheme="minorBidi"/>
              <w:sz w:val="22"/>
              <w:szCs w:val="22"/>
              <w:lang w:val="en-DK" w:eastAsia="en-DK"/>
            </w:rPr>
          </w:pPr>
          <w:hyperlink w:anchor="_Toc127346367" w:history="1">
            <w:r w:rsidR="004F49F9" w:rsidRPr="000366E0">
              <w:rPr>
                <w:rStyle w:val="Hyperlink"/>
              </w:rPr>
              <w:t>7.8.2</w:t>
            </w:r>
            <w:r w:rsidR="004F49F9">
              <w:rPr>
                <w:rFonts w:asciiTheme="minorHAnsi" w:eastAsiaTheme="minorEastAsia" w:hAnsiTheme="minorHAnsi" w:cstheme="minorBidi"/>
                <w:sz w:val="22"/>
                <w:szCs w:val="22"/>
                <w:lang w:val="en-DK" w:eastAsia="en-DK"/>
              </w:rPr>
              <w:tab/>
            </w:r>
            <w:r w:rsidR="004F49F9" w:rsidRPr="000366E0">
              <w:rPr>
                <w:rStyle w:val="Hyperlink"/>
              </w:rPr>
              <w:t>Results</w:t>
            </w:r>
            <w:r w:rsidR="004F49F9">
              <w:rPr>
                <w:webHidden/>
              </w:rPr>
              <w:tab/>
            </w:r>
            <w:r w:rsidR="004F49F9">
              <w:rPr>
                <w:webHidden/>
              </w:rPr>
              <w:fldChar w:fldCharType="begin"/>
            </w:r>
            <w:r w:rsidR="004F49F9">
              <w:rPr>
                <w:webHidden/>
              </w:rPr>
              <w:instrText xml:space="preserve"> PAGEREF _Toc127346367 \h </w:instrText>
            </w:r>
            <w:r w:rsidR="004F49F9">
              <w:rPr>
                <w:webHidden/>
              </w:rPr>
            </w:r>
            <w:r w:rsidR="004F49F9">
              <w:rPr>
                <w:webHidden/>
              </w:rPr>
              <w:fldChar w:fldCharType="separate"/>
            </w:r>
            <w:r w:rsidR="003E544B">
              <w:rPr>
                <w:webHidden/>
              </w:rPr>
              <w:t>190</w:t>
            </w:r>
            <w:r w:rsidR="004F49F9">
              <w:rPr>
                <w:webHidden/>
              </w:rPr>
              <w:fldChar w:fldCharType="end"/>
            </w:r>
          </w:hyperlink>
        </w:p>
        <w:p w14:paraId="31F2B3E1" w14:textId="31E17205" w:rsidR="004F49F9" w:rsidRDefault="00E55534">
          <w:pPr>
            <w:pStyle w:val="TOC1"/>
            <w:rPr>
              <w:rFonts w:asciiTheme="minorHAnsi" w:eastAsiaTheme="minorEastAsia" w:hAnsiTheme="minorHAnsi" w:cstheme="minorBidi"/>
              <w:b w:val="0"/>
              <w:noProof/>
              <w:sz w:val="22"/>
              <w:szCs w:val="22"/>
              <w:lang w:val="en-DK" w:eastAsia="en-DK"/>
            </w:rPr>
          </w:pPr>
          <w:hyperlink w:anchor="_Toc127346368" w:history="1">
            <w:r w:rsidR="004F49F9" w:rsidRPr="000366E0">
              <w:rPr>
                <w:rStyle w:val="Hyperlink"/>
                <w:noProof/>
              </w:rPr>
              <w:t>8</w:t>
            </w:r>
            <w:r w:rsidR="004F49F9">
              <w:rPr>
                <w:rFonts w:asciiTheme="minorHAnsi" w:eastAsiaTheme="minorEastAsia" w:hAnsiTheme="minorHAnsi" w:cstheme="minorBidi"/>
                <w:b w:val="0"/>
                <w:noProof/>
                <w:sz w:val="22"/>
                <w:szCs w:val="22"/>
                <w:lang w:val="en-DK" w:eastAsia="en-DK"/>
              </w:rPr>
              <w:tab/>
            </w:r>
            <w:r w:rsidR="004F49F9" w:rsidRPr="000366E0">
              <w:rPr>
                <w:rStyle w:val="Hyperlink"/>
                <w:noProof/>
              </w:rPr>
              <w:t>Conclusions</w:t>
            </w:r>
            <w:r w:rsidR="004F49F9">
              <w:rPr>
                <w:noProof/>
                <w:webHidden/>
              </w:rPr>
              <w:tab/>
            </w:r>
            <w:r w:rsidR="004F49F9">
              <w:rPr>
                <w:noProof/>
                <w:webHidden/>
              </w:rPr>
              <w:fldChar w:fldCharType="begin"/>
            </w:r>
            <w:r w:rsidR="004F49F9">
              <w:rPr>
                <w:noProof/>
                <w:webHidden/>
              </w:rPr>
              <w:instrText xml:space="preserve"> PAGEREF _Toc127346368 \h </w:instrText>
            </w:r>
            <w:r w:rsidR="004F49F9">
              <w:rPr>
                <w:noProof/>
                <w:webHidden/>
              </w:rPr>
            </w:r>
            <w:r w:rsidR="004F49F9">
              <w:rPr>
                <w:noProof/>
                <w:webHidden/>
              </w:rPr>
              <w:fldChar w:fldCharType="separate"/>
            </w:r>
            <w:r w:rsidR="003E544B">
              <w:rPr>
                <w:noProof/>
                <w:webHidden/>
              </w:rPr>
              <w:t>191</w:t>
            </w:r>
            <w:r w:rsidR="004F49F9">
              <w:rPr>
                <w:noProof/>
                <w:webHidden/>
              </w:rPr>
              <w:fldChar w:fldCharType="end"/>
            </w:r>
          </w:hyperlink>
        </w:p>
        <w:p w14:paraId="46EB90DC" w14:textId="18D7454C" w:rsidR="004F49F9" w:rsidRDefault="00E55534">
          <w:pPr>
            <w:pStyle w:val="TOC2"/>
            <w:rPr>
              <w:rFonts w:asciiTheme="minorHAnsi" w:eastAsiaTheme="minorEastAsia" w:hAnsiTheme="minorHAnsi" w:cstheme="minorBidi"/>
              <w:bCs w:val="0"/>
              <w:sz w:val="22"/>
              <w:szCs w:val="22"/>
              <w:lang w:val="en-DK" w:eastAsia="en-DK"/>
            </w:rPr>
          </w:pPr>
          <w:hyperlink w:anchor="_Toc127346369" w:history="1">
            <w:r w:rsidR="004F49F9" w:rsidRPr="000366E0">
              <w:rPr>
                <w:rStyle w:val="Hyperlink"/>
              </w:rPr>
              <w:t>8.1</w:t>
            </w:r>
            <w:r w:rsidR="004F49F9">
              <w:rPr>
                <w:rFonts w:asciiTheme="minorHAnsi" w:eastAsiaTheme="minorEastAsia" w:hAnsiTheme="minorHAnsi" w:cstheme="minorBidi"/>
                <w:bCs w:val="0"/>
                <w:sz w:val="22"/>
                <w:szCs w:val="22"/>
                <w:lang w:val="en-DK" w:eastAsia="en-DK"/>
              </w:rPr>
              <w:tab/>
            </w:r>
            <w:r w:rsidR="004F49F9" w:rsidRPr="000366E0">
              <w:rPr>
                <w:rStyle w:val="Hyperlink"/>
              </w:rPr>
              <w:t>Generic indoor surveillance radar</w:t>
            </w:r>
            <w:r w:rsidR="004F49F9">
              <w:rPr>
                <w:webHidden/>
              </w:rPr>
              <w:tab/>
            </w:r>
            <w:r w:rsidR="004F49F9">
              <w:rPr>
                <w:webHidden/>
              </w:rPr>
              <w:fldChar w:fldCharType="begin"/>
            </w:r>
            <w:r w:rsidR="004F49F9">
              <w:rPr>
                <w:webHidden/>
              </w:rPr>
              <w:instrText xml:space="preserve"> PAGEREF _Toc127346369 \h </w:instrText>
            </w:r>
            <w:r w:rsidR="004F49F9">
              <w:rPr>
                <w:webHidden/>
              </w:rPr>
            </w:r>
            <w:r w:rsidR="004F49F9">
              <w:rPr>
                <w:webHidden/>
              </w:rPr>
              <w:fldChar w:fldCharType="separate"/>
            </w:r>
            <w:r w:rsidR="003E544B">
              <w:rPr>
                <w:webHidden/>
              </w:rPr>
              <w:t>191</w:t>
            </w:r>
            <w:r w:rsidR="004F49F9">
              <w:rPr>
                <w:webHidden/>
              </w:rPr>
              <w:fldChar w:fldCharType="end"/>
            </w:r>
          </w:hyperlink>
        </w:p>
        <w:p w14:paraId="562124C2" w14:textId="732D4343" w:rsidR="004F49F9" w:rsidRDefault="00E55534">
          <w:pPr>
            <w:pStyle w:val="TOC3"/>
            <w:rPr>
              <w:rFonts w:asciiTheme="minorHAnsi" w:eastAsiaTheme="minorEastAsia" w:hAnsiTheme="minorHAnsi" w:cstheme="minorBidi"/>
              <w:sz w:val="22"/>
              <w:szCs w:val="22"/>
              <w:lang w:val="en-DK" w:eastAsia="en-DK"/>
            </w:rPr>
          </w:pPr>
          <w:hyperlink w:anchor="_Toc127346370" w:history="1">
            <w:r w:rsidR="004F49F9" w:rsidRPr="000366E0">
              <w:rPr>
                <w:rStyle w:val="Hyperlink"/>
              </w:rPr>
              <w:t>8.1.1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_Toc127346370 \h </w:instrText>
            </w:r>
            <w:r w:rsidR="004F49F9">
              <w:rPr>
                <w:webHidden/>
              </w:rPr>
            </w:r>
            <w:r w:rsidR="004F49F9">
              <w:rPr>
                <w:webHidden/>
              </w:rPr>
              <w:fldChar w:fldCharType="separate"/>
            </w:r>
            <w:r w:rsidR="003E544B">
              <w:rPr>
                <w:webHidden/>
              </w:rPr>
              <w:t>191</w:t>
            </w:r>
            <w:r w:rsidR="004F49F9">
              <w:rPr>
                <w:webHidden/>
              </w:rPr>
              <w:fldChar w:fldCharType="end"/>
            </w:r>
          </w:hyperlink>
        </w:p>
        <w:p w14:paraId="508C0257" w14:textId="309E8A0B" w:rsidR="004F49F9" w:rsidRDefault="00E55534">
          <w:pPr>
            <w:pStyle w:val="TOC3"/>
            <w:rPr>
              <w:rFonts w:asciiTheme="minorHAnsi" w:eastAsiaTheme="minorEastAsia" w:hAnsiTheme="minorHAnsi" w:cstheme="minorBidi"/>
              <w:sz w:val="22"/>
              <w:szCs w:val="22"/>
              <w:lang w:val="en-DK" w:eastAsia="en-DK"/>
            </w:rPr>
          </w:pPr>
          <w:hyperlink w:anchor="_Toc127346371" w:history="1">
            <w:r w:rsidR="004F49F9" w:rsidRPr="000366E0">
              <w:rPr>
                <w:rStyle w:val="Hyperlink"/>
              </w:rPr>
              <w:t>8.1.2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_Toc127346371 \h </w:instrText>
            </w:r>
            <w:r w:rsidR="004F49F9">
              <w:rPr>
                <w:webHidden/>
              </w:rPr>
            </w:r>
            <w:r w:rsidR="004F49F9">
              <w:rPr>
                <w:webHidden/>
              </w:rPr>
              <w:fldChar w:fldCharType="separate"/>
            </w:r>
            <w:r w:rsidR="003E544B">
              <w:rPr>
                <w:webHidden/>
              </w:rPr>
              <w:t>191</w:t>
            </w:r>
            <w:r w:rsidR="004F49F9">
              <w:rPr>
                <w:webHidden/>
              </w:rPr>
              <w:fldChar w:fldCharType="end"/>
            </w:r>
          </w:hyperlink>
        </w:p>
        <w:p w14:paraId="2642919C" w14:textId="412F2860" w:rsidR="004F49F9" w:rsidRDefault="00E55534">
          <w:pPr>
            <w:pStyle w:val="TOC3"/>
            <w:rPr>
              <w:rFonts w:asciiTheme="minorHAnsi" w:eastAsiaTheme="minorEastAsia" w:hAnsiTheme="minorHAnsi" w:cstheme="minorBidi"/>
              <w:sz w:val="22"/>
              <w:szCs w:val="22"/>
              <w:lang w:val="en-DK" w:eastAsia="en-DK"/>
            </w:rPr>
          </w:pPr>
          <w:hyperlink w:anchor="_Toc127346372" w:history="1">
            <w:r w:rsidR="004F49F9" w:rsidRPr="000366E0">
              <w:rPr>
                <w:rStyle w:val="Hyperlink"/>
              </w:rPr>
              <w:t>8.1.3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_Toc127346372 \h </w:instrText>
            </w:r>
            <w:r w:rsidR="004F49F9">
              <w:rPr>
                <w:webHidden/>
              </w:rPr>
            </w:r>
            <w:r w:rsidR="004F49F9">
              <w:rPr>
                <w:webHidden/>
              </w:rPr>
              <w:fldChar w:fldCharType="separate"/>
            </w:r>
            <w:r w:rsidR="003E544B">
              <w:rPr>
                <w:webHidden/>
              </w:rPr>
              <w:t>191</w:t>
            </w:r>
            <w:r w:rsidR="004F49F9">
              <w:rPr>
                <w:webHidden/>
              </w:rPr>
              <w:fldChar w:fldCharType="end"/>
            </w:r>
          </w:hyperlink>
        </w:p>
        <w:p w14:paraId="62D8C485" w14:textId="568EC620" w:rsidR="004F49F9" w:rsidRDefault="00E55534">
          <w:pPr>
            <w:pStyle w:val="TOC3"/>
            <w:rPr>
              <w:rFonts w:asciiTheme="minorHAnsi" w:eastAsiaTheme="minorEastAsia" w:hAnsiTheme="minorHAnsi" w:cstheme="minorBidi"/>
              <w:sz w:val="22"/>
              <w:szCs w:val="22"/>
              <w:lang w:val="en-DK" w:eastAsia="en-DK"/>
            </w:rPr>
          </w:pPr>
          <w:hyperlink w:anchor="_Toc127346373" w:history="1">
            <w:r w:rsidR="004F49F9" w:rsidRPr="000366E0">
              <w:rPr>
                <w:rStyle w:val="Hyperlink"/>
              </w:rPr>
              <w:t>8.1.4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_Toc127346373 \h </w:instrText>
            </w:r>
            <w:r w:rsidR="004F49F9">
              <w:rPr>
                <w:webHidden/>
              </w:rPr>
            </w:r>
            <w:r w:rsidR="004F49F9">
              <w:rPr>
                <w:webHidden/>
              </w:rPr>
              <w:fldChar w:fldCharType="separate"/>
            </w:r>
            <w:r w:rsidR="003E544B">
              <w:rPr>
                <w:webHidden/>
              </w:rPr>
              <w:t>192</w:t>
            </w:r>
            <w:r w:rsidR="004F49F9">
              <w:rPr>
                <w:webHidden/>
              </w:rPr>
              <w:fldChar w:fldCharType="end"/>
            </w:r>
          </w:hyperlink>
        </w:p>
        <w:p w14:paraId="30F7FAA8" w14:textId="274A2E09" w:rsidR="004F49F9" w:rsidRDefault="00E55534">
          <w:pPr>
            <w:pStyle w:val="TOC3"/>
            <w:rPr>
              <w:rFonts w:asciiTheme="minorHAnsi" w:eastAsiaTheme="minorEastAsia" w:hAnsiTheme="minorHAnsi" w:cstheme="minorBidi"/>
              <w:sz w:val="22"/>
              <w:szCs w:val="22"/>
              <w:lang w:val="en-DK" w:eastAsia="en-DK"/>
            </w:rPr>
          </w:pPr>
          <w:hyperlink w:anchor="_Toc127346374" w:history="1">
            <w:r w:rsidR="004F49F9" w:rsidRPr="000366E0">
              <w:rPr>
                <w:rStyle w:val="Hyperlink"/>
              </w:rPr>
              <w:t>8.1.5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_Toc127346374 \h </w:instrText>
            </w:r>
            <w:r w:rsidR="004F49F9">
              <w:rPr>
                <w:webHidden/>
              </w:rPr>
            </w:r>
            <w:r w:rsidR="004F49F9">
              <w:rPr>
                <w:webHidden/>
              </w:rPr>
              <w:fldChar w:fldCharType="separate"/>
            </w:r>
            <w:r w:rsidR="003E544B">
              <w:rPr>
                <w:webHidden/>
              </w:rPr>
              <w:t>192</w:t>
            </w:r>
            <w:r w:rsidR="004F49F9">
              <w:rPr>
                <w:webHidden/>
              </w:rPr>
              <w:fldChar w:fldCharType="end"/>
            </w:r>
          </w:hyperlink>
        </w:p>
        <w:p w14:paraId="3457DECA" w14:textId="74CCC4B8" w:rsidR="004F49F9" w:rsidRDefault="00E55534">
          <w:pPr>
            <w:pStyle w:val="TOC2"/>
            <w:rPr>
              <w:rFonts w:asciiTheme="minorHAnsi" w:eastAsiaTheme="minorEastAsia" w:hAnsiTheme="minorHAnsi" w:cstheme="minorBidi"/>
              <w:bCs w:val="0"/>
              <w:sz w:val="22"/>
              <w:szCs w:val="22"/>
              <w:lang w:val="en-DK" w:eastAsia="en-DK"/>
            </w:rPr>
          </w:pPr>
          <w:hyperlink w:anchor="_Toc127346375" w:history="1">
            <w:r w:rsidR="004F49F9" w:rsidRPr="000366E0">
              <w:rPr>
                <w:rStyle w:val="Hyperlink"/>
              </w:rPr>
              <w:t>8.2</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(RDI)</w:t>
            </w:r>
            <w:r w:rsidR="004F49F9">
              <w:rPr>
                <w:webHidden/>
              </w:rPr>
              <w:tab/>
            </w:r>
            <w:r w:rsidR="004F49F9">
              <w:rPr>
                <w:webHidden/>
              </w:rPr>
              <w:fldChar w:fldCharType="begin"/>
            </w:r>
            <w:r w:rsidR="004F49F9">
              <w:rPr>
                <w:webHidden/>
              </w:rPr>
              <w:instrText xml:space="preserve"> PAGEREF _Toc127346375 \h </w:instrText>
            </w:r>
            <w:r w:rsidR="004F49F9">
              <w:rPr>
                <w:webHidden/>
              </w:rPr>
            </w:r>
            <w:r w:rsidR="004F49F9">
              <w:rPr>
                <w:webHidden/>
              </w:rPr>
              <w:fldChar w:fldCharType="separate"/>
            </w:r>
            <w:r w:rsidR="003E544B">
              <w:rPr>
                <w:webHidden/>
              </w:rPr>
              <w:t>192</w:t>
            </w:r>
            <w:r w:rsidR="004F49F9">
              <w:rPr>
                <w:webHidden/>
              </w:rPr>
              <w:fldChar w:fldCharType="end"/>
            </w:r>
          </w:hyperlink>
        </w:p>
        <w:p w14:paraId="2A0ACA78" w14:textId="1A829B6B" w:rsidR="004F49F9" w:rsidRDefault="00E55534">
          <w:pPr>
            <w:pStyle w:val="TOC3"/>
            <w:rPr>
              <w:rFonts w:asciiTheme="minorHAnsi" w:eastAsiaTheme="minorEastAsia" w:hAnsiTheme="minorHAnsi" w:cstheme="minorBidi"/>
              <w:sz w:val="22"/>
              <w:szCs w:val="22"/>
              <w:lang w:val="en-DK" w:eastAsia="en-DK"/>
            </w:rPr>
          </w:pPr>
          <w:hyperlink w:anchor="_Toc127346376" w:history="1">
            <w:r w:rsidR="004F49F9" w:rsidRPr="000366E0">
              <w:rPr>
                <w:rStyle w:val="Hyperlink"/>
              </w:rPr>
              <w:t>8.2.1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_Toc127346376 \h </w:instrText>
            </w:r>
            <w:r w:rsidR="004F49F9">
              <w:rPr>
                <w:webHidden/>
              </w:rPr>
            </w:r>
            <w:r w:rsidR="004F49F9">
              <w:rPr>
                <w:webHidden/>
              </w:rPr>
              <w:fldChar w:fldCharType="separate"/>
            </w:r>
            <w:r w:rsidR="003E544B">
              <w:rPr>
                <w:webHidden/>
              </w:rPr>
              <w:t>192</w:t>
            </w:r>
            <w:r w:rsidR="004F49F9">
              <w:rPr>
                <w:webHidden/>
              </w:rPr>
              <w:fldChar w:fldCharType="end"/>
            </w:r>
          </w:hyperlink>
        </w:p>
        <w:p w14:paraId="7B062453" w14:textId="1D4D05E6" w:rsidR="004F49F9" w:rsidRDefault="00E55534">
          <w:pPr>
            <w:pStyle w:val="TOC3"/>
            <w:rPr>
              <w:rFonts w:asciiTheme="minorHAnsi" w:eastAsiaTheme="minorEastAsia" w:hAnsiTheme="minorHAnsi" w:cstheme="minorBidi"/>
              <w:sz w:val="22"/>
              <w:szCs w:val="22"/>
              <w:lang w:val="en-DK" w:eastAsia="en-DK"/>
            </w:rPr>
          </w:pPr>
          <w:hyperlink w:anchor="_Toc127346377" w:history="1">
            <w:r w:rsidR="004F49F9" w:rsidRPr="000366E0">
              <w:rPr>
                <w:rStyle w:val="Hyperlink"/>
              </w:rPr>
              <w:t>8.2.2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_Toc127346377 \h </w:instrText>
            </w:r>
            <w:r w:rsidR="004F49F9">
              <w:rPr>
                <w:webHidden/>
              </w:rPr>
            </w:r>
            <w:r w:rsidR="004F49F9">
              <w:rPr>
                <w:webHidden/>
              </w:rPr>
              <w:fldChar w:fldCharType="separate"/>
            </w:r>
            <w:r w:rsidR="003E544B">
              <w:rPr>
                <w:webHidden/>
              </w:rPr>
              <w:t>193</w:t>
            </w:r>
            <w:r w:rsidR="004F49F9">
              <w:rPr>
                <w:webHidden/>
              </w:rPr>
              <w:fldChar w:fldCharType="end"/>
            </w:r>
          </w:hyperlink>
        </w:p>
        <w:p w14:paraId="35AC6FFA" w14:textId="178B3040" w:rsidR="004F49F9" w:rsidRDefault="00E55534">
          <w:pPr>
            <w:pStyle w:val="TOC3"/>
            <w:rPr>
              <w:rFonts w:asciiTheme="minorHAnsi" w:eastAsiaTheme="minorEastAsia" w:hAnsiTheme="minorHAnsi" w:cstheme="minorBidi"/>
              <w:sz w:val="22"/>
              <w:szCs w:val="22"/>
              <w:lang w:val="en-DK" w:eastAsia="en-DK"/>
            </w:rPr>
          </w:pPr>
          <w:hyperlink w:anchor="_Toc127346378" w:history="1">
            <w:r w:rsidR="004F49F9" w:rsidRPr="000366E0">
              <w:rPr>
                <w:rStyle w:val="Hyperlink"/>
              </w:rPr>
              <w:t>8.2.3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_Toc127346378 \h </w:instrText>
            </w:r>
            <w:r w:rsidR="004F49F9">
              <w:rPr>
                <w:webHidden/>
              </w:rPr>
            </w:r>
            <w:r w:rsidR="004F49F9">
              <w:rPr>
                <w:webHidden/>
              </w:rPr>
              <w:fldChar w:fldCharType="separate"/>
            </w:r>
            <w:r w:rsidR="003E544B">
              <w:rPr>
                <w:webHidden/>
              </w:rPr>
              <w:t>193</w:t>
            </w:r>
            <w:r w:rsidR="004F49F9">
              <w:rPr>
                <w:webHidden/>
              </w:rPr>
              <w:fldChar w:fldCharType="end"/>
            </w:r>
          </w:hyperlink>
        </w:p>
        <w:p w14:paraId="33508BFC" w14:textId="50B9BA73" w:rsidR="004F49F9" w:rsidRDefault="00E55534">
          <w:pPr>
            <w:pStyle w:val="TOC3"/>
            <w:rPr>
              <w:rFonts w:asciiTheme="minorHAnsi" w:eastAsiaTheme="minorEastAsia" w:hAnsiTheme="minorHAnsi" w:cstheme="minorBidi"/>
              <w:sz w:val="22"/>
              <w:szCs w:val="22"/>
              <w:lang w:val="en-DK" w:eastAsia="en-DK"/>
            </w:rPr>
          </w:pPr>
          <w:hyperlink w:anchor="_Toc127346379" w:history="1">
            <w:r w:rsidR="004F49F9" w:rsidRPr="000366E0">
              <w:rPr>
                <w:rStyle w:val="Hyperlink"/>
              </w:rPr>
              <w:t>8.2.4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_Toc127346379 \h </w:instrText>
            </w:r>
            <w:r w:rsidR="004F49F9">
              <w:rPr>
                <w:webHidden/>
              </w:rPr>
            </w:r>
            <w:r w:rsidR="004F49F9">
              <w:rPr>
                <w:webHidden/>
              </w:rPr>
              <w:fldChar w:fldCharType="separate"/>
            </w:r>
            <w:r w:rsidR="003E544B">
              <w:rPr>
                <w:webHidden/>
              </w:rPr>
              <w:t>194</w:t>
            </w:r>
            <w:r w:rsidR="004F49F9">
              <w:rPr>
                <w:webHidden/>
              </w:rPr>
              <w:fldChar w:fldCharType="end"/>
            </w:r>
          </w:hyperlink>
        </w:p>
        <w:p w14:paraId="341704EF" w14:textId="30837F06" w:rsidR="004F49F9" w:rsidRDefault="00E55534">
          <w:pPr>
            <w:pStyle w:val="TOC3"/>
            <w:rPr>
              <w:rFonts w:asciiTheme="minorHAnsi" w:eastAsiaTheme="minorEastAsia" w:hAnsiTheme="minorHAnsi" w:cstheme="minorBidi"/>
              <w:sz w:val="22"/>
              <w:szCs w:val="22"/>
              <w:lang w:val="en-DK" w:eastAsia="en-DK"/>
            </w:rPr>
          </w:pPr>
          <w:hyperlink w:anchor="_Toc127346380" w:history="1">
            <w:r w:rsidR="004F49F9" w:rsidRPr="000366E0">
              <w:rPr>
                <w:rStyle w:val="Hyperlink"/>
              </w:rPr>
              <w:t>8.2.5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_Toc127346380 \h </w:instrText>
            </w:r>
            <w:r w:rsidR="004F49F9">
              <w:rPr>
                <w:webHidden/>
              </w:rPr>
            </w:r>
            <w:r w:rsidR="004F49F9">
              <w:rPr>
                <w:webHidden/>
              </w:rPr>
              <w:fldChar w:fldCharType="separate"/>
            </w:r>
            <w:r w:rsidR="003E544B">
              <w:rPr>
                <w:webHidden/>
              </w:rPr>
              <w:t>194</w:t>
            </w:r>
            <w:r w:rsidR="004F49F9">
              <w:rPr>
                <w:webHidden/>
              </w:rPr>
              <w:fldChar w:fldCharType="end"/>
            </w:r>
          </w:hyperlink>
        </w:p>
        <w:p w14:paraId="72251C1D" w14:textId="630D3F39" w:rsidR="004F49F9" w:rsidRDefault="00E55534">
          <w:pPr>
            <w:pStyle w:val="TOC2"/>
            <w:rPr>
              <w:rFonts w:asciiTheme="minorHAnsi" w:eastAsiaTheme="minorEastAsia" w:hAnsiTheme="minorHAnsi" w:cstheme="minorBidi"/>
              <w:bCs w:val="0"/>
              <w:sz w:val="22"/>
              <w:szCs w:val="22"/>
              <w:lang w:val="en-DK" w:eastAsia="en-DK"/>
            </w:rPr>
          </w:pPr>
          <w:hyperlink w:anchor="_Toc127346381" w:history="1">
            <w:r w:rsidR="004F49F9" w:rsidRPr="000366E0">
              <w:rPr>
                <w:rStyle w:val="Hyperlink"/>
              </w:rPr>
              <w:t>8.3</w:t>
            </w:r>
            <w:r w:rsidR="004F49F9">
              <w:rPr>
                <w:rFonts w:asciiTheme="minorHAnsi" w:eastAsiaTheme="minorEastAsia" w:hAnsiTheme="minorHAnsi" w:cstheme="minorBidi"/>
                <w:bCs w:val="0"/>
                <w:sz w:val="22"/>
                <w:szCs w:val="22"/>
                <w:lang w:val="en-DK" w:eastAsia="en-DK"/>
              </w:rPr>
              <w:tab/>
            </w:r>
            <w:r w:rsidR="004F49F9" w:rsidRPr="000366E0">
              <w:rPr>
                <w:rStyle w:val="Hyperlink"/>
              </w:rPr>
              <w:t>Short-range assist and surrounding monitoring for vehicles and autonomous systems</w:t>
            </w:r>
            <w:r w:rsidR="004F49F9">
              <w:rPr>
                <w:webHidden/>
              </w:rPr>
              <w:tab/>
            </w:r>
            <w:r w:rsidR="004F49F9">
              <w:rPr>
                <w:webHidden/>
              </w:rPr>
              <w:fldChar w:fldCharType="begin"/>
            </w:r>
            <w:r w:rsidR="004F49F9">
              <w:rPr>
                <w:webHidden/>
              </w:rPr>
              <w:instrText xml:space="preserve"> PAGEREF _Toc127346381 \h </w:instrText>
            </w:r>
            <w:r w:rsidR="004F49F9">
              <w:rPr>
                <w:webHidden/>
              </w:rPr>
            </w:r>
            <w:r w:rsidR="004F49F9">
              <w:rPr>
                <w:webHidden/>
              </w:rPr>
              <w:fldChar w:fldCharType="separate"/>
            </w:r>
            <w:r w:rsidR="003E544B">
              <w:rPr>
                <w:webHidden/>
              </w:rPr>
              <w:t>194</w:t>
            </w:r>
            <w:r w:rsidR="004F49F9">
              <w:rPr>
                <w:webHidden/>
              </w:rPr>
              <w:fldChar w:fldCharType="end"/>
            </w:r>
          </w:hyperlink>
        </w:p>
        <w:p w14:paraId="14B475D4" w14:textId="2ED63E72" w:rsidR="004F49F9" w:rsidRDefault="00E55534">
          <w:pPr>
            <w:pStyle w:val="TOC3"/>
            <w:rPr>
              <w:rFonts w:asciiTheme="minorHAnsi" w:eastAsiaTheme="minorEastAsia" w:hAnsiTheme="minorHAnsi" w:cstheme="minorBidi"/>
              <w:sz w:val="22"/>
              <w:szCs w:val="22"/>
              <w:lang w:val="en-DK" w:eastAsia="en-DK"/>
            </w:rPr>
          </w:pPr>
          <w:hyperlink w:anchor="_Toc127346382" w:history="1">
            <w:r w:rsidR="004F49F9" w:rsidRPr="000366E0">
              <w:rPr>
                <w:rStyle w:val="Hyperlink"/>
              </w:rPr>
              <w:t>8.3.1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_Toc127346382 \h </w:instrText>
            </w:r>
            <w:r w:rsidR="004F49F9">
              <w:rPr>
                <w:webHidden/>
              </w:rPr>
            </w:r>
            <w:r w:rsidR="004F49F9">
              <w:rPr>
                <w:webHidden/>
              </w:rPr>
              <w:fldChar w:fldCharType="separate"/>
            </w:r>
            <w:r w:rsidR="003E544B">
              <w:rPr>
                <w:webHidden/>
              </w:rPr>
              <w:t>194</w:t>
            </w:r>
            <w:r w:rsidR="004F49F9">
              <w:rPr>
                <w:webHidden/>
              </w:rPr>
              <w:fldChar w:fldCharType="end"/>
            </w:r>
          </w:hyperlink>
        </w:p>
        <w:p w14:paraId="6A191211" w14:textId="1587C8AD" w:rsidR="004F49F9" w:rsidRDefault="00E55534">
          <w:pPr>
            <w:pStyle w:val="TOC3"/>
            <w:rPr>
              <w:rFonts w:asciiTheme="minorHAnsi" w:eastAsiaTheme="minorEastAsia" w:hAnsiTheme="minorHAnsi" w:cstheme="minorBidi"/>
              <w:sz w:val="22"/>
              <w:szCs w:val="22"/>
              <w:lang w:val="en-DK" w:eastAsia="en-DK"/>
            </w:rPr>
          </w:pPr>
          <w:hyperlink w:anchor="_Toc127346383" w:history="1">
            <w:r w:rsidR="004F49F9" w:rsidRPr="000366E0">
              <w:rPr>
                <w:rStyle w:val="Hyperlink"/>
              </w:rPr>
              <w:t>8.3.2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_Toc127346383 \h </w:instrText>
            </w:r>
            <w:r w:rsidR="004F49F9">
              <w:rPr>
                <w:webHidden/>
              </w:rPr>
            </w:r>
            <w:r w:rsidR="004F49F9">
              <w:rPr>
                <w:webHidden/>
              </w:rPr>
              <w:fldChar w:fldCharType="separate"/>
            </w:r>
            <w:r w:rsidR="003E544B">
              <w:rPr>
                <w:webHidden/>
              </w:rPr>
              <w:t>194</w:t>
            </w:r>
            <w:r w:rsidR="004F49F9">
              <w:rPr>
                <w:webHidden/>
              </w:rPr>
              <w:fldChar w:fldCharType="end"/>
            </w:r>
          </w:hyperlink>
        </w:p>
        <w:p w14:paraId="5ED6FE06" w14:textId="11287535" w:rsidR="004F49F9" w:rsidRDefault="00E55534">
          <w:pPr>
            <w:pStyle w:val="TOC3"/>
            <w:rPr>
              <w:rFonts w:asciiTheme="minorHAnsi" w:eastAsiaTheme="minorEastAsia" w:hAnsiTheme="minorHAnsi" w:cstheme="minorBidi"/>
              <w:sz w:val="22"/>
              <w:szCs w:val="22"/>
              <w:lang w:val="en-DK" w:eastAsia="en-DK"/>
            </w:rPr>
          </w:pPr>
          <w:hyperlink w:anchor="_Toc127346384" w:history="1">
            <w:r w:rsidR="004F49F9" w:rsidRPr="000366E0">
              <w:rPr>
                <w:rStyle w:val="Hyperlink"/>
              </w:rPr>
              <w:t>8.3.3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_Toc127346384 \h </w:instrText>
            </w:r>
            <w:r w:rsidR="004F49F9">
              <w:rPr>
                <w:webHidden/>
              </w:rPr>
            </w:r>
            <w:r w:rsidR="004F49F9">
              <w:rPr>
                <w:webHidden/>
              </w:rPr>
              <w:fldChar w:fldCharType="separate"/>
            </w:r>
            <w:r w:rsidR="003E544B">
              <w:rPr>
                <w:webHidden/>
              </w:rPr>
              <w:t>195</w:t>
            </w:r>
            <w:r w:rsidR="004F49F9">
              <w:rPr>
                <w:webHidden/>
              </w:rPr>
              <w:fldChar w:fldCharType="end"/>
            </w:r>
          </w:hyperlink>
        </w:p>
        <w:p w14:paraId="78DC22F0" w14:textId="26AEEB61" w:rsidR="004F49F9" w:rsidRDefault="00E55534">
          <w:pPr>
            <w:pStyle w:val="TOC3"/>
            <w:rPr>
              <w:rFonts w:asciiTheme="minorHAnsi" w:eastAsiaTheme="minorEastAsia" w:hAnsiTheme="minorHAnsi" w:cstheme="minorBidi"/>
              <w:sz w:val="22"/>
              <w:szCs w:val="22"/>
              <w:lang w:val="en-DK" w:eastAsia="en-DK"/>
            </w:rPr>
          </w:pPr>
          <w:hyperlink w:anchor="_Toc127346385" w:history="1">
            <w:r w:rsidR="004F49F9" w:rsidRPr="000366E0">
              <w:rPr>
                <w:rStyle w:val="Hyperlink"/>
              </w:rPr>
              <w:t>8.3.4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_Toc127346385 \h </w:instrText>
            </w:r>
            <w:r w:rsidR="004F49F9">
              <w:rPr>
                <w:webHidden/>
              </w:rPr>
            </w:r>
            <w:r w:rsidR="004F49F9">
              <w:rPr>
                <w:webHidden/>
              </w:rPr>
              <w:fldChar w:fldCharType="separate"/>
            </w:r>
            <w:r w:rsidR="003E544B">
              <w:rPr>
                <w:webHidden/>
              </w:rPr>
              <w:t>195</w:t>
            </w:r>
            <w:r w:rsidR="004F49F9">
              <w:rPr>
                <w:webHidden/>
              </w:rPr>
              <w:fldChar w:fldCharType="end"/>
            </w:r>
          </w:hyperlink>
        </w:p>
        <w:p w14:paraId="30354D92" w14:textId="5AE0DE14" w:rsidR="004F49F9" w:rsidRDefault="00E55534">
          <w:pPr>
            <w:pStyle w:val="TOC3"/>
            <w:rPr>
              <w:rFonts w:asciiTheme="minorHAnsi" w:eastAsiaTheme="minorEastAsia" w:hAnsiTheme="minorHAnsi" w:cstheme="minorBidi"/>
              <w:sz w:val="22"/>
              <w:szCs w:val="22"/>
              <w:lang w:val="en-DK" w:eastAsia="en-DK"/>
            </w:rPr>
          </w:pPr>
          <w:hyperlink w:anchor="_Toc127346386" w:history="1">
            <w:r w:rsidR="004F49F9" w:rsidRPr="000366E0">
              <w:rPr>
                <w:rStyle w:val="Hyperlink"/>
              </w:rPr>
              <w:t>8.3.5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_Toc127346386 \h </w:instrText>
            </w:r>
            <w:r w:rsidR="004F49F9">
              <w:rPr>
                <w:webHidden/>
              </w:rPr>
            </w:r>
            <w:r w:rsidR="004F49F9">
              <w:rPr>
                <w:webHidden/>
              </w:rPr>
              <w:fldChar w:fldCharType="separate"/>
            </w:r>
            <w:r w:rsidR="003E544B">
              <w:rPr>
                <w:webHidden/>
              </w:rPr>
              <w:t>195</w:t>
            </w:r>
            <w:r w:rsidR="004F49F9">
              <w:rPr>
                <w:webHidden/>
              </w:rPr>
              <w:fldChar w:fldCharType="end"/>
            </w:r>
          </w:hyperlink>
        </w:p>
        <w:p w14:paraId="07EDA199" w14:textId="49D647FB" w:rsidR="004F49F9" w:rsidRDefault="00E55534">
          <w:pPr>
            <w:pStyle w:val="TOC2"/>
            <w:rPr>
              <w:rFonts w:asciiTheme="minorHAnsi" w:eastAsiaTheme="minorEastAsia" w:hAnsiTheme="minorHAnsi" w:cstheme="minorBidi"/>
              <w:bCs w:val="0"/>
              <w:sz w:val="22"/>
              <w:szCs w:val="22"/>
              <w:lang w:val="en-DK" w:eastAsia="en-DK"/>
            </w:rPr>
          </w:pPr>
          <w:hyperlink w:anchor="_Toc127346387" w:history="1">
            <w:r w:rsidR="004F49F9" w:rsidRPr="000366E0">
              <w:rPr>
                <w:rStyle w:val="Hyperlink"/>
              </w:rPr>
              <w:t>8.4</w:t>
            </w:r>
            <w:r w:rsidR="004F49F9">
              <w:rPr>
                <w:rFonts w:asciiTheme="minorHAnsi" w:eastAsiaTheme="minorEastAsia" w:hAnsiTheme="minorHAnsi" w:cstheme="minorBidi"/>
                <w:bCs w:val="0"/>
                <w:sz w:val="22"/>
                <w:szCs w:val="22"/>
                <w:lang w:val="en-DK" w:eastAsia="en-DK"/>
              </w:rPr>
              <w:tab/>
            </w:r>
            <w:r w:rsidR="004F49F9" w:rsidRPr="000366E0">
              <w:rPr>
                <w:rStyle w:val="Hyperlink"/>
              </w:rPr>
              <w:t>Ground Based Synthetic Aperture Radar (GBSAR)</w:t>
            </w:r>
            <w:r w:rsidR="004F49F9">
              <w:rPr>
                <w:webHidden/>
              </w:rPr>
              <w:tab/>
            </w:r>
            <w:r w:rsidR="004F49F9">
              <w:rPr>
                <w:webHidden/>
              </w:rPr>
              <w:fldChar w:fldCharType="begin"/>
            </w:r>
            <w:r w:rsidR="004F49F9">
              <w:rPr>
                <w:webHidden/>
              </w:rPr>
              <w:instrText xml:space="preserve"> PAGEREF _Toc127346387 \h </w:instrText>
            </w:r>
            <w:r w:rsidR="004F49F9">
              <w:rPr>
                <w:webHidden/>
              </w:rPr>
            </w:r>
            <w:r w:rsidR="004F49F9">
              <w:rPr>
                <w:webHidden/>
              </w:rPr>
              <w:fldChar w:fldCharType="separate"/>
            </w:r>
            <w:r w:rsidR="003E544B">
              <w:rPr>
                <w:webHidden/>
              </w:rPr>
              <w:t>195</w:t>
            </w:r>
            <w:r w:rsidR="004F49F9">
              <w:rPr>
                <w:webHidden/>
              </w:rPr>
              <w:fldChar w:fldCharType="end"/>
            </w:r>
          </w:hyperlink>
        </w:p>
        <w:p w14:paraId="425D2FF7" w14:textId="1FF7A35F" w:rsidR="004F49F9" w:rsidRDefault="00E55534">
          <w:pPr>
            <w:pStyle w:val="TOC3"/>
            <w:rPr>
              <w:rFonts w:asciiTheme="minorHAnsi" w:eastAsiaTheme="minorEastAsia" w:hAnsiTheme="minorHAnsi" w:cstheme="minorBidi"/>
              <w:sz w:val="22"/>
              <w:szCs w:val="22"/>
              <w:lang w:val="en-DK" w:eastAsia="en-DK"/>
            </w:rPr>
          </w:pPr>
          <w:hyperlink w:anchor="_Toc127346388" w:history="1">
            <w:r w:rsidR="004F49F9" w:rsidRPr="000366E0">
              <w:rPr>
                <w:rStyle w:val="Hyperlink"/>
              </w:rPr>
              <w:t>8.4.1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_Toc127346388 \h </w:instrText>
            </w:r>
            <w:r w:rsidR="004F49F9">
              <w:rPr>
                <w:webHidden/>
              </w:rPr>
            </w:r>
            <w:r w:rsidR="004F49F9">
              <w:rPr>
                <w:webHidden/>
              </w:rPr>
              <w:fldChar w:fldCharType="separate"/>
            </w:r>
            <w:r w:rsidR="003E544B">
              <w:rPr>
                <w:webHidden/>
              </w:rPr>
              <w:t>195</w:t>
            </w:r>
            <w:r w:rsidR="004F49F9">
              <w:rPr>
                <w:webHidden/>
              </w:rPr>
              <w:fldChar w:fldCharType="end"/>
            </w:r>
          </w:hyperlink>
        </w:p>
        <w:p w14:paraId="0C05F837" w14:textId="7CFC4C6C" w:rsidR="004F49F9" w:rsidRDefault="00E55534">
          <w:pPr>
            <w:pStyle w:val="TOC3"/>
            <w:rPr>
              <w:rFonts w:asciiTheme="minorHAnsi" w:eastAsiaTheme="minorEastAsia" w:hAnsiTheme="minorHAnsi" w:cstheme="minorBidi"/>
              <w:sz w:val="22"/>
              <w:szCs w:val="22"/>
              <w:lang w:val="en-DK" w:eastAsia="en-DK"/>
            </w:rPr>
          </w:pPr>
          <w:hyperlink w:anchor="_Toc127346389" w:history="1">
            <w:r w:rsidR="004F49F9" w:rsidRPr="000366E0">
              <w:rPr>
                <w:rStyle w:val="Hyperlink"/>
              </w:rPr>
              <w:t>8.4.2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_Toc127346389 \h </w:instrText>
            </w:r>
            <w:r w:rsidR="004F49F9">
              <w:rPr>
                <w:webHidden/>
              </w:rPr>
            </w:r>
            <w:r w:rsidR="004F49F9">
              <w:rPr>
                <w:webHidden/>
              </w:rPr>
              <w:fldChar w:fldCharType="separate"/>
            </w:r>
            <w:r w:rsidR="003E544B">
              <w:rPr>
                <w:webHidden/>
              </w:rPr>
              <w:t>195</w:t>
            </w:r>
            <w:r w:rsidR="004F49F9">
              <w:rPr>
                <w:webHidden/>
              </w:rPr>
              <w:fldChar w:fldCharType="end"/>
            </w:r>
          </w:hyperlink>
        </w:p>
        <w:p w14:paraId="5C101585" w14:textId="65EAC227" w:rsidR="004F49F9" w:rsidRDefault="00E55534">
          <w:pPr>
            <w:pStyle w:val="TOC3"/>
            <w:rPr>
              <w:rFonts w:asciiTheme="minorHAnsi" w:eastAsiaTheme="minorEastAsia" w:hAnsiTheme="minorHAnsi" w:cstheme="minorBidi"/>
              <w:sz w:val="22"/>
              <w:szCs w:val="22"/>
              <w:lang w:val="en-DK" w:eastAsia="en-DK"/>
            </w:rPr>
          </w:pPr>
          <w:hyperlink w:anchor="_Toc127346390" w:history="1">
            <w:r w:rsidR="004F49F9" w:rsidRPr="000366E0">
              <w:rPr>
                <w:rStyle w:val="Hyperlink"/>
              </w:rPr>
              <w:t>8.4.3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_Toc127346390 \h </w:instrText>
            </w:r>
            <w:r w:rsidR="004F49F9">
              <w:rPr>
                <w:webHidden/>
              </w:rPr>
            </w:r>
            <w:r w:rsidR="004F49F9">
              <w:rPr>
                <w:webHidden/>
              </w:rPr>
              <w:fldChar w:fldCharType="separate"/>
            </w:r>
            <w:r w:rsidR="003E544B">
              <w:rPr>
                <w:webHidden/>
              </w:rPr>
              <w:t>195</w:t>
            </w:r>
            <w:r w:rsidR="004F49F9">
              <w:rPr>
                <w:webHidden/>
              </w:rPr>
              <w:fldChar w:fldCharType="end"/>
            </w:r>
          </w:hyperlink>
        </w:p>
        <w:p w14:paraId="70166A5A" w14:textId="509E630C" w:rsidR="004F49F9" w:rsidRDefault="00E55534">
          <w:pPr>
            <w:pStyle w:val="TOC3"/>
            <w:rPr>
              <w:rFonts w:asciiTheme="minorHAnsi" w:eastAsiaTheme="minorEastAsia" w:hAnsiTheme="minorHAnsi" w:cstheme="minorBidi"/>
              <w:sz w:val="22"/>
              <w:szCs w:val="22"/>
              <w:lang w:val="en-DK" w:eastAsia="en-DK"/>
            </w:rPr>
          </w:pPr>
          <w:hyperlink w:anchor="_Toc127346391" w:history="1">
            <w:r w:rsidR="004F49F9" w:rsidRPr="000366E0">
              <w:rPr>
                <w:rStyle w:val="Hyperlink"/>
              </w:rPr>
              <w:t>8.4.4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_Toc127346391 \h </w:instrText>
            </w:r>
            <w:r w:rsidR="004F49F9">
              <w:rPr>
                <w:webHidden/>
              </w:rPr>
            </w:r>
            <w:r w:rsidR="004F49F9">
              <w:rPr>
                <w:webHidden/>
              </w:rPr>
              <w:fldChar w:fldCharType="separate"/>
            </w:r>
            <w:r w:rsidR="003E544B">
              <w:rPr>
                <w:webHidden/>
              </w:rPr>
              <w:t>196</w:t>
            </w:r>
            <w:r w:rsidR="004F49F9">
              <w:rPr>
                <w:webHidden/>
              </w:rPr>
              <w:fldChar w:fldCharType="end"/>
            </w:r>
          </w:hyperlink>
        </w:p>
        <w:p w14:paraId="26FAF323" w14:textId="34947E2A" w:rsidR="004F49F9" w:rsidRDefault="00E55534">
          <w:pPr>
            <w:pStyle w:val="TOC3"/>
            <w:rPr>
              <w:rFonts w:asciiTheme="minorHAnsi" w:eastAsiaTheme="minorEastAsia" w:hAnsiTheme="minorHAnsi" w:cstheme="minorBidi"/>
              <w:sz w:val="22"/>
              <w:szCs w:val="22"/>
              <w:lang w:val="en-DK" w:eastAsia="en-DK"/>
            </w:rPr>
          </w:pPr>
          <w:hyperlink w:anchor="_Toc127346392" w:history="1">
            <w:r w:rsidR="004F49F9" w:rsidRPr="000366E0">
              <w:rPr>
                <w:rStyle w:val="Hyperlink"/>
              </w:rPr>
              <w:t>8.4.5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_Toc127346392 \h </w:instrText>
            </w:r>
            <w:r w:rsidR="004F49F9">
              <w:rPr>
                <w:webHidden/>
              </w:rPr>
            </w:r>
            <w:r w:rsidR="004F49F9">
              <w:rPr>
                <w:webHidden/>
              </w:rPr>
              <w:fldChar w:fldCharType="separate"/>
            </w:r>
            <w:r w:rsidR="003E544B">
              <w:rPr>
                <w:webHidden/>
              </w:rPr>
              <w:t>196</w:t>
            </w:r>
            <w:r w:rsidR="004F49F9">
              <w:rPr>
                <w:webHidden/>
              </w:rPr>
              <w:fldChar w:fldCharType="end"/>
            </w:r>
          </w:hyperlink>
        </w:p>
        <w:p w14:paraId="044E43AF" w14:textId="34DDA738" w:rsidR="004F49F9" w:rsidRDefault="00E55534">
          <w:pPr>
            <w:pStyle w:val="TOC2"/>
            <w:rPr>
              <w:rFonts w:asciiTheme="minorHAnsi" w:eastAsiaTheme="minorEastAsia" w:hAnsiTheme="minorHAnsi" w:cstheme="minorBidi"/>
              <w:bCs w:val="0"/>
              <w:sz w:val="22"/>
              <w:szCs w:val="22"/>
              <w:lang w:val="en-DK" w:eastAsia="en-DK"/>
            </w:rPr>
          </w:pPr>
          <w:hyperlink w:anchor="_Toc127346393" w:history="1">
            <w:r w:rsidR="004F49F9" w:rsidRPr="000366E0">
              <w:rPr>
                <w:rStyle w:val="Hyperlink"/>
              </w:rPr>
              <w:t>8.5</w:t>
            </w:r>
            <w:r w:rsidR="004F49F9">
              <w:rPr>
                <w:rFonts w:asciiTheme="minorHAnsi" w:eastAsiaTheme="minorEastAsia" w:hAnsiTheme="minorHAnsi" w:cstheme="minorBidi"/>
                <w:bCs w:val="0"/>
                <w:sz w:val="22"/>
                <w:szCs w:val="22"/>
                <w:lang w:val="en-DK" w:eastAsia="en-DK"/>
              </w:rPr>
              <w:tab/>
            </w:r>
            <w:r w:rsidR="004F49F9" w:rsidRPr="000366E0">
              <w:rPr>
                <w:rStyle w:val="Hyperlink"/>
              </w:rPr>
              <w:t>Level probing radar (LPR)</w:t>
            </w:r>
            <w:r w:rsidR="004F49F9">
              <w:rPr>
                <w:webHidden/>
              </w:rPr>
              <w:tab/>
            </w:r>
            <w:r w:rsidR="004F49F9">
              <w:rPr>
                <w:webHidden/>
              </w:rPr>
              <w:fldChar w:fldCharType="begin"/>
            </w:r>
            <w:r w:rsidR="004F49F9">
              <w:rPr>
                <w:webHidden/>
              </w:rPr>
              <w:instrText xml:space="preserve"> PAGEREF _Toc127346393 \h </w:instrText>
            </w:r>
            <w:r w:rsidR="004F49F9">
              <w:rPr>
                <w:webHidden/>
              </w:rPr>
            </w:r>
            <w:r w:rsidR="004F49F9">
              <w:rPr>
                <w:webHidden/>
              </w:rPr>
              <w:fldChar w:fldCharType="separate"/>
            </w:r>
            <w:r w:rsidR="003E544B">
              <w:rPr>
                <w:webHidden/>
              </w:rPr>
              <w:t>196</w:t>
            </w:r>
            <w:r w:rsidR="004F49F9">
              <w:rPr>
                <w:webHidden/>
              </w:rPr>
              <w:fldChar w:fldCharType="end"/>
            </w:r>
          </w:hyperlink>
        </w:p>
        <w:p w14:paraId="49874C5E" w14:textId="57BD0878" w:rsidR="004F49F9" w:rsidRDefault="00E55534">
          <w:pPr>
            <w:pStyle w:val="TOC3"/>
            <w:rPr>
              <w:rFonts w:asciiTheme="minorHAnsi" w:eastAsiaTheme="minorEastAsia" w:hAnsiTheme="minorHAnsi" w:cstheme="minorBidi"/>
              <w:sz w:val="22"/>
              <w:szCs w:val="22"/>
              <w:lang w:val="en-DK" w:eastAsia="en-DK"/>
            </w:rPr>
          </w:pPr>
          <w:hyperlink w:anchor="_Toc127346394" w:history="1">
            <w:r w:rsidR="004F49F9" w:rsidRPr="000366E0">
              <w:rPr>
                <w:rStyle w:val="Hyperlink"/>
              </w:rPr>
              <w:t>8.5.1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_Toc127346394 \h </w:instrText>
            </w:r>
            <w:r w:rsidR="004F49F9">
              <w:rPr>
                <w:webHidden/>
              </w:rPr>
            </w:r>
            <w:r w:rsidR="004F49F9">
              <w:rPr>
                <w:webHidden/>
              </w:rPr>
              <w:fldChar w:fldCharType="separate"/>
            </w:r>
            <w:r w:rsidR="003E544B">
              <w:rPr>
                <w:webHidden/>
              </w:rPr>
              <w:t>196</w:t>
            </w:r>
            <w:r w:rsidR="004F49F9">
              <w:rPr>
                <w:webHidden/>
              </w:rPr>
              <w:fldChar w:fldCharType="end"/>
            </w:r>
          </w:hyperlink>
        </w:p>
        <w:p w14:paraId="66898A0A" w14:textId="768F36F9" w:rsidR="004F49F9" w:rsidRDefault="00E55534">
          <w:pPr>
            <w:pStyle w:val="TOC3"/>
            <w:rPr>
              <w:rFonts w:asciiTheme="minorHAnsi" w:eastAsiaTheme="minorEastAsia" w:hAnsiTheme="minorHAnsi" w:cstheme="minorBidi"/>
              <w:sz w:val="22"/>
              <w:szCs w:val="22"/>
              <w:lang w:val="en-DK" w:eastAsia="en-DK"/>
            </w:rPr>
          </w:pPr>
          <w:hyperlink w:anchor="_Toc127346395" w:history="1">
            <w:r w:rsidR="004F49F9" w:rsidRPr="000366E0">
              <w:rPr>
                <w:rStyle w:val="Hyperlink"/>
              </w:rPr>
              <w:t>8.5.2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_Toc127346395 \h </w:instrText>
            </w:r>
            <w:r w:rsidR="004F49F9">
              <w:rPr>
                <w:webHidden/>
              </w:rPr>
            </w:r>
            <w:r w:rsidR="004F49F9">
              <w:rPr>
                <w:webHidden/>
              </w:rPr>
              <w:fldChar w:fldCharType="separate"/>
            </w:r>
            <w:r w:rsidR="003E544B">
              <w:rPr>
                <w:webHidden/>
              </w:rPr>
              <w:t>196</w:t>
            </w:r>
            <w:r w:rsidR="004F49F9">
              <w:rPr>
                <w:webHidden/>
              </w:rPr>
              <w:fldChar w:fldCharType="end"/>
            </w:r>
          </w:hyperlink>
        </w:p>
        <w:p w14:paraId="45817DF2" w14:textId="0C32C276" w:rsidR="004F49F9" w:rsidRDefault="00E55534">
          <w:pPr>
            <w:pStyle w:val="TOC3"/>
            <w:rPr>
              <w:rFonts w:asciiTheme="minorHAnsi" w:eastAsiaTheme="minorEastAsia" w:hAnsiTheme="minorHAnsi" w:cstheme="minorBidi"/>
              <w:sz w:val="22"/>
              <w:szCs w:val="22"/>
              <w:lang w:val="en-DK" w:eastAsia="en-DK"/>
            </w:rPr>
          </w:pPr>
          <w:hyperlink w:anchor="_Toc127346396" w:history="1">
            <w:r w:rsidR="004F49F9" w:rsidRPr="000366E0">
              <w:rPr>
                <w:rStyle w:val="Hyperlink"/>
              </w:rPr>
              <w:t>8.5.3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_Toc127346396 \h </w:instrText>
            </w:r>
            <w:r w:rsidR="004F49F9">
              <w:rPr>
                <w:webHidden/>
              </w:rPr>
            </w:r>
            <w:r w:rsidR="004F49F9">
              <w:rPr>
                <w:webHidden/>
              </w:rPr>
              <w:fldChar w:fldCharType="separate"/>
            </w:r>
            <w:r w:rsidR="003E544B">
              <w:rPr>
                <w:webHidden/>
              </w:rPr>
              <w:t>197</w:t>
            </w:r>
            <w:r w:rsidR="004F49F9">
              <w:rPr>
                <w:webHidden/>
              </w:rPr>
              <w:fldChar w:fldCharType="end"/>
            </w:r>
          </w:hyperlink>
        </w:p>
        <w:p w14:paraId="13C97E5D" w14:textId="41C6F905" w:rsidR="004F49F9" w:rsidRDefault="00E55534">
          <w:pPr>
            <w:pStyle w:val="TOC3"/>
            <w:rPr>
              <w:rFonts w:asciiTheme="minorHAnsi" w:eastAsiaTheme="minorEastAsia" w:hAnsiTheme="minorHAnsi" w:cstheme="minorBidi"/>
              <w:sz w:val="22"/>
              <w:szCs w:val="22"/>
              <w:lang w:val="en-DK" w:eastAsia="en-DK"/>
            </w:rPr>
          </w:pPr>
          <w:hyperlink w:anchor="_Toc127346397" w:history="1">
            <w:r w:rsidR="004F49F9" w:rsidRPr="000366E0">
              <w:rPr>
                <w:rStyle w:val="Hyperlink"/>
              </w:rPr>
              <w:t>8.5.4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_Toc127346397 \h </w:instrText>
            </w:r>
            <w:r w:rsidR="004F49F9">
              <w:rPr>
                <w:webHidden/>
              </w:rPr>
            </w:r>
            <w:r w:rsidR="004F49F9">
              <w:rPr>
                <w:webHidden/>
              </w:rPr>
              <w:fldChar w:fldCharType="separate"/>
            </w:r>
            <w:r w:rsidR="003E544B">
              <w:rPr>
                <w:webHidden/>
              </w:rPr>
              <w:t>197</w:t>
            </w:r>
            <w:r w:rsidR="004F49F9">
              <w:rPr>
                <w:webHidden/>
              </w:rPr>
              <w:fldChar w:fldCharType="end"/>
            </w:r>
          </w:hyperlink>
        </w:p>
        <w:p w14:paraId="34017A45" w14:textId="4864B77A" w:rsidR="004F49F9" w:rsidRDefault="00E55534">
          <w:pPr>
            <w:pStyle w:val="TOC3"/>
            <w:rPr>
              <w:rFonts w:asciiTheme="minorHAnsi" w:eastAsiaTheme="minorEastAsia" w:hAnsiTheme="minorHAnsi" w:cstheme="minorBidi"/>
              <w:sz w:val="22"/>
              <w:szCs w:val="22"/>
              <w:lang w:val="en-DK" w:eastAsia="en-DK"/>
            </w:rPr>
          </w:pPr>
          <w:hyperlink w:anchor="_Toc127346398" w:history="1">
            <w:r w:rsidR="004F49F9" w:rsidRPr="000366E0">
              <w:rPr>
                <w:rStyle w:val="Hyperlink"/>
              </w:rPr>
              <w:t>8.5.5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_Toc127346398 \h </w:instrText>
            </w:r>
            <w:r w:rsidR="004F49F9">
              <w:rPr>
                <w:webHidden/>
              </w:rPr>
            </w:r>
            <w:r w:rsidR="004F49F9">
              <w:rPr>
                <w:webHidden/>
              </w:rPr>
              <w:fldChar w:fldCharType="separate"/>
            </w:r>
            <w:r w:rsidR="003E544B">
              <w:rPr>
                <w:webHidden/>
              </w:rPr>
              <w:t>197</w:t>
            </w:r>
            <w:r w:rsidR="004F49F9">
              <w:rPr>
                <w:webHidden/>
              </w:rPr>
              <w:fldChar w:fldCharType="end"/>
            </w:r>
          </w:hyperlink>
        </w:p>
        <w:p w14:paraId="37BC83A8" w14:textId="4DF392B5" w:rsidR="004F49F9" w:rsidRDefault="00E55534">
          <w:pPr>
            <w:pStyle w:val="TOC2"/>
            <w:rPr>
              <w:rFonts w:asciiTheme="minorHAnsi" w:eastAsiaTheme="minorEastAsia" w:hAnsiTheme="minorHAnsi" w:cstheme="minorBidi"/>
              <w:bCs w:val="0"/>
              <w:sz w:val="22"/>
              <w:szCs w:val="22"/>
              <w:lang w:val="en-DK" w:eastAsia="en-DK"/>
            </w:rPr>
          </w:pPr>
          <w:hyperlink w:anchor="_Toc127346399" w:history="1">
            <w:r w:rsidR="004F49F9" w:rsidRPr="000366E0">
              <w:rPr>
                <w:rStyle w:val="Hyperlink"/>
              </w:rPr>
              <w:t>8.6</w:t>
            </w:r>
            <w:r w:rsidR="004F49F9">
              <w:rPr>
                <w:rFonts w:asciiTheme="minorHAnsi" w:eastAsiaTheme="minorEastAsia" w:hAnsiTheme="minorHAnsi" w:cstheme="minorBidi"/>
                <w:bCs w:val="0"/>
                <w:sz w:val="22"/>
                <w:szCs w:val="22"/>
                <w:lang w:val="en-DK" w:eastAsia="en-DK"/>
              </w:rPr>
              <w:tab/>
            </w:r>
            <w:r w:rsidR="004F49F9" w:rsidRPr="000366E0">
              <w:rPr>
                <w:rStyle w:val="Hyperlink"/>
              </w:rPr>
              <w:t>Contour determination and acquisition (CDR)</w:t>
            </w:r>
            <w:r w:rsidR="004F49F9">
              <w:rPr>
                <w:webHidden/>
              </w:rPr>
              <w:tab/>
            </w:r>
            <w:r w:rsidR="004F49F9">
              <w:rPr>
                <w:webHidden/>
              </w:rPr>
              <w:fldChar w:fldCharType="begin"/>
            </w:r>
            <w:r w:rsidR="004F49F9">
              <w:rPr>
                <w:webHidden/>
              </w:rPr>
              <w:instrText xml:space="preserve"> PAGEREF _Toc127346399 \h </w:instrText>
            </w:r>
            <w:r w:rsidR="004F49F9">
              <w:rPr>
                <w:webHidden/>
              </w:rPr>
            </w:r>
            <w:r w:rsidR="004F49F9">
              <w:rPr>
                <w:webHidden/>
              </w:rPr>
              <w:fldChar w:fldCharType="separate"/>
            </w:r>
            <w:r w:rsidR="003E544B">
              <w:rPr>
                <w:webHidden/>
              </w:rPr>
              <w:t>197</w:t>
            </w:r>
            <w:r w:rsidR="004F49F9">
              <w:rPr>
                <w:webHidden/>
              </w:rPr>
              <w:fldChar w:fldCharType="end"/>
            </w:r>
          </w:hyperlink>
        </w:p>
        <w:p w14:paraId="56138EA9" w14:textId="5BFFF764" w:rsidR="004F49F9" w:rsidRDefault="00E55534">
          <w:pPr>
            <w:pStyle w:val="TOC3"/>
            <w:rPr>
              <w:rFonts w:asciiTheme="minorHAnsi" w:eastAsiaTheme="minorEastAsia" w:hAnsiTheme="minorHAnsi" w:cstheme="minorBidi"/>
              <w:sz w:val="22"/>
              <w:szCs w:val="22"/>
              <w:lang w:val="en-DK" w:eastAsia="en-DK"/>
            </w:rPr>
          </w:pPr>
          <w:hyperlink w:anchor="_Toc127346400" w:history="1">
            <w:r w:rsidR="004F49F9" w:rsidRPr="000366E0">
              <w:rPr>
                <w:rStyle w:val="Hyperlink"/>
              </w:rPr>
              <w:t>8.6.1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_Toc127346400 \h </w:instrText>
            </w:r>
            <w:r w:rsidR="004F49F9">
              <w:rPr>
                <w:webHidden/>
              </w:rPr>
            </w:r>
            <w:r w:rsidR="004F49F9">
              <w:rPr>
                <w:webHidden/>
              </w:rPr>
              <w:fldChar w:fldCharType="separate"/>
            </w:r>
            <w:r w:rsidR="003E544B">
              <w:rPr>
                <w:webHidden/>
              </w:rPr>
              <w:t>197</w:t>
            </w:r>
            <w:r w:rsidR="004F49F9">
              <w:rPr>
                <w:webHidden/>
              </w:rPr>
              <w:fldChar w:fldCharType="end"/>
            </w:r>
          </w:hyperlink>
        </w:p>
        <w:p w14:paraId="4754BFF0" w14:textId="1589E1D0" w:rsidR="004F49F9" w:rsidRDefault="00E55534">
          <w:pPr>
            <w:pStyle w:val="TOC3"/>
            <w:rPr>
              <w:rFonts w:asciiTheme="minorHAnsi" w:eastAsiaTheme="minorEastAsia" w:hAnsiTheme="minorHAnsi" w:cstheme="minorBidi"/>
              <w:sz w:val="22"/>
              <w:szCs w:val="22"/>
              <w:lang w:val="en-DK" w:eastAsia="en-DK"/>
            </w:rPr>
          </w:pPr>
          <w:hyperlink w:anchor="_Toc127346401" w:history="1">
            <w:r w:rsidR="004F49F9" w:rsidRPr="000366E0">
              <w:rPr>
                <w:rStyle w:val="Hyperlink"/>
              </w:rPr>
              <w:t>8.6.2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_Toc127346401 \h </w:instrText>
            </w:r>
            <w:r w:rsidR="004F49F9">
              <w:rPr>
                <w:webHidden/>
              </w:rPr>
            </w:r>
            <w:r w:rsidR="004F49F9">
              <w:rPr>
                <w:webHidden/>
              </w:rPr>
              <w:fldChar w:fldCharType="separate"/>
            </w:r>
            <w:r w:rsidR="003E544B">
              <w:rPr>
                <w:webHidden/>
              </w:rPr>
              <w:t>198</w:t>
            </w:r>
            <w:r w:rsidR="004F49F9">
              <w:rPr>
                <w:webHidden/>
              </w:rPr>
              <w:fldChar w:fldCharType="end"/>
            </w:r>
          </w:hyperlink>
        </w:p>
        <w:p w14:paraId="19542C29" w14:textId="1037C027" w:rsidR="004F49F9" w:rsidRDefault="00E55534">
          <w:pPr>
            <w:pStyle w:val="TOC3"/>
            <w:rPr>
              <w:rFonts w:asciiTheme="minorHAnsi" w:eastAsiaTheme="minorEastAsia" w:hAnsiTheme="minorHAnsi" w:cstheme="minorBidi"/>
              <w:sz w:val="22"/>
              <w:szCs w:val="22"/>
              <w:lang w:val="en-DK" w:eastAsia="en-DK"/>
            </w:rPr>
          </w:pPr>
          <w:hyperlink w:anchor="_Toc127346402" w:history="1">
            <w:r w:rsidR="004F49F9" w:rsidRPr="000366E0">
              <w:rPr>
                <w:rStyle w:val="Hyperlink"/>
              </w:rPr>
              <w:t>8.6.3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_Toc127346402 \h </w:instrText>
            </w:r>
            <w:r w:rsidR="004F49F9">
              <w:rPr>
                <w:webHidden/>
              </w:rPr>
            </w:r>
            <w:r w:rsidR="004F49F9">
              <w:rPr>
                <w:webHidden/>
              </w:rPr>
              <w:fldChar w:fldCharType="separate"/>
            </w:r>
            <w:r w:rsidR="003E544B">
              <w:rPr>
                <w:webHidden/>
              </w:rPr>
              <w:t>198</w:t>
            </w:r>
            <w:r w:rsidR="004F49F9">
              <w:rPr>
                <w:webHidden/>
              </w:rPr>
              <w:fldChar w:fldCharType="end"/>
            </w:r>
          </w:hyperlink>
        </w:p>
        <w:p w14:paraId="4D2EEFCB" w14:textId="580F3355" w:rsidR="004F49F9" w:rsidRDefault="00E55534">
          <w:pPr>
            <w:pStyle w:val="TOC3"/>
            <w:rPr>
              <w:rFonts w:asciiTheme="minorHAnsi" w:eastAsiaTheme="minorEastAsia" w:hAnsiTheme="minorHAnsi" w:cstheme="minorBidi"/>
              <w:sz w:val="22"/>
              <w:szCs w:val="22"/>
              <w:lang w:val="en-DK" w:eastAsia="en-DK"/>
            </w:rPr>
          </w:pPr>
          <w:hyperlink w:anchor="_Toc127346403" w:history="1">
            <w:r w:rsidR="004F49F9" w:rsidRPr="000366E0">
              <w:rPr>
                <w:rStyle w:val="Hyperlink"/>
              </w:rPr>
              <w:t>8.6.4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_Toc127346403 \h </w:instrText>
            </w:r>
            <w:r w:rsidR="004F49F9">
              <w:rPr>
                <w:webHidden/>
              </w:rPr>
            </w:r>
            <w:r w:rsidR="004F49F9">
              <w:rPr>
                <w:webHidden/>
              </w:rPr>
              <w:fldChar w:fldCharType="separate"/>
            </w:r>
            <w:r w:rsidR="003E544B">
              <w:rPr>
                <w:webHidden/>
              </w:rPr>
              <w:t>199</w:t>
            </w:r>
            <w:r w:rsidR="004F49F9">
              <w:rPr>
                <w:webHidden/>
              </w:rPr>
              <w:fldChar w:fldCharType="end"/>
            </w:r>
          </w:hyperlink>
        </w:p>
        <w:p w14:paraId="1CB222DA" w14:textId="2D0E0252" w:rsidR="004F49F9" w:rsidRDefault="00E55534">
          <w:pPr>
            <w:pStyle w:val="TOC3"/>
            <w:rPr>
              <w:rFonts w:asciiTheme="minorHAnsi" w:eastAsiaTheme="minorEastAsia" w:hAnsiTheme="minorHAnsi" w:cstheme="minorBidi"/>
              <w:sz w:val="22"/>
              <w:szCs w:val="22"/>
              <w:lang w:val="en-DK" w:eastAsia="en-DK"/>
            </w:rPr>
          </w:pPr>
          <w:hyperlink w:anchor="_Toc127346404" w:history="1">
            <w:r w:rsidR="004F49F9" w:rsidRPr="000366E0">
              <w:rPr>
                <w:rStyle w:val="Hyperlink"/>
              </w:rPr>
              <w:t>8.6.5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_Toc127346404 \h </w:instrText>
            </w:r>
            <w:r w:rsidR="004F49F9">
              <w:rPr>
                <w:webHidden/>
              </w:rPr>
            </w:r>
            <w:r w:rsidR="004F49F9">
              <w:rPr>
                <w:webHidden/>
              </w:rPr>
              <w:fldChar w:fldCharType="separate"/>
            </w:r>
            <w:r w:rsidR="003E544B">
              <w:rPr>
                <w:webHidden/>
              </w:rPr>
              <w:t>199</w:t>
            </w:r>
            <w:r w:rsidR="004F49F9">
              <w:rPr>
                <w:webHidden/>
              </w:rPr>
              <w:fldChar w:fldCharType="end"/>
            </w:r>
          </w:hyperlink>
        </w:p>
        <w:p w14:paraId="78EFD271" w14:textId="649333EA" w:rsidR="004F49F9" w:rsidRDefault="00E55534">
          <w:pPr>
            <w:pStyle w:val="TOC2"/>
            <w:rPr>
              <w:rFonts w:asciiTheme="minorHAnsi" w:eastAsiaTheme="minorEastAsia" w:hAnsiTheme="minorHAnsi" w:cstheme="minorBidi"/>
              <w:bCs w:val="0"/>
              <w:sz w:val="22"/>
              <w:szCs w:val="22"/>
              <w:lang w:val="en-DK" w:eastAsia="en-DK"/>
            </w:rPr>
          </w:pPr>
          <w:hyperlink w:anchor="_Toc127346405" w:history="1">
            <w:r w:rsidR="004F49F9" w:rsidRPr="000366E0">
              <w:rPr>
                <w:rStyle w:val="Hyperlink"/>
              </w:rPr>
              <w:t>8.7</w:t>
            </w:r>
            <w:r w:rsidR="004F49F9">
              <w:rPr>
                <w:rFonts w:asciiTheme="minorHAnsi" w:eastAsiaTheme="minorEastAsia" w:hAnsiTheme="minorHAnsi" w:cstheme="minorBidi"/>
                <w:bCs w:val="0"/>
                <w:sz w:val="22"/>
                <w:szCs w:val="22"/>
                <w:lang w:val="en-DK" w:eastAsia="en-DK"/>
              </w:rPr>
              <w:tab/>
            </w:r>
            <w:r w:rsidR="004F49F9" w:rsidRPr="000366E0">
              <w:rPr>
                <w:rStyle w:val="Hyperlink"/>
              </w:rPr>
              <w:t>Tank level probing radar (TLPR)</w:t>
            </w:r>
            <w:r w:rsidR="004F49F9">
              <w:rPr>
                <w:webHidden/>
              </w:rPr>
              <w:tab/>
            </w:r>
            <w:r w:rsidR="004F49F9">
              <w:rPr>
                <w:webHidden/>
              </w:rPr>
              <w:fldChar w:fldCharType="begin"/>
            </w:r>
            <w:r w:rsidR="004F49F9">
              <w:rPr>
                <w:webHidden/>
              </w:rPr>
              <w:instrText xml:space="preserve"> PAGEREF _Toc127346405 \h </w:instrText>
            </w:r>
            <w:r w:rsidR="004F49F9">
              <w:rPr>
                <w:webHidden/>
              </w:rPr>
            </w:r>
            <w:r w:rsidR="004F49F9">
              <w:rPr>
                <w:webHidden/>
              </w:rPr>
              <w:fldChar w:fldCharType="separate"/>
            </w:r>
            <w:r w:rsidR="003E544B">
              <w:rPr>
                <w:webHidden/>
              </w:rPr>
              <w:t>199</w:t>
            </w:r>
            <w:r w:rsidR="004F49F9">
              <w:rPr>
                <w:webHidden/>
              </w:rPr>
              <w:fldChar w:fldCharType="end"/>
            </w:r>
          </w:hyperlink>
        </w:p>
        <w:p w14:paraId="236943AC" w14:textId="4F22E319" w:rsidR="004F49F9" w:rsidRDefault="00E55534">
          <w:pPr>
            <w:pStyle w:val="TOC3"/>
            <w:rPr>
              <w:rFonts w:asciiTheme="minorHAnsi" w:eastAsiaTheme="minorEastAsia" w:hAnsiTheme="minorHAnsi" w:cstheme="minorBidi"/>
              <w:sz w:val="22"/>
              <w:szCs w:val="22"/>
              <w:lang w:val="en-DK" w:eastAsia="en-DK"/>
            </w:rPr>
          </w:pPr>
          <w:hyperlink w:anchor="_Toc127346406" w:history="1">
            <w:r w:rsidR="004F49F9" w:rsidRPr="000366E0">
              <w:rPr>
                <w:rStyle w:val="Hyperlink"/>
              </w:rPr>
              <w:t>8.7.1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_Toc127346406 \h </w:instrText>
            </w:r>
            <w:r w:rsidR="004F49F9">
              <w:rPr>
                <w:webHidden/>
              </w:rPr>
            </w:r>
            <w:r w:rsidR="004F49F9">
              <w:rPr>
                <w:webHidden/>
              </w:rPr>
              <w:fldChar w:fldCharType="separate"/>
            </w:r>
            <w:r w:rsidR="003E544B">
              <w:rPr>
                <w:webHidden/>
              </w:rPr>
              <w:t>199</w:t>
            </w:r>
            <w:r w:rsidR="004F49F9">
              <w:rPr>
                <w:webHidden/>
              </w:rPr>
              <w:fldChar w:fldCharType="end"/>
            </w:r>
          </w:hyperlink>
        </w:p>
        <w:p w14:paraId="1855D276" w14:textId="2A9701D1" w:rsidR="004F49F9" w:rsidRDefault="00E55534">
          <w:pPr>
            <w:pStyle w:val="TOC3"/>
            <w:rPr>
              <w:rFonts w:asciiTheme="minorHAnsi" w:eastAsiaTheme="minorEastAsia" w:hAnsiTheme="minorHAnsi" w:cstheme="minorBidi"/>
              <w:sz w:val="22"/>
              <w:szCs w:val="22"/>
              <w:lang w:val="en-DK" w:eastAsia="en-DK"/>
            </w:rPr>
          </w:pPr>
          <w:hyperlink w:anchor="_Toc127346407" w:history="1">
            <w:r w:rsidR="004F49F9" w:rsidRPr="000366E0">
              <w:rPr>
                <w:rStyle w:val="Hyperlink"/>
              </w:rPr>
              <w:t>8.7.2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_Toc127346407 \h </w:instrText>
            </w:r>
            <w:r w:rsidR="004F49F9">
              <w:rPr>
                <w:webHidden/>
              </w:rPr>
            </w:r>
            <w:r w:rsidR="004F49F9">
              <w:rPr>
                <w:webHidden/>
              </w:rPr>
              <w:fldChar w:fldCharType="separate"/>
            </w:r>
            <w:r w:rsidR="003E544B">
              <w:rPr>
                <w:webHidden/>
              </w:rPr>
              <w:t>200</w:t>
            </w:r>
            <w:r w:rsidR="004F49F9">
              <w:rPr>
                <w:webHidden/>
              </w:rPr>
              <w:fldChar w:fldCharType="end"/>
            </w:r>
          </w:hyperlink>
        </w:p>
        <w:p w14:paraId="2F77BC74" w14:textId="336BDE4F" w:rsidR="004F49F9" w:rsidRDefault="00E55534">
          <w:pPr>
            <w:pStyle w:val="TOC3"/>
            <w:rPr>
              <w:rFonts w:asciiTheme="minorHAnsi" w:eastAsiaTheme="minorEastAsia" w:hAnsiTheme="minorHAnsi" w:cstheme="minorBidi"/>
              <w:sz w:val="22"/>
              <w:szCs w:val="22"/>
              <w:lang w:val="en-DK" w:eastAsia="en-DK"/>
            </w:rPr>
          </w:pPr>
          <w:hyperlink w:anchor="_Toc127346408" w:history="1">
            <w:r w:rsidR="004F49F9" w:rsidRPr="000366E0">
              <w:rPr>
                <w:rStyle w:val="Hyperlink"/>
              </w:rPr>
              <w:t>8.7.3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_Toc127346408 \h </w:instrText>
            </w:r>
            <w:r w:rsidR="004F49F9">
              <w:rPr>
                <w:webHidden/>
              </w:rPr>
            </w:r>
            <w:r w:rsidR="004F49F9">
              <w:rPr>
                <w:webHidden/>
              </w:rPr>
              <w:fldChar w:fldCharType="separate"/>
            </w:r>
            <w:r w:rsidR="003E544B">
              <w:rPr>
                <w:webHidden/>
              </w:rPr>
              <w:t>200</w:t>
            </w:r>
            <w:r w:rsidR="004F49F9">
              <w:rPr>
                <w:webHidden/>
              </w:rPr>
              <w:fldChar w:fldCharType="end"/>
            </w:r>
          </w:hyperlink>
        </w:p>
        <w:p w14:paraId="1F8581D6" w14:textId="3EF0DEEA" w:rsidR="004F49F9" w:rsidRDefault="00E55534">
          <w:pPr>
            <w:pStyle w:val="TOC3"/>
            <w:rPr>
              <w:rFonts w:asciiTheme="minorHAnsi" w:eastAsiaTheme="minorEastAsia" w:hAnsiTheme="minorHAnsi" w:cstheme="minorBidi"/>
              <w:sz w:val="22"/>
              <w:szCs w:val="22"/>
              <w:lang w:val="en-DK" w:eastAsia="en-DK"/>
            </w:rPr>
          </w:pPr>
          <w:hyperlink w:anchor="_Toc127346409" w:history="1">
            <w:r w:rsidR="004F49F9" w:rsidRPr="000366E0">
              <w:rPr>
                <w:rStyle w:val="Hyperlink"/>
              </w:rPr>
              <w:t>8.7.4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_Toc127346409 \h </w:instrText>
            </w:r>
            <w:r w:rsidR="004F49F9">
              <w:rPr>
                <w:webHidden/>
              </w:rPr>
            </w:r>
            <w:r w:rsidR="004F49F9">
              <w:rPr>
                <w:webHidden/>
              </w:rPr>
              <w:fldChar w:fldCharType="separate"/>
            </w:r>
            <w:r w:rsidR="003E544B">
              <w:rPr>
                <w:webHidden/>
              </w:rPr>
              <w:t>200</w:t>
            </w:r>
            <w:r w:rsidR="004F49F9">
              <w:rPr>
                <w:webHidden/>
              </w:rPr>
              <w:fldChar w:fldCharType="end"/>
            </w:r>
          </w:hyperlink>
        </w:p>
        <w:p w14:paraId="5FD2C475" w14:textId="76648862" w:rsidR="004F49F9" w:rsidRDefault="00E55534">
          <w:pPr>
            <w:pStyle w:val="TOC3"/>
            <w:rPr>
              <w:rFonts w:asciiTheme="minorHAnsi" w:eastAsiaTheme="minorEastAsia" w:hAnsiTheme="minorHAnsi" w:cstheme="minorBidi"/>
              <w:sz w:val="22"/>
              <w:szCs w:val="22"/>
              <w:lang w:val="en-DK" w:eastAsia="en-DK"/>
            </w:rPr>
          </w:pPr>
          <w:hyperlink w:anchor="_Toc127346410" w:history="1">
            <w:r w:rsidR="004F49F9" w:rsidRPr="000366E0">
              <w:rPr>
                <w:rStyle w:val="Hyperlink"/>
              </w:rPr>
              <w:t>8.7.5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_Toc127346410 \h </w:instrText>
            </w:r>
            <w:r w:rsidR="004F49F9">
              <w:rPr>
                <w:webHidden/>
              </w:rPr>
            </w:r>
            <w:r w:rsidR="004F49F9">
              <w:rPr>
                <w:webHidden/>
              </w:rPr>
              <w:fldChar w:fldCharType="separate"/>
            </w:r>
            <w:r w:rsidR="003E544B">
              <w:rPr>
                <w:webHidden/>
              </w:rPr>
              <w:t>200</w:t>
            </w:r>
            <w:r w:rsidR="004F49F9">
              <w:rPr>
                <w:webHidden/>
              </w:rPr>
              <w:fldChar w:fldCharType="end"/>
            </w:r>
          </w:hyperlink>
        </w:p>
        <w:p w14:paraId="33C7B4EA" w14:textId="364E82CA" w:rsidR="004F49F9" w:rsidRDefault="00E55534">
          <w:pPr>
            <w:pStyle w:val="TOC2"/>
            <w:rPr>
              <w:rFonts w:asciiTheme="minorHAnsi" w:eastAsiaTheme="minorEastAsia" w:hAnsiTheme="minorHAnsi" w:cstheme="minorBidi"/>
              <w:bCs w:val="0"/>
              <w:sz w:val="22"/>
              <w:szCs w:val="22"/>
              <w:lang w:val="en-DK" w:eastAsia="en-DK"/>
            </w:rPr>
          </w:pPr>
          <w:hyperlink w:anchor="_Toc127346411" w:history="1">
            <w:r w:rsidR="004F49F9" w:rsidRPr="000366E0">
              <w:rPr>
                <w:rStyle w:val="Hyperlink"/>
              </w:rPr>
              <w:t>8.8</w:t>
            </w:r>
            <w:r w:rsidR="004F49F9">
              <w:rPr>
                <w:rFonts w:asciiTheme="minorHAnsi" w:eastAsiaTheme="minorEastAsia" w:hAnsiTheme="minorHAnsi" w:cstheme="minorBidi"/>
                <w:bCs w:val="0"/>
                <w:sz w:val="22"/>
                <w:szCs w:val="22"/>
                <w:lang w:val="en-DK" w:eastAsia="en-DK"/>
              </w:rPr>
              <w:tab/>
            </w:r>
            <w:r w:rsidR="004F49F9" w:rsidRPr="000366E0">
              <w:rPr>
                <w:rStyle w:val="Hyperlink"/>
              </w:rPr>
              <w:t>Radiodetermination systems for industry automation in shielded environments (RDI-S)</w:t>
            </w:r>
            <w:r w:rsidR="004F49F9">
              <w:rPr>
                <w:webHidden/>
              </w:rPr>
              <w:tab/>
            </w:r>
            <w:r w:rsidR="004F49F9">
              <w:rPr>
                <w:webHidden/>
              </w:rPr>
              <w:fldChar w:fldCharType="begin"/>
            </w:r>
            <w:r w:rsidR="004F49F9">
              <w:rPr>
                <w:webHidden/>
              </w:rPr>
              <w:instrText xml:space="preserve"> PAGEREF _Toc127346411 \h </w:instrText>
            </w:r>
            <w:r w:rsidR="004F49F9">
              <w:rPr>
                <w:webHidden/>
              </w:rPr>
            </w:r>
            <w:r w:rsidR="004F49F9">
              <w:rPr>
                <w:webHidden/>
              </w:rPr>
              <w:fldChar w:fldCharType="separate"/>
            </w:r>
            <w:r w:rsidR="003E544B">
              <w:rPr>
                <w:webHidden/>
              </w:rPr>
              <w:t>201</w:t>
            </w:r>
            <w:r w:rsidR="004F49F9">
              <w:rPr>
                <w:webHidden/>
              </w:rPr>
              <w:fldChar w:fldCharType="end"/>
            </w:r>
          </w:hyperlink>
        </w:p>
        <w:p w14:paraId="0F744AE1" w14:textId="77315A4D" w:rsidR="004F49F9" w:rsidRDefault="00E55534">
          <w:pPr>
            <w:pStyle w:val="TOC3"/>
            <w:rPr>
              <w:rFonts w:asciiTheme="minorHAnsi" w:eastAsiaTheme="minorEastAsia" w:hAnsiTheme="minorHAnsi" w:cstheme="minorBidi"/>
              <w:sz w:val="22"/>
              <w:szCs w:val="22"/>
              <w:lang w:val="en-DK" w:eastAsia="en-DK"/>
            </w:rPr>
          </w:pPr>
          <w:hyperlink w:anchor="_Toc127346412" w:history="1">
            <w:r w:rsidR="004F49F9" w:rsidRPr="000366E0">
              <w:rPr>
                <w:rStyle w:val="Hyperlink"/>
              </w:rPr>
              <w:t>8.8.1</w:t>
            </w:r>
            <w:r w:rsidR="004F49F9">
              <w:rPr>
                <w:rFonts w:asciiTheme="minorHAnsi" w:eastAsiaTheme="minorEastAsia" w:hAnsiTheme="minorHAnsi" w:cstheme="minorBidi"/>
                <w:sz w:val="22"/>
                <w:szCs w:val="22"/>
                <w:lang w:val="en-DK" w:eastAsia="en-DK"/>
              </w:rPr>
              <w:tab/>
            </w:r>
            <w:r w:rsidR="004F49F9" w:rsidRPr="000366E0">
              <w:rPr>
                <w:rStyle w:val="Hyperlink"/>
              </w:rPr>
              <w:t>Summary</w:t>
            </w:r>
            <w:r w:rsidR="004F49F9">
              <w:rPr>
                <w:webHidden/>
              </w:rPr>
              <w:tab/>
            </w:r>
            <w:r w:rsidR="004F49F9">
              <w:rPr>
                <w:webHidden/>
              </w:rPr>
              <w:fldChar w:fldCharType="begin"/>
            </w:r>
            <w:r w:rsidR="004F49F9">
              <w:rPr>
                <w:webHidden/>
              </w:rPr>
              <w:instrText xml:space="preserve"> PAGEREF _Toc127346412 \h </w:instrText>
            </w:r>
            <w:r w:rsidR="004F49F9">
              <w:rPr>
                <w:webHidden/>
              </w:rPr>
            </w:r>
            <w:r w:rsidR="004F49F9">
              <w:rPr>
                <w:webHidden/>
              </w:rPr>
              <w:fldChar w:fldCharType="separate"/>
            </w:r>
            <w:r w:rsidR="003E544B">
              <w:rPr>
                <w:webHidden/>
              </w:rPr>
              <w:t>201</w:t>
            </w:r>
            <w:r w:rsidR="004F49F9">
              <w:rPr>
                <w:webHidden/>
              </w:rPr>
              <w:fldChar w:fldCharType="end"/>
            </w:r>
          </w:hyperlink>
        </w:p>
        <w:p w14:paraId="7B69535B" w14:textId="3F3BC3AB" w:rsidR="004F49F9" w:rsidRDefault="00E55534">
          <w:pPr>
            <w:pStyle w:val="TOC3"/>
            <w:rPr>
              <w:rFonts w:asciiTheme="minorHAnsi" w:eastAsiaTheme="minorEastAsia" w:hAnsiTheme="minorHAnsi" w:cstheme="minorBidi"/>
              <w:sz w:val="22"/>
              <w:szCs w:val="22"/>
              <w:lang w:val="en-DK" w:eastAsia="en-DK"/>
            </w:rPr>
          </w:pPr>
          <w:hyperlink w:anchor="_Toc127346413" w:history="1">
            <w:r w:rsidR="004F49F9" w:rsidRPr="000366E0">
              <w:rPr>
                <w:rStyle w:val="Hyperlink"/>
              </w:rPr>
              <w:t>8.8.2</w:t>
            </w:r>
            <w:r w:rsidR="004F49F9">
              <w:rPr>
                <w:rFonts w:asciiTheme="minorHAnsi" w:eastAsiaTheme="minorEastAsia" w:hAnsiTheme="minorHAnsi" w:cstheme="minorBidi"/>
                <w:sz w:val="22"/>
                <w:szCs w:val="22"/>
                <w:lang w:val="en-DK" w:eastAsia="en-DK"/>
              </w:rPr>
              <w:tab/>
            </w:r>
            <w:r w:rsidR="004F49F9" w:rsidRPr="000366E0">
              <w:rPr>
                <w:rStyle w:val="Hyperlink"/>
              </w:rPr>
              <w:t>Radio Astronomy</w:t>
            </w:r>
            <w:r w:rsidR="004F49F9">
              <w:rPr>
                <w:webHidden/>
              </w:rPr>
              <w:tab/>
            </w:r>
            <w:r w:rsidR="004F49F9">
              <w:rPr>
                <w:webHidden/>
              </w:rPr>
              <w:fldChar w:fldCharType="begin"/>
            </w:r>
            <w:r w:rsidR="004F49F9">
              <w:rPr>
                <w:webHidden/>
              </w:rPr>
              <w:instrText xml:space="preserve"> PAGEREF _Toc127346413 \h </w:instrText>
            </w:r>
            <w:r w:rsidR="004F49F9">
              <w:rPr>
                <w:webHidden/>
              </w:rPr>
            </w:r>
            <w:r w:rsidR="004F49F9">
              <w:rPr>
                <w:webHidden/>
              </w:rPr>
              <w:fldChar w:fldCharType="separate"/>
            </w:r>
            <w:r w:rsidR="003E544B">
              <w:rPr>
                <w:webHidden/>
              </w:rPr>
              <w:t>201</w:t>
            </w:r>
            <w:r w:rsidR="004F49F9">
              <w:rPr>
                <w:webHidden/>
              </w:rPr>
              <w:fldChar w:fldCharType="end"/>
            </w:r>
          </w:hyperlink>
        </w:p>
        <w:p w14:paraId="12AFBE0D" w14:textId="70411C52" w:rsidR="004F49F9" w:rsidRDefault="00E55534">
          <w:pPr>
            <w:pStyle w:val="TOC3"/>
            <w:rPr>
              <w:rFonts w:asciiTheme="minorHAnsi" w:eastAsiaTheme="minorEastAsia" w:hAnsiTheme="minorHAnsi" w:cstheme="minorBidi"/>
              <w:sz w:val="22"/>
              <w:szCs w:val="22"/>
              <w:lang w:val="en-DK" w:eastAsia="en-DK"/>
            </w:rPr>
          </w:pPr>
          <w:hyperlink w:anchor="_Toc127346414" w:history="1">
            <w:r w:rsidR="004F49F9" w:rsidRPr="000366E0">
              <w:rPr>
                <w:rStyle w:val="Hyperlink"/>
              </w:rPr>
              <w:t>8.8.3</w:t>
            </w:r>
            <w:r w:rsidR="004F49F9">
              <w:rPr>
                <w:rFonts w:asciiTheme="minorHAnsi" w:eastAsiaTheme="minorEastAsia" w:hAnsiTheme="minorHAnsi" w:cstheme="minorBidi"/>
                <w:sz w:val="22"/>
                <w:szCs w:val="22"/>
                <w:lang w:val="en-DK" w:eastAsia="en-DK"/>
              </w:rPr>
              <w:tab/>
            </w:r>
            <w:r w:rsidR="004F49F9" w:rsidRPr="000366E0">
              <w:rPr>
                <w:rStyle w:val="Hyperlink"/>
              </w:rPr>
              <w:t>Fixed Service</w:t>
            </w:r>
            <w:r w:rsidR="004F49F9">
              <w:rPr>
                <w:webHidden/>
              </w:rPr>
              <w:tab/>
            </w:r>
            <w:r w:rsidR="004F49F9">
              <w:rPr>
                <w:webHidden/>
              </w:rPr>
              <w:fldChar w:fldCharType="begin"/>
            </w:r>
            <w:r w:rsidR="004F49F9">
              <w:rPr>
                <w:webHidden/>
              </w:rPr>
              <w:instrText xml:space="preserve"> PAGEREF _Toc127346414 \h </w:instrText>
            </w:r>
            <w:r w:rsidR="004F49F9">
              <w:rPr>
                <w:webHidden/>
              </w:rPr>
            </w:r>
            <w:r w:rsidR="004F49F9">
              <w:rPr>
                <w:webHidden/>
              </w:rPr>
              <w:fldChar w:fldCharType="separate"/>
            </w:r>
            <w:r w:rsidR="003E544B">
              <w:rPr>
                <w:webHidden/>
              </w:rPr>
              <w:t>201</w:t>
            </w:r>
            <w:r w:rsidR="004F49F9">
              <w:rPr>
                <w:webHidden/>
              </w:rPr>
              <w:fldChar w:fldCharType="end"/>
            </w:r>
          </w:hyperlink>
        </w:p>
        <w:p w14:paraId="7B1AB317" w14:textId="4B7C749C" w:rsidR="004F49F9" w:rsidRDefault="00E55534">
          <w:pPr>
            <w:pStyle w:val="TOC3"/>
            <w:rPr>
              <w:rFonts w:asciiTheme="minorHAnsi" w:eastAsiaTheme="minorEastAsia" w:hAnsiTheme="minorHAnsi" w:cstheme="minorBidi"/>
              <w:sz w:val="22"/>
              <w:szCs w:val="22"/>
              <w:lang w:val="en-DK" w:eastAsia="en-DK"/>
            </w:rPr>
          </w:pPr>
          <w:hyperlink w:anchor="_Toc127346415" w:history="1">
            <w:r w:rsidR="004F49F9" w:rsidRPr="000366E0">
              <w:rPr>
                <w:rStyle w:val="Hyperlink"/>
              </w:rPr>
              <w:t>8.8.4</w:t>
            </w:r>
            <w:r w:rsidR="004F49F9">
              <w:rPr>
                <w:rFonts w:asciiTheme="minorHAnsi" w:eastAsiaTheme="minorEastAsia" w:hAnsiTheme="minorHAnsi" w:cstheme="minorBidi"/>
                <w:sz w:val="22"/>
                <w:szCs w:val="22"/>
                <w:lang w:val="en-DK" w:eastAsia="en-DK"/>
              </w:rPr>
              <w:tab/>
            </w:r>
            <w:r w:rsidR="004F49F9" w:rsidRPr="000366E0">
              <w:rPr>
                <w:rStyle w:val="Hyperlink"/>
              </w:rPr>
              <w:t>Earth Exploration Satellite Service (Passive)</w:t>
            </w:r>
            <w:r w:rsidR="004F49F9">
              <w:rPr>
                <w:webHidden/>
              </w:rPr>
              <w:tab/>
            </w:r>
            <w:r w:rsidR="004F49F9">
              <w:rPr>
                <w:webHidden/>
              </w:rPr>
              <w:fldChar w:fldCharType="begin"/>
            </w:r>
            <w:r w:rsidR="004F49F9">
              <w:rPr>
                <w:webHidden/>
              </w:rPr>
              <w:instrText xml:space="preserve"> PAGEREF _Toc127346415 \h </w:instrText>
            </w:r>
            <w:r w:rsidR="004F49F9">
              <w:rPr>
                <w:webHidden/>
              </w:rPr>
            </w:r>
            <w:r w:rsidR="004F49F9">
              <w:rPr>
                <w:webHidden/>
              </w:rPr>
              <w:fldChar w:fldCharType="separate"/>
            </w:r>
            <w:r w:rsidR="003E544B">
              <w:rPr>
                <w:webHidden/>
              </w:rPr>
              <w:t>202</w:t>
            </w:r>
            <w:r w:rsidR="004F49F9">
              <w:rPr>
                <w:webHidden/>
              </w:rPr>
              <w:fldChar w:fldCharType="end"/>
            </w:r>
          </w:hyperlink>
        </w:p>
        <w:p w14:paraId="4A55664D" w14:textId="08FBC7E1" w:rsidR="004F49F9" w:rsidRDefault="00E55534">
          <w:pPr>
            <w:pStyle w:val="TOC3"/>
            <w:rPr>
              <w:rFonts w:asciiTheme="minorHAnsi" w:eastAsiaTheme="minorEastAsia" w:hAnsiTheme="minorHAnsi" w:cstheme="minorBidi"/>
              <w:sz w:val="22"/>
              <w:szCs w:val="22"/>
              <w:lang w:val="en-DK" w:eastAsia="en-DK"/>
            </w:rPr>
          </w:pPr>
          <w:hyperlink w:anchor="_Toc127346416" w:history="1">
            <w:r w:rsidR="004F49F9" w:rsidRPr="000366E0">
              <w:rPr>
                <w:rStyle w:val="Hyperlink"/>
              </w:rPr>
              <w:t>8.8.5</w:t>
            </w:r>
            <w:r w:rsidR="004F49F9">
              <w:rPr>
                <w:rFonts w:asciiTheme="minorHAnsi" w:eastAsiaTheme="minorEastAsia" w:hAnsiTheme="minorHAnsi" w:cstheme="minorBidi"/>
                <w:sz w:val="22"/>
                <w:szCs w:val="22"/>
                <w:lang w:val="en-DK" w:eastAsia="en-DK"/>
              </w:rPr>
              <w:tab/>
            </w:r>
            <w:r w:rsidR="004F49F9" w:rsidRPr="000366E0">
              <w:rPr>
                <w:rStyle w:val="Hyperlink"/>
              </w:rPr>
              <w:t>Amateur Service</w:t>
            </w:r>
            <w:r w:rsidR="004F49F9">
              <w:rPr>
                <w:webHidden/>
              </w:rPr>
              <w:tab/>
            </w:r>
            <w:r w:rsidR="004F49F9">
              <w:rPr>
                <w:webHidden/>
              </w:rPr>
              <w:fldChar w:fldCharType="begin"/>
            </w:r>
            <w:r w:rsidR="004F49F9">
              <w:rPr>
                <w:webHidden/>
              </w:rPr>
              <w:instrText xml:space="preserve"> PAGEREF _Toc127346416 \h </w:instrText>
            </w:r>
            <w:r w:rsidR="004F49F9">
              <w:rPr>
                <w:webHidden/>
              </w:rPr>
            </w:r>
            <w:r w:rsidR="004F49F9">
              <w:rPr>
                <w:webHidden/>
              </w:rPr>
              <w:fldChar w:fldCharType="separate"/>
            </w:r>
            <w:r w:rsidR="003E544B">
              <w:rPr>
                <w:webHidden/>
              </w:rPr>
              <w:t>202</w:t>
            </w:r>
            <w:r w:rsidR="004F49F9">
              <w:rPr>
                <w:webHidden/>
              </w:rPr>
              <w:fldChar w:fldCharType="end"/>
            </w:r>
          </w:hyperlink>
        </w:p>
        <w:p w14:paraId="49427602" w14:textId="482910BF" w:rsidR="004F49F9" w:rsidRDefault="00E55534">
          <w:pPr>
            <w:pStyle w:val="TOC2"/>
            <w:rPr>
              <w:rFonts w:asciiTheme="minorHAnsi" w:eastAsiaTheme="minorEastAsia" w:hAnsiTheme="minorHAnsi" w:cstheme="minorBidi"/>
              <w:bCs w:val="0"/>
              <w:sz w:val="22"/>
              <w:szCs w:val="22"/>
              <w:lang w:val="en-DK" w:eastAsia="en-DK"/>
            </w:rPr>
          </w:pPr>
          <w:hyperlink w:anchor="_Toc127346417" w:history="1">
            <w:r w:rsidR="004F49F9" w:rsidRPr="000366E0">
              <w:rPr>
                <w:rStyle w:val="Hyperlink"/>
              </w:rPr>
              <w:t>8.9</w:t>
            </w:r>
            <w:r w:rsidR="004F49F9">
              <w:rPr>
                <w:rFonts w:asciiTheme="minorHAnsi" w:eastAsiaTheme="minorEastAsia" w:hAnsiTheme="minorHAnsi" w:cstheme="minorBidi"/>
                <w:bCs w:val="0"/>
                <w:sz w:val="22"/>
                <w:szCs w:val="22"/>
                <w:lang w:val="en-DK" w:eastAsia="en-DK"/>
              </w:rPr>
              <w:tab/>
            </w:r>
            <w:r w:rsidR="004F49F9" w:rsidRPr="000366E0">
              <w:rPr>
                <w:rStyle w:val="Hyperlink"/>
              </w:rPr>
              <w:t>Graphical illustration of the resulting compatibility situation</w:t>
            </w:r>
            <w:r w:rsidR="004F49F9">
              <w:rPr>
                <w:webHidden/>
              </w:rPr>
              <w:tab/>
            </w:r>
            <w:r w:rsidR="004F49F9">
              <w:rPr>
                <w:webHidden/>
              </w:rPr>
              <w:fldChar w:fldCharType="begin"/>
            </w:r>
            <w:r w:rsidR="004F49F9">
              <w:rPr>
                <w:webHidden/>
              </w:rPr>
              <w:instrText xml:space="preserve"> PAGEREF _Toc127346417 \h </w:instrText>
            </w:r>
            <w:r w:rsidR="004F49F9">
              <w:rPr>
                <w:webHidden/>
              </w:rPr>
            </w:r>
            <w:r w:rsidR="004F49F9">
              <w:rPr>
                <w:webHidden/>
              </w:rPr>
              <w:fldChar w:fldCharType="separate"/>
            </w:r>
            <w:r w:rsidR="003E544B">
              <w:rPr>
                <w:webHidden/>
              </w:rPr>
              <w:t>202</w:t>
            </w:r>
            <w:r w:rsidR="004F49F9">
              <w:rPr>
                <w:webHidden/>
              </w:rPr>
              <w:fldChar w:fldCharType="end"/>
            </w:r>
          </w:hyperlink>
        </w:p>
        <w:p w14:paraId="15B602FF" w14:textId="0C660E03" w:rsidR="004F49F9" w:rsidRDefault="00E55534">
          <w:pPr>
            <w:pStyle w:val="TOC1"/>
            <w:rPr>
              <w:rFonts w:asciiTheme="minorHAnsi" w:eastAsiaTheme="minorEastAsia" w:hAnsiTheme="minorHAnsi" w:cstheme="minorBidi"/>
              <w:b w:val="0"/>
              <w:noProof/>
              <w:sz w:val="22"/>
              <w:szCs w:val="22"/>
              <w:lang w:val="en-DK" w:eastAsia="en-DK"/>
            </w:rPr>
          </w:pPr>
          <w:hyperlink w:anchor="_Toc127346418" w:history="1">
            <w:r w:rsidR="004F49F9" w:rsidRPr="000366E0">
              <w:rPr>
                <w:rStyle w:val="Hyperlink"/>
                <w:noProof/>
              </w:rPr>
              <w:t>ANNEX 1: Building Entry Loss (BEL) Model Extension</w:t>
            </w:r>
            <w:r w:rsidR="004F49F9">
              <w:rPr>
                <w:noProof/>
                <w:webHidden/>
              </w:rPr>
              <w:tab/>
            </w:r>
            <w:r w:rsidR="004F49F9">
              <w:rPr>
                <w:noProof/>
                <w:webHidden/>
              </w:rPr>
              <w:fldChar w:fldCharType="begin"/>
            </w:r>
            <w:r w:rsidR="004F49F9">
              <w:rPr>
                <w:noProof/>
                <w:webHidden/>
              </w:rPr>
              <w:instrText xml:space="preserve"> PAGEREF _Toc127346418 \h </w:instrText>
            </w:r>
            <w:r w:rsidR="004F49F9">
              <w:rPr>
                <w:noProof/>
                <w:webHidden/>
              </w:rPr>
            </w:r>
            <w:r w:rsidR="004F49F9">
              <w:rPr>
                <w:noProof/>
                <w:webHidden/>
              </w:rPr>
              <w:fldChar w:fldCharType="separate"/>
            </w:r>
            <w:r w:rsidR="003E544B">
              <w:rPr>
                <w:noProof/>
                <w:webHidden/>
              </w:rPr>
              <w:t>204</w:t>
            </w:r>
            <w:r w:rsidR="004F49F9">
              <w:rPr>
                <w:noProof/>
                <w:webHidden/>
              </w:rPr>
              <w:fldChar w:fldCharType="end"/>
            </w:r>
          </w:hyperlink>
        </w:p>
        <w:p w14:paraId="029DA311" w14:textId="66C85215" w:rsidR="004F49F9" w:rsidRDefault="00E55534">
          <w:pPr>
            <w:pStyle w:val="TOC1"/>
            <w:rPr>
              <w:rFonts w:asciiTheme="minorHAnsi" w:eastAsiaTheme="minorEastAsia" w:hAnsiTheme="minorHAnsi" w:cstheme="minorBidi"/>
              <w:b w:val="0"/>
              <w:noProof/>
              <w:sz w:val="22"/>
              <w:szCs w:val="22"/>
              <w:lang w:val="en-DK" w:eastAsia="en-DK"/>
            </w:rPr>
          </w:pPr>
          <w:hyperlink w:anchor="_Toc127346419" w:history="1">
            <w:r w:rsidR="004F49F9" w:rsidRPr="000366E0">
              <w:rPr>
                <w:rStyle w:val="Hyperlink"/>
                <w:noProof/>
              </w:rPr>
              <w:t>ANNEX 2: Material Measurements for Building Entry Loss (BEL) Model Extension</w:t>
            </w:r>
            <w:r w:rsidR="004F49F9">
              <w:rPr>
                <w:noProof/>
                <w:webHidden/>
              </w:rPr>
              <w:tab/>
            </w:r>
            <w:r w:rsidR="004F49F9">
              <w:rPr>
                <w:noProof/>
                <w:webHidden/>
              </w:rPr>
              <w:fldChar w:fldCharType="begin"/>
            </w:r>
            <w:r w:rsidR="004F49F9">
              <w:rPr>
                <w:noProof/>
                <w:webHidden/>
              </w:rPr>
              <w:instrText xml:space="preserve"> PAGEREF _Toc127346419 \h </w:instrText>
            </w:r>
            <w:r w:rsidR="004F49F9">
              <w:rPr>
                <w:noProof/>
                <w:webHidden/>
              </w:rPr>
            </w:r>
            <w:r w:rsidR="004F49F9">
              <w:rPr>
                <w:noProof/>
                <w:webHidden/>
              </w:rPr>
              <w:fldChar w:fldCharType="separate"/>
            </w:r>
            <w:r w:rsidR="003E544B">
              <w:rPr>
                <w:noProof/>
                <w:webHidden/>
              </w:rPr>
              <w:t>208</w:t>
            </w:r>
            <w:r w:rsidR="004F49F9">
              <w:rPr>
                <w:noProof/>
                <w:webHidden/>
              </w:rPr>
              <w:fldChar w:fldCharType="end"/>
            </w:r>
          </w:hyperlink>
        </w:p>
        <w:p w14:paraId="74858004" w14:textId="17B45A16" w:rsidR="004F49F9" w:rsidRDefault="00E55534">
          <w:pPr>
            <w:pStyle w:val="TOC1"/>
            <w:rPr>
              <w:rFonts w:asciiTheme="minorHAnsi" w:eastAsiaTheme="minorEastAsia" w:hAnsiTheme="minorHAnsi" w:cstheme="minorBidi"/>
              <w:b w:val="0"/>
              <w:noProof/>
              <w:sz w:val="22"/>
              <w:szCs w:val="22"/>
              <w:lang w:val="en-DK" w:eastAsia="en-DK"/>
            </w:rPr>
          </w:pPr>
          <w:hyperlink w:anchor="_Toc127346420" w:history="1">
            <w:r w:rsidR="004F49F9" w:rsidRPr="000366E0">
              <w:rPr>
                <w:rStyle w:val="Hyperlink"/>
                <w:noProof/>
              </w:rPr>
              <w:t>ANNEX 3: Experimental Evaluation of Reflection Losses for Materials Measured by Level Probing Radar (LPR)</w:t>
            </w:r>
            <w:r w:rsidR="004F49F9">
              <w:rPr>
                <w:noProof/>
                <w:webHidden/>
              </w:rPr>
              <w:tab/>
            </w:r>
            <w:r w:rsidR="004F49F9">
              <w:rPr>
                <w:noProof/>
                <w:webHidden/>
              </w:rPr>
              <w:fldChar w:fldCharType="begin"/>
            </w:r>
            <w:r w:rsidR="004F49F9">
              <w:rPr>
                <w:noProof/>
                <w:webHidden/>
              </w:rPr>
              <w:instrText xml:space="preserve"> PAGEREF _Toc127346420 \h </w:instrText>
            </w:r>
            <w:r w:rsidR="004F49F9">
              <w:rPr>
                <w:noProof/>
                <w:webHidden/>
              </w:rPr>
            </w:r>
            <w:r w:rsidR="004F49F9">
              <w:rPr>
                <w:noProof/>
                <w:webHidden/>
              </w:rPr>
              <w:fldChar w:fldCharType="separate"/>
            </w:r>
            <w:r w:rsidR="003E544B">
              <w:rPr>
                <w:noProof/>
                <w:webHidden/>
              </w:rPr>
              <w:t>213</w:t>
            </w:r>
            <w:r w:rsidR="004F49F9">
              <w:rPr>
                <w:noProof/>
                <w:webHidden/>
              </w:rPr>
              <w:fldChar w:fldCharType="end"/>
            </w:r>
          </w:hyperlink>
        </w:p>
        <w:p w14:paraId="408D062D" w14:textId="384280DD" w:rsidR="004F49F9" w:rsidRDefault="00E55534">
          <w:pPr>
            <w:pStyle w:val="TOC1"/>
            <w:rPr>
              <w:rFonts w:asciiTheme="minorHAnsi" w:eastAsiaTheme="minorEastAsia" w:hAnsiTheme="minorHAnsi" w:cstheme="minorBidi"/>
              <w:b w:val="0"/>
              <w:noProof/>
              <w:sz w:val="22"/>
              <w:szCs w:val="22"/>
              <w:lang w:val="en-DK" w:eastAsia="en-DK"/>
            </w:rPr>
          </w:pPr>
          <w:hyperlink w:anchor="_Toc127346421" w:history="1">
            <w:r w:rsidR="004F49F9" w:rsidRPr="000366E0">
              <w:rPr>
                <w:rStyle w:val="Hyperlink"/>
                <w:noProof/>
              </w:rPr>
              <w:t>ANNEX 4: Antenna Characteristics for (Tank) Level Probing Radar</w:t>
            </w:r>
            <w:r w:rsidR="004F49F9">
              <w:rPr>
                <w:noProof/>
                <w:webHidden/>
              </w:rPr>
              <w:tab/>
            </w:r>
            <w:r w:rsidR="004F49F9">
              <w:rPr>
                <w:noProof/>
                <w:webHidden/>
              </w:rPr>
              <w:fldChar w:fldCharType="begin"/>
            </w:r>
            <w:r w:rsidR="004F49F9">
              <w:rPr>
                <w:noProof/>
                <w:webHidden/>
              </w:rPr>
              <w:instrText xml:space="preserve"> PAGEREF _Toc127346421 \h </w:instrText>
            </w:r>
            <w:r w:rsidR="004F49F9">
              <w:rPr>
                <w:noProof/>
                <w:webHidden/>
              </w:rPr>
            </w:r>
            <w:r w:rsidR="004F49F9">
              <w:rPr>
                <w:noProof/>
                <w:webHidden/>
              </w:rPr>
              <w:fldChar w:fldCharType="separate"/>
            </w:r>
            <w:r w:rsidR="003E544B">
              <w:rPr>
                <w:noProof/>
                <w:webHidden/>
              </w:rPr>
              <w:t>217</w:t>
            </w:r>
            <w:r w:rsidR="004F49F9">
              <w:rPr>
                <w:noProof/>
                <w:webHidden/>
              </w:rPr>
              <w:fldChar w:fldCharType="end"/>
            </w:r>
          </w:hyperlink>
        </w:p>
        <w:p w14:paraId="7D32CC54" w14:textId="0F3D587A" w:rsidR="004F49F9" w:rsidRDefault="00E55534">
          <w:pPr>
            <w:pStyle w:val="TOC1"/>
            <w:rPr>
              <w:rFonts w:asciiTheme="minorHAnsi" w:eastAsiaTheme="minorEastAsia" w:hAnsiTheme="minorHAnsi" w:cstheme="minorBidi"/>
              <w:b w:val="0"/>
              <w:noProof/>
              <w:sz w:val="22"/>
              <w:szCs w:val="22"/>
              <w:lang w:val="en-DK" w:eastAsia="en-DK"/>
            </w:rPr>
          </w:pPr>
          <w:hyperlink w:anchor="_Toc127346422" w:history="1">
            <w:r w:rsidR="004F49F9" w:rsidRPr="000366E0">
              <w:rPr>
                <w:rStyle w:val="Hyperlink"/>
                <w:noProof/>
              </w:rPr>
              <w:t>ANNEX 5: Calculation of the RAS VLBI Interference Threshold</w:t>
            </w:r>
            <w:r w:rsidR="004F49F9">
              <w:rPr>
                <w:noProof/>
                <w:webHidden/>
              </w:rPr>
              <w:tab/>
            </w:r>
            <w:r w:rsidR="004F49F9">
              <w:rPr>
                <w:noProof/>
                <w:webHidden/>
              </w:rPr>
              <w:fldChar w:fldCharType="begin"/>
            </w:r>
            <w:r w:rsidR="004F49F9">
              <w:rPr>
                <w:noProof/>
                <w:webHidden/>
              </w:rPr>
              <w:instrText xml:space="preserve"> PAGEREF _Toc127346422 \h </w:instrText>
            </w:r>
            <w:r w:rsidR="004F49F9">
              <w:rPr>
                <w:noProof/>
                <w:webHidden/>
              </w:rPr>
            </w:r>
            <w:r w:rsidR="004F49F9">
              <w:rPr>
                <w:noProof/>
                <w:webHidden/>
              </w:rPr>
              <w:fldChar w:fldCharType="separate"/>
            </w:r>
            <w:r w:rsidR="003E544B">
              <w:rPr>
                <w:noProof/>
                <w:webHidden/>
              </w:rPr>
              <w:t>223</w:t>
            </w:r>
            <w:r w:rsidR="004F49F9">
              <w:rPr>
                <w:noProof/>
                <w:webHidden/>
              </w:rPr>
              <w:fldChar w:fldCharType="end"/>
            </w:r>
          </w:hyperlink>
        </w:p>
        <w:p w14:paraId="20D5A682" w14:textId="79015D12" w:rsidR="004F49F9" w:rsidRDefault="00E55534">
          <w:pPr>
            <w:pStyle w:val="TOC1"/>
            <w:rPr>
              <w:rFonts w:asciiTheme="minorHAnsi" w:eastAsiaTheme="minorEastAsia" w:hAnsiTheme="minorHAnsi" w:cstheme="minorBidi"/>
              <w:b w:val="0"/>
              <w:noProof/>
              <w:sz w:val="22"/>
              <w:szCs w:val="22"/>
              <w:lang w:val="en-DK" w:eastAsia="en-DK"/>
            </w:rPr>
          </w:pPr>
          <w:hyperlink w:anchor="_Toc127346423" w:history="1">
            <w:r w:rsidR="004F49F9" w:rsidRPr="000366E0">
              <w:rPr>
                <w:rStyle w:val="Hyperlink"/>
                <w:noProof/>
              </w:rPr>
              <w:t>ANNEX 6: Information about State-Of-The-Art Glass Windows in Buildings and their Distribution in Europe</w:t>
            </w:r>
            <w:r w:rsidR="004F49F9">
              <w:rPr>
                <w:noProof/>
                <w:webHidden/>
              </w:rPr>
              <w:tab/>
            </w:r>
            <w:r w:rsidR="004F49F9">
              <w:rPr>
                <w:noProof/>
                <w:webHidden/>
              </w:rPr>
              <w:fldChar w:fldCharType="begin"/>
            </w:r>
            <w:r w:rsidR="004F49F9">
              <w:rPr>
                <w:noProof/>
                <w:webHidden/>
              </w:rPr>
              <w:instrText xml:space="preserve"> PAGEREF _Toc127346423 \h </w:instrText>
            </w:r>
            <w:r w:rsidR="004F49F9">
              <w:rPr>
                <w:noProof/>
                <w:webHidden/>
              </w:rPr>
            </w:r>
            <w:r w:rsidR="004F49F9">
              <w:rPr>
                <w:noProof/>
                <w:webHidden/>
              </w:rPr>
              <w:fldChar w:fldCharType="separate"/>
            </w:r>
            <w:r w:rsidR="003E544B">
              <w:rPr>
                <w:noProof/>
                <w:webHidden/>
              </w:rPr>
              <w:t>224</w:t>
            </w:r>
            <w:r w:rsidR="004F49F9">
              <w:rPr>
                <w:noProof/>
                <w:webHidden/>
              </w:rPr>
              <w:fldChar w:fldCharType="end"/>
            </w:r>
          </w:hyperlink>
        </w:p>
        <w:p w14:paraId="3F618399" w14:textId="28B99428" w:rsidR="004F49F9" w:rsidRDefault="00E55534">
          <w:pPr>
            <w:pStyle w:val="TOC1"/>
            <w:rPr>
              <w:rFonts w:asciiTheme="minorHAnsi" w:eastAsiaTheme="minorEastAsia" w:hAnsiTheme="minorHAnsi" w:cstheme="minorBidi"/>
              <w:b w:val="0"/>
              <w:noProof/>
              <w:sz w:val="22"/>
              <w:szCs w:val="22"/>
              <w:lang w:val="en-DK" w:eastAsia="en-DK"/>
            </w:rPr>
          </w:pPr>
          <w:hyperlink w:anchor="_Toc127346424" w:history="1">
            <w:r w:rsidR="004F49F9" w:rsidRPr="000366E0">
              <w:rPr>
                <w:rStyle w:val="Hyperlink"/>
                <w:noProof/>
              </w:rPr>
              <w:t>ANNEX 7: Car Glass Material Attenuation Measurements for 120 to 175 GHz</w:t>
            </w:r>
            <w:r w:rsidR="004F49F9">
              <w:rPr>
                <w:noProof/>
                <w:webHidden/>
              </w:rPr>
              <w:tab/>
            </w:r>
            <w:r w:rsidR="004F49F9">
              <w:rPr>
                <w:noProof/>
                <w:webHidden/>
              </w:rPr>
              <w:fldChar w:fldCharType="begin"/>
            </w:r>
            <w:r w:rsidR="004F49F9">
              <w:rPr>
                <w:noProof/>
                <w:webHidden/>
              </w:rPr>
              <w:instrText xml:space="preserve"> PAGEREF _Toc127346424 \h </w:instrText>
            </w:r>
            <w:r w:rsidR="004F49F9">
              <w:rPr>
                <w:noProof/>
                <w:webHidden/>
              </w:rPr>
            </w:r>
            <w:r w:rsidR="004F49F9">
              <w:rPr>
                <w:noProof/>
                <w:webHidden/>
              </w:rPr>
              <w:fldChar w:fldCharType="separate"/>
            </w:r>
            <w:r w:rsidR="003E544B">
              <w:rPr>
                <w:noProof/>
                <w:webHidden/>
              </w:rPr>
              <w:t>230</w:t>
            </w:r>
            <w:r w:rsidR="004F49F9">
              <w:rPr>
                <w:noProof/>
                <w:webHidden/>
              </w:rPr>
              <w:fldChar w:fldCharType="end"/>
            </w:r>
          </w:hyperlink>
        </w:p>
        <w:p w14:paraId="1B024B2B" w14:textId="1FB896D7" w:rsidR="004F49F9" w:rsidRDefault="00E55534">
          <w:pPr>
            <w:pStyle w:val="TOC1"/>
            <w:rPr>
              <w:rFonts w:asciiTheme="minorHAnsi" w:eastAsiaTheme="minorEastAsia" w:hAnsiTheme="minorHAnsi" w:cstheme="minorBidi"/>
              <w:b w:val="0"/>
              <w:noProof/>
              <w:sz w:val="22"/>
              <w:szCs w:val="22"/>
              <w:lang w:val="en-DK" w:eastAsia="en-DK"/>
            </w:rPr>
          </w:pPr>
          <w:hyperlink w:anchor="_Toc127346425" w:history="1">
            <w:r w:rsidR="004F49F9" w:rsidRPr="000366E0">
              <w:rPr>
                <w:rStyle w:val="Hyperlink"/>
                <w:noProof/>
              </w:rPr>
              <w:t>ANNEX 8: Derivation of Apportionment Factors for EESS (Passive)</w:t>
            </w:r>
            <w:r w:rsidR="004F49F9">
              <w:rPr>
                <w:noProof/>
                <w:webHidden/>
              </w:rPr>
              <w:tab/>
            </w:r>
            <w:r w:rsidR="004F49F9">
              <w:rPr>
                <w:noProof/>
                <w:webHidden/>
              </w:rPr>
              <w:fldChar w:fldCharType="begin"/>
            </w:r>
            <w:r w:rsidR="004F49F9">
              <w:rPr>
                <w:noProof/>
                <w:webHidden/>
              </w:rPr>
              <w:instrText xml:space="preserve"> PAGEREF _Toc127346425 \h </w:instrText>
            </w:r>
            <w:r w:rsidR="004F49F9">
              <w:rPr>
                <w:noProof/>
                <w:webHidden/>
              </w:rPr>
            </w:r>
            <w:r w:rsidR="004F49F9">
              <w:rPr>
                <w:noProof/>
                <w:webHidden/>
              </w:rPr>
              <w:fldChar w:fldCharType="separate"/>
            </w:r>
            <w:r w:rsidR="003E544B">
              <w:rPr>
                <w:noProof/>
                <w:webHidden/>
              </w:rPr>
              <w:t>233</w:t>
            </w:r>
            <w:r w:rsidR="004F49F9">
              <w:rPr>
                <w:noProof/>
                <w:webHidden/>
              </w:rPr>
              <w:fldChar w:fldCharType="end"/>
            </w:r>
          </w:hyperlink>
        </w:p>
        <w:p w14:paraId="420A6825" w14:textId="70CE1AC4" w:rsidR="004F49F9" w:rsidRDefault="00E55534">
          <w:pPr>
            <w:pStyle w:val="TOC1"/>
            <w:rPr>
              <w:rFonts w:asciiTheme="minorHAnsi" w:eastAsiaTheme="minorEastAsia" w:hAnsiTheme="minorHAnsi" w:cstheme="minorBidi"/>
              <w:b w:val="0"/>
              <w:noProof/>
              <w:sz w:val="22"/>
              <w:szCs w:val="22"/>
              <w:lang w:val="en-DK" w:eastAsia="en-DK"/>
            </w:rPr>
          </w:pPr>
          <w:hyperlink w:anchor="_Toc127346426" w:history="1">
            <w:r w:rsidR="004F49F9" w:rsidRPr="000366E0">
              <w:rPr>
                <w:rStyle w:val="Hyperlink"/>
                <w:noProof/>
              </w:rPr>
              <w:t>ANNEX 9: Estimating the Number of Interferers in the Footprint of EESS (passive) Satellites for Professional Industrial Applications</w:t>
            </w:r>
            <w:r w:rsidR="004F49F9">
              <w:rPr>
                <w:noProof/>
                <w:webHidden/>
              </w:rPr>
              <w:tab/>
            </w:r>
            <w:r w:rsidR="004F49F9">
              <w:rPr>
                <w:noProof/>
                <w:webHidden/>
              </w:rPr>
              <w:fldChar w:fldCharType="begin"/>
            </w:r>
            <w:r w:rsidR="004F49F9">
              <w:rPr>
                <w:noProof/>
                <w:webHidden/>
              </w:rPr>
              <w:instrText xml:space="preserve"> PAGEREF _Toc127346426 \h </w:instrText>
            </w:r>
            <w:r w:rsidR="004F49F9">
              <w:rPr>
                <w:noProof/>
                <w:webHidden/>
              </w:rPr>
            </w:r>
            <w:r w:rsidR="004F49F9">
              <w:rPr>
                <w:noProof/>
                <w:webHidden/>
              </w:rPr>
              <w:fldChar w:fldCharType="separate"/>
            </w:r>
            <w:r w:rsidR="003E544B">
              <w:rPr>
                <w:noProof/>
                <w:webHidden/>
              </w:rPr>
              <w:t>240</w:t>
            </w:r>
            <w:r w:rsidR="004F49F9">
              <w:rPr>
                <w:noProof/>
                <w:webHidden/>
              </w:rPr>
              <w:fldChar w:fldCharType="end"/>
            </w:r>
          </w:hyperlink>
        </w:p>
        <w:p w14:paraId="244A1DC6" w14:textId="0749F66A" w:rsidR="004F49F9" w:rsidRDefault="00E55534">
          <w:pPr>
            <w:pStyle w:val="TOC1"/>
            <w:rPr>
              <w:rFonts w:asciiTheme="minorHAnsi" w:eastAsiaTheme="minorEastAsia" w:hAnsiTheme="minorHAnsi" w:cstheme="minorBidi"/>
              <w:b w:val="0"/>
              <w:noProof/>
              <w:sz w:val="22"/>
              <w:szCs w:val="22"/>
              <w:lang w:val="en-DK" w:eastAsia="en-DK"/>
            </w:rPr>
          </w:pPr>
          <w:hyperlink w:anchor="_Toc127346427" w:history="1">
            <w:r w:rsidR="004F49F9" w:rsidRPr="000366E0">
              <w:rPr>
                <w:rStyle w:val="Hyperlink"/>
                <w:noProof/>
              </w:rPr>
              <w:t>ANNEX 10: RDI-S Limit Masks</w:t>
            </w:r>
            <w:r w:rsidR="004F49F9">
              <w:rPr>
                <w:noProof/>
                <w:webHidden/>
              </w:rPr>
              <w:tab/>
            </w:r>
            <w:r w:rsidR="004F49F9">
              <w:rPr>
                <w:noProof/>
                <w:webHidden/>
              </w:rPr>
              <w:fldChar w:fldCharType="begin"/>
            </w:r>
            <w:r w:rsidR="004F49F9">
              <w:rPr>
                <w:noProof/>
                <w:webHidden/>
              </w:rPr>
              <w:instrText xml:space="preserve"> PAGEREF _Toc127346427 \h </w:instrText>
            </w:r>
            <w:r w:rsidR="004F49F9">
              <w:rPr>
                <w:noProof/>
                <w:webHidden/>
              </w:rPr>
            </w:r>
            <w:r w:rsidR="004F49F9">
              <w:rPr>
                <w:noProof/>
                <w:webHidden/>
              </w:rPr>
              <w:fldChar w:fldCharType="separate"/>
            </w:r>
            <w:r w:rsidR="003E544B">
              <w:rPr>
                <w:noProof/>
                <w:webHidden/>
              </w:rPr>
              <w:t>242</w:t>
            </w:r>
            <w:r w:rsidR="004F49F9">
              <w:rPr>
                <w:noProof/>
                <w:webHidden/>
              </w:rPr>
              <w:fldChar w:fldCharType="end"/>
            </w:r>
          </w:hyperlink>
        </w:p>
        <w:p w14:paraId="4A64EF99" w14:textId="3B7EECF1" w:rsidR="004F49F9" w:rsidRDefault="00E55534">
          <w:pPr>
            <w:pStyle w:val="TOC1"/>
            <w:rPr>
              <w:rFonts w:asciiTheme="minorHAnsi" w:eastAsiaTheme="minorEastAsia" w:hAnsiTheme="minorHAnsi" w:cstheme="minorBidi"/>
              <w:b w:val="0"/>
              <w:noProof/>
              <w:sz w:val="22"/>
              <w:szCs w:val="22"/>
              <w:lang w:val="en-DK" w:eastAsia="en-DK"/>
            </w:rPr>
          </w:pPr>
          <w:hyperlink w:anchor="_Toc127346428" w:history="1">
            <w:r w:rsidR="004F49F9" w:rsidRPr="000366E0">
              <w:rPr>
                <w:rStyle w:val="Hyperlink"/>
                <w:noProof/>
              </w:rPr>
              <w:t>ANNEX 11: Atmospheric Model used to Calculate Absorption by Gases</w:t>
            </w:r>
            <w:r w:rsidR="004F49F9">
              <w:rPr>
                <w:noProof/>
                <w:webHidden/>
              </w:rPr>
              <w:tab/>
            </w:r>
            <w:r w:rsidR="004F49F9">
              <w:rPr>
                <w:noProof/>
                <w:webHidden/>
              </w:rPr>
              <w:fldChar w:fldCharType="begin"/>
            </w:r>
            <w:r w:rsidR="004F49F9">
              <w:rPr>
                <w:noProof/>
                <w:webHidden/>
              </w:rPr>
              <w:instrText xml:space="preserve"> PAGEREF _Toc127346428 \h </w:instrText>
            </w:r>
            <w:r w:rsidR="004F49F9">
              <w:rPr>
                <w:noProof/>
                <w:webHidden/>
              </w:rPr>
            </w:r>
            <w:r w:rsidR="004F49F9">
              <w:rPr>
                <w:noProof/>
                <w:webHidden/>
              </w:rPr>
              <w:fldChar w:fldCharType="separate"/>
            </w:r>
            <w:r w:rsidR="003E544B">
              <w:rPr>
                <w:noProof/>
                <w:webHidden/>
              </w:rPr>
              <w:t>243</w:t>
            </w:r>
            <w:r w:rsidR="004F49F9">
              <w:rPr>
                <w:noProof/>
                <w:webHidden/>
              </w:rPr>
              <w:fldChar w:fldCharType="end"/>
            </w:r>
          </w:hyperlink>
        </w:p>
        <w:p w14:paraId="1D48A30A" w14:textId="0F54A861" w:rsidR="004F49F9" w:rsidRDefault="00E55534">
          <w:pPr>
            <w:pStyle w:val="TOC1"/>
            <w:rPr>
              <w:rFonts w:asciiTheme="minorHAnsi" w:eastAsiaTheme="minorEastAsia" w:hAnsiTheme="minorHAnsi" w:cstheme="minorBidi"/>
              <w:b w:val="0"/>
              <w:noProof/>
              <w:sz w:val="22"/>
              <w:szCs w:val="22"/>
              <w:lang w:val="en-DK" w:eastAsia="en-DK"/>
            </w:rPr>
          </w:pPr>
          <w:hyperlink w:anchor="_Toc127346429" w:history="1">
            <w:r w:rsidR="004F49F9" w:rsidRPr="000366E0">
              <w:rPr>
                <w:rStyle w:val="Hyperlink"/>
                <w:noProof/>
              </w:rPr>
              <w:t>ANNEX 12: List of References</w:t>
            </w:r>
            <w:r w:rsidR="004F49F9">
              <w:rPr>
                <w:noProof/>
                <w:webHidden/>
              </w:rPr>
              <w:tab/>
            </w:r>
            <w:r w:rsidR="004F49F9">
              <w:rPr>
                <w:noProof/>
                <w:webHidden/>
              </w:rPr>
              <w:fldChar w:fldCharType="begin"/>
            </w:r>
            <w:r w:rsidR="004F49F9">
              <w:rPr>
                <w:noProof/>
                <w:webHidden/>
              </w:rPr>
              <w:instrText xml:space="preserve"> PAGEREF _Toc127346429 \h </w:instrText>
            </w:r>
            <w:r w:rsidR="004F49F9">
              <w:rPr>
                <w:noProof/>
                <w:webHidden/>
              </w:rPr>
            </w:r>
            <w:r w:rsidR="004F49F9">
              <w:rPr>
                <w:noProof/>
                <w:webHidden/>
              </w:rPr>
              <w:fldChar w:fldCharType="separate"/>
            </w:r>
            <w:r w:rsidR="003E544B">
              <w:rPr>
                <w:noProof/>
                <w:webHidden/>
              </w:rPr>
              <w:t>245</w:t>
            </w:r>
            <w:r w:rsidR="004F49F9">
              <w:rPr>
                <w:noProof/>
                <w:webHidden/>
              </w:rPr>
              <w:fldChar w:fldCharType="end"/>
            </w:r>
          </w:hyperlink>
        </w:p>
        <w:p w14:paraId="22155A32" w14:textId="7F059A3C" w:rsidR="00F5369F" w:rsidRPr="006D6727" w:rsidDel="00F5369F" w:rsidRDefault="004E36C2" w:rsidP="004E36C2">
          <w:pPr>
            <w:pStyle w:val="TOC1"/>
            <w:rPr>
              <w:rStyle w:val="ECCParagraph"/>
              <w:noProof/>
            </w:rPr>
          </w:pPr>
          <w:r>
            <w:rPr>
              <w:rStyle w:val="ECCParagraph"/>
              <w:noProof/>
            </w:rPr>
            <w:fldChar w:fldCharType="end"/>
          </w:r>
        </w:p>
        <w:p w14:paraId="6C018463" w14:textId="0F60BDA8" w:rsidR="00120A17" w:rsidRPr="006D6727" w:rsidRDefault="00E55534" w:rsidP="00FD0670">
          <w:pPr>
            <w:rPr>
              <w:rStyle w:val="ECCParagraph"/>
              <w:noProof/>
            </w:rPr>
          </w:pPr>
        </w:p>
      </w:sdtContent>
    </w:sdt>
    <w:p w14:paraId="1140C274" w14:textId="77777777" w:rsidR="00791AAC" w:rsidRPr="006D6727" w:rsidRDefault="00791AAC" w:rsidP="00264464">
      <w:pPr>
        <w:rPr>
          <w:rStyle w:val="ECCParagraph"/>
          <w:noProof/>
        </w:rPr>
      </w:pPr>
      <w:r w:rsidRPr="006D6727">
        <w:rPr>
          <w:rStyle w:val="ECCParagraph"/>
          <w:noProof/>
        </w:rPr>
        <w:br w:type="page"/>
      </w:r>
    </w:p>
    <w:p w14:paraId="7C70929C" w14:textId="77777777" w:rsidR="008A54FC" w:rsidRPr="006D6727" w:rsidRDefault="008A54FC" w:rsidP="00AC2686">
      <w:pPr>
        <w:pStyle w:val="coverpageTableofContent"/>
        <w:rPr>
          <w:lang w:val="en-GB"/>
        </w:rPr>
      </w:pPr>
    </w:p>
    <w:p w14:paraId="05B56CE7" w14:textId="77777777" w:rsidR="008A54FC" w:rsidRPr="006D6727" w:rsidRDefault="00DF2C67" w:rsidP="00E2303A">
      <w:pPr>
        <w:pStyle w:val="coverpageTableofContent"/>
        <w:rPr>
          <w:lang w:val="en-GB"/>
        </w:rPr>
      </w:pPr>
      <w:r w:rsidRPr="006D6727">
        <mc:AlternateContent>
          <mc:Choice Requires="wps">
            <w:drawing>
              <wp:anchor distT="0" distB="0" distL="114300" distR="114300" simplePos="0" relativeHeight="251646976" behindDoc="1" locked="1" layoutInCell="1" allowOverlap="1" wp14:anchorId="6F346296" wp14:editId="47B6F992">
                <wp:simplePos x="0" y="0"/>
                <wp:positionH relativeFrom="page">
                  <wp:posOffset>0</wp:posOffset>
                </wp:positionH>
                <wp:positionV relativeFrom="page">
                  <wp:posOffset>902335</wp:posOffset>
                </wp:positionV>
                <wp:extent cx="9079230" cy="719455"/>
                <wp:effectExtent l="0" t="0" r="7620"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9230"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59F1B" id="Rectangle 22" o:spid="_x0000_s1026" style="position:absolute;margin-left:0;margin-top:71.05pt;width:714.9pt;height:56.6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" fillcolor="#b0a696" stroked="f">
                <w10:wrap anchorx="page" anchory="page"/>
                <w10:anchorlock/>
              </v:rect>
            </w:pict>
          </mc:Fallback>
        </mc:AlternateContent>
      </w:r>
      <w:r w:rsidR="008A54FC" w:rsidRPr="006D6727">
        <w:rPr>
          <w:lang w:val="en-GB"/>
        </w:rPr>
        <w:t>LIST OF ABBREVIATIONS</w:t>
      </w:r>
    </w:p>
    <w:p w14:paraId="1C1F81B5" w14:textId="77777777" w:rsidR="008A54FC" w:rsidRPr="006D6727" w:rsidRDefault="008A54FC" w:rsidP="00AC2686">
      <w:pPr>
        <w:pStyle w:val="coverpageTableofContent"/>
        <w:rPr>
          <w:lang w:val="en-GB"/>
        </w:rPr>
      </w:pPr>
    </w:p>
    <w:tbl>
      <w:tblPr>
        <w:tblStyle w:val="ECCTable-redhead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076"/>
        <w:gridCol w:w="7553"/>
      </w:tblGrid>
      <w:tr w:rsidR="00635DA2" w:rsidRPr="006D6727" w14:paraId="4D000704" w14:textId="77777777" w:rsidTr="008E24B7">
        <w:trPr>
          <w:cnfStyle w:val="100000000000" w:firstRow="1" w:lastRow="0" w:firstColumn="0" w:lastColumn="0" w:oddVBand="0" w:evenVBand="0" w:oddHBand="0" w:evenHBand="0" w:firstRowFirstColumn="0" w:firstRowLastColumn="0" w:lastRowFirstColumn="0" w:lastRowLastColumn="0"/>
          <w:trHeight w:val="76"/>
        </w:trPr>
        <w:tc>
          <w:tcPr>
            <w:tcW w:w="2076"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FBFC189" w14:textId="77777777" w:rsidR="00635DA2" w:rsidRPr="00E01BA0" w:rsidRDefault="00635DA2" w:rsidP="00841C88">
            <w:pPr>
              <w:pStyle w:val="ECCTableHeaderwhitefont"/>
              <w:jc w:val="left"/>
              <w:rPr>
                <w:noProof/>
                <w:color w:val="D2232A"/>
              </w:rPr>
            </w:pPr>
            <w:r w:rsidRPr="00E01BA0">
              <w:rPr>
                <w:noProof/>
                <w:color w:val="D2232A"/>
              </w:rPr>
              <w:t>Abbreviation</w:t>
            </w:r>
          </w:p>
        </w:tc>
        <w:tc>
          <w:tcPr>
            <w:tcW w:w="755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A709B3A" w14:textId="77777777" w:rsidR="00635DA2" w:rsidRPr="00E01BA0" w:rsidRDefault="00635DA2" w:rsidP="00841C88">
            <w:pPr>
              <w:pStyle w:val="ECCTableHeaderwhitefont"/>
              <w:jc w:val="left"/>
              <w:rPr>
                <w:noProof/>
                <w:color w:val="D2232A"/>
              </w:rPr>
            </w:pPr>
            <w:r w:rsidRPr="00E01BA0">
              <w:rPr>
                <w:noProof/>
                <w:color w:val="D2232A"/>
              </w:rPr>
              <w:t>Explanation</w:t>
            </w:r>
          </w:p>
        </w:tc>
      </w:tr>
      <w:tr w:rsidR="00635DA2" w:rsidRPr="006D6727" w14:paraId="7030891B" w14:textId="77777777" w:rsidTr="008E24B7">
        <w:trPr>
          <w:trHeight w:val="317"/>
        </w:trPr>
        <w:tc>
          <w:tcPr>
            <w:tcW w:w="2076" w:type="dxa"/>
          </w:tcPr>
          <w:p w14:paraId="151A038A" w14:textId="77777777" w:rsidR="00635DA2" w:rsidRPr="006D6727" w:rsidRDefault="00635DA2" w:rsidP="008E24B7">
            <w:pPr>
              <w:pStyle w:val="ECCTabletext"/>
              <w:spacing w:before="60"/>
              <w:jc w:val="left"/>
              <w:rPr>
                <w:rStyle w:val="ECCHLbold"/>
                <w:noProof/>
              </w:rPr>
            </w:pPr>
            <w:r>
              <w:rPr>
                <w:rStyle w:val="ECCHLbold"/>
              </w:rPr>
              <w:t>3D</w:t>
            </w:r>
          </w:p>
        </w:tc>
        <w:tc>
          <w:tcPr>
            <w:tcW w:w="7553" w:type="dxa"/>
          </w:tcPr>
          <w:p w14:paraId="22068BDE" w14:textId="77777777" w:rsidR="00635DA2" w:rsidRPr="006D6727" w:rsidRDefault="00635DA2" w:rsidP="008E24B7">
            <w:pPr>
              <w:pStyle w:val="ECCTabletext"/>
              <w:spacing w:before="60"/>
              <w:jc w:val="left"/>
              <w:rPr>
                <w:noProof/>
              </w:rPr>
            </w:pPr>
            <w:r>
              <w:t>Three Dimensional</w:t>
            </w:r>
          </w:p>
        </w:tc>
      </w:tr>
      <w:tr w:rsidR="00635DA2" w:rsidRPr="006D6727" w14:paraId="2B217FA2" w14:textId="77777777" w:rsidTr="008E24B7">
        <w:trPr>
          <w:trHeight w:val="317"/>
        </w:trPr>
        <w:tc>
          <w:tcPr>
            <w:tcW w:w="2076" w:type="dxa"/>
          </w:tcPr>
          <w:p w14:paraId="1108B943" w14:textId="77777777" w:rsidR="00635DA2" w:rsidRPr="006D6727" w:rsidRDefault="00635DA2" w:rsidP="008E24B7">
            <w:pPr>
              <w:pStyle w:val="ECCTabletext"/>
              <w:spacing w:before="60"/>
              <w:jc w:val="left"/>
              <w:rPr>
                <w:rStyle w:val="ECCHLbold"/>
                <w:noProof/>
              </w:rPr>
            </w:pPr>
            <w:r>
              <w:rPr>
                <w:rStyle w:val="ECCHLbold"/>
              </w:rPr>
              <w:t>ADAS</w:t>
            </w:r>
          </w:p>
        </w:tc>
        <w:tc>
          <w:tcPr>
            <w:tcW w:w="7553" w:type="dxa"/>
          </w:tcPr>
          <w:p w14:paraId="16B7FAE9" w14:textId="77777777" w:rsidR="00635DA2" w:rsidRPr="006D6727" w:rsidRDefault="00635DA2" w:rsidP="008E24B7">
            <w:pPr>
              <w:pStyle w:val="ECCTabletext"/>
              <w:spacing w:before="60"/>
              <w:jc w:val="left"/>
              <w:rPr>
                <w:noProof/>
              </w:rPr>
            </w:pPr>
            <w:r w:rsidRPr="00002287">
              <w:t>Advanced Driver-Assistance Systems</w:t>
            </w:r>
          </w:p>
        </w:tc>
      </w:tr>
      <w:tr w:rsidR="00635DA2" w:rsidRPr="006D6727" w14:paraId="55AE7E2D" w14:textId="77777777" w:rsidTr="008E24B7">
        <w:trPr>
          <w:trHeight w:val="317"/>
        </w:trPr>
        <w:tc>
          <w:tcPr>
            <w:tcW w:w="2076" w:type="dxa"/>
          </w:tcPr>
          <w:p w14:paraId="3F2A2C2A" w14:textId="77777777" w:rsidR="00635DA2" w:rsidRPr="00002287" w:rsidRDefault="00635DA2" w:rsidP="008E24B7">
            <w:pPr>
              <w:pStyle w:val="ECCTabletext"/>
              <w:spacing w:before="60"/>
              <w:jc w:val="left"/>
              <w:rPr>
                <w:rStyle w:val="ECCHLbold"/>
              </w:rPr>
            </w:pPr>
            <w:r w:rsidRPr="00002287">
              <w:rPr>
                <w:rStyle w:val="ECCHLbold"/>
              </w:rPr>
              <w:t>ALMA</w:t>
            </w:r>
          </w:p>
        </w:tc>
        <w:tc>
          <w:tcPr>
            <w:tcW w:w="7553" w:type="dxa"/>
          </w:tcPr>
          <w:p w14:paraId="4FED1795" w14:textId="77777777" w:rsidR="00635DA2" w:rsidRPr="00002287" w:rsidRDefault="00635DA2" w:rsidP="008E24B7">
            <w:pPr>
              <w:pStyle w:val="ECCTabletext"/>
              <w:spacing w:before="60"/>
              <w:jc w:val="left"/>
            </w:pPr>
            <w:r w:rsidRPr="00002287">
              <w:t>Atacama Large Millimeter/submillimeter Array</w:t>
            </w:r>
          </w:p>
        </w:tc>
      </w:tr>
      <w:tr w:rsidR="00635DA2" w:rsidRPr="006D6727" w14:paraId="07128B40" w14:textId="77777777" w:rsidTr="008E24B7">
        <w:trPr>
          <w:trHeight w:val="317"/>
        </w:trPr>
        <w:tc>
          <w:tcPr>
            <w:tcW w:w="2076" w:type="dxa"/>
          </w:tcPr>
          <w:p w14:paraId="222B7664" w14:textId="77777777" w:rsidR="00635DA2" w:rsidRPr="00002287" w:rsidRDefault="00635DA2" w:rsidP="008E24B7">
            <w:pPr>
              <w:pStyle w:val="ECCTabletext"/>
              <w:spacing w:before="60"/>
              <w:jc w:val="left"/>
              <w:rPr>
                <w:rStyle w:val="ECCHLbold"/>
              </w:rPr>
            </w:pPr>
            <w:r>
              <w:rPr>
                <w:rStyle w:val="ECCHLbold"/>
              </w:rPr>
              <w:t>AS</w:t>
            </w:r>
          </w:p>
        </w:tc>
        <w:tc>
          <w:tcPr>
            <w:tcW w:w="7553" w:type="dxa"/>
          </w:tcPr>
          <w:p w14:paraId="78699F55" w14:textId="77777777" w:rsidR="00635DA2" w:rsidRPr="00002287" w:rsidRDefault="00635DA2" w:rsidP="008E24B7">
            <w:pPr>
              <w:pStyle w:val="ECCTabletext"/>
              <w:spacing w:before="60"/>
              <w:jc w:val="left"/>
            </w:pPr>
            <w:r>
              <w:t>Antenna System</w:t>
            </w:r>
          </w:p>
        </w:tc>
      </w:tr>
      <w:tr w:rsidR="00635DA2" w:rsidRPr="006D6727" w14:paraId="6653D25F" w14:textId="77777777" w:rsidTr="008E24B7">
        <w:trPr>
          <w:trHeight w:val="317"/>
        </w:trPr>
        <w:tc>
          <w:tcPr>
            <w:tcW w:w="2076" w:type="dxa"/>
          </w:tcPr>
          <w:p w14:paraId="6D74C407" w14:textId="77777777" w:rsidR="00635DA2" w:rsidRPr="00002287" w:rsidRDefault="00635DA2" w:rsidP="008E24B7">
            <w:pPr>
              <w:pStyle w:val="ECCTabletext"/>
              <w:spacing w:before="60"/>
              <w:jc w:val="left"/>
              <w:rPr>
                <w:rStyle w:val="ECCHLbold"/>
              </w:rPr>
            </w:pPr>
            <w:r>
              <w:rPr>
                <w:rStyle w:val="ECCHLbold"/>
              </w:rPr>
              <w:t>AWS</w:t>
            </w:r>
          </w:p>
        </w:tc>
        <w:tc>
          <w:tcPr>
            <w:tcW w:w="7553" w:type="dxa"/>
          </w:tcPr>
          <w:p w14:paraId="33914012" w14:textId="77777777" w:rsidR="00635DA2" w:rsidRPr="00002287" w:rsidRDefault="00635DA2" w:rsidP="008E24B7">
            <w:pPr>
              <w:pStyle w:val="ECCTabletext"/>
              <w:spacing w:before="60"/>
              <w:jc w:val="left"/>
            </w:pPr>
            <w:r>
              <w:t>Automatic Weather Station</w:t>
            </w:r>
          </w:p>
        </w:tc>
      </w:tr>
      <w:tr w:rsidR="00635DA2" w:rsidRPr="006D6727" w14:paraId="554811B7" w14:textId="77777777" w:rsidTr="008E24B7">
        <w:trPr>
          <w:trHeight w:val="317"/>
        </w:trPr>
        <w:tc>
          <w:tcPr>
            <w:tcW w:w="2076" w:type="dxa"/>
          </w:tcPr>
          <w:p w14:paraId="38BA6C91" w14:textId="77777777" w:rsidR="00635DA2" w:rsidRDefault="00635DA2" w:rsidP="008E24B7">
            <w:pPr>
              <w:pStyle w:val="ECCTabletext"/>
              <w:spacing w:before="60"/>
              <w:jc w:val="left"/>
              <w:rPr>
                <w:rStyle w:val="ECCHLbold"/>
              </w:rPr>
            </w:pPr>
            <w:r>
              <w:rPr>
                <w:rStyle w:val="ECCHLbold"/>
              </w:rPr>
              <w:t>BEL</w:t>
            </w:r>
          </w:p>
        </w:tc>
        <w:tc>
          <w:tcPr>
            <w:tcW w:w="7553" w:type="dxa"/>
          </w:tcPr>
          <w:p w14:paraId="62E3B949" w14:textId="77777777" w:rsidR="00635DA2" w:rsidRDefault="00635DA2" w:rsidP="008E24B7">
            <w:pPr>
              <w:pStyle w:val="ECCTabletext"/>
              <w:spacing w:before="60"/>
              <w:jc w:val="left"/>
            </w:pPr>
            <w:r>
              <w:t>Building Entry Loss</w:t>
            </w:r>
          </w:p>
        </w:tc>
      </w:tr>
      <w:tr w:rsidR="00635DA2" w:rsidRPr="006D6727" w14:paraId="30F1DA13" w14:textId="77777777" w:rsidTr="008E24B7">
        <w:trPr>
          <w:trHeight w:val="317"/>
        </w:trPr>
        <w:tc>
          <w:tcPr>
            <w:tcW w:w="2076" w:type="dxa"/>
          </w:tcPr>
          <w:p w14:paraId="48DC7E69" w14:textId="77777777" w:rsidR="00635DA2" w:rsidRDefault="00635DA2" w:rsidP="008E24B7">
            <w:pPr>
              <w:pStyle w:val="ECCTabletext"/>
              <w:spacing w:before="60"/>
              <w:jc w:val="left"/>
              <w:rPr>
                <w:rStyle w:val="ECCHLbold"/>
              </w:rPr>
            </w:pPr>
            <w:r>
              <w:rPr>
                <w:rStyle w:val="ECCHLbold"/>
              </w:rPr>
              <w:t>BW</w:t>
            </w:r>
          </w:p>
        </w:tc>
        <w:tc>
          <w:tcPr>
            <w:tcW w:w="7553" w:type="dxa"/>
          </w:tcPr>
          <w:p w14:paraId="4DEA4F52" w14:textId="77777777" w:rsidR="00635DA2" w:rsidRDefault="00635DA2" w:rsidP="008E24B7">
            <w:pPr>
              <w:pStyle w:val="ECCTabletext"/>
              <w:spacing w:before="60"/>
              <w:jc w:val="left"/>
            </w:pPr>
            <w:r>
              <w:t>Bandwidth</w:t>
            </w:r>
          </w:p>
        </w:tc>
      </w:tr>
      <w:tr w:rsidR="00635DA2" w:rsidRPr="006D6727" w14:paraId="44FD9E12" w14:textId="77777777" w:rsidTr="008E24B7">
        <w:trPr>
          <w:trHeight w:val="317"/>
        </w:trPr>
        <w:tc>
          <w:tcPr>
            <w:tcW w:w="2076" w:type="dxa"/>
          </w:tcPr>
          <w:p w14:paraId="4947EA36" w14:textId="77777777" w:rsidR="00635DA2" w:rsidRDefault="00635DA2" w:rsidP="008E24B7">
            <w:pPr>
              <w:pStyle w:val="ECCTabletext"/>
              <w:spacing w:before="60"/>
              <w:jc w:val="left"/>
              <w:rPr>
                <w:rStyle w:val="ECCHLbold"/>
              </w:rPr>
            </w:pPr>
            <w:r>
              <w:rPr>
                <w:rStyle w:val="ECCHLbold"/>
              </w:rPr>
              <w:t>BWA</w:t>
            </w:r>
          </w:p>
        </w:tc>
        <w:tc>
          <w:tcPr>
            <w:tcW w:w="7553" w:type="dxa"/>
          </w:tcPr>
          <w:p w14:paraId="66F0F541" w14:textId="77777777" w:rsidR="00635DA2" w:rsidRDefault="00635DA2" w:rsidP="008E24B7">
            <w:pPr>
              <w:pStyle w:val="ECCTabletext"/>
              <w:spacing w:before="60"/>
              <w:jc w:val="left"/>
            </w:pPr>
            <w:r>
              <w:t>Broadband Wireless Access</w:t>
            </w:r>
          </w:p>
        </w:tc>
      </w:tr>
      <w:tr w:rsidR="00635DA2" w:rsidRPr="006D6727" w14:paraId="5D335512" w14:textId="77777777" w:rsidTr="008E24B7">
        <w:trPr>
          <w:trHeight w:val="317"/>
        </w:trPr>
        <w:tc>
          <w:tcPr>
            <w:tcW w:w="2076" w:type="dxa"/>
          </w:tcPr>
          <w:p w14:paraId="50A6021D" w14:textId="77777777" w:rsidR="00635DA2" w:rsidRDefault="00635DA2" w:rsidP="008E24B7">
            <w:pPr>
              <w:pStyle w:val="ECCTabletext"/>
              <w:spacing w:before="60"/>
              <w:jc w:val="left"/>
              <w:rPr>
                <w:rStyle w:val="ECCHLbold"/>
              </w:rPr>
            </w:pPr>
            <w:r>
              <w:rPr>
                <w:rStyle w:val="ECCHLbold"/>
              </w:rPr>
              <w:t>CDF</w:t>
            </w:r>
          </w:p>
        </w:tc>
        <w:tc>
          <w:tcPr>
            <w:tcW w:w="7553" w:type="dxa"/>
          </w:tcPr>
          <w:p w14:paraId="0BABE9C1" w14:textId="77777777" w:rsidR="00635DA2" w:rsidRDefault="00635DA2" w:rsidP="008E24B7">
            <w:pPr>
              <w:pStyle w:val="ECCTabletext"/>
              <w:spacing w:before="60"/>
              <w:jc w:val="left"/>
            </w:pPr>
            <w:r>
              <w:t>Cumulative Distribution Function</w:t>
            </w:r>
          </w:p>
        </w:tc>
      </w:tr>
      <w:tr w:rsidR="00635DA2" w:rsidRPr="0067654F" w14:paraId="27CD7729" w14:textId="77777777" w:rsidTr="008E24B7">
        <w:trPr>
          <w:trHeight w:val="317"/>
        </w:trPr>
        <w:tc>
          <w:tcPr>
            <w:tcW w:w="2076" w:type="dxa"/>
          </w:tcPr>
          <w:p w14:paraId="15538A14" w14:textId="77777777" w:rsidR="00635DA2" w:rsidRDefault="00635DA2" w:rsidP="008E24B7">
            <w:pPr>
              <w:pStyle w:val="ECCTabletext"/>
              <w:spacing w:before="60"/>
              <w:jc w:val="left"/>
              <w:rPr>
                <w:rStyle w:val="ECCHLbold"/>
              </w:rPr>
            </w:pPr>
            <w:r>
              <w:rPr>
                <w:rStyle w:val="ECCHLbold"/>
              </w:rPr>
              <w:t>CDR</w:t>
            </w:r>
          </w:p>
        </w:tc>
        <w:tc>
          <w:tcPr>
            <w:tcW w:w="7553" w:type="dxa"/>
          </w:tcPr>
          <w:p w14:paraId="40E4E261" w14:textId="77777777" w:rsidR="00635DA2" w:rsidRPr="003E165E" w:rsidRDefault="00635DA2" w:rsidP="008E24B7">
            <w:pPr>
              <w:pStyle w:val="ECCTabletext"/>
              <w:spacing w:before="60"/>
              <w:jc w:val="left"/>
              <w:rPr>
                <w:lang w:val="fr-FR"/>
              </w:rPr>
            </w:pPr>
            <w:r w:rsidRPr="003E165E">
              <w:rPr>
                <w:lang w:val="fr-FR"/>
              </w:rPr>
              <w:t>Contour Detection Radar, Contour Determination and Acquisition Radar</w:t>
            </w:r>
          </w:p>
        </w:tc>
      </w:tr>
      <w:tr w:rsidR="00635DA2" w:rsidRPr="006D6727" w14:paraId="29D78CF9" w14:textId="77777777" w:rsidTr="008E24B7">
        <w:trPr>
          <w:trHeight w:val="317"/>
        </w:trPr>
        <w:tc>
          <w:tcPr>
            <w:tcW w:w="2076" w:type="dxa"/>
          </w:tcPr>
          <w:p w14:paraId="10612428" w14:textId="77777777" w:rsidR="00635DA2" w:rsidRPr="00002287" w:rsidRDefault="00635DA2" w:rsidP="008E24B7">
            <w:pPr>
              <w:pStyle w:val="ECCTabletext"/>
              <w:spacing w:before="60"/>
              <w:jc w:val="left"/>
              <w:rPr>
                <w:rStyle w:val="ECCHLbold"/>
              </w:rPr>
            </w:pPr>
            <w:r w:rsidRPr="00002287">
              <w:rPr>
                <w:rStyle w:val="ECCHLbold"/>
              </w:rPr>
              <w:t>CEPT</w:t>
            </w:r>
          </w:p>
        </w:tc>
        <w:tc>
          <w:tcPr>
            <w:tcW w:w="7553" w:type="dxa"/>
          </w:tcPr>
          <w:p w14:paraId="79B4D836" w14:textId="77777777" w:rsidR="00635DA2" w:rsidRPr="00002287" w:rsidRDefault="00635DA2" w:rsidP="008E24B7">
            <w:pPr>
              <w:pStyle w:val="ECCTabletext"/>
              <w:spacing w:before="60"/>
              <w:jc w:val="left"/>
            </w:pPr>
            <w:r w:rsidRPr="00002287">
              <w:t>European Conference of Postal and Telecommunications Administrations</w:t>
            </w:r>
          </w:p>
        </w:tc>
      </w:tr>
      <w:tr w:rsidR="00635DA2" w:rsidRPr="006D6727" w14:paraId="62C79CE3" w14:textId="77777777" w:rsidTr="008E24B7">
        <w:trPr>
          <w:trHeight w:val="317"/>
        </w:trPr>
        <w:tc>
          <w:tcPr>
            <w:tcW w:w="2076" w:type="dxa"/>
          </w:tcPr>
          <w:p w14:paraId="4D4801F3" w14:textId="77777777" w:rsidR="00635DA2" w:rsidRDefault="00635DA2" w:rsidP="008E24B7">
            <w:pPr>
              <w:pStyle w:val="ECCTabletext"/>
              <w:spacing w:before="60"/>
              <w:jc w:val="left"/>
              <w:rPr>
                <w:rStyle w:val="ECCHLbold"/>
              </w:rPr>
            </w:pPr>
            <w:r>
              <w:rPr>
                <w:rStyle w:val="ECCHLbold"/>
              </w:rPr>
              <w:t>CEPT</w:t>
            </w:r>
          </w:p>
        </w:tc>
        <w:tc>
          <w:tcPr>
            <w:tcW w:w="7553" w:type="dxa"/>
          </w:tcPr>
          <w:p w14:paraId="5E7FAAC8" w14:textId="77777777" w:rsidR="00635DA2" w:rsidRDefault="00635DA2" w:rsidP="008E24B7">
            <w:pPr>
              <w:pStyle w:val="ECCTabletext"/>
              <w:spacing w:before="60"/>
              <w:jc w:val="left"/>
            </w:pPr>
            <w:r w:rsidRPr="00002287">
              <w:t>European Conference of Postal and Telecommunications Administrations</w:t>
            </w:r>
          </w:p>
        </w:tc>
      </w:tr>
      <w:tr w:rsidR="00635DA2" w:rsidRPr="006D6727" w14:paraId="7A2670CA" w14:textId="77777777" w:rsidTr="008E24B7">
        <w:trPr>
          <w:trHeight w:val="317"/>
        </w:trPr>
        <w:tc>
          <w:tcPr>
            <w:tcW w:w="2076" w:type="dxa"/>
          </w:tcPr>
          <w:p w14:paraId="1EDA8F54" w14:textId="77777777" w:rsidR="00635DA2" w:rsidRDefault="00635DA2" w:rsidP="008E24B7">
            <w:pPr>
              <w:pStyle w:val="ECCTabletext"/>
              <w:spacing w:before="60"/>
              <w:jc w:val="left"/>
              <w:rPr>
                <w:rStyle w:val="ECCHLbold"/>
              </w:rPr>
            </w:pPr>
            <w:r>
              <w:rPr>
                <w:rStyle w:val="ECCHLbold"/>
              </w:rPr>
              <w:t>CMOS</w:t>
            </w:r>
          </w:p>
        </w:tc>
        <w:tc>
          <w:tcPr>
            <w:tcW w:w="7553" w:type="dxa"/>
          </w:tcPr>
          <w:p w14:paraId="41B93B58" w14:textId="77777777" w:rsidR="00635DA2" w:rsidRPr="00002287" w:rsidRDefault="00635DA2" w:rsidP="008E24B7">
            <w:r w:rsidRPr="00002287">
              <w:t>Complementary Metal Oxide Semiconductor</w:t>
            </w:r>
          </w:p>
        </w:tc>
      </w:tr>
      <w:tr w:rsidR="00635DA2" w:rsidRPr="006D6727" w14:paraId="2D09A9D2" w14:textId="77777777" w:rsidTr="008E24B7">
        <w:trPr>
          <w:trHeight w:val="317"/>
        </w:trPr>
        <w:tc>
          <w:tcPr>
            <w:tcW w:w="2076" w:type="dxa"/>
          </w:tcPr>
          <w:p w14:paraId="2FC1DCB6" w14:textId="77777777" w:rsidR="00635DA2" w:rsidRDefault="00635DA2" w:rsidP="008E24B7">
            <w:pPr>
              <w:pStyle w:val="ECCTabletext"/>
              <w:spacing w:before="60"/>
              <w:jc w:val="left"/>
              <w:rPr>
                <w:rStyle w:val="ECCHLbold"/>
              </w:rPr>
            </w:pPr>
            <w:r>
              <w:rPr>
                <w:rStyle w:val="ECCHLbold"/>
              </w:rPr>
              <w:t>CO</w:t>
            </w:r>
          </w:p>
        </w:tc>
        <w:tc>
          <w:tcPr>
            <w:tcW w:w="7553" w:type="dxa"/>
          </w:tcPr>
          <w:p w14:paraId="3B3CF82D" w14:textId="77777777" w:rsidR="00635DA2" w:rsidRPr="00002287" w:rsidRDefault="00635DA2" w:rsidP="008E24B7">
            <w:r w:rsidRPr="00002287">
              <w:t>Continuum Observation</w:t>
            </w:r>
          </w:p>
        </w:tc>
      </w:tr>
      <w:tr w:rsidR="00635DA2" w:rsidRPr="006D6727" w14:paraId="283C8B4E" w14:textId="77777777" w:rsidTr="008E24B7">
        <w:trPr>
          <w:trHeight w:val="317"/>
        </w:trPr>
        <w:tc>
          <w:tcPr>
            <w:tcW w:w="2076" w:type="dxa"/>
          </w:tcPr>
          <w:p w14:paraId="66C49E1A" w14:textId="77777777" w:rsidR="00635DA2" w:rsidRDefault="00635DA2" w:rsidP="008E24B7">
            <w:pPr>
              <w:pStyle w:val="ECCTabletext"/>
              <w:spacing w:before="60"/>
              <w:jc w:val="left"/>
              <w:rPr>
                <w:rStyle w:val="ECCHLbold"/>
              </w:rPr>
            </w:pPr>
            <w:r>
              <w:rPr>
                <w:rStyle w:val="ECCHLbold"/>
              </w:rPr>
              <w:t>CO2</w:t>
            </w:r>
          </w:p>
        </w:tc>
        <w:tc>
          <w:tcPr>
            <w:tcW w:w="7553" w:type="dxa"/>
          </w:tcPr>
          <w:p w14:paraId="1FF229DB" w14:textId="77777777" w:rsidR="00635DA2" w:rsidRPr="00002287" w:rsidRDefault="00635DA2" w:rsidP="008E24B7">
            <w:r w:rsidRPr="00002287">
              <w:t>Carbon Dioxide</w:t>
            </w:r>
          </w:p>
        </w:tc>
      </w:tr>
      <w:tr w:rsidR="00635DA2" w:rsidRPr="006D6727" w14:paraId="5BF86FCE" w14:textId="77777777" w:rsidTr="008E24B7">
        <w:trPr>
          <w:trHeight w:val="317"/>
        </w:trPr>
        <w:tc>
          <w:tcPr>
            <w:tcW w:w="2076" w:type="dxa"/>
          </w:tcPr>
          <w:p w14:paraId="35B8F386" w14:textId="77777777" w:rsidR="00635DA2" w:rsidRDefault="00635DA2" w:rsidP="008E24B7">
            <w:pPr>
              <w:pStyle w:val="ECCTabletext"/>
              <w:spacing w:before="60"/>
              <w:jc w:val="left"/>
              <w:rPr>
                <w:rStyle w:val="ECCHLbold"/>
              </w:rPr>
            </w:pPr>
            <w:r>
              <w:rPr>
                <w:rStyle w:val="ECCHLbold"/>
              </w:rPr>
              <w:t>CW</w:t>
            </w:r>
          </w:p>
        </w:tc>
        <w:tc>
          <w:tcPr>
            <w:tcW w:w="7553" w:type="dxa"/>
          </w:tcPr>
          <w:p w14:paraId="13631A66" w14:textId="77777777" w:rsidR="00635DA2" w:rsidRPr="00002287" w:rsidRDefault="00635DA2" w:rsidP="008E24B7">
            <w:r w:rsidRPr="00002287">
              <w:t>Continuous Wave</w:t>
            </w:r>
          </w:p>
        </w:tc>
      </w:tr>
      <w:tr w:rsidR="00635DA2" w:rsidRPr="006D6727" w14:paraId="6A8AF7B3" w14:textId="77777777" w:rsidTr="008E24B7">
        <w:trPr>
          <w:trHeight w:val="317"/>
        </w:trPr>
        <w:tc>
          <w:tcPr>
            <w:tcW w:w="2076" w:type="dxa"/>
          </w:tcPr>
          <w:p w14:paraId="64E606E1" w14:textId="77777777" w:rsidR="00635DA2" w:rsidRPr="00002287" w:rsidRDefault="00635DA2" w:rsidP="008E24B7">
            <w:pPr>
              <w:pStyle w:val="ECCTabletext"/>
              <w:spacing w:before="60"/>
              <w:jc w:val="left"/>
              <w:rPr>
                <w:rStyle w:val="ECCHLbold"/>
              </w:rPr>
            </w:pPr>
            <w:r>
              <w:rPr>
                <w:rStyle w:val="ECCHLbold"/>
              </w:rPr>
              <w:t>dB</w:t>
            </w:r>
          </w:p>
        </w:tc>
        <w:tc>
          <w:tcPr>
            <w:tcW w:w="7553" w:type="dxa"/>
          </w:tcPr>
          <w:p w14:paraId="67A2C5CB" w14:textId="77777777" w:rsidR="00635DA2" w:rsidRPr="00002287" w:rsidRDefault="00635DA2" w:rsidP="008E24B7">
            <w:pPr>
              <w:rPr>
                <w:rStyle w:val="ECCParagraph"/>
              </w:rPr>
            </w:pPr>
            <w:r>
              <w:rPr>
                <w:rStyle w:val="ECCParagraph"/>
              </w:rPr>
              <w:t>deciBels</w:t>
            </w:r>
          </w:p>
        </w:tc>
      </w:tr>
      <w:tr w:rsidR="00635DA2" w:rsidRPr="006D6727" w14:paraId="79ED1639" w14:textId="77777777" w:rsidTr="008E24B7">
        <w:trPr>
          <w:trHeight w:val="317"/>
        </w:trPr>
        <w:tc>
          <w:tcPr>
            <w:tcW w:w="2076" w:type="dxa"/>
          </w:tcPr>
          <w:p w14:paraId="704D9100" w14:textId="77777777" w:rsidR="00635DA2" w:rsidRPr="00002287" w:rsidRDefault="00635DA2" w:rsidP="008E24B7">
            <w:pPr>
              <w:pStyle w:val="ECCTabletext"/>
              <w:spacing w:before="60"/>
              <w:jc w:val="left"/>
              <w:rPr>
                <w:rStyle w:val="ECCHLbold"/>
              </w:rPr>
            </w:pPr>
            <w:r w:rsidRPr="00002287">
              <w:rPr>
                <w:rStyle w:val="ECCHLbold"/>
              </w:rPr>
              <w:t>DBF-CDR</w:t>
            </w:r>
          </w:p>
        </w:tc>
        <w:tc>
          <w:tcPr>
            <w:tcW w:w="7553" w:type="dxa"/>
          </w:tcPr>
          <w:p w14:paraId="6AC09A51" w14:textId="77777777" w:rsidR="00635DA2" w:rsidRPr="00002287" w:rsidRDefault="00635DA2" w:rsidP="008E24B7">
            <w:r w:rsidRPr="00002287">
              <w:rPr>
                <w:rStyle w:val="ECCParagraph"/>
              </w:rPr>
              <w:t xml:space="preserve">Digital </w:t>
            </w:r>
            <w:r>
              <w:rPr>
                <w:rStyle w:val="ECCParagraph"/>
              </w:rPr>
              <w:t>B</w:t>
            </w:r>
            <w:r w:rsidRPr="00002287">
              <w:rPr>
                <w:rStyle w:val="ECCParagraph"/>
              </w:rPr>
              <w:t xml:space="preserve">eamforming </w:t>
            </w:r>
            <w:r>
              <w:rPr>
                <w:rStyle w:val="ECCParagraph"/>
              </w:rPr>
              <w:t>C</w:t>
            </w:r>
            <w:r w:rsidRPr="00002287">
              <w:rPr>
                <w:rStyle w:val="ECCParagraph"/>
              </w:rPr>
              <w:t xml:space="preserve">ontour </w:t>
            </w:r>
            <w:r>
              <w:rPr>
                <w:rStyle w:val="ECCParagraph"/>
              </w:rPr>
              <w:t>D</w:t>
            </w:r>
            <w:r w:rsidRPr="00002287">
              <w:rPr>
                <w:rStyle w:val="ECCParagraph"/>
              </w:rPr>
              <w:t xml:space="preserve">etection </w:t>
            </w:r>
            <w:r>
              <w:rPr>
                <w:rStyle w:val="ECCParagraph"/>
              </w:rPr>
              <w:t>R</w:t>
            </w:r>
            <w:r w:rsidRPr="00002287">
              <w:rPr>
                <w:rStyle w:val="ECCParagraph"/>
              </w:rPr>
              <w:t>adar</w:t>
            </w:r>
          </w:p>
        </w:tc>
      </w:tr>
      <w:tr w:rsidR="00635DA2" w:rsidRPr="006D6727" w14:paraId="6ACFB11B" w14:textId="77777777" w:rsidTr="008E24B7">
        <w:trPr>
          <w:trHeight w:val="317"/>
        </w:trPr>
        <w:tc>
          <w:tcPr>
            <w:tcW w:w="2076" w:type="dxa"/>
          </w:tcPr>
          <w:p w14:paraId="177A9221" w14:textId="77777777" w:rsidR="00635DA2" w:rsidRDefault="00635DA2" w:rsidP="008E24B7">
            <w:pPr>
              <w:pStyle w:val="ECCTabletext"/>
              <w:spacing w:before="60"/>
              <w:jc w:val="left"/>
              <w:rPr>
                <w:rStyle w:val="ECCHLbold"/>
              </w:rPr>
            </w:pPr>
            <w:r>
              <w:rPr>
                <w:rStyle w:val="ECCHLbold"/>
              </w:rPr>
              <w:t>dBi</w:t>
            </w:r>
          </w:p>
        </w:tc>
        <w:tc>
          <w:tcPr>
            <w:tcW w:w="7553" w:type="dxa"/>
          </w:tcPr>
          <w:p w14:paraId="5444B48F" w14:textId="30C6669A" w:rsidR="00635DA2" w:rsidRDefault="00635DA2" w:rsidP="008E24B7">
            <w:pPr>
              <w:rPr>
                <w:rStyle w:val="ECCParagraph"/>
              </w:rPr>
            </w:pPr>
            <w:r w:rsidRPr="00002287">
              <w:t xml:space="preserve">Antenna </w:t>
            </w:r>
            <w:r>
              <w:t>G</w:t>
            </w:r>
            <w:r w:rsidRPr="00002287">
              <w:t xml:space="preserve">ain in deciBels relative to an </w:t>
            </w:r>
            <w:r>
              <w:t>I</w:t>
            </w:r>
            <w:r w:rsidRPr="00002287">
              <w:t xml:space="preserve">sotropic </w:t>
            </w:r>
            <w:r>
              <w:t>Radiator</w:t>
            </w:r>
          </w:p>
        </w:tc>
      </w:tr>
      <w:tr w:rsidR="00635DA2" w:rsidRPr="006D6727" w14:paraId="241C84D1" w14:textId="77777777" w:rsidTr="008E24B7">
        <w:trPr>
          <w:trHeight w:val="317"/>
        </w:trPr>
        <w:tc>
          <w:tcPr>
            <w:tcW w:w="2076" w:type="dxa"/>
          </w:tcPr>
          <w:p w14:paraId="3CCA4CDF" w14:textId="77777777" w:rsidR="00635DA2" w:rsidRDefault="00635DA2" w:rsidP="008E24B7">
            <w:pPr>
              <w:pStyle w:val="ECCTabletext"/>
              <w:spacing w:before="60"/>
              <w:jc w:val="left"/>
              <w:rPr>
                <w:rStyle w:val="ECCHLbold"/>
              </w:rPr>
            </w:pPr>
            <w:r>
              <w:rPr>
                <w:rStyle w:val="ECCHLbold"/>
              </w:rPr>
              <w:t>DUT</w:t>
            </w:r>
          </w:p>
        </w:tc>
        <w:tc>
          <w:tcPr>
            <w:tcW w:w="7553" w:type="dxa"/>
          </w:tcPr>
          <w:p w14:paraId="37F3EECA" w14:textId="77777777" w:rsidR="00635DA2" w:rsidRPr="00002287" w:rsidRDefault="00635DA2" w:rsidP="008E24B7">
            <w:r>
              <w:t>Device Under Test</w:t>
            </w:r>
          </w:p>
        </w:tc>
      </w:tr>
      <w:tr w:rsidR="00635DA2" w:rsidRPr="006D6727" w14:paraId="37031175" w14:textId="77777777" w:rsidTr="008E24B7">
        <w:trPr>
          <w:trHeight w:val="317"/>
        </w:trPr>
        <w:tc>
          <w:tcPr>
            <w:tcW w:w="2076" w:type="dxa"/>
          </w:tcPr>
          <w:p w14:paraId="751FF9B3" w14:textId="77777777" w:rsidR="00635DA2" w:rsidRPr="00002287" w:rsidRDefault="00635DA2" w:rsidP="008E24B7">
            <w:pPr>
              <w:pStyle w:val="ECCTabletext"/>
              <w:spacing w:before="60"/>
              <w:jc w:val="left"/>
              <w:rPr>
                <w:rStyle w:val="ECCHLbold"/>
              </w:rPr>
            </w:pPr>
            <w:r>
              <w:rPr>
                <w:rStyle w:val="ECCHLbold"/>
              </w:rPr>
              <w:t>ECA</w:t>
            </w:r>
          </w:p>
        </w:tc>
        <w:tc>
          <w:tcPr>
            <w:tcW w:w="7553" w:type="dxa"/>
          </w:tcPr>
          <w:p w14:paraId="66BB3592" w14:textId="77777777" w:rsidR="00635DA2" w:rsidRPr="00002287" w:rsidRDefault="00635DA2" w:rsidP="008E24B7">
            <w:pPr>
              <w:pStyle w:val="ECCTabletext"/>
              <w:spacing w:before="60"/>
              <w:jc w:val="left"/>
            </w:pPr>
            <w:r>
              <w:t>European Common allocation</w:t>
            </w:r>
          </w:p>
        </w:tc>
      </w:tr>
      <w:tr w:rsidR="00635DA2" w:rsidRPr="006D6727" w14:paraId="1A512965" w14:textId="77777777" w:rsidTr="008E24B7">
        <w:trPr>
          <w:trHeight w:val="317"/>
        </w:trPr>
        <w:tc>
          <w:tcPr>
            <w:tcW w:w="2076" w:type="dxa"/>
          </w:tcPr>
          <w:p w14:paraId="0BC1932B" w14:textId="77777777" w:rsidR="00635DA2" w:rsidRPr="00002287" w:rsidRDefault="00635DA2" w:rsidP="008E24B7">
            <w:pPr>
              <w:pStyle w:val="ECCTabletext"/>
              <w:spacing w:before="60"/>
              <w:jc w:val="left"/>
              <w:rPr>
                <w:rStyle w:val="ECCHLbold"/>
              </w:rPr>
            </w:pPr>
            <w:r w:rsidRPr="00002287">
              <w:rPr>
                <w:rStyle w:val="ECCHLbold"/>
              </w:rPr>
              <w:t>ECC</w:t>
            </w:r>
          </w:p>
        </w:tc>
        <w:tc>
          <w:tcPr>
            <w:tcW w:w="7553" w:type="dxa"/>
          </w:tcPr>
          <w:p w14:paraId="1C378E0C" w14:textId="77777777" w:rsidR="00635DA2" w:rsidRPr="00002287" w:rsidRDefault="00635DA2" w:rsidP="008E24B7">
            <w:pPr>
              <w:pStyle w:val="ECCTabletext"/>
              <w:spacing w:before="60"/>
              <w:jc w:val="left"/>
            </w:pPr>
            <w:r w:rsidRPr="00002287">
              <w:t>Electronic Communications Committee</w:t>
            </w:r>
          </w:p>
        </w:tc>
      </w:tr>
      <w:tr w:rsidR="00635DA2" w:rsidRPr="006D6727" w14:paraId="17019DB4" w14:textId="77777777" w:rsidTr="008E24B7">
        <w:trPr>
          <w:trHeight w:val="317"/>
        </w:trPr>
        <w:tc>
          <w:tcPr>
            <w:tcW w:w="2076" w:type="dxa"/>
          </w:tcPr>
          <w:p w14:paraId="36ADC2A9" w14:textId="77777777" w:rsidR="00635DA2" w:rsidRPr="00002287" w:rsidRDefault="00635DA2" w:rsidP="008E24B7">
            <w:pPr>
              <w:pStyle w:val="ECCTabletext"/>
              <w:spacing w:before="60"/>
              <w:jc w:val="left"/>
            </w:pPr>
            <w:r w:rsidRPr="00002287">
              <w:rPr>
                <w:rStyle w:val="ECCHLbold"/>
              </w:rPr>
              <w:t>ECO</w:t>
            </w:r>
          </w:p>
        </w:tc>
        <w:tc>
          <w:tcPr>
            <w:tcW w:w="7553" w:type="dxa"/>
          </w:tcPr>
          <w:p w14:paraId="4311A55C" w14:textId="77777777" w:rsidR="00635DA2" w:rsidRPr="00002287" w:rsidRDefault="00635DA2" w:rsidP="008E24B7">
            <w:pPr>
              <w:pStyle w:val="ECCTabletext"/>
              <w:spacing w:before="60"/>
              <w:jc w:val="left"/>
            </w:pPr>
            <w:r w:rsidRPr="00002287">
              <w:t>European Communication Office</w:t>
            </w:r>
          </w:p>
        </w:tc>
      </w:tr>
      <w:tr w:rsidR="00635DA2" w:rsidRPr="006D6727" w14:paraId="7BD1F274" w14:textId="77777777" w:rsidTr="008E24B7">
        <w:trPr>
          <w:trHeight w:val="317"/>
        </w:trPr>
        <w:tc>
          <w:tcPr>
            <w:tcW w:w="2076" w:type="dxa"/>
          </w:tcPr>
          <w:p w14:paraId="340BCFB8" w14:textId="77777777" w:rsidR="00635DA2" w:rsidRPr="00002287" w:rsidRDefault="00635DA2" w:rsidP="008E24B7">
            <w:pPr>
              <w:pStyle w:val="ECCTabletext"/>
              <w:spacing w:before="60"/>
              <w:jc w:val="left"/>
              <w:rPr>
                <w:rStyle w:val="ECCHLbold"/>
              </w:rPr>
            </w:pPr>
            <w:r>
              <w:rPr>
                <w:rStyle w:val="ECCHLbold"/>
              </w:rPr>
              <w:t>EESS</w:t>
            </w:r>
          </w:p>
        </w:tc>
        <w:tc>
          <w:tcPr>
            <w:tcW w:w="7553" w:type="dxa"/>
          </w:tcPr>
          <w:p w14:paraId="442C8AB4" w14:textId="77777777" w:rsidR="00635DA2" w:rsidRPr="00002287" w:rsidRDefault="00635DA2" w:rsidP="008E24B7">
            <w:pPr>
              <w:pStyle w:val="ECCTabletext"/>
              <w:spacing w:before="60"/>
              <w:jc w:val="left"/>
            </w:pPr>
            <w:r w:rsidRPr="00374EF0">
              <w:t>Earth Exploration Satellite Service</w:t>
            </w:r>
          </w:p>
        </w:tc>
      </w:tr>
      <w:tr w:rsidR="00635DA2" w:rsidRPr="006D6727" w14:paraId="3279661F" w14:textId="77777777" w:rsidTr="008E24B7">
        <w:trPr>
          <w:trHeight w:val="317"/>
        </w:trPr>
        <w:tc>
          <w:tcPr>
            <w:tcW w:w="2076" w:type="dxa"/>
          </w:tcPr>
          <w:p w14:paraId="404F4EE4" w14:textId="77777777" w:rsidR="00635DA2" w:rsidRPr="00002287" w:rsidRDefault="00635DA2" w:rsidP="008E24B7">
            <w:pPr>
              <w:pStyle w:val="ECCTabletext"/>
              <w:spacing w:before="60"/>
              <w:jc w:val="left"/>
              <w:rPr>
                <w:rStyle w:val="ECCHLbold"/>
              </w:rPr>
            </w:pPr>
            <w:r w:rsidRPr="00002287">
              <w:rPr>
                <w:rStyle w:val="ECCHLbold"/>
              </w:rPr>
              <w:t>EFIS</w:t>
            </w:r>
          </w:p>
        </w:tc>
        <w:tc>
          <w:tcPr>
            <w:tcW w:w="7553" w:type="dxa"/>
          </w:tcPr>
          <w:p w14:paraId="3D925952" w14:textId="77777777" w:rsidR="00635DA2" w:rsidRPr="00002287" w:rsidRDefault="00635DA2" w:rsidP="008E24B7">
            <w:pPr>
              <w:pStyle w:val="ECCTabletext"/>
              <w:spacing w:before="60"/>
              <w:jc w:val="left"/>
            </w:pPr>
            <w:r w:rsidRPr="00002287">
              <w:t>ECO Frequency Information System</w:t>
            </w:r>
          </w:p>
        </w:tc>
      </w:tr>
      <w:tr w:rsidR="00635DA2" w:rsidRPr="006D6727" w14:paraId="02DBFCD1" w14:textId="77777777" w:rsidTr="008E24B7">
        <w:trPr>
          <w:trHeight w:val="317"/>
        </w:trPr>
        <w:tc>
          <w:tcPr>
            <w:tcW w:w="2076" w:type="dxa"/>
          </w:tcPr>
          <w:p w14:paraId="764F8A1A" w14:textId="77777777" w:rsidR="00635DA2" w:rsidRPr="00002287" w:rsidRDefault="00635DA2" w:rsidP="008E24B7">
            <w:pPr>
              <w:pStyle w:val="ECCTabletext"/>
              <w:spacing w:before="60"/>
              <w:jc w:val="left"/>
              <w:rPr>
                <w:rStyle w:val="ECCHLbold"/>
              </w:rPr>
            </w:pPr>
            <w:r w:rsidRPr="00002287">
              <w:rPr>
                <w:rStyle w:val="ECCHLbold"/>
              </w:rPr>
              <w:t>E</w:t>
            </w:r>
            <w:r w:rsidR="00B654DB">
              <w:rPr>
                <w:rStyle w:val="ECCHLbold"/>
              </w:rPr>
              <w:t>.</w:t>
            </w:r>
            <w:r w:rsidR="002A6919">
              <w:rPr>
                <w:rStyle w:val="ECCHLbold"/>
              </w:rPr>
              <w:t>I</w:t>
            </w:r>
            <w:r w:rsidR="00B654DB">
              <w:rPr>
                <w:rStyle w:val="ECCHLbold"/>
              </w:rPr>
              <w:t>.</w:t>
            </w:r>
            <w:r w:rsidR="002A6919">
              <w:rPr>
                <w:rStyle w:val="ECCHLbold"/>
              </w:rPr>
              <w:t>R</w:t>
            </w:r>
            <w:r w:rsidR="00B654DB">
              <w:rPr>
                <w:rStyle w:val="ECCHLbold"/>
              </w:rPr>
              <w:t>.</w:t>
            </w:r>
            <w:r w:rsidR="002A6919">
              <w:rPr>
                <w:rStyle w:val="ECCHLbold"/>
              </w:rPr>
              <w:t>P</w:t>
            </w:r>
            <w:r w:rsidR="00B654DB">
              <w:rPr>
                <w:rStyle w:val="ECCHLbold"/>
              </w:rPr>
              <w:t>.</w:t>
            </w:r>
          </w:p>
        </w:tc>
        <w:tc>
          <w:tcPr>
            <w:tcW w:w="7553" w:type="dxa"/>
          </w:tcPr>
          <w:p w14:paraId="6471F54A" w14:textId="77777777" w:rsidR="00635DA2" w:rsidRPr="00002287" w:rsidRDefault="00635DA2" w:rsidP="008E24B7">
            <w:pPr>
              <w:pStyle w:val="ECCTabletext"/>
              <w:spacing w:before="60"/>
              <w:jc w:val="left"/>
            </w:pPr>
            <w:r w:rsidRPr="00002287">
              <w:t>Equivalent Isotropically Radiated Power</w:t>
            </w:r>
          </w:p>
        </w:tc>
      </w:tr>
      <w:tr w:rsidR="00635DA2" w:rsidRPr="006D6727" w14:paraId="08EAF13B" w14:textId="77777777" w:rsidTr="008E24B7">
        <w:trPr>
          <w:trHeight w:val="317"/>
        </w:trPr>
        <w:tc>
          <w:tcPr>
            <w:tcW w:w="2076" w:type="dxa"/>
          </w:tcPr>
          <w:p w14:paraId="4C7E84BD" w14:textId="77777777" w:rsidR="00635DA2" w:rsidRPr="00002287" w:rsidRDefault="00635DA2" w:rsidP="008E24B7">
            <w:pPr>
              <w:pStyle w:val="ECCTabletext"/>
              <w:spacing w:before="60"/>
              <w:jc w:val="left"/>
              <w:rPr>
                <w:rStyle w:val="ECCHLbold"/>
              </w:rPr>
            </w:pPr>
            <w:r>
              <w:rPr>
                <w:rStyle w:val="ECCHLbold"/>
              </w:rPr>
              <w:t>EMC</w:t>
            </w:r>
          </w:p>
        </w:tc>
        <w:tc>
          <w:tcPr>
            <w:tcW w:w="7553" w:type="dxa"/>
          </w:tcPr>
          <w:p w14:paraId="2CB723F3" w14:textId="77777777" w:rsidR="00635DA2" w:rsidRPr="00002287" w:rsidRDefault="00635DA2" w:rsidP="008E24B7">
            <w:pPr>
              <w:pStyle w:val="ECCTabletext"/>
              <w:spacing w:before="60"/>
              <w:jc w:val="left"/>
            </w:pPr>
            <w:r w:rsidRPr="00374EF0">
              <w:t>Electromagnetic Compatibility</w:t>
            </w:r>
          </w:p>
        </w:tc>
      </w:tr>
      <w:tr w:rsidR="00635DA2" w:rsidRPr="006D6727" w14:paraId="4554386C" w14:textId="77777777" w:rsidTr="008E24B7">
        <w:trPr>
          <w:trHeight w:val="317"/>
        </w:trPr>
        <w:tc>
          <w:tcPr>
            <w:tcW w:w="2076" w:type="dxa"/>
          </w:tcPr>
          <w:p w14:paraId="383510A4" w14:textId="77777777" w:rsidR="00635DA2" w:rsidRDefault="00635DA2" w:rsidP="008E24B7">
            <w:pPr>
              <w:pStyle w:val="ECCTabletext"/>
              <w:spacing w:before="60"/>
              <w:jc w:val="left"/>
              <w:rPr>
                <w:rStyle w:val="ECCHLbold"/>
              </w:rPr>
            </w:pPr>
            <w:r>
              <w:rPr>
                <w:rStyle w:val="ECCHLbold"/>
              </w:rPr>
              <w:t>EME</w:t>
            </w:r>
          </w:p>
        </w:tc>
        <w:tc>
          <w:tcPr>
            <w:tcW w:w="7553" w:type="dxa"/>
          </w:tcPr>
          <w:p w14:paraId="66CC43DC" w14:textId="77777777" w:rsidR="00635DA2" w:rsidRPr="00374EF0" w:rsidRDefault="00635DA2" w:rsidP="008E24B7">
            <w:pPr>
              <w:pStyle w:val="ECCTabletext"/>
              <w:spacing w:before="60"/>
              <w:jc w:val="left"/>
            </w:pPr>
            <w:r>
              <w:t>Earth-Moon-Earth</w:t>
            </w:r>
          </w:p>
        </w:tc>
      </w:tr>
      <w:tr w:rsidR="00635DA2" w:rsidRPr="006D6727" w14:paraId="5EB0D9C9" w14:textId="77777777" w:rsidTr="008E24B7">
        <w:trPr>
          <w:trHeight w:val="317"/>
        </w:trPr>
        <w:tc>
          <w:tcPr>
            <w:tcW w:w="2076" w:type="dxa"/>
          </w:tcPr>
          <w:p w14:paraId="4B05577B" w14:textId="77777777" w:rsidR="00635DA2" w:rsidRDefault="00635DA2" w:rsidP="008E24B7">
            <w:pPr>
              <w:pStyle w:val="ECCTabletext"/>
              <w:spacing w:before="60"/>
              <w:jc w:val="left"/>
              <w:rPr>
                <w:rStyle w:val="ECCHLbold"/>
              </w:rPr>
            </w:pPr>
            <w:r>
              <w:rPr>
                <w:rStyle w:val="ECCHLbold"/>
              </w:rPr>
              <w:t>EN</w:t>
            </w:r>
          </w:p>
        </w:tc>
        <w:tc>
          <w:tcPr>
            <w:tcW w:w="7553" w:type="dxa"/>
          </w:tcPr>
          <w:p w14:paraId="26F9F821" w14:textId="77777777" w:rsidR="00635DA2" w:rsidRPr="00374EF0" w:rsidRDefault="00635DA2" w:rsidP="008E24B7">
            <w:pPr>
              <w:pStyle w:val="ECCTabletext"/>
              <w:spacing w:before="60"/>
              <w:jc w:val="left"/>
            </w:pPr>
            <w:r>
              <w:t>European Norm</w:t>
            </w:r>
          </w:p>
        </w:tc>
      </w:tr>
      <w:tr w:rsidR="00635DA2" w:rsidRPr="006D6727" w14:paraId="5F695392" w14:textId="77777777" w:rsidTr="008E24B7">
        <w:trPr>
          <w:trHeight w:val="317"/>
        </w:trPr>
        <w:tc>
          <w:tcPr>
            <w:tcW w:w="2076" w:type="dxa"/>
          </w:tcPr>
          <w:p w14:paraId="419FDF04" w14:textId="77777777" w:rsidR="00635DA2" w:rsidRPr="00002287" w:rsidRDefault="00635DA2" w:rsidP="008E24B7">
            <w:pPr>
              <w:pStyle w:val="ECCTabletext"/>
              <w:spacing w:before="60"/>
              <w:jc w:val="left"/>
              <w:rPr>
                <w:rStyle w:val="ECCHLbold"/>
              </w:rPr>
            </w:pPr>
            <w:r w:rsidRPr="00002287">
              <w:rPr>
                <w:rStyle w:val="ECCHLbold"/>
              </w:rPr>
              <w:t>ERC</w:t>
            </w:r>
          </w:p>
        </w:tc>
        <w:tc>
          <w:tcPr>
            <w:tcW w:w="7553" w:type="dxa"/>
          </w:tcPr>
          <w:p w14:paraId="2D3B84FB" w14:textId="77777777" w:rsidR="00635DA2" w:rsidRPr="00002287" w:rsidRDefault="00635DA2" w:rsidP="008E24B7">
            <w:pPr>
              <w:pStyle w:val="ECCTabletext"/>
              <w:spacing w:before="60"/>
              <w:jc w:val="left"/>
            </w:pPr>
            <w:r w:rsidRPr="00002287">
              <w:t>European Radiocommunications Committee</w:t>
            </w:r>
          </w:p>
        </w:tc>
      </w:tr>
      <w:tr w:rsidR="00635DA2" w:rsidRPr="006D6727" w14:paraId="047CF341" w14:textId="77777777" w:rsidTr="008E24B7">
        <w:trPr>
          <w:trHeight w:val="317"/>
        </w:trPr>
        <w:tc>
          <w:tcPr>
            <w:tcW w:w="2076" w:type="dxa"/>
          </w:tcPr>
          <w:p w14:paraId="66B7DF54" w14:textId="77777777" w:rsidR="00635DA2" w:rsidRPr="00002287" w:rsidRDefault="00635DA2" w:rsidP="008E24B7">
            <w:pPr>
              <w:pStyle w:val="ECCTabletext"/>
              <w:spacing w:before="60"/>
              <w:jc w:val="left"/>
              <w:rPr>
                <w:rStyle w:val="ECCHLbold"/>
              </w:rPr>
            </w:pPr>
            <w:r w:rsidRPr="00002287">
              <w:rPr>
                <w:rStyle w:val="ECCHLbold"/>
              </w:rPr>
              <w:t>ETSI</w:t>
            </w:r>
          </w:p>
        </w:tc>
        <w:tc>
          <w:tcPr>
            <w:tcW w:w="7553" w:type="dxa"/>
          </w:tcPr>
          <w:p w14:paraId="36FF8ACF" w14:textId="77777777" w:rsidR="00635DA2" w:rsidRPr="00002287" w:rsidRDefault="00635DA2" w:rsidP="008E24B7">
            <w:pPr>
              <w:pStyle w:val="ECCTabletext"/>
              <w:spacing w:before="60"/>
              <w:jc w:val="left"/>
            </w:pPr>
            <w:r w:rsidRPr="00002287">
              <w:t>European Telecommunications Standards Institute</w:t>
            </w:r>
          </w:p>
        </w:tc>
      </w:tr>
      <w:tr w:rsidR="00635DA2" w:rsidRPr="006D6727" w14:paraId="09D26B7D" w14:textId="77777777" w:rsidTr="008E24B7">
        <w:trPr>
          <w:trHeight w:val="317"/>
        </w:trPr>
        <w:tc>
          <w:tcPr>
            <w:tcW w:w="2076" w:type="dxa"/>
          </w:tcPr>
          <w:p w14:paraId="488CC61A" w14:textId="77777777" w:rsidR="00635DA2" w:rsidRDefault="00635DA2" w:rsidP="008E24B7">
            <w:pPr>
              <w:pStyle w:val="ECCTabletext"/>
              <w:spacing w:before="60"/>
              <w:jc w:val="left"/>
              <w:rPr>
                <w:rStyle w:val="ECCHLbold"/>
              </w:rPr>
            </w:pPr>
            <w:r>
              <w:rPr>
                <w:rStyle w:val="ECCHLbold"/>
              </w:rPr>
              <w:t>EU</w:t>
            </w:r>
          </w:p>
        </w:tc>
        <w:tc>
          <w:tcPr>
            <w:tcW w:w="7553" w:type="dxa"/>
          </w:tcPr>
          <w:p w14:paraId="5B98A3D8" w14:textId="77777777" w:rsidR="00635DA2" w:rsidRPr="00374EF0" w:rsidRDefault="00635DA2" w:rsidP="008E24B7">
            <w:pPr>
              <w:pStyle w:val="ECCTabletext"/>
              <w:spacing w:before="60"/>
              <w:jc w:val="left"/>
            </w:pPr>
            <w:r>
              <w:t>European Union</w:t>
            </w:r>
          </w:p>
        </w:tc>
      </w:tr>
      <w:tr w:rsidR="00635DA2" w:rsidRPr="006D6727" w14:paraId="382825CE" w14:textId="77777777" w:rsidTr="008E24B7">
        <w:trPr>
          <w:trHeight w:val="317"/>
        </w:trPr>
        <w:tc>
          <w:tcPr>
            <w:tcW w:w="2076" w:type="dxa"/>
          </w:tcPr>
          <w:p w14:paraId="687261F7" w14:textId="77777777" w:rsidR="00635DA2" w:rsidRDefault="00635DA2" w:rsidP="008E24B7">
            <w:pPr>
              <w:pStyle w:val="ECCTabletext"/>
              <w:spacing w:before="60"/>
              <w:jc w:val="left"/>
              <w:rPr>
                <w:rStyle w:val="ECCHLbold"/>
              </w:rPr>
            </w:pPr>
            <w:r>
              <w:rPr>
                <w:rStyle w:val="ECCHLbold"/>
              </w:rPr>
              <w:t>EUMETSAT</w:t>
            </w:r>
          </w:p>
        </w:tc>
        <w:tc>
          <w:tcPr>
            <w:tcW w:w="7553" w:type="dxa"/>
          </w:tcPr>
          <w:p w14:paraId="07252C7B" w14:textId="77777777" w:rsidR="00635DA2" w:rsidRDefault="00635DA2" w:rsidP="008E24B7">
            <w:pPr>
              <w:pStyle w:val="ECCTabletext"/>
              <w:spacing w:before="60"/>
              <w:jc w:val="left"/>
            </w:pPr>
            <w:r w:rsidRPr="00374EF0">
              <w:t>European Organisation for the Exploitation of Meteorological Satellites</w:t>
            </w:r>
          </w:p>
        </w:tc>
      </w:tr>
      <w:tr w:rsidR="00635DA2" w:rsidRPr="006D6727" w14:paraId="5EB8CF28" w14:textId="77777777" w:rsidTr="008E24B7">
        <w:trPr>
          <w:trHeight w:val="317"/>
        </w:trPr>
        <w:tc>
          <w:tcPr>
            <w:tcW w:w="2076" w:type="dxa"/>
          </w:tcPr>
          <w:p w14:paraId="773F0F5F" w14:textId="77777777" w:rsidR="00635DA2" w:rsidRDefault="00635DA2" w:rsidP="008E24B7">
            <w:pPr>
              <w:pStyle w:val="ECCTabletext"/>
              <w:spacing w:before="60"/>
              <w:jc w:val="left"/>
              <w:rPr>
                <w:rStyle w:val="ECCHLbold"/>
              </w:rPr>
            </w:pPr>
            <w:r>
              <w:rPr>
                <w:rStyle w:val="ECCHLbold"/>
              </w:rPr>
              <w:t>EUT</w:t>
            </w:r>
          </w:p>
        </w:tc>
        <w:tc>
          <w:tcPr>
            <w:tcW w:w="7553" w:type="dxa"/>
          </w:tcPr>
          <w:p w14:paraId="493DB0EA" w14:textId="77777777" w:rsidR="00635DA2" w:rsidRPr="00374EF0" w:rsidRDefault="00635DA2" w:rsidP="008E24B7">
            <w:pPr>
              <w:pStyle w:val="ECCTabletext"/>
              <w:spacing w:before="60"/>
              <w:jc w:val="left"/>
            </w:pPr>
            <w:r>
              <w:t>Equipment Under Test</w:t>
            </w:r>
          </w:p>
        </w:tc>
      </w:tr>
      <w:tr w:rsidR="00971077" w:rsidRPr="006D6727" w14:paraId="3DE409B9" w14:textId="77777777" w:rsidTr="008E24B7">
        <w:trPr>
          <w:trHeight w:val="317"/>
        </w:trPr>
        <w:tc>
          <w:tcPr>
            <w:tcW w:w="2076" w:type="dxa"/>
          </w:tcPr>
          <w:p w14:paraId="7ACADBED" w14:textId="2C26899C" w:rsidR="00971077" w:rsidRDefault="00971077" w:rsidP="008E24B7">
            <w:pPr>
              <w:pStyle w:val="ECCTabletext"/>
              <w:spacing w:before="60"/>
              <w:jc w:val="left"/>
              <w:rPr>
                <w:rStyle w:val="ECCHLbold"/>
              </w:rPr>
            </w:pPr>
            <w:r>
              <w:rPr>
                <w:rStyle w:val="ECCHLbold"/>
              </w:rPr>
              <w:t>DATV</w:t>
            </w:r>
          </w:p>
        </w:tc>
        <w:tc>
          <w:tcPr>
            <w:tcW w:w="7553" w:type="dxa"/>
          </w:tcPr>
          <w:p w14:paraId="5363FCBF" w14:textId="3443402B" w:rsidR="00971077" w:rsidRDefault="00971077" w:rsidP="008E24B7">
            <w:pPr>
              <w:pStyle w:val="ECCTabletext"/>
              <w:spacing w:before="60"/>
              <w:jc w:val="left"/>
            </w:pPr>
            <w:r w:rsidRPr="004E5C5C">
              <w:t>Digital Amateur TV</w:t>
            </w:r>
          </w:p>
        </w:tc>
      </w:tr>
      <w:tr w:rsidR="00CF3207" w:rsidRPr="006D6727" w14:paraId="251D2A49" w14:textId="77777777" w:rsidTr="008E24B7">
        <w:trPr>
          <w:trHeight w:val="317"/>
        </w:trPr>
        <w:tc>
          <w:tcPr>
            <w:tcW w:w="2076" w:type="dxa"/>
          </w:tcPr>
          <w:p w14:paraId="72F01CAD" w14:textId="77777777" w:rsidR="00CF3207" w:rsidRDefault="00CF3207" w:rsidP="008E24B7">
            <w:pPr>
              <w:pStyle w:val="ECCTabletext"/>
              <w:spacing w:before="60"/>
              <w:jc w:val="left"/>
              <w:rPr>
                <w:rStyle w:val="ECCHLbold"/>
              </w:rPr>
            </w:pPr>
            <w:r>
              <w:rPr>
                <w:rStyle w:val="ECCHLbold"/>
              </w:rPr>
              <w:t>FN</w:t>
            </w:r>
          </w:p>
        </w:tc>
        <w:tc>
          <w:tcPr>
            <w:tcW w:w="7553" w:type="dxa"/>
          </w:tcPr>
          <w:p w14:paraId="00890F50" w14:textId="77777777" w:rsidR="00CF3207" w:rsidRDefault="00CF3207" w:rsidP="008E24B7">
            <w:pPr>
              <w:pStyle w:val="ECCTabletext"/>
              <w:spacing w:before="60"/>
              <w:jc w:val="left"/>
            </w:pPr>
            <w:r>
              <w:t>Footnote</w:t>
            </w:r>
          </w:p>
        </w:tc>
      </w:tr>
      <w:tr w:rsidR="00635DA2" w:rsidRPr="006D6727" w14:paraId="40CE2BCE" w14:textId="77777777" w:rsidTr="008E24B7">
        <w:trPr>
          <w:trHeight w:val="317"/>
        </w:trPr>
        <w:tc>
          <w:tcPr>
            <w:tcW w:w="2076" w:type="dxa"/>
          </w:tcPr>
          <w:p w14:paraId="6AEBEB2A" w14:textId="77777777" w:rsidR="00635DA2" w:rsidRDefault="00635DA2" w:rsidP="008E24B7">
            <w:pPr>
              <w:pStyle w:val="ECCTabletext"/>
              <w:spacing w:before="60"/>
              <w:jc w:val="left"/>
              <w:rPr>
                <w:rStyle w:val="ECCHLbold"/>
              </w:rPr>
            </w:pPr>
            <w:r>
              <w:rPr>
                <w:rStyle w:val="ECCHLbold"/>
              </w:rPr>
              <w:t>FMCW</w:t>
            </w:r>
          </w:p>
        </w:tc>
        <w:tc>
          <w:tcPr>
            <w:tcW w:w="7553" w:type="dxa"/>
          </w:tcPr>
          <w:p w14:paraId="77A99BE2" w14:textId="77777777" w:rsidR="00635DA2" w:rsidRPr="00374EF0" w:rsidRDefault="00635DA2" w:rsidP="008E24B7">
            <w:pPr>
              <w:pStyle w:val="ECCTabletext"/>
              <w:spacing w:before="60"/>
              <w:jc w:val="left"/>
            </w:pPr>
            <w:r w:rsidRPr="00374EF0">
              <w:t>Frequency Modulated Continuous Wave</w:t>
            </w:r>
          </w:p>
        </w:tc>
      </w:tr>
      <w:tr w:rsidR="00635DA2" w:rsidRPr="006D6727" w14:paraId="593333F5" w14:textId="77777777" w:rsidTr="008E24B7">
        <w:trPr>
          <w:trHeight w:val="317"/>
        </w:trPr>
        <w:tc>
          <w:tcPr>
            <w:tcW w:w="2076" w:type="dxa"/>
          </w:tcPr>
          <w:p w14:paraId="40735DAB" w14:textId="77777777" w:rsidR="00635DA2" w:rsidRPr="00002287" w:rsidRDefault="00635DA2" w:rsidP="008E24B7">
            <w:pPr>
              <w:pStyle w:val="ECCTabletext"/>
              <w:spacing w:before="60"/>
              <w:jc w:val="left"/>
              <w:rPr>
                <w:rStyle w:val="ECCHLbold"/>
              </w:rPr>
            </w:pPr>
            <w:r w:rsidRPr="00002287">
              <w:rPr>
                <w:rStyle w:val="ECCHLbold"/>
              </w:rPr>
              <w:t>FS</w:t>
            </w:r>
          </w:p>
        </w:tc>
        <w:tc>
          <w:tcPr>
            <w:tcW w:w="7553" w:type="dxa"/>
          </w:tcPr>
          <w:p w14:paraId="24DD4F2D" w14:textId="77777777" w:rsidR="00635DA2" w:rsidRPr="00002287" w:rsidRDefault="00635DA2" w:rsidP="008E24B7">
            <w:pPr>
              <w:pStyle w:val="ECCTabletext"/>
              <w:spacing w:before="60"/>
              <w:jc w:val="left"/>
            </w:pPr>
            <w:r w:rsidRPr="00002287">
              <w:t>Fixed Service</w:t>
            </w:r>
          </w:p>
        </w:tc>
      </w:tr>
      <w:tr w:rsidR="00635DA2" w:rsidRPr="006D6727" w14:paraId="611214AE" w14:textId="77777777" w:rsidTr="008E24B7">
        <w:trPr>
          <w:trHeight w:val="317"/>
        </w:trPr>
        <w:tc>
          <w:tcPr>
            <w:tcW w:w="2076" w:type="dxa"/>
          </w:tcPr>
          <w:p w14:paraId="1C5D2A34" w14:textId="77777777" w:rsidR="00635DA2" w:rsidRPr="00002287" w:rsidRDefault="00635DA2" w:rsidP="008E24B7">
            <w:pPr>
              <w:pStyle w:val="ECCTabletext"/>
              <w:spacing w:before="60"/>
              <w:jc w:val="left"/>
              <w:rPr>
                <w:rStyle w:val="ECCHLbold"/>
              </w:rPr>
            </w:pPr>
            <w:r>
              <w:rPr>
                <w:rStyle w:val="ECCHLbold"/>
              </w:rPr>
              <w:t>FSL</w:t>
            </w:r>
          </w:p>
        </w:tc>
        <w:tc>
          <w:tcPr>
            <w:tcW w:w="7553" w:type="dxa"/>
          </w:tcPr>
          <w:p w14:paraId="3D28CB75" w14:textId="77777777" w:rsidR="00635DA2" w:rsidRPr="00002287" w:rsidRDefault="00635DA2" w:rsidP="008E24B7">
            <w:pPr>
              <w:pStyle w:val="ECCTabletext"/>
              <w:spacing w:before="60"/>
              <w:jc w:val="left"/>
            </w:pPr>
            <w:r>
              <w:t>Free Space Loss</w:t>
            </w:r>
          </w:p>
        </w:tc>
      </w:tr>
      <w:tr w:rsidR="00635DA2" w:rsidRPr="006D6727" w14:paraId="53BBB00D" w14:textId="77777777" w:rsidTr="008E24B7">
        <w:trPr>
          <w:trHeight w:val="317"/>
        </w:trPr>
        <w:tc>
          <w:tcPr>
            <w:tcW w:w="2076" w:type="dxa"/>
          </w:tcPr>
          <w:p w14:paraId="0DB03480" w14:textId="77777777" w:rsidR="00635DA2" w:rsidRPr="00002287" w:rsidRDefault="00635DA2" w:rsidP="008E24B7">
            <w:pPr>
              <w:pStyle w:val="ECCTabletext"/>
              <w:spacing w:before="60"/>
              <w:jc w:val="left"/>
              <w:rPr>
                <w:rStyle w:val="ECCHLbold"/>
              </w:rPr>
            </w:pPr>
            <w:r>
              <w:rPr>
                <w:rStyle w:val="ECCHLbold"/>
              </w:rPr>
              <w:t>FSS</w:t>
            </w:r>
          </w:p>
        </w:tc>
        <w:tc>
          <w:tcPr>
            <w:tcW w:w="7553" w:type="dxa"/>
          </w:tcPr>
          <w:p w14:paraId="3BDACB72" w14:textId="77777777" w:rsidR="00635DA2" w:rsidRPr="00002287" w:rsidRDefault="00635DA2" w:rsidP="008E24B7">
            <w:pPr>
              <w:pStyle w:val="ECCTabletext"/>
              <w:spacing w:before="60"/>
              <w:jc w:val="left"/>
            </w:pPr>
            <w:r w:rsidRPr="00374EF0">
              <w:t>Fixed Satellite System</w:t>
            </w:r>
          </w:p>
        </w:tc>
      </w:tr>
      <w:tr w:rsidR="00635DA2" w:rsidRPr="006D6727" w14:paraId="13B4EFBD" w14:textId="77777777" w:rsidTr="008E24B7">
        <w:trPr>
          <w:trHeight w:val="317"/>
        </w:trPr>
        <w:tc>
          <w:tcPr>
            <w:tcW w:w="2076" w:type="dxa"/>
          </w:tcPr>
          <w:p w14:paraId="625DC22E" w14:textId="77777777" w:rsidR="00635DA2" w:rsidRDefault="00635DA2" w:rsidP="008E24B7">
            <w:pPr>
              <w:pStyle w:val="ECCTabletext"/>
              <w:spacing w:before="60"/>
              <w:jc w:val="left"/>
              <w:rPr>
                <w:rStyle w:val="ECCHLbold"/>
              </w:rPr>
            </w:pPr>
            <w:r>
              <w:rPr>
                <w:rStyle w:val="ECCHLbold"/>
              </w:rPr>
              <w:t>FWA</w:t>
            </w:r>
          </w:p>
        </w:tc>
        <w:tc>
          <w:tcPr>
            <w:tcW w:w="7553" w:type="dxa"/>
          </w:tcPr>
          <w:p w14:paraId="41EF4849" w14:textId="77777777" w:rsidR="00635DA2" w:rsidRPr="00374EF0" w:rsidRDefault="00635DA2" w:rsidP="008E24B7">
            <w:pPr>
              <w:pStyle w:val="ECCTabletext"/>
              <w:spacing w:before="60"/>
              <w:jc w:val="left"/>
            </w:pPr>
            <w:r w:rsidRPr="00374EF0">
              <w:t>Fixed Wireless Access</w:t>
            </w:r>
          </w:p>
        </w:tc>
      </w:tr>
      <w:tr w:rsidR="00635DA2" w:rsidRPr="006D6727" w14:paraId="3472E04D" w14:textId="77777777" w:rsidTr="008E24B7">
        <w:trPr>
          <w:trHeight w:val="317"/>
        </w:trPr>
        <w:tc>
          <w:tcPr>
            <w:tcW w:w="2076" w:type="dxa"/>
          </w:tcPr>
          <w:p w14:paraId="1F5DE99F" w14:textId="77777777" w:rsidR="00635DA2" w:rsidRDefault="00635DA2" w:rsidP="008E24B7">
            <w:pPr>
              <w:pStyle w:val="ECCTabletext"/>
              <w:spacing w:before="60"/>
              <w:jc w:val="left"/>
              <w:rPr>
                <w:rStyle w:val="ECCHLbold"/>
              </w:rPr>
            </w:pPr>
            <w:r>
              <w:rPr>
                <w:rStyle w:val="ECCHLbold"/>
              </w:rPr>
              <w:t>GaAs</w:t>
            </w:r>
          </w:p>
        </w:tc>
        <w:tc>
          <w:tcPr>
            <w:tcW w:w="7553" w:type="dxa"/>
          </w:tcPr>
          <w:p w14:paraId="70D848EF" w14:textId="77777777" w:rsidR="00635DA2" w:rsidRPr="00374EF0" w:rsidRDefault="00635DA2" w:rsidP="008E24B7">
            <w:pPr>
              <w:pStyle w:val="ECCTabletext"/>
              <w:spacing w:before="60"/>
              <w:jc w:val="left"/>
            </w:pPr>
            <w:r w:rsidRPr="00374EF0">
              <w:t xml:space="preserve">Gallium </w:t>
            </w:r>
            <w:r>
              <w:t>A</w:t>
            </w:r>
            <w:r w:rsidRPr="00374EF0">
              <w:t>rsenide</w:t>
            </w:r>
          </w:p>
        </w:tc>
      </w:tr>
      <w:tr w:rsidR="00635DA2" w:rsidRPr="006D6727" w14:paraId="71A597B6" w14:textId="77777777" w:rsidTr="008E24B7">
        <w:trPr>
          <w:trHeight w:val="317"/>
        </w:trPr>
        <w:tc>
          <w:tcPr>
            <w:tcW w:w="2076" w:type="dxa"/>
          </w:tcPr>
          <w:p w14:paraId="3613BDF8" w14:textId="77777777" w:rsidR="00635DA2" w:rsidRDefault="00635DA2" w:rsidP="008E24B7">
            <w:pPr>
              <w:pStyle w:val="ECCTabletext"/>
              <w:spacing w:before="60"/>
              <w:jc w:val="left"/>
              <w:rPr>
                <w:rStyle w:val="ECCHLbold"/>
              </w:rPr>
            </w:pPr>
            <w:r>
              <w:rPr>
                <w:rStyle w:val="ECCHLbold"/>
              </w:rPr>
              <w:t>GaN</w:t>
            </w:r>
          </w:p>
        </w:tc>
        <w:tc>
          <w:tcPr>
            <w:tcW w:w="7553" w:type="dxa"/>
          </w:tcPr>
          <w:p w14:paraId="2E6B9E53" w14:textId="77777777" w:rsidR="00635DA2" w:rsidRPr="00374EF0" w:rsidRDefault="00635DA2" w:rsidP="008E24B7">
            <w:pPr>
              <w:pStyle w:val="ECCTabletext"/>
              <w:spacing w:before="60"/>
              <w:jc w:val="left"/>
            </w:pPr>
            <w:r w:rsidRPr="00374EF0">
              <w:t xml:space="preserve">Gallium </w:t>
            </w:r>
            <w:r>
              <w:t>N</w:t>
            </w:r>
            <w:r w:rsidRPr="00374EF0">
              <w:t>itride</w:t>
            </w:r>
          </w:p>
        </w:tc>
      </w:tr>
      <w:tr w:rsidR="00635DA2" w:rsidRPr="006D6727" w14:paraId="49B259AE" w14:textId="77777777" w:rsidTr="008E24B7">
        <w:trPr>
          <w:trHeight w:val="317"/>
        </w:trPr>
        <w:tc>
          <w:tcPr>
            <w:tcW w:w="2076" w:type="dxa"/>
          </w:tcPr>
          <w:p w14:paraId="78BA1ED8" w14:textId="77777777" w:rsidR="00635DA2" w:rsidRPr="00002287" w:rsidRDefault="00635DA2" w:rsidP="008E24B7">
            <w:pPr>
              <w:pStyle w:val="ECCTabletext"/>
              <w:spacing w:before="60"/>
              <w:jc w:val="left"/>
              <w:rPr>
                <w:rStyle w:val="ECCHLbold"/>
              </w:rPr>
            </w:pPr>
            <w:r w:rsidRPr="00002287">
              <w:rPr>
                <w:rStyle w:val="ECCHLbold"/>
              </w:rPr>
              <w:t>GBSAR</w:t>
            </w:r>
          </w:p>
        </w:tc>
        <w:tc>
          <w:tcPr>
            <w:tcW w:w="7553" w:type="dxa"/>
          </w:tcPr>
          <w:p w14:paraId="173E3CE2" w14:textId="77777777" w:rsidR="00635DA2" w:rsidRPr="00002287" w:rsidRDefault="00635DA2" w:rsidP="008E24B7">
            <w:pPr>
              <w:pStyle w:val="ECCTabletext"/>
              <w:spacing w:before="60"/>
              <w:jc w:val="left"/>
            </w:pPr>
            <w:r w:rsidRPr="00002287">
              <w:t>Ground Base Synthetic Aperture Radar</w:t>
            </w:r>
          </w:p>
        </w:tc>
      </w:tr>
      <w:tr w:rsidR="00635DA2" w:rsidRPr="006D6727" w14:paraId="054064F3" w14:textId="77777777" w:rsidTr="008E24B7">
        <w:trPr>
          <w:trHeight w:val="317"/>
        </w:trPr>
        <w:tc>
          <w:tcPr>
            <w:tcW w:w="2076" w:type="dxa"/>
          </w:tcPr>
          <w:p w14:paraId="5A274F29" w14:textId="77777777" w:rsidR="00635DA2" w:rsidRPr="00002287" w:rsidRDefault="00635DA2" w:rsidP="008E24B7">
            <w:pPr>
              <w:pStyle w:val="ECCTabletext"/>
              <w:spacing w:before="60"/>
              <w:jc w:val="left"/>
              <w:rPr>
                <w:rStyle w:val="ECCHLbold"/>
              </w:rPr>
            </w:pPr>
            <w:r>
              <w:rPr>
                <w:rStyle w:val="ECCHLbold"/>
              </w:rPr>
              <w:t>GEMS</w:t>
            </w:r>
          </w:p>
        </w:tc>
        <w:tc>
          <w:tcPr>
            <w:tcW w:w="7553" w:type="dxa"/>
          </w:tcPr>
          <w:p w14:paraId="3114C7C4" w14:textId="77777777" w:rsidR="00635DA2" w:rsidRPr="00002287" w:rsidRDefault="00635DA2" w:rsidP="008E24B7">
            <w:pPr>
              <w:pStyle w:val="ECCTabletext"/>
              <w:spacing w:before="60"/>
              <w:jc w:val="left"/>
            </w:pPr>
            <w:r w:rsidRPr="00374EF0">
              <w:t>Georgia Tech Electronics and Micro-System Lab</w:t>
            </w:r>
          </w:p>
        </w:tc>
      </w:tr>
      <w:tr w:rsidR="00635DA2" w:rsidRPr="006D6727" w14:paraId="57F363AA" w14:textId="77777777" w:rsidTr="008E24B7">
        <w:trPr>
          <w:trHeight w:val="317"/>
        </w:trPr>
        <w:tc>
          <w:tcPr>
            <w:tcW w:w="2076" w:type="dxa"/>
          </w:tcPr>
          <w:p w14:paraId="126D8157" w14:textId="77777777" w:rsidR="00635DA2" w:rsidRDefault="00635DA2" w:rsidP="008E24B7">
            <w:pPr>
              <w:pStyle w:val="ECCTabletext"/>
              <w:spacing w:before="60"/>
              <w:jc w:val="left"/>
              <w:rPr>
                <w:rStyle w:val="ECCHLbold"/>
              </w:rPr>
            </w:pPr>
            <w:r>
              <w:rPr>
                <w:rStyle w:val="ECCHLbold"/>
              </w:rPr>
              <w:t>GEO</w:t>
            </w:r>
          </w:p>
        </w:tc>
        <w:tc>
          <w:tcPr>
            <w:tcW w:w="7553" w:type="dxa"/>
          </w:tcPr>
          <w:p w14:paraId="0E07AFE4" w14:textId="77777777" w:rsidR="00635DA2" w:rsidRPr="00374EF0" w:rsidRDefault="00635DA2" w:rsidP="008E24B7">
            <w:pPr>
              <w:pStyle w:val="ECCTabletext"/>
              <w:spacing w:before="60"/>
              <w:jc w:val="left"/>
            </w:pPr>
            <w:r w:rsidRPr="00374EF0">
              <w:t xml:space="preserve">Geosynchronous </w:t>
            </w:r>
            <w:r>
              <w:t>O</w:t>
            </w:r>
            <w:r w:rsidRPr="00374EF0">
              <w:t>rbit</w:t>
            </w:r>
          </w:p>
        </w:tc>
      </w:tr>
      <w:tr w:rsidR="00635DA2" w:rsidRPr="006D6727" w14:paraId="717C5D38" w14:textId="77777777" w:rsidTr="008E24B7">
        <w:trPr>
          <w:trHeight w:val="317"/>
        </w:trPr>
        <w:tc>
          <w:tcPr>
            <w:tcW w:w="2076" w:type="dxa"/>
          </w:tcPr>
          <w:p w14:paraId="2F43668C" w14:textId="77777777" w:rsidR="00635DA2" w:rsidRDefault="00635DA2" w:rsidP="008E24B7">
            <w:pPr>
              <w:pStyle w:val="ECCTabletext"/>
              <w:spacing w:before="60"/>
              <w:jc w:val="left"/>
              <w:rPr>
                <w:rStyle w:val="ECCHLbold"/>
              </w:rPr>
            </w:pPr>
            <w:r>
              <w:rPr>
                <w:rStyle w:val="ECCHLbold"/>
              </w:rPr>
              <w:t>GSO</w:t>
            </w:r>
          </w:p>
        </w:tc>
        <w:tc>
          <w:tcPr>
            <w:tcW w:w="7553" w:type="dxa"/>
          </w:tcPr>
          <w:p w14:paraId="47C1D104" w14:textId="77777777" w:rsidR="00635DA2" w:rsidRPr="00374EF0" w:rsidRDefault="00635DA2" w:rsidP="008E24B7">
            <w:pPr>
              <w:pStyle w:val="ECCTabletext"/>
              <w:spacing w:before="60"/>
              <w:jc w:val="left"/>
            </w:pPr>
            <w:r w:rsidRPr="00374EF0">
              <w:t>Geostationary orbit</w:t>
            </w:r>
          </w:p>
        </w:tc>
      </w:tr>
      <w:tr w:rsidR="00635DA2" w:rsidRPr="006D6727" w14:paraId="1370BCA0" w14:textId="77777777" w:rsidTr="008E24B7">
        <w:trPr>
          <w:trHeight w:val="317"/>
        </w:trPr>
        <w:tc>
          <w:tcPr>
            <w:tcW w:w="2076" w:type="dxa"/>
          </w:tcPr>
          <w:p w14:paraId="4B111438" w14:textId="77777777" w:rsidR="00635DA2" w:rsidRDefault="00635DA2" w:rsidP="008E24B7">
            <w:pPr>
              <w:pStyle w:val="ECCTabletext"/>
              <w:spacing w:before="60"/>
              <w:jc w:val="left"/>
              <w:rPr>
                <w:rStyle w:val="ECCHLbold"/>
              </w:rPr>
            </w:pPr>
            <w:r>
              <w:rPr>
                <w:rStyle w:val="ECCHLbold"/>
              </w:rPr>
              <w:t>H</w:t>
            </w:r>
            <w:r w:rsidRPr="005C4465">
              <w:rPr>
                <w:rStyle w:val="ECCHLsubscript"/>
              </w:rPr>
              <w:t>2</w:t>
            </w:r>
            <w:r>
              <w:rPr>
                <w:rStyle w:val="ECCHLbold"/>
              </w:rPr>
              <w:t>O</w:t>
            </w:r>
          </w:p>
        </w:tc>
        <w:tc>
          <w:tcPr>
            <w:tcW w:w="7553" w:type="dxa"/>
          </w:tcPr>
          <w:p w14:paraId="69419151" w14:textId="77777777" w:rsidR="00635DA2" w:rsidRPr="00374EF0" w:rsidRDefault="00635DA2" w:rsidP="008E24B7">
            <w:pPr>
              <w:pStyle w:val="ECCTabletext"/>
              <w:spacing w:before="60"/>
              <w:jc w:val="left"/>
            </w:pPr>
            <w:r>
              <w:t>Water (-vapour)</w:t>
            </w:r>
          </w:p>
        </w:tc>
      </w:tr>
      <w:tr w:rsidR="00635DA2" w:rsidRPr="006D6727" w14:paraId="6A7A709B" w14:textId="77777777" w:rsidTr="008E24B7">
        <w:trPr>
          <w:trHeight w:val="317"/>
        </w:trPr>
        <w:tc>
          <w:tcPr>
            <w:tcW w:w="2076" w:type="dxa"/>
          </w:tcPr>
          <w:p w14:paraId="670104B0" w14:textId="77777777" w:rsidR="00635DA2" w:rsidRPr="00374EF0" w:rsidRDefault="00635DA2" w:rsidP="008E24B7">
            <w:pPr>
              <w:pStyle w:val="ECCTabletext"/>
              <w:spacing w:before="60"/>
              <w:jc w:val="left"/>
              <w:rPr>
                <w:rStyle w:val="ECCHLbold"/>
              </w:rPr>
            </w:pPr>
            <w:r w:rsidRPr="00374EF0">
              <w:rPr>
                <w:rStyle w:val="ECCHLbold"/>
              </w:rPr>
              <w:t>HD-GBSAR</w:t>
            </w:r>
          </w:p>
        </w:tc>
        <w:tc>
          <w:tcPr>
            <w:tcW w:w="7553" w:type="dxa"/>
          </w:tcPr>
          <w:p w14:paraId="2D1DC77A" w14:textId="7B97DA73" w:rsidR="00635DA2" w:rsidRPr="00374EF0" w:rsidRDefault="00635DA2" w:rsidP="008E24B7">
            <w:pPr>
              <w:pStyle w:val="ECCTabletext"/>
              <w:spacing w:before="60"/>
              <w:jc w:val="left"/>
            </w:pPr>
            <w:r w:rsidRPr="00374EF0">
              <w:t>High Definition - Ground Base Synthetic Aperture Radar</w:t>
            </w:r>
          </w:p>
        </w:tc>
      </w:tr>
      <w:tr w:rsidR="00635DA2" w:rsidRPr="006D6727" w14:paraId="0C5ACECE" w14:textId="77777777" w:rsidTr="008E24B7">
        <w:trPr>
          <w:trHeight w:val="317"/>
        </w:trPr>
        <w:tc>
          <w:tcPr>
            <w:tcW w:w="2076" w:type="dxa"/>
          </w:tcPr>
          <w:p w14:paraId="763EC99D" w14:textId="77777777" w:rsidR="00635DA2" w:rsidRPr="00374EF0" w:rsidRDefault="00635DA2" w:rsidP="008E24B7">
            <w:pPr>
              <w:pStyle w:val="ECCTabletext"/>
              <w:spacing w:before="60"/>
              <w:jc w:val="left"/>
              <w:rPr>
                <w:rStyle w:val="ECCHLbold"/>
              </w:rPr>
            </w:pPr>
            <w:r>
              <w:rPr>
                <w:rStyle w:val="ECCHLbold"/>
              </w:rPr>
              <w:t>HDPE</w:t>
            </w:r>
          </w:p>
        </w:tc>
        <w:tc>
          <w:tcPr>
            <w:tcW w:w="7553" w:type="dxa"/>
          </w:tcPr>
          <w:p w14:paraId="61C98E09" w14:textId="77777777" w:rsidR="00635DA2" w:rsidRPr="00374EF0" w:rsidRDefault="00635DA2" w:rsidP="008E24B7">
            <w:pPr>
              <w:pStyle w:val="ECCTabletext"/>
              <w:spacing w:before="60"/>
              <w:jc w:val="left"/>
            </w:pPr>
            <w:r w:rsidRPr="00374EF0">
              <w:t>High-</w:t>
            </w:r>
            <w:r>
              <w:t>D</w:t>
            </w:r>
            <w:r w:rsidRPr="00374EF0">
              <w:t xml:space="preserve">ensity </w:t>
            </w:r>
            <w:r>
              <w:t>P</w:t>
            </w:r>
            <w:r w:rsidRPr="00374EF0">
              <w:t>olyethylene</w:t>
            </w:r>
          </w:p>
        </w:tc>
      </w:tr>
      <w:tr w:rsidR="00635DA2" w:rsidRPr="006D6727" w14:paraId="0DCCD890" w14:textId="77777777" w:rsidTr="008E24B7">
        <w:trPr>
          <w:trHeight w:val="317"/>
        </w:trPr>
        <w:tc>
          <w:tcPr>
            <w:tcW w:w="2076" w:type="dxa"/>
          </w:tcPr>
          <w:p w14:paraId="12BC7F05" w14:textId="77777777" w:rsidR="00635DA2" w:rsidRDefault="00635DA2" w:rsidP="008E24B7">
            <w:pPr>
              <w:pStyle w:val="ECCTabletext"/>
              <w:spacing w:before="60"/>
              <w:jc w:val="left"/>
              <w:rPr>
                <w:rStyle w:val="ECCHLbold"/>
              </w:rPr>
            </w:pPr>
            <w:r>
              <w:rPr>
                <w:rStyle w:val="ECCHLbold"/>
              </w:rPr>
              <w:t>HEO</w:t>
            </w:r>
          </w:p>
        </w:tc>
        <w:tc>
          <w:tcPr>
            <w:tcW w:w="7553" w:type="dxa"/>
          </w:tcPr>
          <w:p w14:paraId="64618F8C" w14:textId="77777777" w:rsidR="00635DA2" w:rsidRPr="00374EF0" w:rsidRDefault="00635DA2" w:rsidP="008E24B7">
            <w:pPr>
              <w:pStyle w:val="ECCTabletext"/>
              <w:spacing w:before="60"/>
              <w:jc w:val="left"/>
            </w:pPr>
            <w:r w:rsidRPr="00374EF0">
              <w:t>High Earth Orbit</w:t>
            </w:r>
          </w:p>
        </w:tc>
      </w:tr>
      <w:tr w:rsidR="00635DA2" w:rsidRPr="006D6727" w14:paraId="79CC77B7" w14:textId="77777777" w:rsidTr="008E24B7">
        <w:trPr>
          <w:trHeight w:val="317"/>
        </w:trPr>
        <w:tc>
          <w:tcPr>
            <w:tcW w:w="2076" w:type="dxa"/>
          </w:tcPr>
          <w:p w14:paraId="069CB29B" w14:textId="77777777" w:rsidR="00635DA2" w:rsidRPr="00374EF0" w:rsidRDefault="00635DA2" w:rsidP="008E24B7">
            <w:pPr>
              <w:pStyle w:val="ECCTabletext"/>
              <w:spacing w:before="60"/>
              <w:jc w:val="left"/>
              <w:rPr>
                <w:rStyle w:val="ECCHLbold"/>
              </w:rPr>
            </w:pPr>
            <w:r w:rsidRPr="00374EF0">
              <w:rPr>
                <w:rStyle w:val="ECCHLbold"/>
              </w:rPr>
              <w:t>HPBW</w:t>
            </w:r>
          </w:p>
        </w:tc>
        <w:tc>
          <w:tcPr>
            <w:tcW w:w="7553" w:type="dxa"/>
          </w:tcPr>
          <w:p w14:paraId="447C90D1" w14:textId="77777777" w:rsidR="00635DA2" w:rsidRPr="00374EF0" w:rsidRDefault="00635DA2" w:rsidP="008E24B7">
            <w:pPr>
              <w:pStyle w:val="ECCTabletext"/>
              <w:spacing w:before="60"/>
              <w:jc w:val="left"/>
            </w:pPr>
            <w:r w:rsidRPr="00374EF0">
              <w:t>Half Power Beamwidth</w:t>
            </w:r>
          </w:p>
        </w:tc>
      </w:tr>
      <w:tr w:rsidR="00635DA2" w:rsidRPr="006D6727" w14:paraId="784FDB7A" w14:textId="77777777" w:rsidTr="008E24B7">
        <w:trPr>
          <w:trHeight w:val="317"/>
        </w:trPr>
        <w:tc>
          <w:tcPr>
            <w:tcW w:w="2076" w:type="dxa"/>
          </w:tcPr>
          <w:p w14:paraId="3419A6DC" w14:textId="77777777" w:rsidR="00635DA2" w:rsidRDefault="00635DA2" w:rsidP="008E24B7">
            <w:pPr>
              <w:pStyle w:val="ECCTabletext"/>
              <w:spacing w:before="60"/>
              <w:jc w:val="left"/>
              <w:rPr>
                <w:rStyle w:val="ECCHLbold"/>
              </w:rPr>
            </w:pPr>
            <w:r>
              <w:rPr>
                <w:rStyle w:val="ECCHLbold"/>
              </w:rPr>
              <w:t>I/N</w:t>
            </w:r>
          </w:p>
        </w:tc>
        <w:tc>
          <w:tcPr>
            <w:tcW w:w="7553" w:type="dxa"/>
          </w:tcPr>
          <w:p w14:paraId="572317AB" w14:textId="77777777" w:rsidR="00635DA2" w:rsidRPr="00374EF0" w:rsidRDefault="00635DA2" w:rsidP="008E24B7">
            <w:pPr>
              <w:pStyle w:val="ECCTabletext"/>
              <w:spacing w:before="60"/>
              <w:jc w:val="left"/>
            </w:pPr>
            <w:r w:rsidRPr="00526C3D">
              <w:t>Interferer to Noise Ratio</w:t>
            </w:r>
          </w:p>
        </w:tc>
      </w:tr>
      <w:tr w:rsidR="00635DA2" w:rsidRPr="006D6727" w14:paraId="3BD0B5EB" w14:textId="77777777" w:rsidTr="008E24B7">
        <w:trPr>
          <w:trHeight w:val="317"/>
        </w:trPr>
        <w:tc>
          <w:tcPr>
            <w:tcW w:w="2076" w:type="dxa"/>
          </w:tcPr>
          <w:p w14:paraId="2AA3C7CA" w14:textId="77777777" w:rsidR="00635DA2" w:rsidRPr="00374EF0" w:rsidRDefault="00635DA2" w:rsidP="008E24B7">
            <w:pPr>
              <w:pStyle w:val="ECCTabletext"/>
              <w:spacing w:before="60"/>
              <w:jc w:val="left"/>
              <w:rPr>
                <w:rStyle w:val="ECCHLbold"/>
              </w:rPr>
            </w:pPr>
            <w:r w:rsidRPr="00374EF0">
              <w:rPr>
                <w:rStyle w:val="ECCHLbold"/>
              </w:rPr>
              <w:t>IARU</w:t>
            </w:r>
          </w:p>
        </w:tc>
        <w:tc>
          <w:tcPr>
            <w:tcW w:w="7553" w:type="dxa"/>
          </w:tcPr>
          <w:p w14:paraId="68345C95" w14:textId="77777777" w:rsidR="00635DA2" w:rsidRPr="00374EF0" w:rsidRDefault="00635DA2" w:rsidP="008E24B7">
            <w:pPr>
              <w:pStyle w:val="ECCTabletext"/>
              <w:spacing w:before="60"/>
              <w:jc w:val="left"/>
            </w:pPr>
            <w:r w:rsidRPr="00374EF0">
              <w:t>International Amateur Radio Union</w:t>
            </w:r>
          </w:p>
        </w:tc>
      </w:tr>
      <w:tr w:rsidR="00635DA2" w:rsidRPr="006D6727" w14:paraId="4F22D913" w14:textId="77777777" w:rsidTr="008E24B7">
        <w:trPr>
          <w:trHeight w:val="317"/>
        </w:trPr>
        <w:tc>
          <w:tcPr>
            <w:tcW w:w="2076" w:type="dxa"/>
          </w:tcPr>
          <w:p w14:paraId="50DFC087" w14:textId="77777777" w:rsidR="00635DA2" w:rsidRPr="00374EF0" w:rsidRDefault="00635DA2" w:rsidP="008E24B7">
            <w:pPr>
              <w:pStyle w:val="ECCTabletext"/>
              <w:spacing w:before="60"/>
              <w:jc w:val="left"/>
              <w:rPr>
                <w:rStyle w:val="ECCHLbold"/>
              </w:rPr>
            </w:pPr>
            <w:r>
              <w:rPr>
                <w:rStyle w:val="ECCHLbold"/>
              </w:rPr>
              <w:t>ICI</w:t>
            </w:r>
          </w:p>
        </w:tc>
        <w:tc>
          <w:tcPr>
            <w:tcW w:w="7553" w:type="dxa"/>
          </w:tcPr>
          <w:p w14:paraId="32E9D1D0" w14:textId="77777777" w:rsidR="00635DA2" w:rsidRPr="00374EF0" w:rsidRDefault="00635DA2" w:rsidP="008E24B7">
            <w:pPr>
              <w:pStyle w:val="ECCTabletext"/>
              <w:spacing w:before="60"/>
              <w:jc w:val="left"/>
            </w:pPr>
            <w:r>
              <w:t>Ice Cloud Imager</w:t>
            </w:r>
          </w:p>
        </w:tc>
      </w:tr>
      <w:tr w:rsidR="00635DA2" w:rsidRPr="006D6727" w14:paraId="735F8B13" w14:textId="77777777" w:rsidTr="008E24B7">
        <w:trPr>
          <w:trHeight w:val="317"/>
        </w:trPr>
        <w:tc>
          <w:tcPr>
            <w:tcW w:w="2076" w:type="dxa"/>
          </w:tcPr>
          <w:p w14:paraId="06EE96CE" w14:textId="77777777" w:rsidR="00635DA2" w:rsidRDefault="00635DA2" w:rsidP="008E24B7">
            <w:pPr>
              <w:pStyle w:val="ECCTabletext"/>
              <w:spacing w:before="60"/>
              <w:jc w:val="left"/>
              <w:rPr>
                <w:rStyle w:val="ECCHLbold"/>
              </w:rPr>
            </w:pPr>
            <w:r>
              <w:rPr>
                <w:rStyle w:val="ECCHLbold"/>
              </w:rPr>
              <w:t>IF</w:t>
            </w:r>
          </w:p>
        </w:tc>
        <w:tc>
          <w:tcPr>
            <w:tcW w:w="7553" w:type="dxa"/>
          </w:tcPr>
          <w:p w14:paraId="0A1C1BB4" w14:textId="77777777" w:rsidR="00635DA2" w:rsidRPr="00374EF0" w:rsidRDefault="00635DA2" w:rsidP="008E24B7">
            <w:pPr>
              <w:pStyle w:val="ECCTabletext"/>
              <w:spacing w:before="60"/>
              <w:jc w:val="left"/>
            </w:pPr>
            <w:r w:rsidRPr="00526C3D">
              <w:t>Intermediate Frequency</w:t>
            </w:r>
          </w:p>
        </w:tc>
      </w:tr>
      <w:tr w:rsidR="00635DA2" w:rsidRPr="006D6727" w14:paraId="4D508FF8" w14:textId="77777777" w:rsidTr="008E24B7">
        <w:trPr>
          <w:trHeight w:val="317"/>
        </w:trPr>
        <w:tc>
          <w:tcPr>
            <w:tcW w:w="2076" w:type="dxa"/>
          </w:tcPr>
          <w:p w14:paraId="33674B11" w14:textId="77777777" w:rsidR="00635DA2" w:rsidRDefault="00635DA2" w:rsidP="008E24B7">
            <w:pPr>
              <w:pStyle w:val="ECCTabletext"/>
              <w:spacing w:before="60"/>
              <w:jc w:val="left"/>
              <w:rPr>
                <w:rStyle w:val="ECCHLbold"/>
              </w:rPr>
            </w:pPr>
            <w:r>
              <w:rPr>
                <w:rStyle w:val="ECCHLbold"/>
              </w:rPr>
              <w:t>IFOV</w:t>
            </w:r>
          </w:p>
        </w:tc>
        <w:tc>
          <w:tcPr>
            <w:tcW w:w="7553" w:type="dxa"/>
          </w:tcPr>
          <w:p w14:paraId="1CB7AC0F" w14:textId="77777777" w:rsidR="00635DA2" w:rsidRPr="00374EF0" w:rsidRDefault="00635DA2" w:rsidP="008E24B7">
            <w:pPr>
              <w:pStyle w:val="ECCTabletext"/>
              <w:spacing w:before="60"/>
              <w:jc w:val="left"/>
            </w:pPr>
            <w:r w:rsidRPr="00526C3D">
              <w:t xml:space="preserve">Instantaneous </w:t>
            </w:r>
            <w:r>
              <w:t>F</w:t>
            </w:r>
            <w:r w:rsidRPr="00526C3D">
              <w:t xml:space="preserve">ield of </w:t>
            </w:r>
            <w:r>
              <w:t>V</w:t>
            </w:r>
            <w:r w:rsidRPr="00526C3D">
              <w:t>iew</w:t>
            </w:r>
          </w:p>
        </w:tc>
      </w:tr>
      <w:tr w:rsidR="00635DA2" w:rsidRPr="0067654F" w14:paraId="6735B7A6" w14:textId="77777777" w:rsidTr="008E24B7">
        <w:trPr>
          <w:trHeight w:val="317"/>
        </w:trPr>
        <w:tc>
          <w:tcPr>
            <w:tcW w:w="2076" w:type="dxa"/>
          </w:tcPr>
          <w:p w14:paraId="26AFF2BD" w14:textId="77777777" w:rsidR="00635DA2" w:rsidRPr="00374EF0" w:rsidRDefault="00635DA2" w:rsidP="008E24B7">
            <w:pPr>
              <w:pStyle w:val="ECCTabletext"/>
              <w:spacing w:before="60"/>
              <w:jc w:val="left"/>
              <w:rPr>
                <w:rStyle w:val="ECCHLbold"/>
              </w:rPr>
            </w:pPr>
            <w:r>
              <w:rPr>
                <w:rStyle w:val="ECCHLbold"/>
              </w:rPr>
              <w:t>IGN</w:t>
            </w:r>
          </w:p>
        </w:tc>
        <w:tc>
          <w:tcPr>
            <w:tcW w:w="7553" w:type="dxa"/>
          </w:tcPr>
          <w:p w14:paraId="470007BD" w14:textId="77777777" w:rsidR="00635DA2" w:rsidRPr="009A2BBA" w:rsidRDefault="00635DA2" w:rsidP="008E24B7">
            <w:pPr>
              <w:rPr>
                <w:lang w:val="fr-FR"/>
              </w:rPr>
            </w:pPr>
            <w:r w:rsidRPr="009A2BBA">
              <w:rPr>
                <w:lang w:val="fr-FR"/>
              </w:rPr>
              <w:t>Institut National de l’Information Géographique et Forestière</w:t>
            </w:r>
          </w:p>
        </w:tc>
      </w:tr>
      <w:tr w:rsidR="00635DA2" w:rsidRPr="006D6727" w14:paraId="16AE7182" w14:textId="77777777" w:rsidTr="008E24B7">
        <w:trPr>
          <w:trHeight w:val="317"/>
        </w:trPr>
        <w:tc>
          <w:tcPr>
            <w:tcW w:w="2076" w:type="dxa"/>
          </w:tcPr>
          <w:p w14:paraId="12D33AEB" w14:textId="77777777" w:rsidR="00635DA2" w:rsidRDefault="00635DA2" w:rsidP="008E24B7">
            <w:pPr>
              <w:pStyle w:val="ECCTabletext"/>
              <w:spacing w:before="60"/>
              <w:jc w:val="left"/>
              <w:rPr>
                <w:rStyle w:val="ECCHLbold"/>
              </w:rPr>
            </w:pPr>
            <w:r>
              <w:rPr>
                <w:rStyle w:val="ECCHLbold"/>
              </w:rPr>
              <w:t>IRAM</w:t>
            </w:r>
          </w:p>
        </w:tc>
        <w:tc>
          <w:tcPr>
            <w:tcW w:w="7553" w:type="dxa"/>
          </w:tcPr>
          <w:p w14:paraId="4C87F428" w14:textId="77777777" w:rsidR="00635DA2" w:rsidRPr="00374EF0" w:rsidRDefault="00635DA2" w:rsidP="008E24B7">
            <w:pPr>
              <w:pStyle w:val="ECCTabletext"/>
              <w:spacing w:before="60"/>
              <w:jc w:val="left"/>
            </w:pPr>
            <w:r w:rsidRPr="00374EF0">
              <w:t>Institut de Radioastronomie Millimétrique</w:t>
            </w:r>
          </w:p>
        </w:tc>
      </w:tr>
      <w:tr w:rsidR="00635DA2" w:rsidRPr="006D6727" w14:paraId="30D3740E" w14:textId="77777777" w:rsidTr="008E24B7">
        <w:trPr>
          <w:trHeight w:val="317"/>
        </w:trPr>
        <w:tc>
          <w:tcPr>
            <w:tcW w:w="2076" w:type="dxa"/>
          </w:tcPr>
          <w:p w14:paraId="3D454CF0" w14:textId="77777777" w:rsidR="00635DA2" w:rsidRDefault="00635DA2" w:rsidP="008E24B7">
            <w:pPr>
              <w:pStyle w:val="ECCTabletext"/>
              <w:spacing w:before="60"/>
              <w:jc w:val="left"/>
              <w:rPr>
                <w:rStyle w:val="ECCHLbold"/>
              </w:rPr>
            </w:pPr>
            <w:r>
              <w:rPr>
                <w:rStyle w:val="ECCHLbold"/>
              </w:rPr>
              <w:t>ISM</w:t>
            </w:r>
          </w:p>
        </w:tc>
        <w:tc>
          <w:tcPr>
            <w:tcW w:w="7553" w:type="dxa"/>
          </w:tcPr>
          <w:p w14:paraId="26A55C52" w14:textId="77777777" w:rsidR="00635DA2" w:rsidRPr="00374EF0" w:rsidRDefault="00635DA2" w:rsidP="008E24B7">
            <w:pPr>
              <w:pStyle w:val="ECCTabletext"/>
              <w:spacing w:before="60"/>
              <w:jc w:val="left"/>
            </w:pPr>
            <w:r w:rsidRPr="009A2BBA">
              <w:t>Industrial, Scientific and Medical</w:t>
            </w:r>
          </w:p>
        </w:tc>
      </w:tr>
      <w:tr w:rsidR="00635DA2" w:rsidRPr="006D6727" w14:paraId="42848720" w14:textId="77777777" w:rsidTr="008E24B7">
        <w:trPr>
          <w:trHeight w:val="317"/>
        </w:trPr>
        <w:tc>
          <w:tcPr>
            <w:tcW w:w="2076" w:type="dxa"/>
          </w:tcPr>
          <w:p w14:paraId="3B1814C1" w14:textId="77777777" w:rsidR="00635DA2" w:rsidRDefault="00635DA2" w:rsidP="008E24B7">
            <w:pPr>
              <w:pStyle w:val="ECCTabletext"/>
              <w:spacing w:before="60"/>
              <w:jc w:val="left"/>
              <w:rPr>
                <w:rStyle w:val="ECCHLbold"/>
              </w:rPr>
            </w:pPr>
            <w:r>
              <w:rPr>
                <w:rStyle w:val="ECCHLbold"/>
              </w:rPr>
              <w:t>ISS</w:t>
            </w:r>
          </w:p>
        </w:tc>
        <w:tc>
          <w:tcPr>
            <w:tcW w:w="7553" w:type="dxa"/>
          </w:tcPr>
          <w:p w14:paraId="25E0F786" w14:textId="77777777" w:rsidR="00635DA2" w:rsidRPr="00374EF0" w:rsidRDefault="00635DA2" w:rsidP="008E24B7">
            <w:pPr>
              <w:pStyle w:val="ECCTabletext"/>
              <w:spacing w:before="60"/>
              <w:jc w:val="left"/>
            </w:pPr>
            <w:r>
              <w:t>Inter-Satellite Service</w:t>
            </w:r>
          </w:p>
        </w:tc>
      </w:tr>
      <w:tr w:rsidR="00635DA2" w:rsidRPr="006D6727" w14:paraId="51FFA647" w14:textId="77777777" w:rsidTr="008E24B7">
        <w:trPr>
          <w:trHeight w:val="317"/>
        </w:trPr>
        <w:tc>
          <w:tcPr>
            <w:tcW w:w="2076" w:type="dxa"/>
          </w:tcPr>
          <w:p w14:paraId="7140C059" w14:textId="77777777" w:rsidR="00635DA2" w:rsidRPr="00374EF0" w:rsidRDefault="00635DA2" w:rsidP="008E24B7">
            <w:pPr>
              <w:pStyle w:val="ECCTabletext"/>
              <w:spacing w:before="60"/>
              <w:jc w:val="left"/>
              <w:rPr>
                <w:rStyle w:val="ECCHLbold"/>
              </w:rPr>
            </w:pPr>
            <w:r w:rsidRPr="00374EF0">
              <w:rPr>
                <w:rStyle w:val="ECCHLbold"/>
              </w:rPr>
              <w:t>ITU</w:t>
            </w:r>
          </w:p>
        </w:tc>
        <w:tc>
          <w:tcPr>
            <w:tcW w:w="7553" w:type="dxa"/>
          </w:tcPr>
          <w:p w14:paraId="5C1FFB7C" w14:textId="77777777" w:rsidR="00635DA2" w:rsidRPr="00374EF0" w:rsidRDefault="00635DA2" w:rsidP="008E24B7">
            <w:pPr>
              <w:pStyle w:val="ECCTabletext"/>
              <w:spacing w:before="60"/>
              <w:jc w:val="left"/>
            </w:pPr>
            <w:r w:rsidRPr="00374EF0">
              <w:t>International Telecommunication Union</w:t>
            </w:r>
          </w:p>
        </w:tc>
      </w:tr>
      <w:tr w:rsidR="00635DA2" w:rsidRPr="006D6727" w14:paraId="5B00BFBE" w14:textId="77777777" w:rsidTr="008E24B7">
        <w:trPr>
          <w:trHeight w:val="317"/>
        </w:trPr>
        <w:tc>
          <w:tcPr>
            <w:tcW w:w="2076" w:type="dxa"/>
          </w:tcPr>
          <w:p w14:paraId="579AD0A7" w14:textId="77777777" w:rsidR="00635DA2" w:rsidRPr="00374EF0" w:rsidRDefault="00635DA2" w:rsidP="008E24B7">
            <w:pPr>
              <w:pStyle w:val="ECCTabletext"/>
              <w:spacing w:before="60"/>
              <w:jc w:val="left"/>
              <w:rPr>
                <w:rStyle w:val="ECCHLbold"/>
              </w:rPr>
            </w:pPr>
            <w:r>
              <w:rPr>
                <w:rStyle w:val="ECCHLbold"/>
              </w:rPr>
              <w:t>ITU-RR</w:t>
            </w:r>
          </w:p>
        </w:tc>
        <w:tc>
          <w:tcPr>
            <w:tcW w:w="7553" w:type="dxa"/>
          </w:tcPr>
          <w:p w14:paraId="69436EDB" w14:textId="77777777" w:rsidR="00635DA2" w:rsidRPr="00374EF0" w:rsidRDefault="00635DA2" w:rsidP="008E24B7">
            <w:pPr>
              <w:pStyle w:val="ECCTabletext"/>
              <w:spacing w:before="60"/>
              <w:jc w:val="left"/>
            </w:pPr>
            <w:r w:rsidRPr="00526C3D">
              <w:t>International Telecommunication Union Radio Recommendation</w:t>
            </w:r>
          </w:p>
        </w:tc>
      </w:tr>
      <w:tr w:rsidR="00635DA2" w:rsidRPr="006D6727" w14:paraId="2214F4B7" w14:textId="77777777" w:rsidTr="008E24B7">
        <w:trPr>
          <w:trHeight w:val="317"/>
        </w:trPr>
        <w:tc>
          <w:tcPr>
            <w:tcW w:w="2076" w:type="dxa"/>
          </w:tcPr>
          <w:p w14:paraId="46C8C359" w14:textId="77777777" w:rsidR="00635DA2" w:rsidRDefault="00635DA2" w:rsidP="008E24B7">
            <w:pPr>
              <w:pStyle w:val="ECCTabletext"/>
              <w:spacing w:before="60"/>
              <w:jc w:val="left"/>
              <w:rPr>
                <w:rStyle w:val="ECCHLbold"/>
              </w:rPr>
            </w:pPr>
            <w:r>
              <w:rPr>
                <w:rStyle w:val="ECCHLbold"/>
              </w:rPr>
              <w:t>ITU-RR FN</w:t>
            </w:r>
          </w:p>
        </w:tc>
        <w:tc>
          <w:tcPr>
            <w:tcW w:w="7553" w:type="dxa"/>
          </w:tcPr>
          <w:p w14:paraId="1EFB19AE" w14:textId="77777777" w:rsidR="00635DA2" w:rsidRPr="00374EF0" w:rsidRDefault="00635DA2" w:rsidP="008E24B7">
            <w:pPr>
              <w:pStyle w:val="ECCTabletext"/>
              <w:spacing w:before="60"/>
              <w:jc w:val="left"/>
            </w:pPr>
            <w:r w:rsidRPr="00526C3D">
              <w:t>International Telecommunication Union Radio Recommendation Foot Note</w:t>
            </w:r>
          </w:p>
        </w:tc>
      </w:tr>
      <w:tr w:rsidR="00635DA2" w:rsidRPr="006D6727" w14:paraId="6BD7A9C2" w14:textId="77777777" w:rsidTr="008E24B7">
        <w:trPr>
          <w:trHeight w:val="317"/>
        </w:trPr>
        <w:tc>
          <w:tcPr>
            <w:tcW w:w="2076" w:type="dxa"/>
          </w:tcPr>
          <w:p w14:paraId="18FCD56B" w14:textId="77777777" w:rsidR="00635DA2" w:rsidRDefault="00635DA2" w:rsidP="008E24B7">
            <w:pPr>
              <w:pStyle w:val="ECCTabletext"/>
              <w:spacing w:before="60"/>
              <w:jc w:val="left"/>
              <w:rPr>
                <w:rStyle w:val="ECCHLbold"/>
              </w:rPr>
            </w:pPr>
            <w:r>
              <w:rPr>
                <w:rStyle w:val="ECCHLbold"/>
              </w:rPr>
              <w:t>LEO</w:t>
            </w:r>
          </w:p>
        </w:tc>
        <w:tc>
          <w:tcPr>
            <w:tcW w:w="7553" w:type="dxa"/>
          </w:tcPr>
          <w:p w14:paraId="3694218B" w14:textId="77777777" w:rsidR="00635DA2" w:rsidRPr="00526C3D" w:rsidRDefault="00635DA2" w:rsidP="008E24B7">
            <w:pPr>
              <w:pStyle w:val="ECCTabletext"/>
              <w:spacing w:before="60"/>
              <w:jc w:val="left"/>
            </w:pPr>
            <w:r>
              <w:t>Low Earth Orbit</w:t>
            </w:r>
          </w:p>
        </w:tc>
      </w:tr>
      <w:tr w:rsidR="00635DA2" w:rsidRPr="006D6727" w14:paraId="69E10FE4" w14:textId="77777777" w:rsidTr="008E24B7">
        <w:trPr>
          <w:trHeight w:val="317"/>
        </w:trPr>
        <w:tc>
          <w:tcPr>
            <w:tcW w:w="2076" w:type="dxa"/>
          </w:tcPr>
          <w:p w14:paraId="4B9876A1" w14:textId="77777777" w:rsidR="00635DA2" w:rsidRPr="00374EF0" w:rsidRDefault="00635DA2" w:rsidP="008E24B7">
            <w:pPr>
              <w:pStyle w:val="ECCTabletext"/>
              <w:spacing w:before="60"/>
              <w:jc w:val="left"/>
              <w:rPr>
                <w:rStyle w:val="ECCHLbold"/>
              </w:rPr>
            </w:pPr>
            <w:r w:rsidRPr="00374EF0">
              <w:rPr>
                <w:rStyle w:val="ECCHLbold"/>
              </w:rPr>
              <w:t>LFMCW</w:t>
            </w:r>
          </w:p>
        </w:tc>
        <w:tc>
          <w:tcPr>
            <w:tcW w:w="7553" w:type="dxa"/>
          </w:tcPr>
          <w:p w14:paraId="330BE1C5" w14:textId="77777777" w:rsidR="00635DA2" w:rsidRPr="00374EF0" w:rsidRDefault="00635DA2" w:rsidP="008E24B7">
            <w:pPr>
              <w:pStyle w:val="ECCTabletext"/>
              <w:spacing w:before="60"/>
              <w:jc w:val="left"/>
            </w:pPr>
            <w:r w:rsidRPr="00374EF0">
              <w:t>Linear Frequency Continuous Wave</w:t>
            </w:r>
          </w:p>
        </w:tc>
      </w:tr>
      <w:tr w:rsidR="00635DA2" w:rsidRPr="006D6727" w14:paraId="68B3B7EB" w14:textId="77777777" w:rsidTr="008E24B7">
        <w:trPr>
          <w:trHeight w:val="317"/>
        </w:trPr>
        <w:tc>
          <w:tcPr>
            <w:tcW w:w="2076" w:type="dxa"/>
          </w:tcPr>
          <w:p w14:paraId="7A2B890C" w14:textId="77777777" w:rsidR="00635DA2" w:rsidRDefault="00635DA2" w:rsidP="008E24B7">
            <w:pPr>
              <w:pStyle w:val="ECCTabletext"/>
              <w:spacing w:before="60"/>
              <w:jc w:val="left"/>
              <w:rPr>
                <w:rStyle w:val="ECCHLbold"/>
              </w:rPr>
            </w:pPr>
            <w:r>
              <w:rPr>
                <w:rStyle w:val="ECCHLbold"/>
              </w:rPr>
              <w:t>LOS</w:t>
            </w:r>
          </w:p>
        </w:tc>
        <w:tc>
          <w:tcPr>
            <w:tcW w:w="7553" w:type="dxa"/>
          </w:tcPr>
          <w:p w14:paraId="73358EC9" w14:textId="77777777" w:rsidR="00635DA2" w:rsidRDefault="00635DA2" w:rsidP="008E24B7">
            <w:pPr>
              <w:pStyle w:val="ECCTabletext"/>
              <w:spacing w:before="60"/>
              <w:jc w:val="left"/>
            </w:pPr>
            <w:r>
              <w:t>Line of Sight</w:t>
            </w:r>
          </w:p>
        </w:tc>
      </w:tr>
      <w:tr w:rsidR="00635DA2" w:rsidRPr="006D6727" w14:paraId="3640FEE8" w14:textId="77777777" w:rsidTr="008E24B7">
        <w:trPr>
          <w:trHeight w:val="317"/>
        </w:trPr>
        <w:tc>
          <w:tcPr>
            <w:tcW w:w="2076" w:type="dxa"/>
          </w:tcPr>
          <w:p w14:paraId="51A398CC" w14:textId="77777777" w:rsidR="00635DA2" w:rsidRPr="00374EF0" w:rsidRDefault="00635DA2" w:rsidP="008E24B7">
            <w:pPr>
              <w:pStyle w:val="ECCTabletext"/>
              <w:spacing w:before="60"/>
              <w:jc w:val="left"/>
              <w:rPr>
                <w:rStyle w:val="ECCHLbold"/>
              </w:rPr>
            </w:pPr>
            <w:r>
              <w:rPr>
                <w:rStyle w:val="ECCHLbold"/>
              </w:rPr>
              <w:t>LPR</w:t>
            </w:r>
          </w:p>
        </w:tc>
        <w:tc>
          <w:tcPr>
            <w:tcW w:w="7553" w:type="dxa"/>
          </w:tcPr>
          <w:p w14:paraId="0C29AF91" w14:textId="77777777" w:rsidR="00635DA2" w:rsidRPr="00374EF0" w:rsidRDefault="00635DA2" w:rsidP="008E24B7">
            <w:pPr>
              <w:pStyle w:val="ECCTabletext"/>
              <w:spacing w:before="60"/>
              <w:jc w:val="left"/>
            </w:pPr>
            <w:r>
              <w:t>Level Probing Radar</w:t>
            </w:r>
          </w:p>
        </w:tc>
      </w:tr>
      <w:tr w:rsidR="00635DA2" w:rsidRPr="006D6727" w14:paraId="128C535B" w14:textId="77777777" w:rsidTr="008E24B7">
        <w:trPr>
          <w:trHeight w:val="317"/>
        </w:trPr>
        <w:tc>
          <w:tcPr>
            <w:tcW w:w="2076" w:type="dxa"/>
          </w:tcPr>
          <w:p w14:paraId="767FCAB7" w14:textId="77777777" w:rsidR="00635DA2" w:rsidRDefault="00635DA2" w:rsidP="008E24B7">
            <w:pPr>
              <w:pStyle w:val="ECCTabletext"/>
              <w:spacing w:before="60"/>
              <w:jc w:val="left"/>
              <w:rPr>
                <w:rStyle w:val="ECCHLbold"/>
              </w:rPr>
            </w:pPr>
            <w:r>
              <w:rPr>
                <w:rStyle w:val="ECCHLbold"/>
              </w:rPr>
              <w:t>M-CDR</w:t>
            </w:r>
          </w:p>
        </w:tc>
        <w:tc>
          <w:tcPr>
            <w:tcW w:w="7553" w:type="dxa"/>
          </w:tcPr>
          <w:p w14:paraId="1F90D6C7" w14:textId="77777777" w:rsidR="00635DA2" w:rsidRDefault="00635DA2" w:rsidP="008E24B7">
            <w:pPr>
              <w:pStyle w:val="ECCTabletext"/>
              <w:spacing w:before="60"/>
              <w:jc w:val="left"/>
            </w:pPr>
            <w:r w:rsidRPr="00526C3D">
              <w:t>Mechanical Contour Detection Radar</w:t>
            </w:r>
          </w:p>
        </w:tc>
      </w:tr>
      <w:tr w:rsidR="00635DA2" w:rsidRPr="006D6727" w14:paraId="0D3CA0A0" w14:textId="77777777" w:rsidTr="008E24B7">
        <w:trPr>
          <w:trHeight w:val="317"/>
        </w:trPr>
        <w:tc>
          <w:tcPr>
            <w:tcW w:w="2076" w:type="dxa"/>
          </w:tcPr>
          <w:p w14:paraId="2C669357" w14:textId="77777777" w:rsidR="00635DA2" w:rsidRDefault="00635DA2" w:rsidP="008E24B7">
            <w:pPr>
              <w:pStyle w:val="ECCTabletext"/>
              <w:spacing w:before="60"/>
              <w:jc w:val="left"/>
              <w:rPr>
                <w:rStyle w:val="ECCHLbold"/>
              </w:rPr>
            </w:pPr>
            <w:r>
              <w:rPr>
                <w:rStyle w:val="ECCHLbold"/>
              </w:rPr>
              <w:t>MCL</w:t>
            </w:r>
          </w:p>
        </w:tc>
        <w:tc>
          <w:tcPr>
            <w:tcW w:w="7553" w:type="dxa"/>
          </w:tcPr>
          <w:p w14:paraId="762F3CCE" w14:textId="77777777" w:rsidR="00635DA2" w:rsidRDefault="00635DA2" w:rsidP="008E24B7">
            <w:pPr>
              <w:pStyle w:val="ECCTabletext"/>
              <w:spacing w:before="60"/>
              <w:jc w:val="left"/>
            </w:pPr>
            <w:r>
              <w:t>Minimum Coupling Loss</w:t>
            </w:r>
          </w:p>
        </w:tc>
      </w:tr>
      <w:tr w:rsidR="00635DA2" w:rsidRPr="006D6727" w14:paraId="24CAD69D" w14:textId="77777777" w:rsidTr="008E24B7">
        <w:trPr>
          <w:trHeight w:val="317"/>
        </w:trPr>
        <w:tc>
          <w:tcPr>
            <w:tcW w:w="2076" w:type="dxa"/>
          </w:tcPr>
          <w:p w14:paraId="69EAE247" w14:textId="77777777" w:rsidR="00635DA2" w:rsidRDefault="00635DA2" w:rsidP="008E24B7">
            <w:pPr>
              <w:pStyle w:val="ECCTabletext"/>
              <w:spacing w:before="60"/>
              <w:jc w:val="left"/>
              <w:rPr>
                <w:rStyle w:val="ECCHLbold"/>
              </w:rPr>
            </w:pPr>
            <w:r>
              <w:rPr>
                <w:rStyle w:val="ECCHLbold"/>
              </w:rPr>
              <w:t>MIMO</w:t>
            </w:r>
          </w:p>
        </w:tc>
        <w:tc>
          <w:tcPr>
            <w:tcW w:w="7553" w:type="dxa"/>
          </w:tcPr>
          <w:p w14:paraId="72F7BAEC" w14:textId="77777777" w:rsidR="00635DA2" w:rsidRPr="00526C3D" w:rsidRDefault="00635DA2" w:rsidP="008E24B7">
            <w:pPr>
              <w:pStyle w:val="ECCTabletext"/>
              <w:spacing w:before="60"/>
              <w:jc w:val="left"/>
            </w:pPr>
            <w:r w:rsidRPr="00526C3D">
              <w:t>Multiple Input Multiple Output</w:t>
            </w:r>
          </w:p>
        </w:tc>
      </w:tr>
      <w:tr w:rsidR="00635DA2" w:rsidRPr="006D6727" w14:paraId="2FEBF0A5" w14:textId="77777777" w:rsidTr="008E24B7">
        <w:trPr>
          <w:trHeight w:val="317"/>
        </w:trPr>
        <w:tc>
          <w:tcPr>
            <w:tcW w:w="2076" w:type="dxa"/>
          </w:tcPr>
          <w:p w14:paraId="149807A6" w14:textId="77777777" w:rsidR="00635DA2" w:rsidRDefault="00635DA2" w:rsidP="008E24B7">
            <w:pPr>
              <w:pStyle w:val="ECCTabletext"/>
              <w:spacing w:before="60"/>
              <w:jc w:val="left"/>
              <w:rPr>
                <w:rStyle w:val="ECCHLbold"/>
              </w:rPr>
            </w:pPr>
            <w:r>
              <w:rPr>
                <w:rStyle w:val="ECCHLbold"/>
              </w:rPr>
              <w:t>mmW</w:t>
            </w:r>
          </w:p>
        </w:tc>
        <w:tc>
          <w:tcPr>
            <w:tcW w:w="7553" w:type="dxa"/>
          </w:tcPr>
          <w:p w14:paraId="276A3124" w14:textId="77777777" w:rsidR="00635DA2" w:rsidRPr="00526C3D" w:rsidRDefault="00635DA2" w:rsidP="008E24B7">
            <w:pPr>
              <w:pStyle w:val="ECCTabletext"/>
              <w:spacing w:before="60"/>
              <w:jc w:val="left"/>
            </w:pPr>
            <w:r w:rsidRPr="00526C3D">
              <w:t xml:space="preserve">Millimetre </w:t>
            </w:r>
            <w:r>
              <w:t>W</w:t>
            </w:r>
            <w:r w:rsidRPr="00526C3D">
              <w:t>ave</w:t>
            </w:r>
          </w:p>
        </w:tc>
      </w:tr>
      <w:tr w:rsidR="00635DA2" w:rsidRPr="006D6727" w14:paraId="55480562" w14:textId="77777777" w:rsidTr="008E24B7">
        <w:trPr>
          <w:trHeight w:val="317"/>
        </w:trPr>
        <w:tc>
          <w:tcPr>
            <w:tcW w:w="2076" w:type="dxa"/>
          </w:tcPr>
          <w:p w14:paraId="097BB71F" w14:textId="77777777" w:rsidR="00635DA2" w:rsidRDefault="00635DA2" w:rsidP="008E24B7">
            <w:pPr>
              <w:pStyle w:val="ECCTabletext"/>
              <w:spacing w:before="60"/>
              <w:jc w:val="left"/>
              <w:rPr>
                <w:rStyle w:val="ECCHLbold"/>
              </w:rPr>
            </w:pPr>
            <w:r>
              <w:rPr>
                <w:rStyle w:val="ECCHLbold"/>
              </w:rPr>
              <w:t>MS</w:t>
            </w:r>
          </w:p>
        </w:tc>
        <w:tc>
          <w:tcPr>
            <w:tcW w:w="7553" w:type="dxa"/>
          </w:tcPr>
          <w:p w14:paraId="6A2CD72F" w14:textId="77777777" w:rsidR="00635DA2" w:rsidRPr="00526C3D" w:rsidRDefault="00635DA2" w:rsidP="008E24B7">
            <w:pPr>
              <w:pStyle w:val="ECCTabletext"/>
              <w:spacing w:before="60"/>
              <w:jc w:val="left"/>
            </w:pPr>
            <w:r>
              <w:t>Mobile Service</w:t>
            </w:r>
          </w:p>
        </w:tc>
      </w:tr>
      <w:tr w:rsidR="00635DA2" w:rsidRPr="006D6727" w14:paraId="1724E9FA" w14:textId="77777777" w:rsidTr="008E24B7">
        <w:trPr>
          <w:trHeight w:val="317"/>
        </w:trPr>
        <w:tc>
          <w:tcPr>
            <w:tcW w:w="2076" w:type="dxa"/>
          </w:tcPr>
          <w:p w14:paraId="47035C3D" w14:textId="77777777" w:rsidR="00635DA2" w:rsidRDefault="00635DA2" w:rsidP="008E24B7">
            <w:pPr>
              <w:pStyle w:val="ECCTabletext"/>
              <w:spacing w:before="60"/>
              <w:jc w:val="left"/>
              <w:rPr>
                <w:rStyle w:val="ECCHLbold"/>
              </w:rPr>
            </w:pPr>
            <w:r>
              <w:rPr>
                <w:rStyle w:val="ECCHLbold"/>
              </w:rPr>
              <w:t>MSS</w:t>
            </w:r>
          </w:p>
        </w:tc>
        <w:tc>
          <w:tcPr>
            <w:tcW w:w="7553" w:type="dxa"/>
          </w:tcPr>
          <w:p w14:paraId="66F66F9E" w14:textId="77777777" w:rsidR="00635DA2" w:rsidRPr="00526C3D" w:rsidRDefault="00635DA2" w:rsidP="008E24B7">
            <w:pPr>
              <w:pStyle w:val="ECCTabletext"/>
              <w:spacing w:before="60"/>
              <w:jc w:val="left"/>
            </w:pPr>
            <w:r w:rsidRPr="00526C3D">
              <w:t>Mobile Satellite System</w:t>
            </w:r>
          </w:p>
        </w:tc>
      </w:tr>
      <w:tr w:rsidR="00635DA2" w:rsidRPr="006D6727" w14:paraId="0545F174" w14:textId="77777777" w:rsidTr="008E24B7">
        <w:trPr>
          <w:trHeight w:val="317"/>
        </w:trPr>
        <w:tc>
          <w:tcPr>
            <w:tcW w:w="2076" w:type="dxa"/>
          </w:tcPr>
          <w:p w14:paraId="7E30CCAC" w14:textId="77777777" w:rsidR="00635DA2" w:rsidRDefault="00635DA2" w:rsidP="008E24B7">
            <w:pPr>
              <w:pStyle w:val="ECCTabletext"/>
              <w:spacing w:before="60"/>
              <w:jc w:val="left"/>
              <w:rPr>
                <w:rStyle w:val="ECCHLbold"/>
              </w:rPr>
            </w:pPr>
            <w:r>
              <w:rPr>
                <w:rStyle w:val="ECCHLbold"/>
              </w:rPr>
              <w:t>MWI</w:t>
            </w:r>
          </w:p>
        </w:tc>
        <w:tc>
          <w:tcPr>
            <w:tcW w:w="7553" w:type="dxa"/>
          </w:tcPr>
          <w:p w14:paraId="3128CCCF" w14:textId="77777777" w:rsidR="00635DA2" w:rsidRPr="00526C3D" w:rsidRDefault="00635DA2" w:rsidP="008E24B7">
            <w:pPr>
              <w:pStyle w:val="ECCTabletext"/>
              <w:spacing w:before="60"/>
              <w:jc w:val="left"/>
            </w:pPr>
            <w:r>
              <w:t>Microwave Imager</w:t>
            </w:r>
          </w:p>
        </w:tc>
      </w:tr>
      <w:tr w:rsidR="00635DA2" w:rsidRPr="006D6727" w14:paraId="57C0D8D7" w14:textId="77777777" w:rsidTr="008E24B7">
        <w:trPr>
          <w:trHeight w:val="317"/>
        </w:trPr>
        <w:tc>
          <w:tcPr>
            <w:tcW w:w="2076" w:type="dxa"/>
          </w:tcPr>
          <w:p w14:paraId="674C90DB" w14:textId="77777777" w:rsidR="00635DA2" w:rsidRDefault="00635DA2" w:rsidP="008E24B7">
            <w:pPr>
              <w:pStyle w:val="ECCTabletext"/>
              <w:spacing w:before="60"/>
              <w:jc w:val="left"/>
              <w:rPr>
                <w:rStyle w:val="ECCHLbold"/>
              </w:rPr>
            </w:pPr>
            <w:r>
              <w:rPr>
                <w:rStyle w:val="ECCHLbold"/>
              </w:rPr>
              <w:t>NDT</w:t>
            </w:r>
          </w:p>
        </w:tc>
        <w:tc>
          <w:tcPr>
            <w:tcW w:w="7553" w:type="dxa"/>
          </w:tcPr>
          <w:p w14:paraId="7F5E17B8" w14:textId="77777777" w:rsidR="00635DA2" w:rsidRPr="00526C3D" w:rsidRDefault="00635DA2" w:rsidP="008E24B7">
            <w:pPr>
              <w:pStyle w:val="ECCTabletext"/>
              <w:spacing w:before="60"/>
              <w:jc w:val="left"/>
            </w:pPr>
            <w:r w:rsidRPr="00526C3D">
              <w:t>Non</w:t>
            </w:r>
            <w:r>
              <w:t>-</w:t>
            </w:r>
            <w:r w:rsidRPr="00526C3D">
              <w:t>Destructive Testing</w:t>
            </w:r>
          </w:p>
        </w:tc>
      </w:tr>
      <w:tr w:rsidR="00635DA2" w:rsidRPr="006D6727" w14:paraId="65729873" w14:textId="77777777" w:rsidTr="008E24B7">
        <w:trPr>
          <w:trHeight w:val="317"/>
        </w:trPr>
        <w:tc>
          <w:tcPr>
            <w:tcW w:w="2076" w:type="dxa"/>
          </w:tcPr>
          <w:p w14:paraId="1C4B98A2" w14:textId="77777777" w:rsidR="00635DA2" w:rsidRDefault="00635DA2" w:rsidP="008E24B7">
            <w:pPr>
              <w:pStyle w:val="ECCTabletext"/>
              <w:spacing w:before="60"/>
              <w:jc w:val="left"/>
              <w:rPr>
                <w:rStyle w:val="ECCHLbold"/>
              </w:rPr>
            </w:pPr>
            <w:r>
              <w:rPr>
                <w:rStyle w:val="ECCHLbold"/>
              </w:rPr>
              <w:t>NLOS</w:t>
            </w:r>
          </w:p>
        </w:tc>
        <w:tc>
          <w:tcPr>
            <w:tcW w:w="7553" w:type="dxa"/>
          </w:tcPr>
          <w:p w14:paraId="1B2B413E" w14:textId="77777777" w:rsidR="00635DA2" w:rsidRPr="00526C3D" w:rsidRDefault="00635DA2" w:rsidP="008E24B7">
            <w:pPr>
              <w:pStyle w:val="ECCTabletext"/>
              <w:spacing w:before="60"/>
              <w:jc w:val="left"/>
            </w:pPr>
            <w:r w:rsidRPr="00526C3D">
              <w:t>Non</w:t>
            </w:r>
            <w:r>
              <w:t>-</w:t>
            </w:r>
            <w:r w:rsidRPr="00526C3D">
              <w:t>Line of Sight</w:t>
            </w:r>
          </w:p>
        </w:tc>
      </w:tr>
      <w:tr w:rsidR="00635DA2" w:rsidRPr="006D6727" w14:paraId="2B5F9BC8" w14:textId="77777777" w:rsidTr="008E24B7">
        <w:trPr>
          <w:trHeight w:val="317"/>
        </w:trPr>
        <w:tc>
          <w:tcPr>
            <w:tcW w:w="2076" w:type="dxa"/>
          </w:tcPr>
          <w:p w14:paraId="784F6511" w14:textId="77777777" w:rsidR="00635DA2" w:rsidRDefault="00635DA2" w:rsidP="008E24B7">
            <w:pPr>
              <w:pStyle w:val="ECCTabletext"/>
              <w:spacing w:before="60"/>
              <w:jc w:val="left"/>
              <w:rPr>
                <w:rStyle w:val="ECCHLbold"/>
              </w:rPr>
            </w:pPr>
            <w:r>
              <w:rPr>
                <w:rStyle w:val="ECCHLbold"/>
              </w:rPr>
              <w:t>NOEMA</w:t>
            </w:r>
          </w:p>
        </w:tc>
        <w:tc>
          <w:tcPr>
            <w:tcW w:w="7553" w:type="dxa"/>
          </w:tcPr>
          <w:p w14:paraId="18E52F98" w14:textId="77777777" w:rsidR="00635DA2" w:rsidRPr="00526C3D" w:rsidRDefault="00635DA2" w:rsidP="008E24B7">
            <w:pPr>
              <w:pStyle w:val="ECCTabletext"/>
              <w:spacing w:before="60"/>
              <w:jc w:val="left"/>
            </w:pPr>
            <w:r w:rsidRPr="00526C3D">
              <w:t>N</w:t>
            </w:r>
            <w:r>
              <w:t>o</w:t>
            </w:r>
            <w:r w:rsidRPr="00526C3D">
              <w:t>rthern Extended Millimeter Array</w:t>
            </w:r>
          </w:p>
        </w:tc>
      </w:tr>
      <w:tr w:rsidR="00635DA2" w:rsidRPr="006D6727" w14:paraId="637EF632" w14:textId="77777777" w:rsidTr="008E24B7">
        <w:trPr>
          <w:trHeight w:val="317"/>
        </w:trPr>
        <w:tc>
          <w:tcPr>
            <w:tcW w:w="2076" w:type="dxa"/>
          </w:tcPr>
          <w:p w14:paraId="0DE81F07" w14:textId="77777777" w:rsidR="00635DA2" w:rsidRDefault="00635DA2" w:rsidP="008E24B7">
            <w:pPr>
              <w:pStyle w:val="ECCTabletext"/>
              <w:spacing w:before="60"/>
              <w:jc w:val="left"/>
              <w:rPr>
                <w:rStyle w:val="ECCHLbold"/>
              </w:rPr>
            </w:pPr>
            <w:r>
              <w:rPr>
                <w:rStyle w:val="ECCHLbold"/>
              </w:rPr>
              <w:t>NWA</w:t>
            </w:r>
          </w:p>
        </w:tc>
        <w:tc>
          <w:tcPr>
            <w:tcW w:w="7553" w:type="dxa"/>
          </w:tcPr>
          <w:p w14:paraId="1CFAFB14" w14:textId="77777777" w:rsidR="00635DA2" w:rsidRPr="00526C3D" w:rsidRDefault="00635DA2" w:rsidP="008E24B7">
            <w:pPr>
              <w:pStyle w:val="ECCTabletext"/>
              <w:spacing w:before="60"/>
              <w:jc w:val="left"/>
            </w:pPr>
            <w:r w:rsidRPr="00526C3D">
              <w:t>Network Analyzer</w:t>
            </w:r>
          </w:p>
        </w:tc>
      </w:tr>
      <w:tr w:rsidR="00635DA2" w:rsidRPr="006D6727" w14:paraId="63FF9BAA" w14:textId="77777777" w:rsidTr="008E24B7">
        <w:trPr>
          <w:trHeight w:val="317"/>
        </w:trPr>
        <w:tc>
          <w:tcPr>
            <w:tcW w:w="2076" w:type="dxa"/>
          </w:tcPr>
          <w:p w14:paraId="18B7C464" w14:textId="77777777" w:rsidR="00635DA2" w:rsidRDefault="00635DA2" w:rsidP="008E24B7">
            <w:pPr>
              <w:pStyle w:val="ECCTabletext"/>
              <w:spacing w:before="60"/>
              <w:jc w:val="left"/>
              <w:rPr>
                <w:rStyle w:val="ECCHLbold"/>
              </w:rPr>
            </w:pPr>
            <w:r>
              <w:rPr>
                <w:rStyle w:val="ECCHLbold"/>
              </w:rPr>
              <w:t>O</w:t>
            </w:r>
            <w:r w:rsidRPr="00327F34">
              <w:rPr>
                <w:rStyle w:val="ECCHLsubscript"/>
              </w:rPr>
              <w:t>2</w:t>
            </w:r>
          </w:p>
        </w:tc>
        <w:tc>
          <w:tcPr>
            <w:tcW w:w="7553" w:type="dxa"/>
          </w:tcPr>
          <w:p w14:paraId="5CF5FD34" w14:textId="77777777" w:rsidR="00635DA2" w:rsidRPr="00526C3D" w:rsidRDefault="00635DA2" w:rsidP="008E24B7">
            <w:pPr>
              <w:pStyle w:val="ECCTabletext"/>
              <w:spacing w:before="60"/>
              <w:jc w:val="left"/>
            </w:pPr>
            <w:r w:rsidRPr="00327F34">
              <w:t>Oxygen</w:t>
            </w:r>
          </w:p>
        </w:tc>
      </w:tr>
      <w:tr w:rsidR="00635DA2" w:rsidRPr="006D6727" w14:paraId="6B785DF7" w14:textId="77777777" w:rsidTr="008E24B7">
        <w:trPr>
          <w:trHeight w:val="317"/>
        </w:trPr>
        <w:tc>
          <w:tcPr>
            <w:tcW w:w="2076" w:type="dxa"/>
          </w:tcPr>
          <w:p w14:paraId="6003B88D" w14:textId="77777777" w:rsidR="00635DA2" w:rsidRDefault="00635DA2" w:rsidP="008E24B7">
            <w:pPr>
              <w:pStyle w:val="ECCTabletext"/>
              <w:spacing w:before="60"/>
              <w:jc w:val="left"/>
              <w:rPr>
                <w:rStyle w:val="ECCHLbold"/>
              </w:rPr>
            </w:pPr>
            <w:r>
              <w:rPr>
                <w:rStyle w:val="ECCHLbold"/>
              </w:rPr>
              <w:t>O</w:t>
            </w:r>
            <w:r w:rsidRPr="00327F34">
              <w:rPr>
                <w:rStyle w:val="ECCHLsubscript"/>
              </w:rPr>
              <w:t>3</w:t>
            </w:r>
          </w:p>
        </w:tc>
        <w:tc>
          <w:tcPr>
            <w:tcW w:w="7553" w:type="dxa"/>
          </w:tcPr>
          <w:p w14:paraId="09CBD35D" w14:textId="77777777" w:rsidR="00635DA2" w:rsidRPr="00526C3D" w:rsidRDefault="00635DA2" w:rsidP="008E24B7">
            <w:pPr>
              <w:pStyle w:val="ECCTabletext"/>
              <w:spacing w:before="60"/>
              <w:jc w:val="left"/>
            </w:pPr>
            <w:r w:rsidRPr="00526C3D">
              <w:t>Ozone</w:t>
            </w:r>
          </w:p>
        </w:tc>
      </w:tr>
      <w:tr w:rsidR="00635DA2" w:rsidRPr="006D6727" w14:paraId="262D4C1C" w14:textId="77777777" w:rsidTr="008E24B7">
        <w:trPr>
          <w:trHeight w:val="317"/>
        </w:trPr>
        <w:tc>
          <w:tcPr>
            <w:tcW w:w="2076" w:type="dxa"/>
          </w:tcPr>
          <w:p w14:paraId="03B9BC01" w14:textId="77777777" w:rsidR="00635DA2" w:rsidRDefault="00635DA2" w:rsidP="008E24B7">
            <w:pPr>
              <w:pStyle w:val="ECCTabletext"/>
              <w:spacing w:before="60"/>
              <w:jc w:val="left"/>
              <w:rPr>
                <w:rStyle w:val="ECCHLbold"/>
              </w:rPr>
            </w:pPr>
            <w:r>
              <w:rPr>
                <w:rStyle w:val="ECCHLbold"/>
              </w:rPr>
              <w:t>OFDM</w:t>
            </w:r>
          </w:p>
        </w:tc>
        <w:tc>
          <w:tcPr>
            <w:tcW w:w="7553" w:type="dxa"/>
          </w:tcPr>
          <w:p w14:paraId="076E1BCD" w14:textId="77777777" w:rsidR="00635DA2" w:rsidRPr="00526C3D" w:rsidRDefault="00635DA2" w:rsidP="008E24B7">
            <w:r w:rsidRPr="00526C3D">
              <w:t>Orthogonal Frequency-Division Multiplexing</w:t>
            </w:r>
          </w:p>
        </w:tc>
      </w:tr>
      <w:tr w:rsidR="00635DA2" w:rsidRPr="006D6727" w14:paraId="58A9F8C7" w14:textId="77777777" w:rsidTr="008E24B7">
        <w:trPr>
          <w:trHeight w:val="317"/>
        </w:trPr>
        <w:tc>
          <w:tcPr>
            <w:tcW w:w="2076" w:type="dxa"/>
          </w:tcPr>
          <w:p w14:paraId="32CD9056" w14:textId="77777777" w:rsidR="00635DA2" w:rsidRDefault="00635DA2" w:rsidP="008E24B7">
            <w:pPr>
              <w:pStyle w:val="ECCTabletext"/>
              <w:spacing w:before="60"/>
              <w:jc w:val="left"/>
              <w:rPr>
                <w:rStyle w:val="ECCHLbold"/>
              </w:rPr>
            </w:pPr>
            <w:r>
              <w:rPr>
                <w:rStyle w:val="ECCHLbold"/>
              </w:rPr>
              <w:t>OFR</w:t>
            </w:r>
          </w:p>
        </w:tc>
        <w:tc>
          <w:tcPr>
            <w:tcW w:w="7553" w:type="dxa"/>
          </w:tcPr>
          <w:p w14:paraId="1326F5A2" w14:textId="77777777" w:rsidR="00635DA2" w:rsidRPr="00526C3D" w:rsidRDefault="00635DA2" w:rsidP="008E24B7">
            <w:pPr>
              <w:pStyle w:val="ECCTabletext"/>
              <w:spacing w:before="60"/>
              <w:jc w:val="left"/>
            </w:pPr>
            <w:r w:rsidRPr="00526C3D">
              <w:t>Operating Frequency Range</w:t>
            </w:r>
          </w:p>
        </w:tc>
      </w:tr>
      <w:tr w:rsidR="00635DA2" w:rsidRPr="006D6727" w14:paraId="03F21D5A" w14:textId="77777777" w:rsidTr="008E24B7">
        <w:trPr>
          <w:trHeight w:val="317"/>
        </w:trPr>
        <w:tc>
          <w:tcPr>
            <w:tcW w:w="2076" w:type="dxa"/>
          </w:tcPr>
          <w:p w14:paraId="0BB9DB97" w14:textId="77777777" w:rsidR="00635DA2" w:rsidRDefault="00635DA2" w:rsidP="008E24B7">
            <w:pPr>
              <w:pStyle w:val="ECCTabletext"/>
              <w:spacing w:before="60"/>
              <w:jc w:val="left"/>
              <w:rPr>
                <w:rStyle w:val="ECCHLbold"/>
              </w:rPr>
            </w:pPr>
            <w:r>
              <w:rPr>
                <w:rStyle w:val="ECCHLbold"/>
              </w:rPr>
              <w:t>OOB, OoB</w:t>
            </w:r>
          </w:p>
        </w:tc>
        <w:tc>
          <w:tcPr>
            <w:tcW w:w="7553" w:type="dxa"/>
          </w:tcPr>
          <w:p w14:paraId="7429D58B" w14:textId="77777777" w:rsidR="00635DA2" w:rsidRPr="00526C3D" w:rsidRDefault="00635DA2" w:rsidP="008E24B7">
            <w:pPr>
              <w:pStyle w:val="ECCTabletext"/>
              <w:spacing w:before="60"/>
              <w:jc w:val="left"/>
            </w:pPr>
            <w:r>
              <w:t>Out of Band</w:t>
            </w:r>
          </w:p>
        </w:tc>
      </w:tr>
      <w:tr w:rsidR="00635DA2" w:rsidRPr="006D6727" w14:paraId="77102220" w14:textId="77777777" w:rsidTr="008E24B7">
        <w:trPr>
          <w:trHeight w:val="317"/>
        </w:trPr>
        <w:tc>
          <w:tcPr>
            <w:tcW w:w="2076" w:type="dxa"/>
          </w:tcPr>
          <w:p w14:paraId="7A5CAFE0" w14:textId="77777777" w:rsidR="00635DA2" w:rsidRDefault="00635DA2" w:rsidP="008E24B7">
            <w:pPr>
              <w:pStyle w:val="ECCTabletext"/>
              <w:spacing w:before="60"/>
              <w:jc w:val="left"/>
              <w:rPr>
                <w:rStyle w:val="ECCHLbold"/>
              </w:rPr>
            </w:pPr>
            <w:r>
              <w:rPr>
                <w:rStyle w:val="ECCHLbold"/>
              </w:rPr>
              <w:t>PA-CDR</w:t>
            </w:r>
          </w:p>
        </w:tc>
        <w:tc>
          <w:tcPr>
            <w:tcW w:w="7553" w:type="dxa"/>
          </w:tcPr>
          <w:p w14:paraId="50D42EB1" w14:textId="77777777" w:rsidR="00635DA2" w:rsidRDefault="00635DA2" w:rsidP="008E24B7">
            <w:pPr>
              <w:pStyle w:val="ECCTabletext"/>
              <w:spacing w:before="60"/>
              <w:jc w:val="left"/>
            </w:pPr>
            <w:r w:rsidRPr="00526C3D">
              <w:t xml:space="preserve">Phased </w:t>
            </w:r>
            <w:r>
              <w:t>A</w:t>
            </w:r>
            <w:r w:rsidRPr="00526C3D">
              <w:t xml:space="preserve">rray </w:t>
            </w:r>
            <w:r>
              <w:t>C</w:t>
            </w:r>
            <w:r w:rsidRPr="00526C3D">
              <w:t xml:space="preserve">ontour </w:t>
            </w:r>
            <w:r>
              <w:t>D</w:t>
            </w:r>
            <w:r w:rsidRPr="00526C3D">
              <w:t xml:space="preserve">etection </w:t>
            </w:r>
            <w:r>
              <w:t>and Acquisition R</w:t>
            </w:r>
            <w:r w:rsidRPr="00526C3D">
              <w:t>adar</w:t>
            </w:r>
          </w:p>
        </w:tc>
      </w:tr>
      <w:tr w:rsidR="00635DA2" w:rsidRPr="006D6727" w14:paraId="3A2DAA7D" w14:textId="77777777" w:rsidTr="008E24B7">
        <w:trPr>
          <w:trHeight w:val="317"/>
        </w:trPr>
        <w:tc>
          <w:tcPr>
            <w:tcW w:w="2076" w:type="dxa"/>
          </w:tcPr>
          <w:p w14:paraId="40FA200F" w14:textId="77777777" w:rsidR="00635DA2" w:rsidRDefault="00635DA2" w:rsidP="008E24B7">
            <w:pPr>
              <w:pStyle w:val="ECCTabletext"/>
              <w:spacing w:before="60"/>
              <w:jc w:val="left"/>
              <w:rPr>
                <w:rStyle w:val="ECCHLbold"/>
              </w:rPr>
            </w:pPr>
            <w:r>
              <w:rPr>
                <w:rStyle w:val="ECCHLbold"/>
              </w:rPr>
              <w:t>PCB</w:t>
            </w:r>
          </w:p>
        </w:tc>
        <w:tc>
          <w:tcPr>
            <w:tcW w:w="7553" w:type="dxa"/>
          </w:tcPr>
          <w:p w14:paraId="56ACB1CB" w14:textId="77777777" w:rsidR="00635DA2" w:rsidRPr="00526C3D" w:rsidRDefault="00635DA2" w:rsidP="008E24B7">
            <w:pPr>
              <w:pStyle w:val="ECCTabletext"/>
              <w:spacing w:before="60"/>
              <w:jc w:val="left"/>
            </w:pPr>
            <w:r w:rsidRPr="007E16BF">
              <w:t>Printed Circuit Board</w:t>
            </w:r>
          </w:p>
        </w:tc>
      </w:tr>
      <w:tr w:rsidR="00635DA2" w:rsidRPr="006D6727" w14:paraId="09503937" w14:textId="77777777" w:rsidTr="008E24B7">
        <w:trPr>
          <w:trHeight w:val="317"/>
        </w:trPr>
        <w:tc>
          <w:tcPr>
            <w:tcW w:w="2076" w:type="dxa"/>
          </w:tcPr>
          <w:p w14:paraId="04F24CEA" w14:textId="77777777" w:rsidR="00635DA2" w:rsidRDefault="00635DA2" w:rsidP="008E24B7">
            <w:pPr>
              <w:pStyle w:val="ECCTabletext"/>
              <w:spacing w:before="60"/>
              <w:jc w:val="left"/>
              <w:rPr>
                <w:rStyle w:val="ECCHLbold"/>
              </w:rPr>
            </w:pPr>
            <w:r>
              <w:rPr>
                <w:rStyle w:val="ECCHLbold"/>
              </w:rPr>
              <w:t>PE</w:t>
            </w:r>
          </w:p>
        </w:tc>
        <w:tc>
          <w:tcPr>
            <w:tcW w:w="7553" w:type="dxa"/>
          </w:tcPr>
          <w:p w14:paraId="5E7D55C4" w14:textId="77777777" w:rsidR="00635DA2" w:rsidRPr="00526C3D" w:rsidRDefault="00635DA2" w:rsidP="008E24B7">
            <w:pPr>
              <w:pStyle w:val="ECCTabletext"/>
              <w:spacing w:before="60"/>
              <w:jc w:val="left"/>
            </w:pPr>
            <w:r w:rsidRPr="00526C3D">
              <w:t>Polyethylene</w:t>
            </w:r>
          </w:p>
        </w:tc>
      </w:tr>
      <w:tr w:rsidR="00635DA2" w:rsidRPr="006D6727" w14:paraId="7029AA2A" w14:textId="77777777" w:rsidTr="008E24B7">
        <w:trPr>
          <w:trHeight w:val="317"/>
        </w:trPr>
        <w:tc>
          <w:tcPr>
            <w:tcW w:w="2076" w:type="dxa"/>
          </w:tcPr>
          <w:p w14:paraId="65AFB3DE" w14:textId="77777777" w:rsidR="00635DA2" w:rsidRDefault="00635DA2" w:rsidP="008E24B7">
            <w:pPr>
              <w:pStyle w:val="ECCTabletext"/>
              <w:spacing w:before="60"/>
              <w:jc w:val="left"/>
              <w:rPr>
                <w:rStyle w:val="ECCHLbold"/>
              </w:rPr>
            </w:pPr>
            <w:r>
              <w:rPr>
                <w:rStyle w:val="ECCHLbold"/>
              </w:rPr>
              <w:t>PEEK</w:t>
            </w:r>
          </w:p>
        </w:tc>
        <w:tc>
          <w:tcPr>
            <w:tcW w:w="7553" w:type="dxa"/>
          </w:tcPr>
          <w:p w14:paraId="20943107" w14:textId="77777777" w:rsidR="00635DA2" w:rsidRPr="00526C3D" w:rsidRDefault="00635DA2" w:rsidP="008E24B7">
            <w:pPr>
              <w:pStyle w:val="ECCTabletext"/>
              <w:spacing w:before="60"/>
              <w:jc w:val="left"/>
            </w:pPr>
            <w:r w:rsidRPr="00526C3D">
              <w:t xml:space="preserve">Polyether </w:t>
            </w:r>
            <w:r>
              <w:t>E</w:t>
            </w:r>
            <w:r w:rsidRPr="00526C3D">
              <w:t xml:space="preserve">ther </w:t>
            </w:r>
            <w:r>
              <w:t>K</w:t>
            </w:r>
            <w:r w:rsidRPr="00526C3D">
              <w:t>etone</w:t>
            </w:r>
          </w:p>
        </w:tc>
      </w:tr>
      <w:tr w:rsidR="00635DA2" w:rsidRPr="006D6727" w14:paraId="7740A371" w14:textId="77777777" w:rsidTr="008E24B7">
        <w:trPr>
          <w:trHeight w:val="317"/>
        </w:trPr>
        <w:tc>
          <w:tcPr>
            <w:tcW w:w="2076" w:type="dxa"/>
          </w:tcPr>
          <w:p w14:paraId="0971F82F" w14:textId="77777777" w:rsidR="00635DA2" w:rsidRDefault="00635DA2" w:rsidP="008E24B7">
            <w:pPr>
              <w:pStyle w:val="ECCTabletext"/>
              <w:spacing w:before="60"/>
              <w:jc w:val="left"/>
              <w:rPr>
                <w:rStyle w:val="ECCHLbold"/>
              </w:rPr>
            </w:pPr>
            <w:r>
              <w:rPr>
                <w:rStyle w:val="ECCHLbold"/>
              </w:rPr>
              <w:t>PLL</w:t>
            </w:r>
          </w:p>
        </w:tc>
        <w:tc>
          <w:tcPr>
            <w:tcW w:w="7553" w:type="dxa"/>
          </w:tcPr>
          <w:p w14:paraId="744ADE57" w14:textId="77777777" w:rsidR="00635DA2" w:rsidRPr="00526C3D" w:rsidRDefault="00635DA2" w:rsidP="008E24B7">
            <w:pPr>
              <w:pStyle w:val="ECCTabletext"/>
              <w:spacing w:before="60"/>
              <w:jc w:val="left"/>
            </w:pPr>
            <w:r>
              <w:t>Phase-Locked Loop</w:t>
            </w:r>
          </w:p>
        </w:tc>
      </w:tr>
      <w:tr w:rsidR="00635DA2" w:rsidRPr="006D6727" w14:paraId="0BC764D8" w14:textId="77777777" w:rsidTr="008E24B7">
        <w:trPr>
          <w:trHeight w:val="317"/>
        </w:trPr>
        <w:tc>
          <w:tcPr>
            <w:tcW w:w="2076" w:type="dxa"/>
          </w:tcPr>
          <w:p w14:paraId="05CB1F5D" w14:textId="77777777" w:rsidR="00635DA2" w:rsidRDefault="00635DA2" w:rsidP="008E24B7">
            <w:pPr>
              <w:pStyle w:val="ECCTabletext"/>
              <w:spacing w:before="60"/>
              <w:jc w:val="left"/>
              <w:rPr>
                <w:rStyle w:val="ECCHLbold"/>
              </w:rPr>
            </w:pPr>
            <w:r>
              <w:rPr>
                <w:rStyle w:val="ECCHLbold"/>
              </w:rPr>
              <w:t>PP</w:t>
            </w:r>
          </w:p>
        </w:tc>
        <w:tc>
          <w:tcPr>
            <w:tcW w:w="7553" w:type="dxa"/>
          </w:tcPr>
          <w:p w14:paraId="5C7EE942" w14:textId="77777777" w:rsidR="00635DA2" w:rsidRPr="00526C3D" w:rsidRDefault="00635DA2" w:rsidP="008E24B7">
            <w:pPr>
              <w:pStyle w:val="ECCTabletext"/>
              <w:spacing w:before="60"/>
              <w:jc w:val="left"/>
            </w:pPr>
            <w:r w:rsidRPr="00526C3D">
              <w:t>Polypropylene</w:t>
            </w:r>
          </w:p>
        </w:tc>
      </w:tr>
      <w:tr w:rsidR="00635DA2" w:rsidRPr="006D6727" w14:paraId="6D94E728" w14:textId="77777777" w:rsidTr="008E24B7">
        <w:trPr>
          <w:trHeight w:val="317"/>
        </w:trPr>
        <w:tc>
          <w:tcPr>
            <w:tcW w:w="2076" w:type="dxa"/>
          </w:tcPr>
          <w:p w14:paraId="7B745A1A" w14:textId="77777777" w:rsidR="00635DA2" w:rsidRDefault="00635DA2" w:rsidP="008E24B7">
            <w:pPr>
              <w:pStyle w:val="ECCTabletext"/>
              <w:spacing w:before="60"/>
              <w:jc w:val="left"/>
              <w:rPr>
                <w:rStyle w:val="ECCHLbold"/>
              </w:rPr>
            </w:pPr>
            <w:r>
              <w:rPr>
                <w:rStyle w:val="ECCHLbold"/>
              </w:rPr>
              <w:t>PP</w:t>
            </w:r>
          </w:p>
        </w:tc>
        <w:tc>
          <w:tcPr>
            <w:tcW w:w="7553" w:type="dxa"/>
          </w:tcPr>
          <w:p w14:paraId="39B19B05" w14:textId="77777777" w:rsidR="00635DA2" w:rsidRPr="00526C3D" w:rsidRDefault="00635DA2" w:rsidP="008E24B7">
            <w:pPr>
              <w:pStyle w:val="ECCTabletext"/>
              <w:spacing w:before="60"/>
              <w:jc w:val="left"/>
            </w:pPr>
            <w:r>
              <w:t>Point-to-Point</w:t>
            </w:r>
          </w:p>
        </w:tc>
      </w:tr>
      <w:tr w:rsidR="00635DA2" w:rsidRPr="006D6727" w14:paraId="30608292" w14:textId="77777777" w:rsidTr="008E24B7">
        <w:trPr>
          <w:trHeight w:val="317"/>
        </w:trPr>
        <w:tc>
          <w:tcPr>
            <w:tcW w:w="2076" w:type="dxa"/>
          </w:tcPr>
          <w:p w14:paraId="0474C94B" w14:textId="77777777" w:rsidR="00635DA2" w:rsidRDefault="00635DA2" w:rsidP="008E24B7">
            <w:pPr>
              <w:pStyle w:val="ECCTabletext"/>
              <w:spacing w:before="60"/>
              <w:jc w:val="left"/>
              <w:rPr>
                <w:rStyle w:val="ECCHLbold"/>
              </w:rPr>
            </w:pPr>
            <w:r>
              <w:rPr>
                <w:rStyle w:val="ECCHLbold"/>
              </w:rPr>
              <w:t>PTFE</w:t>
            </w:r>
          </w:p>
        </w:tc>
        <w:tc>
          <w:tcPr>
            <w:tcW w:w="7553" w:type="dxa"/>
          </w:tcPr>
          <w:p w14:paraId="0F5AFB1F" w14:textId="77777777" w:rsidR="00635DA2" w:rsidRPr="00526C3D" w:rsidRDefault="00635DA2" w:rsidP="008E24B7">
            <w:pPr>
              <w:pStyle w:val="ECCTabletext"/>
              <w:spacing w:before="60"/>
              <w:jc w:val="left"/>
            </w:pPr>
            <w:r w:rsidRPr="00526C3D">
              <w:t>Polytetrafluoroethylene</w:t>
            </w:r>
          </w:p>
        </w:tc>
      </w:tr>
      <w:tr w:rsidR="00635DA2" w:rsidRPr="006D6727" w14:paraId="0B50EC4E" w14:textId="77777777" w:rsidTr="008E24B7">
        <w:trPr>
          <w:trHeight w:val="317"/>
        </w:trPr>
        <w:tc>
          <w:tcPr>
            <w:tcW w:w="2076" w:type="dxa"/>
          </w:tcPr>
          <w:p w14:paraId="017DD842" w14:textId="77777777" w:rsidR="00635DA2" w:rsidRDefault="00635DA2" w:rsidP="008E24B7">
            <w:pPr>
              <w:pStyle w:val="ECCTabletext"/>
              <w:spacing w:before="60"/>
              <w:jc w:val="left"/>
              <w:rPr>
                <w:rStyle w:val="ECCHLbold"/>
              </w:rPr>
            </w:pPr>
            <w:r>
              <w:rPr>
                <w:rStyle w:val="ECCHLbold"/>
              </w:rPr>
              <w:t>PVC</w:t>
            </w:r>
          </w:p>
        </w:tc>
        <w:tc>
          <w:tcPr>
            <w:tcW w:w="7553" w:type="dxa"/>
          </w:tcPr>
          <w:p w14:paraId="53DE1ED0" w14:textId="77777777" w:rsidR="00635DA2" w:rsidRPr="00526C3D" w:rsidRDefault="00635DA2" w:rsidP="008E24B7">
            <w:pPr>
              <w:pStyle w:val="ECCTabletext"/>
              <w:spacing w:before="60"/>
              <w:jc w:val="left"/>
            </w:pPr>
            <w:r w:rsidRPr="00526C3D">
              <w:t xml:space="preserve">Polyvinyl </w:t>
            </w:r>
            <w:r>
              <w:t>C</w:t>
            </w:r>
            <w:r w:rsidRPr="00526C3D">
              <w:t>hloride</w:t>
            </w:r>
          </w:p>
        </w:tc>
      </w:tr>
      <w:tr w:rsidR="00635DA2" w:rsidRPr="006D6727" w14:paraId="30385851" w14:textId="77777777" w:rsidTr="008E24B7">
        <w:trPr>
          <w:trHeight w:val="317"/>
        </w:trPr>
        <w:tc>
          <w:tcPr>
            <w:tcW w:w="2076" w:type="dxa"/>
          </w:tcPr>
          <w:p w14:paraId="3A862A01" w14:textId="77777777" w:rsidR="00635DA2" w:rsidRPr="00374EF0" w:rsidRDefault="00635DA2" w:rsidP="008E24B7">
            <w:pPr>
              <w:pStyle w:val="ECCTabletext"/>
              <w:spacing w:before="60"/>
              <w:jc w:val="left"/>
              <w:rPr>
                <w:rStyle w:val="ECCHLbold"/>
              </w:rPr>
            </w:pPr>
            <w:r w:rsidRPr="00374EF0">
              <w:rPr>
                <w:rStyle w:val="ECCHLbold"/>
              </w:rPr>
              <w:t>RAS</w:t>
            </w:r>
          </w:p>
        </w:tc>
        <w:tc>
          <w:tcPr>
            <w:tcW w:w="7553" w:type="dxa"/>
          </w:tcPr>
          <w:p w14:paraId="48062EA5" w14:textId="77777777" w:rsidR="00635DA2" w:rsidRPr="00374EF0" w:rsidRDefault="00635DA2" w:rsidP="008E24B7">
            <w:pPr>
              <w:pStyle w:val="ECCTabletext"/>
              <w:spacing w:before="60"/>
              <w:jc w:val="left"/>
            </w:pPr>
            <w:r w:rsidRPr="00374EF0">
              <w:t>Radio Astronomy Service</w:t>
            </w:r>
          </w:p>
        </w:tc>
      </w:tr>
      <w:tr w:rsidR="00635DA2" w:rsidRPr="006D6727" w14:paraId="7097B3EA" w14:textId="77777777" w:rsidTr="008E24B7">
        <w:trPr>
          <w:trHeight w:val="317"/>
        </w:trPr>
        <w:tc>
          <w:tcPr>
            <w:tcW w:w="2076" w:type="dxa"/>
          </w:tcPr>
          <w:p w14:paraId="7CA0F63C" w14:textId="77777777" w:rsidR="00635DA2" w:rsidRPr="00374EF0" w:rsidRDefault="00635DA2" w:rsidP="008E24B7">
            <w:pPr>
              <w:pStyle w:val="ECCTabletext"/>
              <w:spacing w:before="60"/>
              <w:jc w:val="left"/>
              <w:rPr>
                <w:rStyle w:val="ECCHLbold"/>
              </w:rPr>
            </w:pPr>
            <w:r>
              <w:rPr>
                <w:rStyle w:val="ECCHLbold"/>
              </w:rPr>
              <w:t>RBW</w:t>
            </w:r>
          </w:p>
        </w:tc>
        <w:tc>
          <w:tcPr>
            <w:tcW w:w="7553" w:type="dxa"/>
          </w:tcPr>
          <w:p w14:paraId="461361B2" w14:textId="77777777" w:rsidR="00635DA2" w:rsidRPr="00374EF0" w:rsidRDefault="00635DA2" w:rsidP="008E24B7">
            <w:pPr>
              <w:pStyle w:val="ECCTabletext"/>
              <w:spacing w:before="60"/>
              <w:jc w:val="left"/>
            </w:pPr>
            <w:r>
              <w:t>Resolution Bandwidth</w:t>
            </w:r>
          </w:p>
        </w:tc>
      </w:tr>
      <w:tr w:rsidR="00635DA2" w:rsidRPr="006D6727" w14:paraId="1B386AB0" w14:textId="77777777" w:rsidTr="008E24B7">
        <w:trPr>
          <w:trHeight w:val="317"/>
        </w:trPr>
        <w:tc>
          <w:tcPr>
            <w:tcW w:w="2076" w:type="dxa"/>
          </w:tcPr>
          <w:p w14:paraId="06DE1870" w14:textId="77777777" w:rsidR="00635DA2" w:rsidRPr="00374EF0" w:rsidRDefault="00635DA2" w:rsidP="008E24B7">
            <w:pPr>
              <w:pStyle w:val="ECCTabletext"/>
              <w:spacing w:before="60"/>
              <w:jc w:val="left"/>
              <w:rPr>
                <w:rStyle w:val="ECCHLbold"/>
              </w:rPr>
            </w:pPr>
            <w:r>
              <w:rPr>
                <w:rStyle w:val="ECCHLbold"/>
              </w:rPr>
              <w:t>RCS</w:t>
            </w:r>
          </w:p>
        </w:tc>
        <w:tc>
          <w:tcPr>
            <w:tcW w:w="7553" w:type="dxa"/>
          </w:tcPr>
          <w:p w14:paraId="115C410E" w14:textId="77777777" w:rsidR="00635DA2" w:rsidRPr="00374EF0" w:rsidRDefault="00635DA2" w:rsidP="008E24B7">
            <w:pPr>
              <w:pStyle w:val="ECCTabletext"/>
              <w:spacing w:before="60"/>
              <w:jc w:val="left"/>
            </w:pPr>
            <w:r>
              <w:t>Radar Cross Section</w:t>
            </w:r>
          </w:p>
        </w:tc>
      </w:tr>
      <w:tr w:rsidR="00635DA2" w:rsidRPr="006D6727" w14:paraId="63E87E74" w14:textId="77777777" w:rsidTr="008E24B7">
        <w:trPr>
          <w:trHeight w:val="317"/>
        </w:trPr>
        <w:tc>
          <w:tcPr>
            <w:tcW w:w="2076" w:type="dxa"/>
          </w:tcPr>
          <w:p w14:paraId="5E61A90B" w14:textId="77777777" w:rsidR="00635DA2" w:rsidRDefault="00635DA2" w:rsidP="008E24B7">
            <w:pPr>
              <w:pStyle w:val="ECCTabletext"/>
              <w:spacing w:before="60"/>
              <w:jc w:val="left"/>
              <w:rPr>
                <w:rStyle w:val="ECCHLbold"/>
              </w:rPr>
            </w:pPr>
            <w:r>
              <w:rPr>
                <w:rStyle w:val="ECCHLbold"/>
              </w:rPr>
              <w:t>RDI</w:t>
            </w:r>
          </w:p>
        </w:tc>
        <w:tc>
          <w:tcPr>
            <w:tcW w:w="7553" w:type="dxa"/>
          </w:tcPr>
          <w:p w14:paraId="639EF34B" w14:textId="77777777" w:rsidR="00635DA2" w:rsidRDefault="00635DA2" w:rsidP="008E24B7">
            <w:pPr>
              <w:pStyle w:val="ECCTabletext"/>
              <w:spacing w:before="60"/>
              <w:jc w:val="left"/>
            </w:pPr>
            <w:r w:rsidRPr="00F06C4B">
              <w:t xml:space="preserve">Radiodetermination </w:t>
            </w:r>
            <w:r>
              <w:t>S</w:t>
            </w:r>
            <w:r w:rsidRPr="00F06C4B">
              <w:t xml:space="preserve">ystems for </w:t>
            </w:r>
            <w:r>
              <w:t>I</w:t>
            </w:r>
            <w:r w:rsidRPr="00F06C4B">
              <w:t xml:space="preserve">ndustry </w:t>
            </w:r>
            <w:r>
              <w:t>A</w:t>
            </w:r>
            <w:r w:rsidRPr="00F06C4B">
              <w:t>utomation</w:t>
            </w:r>
          </w:p>
        </w:tc>
      </w:tr>
      <w:tr w:rsidR="00635DA2" w:rsidRPr="006D6727" w14:paraId="7821999F" w14:textId="77777777" w:rsidTr="008E24B7">
        <w:trPr>
          <w:trHeight w:val="317"/>
        </w:trPr>
        <w:tc>
          <w:tcPr>
            <w:tcW w:w="2076" w:type="dxa"/>
          </w:tcPr>
          <w:p w14:paraId="69480BCB" w14:textId="77777777" w:rsidR="00635DA2" w:rsidRDefault="00635DA2" w:rsidP="008E24B7">
            <w:pPr>
              <w:pStyle w:val="ECCTabletext"/>
              <w:spacing w:before="60"/>
              <w:jc w:val="left"/>
              <w:rPr>
                <w:rStyle w:val="ECCHLbold"/>
              </w:rPr>
            </w:pPr>
            <w:r>
              <w:rPr>
                <w:rStyle w:val="ECCHLbold"/>
              </w:rPr>
              <w:t>RDI-S</w:t>
            </w:r>
          </w:p>
        </w:tc>
        <w:tc>
          <w:tcPr>
            <w:tcW w:w="7553" w:type="dxa"/>
          </w:tcPr>
          <w:p w14:paraId="0BF95AEB" w14:textId="77777777" w:rsidR="00635DA2" w:rsidRDefault="00635DA2" w:rsidP="008E24B7">
            <w:pPr>
              <w:pStyle w:val="ECCTabletext"/>
              <w:spacing w:before="60"/>
              <w:jc w:val="left"/>
            </w:pPr>
            <w:r w:rsidRPr="00F06C4B">
              <w:t>Radiodetermination Systems for Industry Automation</w:t>
            </w:r>
            <w:r>
              <w:t xml:space="preserve"> in Shielded Environments</w:t>
            </w:r>
          </w:p>
        </w:tc>
      </w:tr>
      <w:tr w:rsidR="00635DA2" w:rsidRPr="006D6727" w14:paraId="796D3A29" w14:textId="77777777" w:rsidTr="008E24B7">
        <w:trPr>
          <w:trHeight w:val="317"/>
        </w:trPr>
        <w:tc>
          <w:tcPr>
            <w:tcW w:w="2076" w:type="dxa"/>
          </w:tcPr>
          <w:p w14:paraId="6AC2E7E1" w14:textId="77777777" w:rsidR="00635DA2" w:rsidRPr="00374EF0" w:rsidRDefault="00635DA2" w:rsidP="008E24B7">
            <w:pPr>
              <w:pStyle w:val="ECCTabletext"/>
              <w:spacing w:before="60"/>
              <w:jc w:val="left"/>
              <w:rPr>
                <w:rStyle w:val="ECCHLbold"/>
              </w:rPr>
            </w:pPr>
            <w:r w:rsidRPr="00374EF0">
              <w:rPr>
                <w:rStyle w:val="ECCHLbold"/>
              </w:rPr>
              <w:t>RF</w:t>
            </w:r>
          </w:p>
        </w:tc>
        <w:tc>
          <w:tcPr>
            <w:tcW w:w="7553" w:type="dxa"/>
          </w:tcPr>
          <w:p w14:paraId="52469920" w14:textId="77777777" w:rsidR="00635DA2" w:rsidRPr="00374EF0" w:rsidRDefault="00635DA2" w:rsidP="008E24B7">
            <w:pPr>
              <w:pStyle w:val="ECCTabletext"/>
              <w:spacing w:before="60"/>
              <w:jc w:val="left"/>
            </w:pPr>
            <w:r w:rsidRPr="00374EF0">
              <w:t>Radio Frequency</w:t>
            </w:r>
          </w:p>
        </w:tc>
      </w:tr>
      <w:tr w:rsidR="00635DA2" w:rsidRPr="006D6727" w14:paraId="41E5D6EE" w14:textId="77777777" w:rsidTr="008E24B7">
        <w:trPr>
          <w:trHeight w:val="317"/>
        </w:trPr>
        <w:tc>
          <w:tcPr>
            <w:tcW w:w="2076" w:type="dxa"/>
          </w:tcPr>
          <w:p w14:paraId="6E5D396B" w14:textId="77777777" w:rsidR="00635DA2" w:rsidRPr="00374EF0" w:rsidRDefault="00635DA2" w:rsidP="008E24B7">
            <w:pPr>
              <w:pStyle w:val="ECCTabletext"/>
              <w:spacing w:before="60"/>
              <w:jc w:val="left"/>
              <w:rPr>
                <w:rStyle w:val="ECCHLbold"/>
              </w:rPr>
            </w:pPr>
            <w:r w:rsidRPr="00374EF0">
              <w:rPr>
                <w:rStyle w:val="ECCHLbold"/>
              </w:rPr>
              <w:t>RMS</w:t>
            </w:r>
          </w:p>
        </w:tc>
        <w:tc>
          <w:tcPr>
            <w:tcW w:w="7553" w:type="dxa"/>
          </w:tcPr>
          <w:p w14:paraId="0970A7E6" w14:textId="77777777" w:rsidR="00635DA2" w:rsidRPr="00374EF0" w:rsidRDefault="00635DA2" w:rsidP="008E24B7">
            <w:pPr>
              <w:pStyle w:val="ECCTabletext"/>
              <w:spacing w:before="60"/>
              <w:jc w:val="left"/>
            </w:pPr>
            <w:r w:rsidRPr="00374EF0">
              <w:t>Root Mean Square</w:t>
            </w:r>
          </w:p>
        </w:tc>
      </w:tr>
      <w:tr w:rsidR="00635DA2" w:rsidRPr="006D6727" w14:paraId="1F0C6C31" w14:textId="77777777" w:rsidTr="008E24B7">
        <w:trPr>
          <w:trHeight w:val="317"/>
        </w:trPr>
        <w:tc>
          <w:tcPr>
            <w:tcW w:w="2076" w:type="dxa"/>
          </w:tcPr>
          <w:p w14:paraId="29734107" w14:textId="77777777" w:rsidR="00635DA2" w:rsidRDefault="00635DA2" w:rsidP="008E24B7">
            <w:pPr>
              <w:pStyle w:val="ECCTabletext"/>
              <w:spacing w:before="60"/>
              <w:jc w:val="left"/>
              <w:rPr>
                <w:rStyle w:val="ECCHLbold"/>
              </w:rPr>
            </w:pPr>
            <w:r>
              <w:rPr>
                <w:rStyle w:val="ECCHLbold"/>
              </w:rPr>
              <w:t>RPE</w:t>
            </w:r>
          </w:p>
        </w:tc>
        <w:tc>
          <w:tcPr>
            <w:tcW w:w="7553" w:type="dxa"/>
          </w:tcPr>
          <w:p w14:paraId="459277D8" w14:textId="77777777" w:rsidR="00635DA2" w:rsidRDefault="00635DA2" w:rsidP="008E24B7">
            <w:pPr>
              <w:pStyle w:val="ECCTabletext"/>
              <w:spacing w:before="60"/>
              <w:jc w:val="left"/>
            </w:pPr>
            <w:r w:rsidRPr="00F06C4B">
              <w:t>Radiation Pattern Envelope</w:t>
            </w:r>
          </w:p>
        </w:tc>
      </w:tr>
      <w:tr w:rsidR="008C6A8E" w:rsidRPr="006D6727" w14:paraId="304C70E2" w14:textId="77777777" w:rsidTr="008E24B7">
        <w:trPr>
          <w:trHeight w:val="317"/>
        </w:trPr>
        <w:tc>
          <w:tcPr>
            <w:tcW w:w="2076" w:type="dxa"/>
          </w:tcPr>
          <w:p w14:paraId="3A9F5BA8" w14:textId="77777777" w:rsidR="008C6A8E" w:rsidRDefault="008C6A8E" w:rsidP="008E24B7">
            <w:pPr>
              <w:pStyle w:val="ECCTabletext"/>
              <w:spacing w:before="60"/>
              <w:jc w:val="left"/>
              <w:rPr>
                <w:rStyle w:val="ECCHLbold"/>
              </w:rPr>
            </w:pPr>
            <w:r>
              <w:rPr>
                <w:rStyle w:val="ECCHLbold"/>
              </w:rPr>
              <w:t>RR</w:t>
            </w:r>
          </w:p>
        </w:tc>
        <w:tc>
          <w:tcPr>
            <w:tcW w:w="7553" w:type="dxa"/>
          </w:tcPr>
          <w:p w14:paraId="0E8C1D4B" w14:textId="77777777" w:rsidR="008C6A8E" w:rsidRPr="00F06C4B" w:rsidRDefault="008C6A8E" w:rsidP="008E24B7">
            <w:pPr>
              <w:pStyle w:val="ECCTabletext"/>
              <w:spacing w:before="60"/>
              <w:jc w:val="left"/>
            </w:pPr>
            <w:r>
              <w:t>ITU Radio Regulations</w:t>
            </w:r>
          </w:p>
        </w:tc>
      </w:tr>
      <w:tr w:rsidR="00635DA2" w:rsidRPr="006D6727" w14:paraId="01122C5E" w14:textId="77777777" w:rsidTr="008E24B7">
        <w:trPr>
          <w:trHeight w:val="317"/>
        </w:trPr>
        <w:tc>
          <w:tcPr>
            <w:tcW w:w="2076" w:type="dxa"/>
          </w:tcPr>
          <w:p w14:paraId="7F934F23" w14:textId="77777777" w:rsidR="00635DA2" w:rsidRPr="00374EF0" w:rsidRDefault="00635DA2" w:rsidP="008E24B7">
            <w:pPr>
              <w:pStyle w:val="ECCTabletext"/>
              <w:spacing w:before="60"/>
              <w:jc w:val="left"/>
              <w:rPr>
                <w:rStyle w:val="ECCHLbold"/>
              </w:rPr>
            </w:pPr>
            <w:r>
              <w:rPr>
                <w:rStyle w:val="ECCHLbold"/>
              </w:rPr>
              <w:t>Rx</w:t>
            </w:r>
          </w:p>
        </w:tc>
        <w:tc>
          <w:tcPr>
            <w:tcW w:w="7553" w:type="dxa"/>
          </w:tcPr>
          <w:p w14:paraId="514FE507" w14:textId="77777777" w:rsidR="00635DA2" w:rsidRPr="00374EF0" w:rsidRDefault="00635DA2" w:rsidP="008E24B7">
            <w:pPr>
              <w:pStyle w:val="ECCTabletext"/>
              <w:spacing w:before="60"/>
              <w:jc w:val="left"/>
            </w:pPr>
            <w:r>
              <w:t>Receiver</w:t>
            </w:r>
          </w:p>
        </w:tc>
      </w:tr>
      <w:tr w:rsidR="00635DA2" w:rsidRPr="006D6727" w14:paraId="770A04CA" w14:textId="77777777" w:rsidTr="008E24B7">
        <w:trPr>
          <w:trHeight w:val="317"/>
        </w:trPr>
        <w:tc>
          <w:tcPr>
            <w:tcW w:w="2076" w:type="dxa"/>
          </w:tcPr>
          <w:p w14:paraId="313CB810" w14:textId="77777777" w:rsidR="00635DA2" w:rsidRDefault="00635DA2" w:rsidP="008E24B7">
            <w:pPr>
              <w:pStyle w:val="ECCTabletext"/>
              <w:spacing w:before="60"/>
              <w:jc w:val="left"/>
              <w:rPr>
                <w:rStyle w:val="ECCHLbold"/>
              </w:rPr>
            </w:pPr>
            <w:r>
              <w:rPr>
                <w:rStyle w:val="ECCHLbold"/>
              </w:rPr>
              <w:t>SAE</w:t>
            </w:r>
          </w:p>
        </w:tc>
        <w:tc>
          <w:tcPr>
            <w:tcW w:w="7553" w:type="dxa"/>
          </w:tcPr>
          <w:p w14:paraId="016E1436" w14:textId="77777777" w:rsidR="00635DA2" w:rsidRDefault="00635DA2" w:rsidP="008E24B7">
            <w:pPr>
              <w:pStyle w:val="ECCTabletext"/>
              <w:spacing w:before="60"/>
              <w:jc w:val="left"/>
            </w:pPr>
            <w:r>
              <w:t>Single Antenna element</w:t>
            </w:r>
          </w:p>
        </w:tc>
      </w:tr>
      <w:tr w:rsidR="00635DA2" w:rsidRPr="006D6727" w14:paraId="122E6F57" w14:textId="77777777" w:rsidTr="008E24B7">
        <w:trPr>
          <w:trHeight w:val="317"/>
        </w:trPr>
        <w:tc>
          <w:tcPr>
            <w:tcW w:w="2076" w:type="dxa"/>
          </w:tcPr>
          <w:p w14:paraId="56669F2C" w14:textId="77777777" w:rsidR="00635DA2" w:rsidRPr="00374EF0" w:rsidRDefault="00635DA2" w:rsidP="008E24B7">
            <w:pPr>
              <w:pStyle w:val="ECCTabletext"/>
              <w:spacing w:before="60"/>
              <w:jc w:val="left"/>
              <w:rPr>
                <w:rStyle w:val="ECCHLbold"/>
              </w:rPr>
            </w:pPr>
            <w:r w:rsidRPr="00374EF0">
              <w:rPr>
                <w:rStyle w:val="ECCHLbold"/>
              </w:rPr>
              <w:t>SAR</w:t>
            </w:r>
          </w:p>
        </w:tc>
        <w:tc>
          <w:tcPr>
            <w:tcW w:w="7553" w:type="dxa"/>
          </w:tcPr>
          <w:p w14:paraId="39F54A41" w14:textId="77777777" w:rsidR="00635DA2" w:rsidRPr="00374EF0" w:rsidRDefault="00635DA2" w:rsidP="008E24B7">
            <w:pPr>
              <w:pStyle w:val="ECCTabletext"/>
              <w:spacing w:before="60"/>
              <w:jc w:val="left"/>
            </w:pPr>
            <w:r w:rsidRPr="00374EF0">
              <w:t>Synthetic Aperture Radar</w:t>
            </w:r>
          </w:p>
        </w:tc>
      </w:tr>
      <w:tr w:rsidR="00635DA2" w:rsidRPr="006D6727" w14:paraId="4D55EF7E" w14:textId="77777777" w:rsidTr="008E24B7">
        <w:trPr>
          <w:trHeight w:val="317"/>
        </w:trPr>
        <w:tc>
          <w:tcPr>
            <w:tcW w:w="2076" w:type="dxa"/>
          </w:tcPr>
          <w:p w14:paraId="1A721A46" w14:textId="77777777" w:rsidR="00635DA2" w:rsidRPr="00374EF0" w:rsidRDefault="00635DA2" w:rsidP="008E24B7">
            <w:pPr>
              <w:pStyle w:val="ECCTabletext"/>
              <w:spacing w:before="60"/>
              <w:jc w:val="left"/>
              <w:rPr>
                <w:rStyle w:val="ECCHLbold"/>
              </w:rPr>
            </w:pPr>
            <w:r>
              <w:rPr>
                <w:rStyle w:val="ECCHLbold"/>
              </w:rPr>
              <w:t>SCPI</w:t>
            </w:r>
          </w:p>
        </w:tc>
        <w:tc>
          <w:tcPr>
            <w:tcW w:w="7553" w:type="dxa"/>
          </w:tcPr>
          <w:p w14:paraId="2666B5B7" w14:textId="77777777" w:rsidR="00635DA2" w:rsidRPr="00374EF0" w:rsidRDefault="00635DA2" w:rsidP="008E24B7">
            <w:pPr>
              <w:pStyle w:val="ECCTabletext"/>
              <w:spacing w:before="60"/>
              <w:jc w:val="left"/>
            </w:pPr>
            <w:r w:rsidRPr="007E16BF">
              <w:t>Standard Commands for Programmable Instruments</w:t>
            </w:r>
          </w:p>
        </w:tc>
      </w:tr>
      <w:tr w:rsidR="00635DA2" w:rsidRPr="006D6727" w14:paraId="565DCFCC" w14:textId="77777777" w:rsidTr="008E24B7">
        <w:trPr>
          <w:trHeight w:val="317"/>
        </w:trPr>
        <w:tc>
          <w:tcPr>
            <w:tcW w:w="2076" w:type="dxa"/>
          </w:tcPr>
          <w:p w14:paraId="74D18F95" w14:textId="77777777" w:rsidR="00635DA2" w:rsidRPr="00374EF0" w:rsidRDefault="00635DA2" w:rsidP="008E24B7">
            <w:pPr>
              <w:pStyle w:val="ECCTabletext"/>
              <w:spacing w:before="60"/>
              <w:jc w:val="left"/>
              <w:rPr>
                <w:rStyle w:val="ECCHLbold"/>
              </w:rPr>
            </w:pPr>
            <w:r>
              <w:rPr>
                <w:rStyle w:val="ECCHLbold"/>
              </w:rPr>
              <w:t>SEAMCAT</w:t>
            </w:r>
          </w:p>
        </w:tc>
        <w:tc>
          <w:tcPr>
            <w:tcW w:w="7553" w:type="dxa"/>
          </w:tcPr>
          <w:p w14:paraId="267E4D07" w14:textId="77777777" w:rsidR="00635DA2" w:rsidRPr="00374EF0" w:rsidRDefault="00635DA2" w:rsidP="008E24B7">
            <w:pPr>
              <w:pStyle w:val="ECCTabletext"/>
              <w:spacing w:before="60"/>
              <w:jc w:val="left"/>
            </w:pPr>
            <w:r w:rsidRPr="00F30BD7">
              <w:t>Spectrum Engineering Advanced Monte Carlo Analysis Tool</w:t>
            </w:r>
          </w:p>
        </w:tc>
      </w:tr>
      <w:tr w:rsidR="00635DA2" w:rsidRPr="006D6727" w14:paraId="644BFE56" w14:textId="77777777" w:rsidTr="008E24B7">
        <w:trPr>
          <w:trHeight w:val="317"/>
        </w:trPr>
        <w:tc>
          <w:tcPr>
            <w:tcW w:w="2076" w:type="dxa"/>
          </w:tcPr>
          <w:p w14:paraId="67F99F2C" w14:textId="77777777" w:rsidR="00635DA2" w:rsidRPr="00374EF0" w:rsidRDefault="00635DA2" w:rsidP="008E24B7">
            <w:pPr>
              <w:pStyle w:val="ECCTabletext"/>
              <w:spacing w:before="60"/>
              <w:jc w:val="left"/>
              <w:rPr>
                <w:rStyle w:val="ECCHLbold"/>
              </w:rPr>
            </w:pPr>
            <w:r w:rsidRPr="00374EF0">
              <w:rPr>
                <w:rStyle w:val="ECCHLbold"/>
              </w:rPr>
              <w:t>SHM</w:t>
            </w:r>
          </w:p>
        </w:tc>
        <w:tc>
          <w:tcPr>
            <w:tcW w:w="7553" w:type="dxa"/>
          </w:tcPr>
          <w:p w14:paraId="6E5C418F" w14:textId="77777777" w:rsidR="00635DA2" w:rsidRPr="00374EF0" w:rsidRDefault="00635DA2" w:rsidP="008E24B7">
            <w:pPr>
              <w:pStyle w:val="ECCTabletext"/>
              <w:spacing w:before="60"/>
              <w:jc w:val="left"/>
            </w:pPr>
            <w:r w:rsidRPr="00374EF0">
              <w:t>Structural Health Monitoring</w:t>
            </w:r>
          </w:p>
        </w:tc>
      </w:tr>
      <w:tr w:rsidR="00635DA2" w:rsidRPr="006D6727" w14:paraId="058B58B1" w14:textId="77777777" w:rsidTr="008E24B7">
        <w:trPr>
          <w:trHeight w:val="317"/>
        </w:trPr>
        <w:tc>
          <w:tcPr>
            <w:tcW w:w="2076" w:type="dxa"/>
          </w:tcPr>
          <w:p w14:paraId="52691EF4" w14:textId="77777777" w:rsidR="00635DA2" w:rsidRPr="00374EF0" w:rsidRDefault="00635DA2" w:rsidP="008E24B7">
            <w:pPr>
              <w:pStyle w:val="ECCTabletext"/>
              <w:spacing w:before="60"/>
              <w:jc w:val="left"/>
              <w:rPr>
                <w:rStyle w:val="ECCHLbold"/>
              </w:rPr>
            </w:pPr>
            <w:r>
              <w:rPr>
                <w:rStyle w:val="ECCHLbold"/>
              </w:rPr>
              <w:t>SiGe</w:t>
            </w:r>
          </w:p>
        </w:tc>
        <w:tc>
          <w:tcPr>
            <w:tcW w:w="7553" w:type="dxa"/>
          </w:tcPr>
          <w:p w14:paraId="25D55E32" w14:textId="77777777" w:rsidR="00635DA2" w:rsidRPr="00374EF0" w:rsidRDefault="008C6A8E" w:rsidP="008E24B7">
            <w:pPr>
              <w:pStyle w:val="ECCTabletext"/>
              <w:spacing w:before="60"/>
              <w:jc w:val="left"/>
            </w:pPr>
            <w:r>
              <w:t>Silicon-</w:t>
            </w:r>
            <w:r w:rsidR="00635DA2" w:rsidRPr="00F30BD7">
              <w:t>germanium</w:t>
            </w:r>
          </w:p>
        </w:tc>
      </w:tr>
      <w:tr w:rsidR="00635DA2" w:rsidRPr="006D6727" w14:paraId="68B674A4" w14:textId="77777777" w:rsidTr="008E24B7">
        <w:trPr>
          <w:trHeight w:val="317"/>
        </w:trPr>
        <w:tc>
          <w:tcPr>
            <w:tcW w:w="2076" w:type="dxa"/>
          </w:tcPr>
          <w:p w14:paraId="4DD63E70" w14:textId="77777777" w:rsidR="00635DA2" w:rsidRDefault="00635DA2" w:rsidP="008E24B7">
            <w:pPr>
              <w:pStyle w:val="ECCTabletext"/>
              <w:spacing w:before="60"/>
              <w:jc w:val="left"/>
              <w:rPr>
                <w:rStyle w:val="ECCHLbold"/>
              </w:rPr>
            </w:pPr>
            <w:r>
              <w:rPr>
                <w:rStyle w:val="ECCHLbold"/>
              </w:rPr>
              <w:t>SISO</w:t>
            </w:r>
          </w:p>
        </w:tc>
        <w:tc>
          <w:tcPr>
            <w:tcW w:w="7553" w:type="dxa"/>
          </w:tcPr>
          <w:p w14:paraId="2F263B1C" w14:textId="77777777" w:rsidR="00635DA2" w:rsidRPr="00F30BD7" w:rsidRDefault="00635DA2" w:rsidP="008E24B7">
            <w:pPr>
              <w:pStyle w:val="ECCTabletext"/>
              <w:spacing w:before="60"/>
              <w:jc w:val="left"/>
            </w:pPr>
            <w:r w:rsidRPr="00F30BD7">
              <w:t>Single Input Single Output</w:t>
            </w:r>
          </w:p>
        </w:tc>
      </w:tr>
      <w:tr w:rsidR="00635DA2" w:rsidRPr="006D6727" w14:paraId="60FA596C" w14:textId="77777777" w:rsidTr="008E24B7">
        <w:trPr>
          <w:trHeight w:val="317"/>
        </w:trPr>
        <w:tc>
          <w:tcPr>
            <w:tcW w:w="2076" w:type="dxa"/>
          </w:tcPr>
          <w:p w14:paraId="3AA59EC1" w14:textId="77777777" w:rsidR="00635DA2" w:rsidRDefault="00635DA2" w:rsidP="008E24B7">
            <w:pPr>
              <w:pStyle w:val="ECCTabletext"/>
              <w:spacing w:before="60"/>
              <w:jc w:val="left"/>
              <w:rPr>
                <w:rStyle w:val="ECCHLbold"/>
              </w:rPr>
            </w:pPr>
            <w:r>
              <w:rPr>
                <w:rStyle w:val="ECCHLbold"/>
              </w:rPr>
              <w:t>SLO</w:t>
            </w:r>
          </w:p>
        </w:tc>
        <w:tc>
          <w:tcPr>
            <w:tcW w:w="7553" w:type="dxa"/>
          </w:tcPr>
          <w:p w14:paraId="7EC83085" w14:textId="77777777" w:rsidR="00635DA2" w:rsidRPr="00F30BD7" w:rsidRDefault="00635DA2" w:rsidP="008E24B7">
            <w:pPr>
              <w:pStyle w:val="ECCTabletext"/>
              <w:spacing w:before="60"/>
              <w:jc w:val="left"/>
            </w:pPr>
            <w:r w:rsidRPr="00F30BD7">
              <w:t>Spectral Line Observations</w:t>
            </w:r>
          </w:p>
        </w:tc>
      </w:tr>
      <w:tr w:rsidR="00635DA2" w:rsidRPr="006D6727" w14:paraId="06891874" w14:textId="77777777" w:rsidTr="008E24B7">
        <w:trPr>
          <w:trHeight w:val="317"/>
        </w:trPr>
        <w:tc>
          <w:tcPr>
            <w:tcW w:w="2076" w:type="dxa"/>
          </w:tcPr>
          <w:p w14:paraId="7F456EDB" w14:textId="77777777" w:rsidR="00635DA2" w:rsidRDefault="00635DA2" w:rsidP="008E24B7">
            <w:pPr>
              <w:pStyle w:val="ECCTabletext"/>
              <w:spacing w:before="60"/>
              <w:jc w:val="left"/>
              <w:rPr>
                <w:rStyle w:val="ECCHLbold"/>
              </w:rPr>
            </w:pPr>
            <w:r>
              <w:rPr>
                <w:rStyle w:val="ECCHLbold"/>
              </w:rPr>
              <w:t>SNR</w:t>
            </w:r>
          </w:p>
        </w:tc>
        <w:tc>
          <w:tcPr>
            <w:tcW w:w="7553" w:type="dxa"/>
          </w:tcPr>
          <w:p w14:paraId="25BAB39B" w14:textId="77777777" w:rsidR="00635DA2" w:rsidRPr="00F30BD7" w:rsidRDefault="00635DA2" w:rsidP="008E24B7">
            <w:pPr>
              <w:pStyle w:val="ECCTabletext"/>
              <w:spacing w:before="60"/>
              <w:jc w:val="left"/>
            </w:pPr>
            <w:r w:rsidRPr="00F30BD7">
              <w:t>Signal to Noise Ratio</w:t>
            </w:r>
          </w:p>
        </w:tc>
      </w:tr>
      <w:tr w:rsidR="00635DA2" w:rsidRPr="006D6727" w14:paraId="45A72C0B" w14:textId="77777777" w:rsidTr="008E24B7">
        <w:trPr>
          <w:trHeight w:val="317"/>
        </w:trPr>
        <w:tc>
          <w:tcPr>
            <w:tcW w:w="2076" w:type="dxa"/>
          </w:tcPr>
          <w:p w14:paraId="547BD722" w14:textId="77777777" w:rsidR="00635DA2" w:rsidRPr="00374EF0" w:rsidRDefault="00635DA2" w:rsidP="008E24B7">
            <w:pPr>
              <w:pStyle w:val="ECCTabletext"/>
              <w:spacing w:before="60"/>
              <w:jc w:val="left"/>
              <w:rPr>
                <w:rStyle w:val="ECCHLbold"/>
              </w:rPr>
            </w:pPr>
            <w:r w:rsidRPr="00374EF0">
              <w:rPr>
                <w:rStyle w:val="ECCHLbold"/>
              </w:rPr>
              <w:t>SRD</w:t>
            </w:r>
          </w:p>
        </w:tc>
        <w:tc>
          <w:tcPr>
            <w:tcW w:w="7553" w:type="dxa"/>
          </w:tcPr>
          <w:p w14:paraId="2DF907A6" w14:textId="77777777" w:rsidR="00635DA2" w:rsidRPr="00374EF0" w:rsidRDefault="00635DA2" w:rsidP="008E24B7">
            <w:pPr>
              <w:pStyle w:val="ECCTabletext"/>
              <w:spacing w:before="60"/>
              <w:jc w:val="left"/>
            </w:pPr>
            <w:r w:rsidRPr="00374EF0">
              <w:t>Short Range Device</w:t>
            </w:r>
          </w:p>
        </w:tc>
      </w:tr>
      <w:tr w:rsidR="00635DA2" w:rsidRPr="00476C26" w14:paraId="49188965" w14:textId="77777777" w:rsidTr="008E24B7">
        <w:trPr>
          <w:trHeight w:val="317"/>
        </w:trPr>
        <w:tc>
          <w:tcPr>
            <w:tcW w:w="2076" w:type="dxa"/>
          </w:tcPr>
          <w:p w14:paraId="39517970" w14:textId="77777777" w:rsidR="00635DA2" w:rsidRPr="00374EF0" w:rsidRDefault="00635DA2" w:rsidP="008E24B7">
            <w:pPr>
              <w:pStyle w:val="ECCTabletext"/>
              <w:spacing w:before="60"/>
              <w:jc w:val="left"/>
              <w:rPr>
                <w:rStyle w:val="ECCHLbold"/>
              </w:rPr>
            </w:pPr>
            <w:r>
              <w:rPr>
                <w:rStyle w:val="ECCHLbold"/>
              </w:rPr>
              <w:t>SRdoc</w:t>
            </w:r>
          </w:p>
        </w:tc>
        <w:tc>
          <w:tcPr>
            <w:tcW w:w="7553" w:type="dxa"/>
          </w:tcPr>
          <w:p w14:paraId="05AC968E" w14:textId="77777777" w:rsidR="00635DA2" w:rsidRPr="00476C26" w:rsidRDefault="00635DA2" w:rsidP="008E24B7">
            <w:pPr>
              <w:pStyle w:val="ECCTabletext"/>
              <w:spacing w:before="60"/>
              <w:jc w:val="left"/>
            </w:pPr>
            <w:r w:rsidRPr="00476C26">
              <w:t>System Reference Document, source ETSI</w:t>
            </w:r>
          </w:p>
        </w:tc>
      </w:tr>
      <w:tr w:rsidR="00635DA2" w:rsidRPr="006D6727" w14:paraId="3968651E" w14:textId="77777777" w:rsidTr="008E24B7">
        <w:trPr>
          <w:trHeight w:val="317"/>
        </w:trPr>
        <w:tc>
          <w:tcPr>
            <w:tcW w:w="2076" w:type="dxa"/>
          </w:tcPr>
          <w:p w14:paraId="4D5BD04A" w14:textId="77777777" w:rsidR="00635DA2" w:rsidRPr="00374EF0" w:rsidRDefault="00635DA2" w:rsidP="008E24B7">
            <w:pPr>
              <w:pStyle w:val="ECCTabletext"/>
              <w:spacing w:before="60"/>
              <w:jc w:val="left"/>
              <w:rPr>
                <w:rStyle w:val="ECCHLbold"/>
              </w:rPr>
            </w:pPr>
            <w:r w:rsidRPr="00374EF0">
              <w:rPr>
                <w:rStyle w:val="ECCHLbold"/>
              </w:rPr>
              <w:t>SRR</w:t>
            </w:r>
          </w:p>
        </w:tc>
        <w:tc>
          <w:tcPr>
            <w:tcW w:w="7553" w:type="dxa"/>
          </w:tcPr>
          <w:p w14:paraId="5652969A" w14:textId="77777777" w:rsidR="00635DA2" w:rsidRPr="00374EF0" w:rsidRDefault="00635DA2" w:rsidP="008E24B7">
            <w:pPr>
              <w:pStyle w:val="ECCTabletext"/>
              <w:spacing w:before="60"/>
              <w:jc w:val="left"/>
            </w:pPr>
            <w:r w:rsidRPr="00374EF0">
              <w:t>Short Range Radar</w:t>
            </w:r>
          </w:p>
        </w:tc>
      </w:tr>
      <w:tr w:rsidR="00635DA2" w:rsidRPr="006D6727" w14:paraId="268F7C7B" w14:textId="77777777" w:rsidTr="008E24B7">
        <w:trPr>
          <w:trHeight w:val="317"/>
        </w:trPr>
        <w:tc>
          <w:tcPr>
            <w:tcW w:w="2076" w:type="dxa"/>
          </w:tcPr>
          <w:p w14:paraId="74FBFB33" w14:textId="77777777" w:rsidR="00635DA2" w:rsidRPr="00374EF0" w:rsidRDefault="00635DA2" w:rsidP="008E24B7">
            <w:pPr>
              <w:pStyle w:val="ECCTabletext"/>
              <w:spacing w:before="60"/>
              <w:jc w:val="left"/>
              <w:rPr>
                <w:rStyle w:val="ECCHLbold"/>
              </w:rPr>
            </w:pPr>
            <w:r w:rsidRPr="00374EF0">
              <w:rPr>
                <w:rStyle w:val="ECCHLbold"/>
              </w:rPr>
              <w:t>SRS</w:t>
            </w:r>
          </w:p>
        </w:tc>
        <w:tc>
          <w:tcPr>
            <w:tcW w:w="7553" w:type="dxa"/>
          </w:tcPr>
          <w:p w14:paraId="01E0C26D" w14:textId="77777777" w:rsidR="00635DA2" w:rsidRPr="00374EF0" w:rsidRDefault="00635DA2" w:rsidP="008E24B7">
            <w:pPr>
              <w:pStyle w:val="ECCTabletext"/>
              <w:spacing w:before="60"/>
              <w:jc w:val="left"/>
            </w:pPr>
            <w:r w:rsidRPr="00374EF0">
              <w:t>Space Research Service</w:t>
            </w:r>
          </w:p>
        </w:tc>
      </w:tr>
      <w:tr w:rsidR="00635DA2" w:rsidRPr="006D6727" w14:paraId="0341896E" w14:textId="77777777" w:rsidTr="008E24B7">
        <w:trPr>
          <w:trHeight w:val="317"/>
        </w:trPr>
        <w:tc>
          <w:tcPr>
            <w:tcW w:w="2076" w:type="dxa"/>
          </w:tcPr>
          <w:p w14:paraId="69A74CF4" w14:textId="77777777" w:rsidR="00635DA2" w:rsidRDefault="00635DA2" w:rsidP="008E24B7">
            <w:pPr>
              <w:pStyle w:val="ECCTabletext"/>
              <w:spacing w:before="60"/>
              <w:jc w:val="left"/>
              <w:rPr>
                <w:rStyle w:val="ECCHLbold"/>
              </w:rPr>
            </w:pPr>
            <w:r>
              <w:rPr>
                <w:rStyle w:val="ECCHLbold"/>
              </w:rPr>
              <w:t>TDMA</w:t>
            </w:r>
          </w:p>
        </w:tc>
        <w:tc>
          <w:tcPr>
            <w:tcW w:w="7553" w:type="dxa"/>
          </w:tcPr>
          <w:p w14:paraId="52402E6A" w14:textId="77777777" w:rsidR="00635DA2" w:rsidRPr="00F30BD7" w:rsidRDefault="00635DA2" w:rsidP="008E24B7">
            <w:pPr>
              <w:pStyle w:val="ECCTabletext"/>
              <w:spacing w:before="60"/>
              <w:jc w:val="left"/>
            </w:pPr>
            <w:r w:rsidRPr="00F30BD7">
              <w:t>Time Division Multiple Access</w:t>
            </w:r>
          </w:p>
        </w:tc>
      </w:tr>
      <w:tr w:rsidR="00635DA2" w:rsidRPr="006D6727" w14:paraId="6AF594C8" w14:textId="77777777" w:rsidTr="008E24B7">
        <w:trPr>
          <w:trHeight w:val="317"/>
        </w:trPr>
        <w:tc>
          <w:tcPr>
            <w:tcW w:w="2076" w:type="dxa"/>
          </w:tcPr>
          <w:p w14:paraId="0441EA2D" w14:textId="77777777" w:rsidR="00635DA2" w:rsidRPr="00374EF0" w:rsidRDefault="00635DA2" w:rsidP="008E24B7">
            <w:pPr>
              <w:pStyle w:val="ECCTabletext"/>
              <w:spacing w:before="60"/>
              <w:jc w:val="left"/>
              <w:rPr>
                <w:rStyle w:val="ECCHLbold"/>
              </w:rPr>
            </w:pPr>
            <w:r w:rsidRPr="00374EF0">
              <w:rPr>
                <w:rStyle w:val="ECCHLbold"/>
              </w:rPr>
              <w:t>TLPR</w:t>
            </w:r>
          </w:p>
        </w:tc>
        <w:tc>
          <w:tcPr>
            <w:tcW w:w="7553" w:type="dxa"/>
          </w:tcPr>
          <w:p w14:paraId="6FC17014" w14:textId="77777777" w:rsidR="00635DA2" w:rsidRPr="00374EF0" w:rsidRDefault="00635DA2" w:rsidP="008E24B7">
            <w:pPr>
              <w:pStyle w:val="ECCTabletext"/>
              <w:spacing w:before="60"/>
              <w:jc w:val="left"/>
            </w:pPr>
            <w:r w:rsidRPr="00374EF0">
              <w:t>Tank Level Probing Radar</w:t>
            </w:r>
          </w:p>
        </w:tc>
      </w:tr>
      <w:tr w:rsidR="00635DA2" w:rsidRPr="006D6727" w14:paraId="7C5D38C8" w14:textId="77777777" w:rsidTr="008E24B7">
        <w:trPr>
          <w:trHeight w:val="317"/>
        </w:trPr>
        <w:tc>
          <w:tcPr>
            <w:tcW w:w="2076" w:type="dxa"/>
          </w:tcPr>
          <w:p w14:paraId="6A59B25E" w14:textId="77777777" w:rsidR="00635DA2" w:rsidRPr="00374EF0" w:rsidRDefault="00635DA2" w:rsidP="008E24B7">
            <w:pPr>
              <w:pStyle w:val="ECCTabletext"/>
              <w:spacing w:before="60"/>
              <w:jc w:val="left"/>
              <w:rPr>
                <w:rStyle w:val="ECCHLbold"/>
              </w:rPr>
            </w:pPr>
            <w:r>
              <w:rPr>
                <w:rStyle w:val="ECCHLbold"/>
              </w:rPr>
              <w:t>TR</w:t>
            </w:r>
          </w:p>
        </w:tc>
        <w:tc>
          <w:tcPr>
            <w:tcW w:w="7553" w:type="dxa"/>
          </w:tcPr>
          <w:p w14:paraId="0E1CA7C7" w14:textId="77777777" w:rsidR="00635DA2" w:rsidRPr="00374EF0" w:rsidRDefault="00635DA2" w:rsidP="008E24B7">
            <w:pPr>
              <w:pStyle w:val="ECCTabletext"/>
              <w:spacing w:before="60"/>
              <w:jc w:val="left"/>
            </w:pPr>
            <w:r w:rsidRPr="00F30BD7">
              <w:t>Technical Report, source ETSI</w:t>
            </w:r>
          </w:p>
        </w:tc>
      </w:tr>
      <w:tr w:rsidR="00635DA2" w:rsidRPr="006D6727" w14:paraId="61607D03" w14:textId="77777777" w:rsidTr="008E24B7">
        <w:trPr>
          <w:trHeight w:val="317"/>
        </w:trPr>
        <w:tc>
          <w:tcPr>
            <w:tcW w:w="2076" w:type="dxa"/>
          </w:tcPr>
          <w:p w14:paraId="1F585967" w14:textId="77777777" w:rsidR="00635DA2" w:rsidRPr="00374EF0" w:rsidRDefault="00635DA2" w:rsidP="008E24B7">
            <w:pPr>
              <w:pStyle w:val="ECCTabletext"/>
              <w:spacing w:before="60"/>
              <w:jc w:val="left"/>
              <w:rPr>
                <w:rStyle w:val="ECCHLbold"/>
              </w:rPr>
            </w:pPr>
            <w:r w:rsidRPr="00374EF0">
              <w:rPr>
                <w:rStyle w:val="ECCHLbold"/>
              </w:rPr>
              <w:t>TRL</w:t>
            </w:r>
          </w:p>
        </w:tc>
        <w:tc>
          <w:tcPr>
            <w:tcW w:w="7553" w:type="dxa"/>
          </w:tcPr>
          <w:p w14:paraId="1B6A8AEE" w14:textId="77777777" w:rsidR="00635DA2" w:rsidRPr="00374EF0" w:rsidRDefault="00635DA2" w:rsidP="008E24B7">
            <w:pPr>
              <w:pStyle w:val="ECCTabletext"/>
              <w:spacing w:before="60"/>
              <w:jc w:val="left"/>
            </w:pPr>
            <w:r w:rsidRPr="00374EF0">
              <w:t>Transmission Reflect Line</w:t>
            </w:r>
          </w:p>
        </w:tc>
      </w:tr>
      <w:tr w:rsidR="00635DA2" w:rsidRPr="006D6727" w14:paraId="53330361" w14:textId="77777777" w:rsidTr="008E24B7">
        <w:trPr>
          <w:trHeight w:val="317"/>
        </w:trPr>
        <w:tc>
          <w:tcPr>
            <w:tcW w:w="2076" w:type="dxa"/>
          </w:tcPr>
          <w:p w14:paraId="4DA8D0E7" w14:textId="77777777" w:rsidR="00635DA2" w:rsidRPr="00374EF0" w:rsidRDefault="00635DA2" w:rsidP="008E24B7">
            <w:pPr>
              <w:pStyle w:val="ECCTabletext"/>
              <w:spacing w:before="60"/>
              <w:jc w:val="left"/>
              <w:rPr>
                <w:rStyle w:val="ECCHLbold"/>
              </w:rPr>
            </w:pPr>
            <w:r w:rsidRPr="00374EF0">
              <w:rPr>
                <w:rStyle w:val="ECCHLbold"/>
              </w:rPr>
              <w:t>TTT</w:t>
            </w:r>
          </w:p>
        </w:tc>
        <w:tc>
          <w:tcPr>
            <w:tcW w:w="7553" w:type="dxa"/>
          </w:tcPr>
          <w:p w14:paraId="60630E93" w14:textId="77777777" w:rsidR="00635DA2" w:rsidRPr="00374EF0" w:rsidRDefault="00635DA2" w:rsidP="008E24B7">
            <w:pPr>
              <w:pStyle w:val="ECCTabletext"/>
              <w:spacing w:before="60"/>
              <w:jc w:val="left"/>
            </w:pPr>
            <w:r w:rsidRPr="00374EF0">
              <w:t>Transport and Traffic Telematics</w:t>
            </w:r>
          </w:p>
        </w:tc>
      </w:tr>
      <w:tr w:rsidR="00635DA2" w:rsidRPr="006D6727" w14:paraId="0DB940AA" w14:textId="77777777" w:rsidTr="008E24B7">
        <w:trPr>
          <w:trHeight w:val="317"/>
        </w:trPr>
        <w:tc>
          <w:tcPr>
            <w:tcW w:w="2076" w:type="dxa"/>
          </w:tcPr>
          <w:p w14:paraId="6715823E" w14:textId="77777777" w:rsidR="00635DA2" w:rsidRDefault="00635DA2" w:rsidP="008E24B7">
            <w:pPr>
              <w:pStyle w:val="ECCTabletext"/>
              <w:spacing w:before="60"/>
              <w:jc w:val="left"/>
              <w:rPr>
                <w:rStyle w:val="ECCHLbold"/>
              </w:rPr>
            </w:pPr>
            <w:r>
              <w:rPr>
                <w:rStyle w:val="ECCHLbold"/>
              </w:rPr>
              <w:t>Tx</w:t>
            </w:r>
          </w:p>
        </w:tc>
        <w:tc>
          <w:tcPr>
            <w:tcW w:w="7553" w:type="dxa"/>
          </w:tcPr>
          <w:p w14:paraId="3F3274D7" w14:textId="77777777" w:rsidR="00635DA2" w:rsidRPr="00374EF0" w:rsidRDefault="00635DA2" w:rsidP="008E24B7">
            <w:pPr>
              <w:pStyle w:val="ECCTabletext"/>
              <w:spacing w:before="60"/>
              <w:jc w:val="left"/>
            </w:pPr>
            <w:r w:rsidRPr="00F30BD7">
              <w:t>Transmitter</w:t>
            </w:r>
          </w:p>
        </w:tc>
      </w:tr>
      <w:tr w:rsidR="00635DA2" w:rsidRPr="006D6727" w14:paraId="73072652" w14:textId="77777777" w:rsidTr="008E24B7">
        <w:trPr>
          <w:trHeight w:val="317"/>
        </w:trPr>
        <w:tc>
          <w:tcPr>
            <w:tcW w:w="2076" w:type="dxa"/>
          </w:tcPr>
          <w:p w14:paraId="16F26418" w14:textId="77777777" w:rsidR="00635DA2" w:rsidRDefault="00635DA2" w:rsidP="008E24B7">
            <w:pPr>
              <w:pStyle w:val="ECCTabletext"/>
              <w:spacing w:before="60"/>
              <w:jc w:val="left"/>
              <w:rPr>
                <w:rStyle w:val="ECCHLbold"/>
              </w:rPr>
            </w:pPr>
            <w:r>
              <w:rPr>
                <w:rStyle w:val="ECCHLbold"/>
              </w:rPr>
              <w:t>USB</w:t>
            </w:r>
          </w:p>
        </w:tc>
        <w:tc>
          <w:tcPr>
            <w:tcW w:w="7553" w:type="dxa"/>
          </w:tcPr>
          <w:p w14:paraId="6BF6B83E" w14:textId="77777777" w:rsidR="00635DA2" w:rsidRPr="00F30BD7" w:rsidRDefault="00635DA2" w:rsidP="008E24B7">
            <w:pPr>
              <w:pStyle w:val="ECCTabletext"/>
              <w:spacing w:before="60"/>
              <w:jc w:val="left"/>
            </w:pPr>
            <w:r w:rsidRPr="007E16BF">
              <w:t>Universal Serial Bus</w:t>
            </w:r>
          </w:p>
        </w:tc>
      </w:tr>
      <w:tr w:rsidR="00635DA2" w:rsidRPr="006D6727" w14:paraId="0C588CCE" w14:textId="77777777" w:rsidTr="008E24B7">
        <w:trPr>
          <w:trHeight w:val="317"/>
        </w:trPr>
        <w:tc>
          <w:tcPr>
            <w:tcW w:w="2076" w:type="dxa"/>
          </w:tcPr>
          <w:p w14:paraId="7456051B" w14:textId="77777777" w:rsidR="00635DA2" w:rsidRDefault="00635DA2" w:rsidP="008E24B7">
            <w:pPr>
              <w:pStyle w:val="ECCTabletext"/>
              <w:spacing w:before="60"/>
              <w:jc w:val="left"/>
              <w:rPr>
                <w:rStyle w:val="ECCHLbold"/>
              </w:rPr>
            </w:pPr>
            <w:r>
              <w:rPr>
                <w:rStyle w:val="ECCHLbold"/>
              </w:rPr>
              <w:t>UWB</w:t>
            </w:r>
          </w:p>
        </w:tc>
        <w:tc>
          <w:tcPr>
            <w:tcW w:w="7553" w:type="dxa"/>
          </w:tcPr>
          <w:p w14:paraId="230EDD9D" w14:textId="77777777" w:rsidR="00635DA2" w:rsidRPr="00374EF0" w:rsidRDefault="00635DA2" w:rsidP="008E24B7">
            <w:pPr>
              <w:pStyle w:val="ECCTabletext"/>
              <w:spacing w:before="60"/>
              <w:jc w:val="left"/>
            </w:pPr>
            <w:r w:rsidRPr="00F30BD7">
              <w:t>Ultra</w:t>
            </w:r>
            <w:r>
              <w:t>-</w:t>
            </w:r>
            <w:r w:rsidRPr="00F30BD7">
              <w:t>Wideband</w:t>
            </w:r>
          </w:p>
        </w:tc>
      </w:tr>
      <w:tr w:rsidR="00635DA2" w:rsidRPr="006D6727" w14:paraId="5C95FE4D" w14:textId="77777777" w:rsidTr="008E24B7">
        <w:trPr>
          <w:trHeight w:val="317"/>
        </w:trPr>
        <w:tc>
          <w:tcPr>
            <w:tcW w:w="2076" w:type="dxa"/>
          </w:tcPr>
          <w:p w14:paraId="3C1E7A3A" w14:textId="77777777" w:rsidR="00635DA2" w:rsidRDefault="00635DA2" w:rsidP="008E24B7">
            <w:pPr>
              <w:pStyle w:val="ECCTabletext"/>
              <w:spacing w:before="60"/>
              <w:jc w:val="left"/>
              <w:rPr>
                <w:rStyle w:val="ECCHLbold"/>
              </w:rPr>
            </w:pPr>
            <w:r>
              <w:rPr>
                <w:rStyle w:val="ECCHLbold"/>
              </w:rPr>
              <w:t>VBW</w:t>
            </w:r>
          </w:p>
        </w:tc>
        <w:tc>
          <w:tcPr>
            <w:tcW w:w="7553" w:type="dxa"/>
          </w:tcPr>
          <w:p w14:paraId="7843D02B" w14:textId="77777777" w:rsidR="00635DA2" w:rsidRPr="00F30BD7" w:rsidRDefault="00635DA2" w:rsidP="008E24B7">
            <w:pPr>
              <w:pStyle w:val="ECCTabletext"/>
              <w:spacing w:before="60"/>
              <w:jc w:val="left"/>
            </w:pPr>
            <w:r>
              <w:t>Video Bandwidth</w:t>
            </w:r>
          </w:p>
        </w:tc>
      </w:tr>
      <w:tr w:rsidR="00635DA2" w:rsidRPr="006D6727" w14:paraId="206E6332" w14:textId="77777777" w:rsidTr="008E24B7">
        <w:trPr>
          <w:trHeight w:val="317"/>
        </w:trPr>
        <w:tc>
          <w:tcPr>
            <w:tcW w:w="2076" w:type="dxa"/>
          </w:tcPr>
          <w:p w14:paraId="0149B368" w14:textId="77777777" w:rsidR="00635DA2" w:rsidRDefault="00635DA2" w:rsidP="008E24B7">
            <w:pPr>
              <w:pStyle w:val="ECCTabletext"/>
              <w:spacing w:before="60"/>
              <w:jc w:val="left"/>
              <w:rPr>
                <w:rStyle w:val="ECCHLbold"/>
              </w:rPr>
            </w:pPr>
            <w:r>
              <w:rPr>
                <w:rStyle w:val="ECCHLbold"/>
              </w:rPr>
              <w:t>VCO</w:t>
            </w:r>
          </w:p>
        </w:tc>
        <w:tc>
          <w:tcPr>
            <w:tcW w:w="7553" w:type="dxa"/>
          </w:tcPr>
          <w:p w14:paraId="037451AF" w14:textId="77777777" w:rsidR="00635DA2" w:rsidRPr="00374EF0" w:rsidRDefault="00635DA2" w:rsidP="008E24B7">
            <w:pPr>
              <w:pStyle w:val="ECCTabletext"/>
              <w:spacing w:before="60"/>
              <w:jc w:val="left"/>
            </w:pPr>
            <w:r w:rsidRPr="00F30BD7">
              <w:t>Voltage Controlled Oscillator</w:t>
            </w:r>
          </w:p>
        </w:tc>
      </w:tr>
      <w:tr w:rsidR="00635DA2" w:rsidRPr="006D6727" w14:paraId="2E17EC41" w14:textId="77777777" w:rsidTr="008E24B7">
        <w:trPr>
          <w:trHeight w:val="317"/>
        </w:trPr>
        <w:tc>
          <w:tcPr>
            <w:tcW w:w="2076" w:type="dxa"/>
          </w:tcPr>
          <w:p w14:paraId="45E0321D" w14:textId="77777777" w:rsidR="00635DA2" w:rsidRDefault="00635DA2" w:rsidP="008E24B7">
            <w:pPr>
              <w:pStyle w:val="ECCTabletext"/>
              <w:spacing w:before="60"/>
              <w:jc w:val="left"/>
              <w:rPr>
                <w:rStyle w:val="ECCHLbold"/>
              </w:rPr>
            </w:pPr>
            <w:r>
              <w:rPr>
                <w:rStyle w:val="ECCHLbold"/>
              </w:rPr>
              <w:t>VLBI</w:t>
            </w:r>
          </w:p>
        </w:tc>
        <w:tc>
          <w:tcPr>
            <w:tcW w:w="7553" w:type="dxa"/>
          </w:tcPr>
          <w:p w14:paraId="44EF5EE2" w14:textId="77777777" w:rsidR="00635DA2" w:rsidRPr="00F30BD7" w:rsidRDefault="00635DA2" w:rsidP="008E24B7">
            <w:pPr>
              <w:pStyle w:val="ECCTabletext"/>
              <w:spacing w:before="60"/>
              <w:jc w:val="left"/>
            </w:pPr>
            <w:r w:rsidRPr="00F30BD7">
              <w:t>Very-Long Baseline Interferometry</w:t>
            </w:r>
          </w:p>
        </w:tc>
      </w:tr>
      <w:tr w:rsidR="00635DA2" w:rsidRPr="006D6727" w14:paraId="119BB00A" w14:textId="77777777" w:rsidTr="008E24B7">
        <w:trPr>
          <w:trHeight w:val="317"/>
        </w:trPr>
        <w:tc>
          <w:tcPr>
            <w:tcW w:w="2076" w:type="dxa"/>
          </w:tcPr>
          <w:p w14:paraId="66CF3F85" w14:textId="77777777" w:rsidR="00635DA2" w:rsidRPr="00374EF0" w:rsidRDefault="00635DA2" w:rsidP="008E24B7">
            <w:pPr>
              <w:pStyle w:val="ECCTabletext"/>
              <w:spacing w:before="60"/>
              <w:jc w:val="left"/>
              <w:rPr>
                <w:rStyle w:val="ECCHLbold"/>
              </w:rPr>
            </w:pPr>
            <w:r>
              <w:rPr>
                <w:rStyle w:val="ECCHLbold"/>
              </w:rPr>
              <w:t>WG FM</w:t>
            </w:r>
          </w:p>
        </w:tc>
        <w:tc>
          <w:tcPr>
            <w:tcW w:w="7553" w:type="dxa"/>
          </w:tcPr>
          <w:p w14:paraId="37C4BD37" w14:textId="230ABC4E" w:rsidR="00635DA2" w:rsidRPr="00374EF0" w:rsidRDefault="00B24923" w:rsidP="008E24B7">
            <w:pPr>
              <w:pStyle w:val="ECCTabletext"/>
              <w:spacing w:before="60"/>
            </w:pPr>
            <w:r w:rsidRPr="00B24923">
              <w:t>Working Group Frequency Management</w:t>
            </w:r>
          </w:p>
        </w:tc>
      </w:tr>
      <w:tr w:rsidR="00635DA2" w:rsidRPr="006D6727" w14:paraId="3F2BE248" w14:textId="77777777" w:rsidTr="008E24B7">
        <w:trPr>
          <w:trHeight w:val="317"/>
        </w:trPr>
        <w:tc>
          <w:tcPr>
            <w:tcW w:w="2076" w:type="dxa"/>
          </w:tcPr>
          <w:p w14:paraId="1CBD26EF" w14:textId="77777777" w:rsidR="00635DA2" w:rsidRPr="00374EF0" w:rsidRDefault="00635DA2" w:rsidP="008E24B7">
            <w:pPr>
              <w:pStyle w:val="ECCTabletext"/>
              <w:spacing w:before="60"/>
              <w:jc w:val="left"/>
              <w:rPr>
                <w:rStyle w:val="ECCHLbold"/>
              </w:rPr>
            </w:pPr>
            <w:r>
              <w:rPr>
                <w:rStyle w:val="ECCHLbold"/>
              </w:rPr>
              <w:t>WG SE</w:t>
            </w:r>
          </w:p>
        </w:tc>
        <w:tc>
          <w:tcPr>
            <w:tcW w:w="7553" w:type="dxa"/>
          </w:tcPr>
          <w:p w14:paraId="1F8B5440" w14:textId="77777777" w:rsidR="00635DA2" w:rsidRPr="00374EF0" w:rsidRDefault="00635DA2" w:rsidP="008E24B7">
            <w:pPr>
              <w:pStyle w:val="ECCTabletext"/>
              <w:spacing w:before="60"/>
              <w:jc w:val="left"/>
            </w:pPr>
            <w:r w:rsidRPr="00F30BD7">
              <w:t>Working Group Spectrum Engineering</w:t>
            </w:r>
          </w:p>
        </w:tc>
      </w:tr>
      <w:tr w:rsidR="00635DA2" w:rsidRPr="006D6727" w14:paraId="43A55A28" w14:textId="77777777" w:rsidTr="008E24B7">
        <w:trPr>
          <w:trHeight w:val="317"/>
        </w:trPr>
        <w:tc>
          <w:tcPr>
            <w:tcW w:w="2076" w:type="dxa"/>
          </w:tcPr>
          <w:p w14:paraId="1194C57E" w14:textId="77777777" w:rsidR="00635DA2" w:rsidRPr="00374EF0" w:rsidRDefault="00635DA2" w:rsidP="008E24B7">
            <w:pPr>
              <w:pStyle w:val="ECCTabletext"/>
              <w:spacing w:before="60"/>
              <w:jc w:val="left"/>
              <w:rPr>
                <w:rStyle w:val="ECCHLbold"/>
              </w:rPr>
            </w:pPr>
            <w:r>
              <w:rPr>
                <w:rStyle w:val="ECCHLbold"/>
              </w:rPr>
              <w:t>WP-3M</w:t>
            </w:r>
          </w:p>
        </w:tc>
        <w:tc>
          <w:tcPr>
            <w:tcW w:w="7553" w:type="dxa"/>
          </w:tcPr>
          <w:p w14:paraId="13692461" w14:textId="77777777" w:rsidR="00635DA2" w:rsidRPr="00374EF0" w:rsidRDefault="00635DA2" w:rsidP="008E24B7">
            <w:pPr>
              <w:pStyle w:val="ECCTabletext"/>
              <w:spacing w:before="60"/>
              <w:jc w:val="left"/>
            </w:pPr>
            <w:r w:rsidRPr="00F30BD7">
              <w:t xml:space="preserve">Working Party </w:t>
            </w:r>
            <w:r>
              <w:t xml:space="preserve">3M </w:t>
            </w:r>
            <w:r w:rsidRPr="00F30BD7">
              <w:t>of ITU</w:t>
            </w:r>
          </w:p>
        </w:tc>
      </w:tr>
      <w:tr w:rsidR="00635DA2" w:rsidRPr="006D6727" w14:paraId="09DB40BA" w14:textId="77777777" w:rsidTr="008E24B7">
        <w:trPr>
          <w:trHeight w:val="317"/>
        </w:trPr>
        <w:tc>
          <w:tcPr>
            <w:tcW w:w="2076" w:type="dxa"/>
          </w:tcPr>
          <w:p w14:paraId="39807DDC" w14:textId="77777777" w:rsidR="00635DA2" w:rsidRPr="00374EF0" w:rsidRDefault="00635DA2" w:rsidP="008E24B7">
            <w:pPr>
              <w:pStyle w:val="ECCTabletext"/>
              <w:spacing w:before="60"/>
              <w:jc w:val="left"/>
              <w:rPr>
                <w:rStyle w:val="ECCHLbold"/>
              </w:rPr>
            </w:pPr>
            <w:r>
              <w:rPr>
                <w:rStyle w:val="ECCHLbold"/>
              </w:rPr>
              <w:t>WRC</w:t>
            </w:r>
          </w:p>
        </w:tc>
        <w:tc>
          <w:tcPr>
            <w:tcW w:w="7553" w:type="dxa"/>
          </w:tcPr>
          <w:p w14:paraId="116925C9" w14:textId="77777777" w:rsidR="00635DA2" w:rsidRPr="00374EF0" w:rsidRDefault="00635DA2" w:rsidP="008E24B7">
            <w:pPr>
              <w:pStyle w:val="ECCTabletext"/>
              <w:spacing w:before="60"/>
              <w:jc w:val="left"/>
            </w:pPr>
            <w:r w:rsidRPr="00F30BD7">
              <w:t>World Radiocommunication Conference</w:t>
            </w:r>
          </w:p>
        </w:tc>
      </w:tr>
      <w:tr w:rsidR="00635DA2" w:rsidRPr="006D6727" w14:paraId="6FD62D93" w14:textId="77777777" w:rsidTr="008E24B7">
        <w:trPr>
          <w:trHeight w:val="317"/>
        </w:trPr>
        <w:tc>
          <w:tcPr>
            <w:tcW w:w="2076" w:type="dxa"/>
          </w:tcPr>
          <w:p w14:paraId="3B4ED598" w14:textId="77777777" w:rsidR="00635DA2" w:rsidRPr="00374EF0" w:rsidRDefault="00635DA2" w:rsidP="008E24B7">
            <w:pPr>
              <w:pStyle w:val="ECCTabletext"/>
              <w:spacing w:before="60"/>
              <w:jc w:val="left"/>
              <w:rPr>
                <w:rStyle w:val="ECCHLbold"/>
              </w:rPr>
            </w:pPr>
            <w:r>
              <w:rPr>
                <w:rStyle w:val="ECCHLbold"/>
              </w:rPr>
              <w:t>WR-n</w:t>
            </w:r>
          </w:p>
        </w:tc>
        <w:tc>
          <w:tcPr>
            <w:tcW w:w="7553" w:type="dxa"/>
          </w:tcPr>
          <w:p w14:paraId="5A6500A2" w14:textId="77777777" w:rsidR="00635DA2" w:rsidRPr="00374EF0" w:rsidRDefault="00635DA2" w:rsidP="008E24B7">
            <w:pPr>
              <w:pStyle w:val="ECCTabletext"/>
              <w:spacing w:before="60"/>
              <w:jc w:val="left"/>
            </w:pPr>
            <w:r w:rsidRPr="00F30BD7">
              <w:t>Hollow Waveguide Classification</w:t>
            </w:r>
          </w:p>
        </w:tc>
      </w:tr>
    </w:tbl>
    <w:p w14:paraId="069F61BB" w14:textId="77777777" w:rsidR="00797D4C" w:rsidRPr="006D6727" w:rsidRDefault="00446E4C" w:rsidP="009465E0">
      <w:pPr>
        <w:pStyle w:val="Heading1"/>
        <w:rPr>
          <w:noProof/>
          <w:lang w:val="en-GB"/>
        </w:rPr>
      </w:pPr>
      <w:bookmarkStart w:id="55" w:name="_Toc380056497"/>
      <w:bookmarkStart w:id="56" w:name="_Toc380059748"/>
      <w:bookmarkStart w:id="57" w:name="_Toc380059785"/>
      <w:bookmarkStart w:id="58" w:name="_Toc396153636"/>
      <w:bookmarkStart w:id="59" w:name="_Toc396383863"/>
      <w:bookmarkStart w:id="60" w:name="_Toc396917296"/>
      <w:bookmarkStart w:id="61" w:name="_Toc396917345"/>
      <w:bookmarkStart w:id="62" w:name="_Toc396917407"/>
      <w:bookmarkStart w:id="63" w:name="_Toc396917460"/>
      <w:bookmarkStart w:id="64" w:name="_Toc396917627"/>
      <w:bookmarkStart w:id="65" w:name="_Toc396917642"/>
      <w:bookmarkStart w:id="66" w:name="_Toc396917747"/>
      <w:bookmarkStart w:id="67" w:name="_Toc84325238"/>
      <w:bookmarkStart w:id="68" w:name="_Toc127346222"/>
      <w:r w:rsidRPr="006D6727">
        <w:rPr>
          <w:rStyle w:val="ECCParagraph"/>
          <w:noProof/>
        </w:rPr>
        <w:t>I</w:t>
      </w:r>
      <w:r w:rsidR="00797D4C" w:rsidRPr="006D6727">
        <w:rPr>
          <w:rStyle w:val="ECCParagraph"/>
          <w:noProof/>
        </w:rPr>
        <w:t>ntroduction</w:t>
      </w:r>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2B750A31" w14:textId="15D201B4" w:rsidR="005C4465" w:rsidRDefault="00AC2565" w:rsidP="00AC2565">
      <w:r w:rsidRPr="006D6727">
        <w:rPr>
          <w:noProof/>
        </w:rPr>
        <w:t xml:space="preserve">This </w:t>
      </w:r>
      <w:r w:rsidR="008C119E">
        <w:t>R</w:t>
      </w:r>
      <w:r w:rsidRPr="006D6727">
        <w:rPr>
          <w:noProof/>
        </w:rPr>
        <w:t xml:space="preserve">eport </w:t>
      </w:r>
      <w:r w:rsidR="00C63DF4" w:rsidRPr="006D6727">
        <w:rPr>
          <w:noProof/>
        </w:rPr>
        <w:t>has</w:t>
      </w:r>
      <w:r w:rsidRPr="006D6727">
        <w:rPr>
          <w:noProof/>
        </w:rPr>
        <w:t xml:space="preserve"> been prepared </w:t>
      </w:r>
      <w:r w:rsidR="0077098A" w:rsidRPr="006D6727">
        <w:rPr>
          <w:noProof/>
        </w:rPr>
        <w:t xml:space="preserve">based on the information given in </w:t>
      </w:r>
      <w:r w:rsidR="00600688">
        <w:t xml:space="preserve">ETSI </w:t>
      </w:r>
      <w:r w:rsidRPr="006D6727">
        <w:rPr>
          <w:noProof/>
        </w:rPr>
        <w:t xml:space="preserve">TR 103 498 </w:t>
      </w:r>
      <w:r w:rsidRPr="006D6727">
        <w:rPr>
          <w:noProof/>
        </w:rPr>
        <w:fldChar w:fldCharType="begin"/>
      </w:r>
      <w:r w:rsidRPr="006D6727">
        <w:rPr>
          <w:noProof/>
        </w:rPr>
        <w:instrText xml:space="preserve"> REF ETSITR103498 \w \h </w:instrText>
      </w:r>
      <w:r w:rsidRPr="006D6727">
        <w:rPr>
          <w:noProof/>
        </w:rPr>
      </w:r>
      <w:r w:rsidRPr="006D6727">
        <w:rPr>
          <w:noProof/>
        </w:rPr>
        <w:fldChar w:fldCharType="separate"/>
      </w:r>
      <w:r w:rsidR="004F49F9">
        <w:rPr>
          <w:noProof/>
        </w:rPr>
        <w:t>[1]</w:t>
      </w:r>
      <w:r w:rsidRPr="006D6727">
        <w:rPr>
          <w:noProof/>
        </w:rPr>
        <w:fldChar w:fldCharType="end"/>
      </w:r>
      <w:r w:rsidRPr="006D6727">
        <w:rPr>
          <w:noProof/>
        </w:rPr>
        <w:t>, to consider possibilities for designating radio frequency spectrum in the frequency range from 1</w:t>
      </w:r>
      <w:r w:rsidR="005C4465">
        <w:t>16 </w:t>
      </w:r>
      <w:r w:rsidRPr="006D6727">
        <w:rPr>
          <w:noProof/>
        </w:rPr>
        <w:t xml:space="preserve">GHz to 260 GHz to allow operation of next generation </w:t>
      </w:r>
      <w:r w:rsidR="005C4465">
        <w:t>r</w:t>
      </w:r>
      <w:r w:rsidRPr="006D6727">
        <w:rPr>
          <w:noProof/>
        </w:rPr>
        <w:t xml:space="preserve">adiodetermination applications. Such applications comprise </w:t>
      </w:r>
      <w:r w:rsidR="005C4465">
        <w:t>novel sensors for</w:t>
      </w:r>
      <w:r w:rsidR="003360BC">
        <w:t>:</w:t>
      </w:r>
    </w:p>
    <w:p w14:paraId="4414C9AD" w14:textId="231B3B3C" w:rsidR="005C4465" w:rsidRDefault="005C4465" w:rsidP="00300D3F">
      <w:pPr>
        <w:pStyle w:val="ECCBulletsLv1"/>
        <w:spacing w:after="60"/>
      </w:pPr>
      <w:r>
        <w:t>generic indoor surveillance tasks</w:t>
      </w:r>
      <w:r w:rsidR="00191D39">
        <w:t>;</w:t>
      </w:r>
    </w:p>
    <w:p w14:paraId="6C89BD73" w14:textId="1888AEF4" w:rsidR="00AC2565" w:rsidRDefault="005C4465" w:rsidP="00300D3F">
      <w:pPr>
        <w:pStyle w:val="ECCBulletsLv1"/>
        <w:spacing w:after="60"/>
        <w:rPr>
          <w:noProof/>
        </w:rPr>
      </w:pPr>
      <w:r>
        <w:t>industrial automation purposes</w:t>
      </w:r>
      <w:r w:rsidR="00CF3436">
        <w:t xml:space="preserve"> (RDI)</w:t>
      </w:r>
      <w:r w:rsidR="00191D39">
        <w:t>;</w:t>
      </w:r>
    </w:p>
    <w:p w14:paraId="7B35C92E" w14:textId="66BC4270" w:rsidR="005C4465" w:rsidRDefault="005C4465" w:rsidP="00300D3F">
      <w:pPr>
        <w:pStyle w:val="ECCBulletsLv1"/>
        <w:spacing w:after="60"/>
        <w:rPr>
          <w:noProof/>
        </w:rPr>
      </w:pPr>
      <w:r>
        <w:t xml:space="preserve">vehicle applications for short-range assist and in-vehicle </w:t>
      </w:r>
      <w:r w:rsidR="00600688">
        <w:t>surveillance</w:t>
      </w:r>
      <w:r w:rsidR="00191D39">
        <w:t>;</w:t>
      </w:r>
    </w:p>
    <w:p w14:paraId="5973D2D6" w14:textId="5F4DB421" w:rsidR="00600688" w:rsidRDefault="00600688" w:rsidP="00300D3F">
      <w:pPr>
        <w:pStyle w:val="ECCBulletsLv1"/>
        <w:spacing w:after="60"/>
        <w:rPr>
          <w:noProof/>
        </w:rPr>
      </w:pPr>
      <w:r>
        <w:t xml:space="preserve">ground based synthetic aperture radar </w:t>
      </w:r>
      <w:r w:rsidR="003360BC">
        <w:t>featuring</w:t>
      </w:r>
      <w:r>
        <w:t xml:space="preserve"> structural health and stability monitoring</w:t>
      </w:r>
      <w:r w:rsidR="00CF3436">
        <w:t xml:space="preserve"> (GBSAR)</w:t>
      </w:r>
      <w:r w:rsidR="00191D39">
        <w:t>;</w:t>
      </w:r>
    </w:p>
    <w:p w14:paraId="4B6C2F96" w14:textId="43042FFA" w:rsidR="00600688" w:rsidRDefault="00600688" w:rsidP="00300D3F">
      <w:pPr>
        <w:pStyle w:val="ECCBulletsLv1"/>
        <w:spacing w:after="60"/>
        <w:rPr>
          <w:noProof/>
        </w:rPr>
      </w:pPr>
      <w:r>
        <w:t>level probing and tank level probing measuring tasks</w:t>
      </w:r>
      <w:r w:rsidR="00CF3436">
        <w:t xml:space="preserve"> (LPR and TLPR)</w:t>
      </w:r>
      <w:r w:rsidR="00191D39">
        <w:t>;</w:t>
      </w:r>
    </w:p>
    <w:p w14:paraId="106A7126" w14:textId="3B26721C" w:rsidR="00600688" w:rsidRDefault="00600688" w:rsidP="00300D3F">
      <w:pPr>
        <w:pStyle w:val="ECCBulletsLv1"/>
        <w:spacing w:after="60"/>
        <w:rPr>
          <w:noProof/>
        </w:rPr>
      </w:pPr>
      <w:r>
        <w:t xml:space="preserve">contour detection </w:t>
      </w:r>
      <w:r w:rsidR="003360BC">
        <w:t>and</w:t>
      </w:r>
      <w:r>
        <w:t xml:space="preserve"> volumetric measurements </w:t>
      </w:r>
      <w:r w:rsidR="00CF3436">
        <w:t>(CDR)</w:t>
      </w:r>
      <w:r w:rsidR="00191D39">
        <w:t>;</w:t>
      </w:r>
    </w:p>
    <w:p w14:paraId="5E83889C" w14:textId="77777777" w:rsidR="00600688" w:rsidRDefault="00600688" w:rsidP="00300D3F">
      <w:pPr>
        <w:pStyle w:val="ECCBulletsLv1"/>
        <w:spacing w:after="60"/>
        <w:rPr>
          <w:noProof/>
        </w:rPr>
      </w:pPr>
      <w:r>
        <w:t>high-precision measurements in shielded industrial environments</w:t>
      </w:r>
      <w:r w:rsidR="00CF3436">
        <w:t xml:space="preserve"> (RDI-S)</w:t>
      </w:r>
      <w:r>
        <w:t xml:space="preserve"> e.g. for plastic pipe thickness determination</w:t>
      </w:r>
      <w:r w:rsidR="00BE5FEA">
        <w:t xml:space="preserve"> and quality inspection</w:t>
      </w:r>
      <w:r>
        <w:t>.</w:t>
      </w:r>
    </w:p>
    <w:p w14:paraId="771C9F49" w14:textId="4CF46B25" w:rsidR="00BE5FEA" w:rsidRDefault="00BE5FEA" w:rsidP="00BE5FEA">
      <w:r w:rsidRPr="00D731A1">
        <w:t xml:space="preserve">With </w:t>
      </w:r>
      <w:r w:rsidR="001B3CCA">
        <w:t xml:space="preserve">the increasing digitisation of industrial production processes </w:t>
      </w:r>
      <w:r w:rsidRPr="00D731A1">
        <w:t>a</w:t>
      </w:r>
      <w:r>
        <w:t xml:space="preserve">n </w:t>
      </w:r>
      <w:r w:rsidRPr="00D731A1">
        <w:t xml:space="preserve">increase of </w:t>
      </w:r>
      <w:r>
        <w:t xml:space="preserve">especially industrial </w:t>
      </w:r>
      <w:r w:rsidRPr="00D731A1">
        <w:t>automation requirements is expected. More and more individuali</w:t>
      </w:r>
      <w:r>
        <w:t>s</w:t>
      </w:r>
      <w:r w:rsidRPr="00D731A1">
        <w:t xml:space="preserve">ed products </w:t>
      </w:r>
      <w:r>
        <w:t xml:space="preserve">are expected of being </w:t>
      </w:r>
      <w:r w:rsidRPr="00D731A1">
        <w:t>fabricated in high</w:t>
      </w:r>
      <w:r>
        <w:t>ly</w:t>
      </w:r>
      <w:r w:rsidRPr="00D731A1">
        <w:t xml:space="preserve"> </w:t>
      </w:r>
      <w:r w:rsidR="00766875">
        <w:t>o</w:t>
      </w:r>
      <w:r w:rsidR="003360BC">
        <w:t>r</w:t>
      </w:r>
      <w:r w:rsidR="00766875">
        <w:t xml:space="preserve"> fully </w:t>
      </w:r>
      <w:r w:rsidRPr="00D731A1">
        <w:t>automated lines which contain lots of compact and flexible production units. These units will contain sensors for both</w:t>
      </w:r>
      <w:r>
        <w:t>, supporting</w:t>
      </w:r>
      <w:r w:rsidRPr="00D731A1">
        <w:t xml:space="preserve"> the production process</w:t>
      </w:r>
      <w:r>
        <w:t xml:space="preserve"> itself</w:t>
      </w:r>
      <w:r w:rsidRPr="00D731A1">
        <w:t xml:space="preserve"> and </w:t>
      </w:r>
      <w:r>
        <w:t xml:space="preserve">supporting </w:t>
      </w:r>
      <w:r w:rsidRPr="00D731A1">
        <w:t>reconfiguration and change</w:t>
      </w:r>
      <w:r>
        <w:t>.</w:t>
      </w:r>
    </w:p>
    <w:p w14:paraId="2017B2D3" w14:textId="77777777" w:rsidR="00587453" w:rsidRDefault="00766875" w:rsidP="00BE5FEA">
      <w:r>
        <w:t xml:space="preserve">Thickness measurements </w:t>
      </w:r>
      <w:r w:rsidR="00587453">
        <w:t xml:space="preserve">in the recently fast-growing field of </w:t>
      </w:r>
      <w:r w:rsidR="00587453" w:rsidRPr="00587453">
        <w:t>extru</w:t>
      </w:r>
      <w:r w:rsidR="00587453">
        <w:t>ded</w:t>
      </w:r>
      <w:r w:rsidR="00587453" w:rsidRPr="00587453">
        <w:t xml:space="preserve"> </w:t>
      </w:r>
      <w:r w:rsidR="00587453">
        <w:t xml:space="preserve">plastic pipes </w:t>
      </w:r>
      <w:r>
        <w:t>and quality inspection</w:t>
      </w:r>
      <w:r w:rsidR="00587453">
        <w:t xml:space="preserve"> like roughness determination of surfaces </w:t>
      </w:r>
      <w:r w:rsidR="00587453" w:rsidRPr="00587453">
        <w:rPr>
          <w:rStyle w:val="ECCParagraph"/>
        </w:rPr>
        <w:t xml:space="preserve">highly benefit from covering a wide </w:t>
      </w:r>
      <w:r w:rsidR="00587453">
        <w:rPr>
          <w:rStyle w:val="ECCParagraph"/>
        </w:rPr>
        <w:t xml:space="preserve">modulation </w:t>
      </w:r>
      <w:r w:rsidR="00587453" w:rsidRPr="00587453">
        <w:rPr>
          <w:rStyle w:val="ECCParagraph"/>
        </w:rPr>
        <w:t>bandwidth to achieve a</w:t>
      </w:r>
      <w:r w:rsidR="002A708B">
        <w:rPr>
          <w:rStyle w:val="ECCParagraph"/>
        </w:rPr>
        <w:t>n</w:t>
      </w:r>
      <w:r w:rsidR="00587453" w:rsidRPr="00587453">
        <w:rPr>
          <w:rStyle w:val="ECCParagraph"/>
        </w:rPr>
        <w:t xml:space="preserve"> </w:t>
      </w:r>
      <w:r w:rsidR="00587453">
        <w:rPr>
          <w:rStyle w:val="ECCParagraph"/>
        </w:rPr>
        <w:t>excellent</w:t>
      </w:r>
      <w:r w:rsidR="00587453" w:rsidRPr="00587453">
        <w:rPr>
          <w:rStyle w:val="ECCParagraph"/>
        </w:rPr>
        <w:t xml:space="preserve"> range resolution and high measurement precision.</w:t>
      </w:r>
    </w:p>
    <w:p w14:paraId="48341381" w14:textId="77777777" w:rsidR="00801241" w:rsidRPr="00D731A1" w:rsidRDefault="002A708B" w:rsidP="00801241">
      <w:r>
        <w:t>All the</w:t>
      </w:r>
      <w:r w:rsidR="00801241" w:rsidRPr="00D731A1">
        <w:t xml:space="preserve"> sensor systems for industrial </w:t>
      </w:r>
      <w:r w:rsidR="00801241">
        <w:t>purposes</w:t>
      </w:r>
      <w:r w:rsidR="00801241" w:rsidRPr="00D731A1">
        <w:t xml:space="preserve"> </w:t>
      </w:r>
      <w:r>
        <w:t xml:space="preserve">have in common that they </w:t>
      </w:r>
      <w:r w:rsidR="00801241" w:rsidRPr="00D731A1">
        <w:t>need to be small</w:t>
      </w:r>
      <w:r w:rsidR="00801241">
        <w:t>,</w:t>
      </w:r>
      <w:r w:rsidR="00801241" w:rsidRPr="00D731A1">
        <w:t xml:space="preserve"> to be easily mounted </w:t>
      </w:r>
      <w:r>
        <w:t>in all kinds of applications, easily operable and they have to reliably function in</w:t>
      </w:r>
      <w:r w:rsidR="00801241" w:rsidRPr="00D731A1">
        <w:t xml:space="preserve"> </w:t>
      </w:r>
      <w:r w:rsidRPr="00587453">
        <w:t xml:space="preserve">harsh </w:t>
      </w:r>
      <w:r>
        <w:t xml:space="preserve">and adverse </w:t>
      </w:r>
      <w:r w:rsidRPr="00587453">
        <w:t>production environments with an outstanding measurement accuracy</w:t>
      </w:r>
      <w:r>
        <w:t xml:space="preserve">. </w:t>
      </w:r>
      <w:r w:rsidR="00801241" w:rsidRPr="00D731A1">
        <w:t xml:space="preserve">They further should be equipped with small or even already chip-integrated antennas. </w:t>
      </w:r>
      <w:r>
        <w:t xml:space="preserve">The </w:t>
      </w:r>
      <w:r w:rsidR="003360BC">
        <w:t>capability</w:t>
      </w:r>
      <w:r>
        <w:t xml:space="preserve"> of fulfilling the individual measuring task with very low transmit power </w:t>
      </w:r>
      <w:r w:rsidR="00577476">
        <w:t>goes along with the requirement of supporting s</w:t>
      </w:r>
      <w:r w:rsidR="00801241" w:rsidRPr="00D731A1">
        <w:t>hort response times which enable the detection and tracking of fast movements within the observation area</w:t>
      </w:r>
      <w:r w:rsidR="00577476">
        <w:t>.</w:t>
      </w:r>
    </w:p>
    <w:p w14:paraId="10DD2750" w14:textId="77777777" w:rsidR="00801241" w:rsidRDefault="00766875" w:rsidP="00BE5FEA">
      <w:r>
        <w:t>F</w:t>
      </w:r>
      <w:r w:rsidRPr="00766875">
        <w:t xml:space="preserve">uture applications providing </w:t>
      </w:r>
      <w:r w:rsidR="00DE09B8">
        <w:t>vehicles</w:t>
      </w:r>
      <w:r w:rsidRPr="00766875">
        <w:t xml:space="preserve"> with higher degree of autonomy </w:t>
      </w:r>
      <w:r>
        <w:t xml:space="preserve">towards </w:t>
      </w:r>
      <w:r w:rsidR="00801241">
        <w:t xml:space="preserve">highly (level 4) or even </w:t>
      </w:r>
      <w:r>
        <w:t>ful</w:t>
      </w:r>
      <w:r w:rsidR="00801241">
        <w:t>ly</w:t>
      </w:r>
      <w:r>
        <w:t xml:space="preserve"> autonomous driving</w:t>
      </w:r>
      <w:r w:rsidR="00801241">
        <w:t xml:space="preserve"> (level 5)</w:t>
      </w:r>
      <w:r>
        <w:t xml:space="preserve"> </w:t>
      </w:r>
      <w:r w:rsidRPr="00766875">
        <w:t xml:space="preserve">require </w:t>
      </w:r>
      <w:r>
        <w:t>short</w:t>
      </w:r>
      <w:r w:rsidR="00B66621">
        <w:t>-</w:t>
      </w:r>
      <w:r>
        <w:t xml:space="preserve"> and </w:t>
      </w:r>
      <w:r w:rsidRPr="00766875">
        <w:t xml:space="preserve">ultra-short-range radars for </w:t>
      </w:r>
      <w:r>
        <w:t xml:space="preserve">front, </w:t>
      </w:r>
      <w:r w:rsidRPr="00766875">
        <w:t>side</w:t>
      </w:r>
      <w:r>
        <w:t xml:space="preserve"> and rear</w:t>
      </w:r>
      <w:r w:rsidRPr="00766875">
        <w:t xml:space="preserve">-view </w:t>
      </w:r>
      <w:r>
        <w:t>such that 360°</w:t>
      </w:r>
      <w:r w:rsidR="00801241">
        <w:t>-</w:t>
      </w:r>
      <w:r>
        <w:t xml:space="preserve">sensing </w:t>
      </w:r>
      <w:r w:rsidR="00801241">
        <w:t xml:space="preserve">for ambient traffic monitoring </w:t>
      </w:r>
      <w:r>
        <w:t>is enabled</w:t>
      </w:r>
      <w:r w:rsidRPr="00766875">
        <w:t>.</w:t>
      </w:r>
      <w:r w:rsidR="00801241">
        <w:t xml:space="preserve"> </w:t>
      </w:r>
      <w:r>
        <w:t>Those</w:t>
      </w:r>
      <w:r w:rsidRPr="00766875">
        <w:t xml:space="preserve"> radars would allow to obtain a wide field of view (</w:t>
      </w:r>
      <w:r w:rsidR="00801241">
        <w:t xml:space="preserve">in </w:t>
      </w:r>
      <w:r w:rsidRPr="00766875">
        <w:t xml:space="preserve">elevation and azimuth) in close proximity of the vehicle </w:t>
      </w:r>
      <w:r w:rsidR="00801241">
        <w:t>which is</w:t>
      </w:r>
      <w:r w:rsidRPr="00766875">
        <w:t xml:space="preserve"> </w:t>
      </w:r>
      <w:r w:rsidR="00801241">
        <w:t xml:space="preserve">mandatory for enabling </w:t>
      </w:r>
      <w:r w:rsidRPr="00766875">
        <w:t xml:space="preserve">features like </w:t>
      </w:r>
      <w:r w:rsidR="00801241">
        <w:t>autonomous manoeuvring, parking and collision avoidance</w:t>
      </w:r>
      <w:r w:rsidRPr="00766875">
        <w:t>.</w:t>
      </w:r>
    </w:p>
    <w:p w14:paraId="0F39EDAD" w14:textId="77777777" w:rsidR="00E945F4" w:rsidRDefault="00DE09B8" w:rsidP="00BE5FEA">
      <w:r>
        <w:t xml:space="preserve">But not only the surroundings of a car </w:t>
      </w:r>
      <w:r w:rsidR="00E945F4">
        <w:t xml:space="preserve">will be </w:t>
      </w:r>
      <w:r>
        <w:t xml:space="preserve">subject to </w:t>
      </w:r>
      <w:r w:rsidR="00E945F4">
        <w:t>intensive observation through different kinds of sensors in future,</w:t>
      </w:r>
      <w:r>
        <w:t xml:space="preserve"> </w:t>
      </w:r>
      <w:r w:rsidR="00E945F4">
        <w:t>a</w:t>
      </w:r>
      <w:r>
        <w:t>lso</w:t>
      </w:r>
      <w:r w:rsidR="00E945F4">
        <w:t xml:space="preserve"> indoor radar applications will play a</w:t>
      </w:r>
      <w:r w:rsidR="005B6223">
        <w:t xml:space="preserve">n important </w:t>
      </w:r>
      <w:r w:rsidR="00E945F4">
        <w:t xml:space="preserve">role in the </w:t>
      </w:r>
      <w:r w:rsidR="005B6223">
        <w:t>home automation market, for intrusion detection</w:t>
      </w:r>
      <w:r w:rsidR="0035566D">
        <w:t xml:space="preserve"> </w:t>
      </w:r>
      <w:r w:rsidR="005B6223">
        <w:t xml:space="preserve">or the very challenging contactless vital sign tracking and observation of persons inside a building e.g. </w:t>
      </w:r>
      <w:r w:rsidR="0035566D">
        <w:t xml:space="preserve">in </w:t>
      </w:r>
      <w:r w:rsidR="005B6223">
        <w:t>a hospital setting.</w:t>
      </w:r>
    </w:p>
    <w:p w14:paraId="3C5FAF82" w14:textId="49E4629E" w:rsidR="000A5A80" w:rsidRDefault="000A5A80" w:rsidP="00BE5FEA">
      <w:r>
        <w:t xml:space="preserve">An exact description of these individual UWB applications, including their application scenario, technical parameters, antenna data, the expected market size and the assumed interference scenarios can be found in </w:t>
      </w:r>
      <w:r w:rsidR="009D5FA2">
        <w:t>section</w:t>
      </w:r>
      <w:r>
        <w:t xml:space="preserve"> </w:t>
      </w:r>
      <w:r>
        <w:fldChar w:fldCharType="begin"/>
      </w:r>
      <w:r>
        <w:instrText xml:space="preserve"> REF _Ref20407004 \r \h </w:instrText>
      </w:r>
      <w:r>
        <w:fldChar w:fldCharType="separate"/>
      </w:r>
      <w:r w:rsidR="004F49F9">
        <w:t>2</w:t>
      </w:r>
      <w:r>
        <w:fldChar w:fldCharType="end"/>
      </w:r>
      <w:r>
        <w:t>.</w:t>
      </w:r>
    </w:p>
    <w:p w14:paraId="3DDCE7C4" w14:textId="77777777" w:rsidR="008C119E" w:rsidRDefault="00BE5FEA" w:rsidP="00766875">
      <w:r w:rsidRPr="00D731A1">
        <w:t xml:space="preserve">The </w:t>
      </w:r>
      <w:r w:rsidR="00577476">
        <w:t>above</w:t>
      </w:r>
      <w:r w:rsidR="00AA36EA">
        <w:t>-</w:t>
      </w:r>
      <w:r w:rsidRPr="00D731A1">
        <w:t xml:space="preserve">mentioned measurement objectives are </w:t>
      </w:r>
      <w:r w:rsidR="00AA36EA">
        <w:t xml:space="preserve">only </w:t>
      </w:r>
      <w:r w:rsidRPr="00D731A1">
        <w:t xml:space="preserve">achievable </w:t>
      </w:r>
      <w:r w:rsidR="00AA36EA">
        <w:t xml:space="preserve">with new spectrum </w:t>
      </w:r>
      <w:r w:rsidR="008C119E">
        <w:t>designations for the mentioned UWB applications</w:t>
      </w:r>
      <w:r w:rsidR="00AA36EA">
        <w:t xml:space="preserve"> in the range above 116 GHz where larger modulation bandwidths can be </w:t>
      </w:r>
      <w:r w:rsidR="008C119E">
        <w:t>realised and the interference potential towards other spectrum users is lower due to the higher free</w:t>
      </w:r>
      <w:r w:rsidR="00104FC8">
        <w:t xml:space="preserve"> </w:t>
      </w:r>
      <w:r w:rsidR="008C119E">
        <w:t>space</w:t>
      </w:r>
      <w:r w:rsidR="00104FC8">
        <w:t xml:space="preserve"> </w:t>
      </w:r>
      <w:r w:rsidR="008C119E">
        <w:t xml:space="preserve">loss and </w:t>
      </w:r>
      <w:r w:rsidR="00104FC8">
        <w:t xml:space="preserve">tendentially </w:t>
      </w:r>
      <w:r w:rsidR="008C119E">
        <w:t xml:space="preserve">higher atmospheric </w:t>
      </w:r>
      <w:r w:rsidR="00104FC8">
        <w:t>attenuation.</w:t>
      </w:r>
    </w:p>
    <w:p w14:paraId="5EB4265D" w14:textId="24C4B3AB" w:rsidR="000A5A80" w:rsidRDefault="008C119E" w:rsidP="000A5A80">
      <w:r w:rsidRPr="00600688">
        <w:t>For</w:t>
      </w:r>
      <w:r w:rsidR="00766875" w:rsidRPr="00600688">
        <w:t xml:space="preserve"> </w:t>
      </w:r>
      <w:r w:rsidR="00104FC8">
        <w:t>all</w:t>
      </w:r>
      <w:r w:rsidR="00766875" w:rsidRPr="00600688">
        <w:t xml:space="preserve"> </w:t>
      </w:r>
      <w:r w:rsidR="00104FC8">
        <w:t xml:space="preserve">next generation radiodetermination </w:t>
      </w:r>
      <w:r w:rsidR="00766875" w:rsidRPr="00600688">
        <w:t>applications, different candidate frequency bands in the frequency range from 116 GHz up to 260 GHz have been defined and investigated in MCL-based deterministic analyses.</w:t>
      </w:r>
      <w:r w:rsidR="000A5A80">
        <w:t xml:space="preserve"> The information </w:t>
      </w:r>
      <w:r w:rsidR="0071027C">
        <w:t xml:space="preserve">concerning the defined candidate bands and the </w:t>
      </w:r>
      <w:r w:rsidR="0035566D">
        <w:t xml:space="preserve">band </w:t>
      </w:r>
      <w:r w:rsidR="0071027C">
        <w:t xml:space="preserve">assignments to Radio Services can be found in </w:t>
      </w:r>
      <w:r w:rsidR="009D5FA2">
        <w:t>section</w:t>
      </w:r>
      <w:r w:rsidR="00516311">
        <w:t xml:space="preserve"> </w:t>
      </w:r>
      <w:r w:rsidR="00516311">
        <w:fldChar w:fldCharType="begin"/>
      </w:r>
      <w:r w:rsidR="00516311">
        <w:instrText xml:space="preserve"> REF _Ref9857612 \r \h </w:instrText>
      </w:r>
      <w:r w:rsidR="00516311">
        <w:fldChar w:fldCharType="separate"/>
      </w:r>
      <w:r w:rsidR="004F49F9">
        <w:t>3</w:t>
      </w:r>
      <w:r w:rsidR="00516311">
        <w:fldChar w:fldCharType="end"/>
      </w:r>
      <w:r w:rsidR="00516311">
        <w:t>.</w:t>
      </w:r>
    </w:p>
    <w:p w14:paraId="4030A7A9" w14:textId="77777777" w:rsidR="000A5A80" w:rsidRPr="00BB41AD" w:rsidRDefault="000A5A80" w:rsidP="00300D3F">
      <w:pPr>
        <w:keepNext/>
      </w:pPr>
      <w:r>
        <w:t>The following</w:t>
      </w:r>
      <w:r w:rsidRPr="00BB41AD">
        <w:t xml:space="preserve"> Radio Services, </w:t>
      </w:r>
      <w:r>
        <w:t>assigned to</w:t>
      </w:r>
      <w:r w:rsidRPr="00BB41AD">
        <w:t xml:space="preserve"> either these candidate bands or </w:t>
      </w:r>
      <w:r w:rsidR="0035566D">
        <w:t>to</w:t>
      </w:r>
      <w:r>
        <w:t xml:space="preserve"> </w:t>
      </w:r>
      <w:r w:rsidRPr="00BB41AD">
        <w:t>adjacent</w:t>
      </w:r>
      <w:r>
        <w:t xml:space="preserve"> </w:t>
      </w:r>
      <w:r w:rsidR="0035566D">
        <w:t>frequency ranges</w:t>
      </w:r>
      <w:r w:rsidRPr="00BB41AD">
        <w:t>, have been identified as possible victims of interference arising from the mentioned UWB applications</w:t>
      </w:r>
      <w:r>
        <w:t>:</w:t>
      </w:r>
    </w:p>
    <w:p w14:paraId="259CCB1F" w14:textId="5D657442" w:rsidR="000A5A80" w:rsidRPr="00BB41AD" w:rsidRDefault="000A5A80" w:rsidP="00300D3F">
      <w:pPr>
        <w:pStyle w:val="ECCBulletsLv1"/>
        <w:keepNext/>
      </w:pPr>
      <w:r>
        <w:t>Radio Astronomy Service</w:t>
      </w:r>
      <w:r w:rsidR="00191D39">
        <w:t>;</w:t>
      </w:r>
    </w:p>
    <w:p w14:paraId="0B293E1B" w14:textId="1829DFA5" w:rsidR="000A5A80" w:rsidRPr="00BB41AD" w:rsidRDefault="000A5A80" w:rsidP="00300D3F">
      <w:pPr>
        <w:pStyle w:val="ECCBulletsLv1"/>
        <w:keepNext/>
      </w:pPr>
      <w:r>
        <w:t>Fixed Service</w:t>
      </w:r>
      <w:r w:rsidR="00191D39">
        <w:t>;</w:t>
      </w:r>
    </w:p>
    <w:p w14:paraId="48403D1E" w14:textId="1975845A" w:rsidR="000A5A80" w:rsidRPr="00BB41AD" w:rsidRDefault="000A5A80" w:rsidP="00300D3F">
      <w:pPr>
        <w:pStyle w:val="ECCBulletsLv1"/>
        <w:keepNext/>
      </w:pPr>
      <w:r>
        <w:t>Earth Exploration Satellite Service (passive)</w:t>
      </w:r>
      <w:r w:rsidR="00191D39">
        <w:t>;</w:t>
      </w:r>
    </w:p>
    <w:p w14:paraId="63758149" w14:textId="77777777" w:rsidR="000A5A80" w:rsidRPr="00BB41AD" w:rsidRDefault="000A5A80" w:rsidP="00300D3F">
      <w:pPr>
        <w:pStyle w:val="ECCBulletsLv1"/>
        <w:keepNext/>
      </w:pPr>
      <w:r>
        <w:t>Amateur Service.</w:t>
      </w:r>
    </w:p>
    <w:p w14:paraId="2DEDC21C" w14:textId="4C8C0AA8" w:rsidR="00766875" w:rsidRDefault="0071027C" w:rsidP="00600688">
      <w:r>
        <w:t xml:space="preserve">The technical parameters and the protection requirements for these systems are comprehensively treated in </w:t>
      </w:r>
      <w:r w:rsidR="009D5FA2">
        <w:t>section</w:t>
      </w:r>
      <w:r>
        <w:t xml:space="preserve"> </w:t>
      </w:r>
      <w:r>
        <w:fldChar w:fldCharType="begin"/>
      </w:r>
      <w:r>
        <w:instrText xml:space="preserve"> REF _Ref20321120 \r \h </w:instrText>
      </w:r>
      <w:r>
        <w:fldChar w:fldCharType="separate"/>
      </w:r>
      <w:r w:rsidR="004F49F9">
        <w:t>3.5</w:t>
      </w:r>
      <w:r>
        <w:fldChar w:fldCharType="end"/>
      </w:r>
      <w:r>
        <w:t>.</w:t>
      </w:r>
    </w:p>
    <w:p w14:paraId="153C77ED" w14:textId="442B25C7" w:rsidR="00516311" w:rsidRPr="00BB41AD" w:rsidRDefault="00463ECB" w:rsidP="00516311">
      <w:r w:rsidRPr="00BB41AD">
        <w:rPr>
          <w:rStyle w:val="ECCParagraph"/>
        </w:rPr>
        <w:t xml:space="preserve">The </w:t>
      </w:r>
      <w:r w:rsidR="00516311">
        <w:rPr>
          <w:rStyle w:val="ECCParagraph"/>
        </w:rPr>
        <w:t xml:space="preserve">individual </w:t>
      </w:r>
      <w:r w:rsidRPr="00BB41AD">
        <w:rPr>
          <w:rStyle w:val="ECCParagraph"/>
        </w:rPr>
        <w:t xml:space="preserve">calculations </w:t>
      </w:r>
      <w:r>
        <w:rPr>
          <w:rStyle w:val="ECCParagraph"/>
        </w:rPr>
        <w:t xml:space="preserve">for each UWB application </w:t>
      </w:r>
      <w:r w:rsidRPr="00BB41AD">
        <w:rPr>
          <w:rStyle w:val="ECCParagraph"/>
        </w:rPr>
        <w:t xml:space="preserve">are provided in separate </w:t>
      </w:r>
      <w:r>
        <w:rPr>
          <w:rStyle w:val="ECCParagraph"/>
        </w:rPr>
        <w:t>work</w:t>
      </w:r>
      <w:r w:rsidRPr="00BB41AD">
        <w:rPr>
          <w:rStyle w:val="ECCParagraph"/>
        </w:rPr>
        <w:t xml:space="preserve">sheets which are annexed to this Report. The results of these </w:t>
      </w:r>
      <w:r w:rsidR="00516311">
        <w:rPr>
          <w:rStyle w:val="ECCParagraph"/>
        </w:rPr>
        <w:t>calculations</w:t>
      </w:r>
      <w:r w:rsidRPr="00BB41AD">
        <w:rPr>
          <w:rStyle w:val="ECCParagraph"/>
        </w:rPr>
        <w:t xml:space="preserve"> are provided in </w:t>
      </w:r>
      <w:r w:rsidR="009D5FA2">
        <w:rPr>
          <w:rStyle w:val="ECCParagraph"/>
        </w:rPr>
        <w:t>section</w:t>
      </w:r>
      <w:r w:rsidRPr="00BB41AD">
        <w:rPr>
          <w:rStyle w:val="ECCParagraph"/>
        </w:rPr>
        <w:t xml:space="preserve"> </w:t>
      </w:r>
      <w:r>
        <w:rPr>
          <w:rStyle w:val="ECCParagraph"/>
          <w:highlight w:val="yellow"/>
        </w:rPr>
        <w:fldChar w:fldCharType="begin"/>
      </w:r>
      <w:r>
        <w:rPr>
          <w:rStyle w:val="ECCParagraph"/>
        </w:rPr>
        <w:instrText xml:space="preserve"> REF _Ref66370562 \r \h </w:instrText>
      </w:r>
      <w:r>
        <w:rPr>
          <w:rStyle w:val="ECCParagraph"/>
          <w:highlight w:val="yellow"/>
        </w:rPr>
      </w:r>
      <w:r>
        <w:rPr>
          <w:rStyle w:val="ECCParagraph"/>
          <w:highlight w:val="yellow"/>
        </w:rPr>
        <w:fldChar w:fldCharType="separate"/>
      </w:r>
      <w:r w:rsidR="004F49F9">
        <w:rPr>
          <w:rStyle w:val="ECCParagraph"/>
        </w:rPr>
        <w:t>4</w:t>
      </w:r>
      <w:r>
        <w:rPr>
          <w:rStyle w:val="ECCParagraph"/>
          <w:highlight w:val="yellow"/>
        </w:rPr>
        <w:fldChar w:fldCharType="end"/>
      </w:r>
      <w:r w:rsidRPr="00BB41AD">
        <w:rPr>
          <w:rStyle w:val="ECCParagraph"/>
        </w:rPr>
        <w:t xml:space="preserve"> </w:t>
      </w:r>
      <w:r w:rsidR="00516311">
        <w:rPr>
          <w:rStyle w:val="ECCParagraph"/>
        </w:rPr>
        <w:t xml:space="preserve">for Radio Astronomy, </w:t>
      </w:r>
      <w:r w:rsidR="009D5FA2">
        <w:rPr>
          <w:rStyle w:val="ECCParagraph"/>
        </w:rPr>
        <w:t>section</w:t>
      </w:r>
      <w:r w:rsidR="00516311">
        <w:rPr>
          <w:rStyle w:val="ECCParagraph"/>
        </w:rPr>
        <w:t xml:space="preserve"> </w:t>
      </w:r>
      <w:r w:rsidR="008305D6">
        <w:rPr>
          <w:rStyle w:val="ECCParagraph"/>
        </w:rPr>
        <w:fldChar w:fldCharType="begin"/>
      </w:r>
      <w:r w:rsidR="008305D6">
        <w:rPr>
          <w:rStyle w:val="ECCParagraph"/>
        </w:rPr>
        <w:instrText xml:space="preserve"> REF _Ref90633851 \r \h </w:instrText>
      </w:r>
      <w:r w:rsidR="008305D6">
        <w:rPr>
          <w:rStyle w:val="ECCParagraph"/>
        </w:rPr>
      </w:r>
      <w:r w:rsidR="008305D6">
        <w:rPr>
          <w:rStyle w:val="ECCParagraph"/>
        </w:rPr>
        <w:fldChar w:fldCharType="separate"/>
      </w:r>
      <w:r w:rsidR="004F49F9">
        <w:rPr>
          <w:rStyle w:val="ECCParagraph"/>
        </w:rPr>
        <w:t>5</w:t>
      </w:r>
      <w:r w:rsidR="008305D6">
        <w:rPr>
          <w:rStyle w:val="ECCParagraph"/>
        </w:rPr>
        <w:fldChar w:fldCharType="end"/>
      </w:r>
      <w:r w:rsidR="00516311">
        <w:rPr>
          <w:rStyle w:val="ECCParagraph"/>
        </w:rPr>
        <w:t xml:space="preserve"> for Fixed Service, </w:t>
      </w:r>
      <w:r w:rsidR="009D5FA2">
        <w:rPr>
          <w:rStyle w:val="ECCParagraph"/>
        </w:rPr>
        <w:t>section</w:t>
      </w:r>
      <w:r w:rsidR="00516311">
        <w:rPr>
          <w:rStyle w:val="ECCParagraph"/>
        </w:rPr>
        <w:t xml:space="preserve"> </w:t>
      </w:r>
      <w:r w:rsidR="00516311">
        <w:rPr>
          <w:rStyle w:val="ECCParagraph"/>
        </w:rPr>
        <w:fldChar w:fldCharType="begin"/>
      </w:r>
      <w:r w:rsidR="00516311">
        <w:rPr>
          <w:rStyle w:val="ECCParagraph"/>
        </w:rPr>
        <w:instrText xml:space="preserve"> REF _Ref67995675 \r \h </w:instrText>
      </w:r>
      <w:r w:rsidR="00516311">
        <w:rPr>
          <w:rStyle w:val="ECCParagraph"/>
        </w:rPr>
      </w:r>
      <w:r w:rsidR="00516311">
        <w:rPr>
          <w:rStyle w:val="ECCParagraph"/>
        </w:rPr>
        <w:fldChar w:fldCharType="separate"/>
      </w:r>
      <w:r w:rsidR="004F49F9">
        <w:rPr>
          <w:rStyle w:val="ECCParagraph"/>
        </w:rPr>
        <w:t>6</w:t>
      </w:r>
      <w:r w:rsidR="00516311">
        <w:rPr>
          <w:rStyle w:val="ECCParagraph"/>
        </w:rPr>
        <w:fldChar w:fldCharType="end"/>
      </w:r>
      <w:r w:rsidR="00516311">
        <w:rPr>
          <w:rStyle w:val="ECCParagraph"/>
        </w:rPr>
        <w:t xml:space="preserve"> for </w:t>
      </w:r>
      <w:r w:rsidR="00B40C71">
        <w:rPr>
          <w:rStyle w:val="ECCParagraph"/>
        </w:rPr>
        <w:t>Earth Exploration Satellite Service</w:t>
      </w:r>
      <w:r w:rsidR="00516311">
        <w:rPr>
          <w:rStyle w:val="ECCParagraph"/>
        </w:rPr>
        <w:t xml:space="preserve"> (passive) and </w:t>
      </w:r>
      <w:r w:rsidR="009D5FA2">
        <w:rPr>
          <w:rStyle w:val="ECCParagraph"/>
        </w:rPr>
        <w:t>section</w:t>
      </w:r>
      <w:r w:rsidR="00516311">
        <w:rPr>
          <w:rStyle w:val="ECCParagraph"/>
        </w:rPr>
        <w:t xml:space="preserve"> </w:t>
      </w:r>
      <w:r w:rsidR="008305D6">
        <w:rPr>
          <w:rStyle w:val="ECCParagraph"/>
        </w:rPr>
        <w:fldChar w:fldCharType="begin"/>
      </w:r>
      <w:r w:rsidR="008305D6">
        <w:rPr>
          <w:rStyle w:val="ECCParagraph"/>
        </w:rPr>
        <w:instrText xml:space="preserve"> REF _Ref90633870 \r \h </w:instrText>
      </w:r>
      <w:r w:rsidR="008305D6">
        <w:rPr>
          <w:rStyle w:val="ECCParagraph"/>
        </w:rPr>
      </w:r>
      <w:r w:rsidR="008305D6">
        <w:rPr>
          <w:rStyle w:val="ECCParagraph"/>
        </w:rPr>
        <w:fldChar w:fldCharType="separate"/>
      </w:r>
      <w:r w:rsidR="004F49F9">
        <w:rPr>
          <w:rStyle w:val="ECCParagraph"/>
        </w:rPr>
        <w:t>7</w:t>
      </w:r>
      <w:r w:rsidR="008305D6">
        <w:rPr>
          <w:rStyle w:val="ECCParagraph"/>
        </w:rPr>
        <w:fldChar w:fldCharType="end"/>
      </w:r>
      <w:r w:rsidR="00516311">
        <w:rPr>
          <w:rStyle w:val="ECCParagraph"/>
        </w:rPr>
        <w:t xml:space="preserve"> for Amateur</w:t>
      </w:r>
      <w:r w:rsidR="00FE228D">
        <w:rPr>
          <w:rStyle w:val="ECCParagraph"/>
        </w:rPr>
        <w:t xml:space="preserve"> Service</w:t>
      </w:r>
      <w:r w:rsidR="00516311">
        <w:rPr>
          <w:rStyle w:val="ECCParagraph"/>
        </w:rPr>
        <w:t>.</w:t>
      </w:r>
    </w:p>
    <w:p w14:paraId="4BD18B13" w14:textId="79B3FF53" w:rsidR="0047784A" w:rsidRPr="006D6727" w:rsidRDefault="00516311" w:rsidP="00843EE7">
      <w:pPr>
        <w:rPr>
          <w:rStyle w:val="ECCParagraph"/>
        </w:rPr>
      </w:pPr>
      <w:r>
        <w:t xml:space="preserve">Finally, the conclusions drawn from these calculations </w:t>
      </w:r>
      <w:r w:rsidR="003A76DB">
        <w:t xml:space="preserve">for each candidate band </w:t>
      </w:r>
      <w:r>
        <w:t xml:space="preserve">can be found in </w:t>
      </w:r>
      <w:r w:rsidR="009D5FA2">
        <w:t>section</w:t>
      </w:r>
      <w:r>
        <w:t xml:space="preserve"> </w:t>
      </w:r>
      <w:r>
        <w:fldChar w:fldCharType="begin"/>
      </w:r>
      <w:r>
        <w:instrText xml:space="preserve"> REF _Ref67995904 \r \h </w:instrText>
      </w:r>
      <w:r>
        <w:fldChar w:fldCharType="separate"/>
      </w:r>
      <w:r w:rsidR="004F49F9">
        <w:t>8</w:t>
      </w:r>
      <w:r>
        <w:fldChar w:fldCharType="end"/>
      </w:r>
      <w:r w:rsidR="003A76DB">
        <w:t xml:space="preserve"> </w:t>
      </w:r>
      <w:r w:rsidR="0035566D">
        <w:t xml:space="preserve">including </w:t>
      </w:r>
      <w:r w:rsidR="003A76DB">
        <w:t xml:space="preserve">a graphical illustration of the </w:t>
      </w:r>
      <w:r w:rsidR="0035566D">
        <w:t>ascertained</w:t>
      </w:r>
      <w:r w:rsidR="003A76DB">
        <w:t xml:space="preserve"> compatibility situation </w:t>
      </w:r>
      <w:r w:rsidR="0035566D">
        <w:t>in</w:t>
      </w:r>
      <w:r w:rsidR="003A76DB">
        <w:t xml:space="preserve"> </w:t>
      </w:r>
      <w:r w:rsidR="009D5FA2">
        <w:t>section</w:t>
      </w:r>
      <w:r w:rsidR="003A76DB">
        <w:t xml:space="preserve"> </w:t>
      </w:r>
      <w:r w:rsidR="003A76DB">
        <w:fldChar w:fldCharType="begin"/>
      </w:r>
      <w:r w:rsidR="003A76DB">
        <w:instrText xml:space="preserve"> REF _Ref67996394 \r \h </w:instrText>
      </w:r>
      <w:r w:rsidR="003A76DB">
        <w:fldChar w:fldCharType="separate"/>
      </w:r>
      <w:r w:rsidR="004F49F9">
        <w:t>8.9</w:t>
      </w:r>
      <w:r w:rsidR="003A76DB">
        <w:fldChar w:fldCharType="end"/>
      </w:r>
      <w:r w:rsidR="003A76DB">
        <w:t>.</w:t>
      </w:r>
    </w:p>
    <w:p w14:paraId="40D138C9" w14:textId="77777777" w:rsidR="008A54FC" w:rsidRPr="006D6727" w:rsidRDefault="00D64BC6" w:rsidP="009465E0">
      <w:pPr>
        <w:pStyle w:val="Heading1"/>
        <w:rPr>
          <w:noProof/>
          <w:lang w:val="en-GB"/>
        </w:rPr>
      </w:pPr>
      <w:bookmarkStart w:id="69" w:name="_Ref20407004"/>
      <w:bookmarkStart w:id="70" w:name="_Toc84325239"/>
      <w:bookmarkStart w:id="71" w:name="_Toc127346223"/>
      <w:r>
        <w:t xml:space="preserve">UWB </w:t>
      </w:r>
      <w:r w:rsidR="008D4C84" w:rsidRPr="006D6727">
        <w:rPr>
          <w:noProof/>
          <w:lang w:val="en-GB"/>
        </w:rPr>
        <w:t xml:space="preserve">Radiodetermination </w:t>
      </w:r>
      <w:r w:rsidR="00054695" w:rsidRPr="006D6727">
        <w:rPr>
          <w:noProof/>
          <w:lang w:val="en-GB"/>
        </w:rPr>
        <w:t xml:space="preserve">Applications </w:t>
      </w:r>
      <w:r w:rsidR="0001168A" w:rsidRPr="006D6727">
        <w:rPr>
          <w:noProof/>
          <w:lang w:val="en-GB"/>
        </w:rPr>
        <w:t>and Technology</w:t>
      </w:r>
      <w:bookmarkEnd w:id="69"/>
      <w:bookmarkEnd w:id="70"/>
      <w:bookmarkEnd w:id="71"/>
    </w:p>
    <w:p w14:paraId="357C4B8A" w14:textId="77777777" w:rsidR="0001168A" w:rsidRDefault="0001168A" w:rsidP="0001168A">
      <w:pPr>
        <w:pStyle w:val="Heading2"/>
        <w:rPr>
          <w:noProof/>
          <w:lang w:val="en-GB"/>
        </w:rPr>
      </w:pPr>
      <w:bookmarkStart w:id="72" w:name="_Ref7786850"/>
      <w:bookmarkStart w:id="73" w:name="_Toc84325240"/>
      <w:bookmarkStart w:id="74" w:name="_Toc127346224"/>
      <w:r w:rsidRPr="006D6727">
        <w:rPr>
          <w:noProof/>
          <w:lang w:val="en-GB"/>
        </w:rPr>
        <w:t>Categori</w:t>
      </w:r>
      <w:r w:rsidR="00A13C9A" w:rsidRPr="006D6727">
        <w:rPr>
          <w:noProof/>
          <w:lang w:val="en-GB"/>
        </w:rPr>
        <w:t>s</w:t>
      </w:r>
      <w:r w:rsidRPr="006D6727">
        <w:rPr>
          <w:noProof/>
          <w:lang w:val="en-GB"/>
        </w:rPr>
        <w:t>ation of applications under consideration</w:t>
      </w:r>
      <w:bookmarkEnd w:id="72"/>
      <w:bookmarkEnd w:id="73"/>
      <w:bookmarkEnd w:id="74"/>
    </w:p>
    <w:p w14:paraId="7C6AC2C6" w14:textId="6DC4CDD6" w:rsidR="00C52329" w:rsidRPr="006D6727" w:rsidRDefault="00C52329" w:rsidP="0029041B">
      <w:pPr>
        <w:rPr>
          <w:rStyle w:val="ECCParagraph"/>
          <w:noProof/>
        </w:rPr>
      </w:pPr>
      <w:r w:rsidRPr="006D6727">
        <w:rPr>
          <w:rStyle w:val="ECCParagraph"/>
          <w:noProof/>
        </w:rPr>
        <w:t xml:space="preserve">The radio determination applications </w:t>
      </w:r>
      <w:r w:rsidR="000D4983" w:rsidRPr="006D6727">
        <w:rPr>
          <w:rStyle w:val="ECCParagraph"/>
          <w:noProof/>
        </w:rPr>
        <w:t xml:space="preserve">under </w:t>
      </w:r>
      <w:r w:rsidRPr="006D6727">
        <w:rPr>
          <w:rStyle w:val="ECCParagraph"/>
          <w:noProof/>
        </w:rPr>
        <w:t>consider</w:t>
      </w:r>
      <w:r w:rsidR="000D4983" w:rsidRPr="006D6727">
        <w:rPr>
          <w:rStyle w:val="ECCParagraph"/>
          <w:noProof/>
        </w:rPr>
        <w:t>ation</w:t>
      </w:r>
      <w:r w:rsidRPr="006D6727">
        <w:rPr>
          <w:rStyle w:val="ECCParagraph"/>
          <w:noProof/>
        </w:rPr>
        <w:t xml:space="preserve"> in this Report ha</w:t>
      </w:r>
      <w:r w:rsidR="0029041B" w:rsidRPr="006D6727">
        <w:rPr>
          <w:rStyle w:val="ECCParagraph"/>
          <w:noProof/>
        </w:rPr>
        <w:t>ve</w:t>
      </w:r>
      <w:r w:rsidRPr="006D6727">
        <w:rPr>
          <w:rStyle w:val="ECCParagraph"/>
          <w:noProof/>
        </w:rPr>
        <w:t xml:space="preserve"> been categorised into three types A, B and C relating to their interference potential.</w:t>
      </w:r>
      <w:r w:rsidR="009D1EC2" w:rsidRPr="006D6727">
        <w:rPr>
          <w:rStyle w:val="ECCParagraph"/>
          <w:noProof/>
        </w:rPr>
        <w:t xml:space="preserve"> This </w:t>
      </w:r>
      <w:r w:rsidR="0029041B" w:rsidRPr="006D6727">
        <w:rPr>
          <w:rStyle w:val="ECCParagraph"/>
          <w:noProof/>
        </w:rPr>
        <w:t xml:space="preserve">scheme </w:t>
      </w:r>
      <w:r w:rsidR="009D1EC2" w:rsidRPr="006D6727">
        <w:rPr>
          <w:rStyle w:val="ECCParagraph"/>
          <w:noProof/>
        </w:rPr>
        <w:t xml:space="preserve">has </w:t>
      </w:r>
      <w:r w:rsidR="0029041B" w:rsidRPr="006D6727">
        <w:rPr>
          <w:rStyle w:val="ECCParagraph"/>
          <w:noProof/>
        </w:rPr>
        <w:t>already be</w:t>
      </w:r>
      <w:r w:rsidR="00D02868" w:rsidRPr="006D6727">
        <w:rPr>
          <w:rStyle w:val="ECCParagraph"/>
          <w:noProof/>
        </w:rPr>
        <w:t>en</w:t>
      </w:r>
      <w:r w:rsidR="0029041B" w:rsidRPr="006D6727">
        <w:rPr>
          <w:rStyle w:val="ECCParagraph"/>
          <w:noProof/>
        </w:rPr>
        <w:t xml:space="preserve"> introduced in the </w:t>
      </w:r>
      <w:r w:rsidR="00191D39">
        <w:rPr>
          <w:rStyle w:val="ECCParagraph"/>
          <w:noProof/>
        </w:rPr>
        <w:t>ETSI</w:t>
      </w:r>
      <w:r w:rsidR="0029041B" w:rsidRPr="006D6727">
        <w:rPr>
          <w:rStyle w:val="ECCParagraph"/>
          <w:noProof/>
        </w:rPr>
        <w:t xml:space="preserve"> TR 103 498 </w:t>
      </w:r>
      <w:r w:rsidR="0029041B" w:rsidRPr="006D6727">
        <w:rPr>
          <w:rStyle w:val="ECCParagraph"/>
          <w:noProof/>
        </w:rPr>
        <w:fldChar w:fldCharType="begin"/>
      </w:r>
      <w:r w:rsidR="0029041B" w:rsidRPr="006D6727">
        <w:rPr>
          <w:rStyle w:val="ECCParagraph"/>
          <w:noProof/>
        </w:rPr>
        <w:instrText xml:space="preserve"> REF ETSITR103498 \w \h </w:instrText>
      </w:r>
      <w:r w:rsidR="0029041B" w:rsidRPr="006D6727">
        <w:rPr>
          <w:rStyle w:val="ECCParagraph"/>
          <w:noProof/>
        </w:rPr>
      </w:r>
      <w:r w:rsidR="0029041B" w:rsidRPr="006D6727">
        <w:rPr>
          <w:rStyle w:val="ECCParagraph"/>
          <w:noProof/>
        </w:rPr>
        <w:fldChar w:fldCharType="separate"/>
      </w:r>
      <w:r w:rsidR="004F49F9">
        <w:rPr>
          <w:rStyle w:val="ECCParagraph"/>
          <w:noProof/>
        </w:rPr>
        <w:t>[1]</w:t>
      </w:r>
      <w:r w:rsidR="0029041B" w:rsidRPr="006D6727">
        <w:rPr>
          <w:rStyle w:val="ECCParagraph"/>
          <w:noProof/>
        </w:rPr>
        <w:fldChar w:fldCharType="end"/>
      </w:r>
      <w:r w:rsidR="00D02868" w:rsidRPr="006D6727">
        <w:rPr>
          <w:rStyle w:val="ECCParagraph"/>
          <w:noProof/>
        </w:rPr>
        <w:t>,</w:t>
      </w:r>
      <w:r w:rsidR="0029041B" w:rsidRPr="006D6727">
        <w:rPr>
          <w:rStyle w:val="ECCParagraph"/>
          <w:noProof/>
        </w:rPr>
        <w:t xml:space="preserve"> which is the technical base for </w:t>
      </w:r>
      <w:r w:rsidR="00166CB8" w:rsidRPr="006D6727">
        <w:rPr>
          <w:rStyle w:val="ECCParagraph"/>
          <w:noProof/>
        </w:rPr>
        <w:t>th</w:t>
      </w:r>
      <w:r w:rsidR="00006530">
        <w:rPr>
          <w:rStyle w:val="ECCParagraph"/>
        </w:rPr>
        <w:t>is</w:t>
      </w:r>
      <w:r w:rsidR="00166CB8" w:rsidRPr="006D6727">
        <w:rPr>
          <w:rStyle w:val="ECCParagraph"/>
          <w:noProof/>
        </w:rPr>
        <w:t xml:space="preserve"> </w:t>
      </w:r>
      <w:r w:rsidR="0029041B" w:rsidRPr="006D6727">
        <w:rPr>
          <w:rStyle w:val="ECCParagraph"/>
          <w:noProof/>
        </w:rPr>
        <w:t>Report.</w:t>
      </w:r>
    </w:p>
    <w:p w14:paraId="26BF175F" w14:textId="77777777" w:rsidR="00C52329" w:rsidRPr="006D6727" w:rsidRDefault="00740075" w:rsidP="00C52329">
      <w:pPr>
        <w:rPr>
          <w:noProof/>
        </w:rPr>
      </w:pPr>
      <w:r w:rsidRPr="006D6727">
        <w:rPr>
          <w:noProof/>
        </w:rPr>
        <w:t>Applications of t</w:t>
      </w:r>
      <w:r w:rsidR="00C52329" w:rsidRPr="006D6727">
        <w:rPr>
          <w:noProof/>
        </w:rPr>
        <w:t xml:space="preserve">ype A </w:t>
      </w:r>
      <w:r w:rsidRPr="006D6727">
        <w:rPr>
          <w:noProof/>
        </w:rPr>
        <w:t>are</w:t>
      </w:r>
      <w:r w:rsidR="00C52329" w:rsidRPr="006D6727">
        <w:rPr>
          <w:noProof/>
        </w:rPr>
        <w:t xml:space="preserve"> intended for sensors </w:t>
      </w:r>
      <w:r w:rsidRPr="006D6727">
        <w:rPr>
          <w:noProof/>
        </w:rPr>
        <w:t xml:space="preserve">which may </w:t>
      </w:r>
      <w:r w:rsidR="00C52329" w:rsidRPr="006D6727">
        <w:rPr>
          <w:noProof/>
        </w:rPr>
        <w:t xml:space="preserve">radiate into the open sky in any direction outside a shielded environment, building or housing and </w:t>
      </w:r>
      <w:r w:rsidRPr="006D6727">
        <w:rPr>
          <w:noProof/>
        </w:rPr>
        <w:t>are</w:t>
      </w:r>
      <w:r w:rsidR="00C52329" w:rsidRPr="006D6727">
        <w:rPr>
          <w:noProof/>
        </w:rPr>
        <w:t xml:space="preserve"> </w:t>
      </w:r>
      <w:r w:rsidR="00C52329" w:rsidRPr="006D6727">
        <w:rPr>
          <w:rStyle w:val="ECCParagraph"/>
          <w:noProof/>
        </w:rPr>
        <w:t>therefore considered as most critical relating to the generation of harmful interference</w:t>
      </w:r>
      <w:r w:rsidR="00E92BA8" w:rsidRPr="006D6727">
        <w:rPr>
          <w:rStyle w:val="ECCParagraph"/>
          <w:noProof/>
        </w:rPr>
        <w:t xml:space="preserve"> into other Radiocommunication Services</w:t>
      </w:r>
      <w:r w:rsidR="00C52329" w:rsidRPr="006D6727">
        <w:rPr>
          <w:rStyle w:val="ECCParagraph"/>
          <w:noProof/>
        </w:rPr>
        <w:t xml:space="preserve">. </w:t>
      </w:r>
      <w:r w:rsidR="00C52329" w:rsidRPr="006D6727">
        <w:rPr>
          <w:noProof/>
        </w:rPr>
        <w:t xml:space="preserve">The following type A applications </w:t>
      </w:r>
      <w:r w:rsidR="00E92BA8" w:rsidRPr="006D6727">
        <w:rPr>
          <w:noProof/>
        </w:rPr>
        <w:t xml:space="preserve">are </w:t>
      </w:r>
      <w:r w:rsidR="00C52329" w:rsidRPr="006D6727">
        <w:rPr>
          <w:noProof/>
        </w:rPr>
        <w:t>identified and investigated:</w:t>
      </w:r>
    </w:p>
    <w:p w14:paraId="0BF071A7" w14:textId="35C0A9DB" w:rsidR="00C52329" w:rsidRPr="006D6727" w:rsidRDefault="00C52329" w:rsidP="00C52329">
      <w:pPr>
        <w:pStyle w:val="ECCBulletsLv1"/>
        <w:rPr>
          <w:rStyle w:val="ECCParagraph"/>
          <w:noProof/>
        </w:rPr>
      </w:pPr>
      <w:r w:rsidRPr="006D6727">
        <w:rPr>
          <w:rStyle w:val="ECCParagraph"/>
          <w:noProof/>
        </w:rPr>
        <w:t xml:space="preserve">Generic </w:t>
      </w:r>
      <w:r w:rsidR="00006530">
        <w:rPr>
          <w:rStyle w:val="ECCParagraph"/>
        </w:rPr>
        <w:t xml:space="preserve">indoor </w:t>
      </w:r>
      <w:r w:rsidRPr="006D6727">
        <w:rPr>
          <w:rStyle w:val="ECCParagraph"/>
          <w:noProof/>
        </w:rPr>
        <w:t>surveillance radar</w:t>
      </w:r>
      <w:r w:rsidR="009D5FA2">
        <w:rPr>
          <w:rStyle w:val="ECCParagraph"/>
          <w:noProof/>
        </w:rPr>
        <w:t>;</w:t>
      </w:r>
    </w:p>
    <w:p w14:paraId="2244DADA" w14:textId="7C73816D" w:rsidR="00C52329" w:rsidRPr="006D6727" w:rsidRDefault="00C52329" w:rsidP="00C52329">
      <w:pPr>
        <w:pStyle w:val="ECCBulletsLv1"/>
        <w:rPr>
          <w:noProof/>
        </w:rPr>
      </w:pPr>
      <w:r w:rsidRPr="006D6727">
        <w:rPr>
          <w:noProof/>
        </w:rPr>
        <w:t>Radiodetermination systems for industry automation</w:t>
      </w:r>
      <w:r w:rsidR="00AC3DBA">
        <w:t xml:space="preserve"> (RDI)</w:t>
      </w:r>
      <w:r w:rsidR="009D5FA2">
        <w:t>;</w:t>
      </w:r>
    </w:p>
    <w:p w14:paraId="468CA61A" w14:textId="45DE6BFE" w:rsidR="00DC23BB" w:rsidRPr="006D6727" w:rsidRDefault="00DC23BB" w:rsidP="00C52329">
      <w:pPr>
        <w:pStyle w:val="ECCBulletsLv1"/>
        <w:rPr>
          <w:rStyle w:val="ECCParagraph"/>
          <w:noProof/>
        </w:rPr>
      </w:pPr>
      <w:r>
        <w:rPr>
          <w:rStyle w:val="ECCParagraph"/>
        </w:rPr>
        <w:t>Short</w:t>
      </w:r>
      <w:r w:rsidR="00006530">
        <w:rPr>
          <w:rStyle w:val="ECCParagraph"/>
        </w:rPr>
        <w:t>-</w:t>
      </w:r>
      <w:r>
        <w:rPr>
          <w:rStyle w:val="ECCParagraph"/>
        </w:rPr>
        <w:t>range</w:t>
      </w:r>
      <w:r w:rsidRPr="00E52D95">
        <w:rPr>
          <w:rStyle w:val="ECCParagraph"/>
        </w:rPr>
        <w:t xml:space="preserve"> assist and </w:t>
      </w:r>
      <w:r>
        <w:rPr>
          <w:rStyle w:val="ECCParagraph"/>
        </w:rPr>
        <w:t>surrounding</w:t>
      </w:r>
      <w:r w:rsidRPr="00E52D95">
        <w:rPr>
          <w:rStyle w:val="ECCParagraph"/>
        </w:rPr>
        <w:t xml:space="preserve"> monitoring for vehicles and autonomous systems</w:t>
      </w:r>
      <w:r w:rsidR="00640396">
        <w:rPr>
          <w:rStyle w:val="FootnoteReference"/>
        </w:rPr>
        <w:footnoteReference w:id="2"/>
      </w:r>
      <w:r w:rsidR="009D5FA2">
        <w:rPr>
          <w:rStyle w:val="ECCParagraph"/>
        </w:rPr>
        <w:t>;</w:t>
      </w:r>
    </w:p>
    <w:p w14:paraId="1CCD032C" w14:textId="0BEAB072" w:rsidR="00C52329" w:rsidRDefault="00C52329" w:rsidP="00C52329">
      <w:pPr>
        <w:pStyle w:val="ECCBulletsLv1"/>
        <w:rPr>
          <w:noProof/>
        </w:rPr>
      </w:pPr>
      <w:r w:rsidRPr="006D6727">
        <w:rPr>
          <w:noProof/>
        </w:rPr>
        <w:t xml:space="preserve">Ground </w:t>
      </w:r>
      <w:r w:rsidR="00773169" w:rsidRPr="006D6727">
        <w:rPr>
          <w:noProof/>
        </w:rPr>
        <w:t>B</w:t>
      </w:r>
      <w:r w:rsidRPr="006D6727">
        <w:rPr>
          <w:noProof/>
        </w:rPr>
        <w:t>ased</w:t>
      </w:r>
      <w:r w:rsidR="00773169" w:rsidRPr="006D6727">
        <w:rPr>
          <w:noProof/>
        </w:rPr>
        <w:t xml:space="preserve"> S</w:t>
      </w:r>
      <w:r w:rsidRPr="006D6727">
        <w:rPr>
          <w:noProof/>
        </w:rPr>
        <w:t xml:space="preserve">ynthetic </w:t>
      </w:r>
      <w:r w:rsidR="00773169" w:rsidRPr="006D6727">
        <w:rPr>
          <w:noProof/>
        </w:rPr>
        <w:t>A</w:t>
      </w:r>
      <w:r w:rsidRPr="006D6727">
        <w:rPr>
          <w:noProof/>
        </w:rPr>
        <w:t xml:space="preserve">perture </w:t>
      </w:r>
      <w:r w:rsidR="00773169" w:rsidRPr="006D6727">
        <w:rPr>
          <w:noProof/>
        </w:rPr>
        <w:t>R</w:t>
      </w:r>
      <w:r w:rsidRPr="006D6727">
        <w:rPr>
          <w:noProof/>
        </w:rPr>
        <w:t>adar</w:t>
      </w:r>
      <w:r w:rsidR="00773169" w:rsidRPr="006D6727">
        <w:rPr>
          <w:noProof/>
        </w:rPr>
        <w:t xml:space="preserve"> (GBSAR)</w:t>
      </w:r>
      <w:r w:rsidR="009D5FA2">
        <w:rPr>
          <w:noProof/>
        </w:rPr>
        <w:t>.</w:t>
      </w:r>
    </w:p>
    <w:p w14:paraId="7FFF6CA6" w14:textId="77777777" w:rsidR="00C52329" w:rsidRPr="006D6727" w:rsidRDefault="00C52329" w:rsidP="00C52329">
      <w:pPr>
        <w:rPr>
          <w:rStyle w:val="ECCParagraph"/>
          <w:noProof/>
        </w:rPr>
      </w:pPr>
      <w:r w:rsidRPr="006D6727">
        <w:rPr>
          <w:rStyle w:val="ECCParagraph"/>
          <w:noProof/>
        </w:rPr>
        <w:t>Type B is intended for applications where the sensor always radiates in a downward direction towards the ground (and thus not directly into the open sky in an arbitrary direction) outside a shielded environment, building or housing. Type B applications are considered less critical relating to the generation of harmful interference compared to type A, as victim radio services usually do not appear in the direction of main radiation of type B sensors. The following two type B applications were identified and investigated:</w:t>
      </w:r>
    </w:p>
    <w:p w14:paraId="04F808F4" w14:textId="14A89FC7" w:rsidR="00C52329" w:rsidRPr="006D6727" w:rsidRDefault="00C52329" w:rsidP="00C52329">
      <w:pPr>
        <w:pStyle w:val="ECCBulletsLv1"/>
        <w:rPr>
          <w:rStyle w:val="ECCParagraph"/>
          <w:noProof/>
        </w:rPr>
      </w:pPr>
      <w:r w:rsidRPr="006D6727">
        <w:rPr>
          <w:rStyle w:val="ECCParagraph"/>
          <w:noProof/>
        </w:rPr>
        <w:t xml:space="preserve">Level </w:t>
      </w:r>
      <w:r w:rsidR="00773169" w:rsidRPr="006D6727">
        <w:rPr>
          <w:rStyle w:val="ECCParagraph"/>
          <w:noProof/>
        </w:rPr>
        <w:t>P</w:t>
      </w:r>
      <w:r w:rsidRPr="006D6727">
        <w:rPr>
          <w:rStyle w:val="ECCParagraph"/>
          <w:noProof/>
        </w:rPr>
        <w:t xml:space="preserve">robing </w:t>
      </w:r>
      <w:r w:rsidR="00773169" w:rsidRPr="006D6727">
        <w:rPr>
          <w:rStyle w:val="ECCParagraph"/>
          <w:noProof/>
        </w:rPr>
        <w:t>R</w:t>
      </w:r>
      <w:r w:rsidRPr="006D6727">
        <w:rPr>
          <w:rStyle w:val="ECCParagraph"/>
          <w:noProof/>
        </w:rPr>
        <w:t xml:space="preserve">adar </w:t>
      </w:r>
      <w:r w:rsidR="00773169" w:rsidRPr="006D6727">
        <w:rPr>
          <w:rStyle w:val="ECCParagraph"/>
          <w:noProof/>
        </w:rPr>
        <w:t>(LPR)</w:t>
      </w:r>
      <w:r w:rsidR="00191D39">
        <w:rPr>
          <w:rStyle w:val="ECCParagraph"/>
          <w:noProof/>
        </w:rPr>
        <w:t>;</w:t>
      </w:r>
    </w:p>
    <w:p w14:paraId="3A7C3ACE" w14:textId="0CBE9A7D" w:rsidR="00C52329" w:rsidRPr="006D6727" w:rsidRDefault="00C52329" w:rsidP="00C52329">
      <w:pPr>
        <w:pStyle w:val="ECCBulletsLv1"/>
        <w:rPr>
          <w:noProof/>
        </w:rPr>
      </w:pPr>
      <w:r w:rsidRPr="006D6727">
        <w:rPr>
          <w:rStyle w:val="ECCParagraph"/>
          <w:noProof/>
        </w:rPr>
        <w:t xml:space="preserve">Contour determination and </w:t>
      </w:r>
      <w:r w:rsidRPr="006D6727">
        <w:rPr>
          <w:noProof/>
        </w:rPr>
        <w:t>acquisition</w:t>
      </w:r>
      <w:r w:rsidR="00AC3DBA">
        <w:t xml:space="preserve"> </w:t>
      </w:r>
      <w:r w:rsidR="00391B3A">
        <w:t xml:space="preserve">radar </w:t>
      </w:r>
      <w:r w:rsidR="00AC3DBA">
        <w:t>(CDR)</w:t>
      </w:r>
      <w:r w:rsidR="00191D39">
        <w:t>.</w:t>
      </w:r>
    </w:p>
    <w:p w14:paraId="4AE8B339" w14:textId="77777777" w:rsidR="00C52329" w:rsidRPr="006D6727" w:rsidRDefault="00C52329" w:rsidP="00C52329">
      <w:pPr>
        <w:rPr>
          <w:rStyle w:val="ECCParagraph"/>
          <w:noProof/>
        </w:rPr>
      </w:pPr>
      <w:r w:rsidRPr="006D6727">
        <w:rPr>
          <w:rStyle w:val="ECCParagraph"/>
          <w:noProof/>
        </w:rPr>
        <w:t>Type C is intended for applications emitting inside a confined and shielded environment, building or housing. Because of radiating inside or into a shielded environment, type C applications are considered to be least critical because of the inherent signal attenuation of the application scenario. The following three type C applications were identified and investigated:</w:t>
      </w:r>
    </w:p>
    <w:p w14:paraId="5C3068FF" w14:textId="2C7512DE" w:rsidR="00C52329" w:rsidRPr="006D6727" w:rsidRDefault="00C52329" w:rsidP="00C52329">
      <w:pPr>
        <w:pStyle w:val="ECCBulletsLv1"/>
        <w:rPr>
          <w:rStyle w:val="ECCParagraph"/>
          <w:noProof/>
        </w:rPr>
      </w:pPr>
      <w:r w:rsidRPr="006D6727">
        <w:rPr>
          <w:rStyle w:val="ECCParagraph"/>
          <w:noProof/>
        </w:rPr>
        <w:t xml:space="preserve">Tank Level </w:t>
      </w:r>
      <w:r w:rsidR="006C0659" w:rsidRPr="006D6727">
        <w:rPr>
          <w:rStyle w:val="ECCParagraph"/>
          <w:noProof/>
        </w:rPr>
        <w:t>P</w:t>
      </w:r>
      <w:r w:rsidRPr="006D6727">
        <w:rPr>
          <w:rStyle w:val="ECCParagraph"/>
          <w:noProof/>
        </w:rPr>
        <w:t xml:space="preserve">robing </w:t>
      </w:r>
      <w:r w:rsidR="006C0659" w:rsidRPr="006D6727">
        <w:rPr>
          <w:rStyle w:val="ECCParagraph"/>
          <w:noProof/>
        </w:rPr>
        <w:t>R</w:t>
      </w:r>
      <w:r w:rsidRPr="006D6727">
        <w:rPr>
          <w:rStyle w:val="ECCParagraph"/>
          <w:noProof/>
        </w:rPr>
        <w:t>adar</w:t>
      </w:r>
      <w:r w:rsidR="006C0659" w:rsidRPr="006D6727">
        <w:rPr>
          <w:rStyle w:val="ECCParagraph"/>
          <w:noProof/>
        </w:rPr>
        <w:t xml:space="preserve"> (TLPR)</w:t>
      </w:r>
      <w:r w:rsidR="00191D39">
        <w:rPr>
          <w:rStyle w:val="ECCParagraph"/>
          <w:noProof/>
        </w:rPr>
        <w:t>;</w:t>
      </w:r>
    </w:p>
    <w:p w14:paraId="4838EFEE" w14:textId="4727AA3B" w:rsidR="00C52329" w:rsidRPr="006D6727" w:rsidRDefault="00C52329" w:rsidP="00C52329">
      <w:pPr>
        <w:pStyle w:val="ECCBulletsLv1"/>
        <w:rPr>
          <w:noProof/>
        </w:rPr>
      </w:pPr>
      <w:r w:rsidRPr="006D6727">
        <w:rPr>
          <w:noProof/>
        </w:rPr>
        <w:t>Radiodetermination systems for industry automation in shielded environments</w:t>
      </w:r>
      <w:r w:rsidR="00AC3DBA">
        <w:t xml:space="preserve"> (RDI-S)</w:t>
      </w:r>
      <w:r w:rsidR="00191D39">
        <w:t>.</w:t>
      </w:r>
    </w:p>
    <w:p w14:paraId="4B594983" w14:textId="1678F452" w:rsidR="00C52329" w:rsidRDefault="008F23C1" w:rsidP="00C52329">
      <w:pPr>
        <w:rPr>
          <w:rStyle w:val="ECCParagraph"/>
          <w:noProof/>
        </w:rPr>
      </w:pPr>
      <w:r>
        <w:rPr>
          <w:rStyle w:val="ECCParagraph"/>
        </w:rPr>
        <w:t>However, a</w:t>
      </w:r>
      <w:r w:rsidR="00C52329" w:rsidRPr="006D6727">
        <w:rPr>
          <w:rStyle w:val="ECCParagraph"/>
          <w:noProof/>
        </w:rPr>
        <w:t xml:space="preserve">ll above mentioned applications in all three categories A, B and C have their own and unique </w:t>
      </w:r>
      <w:hyperlink r:id="rId12" w:history="1">
        <w:r w:rsidR="00C52329" w:rsidRPr="006D6727">
          <w:rPr>
            <w:rStyle w:val="ECCParagraph"/>
            <w:noProof/>
          </w:rPr>
          <w:t>peculiarities</w:t>
        </w:r>
      </w:hyperlink>
      <w:r w:rsidR="005E5B67">
        <w:rPr>
          <w:rStyle w:val="ECCParagraph"/>
        </w:rPr>
        <w:t xml:space="preserve">, </w:t>
      </w:r>
      <w:r w:rsidR="00C52329" w:rsidRPr="006D6727">
        <w:rPr>
          <w:rStyle w:val="ECCParagraph"/>
          <w:noProof/>
        </w:rPr>
        <w:t xml:space="preserve">technical parameters </w:t>
      </w:r>
      <w:r w:rsidR="005E5B67">
        <w:rPr>
          <w:rStyle w:val="ECCParagraph"/>
        </w:rPr>
        <w:t xml:space="preserve">and deployment scenarios </w:t>
      </w:r>
      <w:r w:rsidR="00C52329" w:rsidRPr="006D6727">
        <w:rPr>
          <w:rStyle w:val="ECCParagraph"/>
          <w:noProof/>
        </w:rPr>
        <w:t xml:space="preserve">which influence the interference mechanisms to other spectrum users. Furthermore, different frequency ranges have been identified as appropriate and requested for the different applications. Therefore, it was necessary to conduct compatibility studies for each individual application </w:t>
      </w:r>
      <w:r w:rsidR="00170637" w:rsidRPr="006D6727">
        <w:rPr>
          <w:rStyle w:val="ECCParagraph"/>
          <w:noProof/>
        </w:rPr>
        <w:t xml:space="preserve">with respect to </w:t>
      </w:r>
      <w:r w:rsidR="00C52329" w:rsidRPr="006D6727">
        <w:rPr>
          <w:rStyle w:val="ECCParagraph"/>
          <w:noProof/>
        </w:rPr>
        <w:t xml:space="preserve">the existing </w:t>
      </w:r>
      <w:r w:rsidR="00170637" w:rsidRPr="006D6727">
        <w:rPr>
          <w:rStyle w:val="ECCParagraph"/>
          <w:noProof/>
        </w:rPr>
        <w:t>R</w:t>
      </w:r>
      <w:r w:rsidR="00C52329" w:rsidRPr="006D6727">
        <w:rPr>
          <w:rStyle w:val="ECCParagraph"/>
          <w:noProof/>
        </w:rPr>
        <w:t>adio</w:t>
      </w:r>
      <w:r w:rsidR="00170637" w:rsidRPr="006D6727">
        <w:rPr>
          <w:rStyle w:val="ECCParagraph"/>
          <w:noProof/>
        </w:rPr>
        <w:t>communication S</w:t>
      </w:r>
      <w:r w:rsidR="00C52329" w:rsidRPr="006D6727">
        <w:rPr>
          <w:rStyle w:val="ECCParagraph"/>
          <w:noProof/>
        </w:rPr>
        <w:t>ervices inside or adjacent to the requested frequency range.</w:t>
      </w:r>
    </w:p>
    <w:p w14:paraId="3B660E71" w14:textId="77777777" w:rsidR="00A362D3" w:rsidRDefault="000A40FA" w:rsidP="00C52329">
      <w:r>
        <w:t>While performing</w:t>
      </w:r>
      <w:r w:rsidRPr="000A40FA">
        <w:t xml:space="preserve"> the studies </w:t>
      </w:r>
      <w:r>
        <w:t xml:space="preserve">for each individual application, it became clear that a categorisation of applications </w:t>
      </w:r>
      <w:r w:rsidR="005E5B67">
        <w:t>would</w:t>
      </w:r>
      <w:r>
        <w:t xml:space="preserve"> also </w:t>
      </w:r>
      <w:r w:rsidRPr="000A40FA">
        <w:t xml:space="preserve">not </w:t>
      </w:r>
      <w:r w:rsidR="005E5B67">
        <w:t xml:space="preserve">be </w:t>
      </w:r>
      <w:r w:rsidRPr="000A40FA">
        <w:t xml:space="preserve">feasible </w:t>
      </w:r>
      <w:r>
        <w:t xml:space="preserve">for </w:t>
      </w:r>
      <w:r w:rsidR="005E5B67">
        <w:t>the</w:t>
      </w:r>
      <w:r>
        <w:t xml:space="preserve"> subsequent spectrum regulation</w:t>
      </w:r>
      <w:r w:rsidR="005E5B67">
        <w:t xml:space="preserve">. Therefore, all mentioned applications have been treated separately and the categorisation into types A, B and C has </w:t>
      </w:r>
      <w:r w:rsidR="00EF4DAB">
        <w:t xml:space="preserve">furthermore </w:t>
      </w:r>
      <w:r w:rsidR="005E5B67">
        <w:t xml:space="preserve">been suspended in </w:t>
      </w:r>
      <w:r w:rsidR="004C32C6">
        <w:t>the performed studies</w:t>
      </w:r>
      <w:r w:rsidR="00F97304">
        <w:t>.</w:t>
      </w:r>
    </w:p>
    <w:p w14:paraId="5544D573" w14:textId="4131F392" w:rsidR="0001168A" w:rsidRPr="006D6727" w:rsidRDefault="0001168A" w:rsidP="005C246A">
      <w:pPr>
        <w:pStyle w:val="Heading2"/>
        <w:rPr>
          <w:noProof/>
          <w:lang w:val="en-GB"/>
        </w:rPr>
      </w:pPr>
      <w:bookmarkStart w:id="75" w:name="_Ref9415617"/>
      <w:bookmarkStart w:id="76" w:name="_Ref20321176"/>
      <w:bookmarkStart w:id="77" w:name="_Toc84325241"/>
      <w:bookmarkStart w:id="78" w:name="_Toc127346225"/>
      <w:r w:rsidRPr="006D6727">
        <w:rPr>
          <w:noProof/>
          <w:lang w:val="en-GB"/>
        </w:rPr>
        <w:t>Description of applications</w:t>
      </w:r>
      <w:bookmarkEnd w:id="75"/>
      <w:bookmarkEnd w:id="76"/>
      <w:bookmarkEnd w:id="77"/>
      <w:bookmarkEnd w:id="78"/>
    </w:p>
    <w:p w14:paraId="4CBD72CB" w14:textId="77777777" w:rsidR="00F97304" w:rsidRDefault="0001168A" w:rsidP="005C246A">
      <w:pPr>
        <w:pStyle w:val="Heading3"/>
        <w:rPr>
          <w:noProof/>
          <w:lang w:val="en-GB"/>
        </w:rPr>
      </w:pPr>
      <w:bookmarkStart w:id="79" w:name="_Ref67041471"/>
      <w:bookmarkStart w:id="80" w:name="_Toc84325242"/>
      <w:bookmarkStart w:id="81" w:name="_Toc127346226"/>
      <w:r w:rsidRPr="006D6727">
        <w:rPr>
          <w:rStyle w:val="ECCHLyellow"/>
          <w:noProof/>
          <w:szCs w:val="26"/>
          <w:shd w:val="clear" w:color="auto" w:fill="auto"/>
        </w:rPr>
        <w:t>Generic</w:t>
      </w:r>
      <w:r w:rsidRPr="006D6727">
        <w:rPr>
          <w:noProof/>
          <w:lang w:val="en-GB"/>
        </w:rPr>
        <w:t xml:space="preserve"> </w:t>
      </w:r>
      <w:r w:rsidR="001657FA">
        <w:t xml:space="preserve">indoor </w:t>
      </w:r>
      <w:r w:rsidRPr="006D6727">
        <w:rPr>
          <w:noProof/>
          <w:lang w:val="en-GB"/>
        </w:rPr>
        <w:t>surveillance Radar</w:t>
      </w:r>
      <w:bookmarkEnd w:id="79"/>
      <w:bookmarkEnd w:id="80"/>
      <w:bookmarkEnd w:id="81"/>
    </w:p>
    <w:p w14:paraId="1AE9C3AB" w14:textId="77777777" w:rsidR="00F97304" w:rsidRDefault="001657FA" w:rsidP="000020DA">
      <w:pPr>
        <w:pStyle w:val="Heading4"/>
        <w:keepNext/>
      </w:pPr>
      <w:bookmarkStart w:id="82" w:name="_Toc84325243"/>
      <w:r>
        <w:t>Application scenario</w:t>
      </w:r>
      <w:bookmarkEnd w:id="82"/>
    </w:p>
    <w:p w14:paraId="15043C82" w14:textId="77777777" w:rsidR="001657FA" w:rsidRDefault="001657FA" w:rsidP="005C246A">
      <w:pPr>
        <w:keepNext/>
        <w:rPr>
          <w:rStyle w:val="ECCParagraph"/>
        </w:rPr>
      </w:pPr>
      <w:r>
        <w:rPr>
          <w:rStyle w:val="ECCParagraph"/>
        </w:rPr>
        <w:t>Similar to the other categories of millimetre</w:t>
      </w:r>
      <w:r w:rsidRPr="00CA4D57">
        <w:rPr>
          <w:rStyle w:val="ECCParagraph"/>
        </w:rPr>
        <w:t>-wave radars</w:t>
      </w:r>
      <w:r w:rsidR="00703DDC">
        <w:rPr>
          <w:rStyle w:val="ECCParagraph"/>
        </w:rPr>
        <w:t>,</w:t>
      </w:r>
      <w:r w:rsidRPr="00CA4D57">
        <w:rPr>
          <w:rStyle w:val="ECCParagraph"/>
        </w:rPr>
        <w:t xml:space="preserve"> the frequency range 116-260</w:t>
      </w:r>
      <w:r>
        <w:rPr>
          <w:rStyle w:val="ECCParagraph"/>
        </w:rPr>
        <w:t> </w:t>
      </w:r>
      <w:r w:rsidRPr="00CA4D57">
        <w:rPr>
          <w:rStyle w:val="ECCParagraph"/>
        </w:rPr>
        <w:t>GHz enable</w:t>
      </w:r>
      <w:r>
        <w:rPr>
          <w:rStyle w:val="ECCParagraph"/>
        </w:rPr>
        <w:t>s</w:t>
      </w:r>
      <w:r w:rsidRPr="00CA4D57">
        <w:rPr>
          <w:rStyle w:val="ECCParagraph"/>
        </w:rPr>
        <w:t xml:space="preserve"> applications with high range resolution and low form factors. This is especially interesting for</w:t>
      </w:r>
      <w:r>
        <w:rPr>
          <w:rStyle w:val="ECCParagraph"/>
        </w:rPr>
        <w:t xml:space="preserve"> </w:t>
      </w:r>
      <w:r w:rsidR="00703DDC">
        <w:rPr>
          <w:rStyle w:val="ECCParagraph"/>
        </w:rPr>
        <w:t>two</w:t>
      </w:r>
      <w:r>
        <w:rPr>
          <w:rStyle w:val="ECCParagraph"/>
        </w:rPr>
        <w:t xml:space="preserve"> major application categories:</w:t>
      </w:r>
    </w:p>
    <w:p w14:paraId="5E920258" w14:textId="09544FAE" w:rsidR="001657FA" w:rsidRPr="00246FBE" w:rsidRDefault="001657FA" w:rsidP="005C246A">
      <w:pPr>
        <w:pStyle w:val="ECCBulletsLv1"/>
        <w:keepNext/>
        <w:rPr>
          <w:rStyle w:val="ECCParagraph"/>
        </w:rPr>
      </w:pPr>
      <w:r>
        <w:rPr>
          <w:rStyle w:val="ECCParagraph"/>
        </w:rPr>
        <w:t xml:space="preserve">Indoor mobile and </w:t>
      </w:r>
      <w:r w:rsidR="009D5FA2">
        <w:rPr>
          <w:rStyle w:val="ECCParagraph"/>
        </w:rPr>
        <w:t>hand-held</w:t>
      </w:r>
      <w:r>
        <w:rPr>
          <w:rStyle w:val="ECCParagraph"/>
        </w:rPr>
        <w:t xml:space="preserve"> applications, like surveillance radars for robots and autonomous household devices (e.g. dust cleaners) or short-range interaction movement detection (e.g. gesture or object recognition)</w:t>
      </w:r>
      <w:r w:rsidR="00CD03F7">
        <w:rPr>
          <w:rStyle w:val="ECCParagraph"/>
        </w:rPr>
        <w:t>;</w:t>
      </w:r>
    </w:p>
    <w:p w14:paraId="2270CFE0" w14:textId="77777777" w:rsidR="001657FA" w:rsidRPr="00246FBE" w:rsidRDefault="004517BF" w:rsidP="005C246A">
      <w:pPr>
        <w:pStyle w:val="ECCBulletsLv1"/>
        <w:keepNext/>
        <w:rPr>
          <w:rStyle w:val="ECCParagraph"/>
        </w:rPr>
      </w:pPr>
      <w:r>
        <w:rPr>
          <w:rStyle w:val="ECCParagraph"/>
        </w:rPr>
        <w:t>F</w:t>
      </w:r>
      <w:r w:rsidR="001657FA">
        <w:rPr>
          <w:rStyle w:val="ECCParagraph"/>
        </w:rPr>
        <w:t>ixed indoor surveillance radars, e.g. for intrusion detection, detection of falling persons</w:t>
      </w:r>
      <w:r w:rsidR="00703DDC">
        <w:rPr>
          <w:rStyle w:val="ECCParagraph"/>
        </w:rPr>
        <w:t>.</w:t>
      </w:r>
    </w:p>
    <w:p w14:paraId="5CE3790C" w14:textId="77777777" w:rsidR="001657FA" w:rsidRPr="00B701E1" w:rsidRDefault="001657FA" w:rsidP="001657FA">
      <w:pPr>
        <w:rPr>
          <w:rStyle w:val="ECCParagraph"/>
          <w:highlight w:val="yellow"/>
        </w:rPr>
      </w:pPr>
      <w:r w:rsidRPr="00CA4D57">
        <w:rPr>
          <w:rStyle w:val="ECCParagraph"/>
        </w:rPr>
        <w:t>Common characteristics of these use cases are depending on the inherent small form factors enabled by high frequencies</w:t>
      </w:r>
      <w:r>
        <w:rPr>
          <w:rStyle w:val="ECCParagraph"/>
        </w:rPr>
        <w:t xml:space="preserve"> and</w:t>
      </w:r>
      <w:r w:rsidRPr="00CA4D57">
        <w:rPr>
          <w:rStyle w:val="ECCParagraph"/>
        </w:rPr>
        <w:t xml:space="preserve"> short wavelengths</w:t>
      </w:r>
      <w:r>
        <w:rPr>
          <w:rStyle w:val="ECCParagraph"/>
        </w:rPr>
        <w:t>, respectively</w:t>
      </w:r>
      <w:r w:rsidRPr="00CA4D57">
        <w:rPr>
          <w:rStyle w:val="ECCParagraph"/>
        </w:rPr>
        <w:t>. Given the inherent need for detecting motion and presence of individual persons</w:t>
      </w:r>
      <w:r w:rsidR="00703DDC">
        <w:rPr>
          <w:rStyle w:val="ECCParagraph"/>
        </w:rPr>
        <w:t xml:space="preserve">, </w:t>
      </w:r>
      <w:r>
        <w:rPr>
          <w:rStyle w:val="ECCParagraph"/>
        </w:rPr>
        <w:t>objects</w:t>
      </w:r>
      <w:r w:rsidRPr="00CA4D57">
        <w:rPr>
          <w:rStyle w:val="ECCParagraph"/>
        </w:rPr>
        <w:t xml:space="preserve">, limbs or fingers, digital beam forming with a high angular resolution </w:t>
      </w:r>
      <w:r>
        <w:rPr>
          <w:rStyle w:val="ECCParagraph"/>
        </w:rPr>
        <w:t>could be used as well</w:t>
      </w:r>
      <w:r w:rsidRPr="00CA4D57">
        <w:rPr>
          <w:rStyle w:val="ECCParagraph"/>
        </w:rPr>
        <w:t>.</w:t>
      </w:r>
    </w:p>
    <w:p w14:paraId="1DA7B5CD" w14:textId="02816DC7" w:rsidR="001657FA" w:rsidRPr="00CA4D57" w:rsidRDefault="001657FA" w:rsidP="001657FA">
      <w:pPr>
        <w:rPr>
          <w:rStyle w:val="ECCParagraph"/>
        </w:rPr>
      </w:pPr>
      <w:r>
        <w:rPr>
          <w:rStyle w:val="ECCParagraph"/>
        </w:rPr>
        <w:t xml:space="preserve">For all these </w:t>
      </w:r>
      <w:r w:rsidRPr="00CA4D57">
        <w:rPr>
          <w:rStyle w:val="ECCParagraph"/>
        </w:rPr>
        <w:t xml:space="preserve">applications, the privacy -preserving nature of the radar sensing is a fundamental property and such sensors are used to assess the situation in a volumetric space. The situation is assessed by detecting the overall presence of an </w:t>
      </w:r>
      <w:r>
        <w:rPr>
          <w:rStyle w:val="ECCParagraph"/>
        </w:rPr>
        <w:t>object (e.g. human)</w:t>
      </w:r>
      <w:r w:rsidRPr="00CA4D57">
        <w:rPr>
          <w:rStyle w:val="ECCParagraph"/>
        </w:rPr>
        <w:t xml:space="preserve"> or parts </w:t>
      </w:r>
      <w:r>
        <w:rPr>
          <w:rStyle w:val="ECCParagraph"/>
        </w:rPr>
        <w:t>of</w:t>
      </w:r>
      <w:r w:rsidRPr="00CA4D57">
        <w:rPr>
          <w:rStyle w:val="ECCParagraph"/>
        </w:rPr>
        <w:t>, e.g. micro-motion caused by heartbeat, breathing, or assessing the physical characteristics – the contour</w:t>
      </w:r>
      <w:r>
        <w:rPr>
          <w:rStyle w:val="ECCParagraph"/>
        </w:rPr>
        <w:t xml:space="preserve"> or the movement</w:t>
      </w:r>
      <w:r w:rsidR="001D7996">
        <w:rPr>
          <w:rStyle w:val="ECCParagraph"/>
        </w:rPr>
        <w:t>-</w:t>
      </w:r>
      <w:r w:rsidRPr="00CA4D57">
        <w:rPr>
          <w:rStyle w:val="ECCParagraph"/>
        </w:rPr>
        <w:t xml:space="preserve">of the objects. Some </w:t>
      </w:r>
      <w:r>
        <w:rPr>
          <w:rStyle w:val="ECCParagraph"/>
        </w:rPr>
        <w:t>use-cases</w:t>
      </w:r>
      <w:r w:rsidRPr="00CA4D57">
        <w:rPr>
          <w:rStyle w:val="ECCParagraph"/>
        </w:rPr>
        <w:t xml:space="preserve"> may also encompass </w:t>
      </w:r>
      <w:r>
        <w:rPr>
          <w:rStyle w:val="ECCParagraph"/>
        </w:rPr>
        <w:t>the differentiation</w:t>
      </w:r>
      <w:r w:rsidRPr="00CA4D57">
        <w:rPr>
          <w:rStyle w:val="ECCParagraph"/>
        </w:rPr>
        <w:t xml:space="preserve"> of </w:t>
      </w:r>
      <w:r>
        <w:rPr>
          <w:rStyle w:val="ECCParagraph"/>
        </w:rPr>
        <w:t>creatures or objects</w:t>
      </w:r>
      <w:r w:rsidRPr="00CA4D57">
        <w:rPr>
          <w:rStyle w:val="ECCParagraph"/>
        </w:rPr>
        <w:t xml:space="preserve">, like </w:t>
      </w:r>
      <w:r>
        <w:rPr>
          <w:rStyle w:val="ECCParagraph"/>
        </w:rPr>
        <w:t xml:space="preserve">between </w:t>
      </w:r>
      <w:r w:rsidRPr="00CA4D57">
        <w:rPr>
          <w:rStyle w:val="ECCParagraph"/>
        </w:rPr>
        <w:t>animals</w:t>
      </w:r>
      <w:r>
        <w:rPr>
          <w:rStyle w:val="ECCParagraph"/>
        </w:rPr>
        <w:t xml:space="preserve"> and </w:t>
      </w:r>
      <w:r w:rsidRPr="00CA4D57">
        <w:rPr>
          <w:rStyle w:val="ECCParagraph"/>
        </w:rPr>
        <w:t>objects</w:t>
      </w:r>
      <w:r>
        <w:rPr>
          <w:rStyle w:val="ECCParagraph"/>
        </w:rPr>
        <w:t xml:space="preserve"> or even between different animals</w:t>
      </w:r>
      <w:r w:rsidRPr="00CA4D57">
        <w:rPr>
          <w:rStyle w:val="ECCParagraph"/>
        </w:rPr>
        <w:t>.</w:t>
      </w:r>
    </w:p>
    <w:p w14:paraId="45F6374A" w14:textId="77777777" w:rsidR="001657FA" w:rsidRDefault="001657FA" w:rsidP="001657FA">
      <w:pPr>
        <w:rPr>
          <w:rStyle w:val="ECCParagraph"/>
        </w:rPr>
      </w:pPr>
      <w:r>
        <w:rPr>
          <w:rStyle w:val="ECCParagraph"/>
        </w:rPr>
        <w:t xml:space="preserve">Indoor applications are plentiful in the context of smart home, smart building, smart </w:t>
      </w:r>
      <w:r w:rsidR="00703DDC">
        <w:rPr>
          <w:rStyle w:val="ECCParagraph"/>
        </w:rPr>
        <w:t>factory,</w:t>
      </w:r>
      <w:r>
        <w:rPr>
          <w:rStyle w:val="ECCParagraph"/>
        </w:rPr>
        <w:t xml:space="preserve"> and e-health. In these “verticals”, there is a huge requirement for contactless monitoring of people, including people detection, tracking, counting and activity recognition or to provide functions to devices which work together with humans. This can </w:t>
      </w:r>
      <w:r w:rsidRPr="00CA4D57">
        <w:rPr>
          <w:rStyle w:val="ECCParagraph"/>
        </w:rPr>
        <w:t>be achieved by either illuminating a room with one or several radars depending on the room size and geometry</w:t>
      </w:r>
      <w:r>
        <w:rPr>
          <w:rStyle w:val="ECCParagraph"/>
        </w:rPr>
        <w:t xml:space="preserve"> or putting the function into </w:t>
      </w:r>
      <w:r w:rsidR="00703DDC">
        <w:rPr>
          <w:rStyle w:val="ECCParagraph"/>
        </w:rPr>
        <w:t>a</w:t>
      </w:r>
      <w:r>
        <w:rPr>
          <w:rStyle w:val="ECCParagraph"/>
        </w:rPr>
        <w:t xml:space="preserve"> cooperative device (e.g. a robot). </w:t>
      </w:r>
      <w:r w:rsidRPr="00CA4D57">
        <w:rPr>
          <w:rStyle w:val="ECCParagraph"/>
        </w:rPr>
        <w:t xml:space="preserve">In the e-health vertical, monitoring the vital signs of </w:t>
      </w:r>
      <w:r>
        <w:rPr>
          <w:rStyle w:val="ECCParagraph"/>
        </w:rPr>
        <w:t>persons</w:t>
      </w:r>
      <w:r w:rsidRPr="00CA4D57">
        <w:rPr>
          <w:rStyle w:val="ECCParagraph"/>
        </w:rPr>
        <w:t xml:space="preserve"> in rooms, at their desk or workplace is gradually becoming a key technology to improve the well-being of people. In hospital or </w:t>
      </w:r>
      <w:r>
        <w:rPr>
          <w:rStyle w:val="ECCParagraph"/>
        </w:rPr>
        <w:t>old people's homes</w:t>
      </w:r>
      <w:r w:rsidRPr="00CA4D57">
        <w:rPr>
          <w:rStyle w:val="ECCParagraph"/>
        </w:rPr>
        <w:t xml:space="preserve">, this is also useful for the vital </w:t>
      </w:r>
      <w:r>
        <w:rPr>
          <w:rStyle w:val="ECCParagraph"/>
        </w:rPr>
        <w:t xml:space="preserve">signs </w:t>
      </w:r>
      <w:r w:rsidRPr="00CA4D57">
        <w:rPr>
          <w:rStyle w:val="ECCParagraph"/>
        </w:rPr>
        <w:t xml:space="preserve">monitoring of patients </w:t>
      </w:r>
      <w:r w:rsidR="00703DDC">
        <w:rPr>
          <w:rStyle w:val="ECCParagraph"/>
        </w:rPr>
        <w:t xml:space="preserve">being alone </w:t>
      </w:r>
      <w:r w:rsidRPr="00CA4D57">
        <w:rPr>
          <w:rStyle w:val="ECCParagraph"/>
        </w:rPr>
        <w:t xml:space="preserve">in their room or </w:t>
      </w:r>
      <w:r>
        <w:rPr>
          <w:rStyle w:val="ECCParagraph"/>
        </w:rPr>
        <w:t xml:space="preserve">in </w:t>
      </w:r>
      <w:r w:rsidRPr="00CA4D57">
        <w:rPr>
          <w:rStyle w:val="ECCParagraph"/>
        </w:rPr>
        <w:t>bed.</w:t>
      </w:r>
    </w:p>
    <w:p w14:paraId="11B3E61B" w14:textId="77777777" w:rsidR="001657FA" w:rsidRPr="008C3529" w:rsidRDefault="001657FA" w:rsidP="00CD03F7">
      <w:pPr>
        <w:pStyle w:val="ECCTablenote"/>
        <w:spacing w:before="240" w:after="60"/>
        <w:rPr>
          <w:rStyle w:val="ECCParagraph"/>
        </w:rPr>
      </w:pPr>
      <w:r w:rsidRPr="00AC5187">
        <w:rPr>
          <w:rStyle w:val="ECCParagraph"/>
        </w:rPr>
        <w:t xml:space="preserve">Overview on </w:t>
      </w:r>
      <w:r>
        <w:rPr>
          <w:rStyle w:val="ECCParagraph"/>
        </w:rPr>
        <w:t xml:space="preserve">some </w:t>
      </w:r>
      <w:r w:rsidRPr="00AC5187">
        <w:rPr>
          <w:rStyle w:val="ECCParagraph"/>
        </w:rPr>
        <w:t>planned c</w:t>
      </w:r>
      <w:r w:rsidRPr="008C3529">
        <w:rPr>
          <w:rStyle w:val="ECCParagraph"/>
        </w:rPr>
        <w:t>ommon use cases:</w:t>
      </w:r>
    </w:p>
    <w:p w14:paraId="3D8F5394" w14:textId="3A5D1B2C" w:rsidR="001657FA" w:rsidRPr="001657FA" w:rsidRDefault="001657FA" w:rsidP="001657FA">
      <w:pPr>
        <w:pStyle w:val="ECCBulletsLv1"/>
        <w:rPr>
          <w:rStyle w:val="ECCParagraph"/>
        </w:rPr>
      </w:pPr>
      <w:r>
        <w:rPr>
          <w:rStyle w:val="ECCParagraph"/>
        </w:rPr>
        <w:t>V</w:t>
      </w:r>
      <w:r w:rsidRPr="001657FA">
        <w:rPr>
          <w:rStyle w:val="ECCParagraph"/>
        </w:rPr>
        <w:t>ital sign tracking (heartbeat/breathing): for example, assessment of the physical well-being – e.g. in a hospital setting – of one or several persons in the scene. The presence and evolution of vital signs are detected by assessing micro-motion caused by heartbeat and/or breathing</w:t>
      </w:r>
      <w:r w:rsidR="00191D39">
        <w:rPr>
          <w:rStyle w:val="ECCParagraph"/>
        </w:rPr>
        <w:t>;</w:t>
      </w:r>
    </w:p>
    <w:p w14:paraId="3E863054" w14:textId="20E84373" w:rsidR="001657FA" w:rsidRPr="001657FA" w:rsidRDefault="001657FA" w:rsidP="001657FA">
      <w:pPr>
        <w:pStyle w:val="ECCBulletsLv1"/>
        <w:rPr>
          <w:rStyle w:val="ECCParagraph"/>
        </w:rPr>
      </w:pPr>
      <w:r w:rsidRPr="00334871">
        <w:rPr>
          <w:rStyle w:val="ECCParagraph"/>
        </w:rPr>
        <w:t>Exit</w:t>
      </w:r>
      <w:r w:rsidRPr="001657FA">
        <w:rPr>
          <w:rStyle w:val="ECCParagraph"/>
        </w:rPr>
        <w:t xml:space="preserve"> and/or entry monitoring: for example, determining the contour of persons in an access corridor (e.g. a door), and assessing whether the contour corresponds to an allowed entry and/or exit policy</w:t>
      </w:r>
      <w:r w:rsidR="00191D39">
        <w:rPr>
          <w:rStyle w:val="ECCParagraph"/>
        </w:rPr>
        <w:t>;</w:t>
      </w:r>
    </w:p>
    <w:p w14:paraId="3CF8DF02" w14:textId="097062CE" w:rsidR="001657FA" w:rsidRPr="001657FA" w:rsidRDefault="001657FA" w:rsidP="001657FA">
      <w:pPr>
        <w:pStyle w:val="ECCBulletsLv1"/>
        <w:rPr>
          <w:rStyle w:val="ECCParagraph"/>
        </w:rPr>
      </w:pPr>
      <w:r w:rsidRPr="00334871">
        <w:rPr>
          <w:rStyle w:val="ECCParagraph"/>
        </w:rPr>
        <w:t xml:space="preserve">Person identification and tracking: </w:t>
      </w:r>
      <w:r w:rsidRPr="001657FA">
        <w:rPr>
          <w:rStyle w:val="ECCParagraph"/>
        </w:rPr>
        <w:t>for example, by using the contour of the occupant(s), an accurate tracking in a scene can be performed, even with occupants in close proximity</w:t>
      </w:r>
      <w:r w:rsidR="00191D39">
        <w:rPr>
          <w:rStyle w:val="ECCParagraph"/>
        </w:rPr>
        <w:t>;</w:t>
      </w:r>
    </w:p>
    <w:p w14:paraId="3290170F" w14:textId="77777777" w:rsidR="001657FA" w:rsidRPr="008C3529" w:rsidRDefault="001657FA" w:rsidP="00AA355D">
      <w:pPr>
        <w:pStyle w:val="ECCBulletsLv1"/>
        <w:rPr>
          <w:rStyle w:val="ECCParagraph"/>
        </w:rPr>
      </w:pPr>
      <w:r w:rsidRPr="00334871">
        <w:rPr>
          <w:rStyle w:val="ECCParagraph"/>
        </w:rPr>
        <w:t>Object protection purposes</w:t>
      </w:r>
      <w:r w:rsidRPr="001657FA">
        <w:rPr>
          <w:rStyle w:val="ECCParagraph"/>
        </w:rPr>
        <w:t>: for example, detection of forgotten objects (e.g. mobile phones) or detection of unwanted intrusion into the scene (e.g. protection of valuable items).</w:t>
      </w:r>
    </w:p>
    <w:p w14:paraId="5CD1714A" w14:textId="378B2C03" w:rsidR="001657FA" w:rsidRDefault="001657FA" w:rsidP="00300D3F">
      <w:pPr>
        <w:pStyle w:val="ECCBulletsLv1"/>
        <w:numPr>
          <w:ilvl w:val="0"/>
          <w:numId w:val="0"/>
        </w:numPr>
        <w:spacing w:before="240" w:after="60"/>
        <w:rPr>
          <w:rStyle w:val="ECCParagraph"/>
        </w:rPr>
      </w:pPr>
      <w:r>
        <w:rPr>
          <w:rStyle w:val="ECCParagraph"/>
        </w:rPr>
        <w:t>The fixed indoor operation</w:t>
      </w:r>
      <w:r w:rsidRPr="001657FA">
        <w:rPr>
          <w:rStyle w:val="ECCParagraph"/>
        </w:rPr>
        <w:t xml:space="preserve"> is shielded by the building envelope for industrial and consumer applications. For high-resolution imaging further encapsulation of the measurement setup is possible. Typically, the direction of main radiation of the sensor is horizontal or tilted downwards below the horizontal direction. Only for the </w:t>
      </w:r>
      <w:r w:rsidR="009D5FA2">
        <w:rPr>
          <w:rStyle w:val="ECCParagraph"/>
        </w:rPr>
        <w:t>hand-held</w:t>
      </w:r>
      <w:r w:rsidRPr="001657FA">
        <w:rPr>
          <w:rStyle w:val="ECCParagraph"/>
        </w:rPr>
        <w:t>/mobile applications it could be the case that there are emissions above the horizon, but for such applications there are lower power levels possible.</w:t>
      </w:r>
    </w:p>
    <w:p w14:paraId="69F411BA" w14:textId="77777777" w:rsidR="00AA355D" w:rsidRDefault="00AA355D" w:rsidP="000020DA">
      <w:pPr>
        <w:pStyle w:val="Heading4"/>
        <w:keepNext/>
      </w:pPr>
      <w:bookmarkStart w:id="83" w:name="_Toc51064251"/>
      <w:bookmarkStart w:id="84" w:name="_Ref67485689"/>
      <w:bookmarkStart w:id="85" w:name="_Ref67854171"/>
      <w:bookmarkStart w:id="86" w:name="_Toc84325244"/>
      <w:r w:rsidRPr="00CA4D57">
        <w:t>Frequency ranges and application types</w:t>
      </w:r>
      <w:bookmarkEnd w:id="83"/>
      <w:bookmarkEnd w:id="84"/>
      <w:bookmarkEnd w:id="85"/>
      <w:bookmarkEnd w:id="86"/>
    </w:p>
    <w:p w14:paraId="5358F159" w14:textId="275E4956" w:rsidR="00AA355D" w:rsidRPr="008F3C23" w:rsidRDefault="00AA355D" w:rsidP="005C246A">
      <w:pPr>
        <w:keepNext/>
        <w:rPr>
          <w:rStyle w:val="ECCParagraph"/>
        </w:rPr>
      </w:pPr>
      <w:r>
        <w:rPr>
          <w:rStyle w:val="ECCParagraph"/>
        </w:rPr>
        <w:t xml:space="preserve">Generic indoor surveillance radar </w:t>
      </w:r>
      <w:r w:rsidRPr="008F3C23">
        <w:rPr>
          <w:rStyle w:val="ECCParagraph"/>
        </w:rPr>
        <w:t xml:space="preserve">has been categorised as type A application </w:t>
      </w:r>
      <w:r w:rsidR="004C32C6">
        <w:rPr>
          <w:rStyle w:val="ECCParagraph"/>
        </w:rPr>
        <w:t>(</w:t>
      </w:r>
      <w:r w:rsidR="004C32C6" w:rsidRPr="004C32C6">
        <w:rPr>
          <w:rStyle w:val="ECCParagraph"/>
        </w:rPr>
        <w:t xml:space="preserve">see </w:t>
      </w:r>
      <w:r w:rsidR="009D5FA2">
        <w:rPr>
          <w:rStyle w:val="ECCParagraph"/>
        </w:rPr>
        <w:t>section</w:t>
      </w:r>
      <w:r w:rsidR="00056EE5">
        <w:rPr>
          <w:rStyle w:val="ECCParagraph"/>
        </w:rPr>
        <w:t xml:space="preserve"> </w:t>
      </w:r>
      <w:r w:rsidR="00056EE5" w:rsidRPr="004C32C6">
        <w:rPr>
          <w:rStyle w:val="ECCParagraph"/>
        </w:rPr>
        <w:fldChar w:fldCharType="begin"/>
      </w:r>
      <w:r w:rsidR="00056EE5" w:rsidRPr="004C32C6">
        <w:rPr>
          <w:rStyle w:val="ECCParagraph"/>
        </w:rPr>
        <w:instrText xml:space="preserve"> REF _Ref7786850 \r \h  \* MERGEFORMAT </w:instrText>
      </w:r>
      <w:r w:rsidR="00056EE5" w:rsidRPr="004C32C6">
        <w:rPr>
          <w:rStyle w:val="ECCParagraph"/>
        </w:rPr>
      </w:r>
      <w:r w:rsidR="00056EE5" w:rsidRPr="004C32C6">
        <w:rPr>
          <w:rStyle w:val="ECCParagraph"/>
        </w:rPr>
        <w:fldChar w:fldCharType="separate"/>
      </w:r>
      <w:r w:rsidR="004F49F9">
        <w:rPr>
          <w:rStyle w:val="ECCParagraph"/>
        </w:rPr>
        <w:t>2.1</w:t>
      </w:r>
      <w:r w:rsidR="00056EE5" w:rsidRPr="004C32C6">
        <w:rPr>
          <w:rStyle w:val="ECCParagraph"/>
        </w:rPr>
        <w:fldChar w:fldCharType="end"/>
      </w:r>
      <w:r w:rsidR="004C32C6">
        <w:rPr>
          <w:rStyle w:val="ECCParagraph"/>
        </w:rPr>
        <w:t>)</w:t>
      </w:r>
      <w:r w:rsidRPr="008F3C23">
        <w:rPr>
          <w:rStyle w:val="ECCParagraph"/>
        </w:rPr>
        <w:t xml:space="preserve">. The following frequency ranges are proposed to be considered for this type of application </w:t>
      </w:r>
      <w:r w:rsidR="004C32C6">
        <w:rPr>
          <w:rStyle w:val="ECCParagraph"/>
        </w:rPr>
        <w:t>(</w:t>
      </w:r>
      <w:r w:rsidR="004C32C6" w:rsidRPr="004C32C6">
        <w:rPr>
          <w:rStyle w:val="ECCParagraph"/>
        </w:rPr>
        <w:t>see</w:t>
      </w:r>
      <w:r w:rsidR="00056EE5">
        <w:rPr>
          <w:rStyle w:val="ECCParagraph"/>
        </w:rPr>
        <w:t xml:space="preserve"> </w:t>
      </w:r>
      <w:r w:rsidR="00056EE5" w:rsidRPr="004C32C6">
        <w:rPr>
          <w:rStyle w:val="ECCParagraph"/>
        </w:rPr>
        <w:fldChar w:fldCharType="begin"/>
      </w:r>
      <w:r w:rsidR="00056EE5" w:rsidRPr="004C32C6">
        <w:rPr>
          <w:rStyle w:val="ECCParagraph"/>
        </w:rPr>
        <w:instrText xml:space="preserve"> REF _Ref15636825 \h </w:instrText>
      </w:r>
      <w:r w:rsidR="00056EE5" w:rsidRPr="004C32C6">
        <w:rPr>
          <w:rStyle w:val="ECCParagraph"/>
        </w:rPr>
      </w:r>
      <w:r w:rsidR="00056EE5" w:rsidRPr="004C32C6">
        <w:rPr>
          <w:rStyle w:val="ECCParagraph"/>
        </w:rPr>
        <w:fldChar w:fldCharType="separate"/>
      </w:r>
      <w:r w:rsidR="0041125F" w:rsidRPr="006D6727">
        <w:rPr>
          <w:noProof/>
        </w:rPr>
        <w:t>Table </w:t>
      </w:r>
      <w:r w:rsidR="0041125F">
        <w:rPr>
          <w:noProof/>
        </w:rPr>
        <w:t>33</w:t>
      </w:r>
      <w:r w:rsidR="00056EE5" w:rsidRPr="004C32C6">
        <w:rPr>
          <w:rStyle w:val="ECCParagraph"/>
        </w:rPr>
        <w:fldChar w:fldCharType="end"/>
      </w:r>
      <w:r w:rsidR="004C32C6">
        <w:rPr>
          <w:rStyle w:val="ECCParagraph"/>
        </w:rPr>
        <w:t>):</w:t>
      </w:r>
    </w:p>
    <w:p w14:paraId="162FC8F0" w14:textId="77777777" w:rsidR="00AA355D" w:rsidRPr="00AA355D" w:rsidRDefault="00AA355D" w:rsidP="005C246A">
      <w:pPr>
        <w:pStyle w:val="ECCBulletsLv1"/>
        <w:keepNext/>
        <w:rPr>
          <w:rStyle w:val="ECCParagraph"/>
        </w:rPr>
      </w:pPr>
      <w:r w:rsidRPr="008F3C23">
        <w:rPr>
          <w:rStyle w:val="ECCParagraph"/>
        </w:rPr>
        <w:t>116 GHz to 130 GHz;</w:t>
      </w:r>
    </w:p>
    <w:p w14:paraId="423C5E5A" w14:textId="77777777" w:rsidR="00AA355D" w:rsidRPr="00AA355D" w:rsidRDefault="00AA355D" w:rsidP="005C246A">
      <w:pPr>
        <w:pStyle w:val="ECCBulletsLv1"/>
        <w:keepNext/>
        <w:rPr>
          <w:rStyle w:val="ECCParagraph"/>
        </w:rPr>
      </w:pPr>
      <w:r w:rsidRPr="008F3C23">
        <w:rPr>
          <w:rStyle w:val="ECCParagraph"/>
        </w:rPr>
        <w:t>134 GHz to 141 GHz;</w:t>
      </w:r>
    </w:p>
    <w:p w14:paraId="20FC8142" w14:textId="77777777" w:rsidR="00AA355D" w:rsidRPr="00AA355D" w:rsidRDefault="00AA355D" w:rsidP="005C246A">
      <w:pPr>
        <w:pStyle w:val="ECCBulletsLv1"/>
        <w:keepNext/>
        <w:rPr>
          <w:rStyle w:val="ECCParagraph"/>
        </w:rPr>
      </w:pPr>
      <w:r w:rsidRPr="008F3C23">
        <w:rPr>
          <w:rStyle w:val="ECCParagraph"/>
        </w:rPr>
        <w:t>1</w:t>
      </w:r>
      <w:r w:rsidRPr="00AA355D">
        <w:rPr>
          <w:rStyle w:val="ECCParagraph"/>
        </w:rPr>
        <w:t>41 GHz to 148</w:t>
      </w:r>
      <w:r w:rsidR="00CF4994">
        <w:rPr>
          <w:rStyle w:val="ECCParagraph"/>
        </w:rPr>
        <w:t>.5</w:t>
      </w:r>
      <w:r w:rsidRPr="00AA355D">
        <w:rPr>
          <w:rStyle w:val="ECCParagraph"/>
        </w:rPr>
        <w:t> GHz.</w:t>
      </w:r>
    </w:p>
    <w:p w14:paraId="11F77D4C" w14:textId="77777777" w:rsidR="00AA355D" w:rsidRDefault="00AA355D" w:rsidP="004E36C2">
      <w:pPr>
        <w:pStyle w:val="Heading4"/>
      </w:pPr>
      <w:bookmarkStart w:id="87" w:name="_Toc51064252"/>
      <w:bookmarkStart w:id="88" w:name="_Ref67485833"/>
      <w:bookmarkStart w:id="89" w:name="_Ref67854364"/>
      <w:bookmarkStart w:id="90" w:name="_Ref67854482"/>
      <w:bookmarkStart w:id="91" w:name="_Ref67903167"/>
      <w:bookmarkStart w:id="92" w:name="_Ref67903579"/>
      <w:bookmarkStart w:id="93" w:name="_Ref67913345"/>
      <w:bookmarkStart w:id="94" w:name="_Toc84325245"/>
      <w:r w:rsidRPr="00CA4D57">
        <w:t>Technical parameters</w:t>
      </w:r>
      <w:bookmarkEnd w:id="87"/>
      <w:bookmarkEnd w:id="88"/>
      <w:bookmarkEnd w:id="89"/>
      <w:bookmarkEnd w:id="90"/>
      <w:bookmarkEnd w:id="91"/>
      <w:bookmarkEnd w:id="92"/>
      <w:bookmarkEnd w:id="93"/>
      <w:bookmarkEnd w:id="94"/>
    </w:p>
    <w:p w14:paraId="5E8E888D" w14:textId="75E8578D" w:rsidR="00C4290E" w:rsidRDefault="00D41925" w:rsidP="002D7486">
      <w:pPr>
        <w:pStyle w:val="ECCTabletext"/>
        <w:rPr>
          <w:rStyle w:val="ECCParagraph"/>
        </w:rPr>
      </w:pPr>
      <w:r>
        <w:rPr>
          <w:rStyle w:val="ECCParagraph"/>
          <w:highlight w:val="yellow"/>
        </w:rPr>
        <w:fldChar w:fldCharType="begin"/>
      </w:r>
      <w:r>
        <w:rPr>
          <w:rStyle w:val="ECCParagraph"/>
        </w:rPr>
        <w:instrText xml:space="preserve"> REF _Ref66370842 \h </w:instrText>
      </w:r>
      <w:r>
        <w:rPr>
          <w:rStyle w:val="ECCParagraph"/>
          <w:highlight w:val="yellow"/>
        </w:rPr>
      </w:r>
      <w:r>
        <w:rPr>
          <w:rStyle w:val="ECCParagraph"/>
          <w:highlight w:val="yellow"/>
        </w:rPr>
        <w:fldChar w:fldCharType="separate"/>
      </w:r>
      <w:r w:rsidR="0041125F" w:rsidRPr="00841814">
        <w:rPr>
          <w:rStyle w:val="ECCParagraph"/>
        </w:rPr>
        <w:t>Table </w:t>
      </w:r>
      <w:r w:rsidR="0041125F">
        <w:rPr>
          <w:rStyle w:val="ECCParagraph"/>
          <w:noProof/>
        </w:rPr>
        <w:t>10</w:t>
      </w:r>
      <w:r>
        <w:rPr>
          <w:rStyle w:val="ECCParagraph"/>
          <w:highlight w:val="yellow"/>
        </w:rPr>
        <w:fldChar w:fldCharType="end"/>
      </w:r>
      <w:r>
        <w:rPr>
          <w:rStyle w:val="ECCParagraph"/>
        </w:rPr>
        <w:t xml:space="preserve"> </w:t>
      </w:r>
      <w:r w:rsidR="00C4290E" w:rsidRPr="008F3C23">
        <w:rPr>
          <w:rStyle w:val="ECCParagraph"/>
        </w:rPr>
        <w:t xml:space="preserve">gives an overview of the technical parameters of </w:t>
      </w:r>
      <w:r w:rsidR="00C4290E">
        <w:rPr>
          <w:rStyle w:val="ECCParagraph"/>
        </w:rPr>
        <w:t xml:space="preserve">the indoor surveillance applications </w:t>
      </w:r>
      <w:r w:rsidR="00C4290E" w:rsidRPr="008F3C23">
        <w:rPr>
          <w:rStyle w:val="ECCParagraph"/>
        </w:rPr>
        <w:t>which may be relevant for conducting the compatibility studies.</w:t>
      </w:r>
    </w:p>
    <w:p w14:paraId="1D196F0D" w14:textId="67CFC9BB" w:rsidR="00C4290E" w:rsidRPr="008F3C23" w:rsidRDefault="00841814" w:rsidP="00C4290E">
      <w:pPr>
        <w:pStyle w:val="Caption"/>
        <w:rPr>
          <w:rStyle w:val="ECCHLyellow"/>
        </w:rPr>
      </w:pPr>
      <w:bookmarkStart w:id="95" w:name="_Ref66370842"/>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F49F9">
        <w:rPr>
          <w:rStyle w:val="ECCParagraph"/>
          <w:noProof/>
        </w:rPr>
        <w:t>10</w:t>
      </w:r>
      <w:r w:rsidRPr="00841814">
        <w:rPr>
          <w:rStyle w:val="ECCParagraph"/>
        </w:rPr>
        <w:fldChar w:fldCharType="end"/>
      </w:r>
      <w:bookmarkEnd w:id="95"/>
      <w:r w:rsidR="00C4290E" w:rsidRPr="008F3C23">
        <w:t xml:space="preserve">: </w:t>
      </w:r>
      <w:r w:rsidR="00C4290E" w:rsidRPr="00C4290E">
        <w:rPr>
          <w:rStyle w:val="ECCParagraph"/>
          <w:rFonts w:eastAsia="Calibri"/>
        </w:rPr>
        <w:t xml:space="preserve">Technical parameters of </w:t>
      </w:r>
      <w:r w:rsidR="00C4290E" w:rsidRPr="008F3C23">
        <w:rPr>
          <w:rStyle w:val="ECCParagraph"/>
        </w:rPr>
        <w:t>indoor surveillance radar</w:t>
      </w:r>
    </w:p>
    <w:tbl>
      <w:tblPr>
        <w:tblStyle w:val="ECCTable-redheader"/>
        <w:tblW w:w="5000" w:type="pct"/>
        <w:tblInd w:w="0" w:type="dxa"/>
        <w:tblLook w:val="04A0" w:firstRow="1" w:lastRow="0" w:firstColumn="1" w:lastColumn="0" w:noHBand="0" w:noVBand="1"/>
      </w:tblPr>
      <w:tblGrid>
        <w:gridCol w:w="2549"/>
        <w:gridCol w:w="3968"/>
        <w:gridCol w:w="3112"/>
      </w:tblGrid>
      <w:tr w:rsidR="00C4290E" w:rsidRPr="008D6125" w14:paraId="277319AC" w14:textId="77777777" w:rsidTr="00CD03F7">
        <w:trPr>
          <w:cnfStyle w:val="100000000000" w:firstRow="1" w:lastRow="0" w:firstColumn="0" w:lastColumn="0" w:oddVBand="0" w:evenVBand="0" w:oddHBand="0" w:evenHBand="0" w:firstRowFirstColumn="0" w:firstRowLastColumn="0" w:lastRowFirstColumn="0" w:lastRowLastColumn="0"/>
        </w:trPr>
        <w:tc>
          <w:tcPr>
            <w:tcW w:w="1323" w:type="pct"/>
          </w:tcPr>
          <w:p w14:paraId="73C619CA" w14:textId="77777777" w:rsidR="00C4290E" w:rsidRPr="00C4290E" w:rsidRDefault="00C4290E" w:rsidP="00CD03F7">
            <w:pPr>
              <w:pStyle w:val="ECCTabletext"/>
              <w:spacing w:before="120"/>
              <w:jc w:val="left"/>
              <w:rPr>
                <w:rStyle w:val="ECCParagraph"/>
              </w:rPr>
            </w:pPr>
            <w:r w:rsidRPr="008D6125">
              <w:rPr>
                <w:rStyle w:val="ECCParagraph"/>
              </w:rPr>
              <w:t>Parameter</w:t>
            </w:r>
          </w:p>
        </w:tc>
        <w:tc>
          <w:tcPr>
            <w:tcW w:w="2060" w:type="pct"/>
          </w:tcPr>
          <w:p w14:paraId="11D852F2" w14:textId="77777777" w:rsidR="00C4290E" w:rsidRPr="00C4290E" w:rsidRDefault="00C4290E" w:rsidP="00CD03F7">
            <w:pPr>
              <w:pStyle w:val="ECCTabletext"/>
              <w:spacing w:before="120"/>
              <w:jc w:val="left"/>
              <w:rPr>
                <w:rStyle w:val="ECCParagraph"/>
              </w:rPr>
            </w:pPr>
            <w:r w:rsidRPr="008D6125">
              <w:rPr>
                <w:rStyle w:val="ECCParagraph"/>
              </w:rPr>
              <w:t>Value</w:t>
            </w:r>
          </w:p>
        </w:tc>
        <w:tc>
          <w:tcPr>
            <w:tcW w:w="1616" w:type="pct"/>
          </w:tcPr>
          <w:p w14:paraId="32F2CB6E" w14:textId="77777777" w:rsidR="00C4290E" w:rsidRPr="00C4290E" w:rsidRDefault="00C4290E" w:rsidP="00CD03F7">
            <w:pPr>
              <w:pStyle w:val="ECCTabletext"/>
              <w:spacing w:before="120"/>
              <w:jc w:val="left"/>
              <w:rPr>
                <w:rStyle w:val="ECCParagraph"/>
              </w:rPr>
            </w:pPr>
            <w:r w:rsidRPr="008D6125">
              <w:rPr>
                <w:rStyle w:val="ECCParagraph"/>
              </w:rPr>
              <w:t>Notes</w:t>
            </w:r>
          </w:p>
        </w:tc>
      </w:tr>
      <w:tr w:rsidR="00C4290E" w:rsidRPr="008D6125" w14:paraId="64470D5F" w14:textId="77777777" w:rsidTr="00CD03F7">
        <w:trPr>
          <w:trHeight w:val="265"/>
        </w:trPr>
        <w:tc>
          <w:tcPr>
            <w:tcW w:w="1323" w:type="pct"/>
          </w:tcPr>
          <w:p w14:paraId="05ACA5BE" w14:textId="77777777" w:rsidR="00C4290E" w:rsidRPr="00C4290E" w:rsidRDefault="00C4290E" w:rsidP="00CD03F7">
            <w:pPr>
              <w:pStyle w:val="ECCTabletext"/>
              <w:jc w:val="left"/>
              <w:rPr>
                <w:rStyle w:val="ECCParagraph"/>
              </w:rPr>
            </w:pPr>
            <w:r w:rsidRPr="008D6125">
              <w:rPr>
                <w:rStyle w:val="ECCParagraph"/>
              </w:rPr>
              <w:t>Modulation scheme</w:t>
            </w:r>
          </w:p>
        </w:tc>
        <w:tc>
          <w:tcPr>
            <w:tcW w:w="2060" w:type="pct"/>
          </w:tcPr>
          <w:p w14:paraId="4B5F1DB9" w14:textId="77777777" w:rsidR="00C4290E" w:rsidRPr="00C4290E" w:rsidRDefault="00C4290E" w:rsidP="00CD03F7">
            <w:pPr>
              <w:pStyle w:val="ECCTabletext"/>
              <w:jc w:val="left"/>
              <w:rPr>
                <w:rStyle w:val="ECCParagraph"/>
              </w:rPr>
            </w:pPr>
            <w:r>
              <w:rPr>
                <w:rStyle w:val="ECCParagraph"/>
              </w:rPr>
              <w:t xml:space="preserve">Different </w:t>
            </w:r>
            <w:r w:rsidRPr="00C4290E">
              <w:rPr>
                <w:rStyle w:val="ECCParagraph"/>
              </w:rPr>
              <w:t>modulation schemes are currently possible:</w:t>
            </w:r>
          </w:p>
          <w:p w14:paraId="1B0428C9" w14:textId="77777777" w:rsidR="00C4290E" w:rsidRPr="00C4290E" w:rsidRDefault="00C4290E" w:rsidP="00CD03F7">
            <w:pPr>
              <w:pStyle w:val="ECCBulletsLv1"/>
              <w:jc w:val="left"/>
              <w:rPr>
                <w:rStyle w:val="ECCParagraph"/>
              </w:rPr>
            </w:pPr>
            <w:r w:rsidRPr="008D6125">
              <w:rPr>
                <w:rStyle w:val="ECCParagraph"/>
              </w:rPr>
              <w:t>Frequency Modulated Continuous Wave (FMCW)</w:t>
            </w:r>
          </w:p>
          <w:p w14:paraId="099D740D" w14:textId="77777777" w:rsidR="00C4290E" w:rsidRPr="00C4290E" w:rsidRDefault="00C4290E" w:rsidP="00CD03F7">
            <w:pPr>
              <w:pStyle w:val="ECCBulletsLv1"/>
              <w:jc w:val="left"/>
              <w:rPr>
                <w:rStyle w:val="ECCParagraph"/>
              </w:rPr>
            </w:pPr>
            <w:r>
              <w:rPr>
                <w:rStyle w:val="ECCParagraph"/>
              </w:rPr>
              <w:t>Pulsed</w:t>
            </w:r>
          </w:p>
          <w:p w14:paraId="7879BFB5" w14:textId="77777777" w:rsidR="00C4290E" w:rsidRPr="00C4290E" w:rsidRDefault="00C4290E" w:rsidP="00CD03F7">
            <w:pPr>
              <w:pStyle w:val="ECCBulletsLv1"/>
              <w:jc w:val="left"/>
              <w:rPr>
                <w:rStyle w:val="ECCParagraph"/>
              </w:rPr>
            </w:pPr>
            <w:r>
              <w:rPr>
                <w:rStyle w:val="ECCParagraph"/>
              </w:rPr>
              <w:t>OFDM</w:t>
            </w:r>
          </w:p>
        </w:tc>
        <w:tc>
          <w:tcPr>
            <w:tcW w:w="1616" w:type="pct"/>
          </w:tcPr>
          <w:p w14:paraId="71BC6A4D" w14:textId="77777777" w:rsidR="00C4290E" w:rsidRPr="008D6125" w:rsidRDefault="00C4290E" w:rsidP="00CD03F7">
            <w:pPr>
              <w:pStyle w:val="ECCTabletext"/>
              <w:jc w:val="left"/>
              <w:rPr>
                <w:rStyle w:val="ECCParagraph"/>
              </w:rPr>
            </w:pPr>
          </w:p>
        </w:tc>
      </w:tr>
      <w:tr w:rsidR="00C4290E" w:rsidRPr="008D6125" w14:paraId="59BB0E04" w14:textId="77777777" w:rsidTr="00CD03F7">
        <w:trPr>
          <w:trHeight w:val="265"/>
        </w:trPr>
        <w:tc>
          <w:tcPr>
            <w:tcW w:w="1323" w:type="pct"/>
          </w:tcPr>
          <w:p w14:paraId="14D8EA07" w14:textId="77777777" w:rsidR="00C4290E" w:rsidRPr="00C4290E" w:rsidRDefault="00C4290E" w:rsidP="00CD03F7">
            <w:pPr>
              <w:pStyle w:val="ECCTabletext"/>
              <w:jc w:val="left"/>
              <w:rPr>
                <w:rStyle w:val="ECCParagraph"/>
              </w:rPr>
            </w:pPr>
            <w:r w:rsidRPr="008D6125">
              <w:rPr>
                <w:rStyle w:val="ECCParagraph"/>
              </w:rPr>
              <w:t xml:space="preserve">Operating </w:t>
            </w:r>
            <w:r w:rsidRPr="00C4290E">
              <w:rPr>
                <w:rStyle w:val="ECCParagraph"/>
              </w:rPr>
              <w:t>frequency range (OFR)</w:t>
            </w:r>
          </w:p>
        </w:tc>
        <w:tc>
          <w:tcPr>
            <w:tcW w:w="2060" w:type="pct"/>
          </w:tcPr>
          <w:p w14:paraId="6096D353" w14:textId="77777777" w:rsidR="00C4290E" w:rsidRPr="00C4290E" w:rsidRDefault="00C4290E" w:rsidP="00CD03F7">
            <w:pPr>
              <w:pStyle w:val="ECCTabletext"/>
              <w:jc w:val="left"/>
              <w:rPr>
                <w:rStyle w:val="ECCParagraph"/>
              </w:rPr>
            </w:pPr>
            <w:r w:rsidRPr="008D6125">
              <w:rPr>
                <w:rStyle w:val="ECCParagraph"/>
              </w:rPr>
              <w:t>116 GHz to 130</w:t>
            </w:r>
            <w:r w:rsidRPr="00C4290E">
              <w:rPr>
                <w:rStyle w:val="ECCParagraph"/>
              </w:rPr>
              <w:t> GHz</w:t>
            </w:r>
          </w:p>
          <w:p w14:paraId="15360D9E" w14:textId="77777777" w:rsidR="00C4290E" w:rsidRPr="00C4290E" w:rsidRDefault="00C4290E" w:rsidP="00CD03F7">
            <w:pPr>
              <w:pStyle w:val="ECCTabletext"/>
              <w:jc w:val="left"/>
              <w:rPr>
                <w:rStyle w:val="ECCParagraph"/>
              </w:rPr>
            </w:pPr>
            <w:r w:rsidRPr="008D6125">
              <w:rPr>
                <w:rStyle w:val="ECCParagraph"/>
              </w:rPr>
              <w:t>134 GHz to 141</w:t>
            </w:r>
            <w:r w:rsidRPr="00C4290E">
              <w:rPr>
                <w:rStyle w:val="ECCParagraph"/>
              </w:rPr>
              <w:t> GHz</w:t>
            </w:r>
          </w:p>
          <w:p w14:paraId="55B5208B" w14:textId="77777777" w:rsidR="00C4290E" w:rsidRPr="00C4290E" w:rsidRDefault="00C4290E" w:rsidP="00CD03F7">
            <w:pPr>
              <w:pStyle w:val="ECCTabletext"/>
              <w:jc w:val="left"/>
              <w:rPr>
                <w:rStyle w:val="ECCParagraph"/>
              </w:rPr>
            </w:pPr>
            <w:r w:rsidRPr="008D6125">
              <w:rPr>
                <w:rStyle w:val="ECCParagraph"/>
              </w:rPr>
              <w:t>141 GHz to 148</w:t>
            </w:r>
            <w:r w:rsidR="00CF4994">
              <w:rPr>
                <w:rStyle w:val="ECCParagraph"/>
              </w:rPr>
              <w:t>.5</w:t>
            </w:r>
            <w:r w:rsidRPr="00C4290E">
              <w:rPr>
                <w:rStyle w:val="ECCParagraph"/>
              </w:rPr>
              <w:t> GHz</w:t>
            </w:r>
          </w:p>
        </w:tc>
        <w:tc>
          <w:tcPr>
            <w:tcW w:w="1616" w:type="pct"/>
          </w:tcPr>
          <w:p w14:paraId="20AE4C8A" w14:textId="77777777" w:rsidR="00C4290E" w:rsidRPr="008D6125" w:rsidRDefault="00C4290E" w:rsidP="00CD03F7">
            <w:pPr>
              <w:pStyle w:val="ECCTabletext"/>
              <w:jc w:val="left"/>
              <w:rPr>
                <w:rStyle w:val="ECCParagraph"/>
              </w:rPr>
            </w:pPr>
          </w:p>
        </w:tc>
      </w:tr>
      <w:tr w:rsidR="00C4290E" w:rsidRPr="008D6125" w14:paraId="6B1F5CF1" w14:textId="77777777" w:rsidTr="00CD03F7">
        <w:trPr>
          <w:trHeight w:val="265"/>
        </w:trPr>
        <w:tc>
          <w:tcPr>
            <w:tcW w:w="1323" w:type="pct"/>
          </w:tcPr>
          <w:p w14:paraId="78159F05" w14:textId="77777777" w:rsidR="00C4290E" w:rsidRPr="00C4290E" w:rsidRDefault="00C4290E" w:rsidP="00CD03F7">
            <w:pPr>
              <w:pStyle w:val="ECCTabletext"/>
              <w:jc w:val="left"/>
              <w:rPr>
                <w:rStyle w:val="ECCParagraph"/>
              </w:rPr>
            </w:pPr>
            <w:r w:rsidRPr="008D6125">
              <w:rPr>
                <w:rStyle w:val="ECCParagraph"/>
              </w:rPr>
              <w:t>Available modulation bandwidth</w:t>
            </w:r>
          </w:p>
        </w:tc>
        <w:tc>
          <w:tcPr>
            <w:tcW w:w="2060" w:type="pct"/>
          </w:tcPr>
          <w:p w14:paraId="70826E69" w14:textId="49D79565" w:rsidR="00C4290E" w:rsidRPr="00C4290E" w:rsidRDefault="00C4290E" w:rsidP="00CD03F7">
            <w:pPr>
              <w:pStyle w:val="ECCTabletext"/>
              <w:jc w:val="left"/>
              <w:rPr>
                <w:rStyle w:val="ECCParagraph"/>
              </w:rPr>
            </w:pPr>
            <w:r>
              <w:rPr>
                <w:rStyle w:val="ECCParagraph"/>
              </w:rPr>
              <w:t>14</w:t>
            </w:r>
            <w:r w:rsidR="009D5FA2">
              <w:rPr>
                <w:rStyle w:val="ECCParagraph"/>
              </w:rPr>
              <w:t xml:space="preserve"> </w:t>
            </w:r>
            <w:r>
              <w:rPr>
                <w:rStyle w:val="ECCParagraph"/>
              </w:rPr>
              <w:t>GHz, 7</w:t>
            </w:r>
            <w:r w:rsidR="009D5FA2">
              <w:rPr>
                <w:rStyle w:val="ECCParagraph"/>
              </w:rPr>
              <w:t xml:space="preserve"> </w:t>
            </w:r>
            <w:r>
              <w:rPr>
                <w:rStyle w:val="ECCParagraph"/>
              </w:rPr>
              <w:t>GHz and 7.5</w:t>
            </w:r>
            <w:r w:rsidR="009D5FA2">
              <w:rPr>
                <w:rStyle w:val="ECCParagraph"/>
              </w:rPr>
              <w:t xml:space="preserve"> </w:t>
            </w:r>
            <w:r>
              <w:rPr>
                <w:rStyle w:val="ECCParagraph"/>
              </w:rPr>
              <w:t>GHz</w:t>
            </w:r>
          </w:p>
        </w:tc>
        <w:tc>
          <w:tcPr>
            <w:tcW w:w="1616" w:type="pct"/>
          </w:tcPr>
          <w:p w14:paraId="56D2AC0D" w14:textId="77777777" w:rsidR="00C4290E" w:rsidRPr="00A060A7" w:rsidRDefault="00C4290E" w:rsidP="00CD03F7">
            <w:pPr>
              <w:pStyle w:val="ECCTabletext"/>
              <w:jc w:val="left"/>
              <w:rPr>
                <w:rStyle w:val="ECCParagraph"/>
              </w:rPr>
            </w:pPr>
          </w:p>
        </w:tc>
      </w:tr>
      <w:tr w:rsidR="00C4290E" w:rsidRPr="008D6125" w14:paraId="57BB9959" w14:textId="77777777" w:rsidTr="00CD03F7">
        <w:trPr>
          <w:trHeight w:val="265"/>
        </w:trPr>
        <w:tc>
          <w:tcPr>
            <w:tcW w:w="1323" w:type="pct"/>
          </w:tcPr>
          <w:p w14:paraId="2D3D6ACF" w14:textId="77777777" w:rsidR="00C4290E" w:rsidRPr="00C4290E" w:rsidRDefault="00C4290E" w:rsidP="00CD03F7">
            <w:pPr>
              <w:pStyle w:val="ECCTabletext"/>
              <w:jc w:val="left"/>
              <w:rPr>
                <w:rStyle w:val="ECCHLyellow"/>
              </w:rPr>
            </w:pPr>
            <w:r w:rsidRPr="008D6125">
              <w:rPr>
                <w:rStyle w:val="ECCParagraph"/>
              </w:rPr>
              <w:t>Used modulation bandwidth</w:t>
            </w:r>
          </w:p>
        </w:tc>
        <w:tc>
          <w:tcPr>
            <w:tcW w:w="2060" w:type="pct"/>
          </w:tcPr>
          <w:p w14:paraId="28375859" w14:textId="77777777" w:rsidR="00C4290E" w:rsidRPr="00C4290E" w:rsidRDefault="00C4290E" w:rsidP="00CD03F7">
            <w:pPr>
              <w:pStyle w:val="ECCTabletext"/>
              <w:jc w:val="left"/>
              <w:rPr>
                <w:rStyle w:val="ECCHLyellow"/>
              </w:rPr>
            </w:pPr>
            <w:r w:rsidRPr="008D6125">
              <w:rPr>
                <w:rStyle w:val="ECCParagraph"/>
              </w:rPr>
              <w:t>1, 2, 4, 7, 14</w:t>
            </w:r>
            <w:r w:rsidRPr="00C4290E">
              <w:rPr>
                <w:rStyle w:val="ECCParagraph"/>
              </w:rPr>
              <w:t> GHz</w:t>
            </w:r>
          </w:p>
        </w:tc>
        <w:tc>
          <w:tcPr>
            <w:tcW w:w="1616" w:type="pct"/>
          </w:tcPr>
          <w:p w14:paraId="6E451D4E" w14:textId="77777777" w:rsidR="00C4290E" w:rsidRPr="00C4290E" w:rsidRDefault="00C4290E" w:rsidP="00CD03F7">
            <w:pPr>
              <w:pStyle w:val="ECCTabletext"/>
              <w:jc w:val="left"/>
              <w:rPr>
                <w:rStyle w:val="ECCParagraph"/>
              </w:rPr>
            </w:pPr>
            <w:r w:rsidRPr="008D6125">
              <w:rPr>
                <w:rStyle w:val="ECCParagraph"/>
              </w:rPr>
              <w:t>-</w:t>
            </w:r>
            <w:r w:rsidRPr="00C4290E">
              <w:rPr>
                <w:rStyle w:val="ECCParagraph"/>
              </w:rPr>
              <w:t>20 dB bandwidth</w:t>
            </w:r>
          </w:p>
          <w:p w14:paraId="6C822468" w14:textId="77777777" w:rsidR="00C4290E" w:rsidRPr="00C4290E" w:rsidRDefault="00C4290E" w:rsidP="00CD03F7">
            <w:pPr>
              <w:pStyle w:val="ECCTabletext"/>
              <w:jc w:val="left"/>
              <w:rPr>
                <w:rStyle w:val="ECCHLyellow"/>
              </w:rPr>
            </w:pPr>
            <w:r w:rsidRPr="008D6125">
              <w:rPr>
                <w:rStyle w:val="ECCParagraph"/>
              </w:rPr>
              <w:t>aligned in the OFR</w:t>
            </w:r>
          </w:p>
        </w:tc>
      </w:tr>
      <w:tr w:rsidR="00C4290E" w:rsidRPr="008D6125" w14:paraId="634005B7" w14:textId="77777777" w:rsidTr="00CD03F7">
        <w:trPr>
          <w:trHeight w:val="265"/>
        </w:trPr>
        <w:tc>
          <w:tcPr>
            <w:tcW w:w="1323" w:type="pct"/>
          </w:tcPr>
          <w:p w14:paraId="52F6D701" w14:textId="77777777" w:rsidR="00C4290E" w:rsidRPr="00C4290E" w:rsidRDefault="00C4290E" w:rsidP="00CD03F7">
            <w:pPr>
              <w:pStyle w:val="ECCTabletext"/>
              <w:jc w:val="left"/>
              <w:rPr>
                <w:rStyle w:val="ECCParagraph"/>
              </w:rPr>
            </w:pPr>
            <w:r w:rsidRPr="008D6125">
              <w:rPr>
                <w:rStyle w:val="ECCParagraph"/>
              </w:rPr>
              <w:t>Sweep-time</w:t>
            </w:r>
          </w:p>
        </w:tc>
        <w:tc>
          <w:tcPr>
            <w:tcW w:w="2060" w:type="pct"/>
          </w:tcPr>
          <w:p w14:paraId="62A31BE0" w14:textId="77777777" w:rsidR="00C4290E" w:rsidRPr="00C4290E" w:rsidRDefault="00C4290E" w:rsidP="00CD03F7">
            <w:pPr>
              <w:pStyle w:val="ECCTabletext"/>
              <w:jc w:val="left"/>
              <w:rPr>
                <w:rStyle w:val="ECCParagraph"/>
              </w:rPr>
            </w:pPr>
            <w:r w:rsidRPr="008D6125">
              <w:rPr>
                <w:rStyle w:val="ECCParagraph"/>
              </w:rPr>
              <w:t xml:space="preserve">10 µs to </w:t>
            </w:r>
            <w:r w:rsidRPr="00C4290E">
              <w:rPr>
                <w:rStyle w:val="ECCParagraph"/>
              </w:rPr>
              <w:t>15 ms</w:t>
            </w:r>
          </w:p>
        </w:tc>
        <w:tc>
          <w:tcPr>
            <w:tcW w:w="1616" w:type="pct"/>
          </w:tcPr>
          <w:p w14:paraId="26714A67" w14:textId="77777777" w:rsidR="00C4290E" w:rsidRPr="00C4290E" w:rsidRDefault="00C4290E" w:rsidP="00CD03F7">
            <w:pPr>
              <w:pStyle w:val="ECCTabletext"/>
              <w:jc w:val="left"/>
              <w:rPr>
                <w:rStyle w:val="ECCParagraph"/>
              </w:rPr>
            </w:pPr>
            <w:r w:rsidRPr="008D6125">
              <w:rPr>
                <w:rStyle w:val="ECCParagraph"/>
              </w:rPr>
              <w:t>for a single frequency sweep over entire modulation bandwidth</w:t>
            </w:r>
          </w:p>
        </w:tc>
      </w:tr>
      <w:tr w:rsidR="00C4290E" w:rsidRPr="009D5FA2" w14:paraId="584388FA" w14:textId="77777777" w:rsidTr="00CD03F7">
        <w:trPr>
          <w:trHeight w:val="265"/>
        </w:trPr>
        <w:tc>
          <w:tcPr>
            <w:tcW w:w="1323" w:type="pct"/>
          </w:tcPr>
          <w:p w14:paraId="2A283571" w14:textId="77777777" w:rsidR="00C4290E" w:rsidRPr="009D5FA2" w:rsidRDefault="00C4290E" w:rsidP="00CD03F7">
            <w:pPr>
              <w:pStyle w:val="ECCTabletext"/>
              <w:jc w:val="left"/>
              <w:rPr>
                <w:rStyle w:val="ECCParagraph"/>
              </w:rPr>
            </w:pPr>
            <w:r w:rsidRPr="009D5FA2">
              <w:rPr>
                <w:rStyle w:val="ECCParagraph"/>
              </w:rPr>
              <w:t>Duty cycle</w:t>
            </w:r>
          </w:p>
        </w:tc>
        <w:tc>
          <w:tcPr>
            <w:tcW w:w="2060" w:type="pct"/>
          </w:tcPr>
          <w:p w14:paraId="63970278" w14:textId="50553BC7" w:rsidR="00C4290E" w:rsidRPr="009D5FA2" w:rsidRDefault="00C4290E" w:rsidP="00CD03F7">
            <w:pPr>
              <w:jc w:val="left"/>
            </w:pPr>
            <w:r w:rsidRPr="009D5FA2">
              <w:t>Max</w:t>
            </w:r>
            <w:r w:rsidR="00BC0C97" w:rsidRPr="009D5FA2">
              <w:t>imum</w:t>
            </w:r>
            <w:r w:rsidRPr="009D5FA2">
              <w:t xml:space="preserve"> 40</w:t>
            </w:r>
            <w:r w:rsidR="009D5FA2" w:rsidRPr="009D5FA2">
              <w:t>%</w:t>
            </w:r>
            <w:r w:rsidRPr="009D5FA2">
              <w:t xml:space="preserve"> for hand</w:t>
            </w:r>
            <w:r w:rsidR="00472115">
              <w:t>-</w:t>
            </w:r>
            <w:r w:rsidRPr="009D5FA2">
              <w:t>held and mobile applications, but with an activity factor of max</w:t>
            </w:r>
            <w:r w:rsidR="00BC0C97" w:rsidRPr="009D5FA2">
              <w:t>imum</w:t>
            </w:r>
            <w:r w:rsidRPr="009D5FA2">
              <w:t xml:space="preserve"> 50</w:t>
            </w:r>
            <w:r w:rsidR="009D5FA2" w:rsidRPr="009D5FA2">
              <w:t>%</w:t>
            </w:r>
            <w:r w:rsidRPr="009D5FA2">
              <w:t xml:space="preserve"> per day</w:t>
            </w:r>
            <w:r w:rsidR="00BC0C97" w:rsidRPr="009D5FA2">
              <w:t xml:space="preserve"> which is equivalent to an overall DC of 20</w:t>
            </w:r>
            <w:r w:rsidR="009D5FA2" w:rsidRPr="009D5FA2">
              <w:t>%</w:t>
            </w:r>
            <w:r w:rsidR="00BC0C97" w:rsidRPr="009D5FA2">
              <w:t>.</w:t>
            </w:r>
          </w:p>
          <w:p w14:paraId="3346AE4E" w14:textId="77777777" w:rsidR="00C4290E" w:rsidRPr="009D5FA2" w:rsidRDefault="00C4290E" w:rsidP="00CD03F7">
            <w:pPr>
              <w:pStyle w:val="ECCTabletext"/>
              <w:jc w:val="left"/>
              <w:rPr>
                <w:rStyle w:val="ECCParagraph"/>
              </w:rPr>
            </w:pPr>
            <w:r w:rsidRPr="009D5FA2">
              <w:rPr>
                <w:rStyle w:val="ECCParagraph"/>
              </w:rPr>
              <w:t>10% for the fixed applications</w:t>
            </w:r>
            <w:r w:rsidR="00BC0C97" w:rsidRPr="009D5FA2">
              <w:rPr>
                <w:rStyle w:val="ECCParagraph"/>
              </w:rPr>
              <w:t>.</w:t>
            </w:r>
          </w:p>
        </w:tc>
        <w:tc>
          <w:tcPr>
            <w:tcW w:w="1616" w:type="pct"/>
          </w:tcPr>
          <w:p w14:paraId="3999B1B7" w14:textId="77777777" w:rsidR="00C4290E" w:rsidRPr="009D5FA2" w:rsidRDefault="00C4290E" w:rsidP="00CD03F7">
            <w:pPr>
              <w:pStyle w:val="ECCTabletext"/>
              <w:jc w:val="left"/>
              <w:rPr>
                <w:rStyle w:val="ECCParagraph"/>
              </w:rPr>
            </w:pPr>
          </w:p>
        </w:tc>
      </w:tr>
      <w:tr w:rsidR="00C4290E" w:rsidRPr="009D5FA2" w14:paraId="105179BA" w14:textId="77777777" w:rsidTr="00CD03F7">
        <w:trPr>
          <w:trHeight w:val="265"/>
        </w:trPr>
        <w:tc>
          <w:tcPr>
            <w:tcW w:w="1323" w:type="pct"/>
          </w:tcPr>
          <w:p w14:paraId="31EAD44F" w14:textId="77777777" w:rsidR="00C4290E" w:rsidRPr="009D5FA2" w:rsidRDefault="00C4290E" w:rsidP="00CD03F7">
            <w:pPr>
              <w:pStyle w:val="ECCTabletext"/>
              <w:jc w:val="left"/>
              <w:rPr>
                <w:rStyle w:val="ECCParagraph"/>
              </w:rPr>
            </w:pPr>
            <w:r w:rsidRPr="009D5FA2">
              <w:rPr>
                <w:rStyle w:val="ECCParagraph"/>
              </w:rPr>
              <w:t>Conducted mean power</w:t>
            </w:r>
          </w:p>
        </w:tc>
        <w:tc>
          <w:tcPr>
            <w:tcW w:w="2060" w:type="pct"/>
          </w:tcPr>
          <w:p w14:paraId="18DFAD59" w14:textId="4586B4C5" w:rsidR="00C4290E" w:rsidRPr="009D5FA2" w:rsidRDefault="009D5FA2" w:rsidP="00CD03F7">
            <w:pPr>
              <w:pStyle w:val="ECCTabletext"/>
              <w:jc w:val="left"/>
              <w:rPr>
                <w:rStyle w:val="ECCParagraph"/>
              </w:rPr>
            </w:pPr>
            <w:r>
              <w:rPr>
                <w:rStyle w:val="ECCParagraph"/>
              </w:rPr>
              <w:t>U</w:t>
            </w:r>
            <w:r w:rsidR="00C4290E" w:rsidRPr="009D5FA2">
              <w:rPr>
                <w:rStyle w:val="ECCParagraph"/>
              </w:rPr>
              <w:t>p to 0 dBm</w:t>
            </w:r>
          </w:p>
        </w:tc>
        <w:tc>
          <w:tcPr>
            <w:tcW w:w="1616" w:type="pct"/>
          </w:tcPr>
          <w:p w14:paraId="5809F038" w14:textId="47195335" w:rsidR="00C4290E" w:rsidRPr="009D5FA2" w:rsidRDefault="00C4290E" w:rsidP="00CD03F7">
            <w:pPr>
              <w:pStyle w:val="ECCTabletext"/>
              <w:jc w:val="left"/>
              <w:rPr>
                <w:rStyle w:val="ECCParagraph"/>
              </w:rPr>
            </w:pPr>
            <w:r w:rsidRPr="009D5FA2">
              <w:rPr>
                <w:rStyle w:val="ECCParagraph"/>
              </w:rPr>
              <w:t>with 100</w:t>
            </w:r>
            <w:r w:rsidR="009D5FA2" w:rsidRPr="009D5FA2">
              <w:rPr>
                <w:rStyle w:val="ECCParagraph"/>
              </w:rPr>
              <w:t>%</w:t>
            </w:r>
            <w:r w:rsidRPr="009D5FA2">
              <w:rPr>
                <w:rStyle w:val="ECCParagraph"/>
              </w:rPr>
              <w:t xml:space="preserve"> duty cycle</w:t>
            </w:r>
          </w:p>
        </w:tc>
      </w:tr>
      <w:tr w:rsidR="00C4290E" w:rsidRPr="008D6125" w14:paraId="261FBA1C" w14:textId="77777777" w:rsidTr="00CD03F7">
        <w:trPr>
          <w:trHeight w:val="265"/>
        </w:trPr>
        <w:tc>
          <w:tcPr>
            <w:tcW w:w="1323" w:type="pct"/>
          </w:tcPr>
          <w:p w14:paraId="20B77ED5" w14:textId="77777777" w:rsidR="00C4290E" w:rsidRPr="00C4290E" w:rsidRDefault="00C4290E" w:rsidP="00CD03F7">
            <w:pPr>
              <w:pStyle w:val="ECCTabletext"/>
              <w:jc w:val="left"/>
              <w:rPr>
                <w:rStyle w:val="ECCParagraph"/>
              </w:rPr>
            </w:pPr>
            <w:r>
              <w:rPr>
                <w:rStyle w:val="ECCParagraph"/>
              </w:rPr>
              <w:t>Detection ranges</w:t>
            </w:r>
          </w:p>
        </w:tc>
        <w:tc>
          <w:tcPr>
            <w:tcW w:w="2060" w:type="pct"/>
          </w:tcPr>
          <w:p w14:paraId="3A8975F0" w14:textId="5BD1C4E7" w:rsidR="00C4290E" w:rsidRPr="00C4290E" w:rsidRDefault="009D5FA2" w:rsidP="00CD03F7">
            <w:pPr>
              <w:pStyle w:val="ECCTabletext"/>
              <w:jc w:val="left"/>
              <w:rPr>
                <w:rStyle w:val="ECCParagraph"/>
              </w:rPr>
            </w:pPr>
            <w:r>
              <w:rPr>
                <w:rStyle w:val="ECCParagraph"/>
              </w:rPr>
              <w:t>Hand-held</w:t>
            </w:r>
            <w:r w:rsidR="00BC0C97">
              <w:rPr>
                <w:rStyle w:val="ECCParagraph"/>
              </w:rPr>
              <w:t>/</w:t>
            </w:r>
            <w:r w:rsidR="00C4290E" w:rsidRPr="00C4290E">
              <w:rPr>
                <w:rStyle w:val="ECCParagraph"/>
              </w:rPr>
              <w:t>mobile: 2</w:t>
            </w:r>
            <w:r w:rsidR="00BC0C97">
              <w:rPr>
                <w:rStyle w:val="ECCParagraph"/>
              </w:rPr>
              <w:t> </w:t>
            </w:r>
            <w:r w:rsidR="00C4290E" w:rsidRPr="00C4290E">
              <w:rPr>
                <w:rStyle w:val="ECCParagraph"/>
              </w:rPr>
              <w:t>m to</w:t>
            </w:r>
            <w:r w:rsidR="00C4290E">
              <w:rPr>
                <w:rStyle w:val="ECCParagraph"/>
              </w:rPr>
              <w:t xml:space="preserve"> </w:t>
            </w:r>
            <w:r w:rsidR="00C4290E" w:rsidRPr="00C4290E">
              <w:rPr>
                <w:rStyle w:val="ECCParagraph"/>
              </w:rPr>
              <w:t>3</w:t>
            </w:r>
            <w:r w:rsidR="00BC0C97">
              <w:rPr>
                <w:rStyle w:val="ECCParagraph"/>
              </w:rPr>
              <w:t> </w:t>
            </w:r>
            <w:r w:rsidR="00C4290E" w:rsidRPr="00C4290E">
              <w:rPr>
                <w:rStyle w:val="ECCParagraph"/>
              </w:rPr>
              <w:t>m</w:t>
            </w:r>
          </w:p>
          <w:p w14:paraId="467E59BE" w14:textId="197BBBDF" w:rsidR="00C4290E" w:rsidRPr="00C4290E" w:rsidRDefault="009D5FA2" w:rsidP="00CD03F7">
            <w:pPr>
              <w:pStyle w:val="ECCTabletext"/>
              <w:jc w:val="left"/>
              <w:rPr>
                <w:rStyle w:val="ECCParagraph"/>
              </w:rPr>
            </w:pPr>
            <w:r>
              <w:rPr>
                <w:rStyle w:val="ECCParagraph"/>
              </w:rPr>
              <w:t>F</w:t>
            </w:r>
            <w:r w:rsidR="00C4290E">
              <w:rPr>
                <w:rStyle w:val="ECCParagraph"/>
              </w:rPr>
              <w:t>ixed</w:t>
            </w:r>
            <w:r w:rsidR="00C4290E" w:rsidRPr="00C4290E">
              <w:rPr>
                <w:rStyle w:val="ECCParagraph"/>
              </w:rPr>
              <w:t>: 5</w:t>
            </w:r>
            <w:r w:rsidR="00BC0C97">
              <w:rPr>
                <w:rStyle w:val="ECCParagraph"/>
              </w:rPr>
              <w:t> </w:t>
            </w:r>
            <w:r w:rsidR="00C4290E" w:rsidRPr="00C4290E">
              <w:rPr>
                <w:rStyle w:val="ECCParagraph"/>
              </w:rPr>
              <w:t>m to 10</w:t>
            </w:r>
            <w:r w:rsidR="00BC0C97">
              <w:rPr>
                <w:rStyle w:val="ECCParagraph"/>
              </w:rPr>
              <w:t> </w:t>
            </w:r>
            <w:r w:rsidR="00C4290E" w:rsidRPr="00C4290E">
              <w:rPr>
                <w:rStyle w:val="ECCParagraph"/>
              </w:rPr>
              <w:t>m</w:t>
            </w:r>
          </w:p>
        </w:tc>
        <w:tc>
          <w:tcPr>
            <w:tcW w:w="1616" w:type="pct"/>
          </w:tcPr>
          <w:p w14:paraId="7845BAE4" w14:textId="77777777" w:rsidR="00C4290E" w:rsidRPr="00A060A7" w:rsidRDefault="00C4290E" w:rsidP="00CD03F7">
            <w:pPr>
              <w:pStyle w:val="ECCTabletext"/>
              <w:jc w:val="left"/>
              <w:rPr>
                <w:rStyle w:val="ECCParagraph"/>
              </w:rPr>
            </w:pPr>
          </w:p>
        </w:tc>
      </w:tr>
      <w:tr w:rsidR="00C4290E" w:rsidRPr="00CA0902" w14:paraId="736BA40F" w14:textId="77777777" w:rsidTr="00CD03F7">
        <w:trPr>
          <w:trHeight w:val="265"/>
        </w:trPr>
        <w:tc>
          <w:tcPr>
            <w:tcW w:w="1323" w:type="pct"/>
          </w:tcPr>
          <w:p w14:paraId="2A3392A0" w14:textId="77777777" w:rsidR="00C4290E" w:rsidRPr="00C4290E" w:rsidRDefault="00C4290E" w:rsidP="00CD03F7">
            <w:pPr>
              <w:pStyle w:val="ECCTabletext"/>
              <w:jc w:val="left"/>
              <w:rPr>
                <w:rStyle w:val="ECCParagraph"/>
              </w:rPr>
            </w:pPr>
            <w:r w:rsidRPr="008D6125">
              <w:rPr>
                <w:rStyle w:val="ECCParagraph"/>
              </w:rPr>
              <w:t xml:space="preserve">Maximum mean power </w:t>
            </w:r>
            <w:r w:rsidRPr="00C4290E">
              <w:rPr>
                <w:rStyle w:val="ECCParagraph"/>
              </w:rPr>
              <w:t>(</w:t>
            </w:r>
            <w:r w:rsidR="00BC0C97">
              <w:rPr>
                <w:rStyle w:val="ECCParagraph"/>
              </w:rPr>
              <w:t>e.i.r.p.</w:t>
            </w:r>
            <w:r w:rsidRPr="00C4290E">
              <w:rPr>
                <w:rStyle w:val="ECCParagraph"/>
              </w:rPr>
              <w:t>)</w:t>
            </w:r>
          </w:p>
        </w:tc>
        <w:tc>
          <w:tcPr>
            <w:tcW w:w="2060" w:type="pct"/>
          </w:tcPr>
          <w:p w14:paraId="178CBE6C" w14:textId="329D90B0" w:rsidR="00C4290E" w:rsidRPr="00C4290E" w:rsidRDefault="009D5FA2" w:rsidP="00CD03F7">
            <w:pPr>
              <w:pStyle w:val="ECCTabletext"/>
              <w:jc w:val="left"/>
              <w:rPr>
                <w:rStyle w:val="ECCParagraph"/>
              </w:rPr>
            </w:pPr>
            <w:r>
              <w:rPr>
                <w:rStyle w:val="ECCParagraph"/>
              </w:rPr>
              <w:t>Hand-held</w:t>
            </w:r>
            <w:r w:rsidR="00BC0C97">
              <w:rPr>
                <w:rStyle w:val="ECCParagraph"/>
              </w:rPr>
              <w:t>/</w:t>
            </w:r>
            <w:r w:rsidR="00C4290E">
              <w:rPr>
                <w:rStyle w:val="ECCParagraph"/>
              </w:rPr>
              <w:t xml:space="preserve">mobile: </w:t>
            </w:r>
            <w:r w:rsidR="00C4290E" w:rsidRPr="00C4290E">
              <w:rPr>
                <w:rStyle w:val="ECCParagraph"/>
              </w:rPr>
              <w:t>up to</w:t>
            </w:r>
            <w:r w:rsidR="00C4290E">
              <w:rPr>
                <w:rStyle w:val="ECCParagraph"/>
              </w:rPr>
              <w:t xml:space="preserve"> </w:t>
            </w:r>
            <w:r w:rsidR="00C4290E" w:rsidRPr="00C4290E">
              <w:rPr>
                <w:rStyle w:val="ECCParagraph"/>
              </w:rPr>
              <w:t>10</w:t>
            </w:r>
            <w:r w:rsidR="00C4290E">
              <w:rPr>
                <w:rStyle w:val="ECCParagraph"/>
              </w:rPr>
              <w:t> </w:t>
            </w:r>
            <w:r w:rsidR="00C4290E" w:rsidRPr="00C4290E">
              <w:rPr>
                <w:rStyle w:val="ECCParagraph"/>
              </w:rPr>
              <w:t>dBm</w:t>
            </w:r>
          </w:p>
          <w:p w14:paraId="0D71F4DA" w14:textId="61C481FB" w:rsidR="00C4290E" w:rsidRPr="00C4290E" w:rsidRDefault="009D5FA2" w:rsidP="00CD03F7">
            <w:pPr>
              <w:pStyle w:val="ECCTabletext"/>
              <w:jc w:val="left"/>
              <w:rPr>
                <w:rStyle w:val="ECCParagraph"/>
              </w:rPr>
            </w:pPr>
            <w:r>
              <w:rPr>
                <w:rStyle w:val="ECCParagraph"/>
              </w:rPr>
              <w:t>F</w:t>
            </w:r>
            <w:r w:rsidR="00C4290E">
              <w:rPr>
                <w:rStyle w:val="ECCParagraph"/>
              </w:rPr>
              <w:t xml:space="preserve">ixed: </w:t>
            </w:r>
            <w:r w:rsidR="00C4290E" w:rsidRPr="00C4290E">
              <w:rPr>
                <w:rStyle w:val="ECCParagraph"/>
              </w:rPr>
              <w:t>up to 20</w:t>
            </w:r>
            <w:r w:rsidR="00C4290E">
              <w:rPr>
                <w:rStyle w:val="ECCParagraph"/>
              </w:rPr>
              <w:t> </w:t>
            </w:r>
            <w:r w:rsidR="00C4290E" w:rsidRPr="00C4290E">
              <w:rPr>
                <w:rStyle w:val="ECCParagraph"/>
              </w:rPr>
              <w:t>dBm</w:t>
            </w:r>
          </w:p>
        </w:tc>
        <w:tc>
          <w:tcPr>
            <w:tcW w:w="1616" w:type="pct"/>
          </w:tcPr>
          <w:p w14:paraId="67CB0AD6" w14:textId="4ABB766A" w:rsidR="00C4290E" w:rsidRPr="00C4290E" w:rsidRDefault="00C4290E" w:rsidP="00CD03F7">
            <w:pPr>
              <w:pStyle w:val="ECCTabletext"/>
              <w:jc w:val="left"/>
              <w:rPr>
                <w:rStyle w:val="ECCParagraph"/>
              </w:rPr>
            </w:pPr>
            <w:r>
              <w:rPr>
                <w:rStyle w:val="ECCParagraph"/>
              </w:rPr>
              <w:t xml:space="preserve">The lower power level for </w:t>
            </w:r>
            <w:r w:rsidR="009D5FA2">
              <w:rPr>
                <w:rStyle w:val="ECCParagraph"/>
              </w:rPr>
              <w:t>hand-held</w:t>
            </w:r>
            <w:r w:rsidR="00BC0C97">
              <w:rPr>
                <w:rStyle w:val="ECCParagraph"/>
              </w:rPr>
              <w:t>/</w:t>
            </w:r>
            <w:r w:rsidRPr="00C4290E">
              <w:rPr>
                <w:rStyle w:val="ECCParagraph"/>
              </w:rPr>
              <w:t>mobile applications relates to the shorter detection ranges</w:t>
            </w:r>
            <w:r w:rsidR="00BC0C97">
              <w:rPr>
                <w:rStyle w:val="ECCParagraph"/>
              </w:rPr>
              <w:t>.</w:t>
            </w:r>
          </w:p>
        </w:tc>
      </w:tr>
      <w:tr w:rsidR="00C4290E" w:rsidRPr="00CA0902" w14:paraId="229C7C49" w14:textId="77777777" w:rsidTr="00CD03F7">
        <w:trPr>
          <w:trHeight w:val="265"/>
        </w:trPr>
        <w:tc>
          <w:tcPr>
            <w:tcW w:w="1323" w:type="pct"/>
          </w:tcPr>
          <w:p w14:paraId="0381B802" w14:textId="77777777" w:rsidR="00C4290E" w:rsidRPr="00C4290E" w:rsidRDefault="00C4290E" w:rsidP="00CD03F7">
            <w:pPr>
              <w:pStyle w:val="ECCTabletext"/>
              <w:jc w:val="left"/>
              <w:rPr>
                <w:rStyle w:val="ECCParagraph"/>
              </w:rPr>
            </w:pPr>
            <w:r>
              <w:rPr>
                <w:rStyle w:val="ECCParagraph"/>
              </w:rPr>
              <w:t>Maximum mean power spectral density dBm/MHz (</w:t>
            </w:r>
            <w:r w:rsidR="00BC0C97">
              <w:rPr>
                <w:rStyle w:val="ECCParagraph"/>
              </w:rPr>
              <w:t>e.i.r.p.</w:t>
            </w:r>
            <w:r>
              <w:rPr>
                <w:rStyle w:val="ECCParagraph"/>
              </w:rPr>
              <w:t xml:space="preserve">) </w:t>
            </w:r>
          </w:p>
        </w:tc>
        <w:tc>
          <w:tcPr>
            <w:tcW w:w="2060" w:type="pct"/>
          </w:tcPr>
          <w:p w14:paraId="227CCF37" w14:textId="56ABCF66" w:rsidR="0050572F" w:rsidRDefault="009D5FA2" w:rsidP="00CD03F7">
            <w:pPr>
              <w:pStyle w:val="ECCTabletext"/>
              <w:jc w:val="left"/>
              <w:rPr>
                <w:rStyle w:val="ECCParagraph"/>
              </w:rPr>
            </w:pPr>
            <w:r>
              <w:rPr>
                <w:rStyle w:val="ECCParagraph"/>
              </w:rPr>
              <w:t>Hand-held</w:t>
            </w:r>
            <w:r w:rsidR="00BC0C97">
              <w:rPr>
                <w:rStyle w:val="ECCParagraph"/>
              </w:rPr>
              <w:t>/</w:t>
            </w:r>
            <w:r w:rsidR="00C4290E" w:rsidRPr="0008504F">
              <w:rPr>
                <w:rStyle w:val="ECCParagraph"/>
              </w:rPr>
              <w:t>mobile</w:t>
            </w:r>
            <w:r w:rsidR="00C4290E" w:rsidRPr="00C4290E">
              <w:rPr>
                <w:rStyle w:val="ECCParagraph"/>
              </w:rPr>
              <w:t>: up to -20</w:t>
            </w:r>
            <w:r w:rsidR="0050572F">
              <w:rPr>
                <w:rStyle w:val="ECCParagraph"/>
              </w:rPr>
              <w:t> </w:t>
            </w:r>
            <w:r w:rsidR="00C4290E" w:rsidRPr="00C4290E">
              <w:rPr>
                <w:rStyle w:val="ECCParagraph"/>
              </w:rPr>
              <w:t>dBm/MHz</w:t>
            </w:r>
          </w:p>
          <w:p w14:paraId="29262415" w14:textId="18405CCA" w:rsidR="00C4290E" w:rsidRPr="00841814" w:rsidRDefault="009D5FA2" w:rsidP="00CD03F7">
            <w:pPr>
              <w:pStyle w:val="ECCTabletext"/>
              <w:jc w:val="left"/>
              <w:rPr>
                <w:rStyle w:val="ECCParagraph"/>
              </w:rPr>
            </w:pPr>
            <w:r>
              <w:rPr>
                <w:rStyle w:val="ECCParagraph"/>
              </w:rPr>
              <w:t>F</w:t>
            </w:r>
            <w:r w:rsidR="00C4290E" w:rsidRPr="00C4290E">
              <w:rPr>
                <w:rStyle w:val="ECCParagraph"/>
              </w:rPr>
              <w:t>ixed: up to -10</w:t>
            </w:r>
            <w:r w:rsidR="0050572F">
              <w:rPr>
                <w:rStyle w:val="ECCParagraph"/>
              </w:rPr>
              <w:t> </w:t>
            </w:r>
            <w:r w:rsidR="00C4290E" w:rsidRPr="00C4290E">
              <w:rPr>
                <w:rStyle w:val="ECCParagraph"/>
              </w:rPr>
              <w:t>dBm/MHz</w:t>
            </w:r>
          </w:p>
        </w:tc>
        <w:tc>
          <w:tcPr>
            <w:tcW w:w="1616" w:type="pct"/>
          </w:tcPr>
          <w:p w14:paraId="37430ED3" w14:textId="77777777" w:rsidR="00C4290E" w:rsidRPr="00C4290E" w:rsidRDefault="00C4290E" w:rsidP="00CD03F7">
            <w:pPr>
              <w:pStyle w:val="ECCTabletext"/>
              <w:jc w:val="left"/>
              <w:rPr>
                <w:rStyle w:val="ECCParagraph"/>
                <w:lang w:eastAsia="en-US" w:bidi="ar-SA"/>
              </w:rPr>
            </w:pPr>
            <w:r w:rsidRPr="00C4290E">
              <w:rPr>
                <w:rStyle w:val="ECCParagraph"/>
              </w:rPr>
              <w:t>For a bandwidth of 1</w:t>
            </w:r>
            <w:r w:rsidR="00BC0C97">
              <w:rPr>
                <w:rStyle w:val="ECCParagraph"/>
              </w:rPr>
              <w:t> </w:t>
            </w:r>
            <w:r w:rsidRPr="00C4290E">
              <w:rPr>
                <w:rStyle w:val="ECCParagraph"/>
              </w:rPr>
              <w:t>GHz</w:t>
            </w:r>
          </w:p>
        </w:tc>
      </w:tr>
    </w:tbl>
    <w:p w14:paraId="27A2B2B9" w14:textId="77777777" w:rsidR="00A81176" w:rsidRDefault="00A81176" w:rsidP="000020DA">
      <w:pPr>
        <w:pStyle w:val="Heading4"/>
        <w:numPr>
          <w:ilvl w:val="0"/>
          <w:numId w:val="0"/>
        </w:numPr>
        <w:ind w:left="862"/>
      </w:pPr>
      <w:bookmarkStart w:id="96" w:name="_Toc51064253"/>
      <w:bookmarkStart w:id="97" w:name="_Ref67854372"/>
      <w:bookmarkStart w:id="98" w:name="_Ref67903615"/>
      <w:bookmarkStart w:id="99" w:name="_Toc84325246"/>
    </w:p>
    <w:p w14:paraId="06DA3D26" w14:textId="77777777" w:rsidR="00A81176" w:rsidRDefault="00A81176">
      <w:pPr>
        <w:rPr>
          <w:rFonts w:eastAsia="Times New Roman" w:cs="Arial"/>
          <w:bCs/>
          <w:i/>
          <w:color w:val="D2232A"/>
          <w:szCs w:val="26"/>
          <w:lang w:val="da-DK"/>
        </w:rPr>
      </w:pPr>
      <w:r>
        <w:br w:type="page"/>
      </w:r>
    </w:p>
    <w:p w14:paraId="6858C8DF" w14:textId="27AF303C" w:rsidR="00AA355D" w:rsidRDefault="00AA355D" w:rsidP="004E36C2">
      <w:pPr>
        <w:pStyle w:val="Heading4"/>
      </w:pPr>
      <w:r w:rsidRPr="00CA4D57">
        <w:t>Antenna data</w:t>
      </w:r>
      <w:bookmarkEnd w:id="96"/>
      <w:bookmarkEnd w:id="97"/>
      <w:bookmarkEnd w:id="98"/>
      <w:bookmarkEnd w:id="99"/>
    </w:p>
    <w:p w14:paraId="311EF060" w14:textId="2E36B37B" w:rsidR="004A72E1" w:rsidRPr="004A72E1" w:rsidRDefault="00E34AB2" w:rsidP="004A72E1">
      <w:pPr>
        <w:pStyle w:val="Caption"/>
        <w:rPr>
          <w:rStyle w:val="ECCParagraph"/>
          <w:rFonts w:eastAsia="Calibri"/>
        </w:rPr>
      </w:pPr>
      <w:bookmarkStart w:id="100" w:name="_Ref66371435"/>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F49F9">
        <w:rPr>
          <w:rStyle w:val="ECCParagraph"/>
          <w:noProof/>
        </w:rPr>
        <w:t>11</w:t>
      </w:r>
      <w:r w:rsidRPr="00841814">
        <w:rPr>
          <w:rStyle w:val="ECCParagraph"/>
        </w:rPr>
        <w:fldChar w:fldCharType="end"/>
      </w:r>
      <w:bookmarkEnd w:id="100"/>
      <w:r w:rsidR="004A72E1" w:rsidRPr="008D5E69">
        <w:t xml:space="preserve">: </w:t>
      </w:r>
      <w:r w:rsidR="004A72E1" w:rsidRPr="004A72E1">
        <w:rPr>
          <w:rStyle w:val="ECCParagraph"/>
          <w:rFonts w:eastAsia="Calibri"/>
        </w:rPr>
        <w:t xml:space="preserve">Antenna parameters of </w:t>
      </w:r>
      <w:r w:rsidR="004A72E1" w:rsidRPr="008F3C23">
        <w:rPr>
          <w:rStyle w:val="ECCParagraph"/>
        </w:rPr>
        <w:t>indoor surveillance radar</w:t>
      </w:r>
    </w:p>
    <w:tbl>
      <w:tblPr>
        <w:tblStyle w:val="ECCTable-redheader"/>
        <w:tblW w:w="5000" w:type="pct"/>
        <w:tblInd w:w="0" w:type="dxa"/>
        <w:tblLook w:val="04A0" w:firstRow="1" w:lastRow="0" w:firstColumn="1" w:lastColumn="0" w:noHBand="0" w:noVBand="1"/>
      </w:tblPr>
      <w:tblGrid>
        <w:gridCol w:w="1195"/>
        <w:gridCol w:w="2154"/>
        <w:gridCol w:w="6280"/>
      </w:tblGrid>
      <w:tr w:rsidR="004A72E1" w:rsidRPr="006D6727" w14:paraId="5BA6ED17" w14:textId="77777777" w:rsidTr="00CD03F7">
        <w:trPr>
          <w:cnfStyle w:val="100000000000" w:firstRow="1" w:lastRow="0" w:firstColumn="0" w:lastColumn="0" w:oddVBand="0" w:evenVBand="0" w:oddHBand="0" w:evenHBand="0" w:firstRowFirstColumn="0" w:firstRowLastColumn="0" w:lastRowFirstColumn="0" w:lastRowLastColumn="0"/>
          <w:trHeight w:val="265"/>
        </w:trPr>
        <w:tc>
          <w:tcPr>
            <w:tcW w:w="0" w:type="pct"/>
          </w:tcPr>
          <w:p w14:paraId="0AF852CB" w14:textId="77777777" w:rsidR="004A72E1" w:rsidRPr="004A72E1" w:rsidRDefault="004A72E1" w:rsidP="003A4EB9">
            <w:pPr>
              <w:pStyle w:val="ECCTabletext"/>
              <w:jc w:val="left"/>
              <w:rPr>
                <w:rStyle w:val="ECCParagraph"/>
              </w:rPr>
            </w:pPr>
            <w:r w:rsidRPr="008D5E69">
              <w:rPr>
                <w:rStyle w:val="ECCParagraph"/>
              </w:rPr>
              <w:t>Parameter</w:t>
            </w:r>
          </w:p>
        </w:tc>
        <w:tc>
          <w:tcPr>
            <w:tcW w:w="1177" w:type="pct"/>
          </w:tcPr>
          <w:p w14:paraId="738CE6E5" w14:textId="77777777" w:rsidR="004A72E1" w:rsidRPr="004A72E1" w:rsidRDefault="004A72E1" w:rsidP="003A4EB9">
            <w:pPr>
              <w:pStyle w:val="ECCTabletext"/>
              <w:jc w:val="left"/>
              <w:rPr>
                <w:rStyle w:val="ECCParagraph"/>
              </w:rPr>
            </w:pPr>
            <w:r w:rsidRPr="008D5E69">
              <w:rPr>
                <w:rStyle w:val="ECCParagraph"/>
              </w:rPr>
              <w:t>Value</w:t>
            </w:r>
          </w:p>
        </w:tc>
        <w:tc>
          <w:tcPr>
            <w:tcW w:w="2942" w:type="pct"/>
          </w:tcPr>
          <w:p w14:paraId="7F82E562" w14:textId="77777777" w:rsidR="004A72E1" w:rsidRPr="004A72E1" w:rsidRDefault="004A72E1" w:rsidP="003A4EB9">
            <w:pPr>
              <w:pStyle w:val="ECCTabletext"/>
              <w:jc w:val="left"/>
              <w:rPr>
                <w:rStyle w:val="ECCParagraph"/>
              </w:rPr>
            </w:pPr>
            <w:r w:rsidRPr="008D5E69">
              <w:rPr>
                <w:rStyle w:val="ECCParagraph"/>
              </w:rPr>
              <w:t>Notes</w:t>
            </w:r>
          </w:p>
        </w:tc>
      </w:tr>
      <w:tr w:rsidR="004A72E1" w:rsidRPr="006D6727" w14:paraId="46190FBE" w14:textId="77777777" w:rsidTr="00CD03F7">
        <w:trPr>
          <w:trHeight w:val="265"/>
        </w:trPr>
        <w:tc>
          <w:tcPr>
            <w:tcW w:w="0" w:type="pct"/>
          </w:tcPr>
          <w:p w14:paraId="2DE27B60" w14:textId="77777777" w:rsidR="004A72E1" w:rsidRPr="004A72E1" w:rsidRDefault="004A72E1" w:rsidP="003A4EB9">
            <w:pPr>
              <w:pStyle w:val="ECCTabletext"/>
              <w:jc w:val="left"/>
              <w:rPr>
                <w:rStyle w:val="ECCParagraph"/>
              </w:rPr>
            </w:pPr>
            <w:r w:rsidRPr="008D5E69">
              <w:rPr>
                <w:rStyle w:val="ECCParagraph"/>
              </w:rPr>
              <w:t xml:space="preserve">Antenna </w:t>
            </w:r>
            <w:r w:rsidRPr="004A72E1">
              <w:rPr>
                <w:rStyle w:val="ECCParagraph"/>
              </w:rPr>
              <w:t>gain</w:t>
            </w:r>
          </w:p>
        </w:tc>
        <w:tc>
          <w:tcPr>
            <w:tcW w:w="1177" w:type="pct"/>
          </w:tcPr>
          <w:p w14:paraId="64A3DA8E" w14:textId="783477F6" w:rsidR="004A72E1" w:rsidRPr="004A72E1" w:rsidRDefault="009D5FA2" w:rsidP="00CD03F7">
            <w:pPr>
              <w:pStyle w:val="ECCTabletext"/>
              <w:jc w:val="left"/>
              <w:rPr>
                <w:rStyle w:val="ECCParagraph"/>
                <w:lang w:eastAsia="en-US" w:bidi="ar-SA"/>
              </w:rPr>
            </w:pPr>
            <w:r>
              <w:rPr>
                <w:rStyle w:val="ECCParagraph"/>
              </w:rPr>
              <w:t>Hand-held</w:t>
            </w:r>
            <w:r w:rsidR="004A72E1">
              <w:rPr>
                <w:rStyle w:val="ECCParagraph"/>
              </w:rPr>
              <w:t xml:space="preserve"> and mobile: 10</w:t>
            </w:r>
            <w:r>
              <w:rPr>
                <w:rStyle w:val="ECCParagraph"/>
              </w:rPr>
              <w:t xml:space="preserve"> </w:t>
            </w:r>
            <w:r w:rsidR="004A72E1">
              <w:rPr>
                <w:rStyle w:val="ECCParagraph"/>
              </w:rPr>
              <w:t>dBi</w:t>
            </w:r>
          </w:p>
          <w:p w14:paraId="7D045AC4" w14:textId="77777777" w:rsidR="004A72E1" w:rsidRPr="004A72E1" w:rsidRDefault="004A72E1" w:rsidP="003A4EB9">
            <w:pPr>
              <w:pStyle w:val="ECCTabletext"/>
              <w:jc w:val="left"/>
              <w:rPr>
                <w:rStyle w:val="ECCParagraph"/>
              </w:rPr>
            </w:pPr>
            <w:r>
              <w:rPr>
                <w:rStyle w:val="ECCParagraph"/>
              </w:rPr>
              <w:t>fixed</w:t>
            </w:r>
            <w:r w:rsidRPr="004A72E1">
              <w:rPr>
                <w:rStyle w:val="ECCParagraph"/>
              </w:rPr>
              <w:t>: up to 20</w:t>
            </w:r>
            <w:r w:rsidR="004517BF">
              <w:rPr>
                <w:rStyle w:val="ECCParagraph"/>
              </w:rPr>
              <w:t> </w:t>
            </w:r>
            <w:r w:rsidRPr="004A72E1">
              <w:rPr>
                <w:rStyle w:val="ECCParagraph"/>
              </w:rPr>
              <w:t>dBi</w:t>
            </w:r>
          </w:p>
        </w:tc>
        <w:tc>
          <w:tcPr>
            <w:tcW w:w="2942" w:type="pct"/>
          </w:tcPr>
          <w:p w14:paraId="2B1B0199" w14:textId="0FEB1C9E" w:rsidR="004A72E1" w:rsidRPr="008D5E69" w:rsidRDefault="004517BF" w:rsidP="003A4EB9">
            <w:pPr>
              <w:pStyle w:val="ECCTabletext"/>
              <w:jc w:val="left"/>
              <w:rPr>
                <w:rStyle w:val="ECCParagraph"/>
              </w:rPr>
            </w:pPr>
            <w:r>
              <w:rPr>
                <w:rStyle w:val="ECCParagraph"/>
              </w:rPr>
              <w:t xml:space="preserve">For fixed indoor surveillance radars </w:t>
            </w:r>
            <w:r w:rsidR="00A66C1E">
              <w:rPr>
                <w:rStyle w:val="ECCParagraph"/>
              </w:rPr>
              <w:t xml:space="preserve">an antenna pattern featuring at least 8 dB sidelobe suppression above an elevation of larger than 0° in combination with an installation requirement for the main beam direction could be </w:t>
            </w:r>
            <w:r w:rsidR="00A66C1E" w:rsidRPr="00A66C1E">
              <w:rPr>
                <w:rStyle w:val="ECCParagraph"/>
              </w:rPr>
              <w:t>considered</w:t>
            </w:r>
          </w:p>
        </w:tc>
      </w:tr>
    </w:tbl>
    <w:p w14:paraId="4A7DB89A" w14:textId="77777777" w:rsidR="004A72E1" w:rsidRPr="008D5E69" w:rsidRDefault="004A72E1" w:rsidP="004A72E1">
      <w:r>
        <w:t>The</w:t>
      </w:r>
      <w:r w:rsidRPr="008D5E69">
        <w:t xml:space="preserve"> </w:t>
      </w:r>
      <w:r>
        <w:rPr>
          <w:rStyle w:val="ECCParagraph"/>
        </w:rPr>
        <w:t xml:space="preserve">antenna gain for indoor surveillance radar is mainly use-case/application dependent. </w:t>
      </w:r>
      <w:r w:rsidRPr="00A060A7">
        <w:t xml:space="preserve">It is important to </w:t>
      </w:r>
      <w:r>
        <w:t xml:space="preserve">also </w:t>
      </w:r>
      <w:r w:rsidRPr="00A060A7">
        <w:t xml:space="preserve">consider the “volume” </w:t>
      </w:r>
      <w:r>
        <w:t xml:space="preserve">and “distance” to the target </w:t>
      </w:r>
      <w:r w:rsidRPr="00A060A7">
        <w:t>the radar is intended to observe</w:t>
      </w:r>
      <w:r>
        <w:t>.</w:t>
      </w:r>
    </w:p>
    <w:p w14:paraId="541FB7D9" w14:textId="3221AFC9" w:rsidR="00AA355D" w:rsidRDefault="00AA355D" w:rsidP="004E36C2">
      <w:pPr>
        <w:pStyle w:val="Heading4"/>
      </w:pPr>
      <w:bookmarkStart w:id="101" w:name="_Toc51064254"/>
      <w:bookmarkStart w:id="102" w:name="_Ref67493570"/>
      <w:bookmarkStart w:id="103" w:name="_Ref67650670"/>
      <w:bookmarkStart w:id="104" w:name="_Toc84325247"/>
      <w:r w:rsidRPr="00CA4D57">
        <w:t>Market size</w:t>
      </w:r>
      <w:bookmarkEnd w:id="101"/>
      <w:bookmarkEnd w:id="102"/>
      <w:bookmarkEnd w:id="103"/>
      <w:bookmarkEnd w:id="104"/>
    </w:p>
    <w:p w14:paraId="5FDCD9BF" w14:textId="77777777" w:rsidR="00E34AB2" w:rsidRPr="00E34AB2" w:rsidRDefault="00E34AB2" w:rsidP="00E34AB2">
      <w:pPr>
        <w:rPr>
          <w:rStyle w:val="ECCParagraph"/>
        </w:rPr>
      </w:pPr>
      <w:r>
        <w:rPr>
          <w:rStyle w:val="ECCParagraph"/>
        </w:rPr>
        <w:t xml:space="preserve">The situation inside buildings is difficult to estimate. The number of devices depends on the success of IoT and home automation </w:t>
      </w:r>
      <w:r w:rsidRPr="00E34AB2">
        <w:rPr>
          <w:rStyle w:val="ECCParagraph"/>
        </w:rPr>
        <w:t>applications and the temporal deployment. Such indoor surveillance sensors will be part of a building automation or security system. For a worst-case estimation one sensor per room (living room, entrance hall, etc.) could be assumed. This could lead up to 5 sensors per house or up to 3 sensors per flat.</w:t>
      </w:r>
    </w:p>
    <w:p w14:paraId="369A4D07" w14:textId="62F20A0B" w:rsidR="00E34AB2" w:rsidRPr="00E34AB2" w:rsidRDefault="00E34AB2" w:rsidP="00E34AB2">
      <w:pPr>
        <w:rPr>
          <w:rStyle w:val="ECCParagraph"/>
        </w:rPr>
      </w:pPr>
      <w:r>
        <w:rPr>
          <w:rStyle w:val="ECCParagraph"/>
        </w:rPr>
        <w:t xml:space="preserve">A similar assumption was </w:t>
      </w:r>
      <w:r w:rsidRPr="00E34AB2">
        <w:rPr>
          <w:rStyle w:val="ECCParagraph"/>
        </w:rPr>
        <w:t>made for the studies on UWB &lt;10</w:t>
      </w:r>
      <w:r w:rsidR="009D5FA2">
        <w:rPr>
          <w:rStyle w:val="ECCParagraph"/>
        </w:rPr>
        <w:t xml:space="preserve"> </w:t>
      </w:r>
      <w:r w:rsidRPr="00E34AB2">
        <w:rPr>
          <w:rStyle w:val="ECCParagraph"/>
        </w:rPr>
        <w:t>GHz</w:t>
      </w:r>
      <w:r w:rsidR="00456ACD">
        <w:rPr>
          <w:rStyle w:val="ECCParagraph"/>
        </w:rPr>
        <w:t xml:space="preserve"> in </w:t>
      </w:r>
      <w:r w:rsidR="00456ACD" w:rsidRPr="006D6727">
        <w:rPr>
          <w:rStyle w:val="ECCParagraph"/>
          <w:noProof/>
        </w:rPr>
        <w:t>ECC Report 64</w:t>
      </w:r>
      <w:r w:rsidR="00D41925">
        <w:rPr>
          <w:rStyle w:val="ECCParagraph"/>
        </w:rPr>
        <w:t xml:space="preserve"> </w:t>
      </w:r>
      <w:r w:rsidR="00D41925">
        <w:rPr>
          <w:rStyle w:val="ECCParagraph"/>
        </w:rPr>
        <w:fldChar w:fldCharType="begin"/>
      </w:r>
      <w:r w:rsidR="00D41925">
        <w:rPr>
          <w:rStyle w:val="ECCParagraph"/>
        </w:rPr>
        <w:instrText xml:space="preserve"> REF  ECCRep064 \h \w </w:instrText>
      </w:r>
      <w:r w:rsidR="00D41925">
        <w:rPr>
          <w:rStyle w:val="ECCParagraph"/>
        </w:rPr>
      </w:r>
      <w:r w:rsidR="00D41925">
        <w:rPr>
          <w:rStyle w:val="ECCParagraph"/>
        </w:rPr>
        <w:fldChar w:fldCharType="separate"/>
      </w:r>
      <w:r w:rsidR="004F49F9">
        <w:rPr>
          <w:rStyle w:val="ECCParagraph"/>
        </w:rPr>
        <w:t>[17]</w:t>
      </w:r>
      <w:r w:rsidR="00D41925">
        <w:rPr>
          <w:rStyle w:val="ECCParagraph"/>
        </w:rPr>
        <w:fldChar w:fldCharType="end"/>
      </w:r>
      <w:r w:rsidRPr="00E34AB2">
        <w:rPr>
          <w:rStyle w:val="ECCParagraph"/>
        </w:rPr>
        <w:t>. But in these studies</w:t>
      </w:r>
      <w:r w:rsidR="00D91E16">
        <w:rPr>
          <w:rStyle w:val="ECCParagraph"/>
        </w:rPr>
        <w:t>, both</w:t>
      </w:r>
      <w:r w:rsidRPr="00E34AB2">
        <w:rPr>
          <w:rStyle w:val="ECCParagraph"/>
        </w:rPr>
        <w:t xml:space="preserve">, </w:t>
      </w:r>
      <w:r w:rsidR="00D91E16">
        <w:rPr>
          <w:rStyle w:val="ECCParagraph"/>
        </w:rPr>
        <w:t>radio</w:t>
      </w:r>
      <w:r w:rsidRPr="00E34AB2">
        <w:rPr>
          <w:rStyle w:val="ECCParagraph"/>
        </w:rPr>
        <w:t xml:space="preserve">communication and </w:t>
      </w:r>
      <w:r w:rsidR="00D91E16">
        <w:rPr>
          <w:rStyle w:val="ECCParagraph"/>
        </w:rPr>
        <w:t>radiodetermination</w:t>
      </w:r>
      <w:r w:rsidRPr="00E34AB2">
        <w:rPr>
          <w:rStyle w:val="ECCParagraph"/>
        </w:rPr>
        <w:t xml:space="preserve"> applications have been considered. In addition</w:t>
      </w:r>
      <w:r w:rsidR="00D41925">
        <w:rPr>
          <w:rStyle w:val="ECCParagraph"/>
        </w:rPr>
        <w:t>,</w:t>
      </w:r>
      <w:r w:rsidRPr="00E34AB2">
        <w:rPr>
          <w:rStyle w:val="ECCParagraph"/>
        </w:rPr>
        <w:t xml:space="preserve"> it is considered that for some applications (</w:t>
      </w:r>
      <w:r w:rsidR="00D91E16">
        <w:rPr>
          <w:rStyle w:val="ECCParagraph"/>
        </w:rPr>
        <w:t xml:space="preserve">e.g. for </w:t>
      </w:r>
      <w:r w:rsidRPr="00E34AB2">
        <w:rPr>
          <w:rStyle w:val="ECCParagraph"/>
        </w:rPr>
        <w:t>longer detection distance) other frequencies could be used (e.g. 57 to 64</w:t>
      </w:r>
      <w:r w:rsidR="00EE63DC">
        <w:rPr>
          <w:rStyle w:val="ECCParagraph"/>
        </w:rPr>
        <w:t> </w:t>
      </w:r>
      <w:r w:rsidRPr="00E34AB2">
        <w:rPr>
          <w:rStyle w:val="ECCParagraph"/>
        </w:rPr>
        <w:t>GHz) and for some special applications there are specific studies in this report (like RDI-S and CDR). Therefore, th</w:t>
      </w:r>
      <w:r>
        <w:rPr>
          <w:rStyle w:val="ECCParagraph"/>
        </w:rPr>
        <w:t>e</w:t>
      </w:r>
      <w:r w:rsidRPr="00E34AB2">
        <w:rPr>
          <w:rStyle w:val="ECCParagraph"/>
        </w:rPr>
        <w:t xml:space="preserve"> following device densities were considered for the studies for generic indoor surveillance radar applications</w:t>
      </w:r>
      <w:r w:rsidR="00D30EEA">
        <w:rPr>
          <w:rStyle w:val="ECCParagraph"/>
        </w:rPr>
        <w:t xml:space="preserve"> </w:t>
      </w:r>
      <w:r w:rsidR="00456ACD">
        <w:rPr>
          <w:rStyle w:val="ECCParagraph"/>
        </w:rPr>
        <w:t>(</w:t>
      </w:r>
      <w:r w:rsidRPr="00E34AB2">
        <w:rPr>
          <w:rStyle w:val="ECCParagraph"/>
        </w:rPr>
        <w:t>see</w:t>
      </w:r>
      <w:r w:rsidR="00EE63DC">
        <w:rPr>
          <w:rStyle w:val="ECCParagraph"/>
        </w:rPr>
        <w:t xml:space="preserve"> </w:t>
      </w:r>
      <w:r w:rsidR="00227516">
        <w:rPr>
          <w:rStyle w:val="ECCParagraph"/>
        </w:rPr>
        <w:fldChar w:fldCharType="begin"/>
      </w:r>
      <w:r w:rsidR="00227516">
        <w:rPr>
          <w:rStyle w:val="ECCParagraph"/>
        </w:rPr>
        <w:instrText xml:space="preserve"> REF _Ref66374317 \h </w:instrText>
      </w:r>
      <w:r w:rsidR="00227516">
        <w:rPr>
          <w:rStyle w:val="ECCParagraph"/>
        </w:rPr>
      </w:r>
      <w:r w:rsidR="00227516">
        <w:rPr>
          <w:rStyle w:val="ECCParagraph"/>
        </w:rPr>
        <w:fldChar w:fldCharType="separate"/>
      </w:r>
      <w:r w:rsidR="0041125F" w:rsidRPr="00841814">
        <w:rPr>
          <w:rStyle w:val="ECCParagraph"/>
        </w:rPr>
        <w:t>Table </w:t>
      </w:r>
      <w:r w:rsidR="0041125F">
        <w:rPr>
          <w:rStyle w:val="ECCParagraph"/>
          <w:noProof/>
        </w:rPr>
        <w:t>12</w:t>
      </w:r>
      <w:r w:rsidR="00227516">
        <w:rPr>
          <w:rStyle w:val="ECCParagraph"/>
        </w:rPr>
        <w:fldChar w:fldCharType="end"/>
      </w:r>
      <w:r w:rsidR="00456ACD">
        <w:rPr>
          <w:rStyle w:val="ECCParagraph"/>
        </w:rPr>
        <w:t>)</w:t>
      </w:r>
      <w:r w:rsidRPr="00E34AB2">
        <w:rPr>
          <w:rStyle w:val="ECCParagraph"/>
        </w:rPr>
        <w:t>.</w:t>
      </w:r>
    </w:p>
    <w:p w14:paraId="5889DACF" w14:textId="7D021901" w:rsidR="00E34AB2" w:rsidRPr="00E34AB2" w:rsidRDefault="00E34AB2" w:rsidP="00E34AB2">
      <w:pPr>
        <w:pStyle w:val="Caption"/>
        <w:rPr>
          <w:rStyle w:val="ECCParagraph"/>
          <w:rFonts w:eastAsia="Calibri"/>
        </w:rPr>
      </w:pPr>
      <w:bookmarkStart w:id="105" w:name="_Ref66374317"/>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F49F9">
        <w:rPr>
          <w:rStyle w:val="ECCParagraph"/>
          <w:noProof/>
        </w:rPr>
        <w:t>12</w:t>
      </w:r>
      <w:r w:rsidRPr="00841814">
        <w:rPr>
          <w:rStyle w:val="ECCParagraph"/>
        </w:rPr>
        <w:fldChar w:fldCharType="end"/>
      </w:r>
      <w:bookmarkEnd w:id="105"/>
      <w:r>
        <w:t>:</w:t>
      </w:r>
      <w:r w:rsidRPr="008D5E69">
        <w:t xml:space="preserve"> </w:t>
      </w:r>
      <w:r>
        <w:t xml:space="preserve">Assumed </w:t>
      </w:r>
      <w:r w:rsidRPr="00E34AB2">
        <w:rPr>
          <w:rStyle w:val="ECCParagraph"/>
          <w:rFonts w:eastAsia="Calibri"/>
        </w:rPr>
        <w:t>device densit</w:t>
      </w:r>
      <w:r>
        <w:rPr>
          <w:rStyle w:val="ECCParagraph"/>
          <w:rFonts w:eastAsia="Calibri"/>
        </w:rPr>
        <w:t>ies</w:t>
      </w:r>
    </w:p>
    <w:tbl>
      <w:tblPr>
        <w:tblStyle w:val="ECCTable-redheader"/>
        <w:tblW w:w="0" w:type="auto"/>
        <w:tblInd w:w="0" w:type="dxa"/>
        <w:tblLook w:val="04A0" w:firstRow="1" w:lastRow="0" w:firstColumn="1" w:lastColumn="0" w:noHBand="0" w:noVBand="1"/>
      </w:tblPr>
      <w:tblGrid>
        <w:gridCol w:w="2996"/>
        <w:gridCol w:w="1495"/>
        <w:gridCol w:w="1495"/>
        <w:gridCol w:w="1947"/>
      </w:tblGrid>
      <w:tr w:rsidR="00E34AB2" w:rsidRPr="006D6727" w14:paraId="2CBEDA57" w14:textId="77777777" w:rsidTr="00BD6D95">
        <w:trPr>
          <w:cnfStyle w:val="100000000000" w:firstRow="1" w:lastRow="0" w:firstColumn="0" w:lastColumn="0" w:oddVBand="0" w:evenVBand="0" w:oddHBand="0" w:evenHBand="0" w:firstRowFirstColumn="0" w:firstRowLastColumn="0" w:lastRowFirstColumn="0" w:lastRowLastColumn="0"/>
          <w:trHeight w:val="265"/>
        </w:trPr>
        <w:tc>
          <w:tcPr>
            <w:tcW w:w="0" w:type="auto"/>
          </w:tcPr>
          <w:p w14:paraId="3B9C2C2A" w14:textId="2E860BEE" w:rsidR="00E34AB2" w:rsidRPr="008D5E69" w:rsidRDefault="00E34AB2" w:rsidP="00E34AB2">
            <w:pPr>
              <w:pStyle w:val="ECCTabletext"/>
              <w:rPr>
                <w:rStyle w:val="ECCParagraph"/>
              </w:rPr>
            </w:pPr>
          </w:p>
        </w:tc>
        <w:tc>
          <w:tcPr>
            <w:tcW w:w="0" w:type="dxa"/>
          </w:tcPr>
          <w:p w14:paraId="71570F7C" w14:textId="77777777" w:rsidR="00E34AB2" w:rsidRPr="00E34AB2" w:rsidRDefault="00E34AB2" w:rsidP="006C1B08">
            <w:pPr>
              <w:rPr>
                <w:rStyle w:val="ECCParagraph"/>
              </w:rPr>
            </w:pPr>
            <w:r w:rsidRPr="00FF52BF">
              <w:rPr>
                <w:rStyle w:val="ECCParagraph"/>
              </w:rPr>
              <w:t>Rural</w:t>
            </w:r>
            <w:r w:rsidRPr="00E34AB2">
              <w:rPr>
                <w:rStyle w:val="ECCParagraph"/>
              </w:rPr>
              <w:t xml:space="preserve"> (devices/km²)</w:t>
            </w:r>
          </w:p>
        </w:tc>
        <w:tc>
          <w:tcPr>
            <w:tcW w:w="0" w:type="dxa"/>
          </w:tcPr>
          <w:p w14:paraId="33FA0C26" w14:textId="77777777" w:rsidR="00E34AB2" w:rsidRPr="00E34AB2" w:rsidRDefault="00E34AB2" w:rsidP="006C1B08">
            <w:pPr>
              <w:spacing w:after="0"/>
              <w:rPr>
                <w:rStyle w:val="ECCParagraph"/>
              </w:rPr>
            </w:pPr>
            <w:r w:rsidRPr="00FF52BF">
              <w:rPr>
                <w:rStyle w:val="ECCParagraph"/>
              </w:rPr>
              <w:t>Suburban</w:t>
            </w:r>
          </w:p>
          <w:p w14:paraId="1AB0CA46" w14:textId="77777777" w:rsidR="00E34AB2" w:rsidRPr="00E34AB2" w:rsidRDefault="00E34AB2" w:rsidP="006C1B08">
            <w:pPr>
              <w:spacing w:before="0"/>
              <w:rPr>
                <w:rStyle w:val="ECCParagraph"/>
              </w:rPr>
            </w:pPr>
            <w:r w:rsidRPr="003139A3">
              <w:rPr>
                <w:rStyle w:val="ECCParagraph"/>
              </w:rPr>
              <w:t>(</w:t>
            </w:r>
            <w:r w:rsidRPr="00E34AB2">
              <w:rPr>
                <w:rStyle w:val="ECCParagraph"/>
              </w:rPr>
              <w:t>devices/km²)</w:t>
            </w:r>
          </w:p>
        </w:tc>
        <w:tc>
          <w:tcPr>
            <w:tcW w:w="1947" w:type="dxa"/>
          </w:tcPr>
          <w:p w14:paraId="0B4CA950" w14:textId="77777777" w:rsidR="00E34AB2" w:rsidRPr="00E34AB2" w:rsidRDefault="00E34AB2" w:rsidP="006C1B08">
            <w:pPr>
              <w:spacing w:after="0"/>
              <w:rPr>
                <w:rStyle w:val="ECCParagraph"/>
              </w:rPr>
            </w:pPr>
            <w:r w:rsidRPr="00FF52BF">
              <w:rPr>
                <w:rStyle w:val="ECCParagraph"/>
              </w:rPr>
              <w:t>Dense Urban</w:t>
            </w:r>
          </w:p>
          <w:p w14:paraId="1708194A" w14:textId="77777777" w:rsidR="00E34AB2" w:rsidRPr="00E34AB2" w:rsidRDefault="00E34AB2" w:rsidP="006C1B08">
            <w:pPr>
              <w:spacing w:before="0"/>
              <w:rPr>
                <w:rStyle w:val="ECCParagraph"/>
              </w:rPr>
            </w:pPr>
            <w:r w:rsidRPr="003139A3">
              <w:rPr>
                <w:rStyle w:val="ECCParagraph"/>
              </w:rPr>
              <w:t>(</w:t>
            </w:r>
            <w:r w:rsidRPr="00E34AB2">
              <w:rPr>
                <w:rStyle w:val="ECCParagraph"/>
              </w:rPr>
              <w:t>devices/km²)</w:t>
            </w:r>
          </w:p>
        </w:tc>
      </w:tr>
      <w:tr w:rsidR="00E34AB2" w:rsidRPr="006D6727" w14:paraId="2FDFAA51" w14:textId="77777777" w:rsidTr="00BD6D95">
        <w:trPr>
          <w:trHeight w:val="265"/>
        </w:trPr>
        <w:tc>
          <w:tcPr>
            <w:tcW w:w="0" w:type="auto"/>
          </w:tcPr>
          <w:p w14:paraId="30CB06C3" w14:textId="5859D779" w:rsidR="00E34AB2" w:rsidRPr="00E34AB2" w:rsidRDefault="00E34AB2" w:rsidP="003A4EB9">
            <w:pPr>
              <w:pStyle w:val="ECCTabletext"/>
              <w:jc w:val="left"/>
              <w:rPr>
                <w:rStyle w:val="ECCParagraph"/>
              </w:rPr>
            </w:pPr>
            <w:r>
              <w:rPr>
                <w:rStyle w:val="ECCParagraph"/>
              </w:rPr>
              <w:t xml:space="preserve">Total </w:t>
            </w:r>
            <w:r w:rsidR="006C1B08">
              <w:rPr>
                <w:rStyle w:val="ECCParagraph"/>
              </w:rPr>
              <w:t>d</w:t>
            </w:r>
            <w:r w:rsidRPr="00E34AB2">
              <w:rPr>
                <w:rStyle w:val="ECCParagraph"/>
              </w:rPr>
              <w:t>evice density (100</w:t>
            </w:r>
            <w:r w:rsidR="009D5FA2">
              <w:rPr>
                <w:rStyle w:val="ECCParagraph"/>
              </w:rPr>
              <w:t>%</w:t>
            </w:r>
            <w:r w:rsidRPr="00E34AB2">
              <w:rPr>
                <w:rStyle w:val="ECCParagraph"/>
              </w:rPr>
              <w:t xml:space="preserve">) </w:t>
            </w:r>
          </w:p>
        </w:tc>
        <w:tc>
          <w:tcPr>
            <w:tcW w:w="0" w:type="dxa"/>
          </w:tcPr>
          <w:p w14:paraId="77CF216E" w14:textId="77777777" w:rsidR="00E34AB2" w:rsidRPr="00E34AB2" w:rsidRDefault="00E34AB2" w:rsidP="00E34AB2">
            <w:r>
              <w:t>5</w:t>
            </w:r>
            <w:r w:rsidRPr="00E34AB2">
              <w:t>0</w:t>
            </w:r>
          </w:p>
        </w:tc>
        <w:tc>
          <w:tcPr>
            <w:tcW w:w="0" w:type="dxa"/>
          </w:tcPr>
          <w:p w14:paraId="60427ACF" w14:textId="77777777" w:rsidR="00E34AB2" w:rsidRPr="00E34AB2" w:rsidRDefault="00E34AB2" w:rsidP="00E34AB2">
            <w:r>
              <w:t>5</w:t>
            </w:r>
            <w:r w:rsidRPr="00E34AB2">
              <w:t>00</w:t>
            </w:r>
          </w:p>
        </w:tc>
        <w:tc>
          <w:tcPr>
            <w:tcW w:w="1947" w:type="dxa"/>
          </w:tcPr>
          <w:p w14:paraId="716E4F28" w14:textId="77777777" w:rsidR="00E34AB2" w:rsidRPr="00E34AB2" w:rsidRDefault="00E34AB2" w:rsidP="00E34AB2">
            <w:r>
              <w:t>5</w:t>
            </w:r>
            <w:r w:rsidRPr="00E34AB2">
              <w:t>000</w:t>
            </w:r>
          </w:p>
        </w:tc>
      </w:tr>
      <w:tr w:rsidR="00E34AB2" w:rsidRPr="006D6727" w14:paraId="0035B051" w14:textId="77777777" w:rsidTr="00BD6D95">
        <w:trPr>
          <w:trHeight w:val="265"/>
        </w:trPr>
        <w:tc>
          <w:tcPr>
            <w:tcW w:w="0" w:type="auto"/>
          </w:tcPr>
          <w:p w14:paraId="3295B7C6" w14:textId="40F7A635" w:rsidR="00E34AB2" w:rsidRPr="00E34AB2" w:rsidRDefault="009D5FA2" w:rsidP="003A4EB9">
            <w:pPr>
              <w:pStyle w:val="ECCTabletext"/>
              <w:jc w:val="left"/>
              <w:rPr>
                <w:rStyle w:val="ECCParagraph"/>
              </w:rPr>
            </w:pPr>
            <w:r>
              <w:rPr>
                <w:rStyle w:val="ECCParagraph"/>
              </w:rPr>
              <w:t>Hand-held</w:t>
            </w:r>
            <w:r w:rsidR="00E34AB2" w:rsidRPr="003139A3">
              <w:rPr>
                <w:rStyle w:val="ECCParagraph"/>
              </w:rPr>
              <w:t>/mobile (50</w:t>
            </w:r>
            <w:r>
              <w:rPr>
                <w:rStyle w:val="ECCParagraph"/>
              </w:rPr>
              <w:t>%</w:t>
            </w:r>
            <w:r w:rsidR="00E34AB2" w:rsidRPr="00E34AB2">
              <w:rPr>
                <w:rStyle w:val="ECCParagraph"/>
              </w:rPr>
              <w:t>)</w:t>
            </w:r>
          </w:p>
        </w:tc>
        <w:tc>
          <w:tcPr>
            <w:tcW w:w="0" w:type="dxa"/>
          </w:tcPr>
          <w:p w14:paraId="34B7F24F" w14:textId="77777777" w:rsidR="00E34AB2" w:rsidRPr="00E34AB2" w:rsidRDefault="00E34AB2" w:rsidP="00E34AB2">
            <w:r>
              <w:t>25</w:t>
            </w:r>
          </w:p>
        </w:tc>
        <w:tc>
          <w:tcPr>
            <w:tcW w:w="0" w:type="dxa"/>
          </w:tcPr>
          <w:p w14:paraId="0FD79034" w14:textId="77777777" w:rsidR="00E34AB2" w:rsidRPr="00E34AB2" w:rsidRDefault="00E34AB2" w:rsidP="00E34AB2">
            <w:r>
              <w:t>250</w:t>
            </w:r>
          </w:p>
        </w:tc>
        <w:tc>
          <w:tcPr>
            <w:tcW w:w="1947" w:type="dxa"/>
          </w:tcPr>
          <w:p w14:paraId="5BC3C3A6" w14:textId="77777777" w:rsidR="00E34AB2" w:rsidRPr="00E34AB2" w:rsidRDefault="00E34AB2" w:rsidP="00E34AB2">
            <w:r>
              <w:t>2500</w:t>
            </w:r>
          </w:p>
        </w:tc>
      </w:tr>
      <w:tr w:rsidR="00E34AB2" w:rsidRPr="006D6727" w14:paraId="4CACA458" w14:textId="77777777" w:rsidTr="00BD6D95">
        <w:trPr>
          <w:trHeight w:val="265"/>
        </w:trPr>
        <w:tc>
          <w:tcPr>
            <w:tcW w:w="0" w:type="auto"/>
          </w:tcPr>
          <w:p w14:paraId="26B9D451" w14:textId="3849D034" w:rsidR="00E34AB2" w:rsidRPr="00E34AB2" w:rsidRDefault="00E34AB2" w:rsidP="003A4EB9">
            <w:pPr>
              <w:pStyle w:val="ECCTabletext"/>
              <w:jc w:val="left"/>
              <w:rPr>
                <w:rStyle w:val="ECCParagraph"/>
              </w:rPr>
            </w:pPr>
            <w:r w:rsidRPr="003139A3">
              <w:rPr>
                <w:rStyle w:val="ECCParagraph"/>
              </w:rPr>
              <w:t>Consumer fixed indoor (40</w:t>
            </w:r>
            <w:r w:rsidR="009D5FA2">
              <w:rPr>
                <w:rStyle w:val="ECCParagraph"/>
              </w:rPr>
              <w:t>%</w:t>
            </w:r>
            <w:r w:rsidRPr="00E34AB2">
              <w:rPr>
                <w:rStyle w:val="ECCParagraph"/>
              </w:rPr>
              <w:t>)</w:t>
            </w:r>
          </w:p>
        </w:tc>
        <w:tc>
          <w:tcPr>
            <w:tcW w:w="0" w:type="dxa"/>
          </w:tcPr>
          <w:p w14:paraId="4212E671" w14:textId="77777777" w:rsidR="00E34AB2" w:rsidRPr="00E34AB2" w:rsidRDefault="00E34AB2" w:rsidP="00E34AB2">
            <w:r>
              <w:t>20</w:t>
            </w:r>
          </w:p>
        </w:tc>
        <w:tc>
          <w:tcPr>
            <w:tcW w:w="0" w:type="dxa"/>
          </w:tcPr>
          <w:p w14:paraId="6A1F5C0F" w14:textId="77777777" w:rsidR="00E34AB2" w:rsidRPr="00E34AB2" w:rsidRDefault="00E34AB2" w:rsidP="00E34AB2">
            <w:r>
              <w:t>200</w:t>
            </w:r>
          </w:p>
        </w:tc>
        <w:tc>
          <w:tcPr>
            <w:tcW w:w="1947" w:type="dxa"/>
          </w:tcPr>
          <w:p w14:paraId="501B9193" w14:textId="77777777" w:rsidR="00E34AB2" w:rsidRPr="00E34AB2" w:rsidRDefault="00E34AB2" w:rsidP="00E34AB2">
            <w:r>
              <w:t>2000</w:t>
            </w:r>
          </w:p>
        </w:tc>
      </w:tr>
      <w:tr w:rsidR="00E34AB2" w:rsidRPr="006D6727" w14:paraId="6B8C45CD" w14:textId="77777777" w:rsidTr="00BD6D95">
        <w:trPr>
          <w:trHeight w:val="265"/>
        </w:trPr>
        <w:tc>
          <w:tcPr>
            <w:tcW w:w="0" w:type="auto"/>
          </w:tcPr>
          <w:p w14:paraId="1629AC0C" w14:textId="623FBEB5" w:rsidR="00E34AB2" w:rsidRPr="00E34AB2" w:rsidRDefault="00E34AB2" w:rsidP="003A4EB9">
            <w:pPr>
              <w:pStyle w:val="ECCTabletext"/>
              <w:jc w:val="left"/>
              <w:rPr>
                <w:rStyle w:val="ECCParagraph"/>
              </w:rPr>
            </w:pPr>
            <w:r w:rsidRPr="003139A3">
              <w:rPr>
                <w:rStyle w:val="ECCParagraph"/>
              </w:rPr>
              <w:t>Professional fixed indoor (10</w:t>
            </w:r>
            <w:r w:rsidR="009D5FA2">
              <w:rPr>
                <w:rStyle w:val="ECCParagraph"/>
              </w:rPr>
              <w:t>%</w:t>
            </w:r>
            <w:r w:rsidRPr="003139A3">
              <w:rPr>
                <w:rStyle w:val="ECCParagraph"/>
              </w:rPr>
              <w:t>)</w:t>
            </w:r>
          </w:p>
        </w:tc>
        <w:tc>
          <w:tcPr>
            <w:tcW w:w="0" w:type="dxa"/>
          </w:tcPr>
          <w:p w14:paraId="57BA074C" w14:textId="77777777" w:rsidR="00E34AB2" w:rsidRPr="00E34AB2" w:rsidRDefault="00E34AB2" w:rsidP="00E34AB2">
            <w:r>
              <w:t>5</w:t>
            </w:r>
          </w:p>
        </w:tc>
        <w:tc>
          <w:tcPr>
            <w:tcW w:w="0" w:type="dxa"/>
          </w:tcPr>
          <w:p w14:paraId="16B6DEA1" w14:textId="77777777" w:rsidR="00E34AB2" w:rsidRPr="00E34AB2" w:rsidRDefault="00E34AB2" w:rsidP="00E34AB2">
            <w:r>
              <w:t>50</w:t>
            </w:r>
          </w:p>
        </w:tc>
        <w:tc>
          <w:tcPr>
            <w:tcW w:w="1947" w:type="dxa"/>
          </w:tcPr>
          <w:p w14:paraId="00878F2C" w14:textId="77777777" w:rsidR="00E34AB2" w:rsidRPr="00E34AB2" w:rsidRDefault="00E34AB2" w:rsidP="00E34AB2">
            <w:r>
              <w:t>500</w:t>
            </w:r>
          </w:p>
        </w:tc>
      </w:tr>
    </w:tbl>
    <w:p w14:paraId="7F5EB9DD" w14:textId="77777777" w:rsidR="00AA355D" w:rsidRPr="00CA4D57" w:rsidRDefault="00AA355D" w:rsidP="004E36C2">
      <w:pPr>
        <w:pStyle w:val="Heading4"/>
      </w:pPr>
      <w:bookmarkStart w:id="106" w:name="_Toc51064255"/>
      <w:bookmarkStart w:id="107" w:name="_Ref67485844"/>
      <w:bookmarkStart w:id="108" w:name="_Ref67486256"/>
      <w:bookmarkStart w:id="109" w:name="_Ref67491610"/>
      <w:bookmarkStart w:id="110" w:name="_Ref67493573"/>
      <w:bookmarkStart w:id="111" w:name="_Ref67493588"/>
      <w:bookmarkStart w:id="112" w:name="_Ref67603390"/>
      <w:bookmarkStart w:id="113" w:name="_Ref67649591"/>
      <w:bookmarkStart w:id="114" w:name="_Ref67854384"/>
      <w:bookmarkStart w:id="115" w:name="_Ref67903175"/>
      <w:bookmarkStart w:id="116" w:name="_Ref67903622"/>
      <w:bookmarkStart w:id="117" w:name="_Toc84325248"/>
      <w:r w:rsidRPr="00CA4D57">
        <w:t>Interference scenarios</w:t>
      </w:r>
      <w:bookmarkEnd w:id="106"/>
      <w:bookmarkEnd w:id="107"/>
      <w:bookmarkEnd w:id="108"/>
      <w:bookmarkEnd w:id="109"/>
      <w:bookmarkEnd w:id="110"/>
      <w:bookmarkEnd w:id="111"/>
      <w:bookmarkEnd w:id="112"/>
      <w:bookmarkEnd w:id="113"/>
      <w:bookmarkEnd w:id="114"/>
      <w:bookmarkEnd w:id="115"/>
      <w:bookmarkEnd w:id="116"/>
      <w:bookmarkEnd w:id="117"/>
    </w:p>
    <w:p w14:paraId="700D4A58" w14:textId="5EE2F05F" w:rsidR="00E34AB2" w:rsidRDefault="00E34AB2" w:rsidP="00E34AB2">
      <w:r>
        <w:t>Based on the assessed device densities and the technical parameters (</w:t>
      </w:r>
      <w:r w:rsidR="000609CE">
        <w:t xml:space="preserve">see </w:t>
      </w:r>
      <w:r w:rsidR="00EE63DC">
        <w:fldChar w:fldCharType="begin"/>
      </w:r>
      <w:r w:rsidR="00EE63DC">
        <w:instrText xml:space="preserve"> REF _Ref66371969 \h </w:instrText>
      </w:r>
      <w:r w:rsidR="00EE63DC">
        <w:fldChar w:fldCharType="separate"/>
      </w:r>
      <w:r w:rsidR="0041125F" w:rsidRPr="00841814">
        <w:rPr>
          <w:rStyle w:val="ECCParagraph"/>
        </w:rPr>
        <w:t>Table </w:t>
      </w:r>
      <w:r w:rsidR="0041125F">
        <w:rPr>
          <w:rStyle w:val="ECCParagraph"/>
          <w:noProof/>
        </w:rPr>
        <w:t>13</w:t>
      </w:r>
      <w:r w:rsidR="00EE63DC">
        <w:fldChar w:fldCharType="end"/>
      </w:r>
      <w:r>
        <w:t xml:space="preserve">) and possible installation requirements for fixed professional applications the following parameters for the compatibility studies could be extracted. The specific installation requirements for fixed applications could later be considered in the ECC </w:t>
      </w:r>
      <w:r w:rsidR="009D5FA2">
        <w:t>R</w:t>
      </w:r>
      <w:r>
        <w:t>egulation.</w:t>
      </w:r>
    </w:p>
    <w:p w14:paraId="48EA03EF" w14:textId="30BBDD53" w:rsidR="00E34AB2" w:rsidRPr="00E34AB2" w:rsidRDefault="001E3C36" w:rsidP="00E34AB2">
      <w:pPr>
        <w:pStyle w:val="Caption"/>
        <w:rPr>
          <w:rFonts w:eastAsia="Calibri"/>
        </w:rPr>
      </w:pPr>
      <w:bookmarkStart w:id="118" w:name="_Ref66371969"/>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F49F9">
        <w:rPr>
          <w:rStyle w:val="ECCParagraph"/>
          <w:noProof/>
        </w:rPr>
        <w:t>13</w:t>
      </w:r>
      <w:r w:rsidRPr="00841814">
        <w:rPr>
          <w:rStyle w:val="ECCParagraph"/>
        </w:rPr>
        <w:fldChar w:fldCharType="end"/>
      </w:r>
      <w:bookmarkEnd w:id="118"/>
      <w:r w:rsidR="00E34AB2" w:rsidRPr="00E34AB2">
        <w:t xml:space="preserve">: </w:t>
      </w:r>
      <w:r w:rsidR="00E34AB2" w:rsidRPr="00E34AB2">
        <w:rPr>
          <w:rStyle w:val="ECCParagraph"/>
          <w:rFonts w:eastAsia="Calibri"/>
          <w:lang w:val="da-DK"/>
        </w:rPr>
        <w:t xml:space="preserve">Parameters for the MCL calculation, </w:t>
      </w:r>
      <w:r w:rsidR="009D5FA2">
        <w:rPr>
          <w:rStyle w:val="ECCParagraph"/>
          <w:rFonts w:eastAsia="Calibri"/>
          <w:lang w:val="da-DK"/>
        </w:rPr>
        <w:t>hand-held</w:t>
      </w:r>
      <w:r w:rsidR="00E34AB2" w:rsidRPr="00E34AB2">
        <w:rPr>
          <w:rStyle w:val="ECCParagraph"/>
          <w:rFonts w:eastAsia="Calibri"/>
          <w:lang w:val="da-DK"/>
        </w:rPr>
        <w:t xml:space="preserve"> and mobile </w:t>
      </w:r>
      <w:r w:rsidR="005D5C81">
        <w:rPr>
          <w:rStyle w:val="ECCParagraph"/>
          <w:rFonts w:eastAsia="Calibri"/>
        </w:rPr>
        <w:t xml:space="preserve">generic </w:t>
      </w:r>
      <w:r w:rsidR="00E34AB2" w:rsidRPr="00E34AB2">
        <w:rPr>
          <w:rStyle w:val="ECCParagraph"/>
          <w:rFonts w:eastAsia="Calibri"/>
          <w:lang w:val="da-DK"/>
        </w:rPr>
        <w:t xml:space="preserve">indoor </w:t>
      </w:r>
      <w:r w:rsidR="005D5C81">
        <w:rPr>
          <w:rStyle w:val="ECCParagraph"/>
          <w:rFonts w:eastAsia="Calibri"/>
        </w:rPr>
        <w:t xml:space="preserve">surveillance radar </w:t>
      </w:r>
      <w:r w:rsidR="00E34AB2" w:rsidRPr="00E34AB2">
        <w:rPr>
          <w:rStyle w:val="ECCParagraph"/>
          <w:rFonts w:eastAsia="Calibri"/>
          <w:lang w:val="da-DK"/>
        </w:rPr>
        <w:t>equipment</w:t>
      </w:r>
    </w:p>
    <w:tbl>
      <w:tblPr>
        <w:tblStyle w:val="ECCTable-redheader"/>
        <w:tblpPr w:leftFromText="141" w:rightFromText="141" w:vertAnchor="text" w:tblpY="101"/>
        <w:tblW w:w="5000" w:type="pct"/>
        <w:jc w:val="left"/>
        <w:tblInd w:w="0" w:type="dxa"/>
        <w:tblLook w:val="04A0" w:firstRow="1" w:lastRow="0" w:firstColumn="1" w:lastColumn="0" w:noHBand="0" w:noVBand="1"/>
      </w:tblPr>
      <w:tblGrid>
        <w:gridCol w:w="3114"/>
        <w:gridCol w:w="6515"/>
      </w:tblGrid>
      <w:tr w:rsidR="00E34AB2" w:rsidRPr="008D6125" w14:paraId="26D8D9D4" w14:textId="77777777" w:rsidTr="00FD1F66">
        <w:trPr>
          <w:cnfStyle w:val="100000000000" w:firstRow="1" w:lastRow="0" w:firstColumn="0" w:lastColumn="0" w:oddVBand="0" w:evenVBand="0" w:oddHBand="0" w:evenHBand="0" w:firstRowFirstColumn="0" w:firstRowLastColumn="0" w:lastRowFirstColumn="0" w:lastRowLastColumn="0"/>
          <w:jc w:val="left"/>
        </w:trPr>
        <w:tc>
          <w:tcPr>
            <w:tcW w:w="1617" w:type="pct"/>
          </w:tcPr>
          <w:p w14:paraId="54A5CC4D" w14:textId="77777777" w:rsidR="00E34AB2" w:rsidRPr="00E34AB2" w:rsidRDefault="00E34AB2" w:rsidP="003A4EB9">
            <w:pPr>
              <w:pStyle w:val="ECCTabletext"/>
              <w:spacing w:before="120"/>
              <w:jc w:val="left"/>
              <w:rPr>
                <w:rStyle w:val="ECCParagraph"/>
              </w:rPr>
            </w:pPr>
            <w:r w:rsidRPr="008D6125">
              <w:rPr>
                <w:rStyle w:val="ECCParagraph"/>
              </w:rPr>
              <w:t>Parameter</w:t>
            </w:r>
          </w:p>
        </w:tc>
        <w:tc>
          <w:tcPr>
            <w:tcW w:w="3383" w:type="pct"/>
          </w:tcPr>
          <w:p w14:paraId="779B9610" w14:textId="517BE07C" w:rsidR="00E34AB2" w:rsidRPr="00E34AB2" w:rsidRDefault="00E34AB2" w:rsidP="003A4EB9">
            <w:pPr>
              <w:pStyle w:val="ECCTabletext"/>
              <w:spacing w:before="120"/>
              <w:jc w:val="left"/>
              <w:rPr>
                <w:rStyle w:val="ECCParagraph"/>
              </w:rPr>
            </w:pPr>
            <w:r w:rsidRPr="008D6125">
              <w:rPr>
                <w:rStyle w:val="ECCParagraph"/>
              </w:rPr>
              <w:t>Value</w:t>
            </w:r>
            <w:r w:rsidRPr="00E34AB2">
              <w:rPr>
                <w:rStyle w:val="ECCParagraph"/>
              </w:rPr>
              <w:t xml:space="preserve"> for </w:t>
            </w:r>
            <w:r w:rsidR="009D5FA2">
              <w:rPr>
                <w:rStyle w:val="ECCParagraph"/>
              </w:rPr>
              <w:t>hand-held</w:t>
            </w:r>
            <w:r w:rsidRPr="00E34AB2">
              <w:rPr>
                <w:rStyle w:val="ECCParagraph"/>
              </w:rPr>
              <w:t>/mobile</w:t>
            </w:r>
          </w:p>
        </w:tc>
      </w:tr>
      <w:tr w:rsidR="00E34AB2" w:rsidRPr="008D6125" w14:paraId="2A9F48CD" w14:textId="77777777" w:rsidTr="00FD1F66">
        <w:trPr>
          <w:trHeight w:val="265"/>
          <w:jc w:val="left"/>
        </w:trPr>
        <w:tc>
          <w:tcPr>
            <w:tcW w:w="1617" w:type="pct"/>
          </w:tcPr>
          <w:p w14:paraId="682950C9" w14:textId="77777777" w:rsidR="00E34AB2" w:rsidRPr="00E34AB2" w:rsidRDefault="00E34AB2" w:rsidP="003A4EB9">
            <w:pPr>
              <w:pStyle w:val="ECCTabletext"/>
              <w:jc w:val="left"/>
              <w:rPr>
                <w:rStyle w:val="ECCParagraph"/>
              </w:rPr>
            </w:pPr>
            <w:r w:rsidRPr="008D6125">
              <w:rPr>
                <w:rStyle w:val="ECCParagraph"/>
              </w:rPr>
              <w:t>Operating frequency range (OFR)</w:t>
            </w:r>
          </w:p>
        </w:tc>
        <w:tc>
          <w:tcPr>
            <w:tcW w:w="3383" w:type="pct"/>
          </w:tcPr>
          <w:p w14:paraId="140D26C2" w14:textId="77777777" w:rsidR="00E34AB2" w:rsidRPr="00E34AB2" w:rsidRDefault="00E34AB2" w:rsidP="003A4EB9">
            <w:pPr>
              <w:pStyle w:val="ECCTabletext"/>
              <w:jc w:val="left"/>
              <w:rPr>
                <w:rStyle w:val="ECCParagraph"/>
              </w:rPr>
            </w:pPr>
            <w:r w:rsidRPr="008D6125">
              <w:rPr>
                <w:rStyle w:val="ECCParagraph"/>
              </w:rPr>
              <w:t>116</w:t>
            </w:r>
            <w:r w:rsidR="0098699E">
              <w:rPr>
                <w:rStyle w:val="ECCParagraph"/>
              </w:rPr>
              <w:t> </w:t>
            </w:r>
            <w:r w:rsidRPr="008D6125">
              <w:rPr>
                <w:rStyle w:val="ECCParagraph"/>
              </w:rPr>
              <w:t>GHz to 130</w:t>
            </w:r>
            <w:r w:rsidRPr="00E34AB2">
              <w:rPr>
                <w:rStyle w:val="ECCParagraph"/>
              </w:rPr>
              <w:t> GHz</w:t>
            </w:r>
          </w:p>
          <w:p w14:paraId="57949DFE" w14:textId="77777777" w:rsidR="00E34AB2" w:rsidRPr="00E34AB2" w:rsidRDefault="00E34AB2" w:rsidP="003A4EB9">
            <w:pPr>
              <w:pStyle w:val="ECCTabletext"/>
              <w:jc w:val="left"/>
              <w:rPr>
                <w:rStyle w:val="ECCParagraph"/>
              </w:rPr>
            </w:pPr>
            <w:r w:rsidRPr="008D6125">
              <w:rPr>
                <w:rStyle w:val="ECCParagraph"/>
              </w:rPr>
              <w:t>134</w:t>
            </w:r>
            <w:r w:rsidR="0098699E">
              <w:rPr>
                <w:rStyle w:val="ECCParagraph"/>
              </w:rPr>
              <w:t> </w:t>
            </w:r>
            <w:r w:rsidRPr="008D6125">
              <w:rPr>
                <w:rStyle w:val="ECCParagraph"/>
              </w:rPr>
              <w:t>GHz to 141</w:t>
            </w:r>
            <w:r w:rsidRPr="00E34AB2">
              <w:rPr>
                <w:rStyle w:val="ECCParagraph"/>
              </w:rPr>
              <w:t> GHz</w:t>
            </w:r>
          </w:p>
          <w:p w14:paraId="7B7DF7FB" w14:textId="77777777" w:rsidR="00E34AB2" w:rsidRPr="00E34AB2" w:rsidRDefault="00E34AB2" w:rsidP="003A4EB9">
            <w:pPr>
              <w:pStyle w:val="ECCTabletext"/>
              <w:jc w:val="left"/>
              <w:rPr>
                <w:rStyle w:val="ECCParagraph"/>
              </w:rPr>
            </w:pPr>
            <w:r w:rsidRPr="008D6125">
              <w:rPr>
                <w:rStyle w:val="ECCParagraph"/>
              </w:rPr>
              <w:t>141</w:t>
            </w:r>
            <w:r w:rsidR="0098699E">
              <w:rPr>
                <w:rStyle w:val="ECCParagraph"/>
              </w:rPr>
              <w:t> </w:t>
            </w:r>
            <w:r w:rsidRPr="008D6125">
              <w:rPr>
                <w:rStyle w:val="ECCParagraph"/>
              </w:rPr>
              <w:t>GHz to 148</w:t>
            </w:r>
            <w:r w:rsidR="00CF4994">
              <w:rPr>
                <w:rStyle w:val="ECCParagraph"/>
              </w:rPr>
              <w:t>.5</w:t>
            </w:r>
            <w:r w:rsidRPr="00E34AB2">
              <w:rPr>
                <w:rStyle w:val="ECCParagraph"/>
              </w:rPr>
              <w:t> GHz</w:t>
            </w:r>
          </w:p>
        </w:tc>
      </w:tr>
      <w:tr w:rsidR="00E34AB2" w:rsidRPr="008D6125" w14:paraId="2F789FFA" w14:textId="77777777" w:rsidTr="00FD1F66">
        <w:trPr>
          <w:trHeight w:val="265"/>
          <w:jc w:val="left"/>
        </w:trPr>
        <w:tc>
          <w:tcPr>
            <w:tcW w:w="1617" w:type="pct"/>
          </w:tcPr>
          <w:p w14:paraId="3BB8BA9D" w14:textId="77777777" w:rsidR="00E34AB2" w:rsidRPr="00E34AB2" w:rsidRDefault="00E34AB2" w:rsidP="003A4EB9">
            <w:pPr>
              <w:pStyle w:val="ECCTabletext"/>
              <w:jc w:val="left"/>
              <w:rPr>
                <w:rStyle w:val="ECCParagraph"/>
              </w:rPr>
            </w:pPr>
            <w:r w:rsidRPr="008D6125">
              <w:rPr>
                <w:rStyle w:val="ECCParagraph"/>
              </w:rPr>
              <w:t>Duty cycle</w:t>
            </w:r>
          </w:p>
        </w:tc>
        <w:tc>
          <w:tcPr>
            <w:tcW w:w="3383" w:type="pct"/>
          </w:tcPr>
          <w:p w14:paraId="38DBE038" w14:textId="750A8E3F" w:rsidR="00E34AB2" w:rsidRPr="00E34AB2" w:rsidRDefault="00E34AB2" w:rsidP="003A4EB9">
            <w:pPr>
              <w:pStyle w:val="ECCTabletext"/>
              <w:jc w:val="left"/>
            </w:pPr>
            <w:r w:rsidRPr="00E34AB2">
              <w:t>Max. 40</w:t>
            </w:r>
            <w:r w:rsidR="00E91B50">
              <w:t>%</w:t>
            </w:r>
            <w:r w:rsidRPr="00E34AB2">
              <w:t xml:space="preserve"> for </w:t>
            </w:r>
            <w:r w:rsidR="009D5FA2">
              <w:t>hand-held</w:t>
            </w:r>
            <w:r w:rsidRPr="00E34AB2">
              <w:t xml:space="preserve"> and mobile application, but with and an activity factor of 50</w:t>
            </w:r>
            <w:r w:rsidR="00E91B50">
              <w:t>%</w:t>
            </w:r>
            <w:r w:rsidRPr="00E34AB2">
              <w:t xml:space="preserve"> per day.</w:t>
            </w:r>
          </w:p>
          <w:p w14:paraId="66358D3F" w14:textId="31000B70" w:rsidR="00E34AB2" w:rsidRPr="00E34AB2" w:rsidRDefault="00E34AB2" w:rsidP="003A4EB9">
            <w:pPr>
              <w:pStyle w:val="ECCTabletext"/>
              <w:jc w:val="left"/>
              <w:rPr>
                <w:rStyle w:val="ECCParagraph"/>
              </w:rPr>
            </w:pPr>
            <w:r w:rsidRPr="00E34AB2">
              <w:t xml:space="preserve">Total Tx on time per day: </w:t>
            </w:r>
            <w:r w:rsidR="001E2A0A">
              <w:t>2</w:t>
            </w:r>
            <w:r w:rsidRPr="00E34AB2">
              <w:t>0</w:t>
            </w:r>
            <w:r w:rsidR="00E91B50">
              <w:t>%</w:t>
            </w:r>
          </w:p>
        </w:tc>
      </w:tr>
      <w:tr w:rsidR="00E34AB2" w:rsidRPr="00CA0902" w14:paraId="10213AAE" w14:textId="77777777" w:rsidTr="00FD1F66">
        <w:trPr>
          <w:trHeight w:val="265"/>
          <w:jc w:val="left"/>
        </w:trPr>
        <w:tc>
          <w:tcPr>
            <w:tcW w:w="1617" w:type="pct"/>
          </w:tcPr>
          <w:p w14:paraId="419DF77D" w14:textId="77777777" w:rsidR="00E34AB2" w:rsidRPr="00E34AB2" w:rsidRDefault="00E34AB2" w:rsidP="003A4EB9">
            <w:pPr>
              <w:pStyle w:val="ECCTabletext"/>
              <w:jc w:val="left"/>
              <w:rPr>
                <w:rStyle w:val="ECCParagraph"/>
              </w:rPr>
            </w:pPr>
            <w:r w:rsidRPr="008D6125">
              <w:rPr>
                <w:rStyle w:val="ECCParagraph"/>
              </w:rPr>
              <w:t xml:space="preserve">Maximum mean power </w:t>
            </w:r>
            <w:r w:rsidRPr="00E34AB2">
              <w:rPr>
                <w:rStyle w:val="ECCParagraph"/>
              </w:rPr>
              <w:t>(</w:t>
            </w:r>
            <w:r w:rsidR="00F37503">
              <w:rPr>
                <w:rStyle w:val="ECCParagraph"/>
              </w:rPr>
              <w:t>e.i.r.</w:t>
            </w:r>
            <w:r w:rsidR="00F37503" w:rsidRPr="00F37503">
              <w:rPr>
                <w:rStyle w:val="ECCParagraph"/>
              </w:rPr>
              <w:t>p.)</w:t>
            </w:r>
          </w:p>
        </w:tc>
        <w:tc>
          <w:tcPr>
            <w:tcW w:w="3383" w:type="pct"/>
          </w:tcPr>
          <w:p w14:paraId="642C3CB1" w14:textId="77777777" w:rsidR="00E34AB2" w:rsidRPr="00E34AB2" w:rsidRDefault="00E34AB2" w:rsidP="003A4EB9">
            <w:pPr>
              <w:pStyle w:val="ECCTabletext"/>
              <w:jc w:val="left"/>
              <w:rPr>
                <w:rStyle w:val="ECCParagraph"/>
              </w:rPr>
            </w:pPr>
            <w:r>
              <w:rPr>
                <w:rStyle w:val="ECCParagraph"/>
              </w:rPr>
              <w:t>10 dBm</w:t>
            </w:r>
          </w:p>
        </w:tc>
      </w:tr>
      <w:tr w:rsidR="00E34AB2" w:rsidRPr="00CA0902" w14:paraId="22CFFFA4" w14:textId="77777777" w:rsidTr="00FD1F66">
        <w:trPr>
          <w:trHeight w:val="265"/>
          <w:jc w:val="left"/>
        </w:trPr>
        <w:tc>
          <w:tcPr>
            <w:tcW w:w="1617" w:type="pct"/>
          </w:tcPr>
          <w:p w14:paraId="65D4D9A9" w14:textId="77777777" w:rsidR="00E34AB2" w:rsidRPr="00E34AB2" w:rsidRDefault="00E34AB2" w:rsidP="003A4EB9">
            <w:pPr>
              <w:pStyle w:val="ECCTabletext"/>
              <w:jc w:val="left"/>
              <w:rPr>
                <w:rStyle w:val="ECCParagraph"/>
              </w:rPr>
            </w:pPr>
            <w:r>
              <w:rPr>
                <w:rStyle w:val="ECCParagraph"/>
              </w:rPr>
              <w:t>Antenna gain</w:t>
            </w:r>
          </w:p>
        </w:tc>
        <w:tc>
          <w:tcPr>
            <w:tcW w:w="3383" w:type="pct"/>
          </w:tcPr>
          <w:p w14:paraId="31AF07EE" w14:textId="77777777" w:rsidR="00E34AB2" w:rsidRPr="00E34AB2" w:rsidRDefault="00E34AB2" w:rsidP="003A4EB9">
            <w:pPr>
              <w:pStyle w:val="ECCTabletext"/>
              <w:jc w:val="left"/>
              <w:rPr>
                <w:rStyle w:val="ECCParagraph"/>
              </w:rPr>
            </w:pPr>
            <w:r>
              <w:rPr>
                <w:rStyle w:val="ECCParagraph"/>
              </w:rPr>
              <w:t>10 dBi</w:t>
            </w:r>
          </w:p>
        </w:tc>
      </w:tr>
      <w:tr w:rsidR="00E34AB2" w:rsidRPr="00CA0902" w14:paraId="175B35BB" w14:textId="77777777" w:rsidTr="00FD1F66">
        <w:trPr>
          <w:trHeight w:val="265"/>
          <w:jc w:val="left"/>
        </w:trPr>
        <w:tc>
          <w:tcPr>
            <w:tcW w:w="1617" w:type="pct"/>
          </w:tcPr>
          <w:p w14:paraId="208F09AD" w14:textId="77777777" w:rsidR="00E34AB2" w:rsidRPr="00E34AB2" w:rsidRDefault="00E34AB2" w:rsidP="003A4EB9">
            <w:pPr>
              <w:pStyle w:val="ECCTabletext"/>
              <w:jc w:val="left"/>
              <w:rPr>
                <w:rStyle w:val="ECCParagraph"/>
              </w:rPr>
            </w:pPr>
            <w:r>
              <w:rPr>
                <w:rStyle w:val="ECCParagraph"/>
              </w:rPr>
              <w:t>O</w:t>
            </w:r>
            <w:r w:rsidRPr="00E34AB2">
              <w:rPr>
                <w:rStyle w:val="ECCParagraph"/>
              </w:rPr>
              <w:t>ut</w:t>
            </w:r>
            <w:r w:rsidR="00B712F4">
              <w:rPr>
                <w:rStyle w:val="ECCParagraph"/>
              </w:rPr>
              <w:t>-</w:t>
            </w:r>
            <w:r w:rsidRPr="00E34AB2">
              <w:rPr>
                <w:rStyle w:val="ECCParagraph"/>
              </w:rPr>
              <w:t>of</w:t>
            </w:r>
            <w:r w:rsidR="00B712F4">
              <w:rPr>
                <w:rStyle w:val="ECCParagraph"/>
              </w:rPr>
              <w:t>-</w:t>
            </w:r>
            <w:r w:rsidRPr="00E34AB2">
              <w:rPr>
                <w:rStyle w:val="ECCParagraph"/>
              </w:rPr>
              <w:t>band (OoB) attenuation</w:t>
            </w:r>
          </w:p>
        </w:tc>
        <w:tc>
          <w:tcPr>
            <w:tcW w:w="3383" w:type="pct"/>
          </w:tcPr>
          <w:p w14:paraId="2A72F62F" w14:textId="77777777" w:rsidR="00E34AB2" w:rsidRPr="00E34AB2" w:rsidRDefault="00E34AB2" w:rsidP="003A4EB9">
            <w:pPr>
              <w:pStyle w:val="ECCTabletext"/>
              <w:jc w:val="left"/>
              <w:rPr>
                <w:rStyle w:val="ECCParagraph"/>
              </w:rPr>
            </w:pPr>
            <w:r>
              <w:rPr>
                <w:rStyle w:val="ECCParagraph"/>
              </w:rPr>
              <w:t>-20 dB</w:t>
            </w:r>
            <w:r w:rsidRPr="00E34AB2">
              <w:rPr>
                <w:rStyle w:val="ECCParagraph"/>
              </w:rPr>
              <w:t xml:space="preserve"> (minimum)</w:t>
            </w:r>
          </w:p>
        </w:tc>
      </w:tr>
      <w:tr w:rsidR="00E34AB2" w:rsidRPr="00CA0902" w14:paraId="20BAC02E" w14:textId="77777777" w:rsidTr="00FD1F66">
        <w:trPr>
          <w:trHeight w:val="265"/>
          <w:jc w:val="left"/>
        </w:trPr>
        <w:tc>
          <w:tcPr>
            <w:tcW w:w="1617" w:type="pct"/>
          </w:tcPr>
          <w:p w14:paraId="2128F371" w14:textId="77777777" w:rsidR="00E34AB2" w:rsidRPr="00E34AB2" w:rsidRDefault="00E34AB2" w:rsidP="003A4EB9">
            <w:pPr>
              <w:pStyle w:val="ECCTabletext"/>
              <w:jc w:val="left"/>
              <w:rPr>
                <w:rStyle w:val="ECCParagraph"/>
              </w:rPr>
            </w:pPr>
            <w:r>
              <w:rPr>
                <w:rStyle w:val="ECCParagraph"/>
              </w:rPr>
              <w:t xml:space="preserve">Device </w:t>
            </w:r>
            <w:r w:rsidRPr="00E34AB2">
              <w:rPr>
                <w:rStyle w:val="ECCParagraph"/>
              </w:rPr>
              <w:t xml:space="preserve">densities </w:t>
            </w:r>
            <w:r w:rsidR="00984310" w:rsidRPr="00E34AB2">
              <w:rPr>
                <w:rStyle w:val="ECCParagraph"/>
              </w:rPr>
              <w:t>(</w:t>
            </w:r>
            <w:r w:rsidR="00984310" w:rsidRPr="00984310">
              <w:rPr>
                <w:rStyle w:val="ECCParagraph"/>
              </w:rPr>
              <w:t>per km²)</w:t>
            </w:r>
          </w:p>
        </w:tc>
        <w:tc>
          <w:tcPr>
            <w:tcW w:w="3383" w:type="pct"/>
          </w:tcPr>
          <w:p w14:paraId="3B100BD8" w14:textId="77777777" w:rsidR="00E34AB2" w:rsidRPr="00E34AB2" w:rsidRDefault="00E34AB2" w:rsidP="003A4EB9">
            <w:pPr>
              <w:pStyle w:val="ECCTabletext"/>
              <w:jc w:val="left"/>
              <w:rPr>
                <w:rStyle w:val="ECCParagraph"/>
              </w:rPr>
            </w:pPr>
            <w:r>
              <w:rPr>
                <w:rStyle w:val="ECCParagraph"/>
              </w:rPr>
              <w:t>Is it assumed that:</w:t>
            </w:r>
          </w:p>
          <w:p w14:paraId="71A3367B" w14:textId="01D86940" w:rsidR="00E34AB2" w:rsidRPr="00E34AB2" w:rsidRDefault="00E34AB2" w:rsidP="00E34AB2">
            <w:pPr>
              <w:pStyle w:val="ECCBulletsLv1"/>
              <w:rPr>
                <w:rStyle w:val="ECCParagraph"/>
              </w:rPr>
            </w:pPr>
            <w:r>
              <w:rPr>
                <w:rStyle w:val="ECCParagraph"/>
              </w:rPr>
              <w:t>The d</w:t>
            </w:r>
            <w:r w:rsidRPr="00E34AB2">
              <w:rPr>
                <w:rStyle w:val="ECCParagraph"/>
              </w:rPr>
              <w:t>ense urban values are used for the studies</w:t>
            </w:r>
            <w:r w:rsidR="00825F19">
              <w:rPr>
                <w:rStyle w:val="ECCParagraph"/>
              </w:rPr>
              <w:t>;</w:t>
            </w:r>
          </w:p>
          <w:p w14:paraId="1D6E04CC" w14:textId="77777777" w:rsidR="00E34AB2" w:rsidRDefault="00E34AB2" w:rsidP="00E34AB2">
            <w:pPr>
              <w:pStyle w:val="ECCBulletsLv1"/>
              <w:rPr>
                <w:rStyle w:val="ECCParagraph"/>
              </w:rPr>
            </w:pPr>
            <w:r>
              <w:rPr>
                <w:rStyle w:val="ECCParagraph"/>
              </w:rPr>
              <w:t>T</w:t>
            </w:r>
            <w:r w:rsidRPr="00E34AB2">
              <w:rPr>
                <w:rStyle w:val="ECCParagraph"/>
              </w:rPr>
              <w:t>he devices will be used in both frequency ranges (116-130</w:t>
            </w:r>
            <w:r w:rsidR="001C6F5E">
              <w:rPr>
                <w:rStyle w:val="ECCParagraph"/>
              </w:rPr>
              <w:t> GHz</w:t>
            </w:r>
            <w:r w:rsidRPr="00E34AB2">
              <w:rPr>
                <w:rStyle w:val="ECCParagraph"/>
              </w:rPr>
              <w:t xml:space="preserve"> and 134-148.5GHz) with the same device density</w:t>
            </w:r>
            <w:r>
              <w:rPr>
                <w:rStyle w:val="ECCParagraph"/>
              </w:rPr>
              <w:t xml:space="preserve">. This would lead to </w:t>
            </w:r>
            <w:r w:rsidRPr="00E34AB2">
              <w:rPr>
                <w:rStyle w:val="ECCParagraph"/>
              </w:rPr>
              <w:t>a density of 1250</w:t>
            </w:r>
            <w:r w:rsidR="001C6F5E">
              <w:rPr>
                <w:rStyle w:val="ECCParagraph"/>
              </w:rPr>
              <w:t> </w:t>
            </w:r>
            <w:r w:rsidRPr="00E34AB2">
              <w:rPr>
                <w:rStyle w:val="ECCParagraph"/>
              </w:rPr>
              <w:t>devices/km² for both frequency ranges.</w:t>
            </w:r>
          </w:p>
        </w:tc>
      </w:tr>
    </w:tbl>
    <w:p w14:paraId="376B75C9" w14:textId="178AD4C7" w:rsidR="00E34AB2" w:rsidRPr="00E34AB2" w:rsidRDefault="0098386B" w:rsidP="00E34AB2">
      <w:pPr>
        <w:pStyle w:val="Caption"/>
        <w:rPr>
          <w:rFonts w:eastAsia="Calibri"/>
        </w:rPr>
      </w:pPr>
      <w:bookmarkStart w:id="119" w:name="_Ref67653016"/>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F49F9">
        <w:rPr>
          <w:rStyle w:val="ECCParagraph"/>
          <w:noProof/>
        </w:rPr>
        <w:t>14</w:t>
      </w:r>
      <w:r w:rsidRPr="00841814">
        <w:rPr>
          <w:rStyle w:val="ECCParagraph"/>
        </w:rPr>
        <w:fldChar w:fldCharType="end"/>
      </w:r>
      <w:bookmarkEnd w:id="119"/>
      <w:r w:rsidR="00E34AB2" w:rsidRPr="008D5E69">
        <w:t xml:space="preserve">: </w:t>
      </w:r>
      <w:r w:rsidR="00E34AB2" w:rsidRPr="00E34AB2">
        <w:rPr>
          <w:rStyle w:val="ECCParagraph"/>
          <w:rFonts w:eastAsia="Calibri"/>
        </w:rPr>
        <w:t xml:space="preserve">Parameters for the MCL calculation, fixed </w:t>
      </w:r>
      <w:r w:rsidR="005D5C81" w:rsidRPr="005D5C81">
        <w:rPr>
          <w:rStyle w:val="ECCParagraph"/>
          <w:rFonts w:eastAsia="Calibri"/>
        </w:rPr>
        <w:t>generic indoor surveillance radar</w:t>
      </w:r>
      <w:r w:rsidR="005D5C81">
        <w:rPr>
          <w:rStyle w:val="ECCParagraph"/>
          <w:rFonts w:eastAsia="Calibri"/>
        </w:rPr>
        <w:t xml:space="preserve"> equipment</w:t>
      </w:r>
    </w:p>
    <w:tbl>
      <w:tblPr>
        <w:tblStyle w:val="ECCTable-redheader"/>
        <w:tblpPr w:leftFromText="141" w:rightFromText="141" w:vertAnchor="text" w:tblpY="101"/>
        <w:tblW w:w="5000" w:type="pct"/>
        <w:jc w:val="left"/>
        <w:tblInd w:w="0" w:type="dxa"/>
        <w:tblLook w:val="04A0" w:firstRow="1" w:lastRow="0" w:firstColumn="1" w:lastColumn="0" w:noHBand="0" w:noVBand="1"/>
      </w:tblPr>
      <w:tblGrid>
        <w:gridCol w:w="3257"/>
        <w:gridCol w:w="6372"/>
      </w:tblGrid>
      <w:tr w:rsidR="00E34AB2" w:rsidRPr="008D6125" w14:paraId="4E7B34A1" w14:textId="77777777" w:rsidTr="003A4EB9">
        <w:trPr>
          <w:cnfStyle w:val="100000000000" w:firstRow="1" w:lastRow="0" w:firstColumn="0" w:lastColumn="0" w:oddVBand="0" w:evenVBand="0" w:oddHBand="0" w:evenHBand="0" w:firstRowFirstColumn="0" w:firstRowLastColumn="0" w:lastRowFirstColumn="0" w:lastRowLastColumn="0"/>
          <w:jc w:val="left"/>
        </w:trPr>
        <w:tc>
          <w:tcPr>
            <w:tcW w:w="1691" w:type="pct"/>
          </w:tcPr>
          <w:p w14:paraId="30926807" w14:textId="77777777" w:rsidR="00E34AB2" w:rsidRPr="00E34AB2" w:rsidRDefault="00E34AB2" w:rsidP="00825F19">
            <w:pPr>
              <w:pStyle w:val="ECCTabletext"/>
              <w:spacing w:before="120"/>
              <w:jc w:val="left"/>
              <w:rPr>
                <w:rStyle w:val="ECCParagraph"/>
              </w:rPr>
            </w:pPr>
            <w:r w:rsidRPr="008D6125">
              <w:rPr>
                <w:rStyle w:val="ECCParagraph"/>
              </w:rPr>
              <w:t>Parameter</w:t>
            </w:r>
          </w:p>
        </w:tc>
        <w:tc>
          <w:tcPr>
            <w:tcW w:w="3309" w:type="pct"/>
          </w:tcPr>
          <w:p w14:paraId="7BAD9D5F" w14:textId="77777777" w:rsidR="00E34AB2" w:rsidRPr="00E34AB2" w:rsidRDefault="00E34AB2" w:rsidP="00825F19">
            <w:pPr>
              <w:pStyle w:val="ECCTabletext"/>
              <w:spacing w:before="120"/>
              <w:jc w:val="left"/>
              <w:rPr>
                <w:rStyle w:val="ECCParagraph"/>
              </w:rPr>
            </w:pPr>
            <w:r w:rsidRPr="008D6125">
              <w:rPr>
                <w:rStyle w:val="ECCParagraph"/>
              </w:rPr>
              <w:t>Value</w:t>
            </w:r>
            <w:r w:rsidRPr="00E34AB2">
              <w:rPr>
                <w:rStyle w:val="ECCParagraph"/>
              </w:rPr>
              <w:t xml:space="preserve"> for fixed indoor</w:t>
            </w:r>
          </w:p>
        </w:tc>
      </w:tr>
      <w:tr w:rsidR="00E34AB2" w:rsidRPr="008D6125" w14:paraId="719D241F" w14:textId="77777777" w:rsidTr="003A4EB9">
        <w:trPr>
          <w:trHeight w:val="265"/>
          <w:jc w:val="left"/>
        </w:trPr>
        <w:tc>
          <w:tcPr>
            <w:tcW w:w="1691" w:type="pct"/>
          </w:tcPr>
          <w:p w14:paraId="679EECB6" w14:textId="77777777" w:rsidR="00E34AB2" w:rsidRPr="00E34AB2" w:rsidRDefault="00E34AB2" w:rsidP="003A4EB9">
            <w:pPr>
              <w:pStyle w:val="ECCTabletext"/>
              <w:jc w:val="left"/>
              <w:rPr>
                <w:rStyle w:val="ECCParagraph"/>
              </w:rPr>
            </w:pPr>
            <w:r w:rsidRPr="008D6125">
              <w:rPr>
                <w:rStyle w:val="ECCParagraph"/>
              </w:rPr>
              <w:t>Operating frequency range (OFR)</w:t>
            </w:r>
          </w:p>
        </w:tc>
        <w:tc>
          <w:tcPr>
            <w:tcW w:w="3309" w:type="pct"/>
          </w:tcPr>
          <w:p w14:paraId="56EBF55B" w14:textId="77777777" w:rsidR="00E34AB2" w:rsidRPr="00E34AB2" w:rsidRDefault="00E34AB2" w:rsidP="003A4EB9">
            <w:pPr>
              <w:pStyle w:val="ECCTabletext"/>
              <w:jc w:val="left"/>
              <w:rPr>
                <w:rStyle w:val="ECCParagraph"/>
              </w:rPr>
            </w:pPr>
            <w:r w:rsidRPr="008D6125">
              <w:rPr>
                <w:rStyle w:val="ECCParagraph"/>
              </w:rPr>
              <w:t>116</w:t>
            </w:r>
            <w:r w:rsidR="0098699E">
              <w:rPr>
                <w:rStyle w:val="ECCParagraph"/>
              </w:rPr>
              <w:t> </w:t>
            </w:r>
            <w:r w:rsidRPr="008D6125">
              <w:rPr>
                <w:rStyle w:val="ECCParagraph"/>
              </w:rPr>
              <w:t>GHz to 130</w:t>
            </w:r>
            <w:r w:rsidRPr="00E34AB2">
              <w:rPr>
                <w:rStyle w:val="ECCParagraph"/>
              </w:rPr>
              <w:t> GHz</w:t>
            </w:r>
          </w:p>
          <w:p w14:paraId="35308BD6" w14:textId="77777777" w:rsidR="00E34AB2" w:rsidRPr="00E34AB2" w:rsidRDefault="00E34AB2" w:rsidP="003A4EB9">
            <w:pPr>
              <w:pStyle w:val="ECCTabletext"/>
              <w:jc w:val="left"/>
              <w:rPr>
                <w:rStyle w:val="ECCParagraph"/>
              </w:rPr>
            </w:pPr>
            <w:r w:rsidRPr="008D6125">
              <w:rPr>
                <w:rStyle w:val="ECCParagraph"/>
              </w:rPr>
              <w:t>134</w:t>
            </w:r>
            <w:r w:rsidR="0098699E">
              <w:rPr>
                <w:rStyle w:val="ECCParagraph"/>
              </w:rPr>
              <w:t> </w:t>
            </w:r>
            <w:r w:rsidRPr="008D6125">
              <w:rPr>
                <w:rStyle w:val="ECCParagraph"/>
              </w:rPr>
              <w:t>GHz to 141</w:t>
            </w:r>
            <w:r w:rsidRPr="00E34AB2">
              <w:rPr>
                <w:rStyle w:val="ECCParagraph"/>
              </w:rPr>
              <w:t> GHz</w:t>
            </w:r>
          </w:p>
          <w:p w14:paraId="22715A2D" w14:textId="77777777" w:rsidR="00E34AB2" w:rsidRPr="00E34AB2" w:rsidRDefault="00E34AB2" w:rsidP="003A4EB9">
            <w:pPr>
              <w:pStyle w:val="ECCTabletext"/>
              <w:jc w:val="left"/>
              <w:rPr>
                <w:rStyle w:val="ECCParagraph"/>
              </w:rPr>
            </w:pPr>
            <w:r w:rsidRPr="008D6125">
              <w:rPr>
                <w:rStyle w:val="ECCParagraph"/>
              </w:rPr>
              <w:t>141</w:t>
            </w:r>
            <w:r w:rsidR="0098699E">
              <w:rPr>
                <w:rStyle w:val="ECCParagraph"/>
              </w:rPr>
              <w:t> </w:t>
            </w:r>
            <w:r w:rsidRPr="008D6125">
              <w:rPr>
                <w:rStyle w:val="ECCParagraph"/>
              </w:rPr>
              <w:t>GHz to 148</w:t>
            </w:r>
            <w:r w:rsidR="00CF4994">
              <w:rPr>
                <w:rStyle w:val="ECCParagraph"/>
              </w:rPr>
              <w:t>.5</w:t>
            </w:r>
            <w:r w:rsidRPr="00E34AB2">
              <w:rPr>
                <w:rStyle w:val="ECCParagraph"/>
              </w:rPr>
              <w:t> GHz</w:t>
            </w:r>
          </w:p>
        </w:tc>
      </w:tr>
      <w:tr w:rsidR="00E34AB2" w:rsidRPr="008D6125" w14:paraId="4A5BC746" w14:textId="77777777" w:rsidTr="003A4EB9">
        <w:trPr>
          <w:trHeight w:val="265"/>
          <w:jc w:val="left"/>
        </w:trPr>
        <w:tc>
          <w:tcPr>
            <w:tcW w:w="1691" w:type="pct"/>
          </w:tcPr>
          <w:p w14:paraId="347FA6CF" w14:textId="77777777" w:rsidR="00E34AB2" w:rsidRPr="00E34AB2" w:rsidRDefault="00E34AB2" w:rsidP="003A4EB9">
            <w:pPr>
              <w:pStyle w:val="ECCTabletext"/>
              <w:jc w:val="left"/>
              <w:rPr>
                <w:rStyle w:val="ECCParagraph"/>
              </w:rPr>
            </w:pPr>
            <w:r w:rsidRPr="008D6125">
              <w:rPr>
                <w:rStyle w:val="ECCParagraph"/>
              </w:rPr>
              <w:t xml:space="preserve">Duty </w:t>
            </w:r>
            <w:r w:rsidRPr="00E34AB2">
              <w:rPr>
                <w:rStyle w:val="ECCParagraph"/>
              </w:rPr>
              <w:t>cycle</w:t>
            </w:r>
          </w:p>
        </w:tc>
        <w:tc>
          <w:tcPr>
            <w:tcW w:w="3309" w:type="pct"/>
          </w:tcPr>
          <w:p w14:paraId="202F1C42" w14:textId="0D35F677" w:rsidR="00E34AB2" w:rsidRPr="00E34AB2" w:rsidRDefault="00E34AB2" w:rsidP="003A4EB9">
            <w:pPr>
              <w:pStyle w:val="ECCTabletext"/>
              <w:jc w:val="left"/>
              <w:rPr>
                <w:rStyle w:val="ECCParagraph"/>
              </w:rPr>
            </w:pPr>
            <w:r>
              <w:rPr>
                <w:rStyle w:val="ECCParagraph"/>
              </w:rPr>
              <w:t>10</w:t>
            </w:r>
            <w:r w:rsidR="00E91B50">
              <w:rPr>
                <w:rStyle w:val="ECCParagraph"/>
              </w:rPr>
              <w:t>%</w:t>
            </w:r>
          </w:p>
        </w:tc>
      </w:tr>
      <w:tr w:rsidR="00E34AB2" w:rsidRPr="00CA0902" w14:paraId="2B7AA735" w14:textId="77777777" w:rsidTr="003A4EB9">
        <w:trPr>
          <w:trHeight w:val="265"/>
          <w:jc w:val="left"/>
        </w:trPr>
        <w:tc>
          <w:tcPr>
            <w:tcW w:w="1691" w:type="pct"/>
          </w:tcPr>
          <w:p w14:paraId="3DF8A438" w14:textId="77777777" w:rsidR="00E34AB2" w:rsidRPr="00E34AB2" w:rsidRDefault="00E34AB2" w:rsidP="003A4EB9">
            <w:pPr>
              <w:pStyle w:val="ECCTabletext"/>
              <w:jc w:val="left"/>
              <w:rPr>
                <w:rStyle w:val="ECCParagraph"/>
              </w:rPr>
            </w:pPr>
            <w:r w:rsidRPr="008D6125">
              <w:rPr>
                <w:rStyle w:val="ECCParagraph"/>
              </w:rPr>
              <w:t xml:space="preserve">Maximum mean power </w:t>
            </w:r>
            <w:r w:rsidRPr="00E34AB2">
              <w:rPr>
                <w:rStyle w:val="ECCParagraph"/>
              </w:rPr>
              <w:t>(</w:t>
            </w:r>
            <w:r w:rsidR="00F37503">
              <w:rPr>
                <w:rStyle w:val="ECCParagraph"/>
              </w:rPr>
              <w:t>e.i.r.p.</w:t>
            </w:r>
            <w:r w:rsidRPr="00E34AB2">
              <w:rPr>
                <w:rStyle w:val="ECCParagraph"/>
              </w:rPr>
              <w:t>)</w:t>
            </w:r>
          </w:p>
        </w:tc>
        <w:tc>
          <w:tcPr>
            <w:tcW w:w="3309" w:type="pct"/>
          </w:tcPr>
          <w:p w14:paraId="06C0BF61" w14:textId="77777777" w:rsidR="00E34AB2" w:rsidRPr="00E34AB2" w:rsidRDefault="00E34AB2" w:rsidP="003A4EB9">
            <w:pPr>
              <w:pStyle w:val="ECCTabletext"/>
              <w:jc w:val="left"/>
              <w:rPr>
                <w:rStyle w:val="ECCParagraph"/>
              </w:rPr>
            </w:pPr>
            <w:r>
              <w:rPr>
                <w:rStyle w:val="ECCParagraph"/>
              </w:rPr>
              <w:t>20</w:t>
            </w:r>
            <w:r w:rsidR="0098386B">
              <w:rPr>
                <w:rStyle w:val="ECCParagraph"/>
              </w:rPr>
              <w:t> </w:t>
            </w:r>
            <w:r>
              <w:rPr>
                <w:rStyle w:val="ECCParagraph"/>
              </w:rPr>
              <w:t>dBm</w:t>
            </w:r>
          </w:p>
        </w:tc>
      </w:tr>
      <w:tr w:rsidR="00E34AB2" w:rsidRPr="00CA0902" w14:paraId="7DFDA673" w14:textId="77777777" w:rsidTr="003A4EB9">
        <w:trPr>
          <w:trHeight w:val="265"/>
          <w:jc w:val="left"/>
        </w:trPr>
        <w:tc>
          <w:tcPr>
            <w:tcW w:w="1691" w:type="pct"/>
          </w:tcPr>
          <w:p w14:paraId="1B6D7439" w14:textId="77777777" w:rsidR="00E34AB2" w:rsidRPr="00E34AB2" w:rsidRDefault="00E34AB2" w:rsidP="003A4EB9">
            <w:pPr>
              <w:pStyle w:val="ECCTabletext"/>
              <w:jc w:val="left"/>
              <w:rPr>
                <w:rStyle w:val="ECCParagraph"/>
              </w:rPr>
            </w:pPr>
            <w:r>
              <w:rPr>
                <w:rStyle w:val="ECCParagraph"/>
              </w:rPr>
              <w:t>Antenn</w:t>
            </w:r>
            <w:r w:rsidRPr="00E34AB2">
              <w:rPr>
                <w:rStyle w:val="ECCParagraph"/>
              </w:rPr>
              <w:t xml:space="preserve">a gain </w:t>
            </w:r>
          </w:p>
        </w:tc>
        <w:tc>
          <w:tcPr>
            <w:tcW w:w="3309" w:type="pct"/>
          </w:tcPr>
          <w:p w14:paraId="51106B9F" w14:textId="77777777" w:rsidR="00E34AB2" w:rsidRPr="00E34AB2" w:rsidRDefault="00E34AB2" w:rsidP="003A4EB9">
            <w:pPr>
              <w:pStyle w:val="ECCTabletext"/>
              <w:jc w:val="left"/>
              <w:rPr>
                <w:rStyle w:val="ECCParagraph"/>
              </w:rPr>
            </w:pPr>
            <w:r>
              <w:rPr>
                <w:rStyle w:val="ECCParagraph"/>
              </w:rPr>
              <w:t>20</w:t>
            </w:r>
            <w:r w:rsidR="0098386B">
              <w:rPr>
                <w:rStyle w:val="ECCParagraph"/>
              </w:rPr>
              <w:t> </w:t>
            </w:r>
            <w:r>
              <w:rPr>
                <w:rStyle w:val="ECCParagraph"/>
              </w:rPr>
              <w:t>dBi</w:t>
            </w:r>
          </w:p>
        </w:tc>
      </w:tr>
      <w:tr w:rsidR="00E34AB2" w:rsidRPr="00CA0902" w14:paraId="6EC2406E" w14:textId="77777777" w:rsidTr="003A4EB9">
        <w:trPr>
          <w:trHeight w:val="265"/>
          <w:jc w:val="left"/>
        </w:trPr>
        <w:tc>
          <w:tcPr>
            <w:tcW w:w="1691" w:type="pct"/>
          </w:tcPr>
          <w:p w14:paraId="06E77501" w14:textId="77777777" w:rsidR="00E34AB2" w:rsidRPr="00E34AB2" w:rsidRDefault="00E34AB2" w:rsidP="003A4EB9">
            <w:pPr>
              <w:pStyle w:val="ECCTabletext"/>
              <w:jc w:val="left"/>
              <w:rPr>
                <w:rStyle w:val="ECCParagraph"/>
              </w:rPr>
            </w:pPr>
            <w:r>
              <w:rPr>
                <w:rStyle w:val="ECCParagraph"/>
              </w:rPr>
              <w:t>Out</w:t>
            </w:r>
            <w:r w:rsidR="00B712F4">
              <w:rPr>
                <w:rStyle w:val="ECCParagraph"/>
              </w:rPr>
              <w:t>-</w:t>
            </w:r>
            <w:r>
              <w:rPr>
                <w:rStyle w:val="ECCParagraph"/>
              </w:rPr>
              <w:t>of</w:t>
            </w:r>
            <w:r w:rsidR="00B712F4">
              <w:rPr>
                <w:rStyle w:val="ECCParagraph"/>
              </w:rPr>
              <w:t>-</w:t>
            </w:r>
            <w:r>
              <w:rPr>
                <w:rStyle w:val="ECCParagraph"/>
              </w:rPr>
              <w:t>band (OoB) attenuation</w:t>
            </w:r>
          </w:p>
        </w:tc>
        <w:tc>
          <w:tcPr>
            <w:tcW w:w="3309" w:type="pct"/>
          </w:tcPr>
          <w:p w14:paraId="78805823" w14:textId="77777777" w:rsidR="00E34AB2" w:rsidRPr="00E34AB2" w:rsidRDefault="00E34AB2" w:rsidP="003A4EB9">
            <w:pPr>
              <w:pStyle w:val="ECCTabletext"/>
              <w:jc w:val="left"/>
              <w:rPr>
                <w:rStyle w:val="ECCParagraph"/>
              </w:rPr>
            </w:pPr>
            <w:r>
              <w:rPr>
                <w:rStyle w:val="ECCParagraph"/>
              </w:rPr>
              <w:t>-20</w:t>
            </w:r>
            <w:r w:rsidR="0098386B">
              <w:rPr>
                <w:rStyle w:val="ECCParagraph"/>
              </w:rPr>
              <w:t> </w:t>
            </w:r>
            <w:r>
              <w:rPr>
                <w:rStyle w:val="ECCParagraph"/>
              </w:rPr>
              <w:t>dB</w:t>
            </w:r>
            <w:r w:rsidRPr="00E34AB2">
              <w:rPr>
                <w:rStyle w:val="ECCParagraph"/>
              </w:rPr>
              <w:t xml:space="preserve"> (minimum)</w:t>
            </w:r>
          </w:p>
        </w:tc>
      </w:tr>
      <w:tr w:rsidR="00E34AB2" w:rsidRPr="00CA0902" w14:paraId="0186505F" w14:textId="77777777" w:rsidTr="003A4EB9">
        <w:trPr>
          <w:trHeight w:val="265"/>
          <w:jc w:val="left"/>
        </w:trPr>
        <w:tc>
          <w:tcPr>
            <w:tcW w:w="1691" w:type="pct"/>
          </w:tcPr>
          <w:p w14:paraId="2D2EB6C5" w14:textId="77777777" w:rsidR="00E34AB2" w:rsidRPr="00E34AB2" w:rsidRDefault="00E34AB2" w:rsidP="003A4EB9">
            <w:pPr>
              <w:pStyle w:val="ECCTabletext"/>
              <w:jc w:val="left"/>
              <w:rPr>
                <w:rStyle w:val="ECCParagraph"/>
              </w:rPr>
            </w:pPr>
            <w:r>
              <w:rPr>
                <w:rStyle w:val="ECCParagraph"/>
              </w:rPr>
              <w:t xml:space="preserve">Device Density </w:t>
            </w:r>
            <w:r w:rsidRPr="00E34AB2">
              <w:rPr>
                <w:rStyle w:val="ECCParagraph"/>
              </w:rPr>
              <w:t>(</w:t>
            </w:r>
            <w:r w:rsidR="00984310">
              <w:rPr>
                <w:rStyle w:val="ECCParagraph"/>
              </w:rPr>
              <w:t xml:space="preserve">per </w:t>
            </w:r>
            <w:r w:rsidRPr="00E34AB2">
              <w:rPr>
                <w:rStyle w:val="ECCParagraph"/>
              </w:rPr>
              <w:t>km²)</w:t>
            </w:r>
          </w:p>
        </w:tc>
        <w:tc>
          <w:tcPr>
            <w:tcW w:w="3309" w:type="pct"/>
          </w:tcPr>
          <w:p w14:paraId="74267250" w14:textId="77777777" w:rsidR="00E34AB2" w:rsidRPr="00E34AB2" w:rsidRDefault="00E34AB2" w:rsidP="003A4EB9">
            <w:pPr>
              <w:pStyle w:val="ECCTabletext"/>
              <w:jc w:val="left"/>
              <w:rPr>
                <w:rStyle w:val="ECCParagraph"/>
              </w:rPr>
            </w:pPr>
            <w:r>
              <w:rPr>
                <w:rStyle w:val="ECCParagraph"/>
              </w:rPr>
              <w:t xml:space="preserve">Is it </w:t>
            </w:r>
            <w:r w:rsidRPr="00E34AB2">
              <w:rPr>
                <w:rStyle w:val="ECCParagraph"/>
              </w:rPr>
              <w:t>assumed that:</w:t>
            </w:r>
          </w:p>
          <w:p w14:paraId="01FC6399" w14:textId="5E52ED21" w:rsidR="00E34AB2" w:rsidRPr="00E34AB2" w:rsidRDefault="00E34AB2" w:rsidP="0098699E">
            <w:pPr>
              <w:pStyle w:val="ECCBulletsLv1"/>
              <w:rPr>
                <w:rStyle w:val="ECCParagraph"/>
              </w:rPr>
            </w:pPr>
            <w:r>
              <w:rPr>
                <w:rStyle w:val="ECCParagraph"/>
              </w:rPr>
              <w:t xml:space="preserve">The dense urban values are used for the </w:t>
            </w:r>
            <w:r w:rsidRPr="00E34AB2">
              <w:rPr>
                <w:rStyle w:val="ECCParagraph"/>
              </w:rPr>
              <w:t>studies</w:t>
            </w:r>
            <w:r w:rsidR="009E4E69">
              <w:rPr>
                <w:rStyle w:val="ECCParagraph"/>
              </w:rPr>
              <w:t>;</w:t>
            </w:r>
          </w:p>
          <w:p w14:paraId="4A8593DD" w14:textId="77777777" w:rsidR="00E34AB2" w:rsidRDefault="00E34AB2" w:rsidP="0098699E">
            <w:pPr>
              <w:pStyle w:val="ECCBulletsLv1"/>
              <w:rPr>
                <w:rStyle w:val="ECCParagraph"/>
              </w:rPr>
            </w:pPr>
            <w:r>
              <w:rPr>
                <w:rStyle w:val="ECCParagraph"/>
              </w:rPr>
              <w:t>The devices will be used in both frequency ranges (116-130</w:t>
            </w:r>
            <w:r w:rsidR="001C6F5E">
              <w:rPr>
                <w:rStyle w:val="ECCParagraph"/>
              </w:rPr>
              <w:t xml:space="preserve"> GHz </w:t>
            </w:r>
            <w:r>
              <w:rPr>
                <w:rStyle w:val="ECCParagraph"/>
              </w:rPr>
              <w:t>and 134-148</w:t>
            </w:r>
            <w:r w:rsidR="00CF4994">
              <w:rPr>
                <w:rStyle w:val="ECCParagraph"/>
              </w:rPr>
              <w:t>.5</w:t>
            </w:r>
            <w:r w:rsidR="0098386B">
              <w:rPr>
                <w:rStyle w:val="ECCParagraph"/>
              </w:rPr>
              <w:t> </w:t>
            </w:r>
            <w:r>
              <w:rPr>
                <w:rStyle w:val="ECCParagraph"/>
              </w:rPr>
              <w:t>GHz) with the same device density</w:t>
            </w:r>
            <w:r w:rsidR="0098699E">
              <w:rPr>
                <w:rStyle w:val="ECCParagraph"/>
              </w:rPr>
              <w:t xml:space="preserve">. </w:t>
            </w:r>
            <w:r>
              <w:rPr>
                <w:rStyle w:val="ECCParagraph"/>
              </w:rPr>
              <w:t xml:space="preserve">This would lead to a density </w:t>
            </w:r>
            <w:r w:rsidRPr="00E34AB2">
              <w:rPr>
                <w:rStyle w:val="ECCParagraph"/>
              </w:rPr>
              <w:t>of 1250</w:t>
            </w:r>
            <w:r w:rsidR="001C6F5E">
              <w:rPr>
                <w:rStyle w:val="ECCParagraph"/>
              </w:rPr>
              <w:t> </w:t>
            </w:r>
            <w:r w:rsidRPr="00E34AB2">
              <w:rPr>
                <w:rStyle w:val="ECCParagraph"/>
              </w:rPr>
              <w:t>devices/km² for both frequency ranges.</w:t>
            </w:r>
          </w:p>
        </w:tc>
      </w:tr>
    </w:tbl>
    <w:p w14:paraId="18C5F0C8" w14:textId="2FAD2ABA" w:rsidR="00C04F8D" w:rsidRPr="00C1689A" w:rsidRDefault="00C04F8D" w:rsidP="00C1689A">
      <w:pPr>
        <w:pStyle w:val="ECCBulletsLv1"/>
      </w:pPr>
      <w:r w:rsidRPr="00C1689A">
        <w:t>Fixed indoor applications are looking in horizontal direction or are tilted downwards to the ground in order to reach a better coverage of the observed volume. This applies also to indoor robots. This could be considered by limiting the radiation above 0° elevation to 8</w:t>
      </w:r>
      <w:r w:rsidR="002C6B7A">
        <w:t> </w:t>
      </w:r>
      <w:r w:rsidRPr="00C1689A">
        <w:t>dB below the main beam emission which is equivalent to a maximum mean e.i.r.p. of 12</w:t>
      </w:r>
      <w:r w:rsidR="002C6B7A">
        <w:t> </w:t>
      </w:r>
      <w:r w:rsidRPr="00C1689A">
        <w:t>dBm above 0° elevation (see</w:t>
      </w:r>
      <w:r w:rsidR="00C1689A" w:rsidRPr="00C1689A">
        <w:t xml:space="preserve"> </w:t>
      </w:r>
      <w:r w:rsidR="00C1689A">
        <w:fldChar w:fldCharType="begin"/>
      </w:r>
      <w:r w:rsidR="00C1689A">
        <w:instrText xml:space="preserve"> REF _Ref67653016 \h </w:instrText>
      </w:r>
      <w:r w:rsidR="00C1689A">
        <w:fldChar w:fldCharType="separate"/>
      </w:r>
      <w:r w:rsidR="0041125F" w:rsidRPr="00841814">
        <w:rPr>
          <w:rStyle w:val="ECCParagraph"/>
        </w:rPr>
        <w:t>Table </w:t>
      </w:r>
      <w:r w:rsidR="0041125F">
        <w:rPr>
          <w:rStyle w:val="ECCParagraph"/>
          <w:noProof/>
        </w:rPr>
        <w:t>14</w:t>
      </w:r>
      <w:r w:rsidR="00C1689A">
        <w:fldChar w:fldCharType="end"/>
      </w:r>
      <w:r w:rsidRPr="00C1689A">
        <w:t>).</w:t>
      </w:r>
    </w:p>
    <w:p w14:paraId="7CB2D8D5" w14:textId="77777777" w:rsidR="005D24D5" w:rsidRPr="00C1689A" w:rsidRDefault="005D24D5" w:rsidP="00C1689A">
      <w:pPr>
        <w:pStyle w:val="ECCBulletsLv1"/>
        <w:rPr>
          <w:rStyle w:val="ECCParagraph"/>
        </w:rPr>
      </w:pPr>
      <w:r w:rsidRPr="00C1689A">
        <w:rPr>
          <w:rStyle w:val="ECCParagraph"/>
        </w:rPr>
        <w:t>For the EESS aggregation assessment, no consideration of lower device densities in rural or suburban regions are made. As worst-case assumption the dense urban value was considered for complete Europe</w:t>
      </w:r>
      <w:r w:rsidR="002C6B7A">
        <w:rPr>
          <w:rStyle w:val="ECCParagraph"/>
        </w:rPr>
        <w:t>.</w:t>
      </w:r>
    </w:p>
    <w:p w14:paraId="74356736" w14:textId="6A3CECB3" w:rsidR="005D24D5" w:rsidRPr="00C1689A" w:rsidRDefault="005D24D5" w:rsidP="00C1689A">
      <w:pPr>
        <w:pStyle w:val="ECCBulletsLv1"/>
        <w:rPr>
          <w:rStyle w:val="ECCParagraph"/>
        </w:rPr>
      </w:pPr>
      <w:r w:rsidRPr="00C1689A">
        <w:rPr>
          <w:rStyle w:val="ECCParagraph"/>
        </w:rPr>
        <w:t xml:space="preserve">Only for </w:t>
      </w:r>
      <w:r w:rsidR="009D5FA2">
        <w:rPr>
          <w:rStyle w:val="ECCParagraph"/>
        </w:rPr>
        <w:t>hand-held</w:t>
      </w:r>
      <w:r w:rsidRPr="00C1689A">
        <w:rPr>
          <w:rStyle w:val="ECCParagraph"/>
        </w:rPr>
        <w:t xml:space="preserve"> and some mobile applications the main beam direction could be aligned directly towards the FS receiving antenna.</w:t>
      </w:r>
    </w:p>
    <w:p w14:paraId="3FC58691" w14:textId="77777777" w:rsidR="005D24D5" w:rsidRPr="00C1689A" w:rsidRDefault="005D24D5">
      <w:pPr>
        <w:pStyle w:val="ECCBulletsLv1"/>
        <w:rPr>
          <w:rStyle w:val="ECCParagraph"/>
        </w:rPr>
      </w:pPr>
      <w:r w:rsidRPr="00C1689A">
        <w:rPr>
          <w:rStyle w:val="ECCParagraph"/>
        </w:rPr>
        <w:t>For the interference scenario a device height of 1</w:t>
      </w:r>
      <w:r w:rsidR="002C6B7A">
        <w:rPr>
          <w:rStyle w:val="ECCParagraph"/>
        </w:rPr>
        <w:t> </w:t>
      </w:r>
      <w:r w:rsidRPr="00C1689A">
        <w:rPr>
          <w:rStyle w:val="ECCParagraph"/>
        </w:rPr>
        <w:t>m was assumed. This value is considered as an average of the typical application heights found in the field.</w:t>
      </w:r>
    </w:p>
    <w:p w14:paraId="17C83D93" w14:textId="3D4441E0" w:rsidR="005D24D5" w:rsidRPr="00C1689A" w:rsidRDefault="005D24D5">
      <w:pPr>
        <w:pStyle w:val="ECCBulletsLv1"/>
        <w:rPr>
          <w:rStyle w:val="ECCParagraph"/>
        </w:rPr>
      </w:pPr>
      <w:r w:rsidRPr="00C1689A">
        <w:rPr>
          <w:rStyle w:val="ECCParagraph"/>
        </w:rPr>
        <w:t xml:space="preserve">The typical usage scenario (see </w:t>
      </w:r>
      <w:r w:rsidR="002C6B7A">
        <w:rPr>
          <w:rStyle w:val="ECCParagraph"/>
        </w:rPr>
        <w:fldChar w:fldCharType="begin"/>
      </w:r>
      <w:r w:rsidR="002C6B7A">
        <w:rPr>
          <w:rStyle w:val="ECCParagraph"/>
        </w:rPr>
        <w:instrText xml:space="preserve"> REF _Ref66373492 \h </w:instrText>
      </w:r>
      <w:r w:rsidR="002C6B7A">
        <w:rPr>
          <w:rStyle w:val="ECCParagraph"/>
        </w:rPr>
      </w:r>
      <w:r w:rsidR="002C6B7A">
        <w:rPr>
          <w:rStyle w:val="ECCParagraph"/>
        </w:rPr>
        <w:fldChar w:fldCharType="separate"/>
      </w:r>
      <w:r w:rsidR="0041125F" w:rsidRPr="005D24D5">
        <w:rPr>
          <w:rStyle w:val="ECCParagraph"/>
        </w:rPr>
        <w:t>Figure </w:t>
      </w:r>
      <w:r w:rsidR="0041125F">
        <w:rPr>
          <w:rStyle w:val="ECCParagraph"/>
          <w:noProof/>
        </w:rPr>
        <w:t>2</w:t>
      </w:r>
      <w:r w:rsidR="002C6B7A">
        <w:rPr>
          <w:rStyle w:val="ECCParagraph"/>
        </w:rPr>
        <w:fldChar w:fldCharType="end"/>
      </w:r>
      <w:r w:rsidRPr="00C1689A">
        <w:rPr>
          <w:rStyle w:val="ECCParagraph"/>
        </w:rPr>
        <w:t xml:space="preserve">, </w:t>
      </w:r>
      <w:r w:rsidR="002C6B7A">
        <w:rPr>
          <w:rStyle w:val="ECCParagraph"/>
        </w:rPr>
        <w:fldChar w:fldCharType="begin"/>
      </w:r>
      <w:r w:rsidR="002C6B7A">
        <w:rPr>
          <w:rStyle w:val="ECCParagraph"/>
        </w:rPr>
        <w:instrText xml:space="preserve"> REF _Ref66373493 \h </w:instrText>
      </w:r>
      <w:r w:rsidR="002C6B7A">
        <w:rPr>
          <w:rStyle w:val="ECCParagraph"/>
        </w:rPr>
      </w:r>
      <w:r w:rsidR="002C6B7A">
        <w:rPr>
          <w:rStyle w:val="ECCParagraph"/>
        </w:rPr>
        <w:fldChar w:fldCharType="separate"/>
      </w:r>
      <w:r w:rsidR="0041125F" w:rsidRPr="005D24D5">
        <w:rPr>
          <w:rStyle w:val="ECCParagraph"/>
        </w:rPr>
        <w:t>Figure </w:t>
      </w:r>
      <w:r w:rsidR="0041125F">
        <w:rPr>
          <w:rStyle w:val="ECCParagraph"/>
          <w:noProof/>
        </w:rPr>
        <w:t>3</w:t>
      </w:r>
      <w:r w:rsidR="002C6B7A">
        <w:rPr>
          <w:rStyle w:val="ECCParagraph"/>
        </w:rPr>
        <w:fldChar w:fldCharType="end"/>
      </w:r>
      <w:r w:rsidRPr="00C1689A">
        <w:rPr>
          <w:rStyle w:val="ECCParagraph"/>
        </w:rPr>
        <w:t xml:space="preserve"> and </w:t>
      </w:r>
      <w:r w:rsidR="002C6B7A">
        <w:rPr>
          <w:rStyle w:val="ECCParagraph"/>
        </w:rPr>
        <w:fldChar w:fldCharType="begin"/>
      </w:r>
      <w:r w:rsidR="002C6B7A">
        <w:rPr>
          <w:rStyle w:val="ECCParagraph"/>
        </w:rPr>
        <w:instrText xml:space="preserve"> REF _Ref66373544 \h </w:instrText>
      </w:r>
      <w:r w:rsidR="002C6B7A">
        <w:rPr>
          <w:rStyle w:val="ECCParagraph"/>
        </w:rPr>
      </w:r>
      <w:r w:rsidR="002C6B7A">
        <w:rPr>
          <w:rStyle w:val="ECCParagraph"/>
        </w:rPr>
        <w:fldChar w:fldCharType="separate"/>
      </w:r>
      <w:r w:rsidR="0041125F" w:rsidRPr="00484082">
        <w:rPr>
          <w:rStyle w:val="ECCParagraph"/>
          <w:lang w:val="da-DK"/>
        </w:rPr>
        <w:t>Figure </w:t>
      </w:r>
      <w:r w:rsidR="0041125F">
        <w:rPr>
          <w:rStyle w:val="ECCParagraph"/>
          <w:noProof/>
          <w:lang w:val="da-DK"/>
        </w:rPr>
        <w:t>4</w:t>
      </w:r>
      <w:r w:rsidR="002C6B7A">
        <w:rPr>
          <w:rStyle w:val="ECCParagraph"/>
        </w:rPr>
        <w:fldChar w:fldCharType="end"/>
      </w:r>
      <w:r w:rsidRPr="00C1689A">
        <w:rPr>
          <w:rStyle w:val="ECCParagraph"/>
        </w:rPr>
        <w:t xml:space="preserve">) and the related alignment of the devices would further reduce the probability of interference to the victim receiver. This aspect, however, was not considered in the </w:t>
      </w:r>
      <w:r w:rsidR="002C6B7A">
        <w:rPr>
          <w:rStyle w:val="ECCParagraph"/>
        </w:rPr>
        <w:t xml:space="preserve">conducted </w:t>
      </w:r>
      <w:r w:rsidRPr="00C1689A">
        <w:rPr>
          <w:rStyle w:val="ECCParagraph"/>
        </w:rPr>
        <w:t>MCL calculation</w:t>
      </w:r>
      <w:r w:rsidR="002C6B7A">
        <w:rPr>
          <w:rStyle w:val="ECCParagraph"/>
        </w:rPr>
        <w:t>s</w:t>
      </w:r>
      <w:r w:rsidRPr="00C1689A">
        <w:rPr>
          <w:rStyle w:val="ECCParagraph"/>
        </w:rPr>
        <w:t>.</w:t>
      </w:r>
    </w:p>
    <w:p w14:paraId="77EEDC28" w14:textId="0BF208E4" w:rsidR="005D24D5" w:rsidRPr="0098699E" w:rsidRDefault="005D24D5" w:rsidP="0048667E">
      <w:r>
        <w:fldChar w:fldCharType="begin"/>
      </w:r>
      <w:r>
        <w:instrText xml:space="preserve"> REF _Ref66373492 \h </w:instrText>
      </w:r>
      <w:r w:rsidR="0048667E">
        <w:instrText xml:space="preserve"> \* MERGEFORMAT </w:instrText>
      </w:r>
      <w:r>
        <w:fldChar w:fldCharType="separate"/>
      </w:r>
      <w:r w:rsidR="0041125F" w:rsidRPr="005D24D5">
        <w:rPr>
          <w:rStyle w:val="ECCParagraph"/>
        </w:rPr>
        <w:t>Figure </w:t>
      </w:r>
      <w:r w:rsidR="0041125F">
        <w:rPr>
          <w:rStyle w:val="ECCParagraph"/>
        </w:rPr>
        <w:t>2</w:t>
      </w:r>
      <w:r>
        <w:fldChar w:fldCharType="end"/>
      </w:r>
      <w:r>
        <w:t>,</w:t>
      </w:r>
      <w:r w:rsidRPr="0098699E">
        <w:t xml:space="preserve"> </w:t>
      </w:r>
      <w:r>
        <w:fldChar w:fldCharType="begin"/>
      </w:r>
      <w:r>
        <w:instrText xml:space="preserve"> REF _Ref66373493 \h </w:instrText>
      </w:r>
      <w:r w:rsidR="0048667E">
        <w:instrText xml:space="preserve"> \* MERGEFORMAT </w:instrText>
      </w:r>
      <w:r>
        <w:fldChar w:fldCharType="separate"/>
      </w:r>
      <w:r w:rsidR="0041125F" w:rsidRPr="005D24D5">
        <w:rPr>
          <w:rStyle w:val="ECCParagraph"/>
        </w:rPr>
        <w:t>Figure </w:t>
      </w:r>
      <w:r w:rsidR="0041125F">
        <w:rPr>
          <w:rStyle w:val="ECCParagraph"/>
        </w:rPr>
        <w:t>3</w:t>
      </w:r>
      <w:r>
        <w:fldChar w:fldCharType="end"/>
      </w:r>
      <w:r>
        <w:t xml:space="preserve"> </w:t>
      </w:r>
      <w:r w:rsidRPr="0098699E">
        <w:t xml:space="preserve">and </w:t>
      </w:r>
      <w:r w:rsidR="00484082">
        <w:fldChar w:fldCharType="begin"/>
      </w:r>
      <w:r w:rsidR="00484082">
        <w:instrText xml:space="preserve"> REF _Ref66373544 \h </w:instrText>
      </w:r>
      <w:r w:rsidR="0048667E">
        <w:instrText xml:space="preserve"> \* MERGEFORMAT </w:instrText>
      </w:r>
      <w:r w:rsidR="00484082">
        <w:fldChar w:fldCharType="separate"/>
      </w:r>
      <w:r w:rsidR="0041125F" w:rsidRPr="00484082">
        <w:rPr>
          <w:rStyle w:val="ECCParagraph"/>
          <w:lang w:val="da-DK"/>
        </w:rPr>
        <w:t>Figure </w:t>
      </w:r>
      <w:r w:rsidR="0041125F">
        <w:rPr>
          <w:rStyle w:val="ECCParagraph"/>
          <w:lang w:val="da-DK"/>
        </w:rPr>
        <w:t>4</w:t>
      </w:r>
      <w:r w:rsidR="00484082">
        <w:fldChar w:fldCharType="end"/>
      </w:r>
      <w:r w:rsidR="00484082">
        <w:t xml:space="preserve"> </w:t>
      </w:r>
      <w:r w:rsidRPr="0098699E">
        <w:t>provide the schematic illustration and the geometry of the interference scenarios. The figures are quite comparable to the ones used in the RDI-S interference assessments.</w:t>
      </w:r>
    </w:p>
    <w:p w14:paraId="2180EDBC" w14:textId="77777777" w:rsidR="005D24D5" w:rsidRDefault="005D24D5" w:rsidP="00484082">
      <w:pPr>
        <w:pStyle w:val="Caption"/>
      </w:pPr>
      <w:r w:rsidRPr="0098699E">
        <w:rPr>
          <w:noProof/>
          <w:lang w:val="de-DE" w:eastAsia="de-DE"/>
        </w:rPr>
        <w:drawing>
          <wp:inline distT="0" distB="0" distL="0" distR="0" wp14:anchorId="5191313A" wp14:editId="5D464AD1">
            <wp:extent cx="5092095" cy="3090441"/>
            <wp:effectExtent l="0" t="0" r="0" b="0"/>
            <wp:docPr id="3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s_WI71_Generic_Indoor_final_EESS_RAS.jpg"/>
                    <pic:cNvPicPr/>
                  </pic:nvPicPr>
                  <pic:blipFill>
                    <a:blip r:embed="rId13"/>
                    <a:stretch>
                      <a:fillRect/>
                    </a:stretch>
                  </pic:blipFill>
                  <pic:spPr>
                    <a:xfrm>
                      <a:off x="0" y="0"/>
                      <a:ext cx="5150269" cy="3125747"/>
                    </a:xfrm>
                    <a:prstGeom prst="rect">
                      <a:avLst/>
                    </a:prstGeom>
                  </pic:spPr>
                </pic:pic>
              </a:graphicData>
            </a:graphic>
          </wp:inline>
        </w:drawing>
      </w:r>
    </w:p>
    <w:p w14:paraId="6A2CFADE" w14:textId="5C6E085B" w:rsidR="005D24D5" w:rsidRDefault="005D24D5" w:rsidP="005D24D5">
      <w:pPr>
        <w:pStyle w:val="Caption"/>
        <w:rPr>
          <w:rStyle w:val="ECCParagraph"/>
        </w:rPr>
      </w:pPr>
      <w:bookmarkStart w:id="120" w:name="_Ref66373492"/>
      <w:r w:rsidRPr="005D24D5">
        <w:rPr>
          <w:rStyle w:val="ECCParagraph"/>
        </w:rPr>
        <w:t>Figure </w:t>
      </w:r>
      <w:r w:rsidRPr="005D24D5">
        <w:rPr>
          <w:rStyle w:val="ECCParagraph"/>
        </w:rPr>
        <w:fldChar w:fldCharType="begin"/>
      </w:r>
      <w:r w:rsidRPr="005D24D5">
        <w:rPr>
          <w:rStyle w:val="ECCParagraph"/>
        </w:rPr>
        <w:instrText xml:space="preserve"> SEQ Figure \* ARABIC </w:instrText>
      </w:r>
      <w:r w:rsidRPr="005D24D5">
        <w:rPr>
          <w:rStyle w:val="ECCParagraph"/>
        </w:rPr>
        <w:fldChar w:fldCharType="separate"/>
      </w:r>
      <w:r w:rsidR="004F49F9">
        <w:rPr>
          <w:rStyle w:val="ECCParagraph"/>
          <w:noProof/>
        </w:rPr>
        <w:t>2</w:t>
      </w:r>
      <w:r w:rsidRPr="005D24D5">
        <w:rPr>
          <w:rStyle w:val="ECCParagraph"/>
        </w:rPr>
        <w:fldChar w:fldCharType="end"/>
      </w:r>
      <w:bookmarkEnd w:id="120"/>
      <w:r>
        <w:t xml:space="preserve">: </w:t>
      </w:r>
      <w:r>
        <w:rPr>
          <w:rStyle w:val="ECCParagraph"/>
        </w:rPr>
        <w:t xml:space="preserve">Interference scenario </w:t>
      </w:r>
      <w:r w:rsidR="00943D97">
        <w:rPr>
          <w:rStyle w:val="ECCParagraph"/>
        </w:rPr>
        <w:t xml:space="preserve">for </w:t>
      </w:r>
      <w:r w:rsidR="000278F9">
        <w:rPr>
          <w:rStyle w:val="ECCParagraph"/>
        </w:rPr>
        <w:t xml:space="preserve">generic </w:t>
      </w:r>
      <w:r>
        <w:rPr>
          <w:rStyle w:val="ECCParagraph"/>
        </w:rPr>
        <w:t xml:space="preserve">indoor </w:t>
      </w:r>
      <w:r w:rsidR="000278F9">
        <w:rPr>
          <w:rStyle w:val="ECCParagraph"/>
        </w:rPr>
        <w:t>surveillance</w:t>
      </w:r>
      <w:r>
        <w:rPr>
          <w:rStyle w:val="ECCParagraph"/>
        </w:rPr>
        <w:t xml:space="preserve"> </w:t>
      </w:r>
      <w:r w:rsidR="00943D97">
        <w:rPr>
          <w:rStyle w:val="ECCParagraph"/>
        </w:rPr>
        <w:t xml:space="preserve">radars </w:t>
      </w:r>
      <w:r>
        <w:rPr>
          <w:rStyle w:val="ECCParagraph"/>
        </w:rPr>
        <w:t>versus EESS</w:t>
      </w:r>
      <w:r w:rsidR="00943D97">
        <w:rPr>
          <w:rStyle w:val="ECCParagraph"/>
        </w:rPr>
        <w:t xml:space="preserve"> (passive)</w:t>
      </w:r>
      <w:r>
        <w:rPr>
          <w:rStyle w:val="ECCParagraph"/>
        </w:rPr>
        <w:t xml:space="preserve"> and R</w:t>
      </w:r>
      <w:r w:rsidR="00943D97">
        <w:rPr>
          <w:rStyle w:val="ECCParagraph"/>
        </w:rPr>
        <w:t>adio Astronomy</w:t>
      </w:r>
    </w:p>
    <w:p w14:paraId="5AA111FB" w14:textId="77777777" w:rsidR="005D24D5" w:rsidRPr="004429A9" w:rsidRDefault="005D24D5" w:rsidP="005D24D5"/>
    <w:p w14:paraId="703BA345" w14:textId="77777777" w:rsidR="005D24D5" w:rsidRDefault="00CC618A" w:rsidP="00484082">
      <w:pPr>
        <w:pStyle w:val="Caption"/>
      </w:pPr>
      <w:r w:rsidRPr="00CC618A">
        <w:rPr>
          <w:noProof/>
          <w:lang w:val="de-DE" w:eastAsia="de-DE"/>
        </w:rPr>
        <w:drawing>
          <wp:inline distT="0" distB="0" distL="0" distR="0" wp14:anchorId="6FFEB390" wp14:editId="658D7B5F">
            <wp:extent cx="5532699" cy="169958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8108" cy="1707393"/>
                    </a:xfrm>
                    <a:prstGeom prst="rect">
                      <a:avLst/>
                    </a:prstGeom>
                    <a:noFill/>
                    <a:ln>
                      <a:noFill/>
                    </a:ln>
                  </pic:spPr>
                </pic:pic>
              </a:graphicData>
            </a:graphic>
          </wp:inline>
        </w:drawing>
      </w:r>
    </w:p>
    <w:p w14:paraId="3AF38D25" w14:textId="2A6C7775" w:rsidR="005D24D5" w:rsidRDefault="005D24D5" w:rsidP="005D24D5">
      <w:pPr>
        <w:pStyle w:val="Caption"/>
        <w:rPr>
          <w:rStyle w:val="ECCParagraph"/>
        </w:rPr>
      </w:pPr>
      <w:bookmarkStart w:id="121" w:name="_Ref66373493"/>
      <w:r w:rsidRPr="005D24D5">
        <w:rPr>
          <w:rStyle w:val="ECCParagraph"/>
        </w:rPr>
        <w:t>Figure </w:t>
      </w:r>
      <w:r w:rsidRPr="005D24D5">
        <w:rPr>
          <w:rStyle w:val="ECCParagraph"/>
        </w:rPr>
        <w:fldChar w:fldCharType="begin"/>
      </w:r>
      <w:r w:rsidRPr="005D24D5">
        <w:rPr>
          <w:rStyle w:val="ECCParagraph"/>
        </w:rPr>
        <w:instrText xml:space="preserve"> SEQ Figure \* ARABIC </w:instrText>
      </w:r>
      <w:r w:rsidRPr="005D24D5">
        <w:rPr>
          <w:rStyle w:val="ECCParagraph"/>
        </w:rPr>
        <w:fldChar w:fldCharType="separate"/>
      </w:r>
      <w:r w:rsidR="004F49F9">
        <w:rPr>
          <w:rStyle w:val="ECCParagraph"/>
          <w:noProof/>
        </w:rPr>
        <w:t>3</w:t>
      </w:r>
      <w:r w:rsidRPr="005D24D5">
        <w:rPr>
          <w:rStyle w:val="ECCParagraph"/>
        </w:rPr>
        <w:fldChar w:fldCharType="end"/>
      </w:r>
      <w:bookmarkEnd w:id="121"/>
      <w:r>
        <w:t xml:space="preserve">: </w:t>
      </w:r>
      <w:r>
        <w:rPr>
          <w:rStyle w:val="ECCParagraph"/>
        </w:rPr>
        <w:t>Interference scenario</w:t>
      </w:r>
      <w:r w:rsidR="00273A8A">
        <w:rPr>
          <w:rStyle w:val="ECCParagraph"/>
        </w:rPr>
        <w:t xml:space="preserve"> 1</w:t>
      </w:r>
      <w:r>
        <w:rPr>
          <w:rStyle w:val="ECCParagraph"/>
        </w:rPr>
        <w:t xml:space="preserve"> </w:t>
      </w:r>
      <w:r w:rsidR="00943D97">
        <w:rPr>
          <w:rStyle w:val="ECCParagraph"/>
        </w:rPr>
        <w:t xml:space="preserve">for </w:t>
      </w:r>
      <w:r w:rsidR="000278F9">
        <w:rPr>
          <w:rStyle w:val="ECCParagraph"/>
        </w:rPr>
        <w:t xml:space="preserve">generic indoor surveillance </w:t>
      </w:r>
      <w:r w:rsidR="00943D97">
        <w:rPr>
          <w:rStyle w:val="ECCParagraph"/>
        </w:rPr>
        <w:t xml:space="preserve">radars </w:t>
      </w:r>
      <w:r>
        <w:rPr>
          <w:rStyle w:val="ECCParagraph"/>
        </w:rPr>
        <w:t>versus F</w:t>
      </w:r>
      <w:r w:rsidR="00943D97">
        <w:rPr>
          <w:rStyle w:val="ECCParagraph"/>
        </w:rPr>
        <w:t>ixed Service</w:t>
      </w:r>
    </w:p>
    <w:p w14:paraId="2C7AA0AE" w14:textId="77777777" w:rsidR="005D24D5" w:rsidRPr="005D24D5" w:rsidRDefault="005D24D5" w:rsidP="005D24D5"/>
    <w:p w14:paraId="7772FDB0" w14:textId="77777777" w:rsidR="00484082" w:rsidRDefault="00CC618A" w:rsidP="00484082">
      <w:pPr>
        <w:pStyle w:val="Caption"/>
        <w:rPr>
          <w:rStyle w:val="ECCParagraph"/>
        </w:rPr>
      </w:pPr>
      <w:bookmarkStart w:id="122" w:name="_Ref66373498"/>
      <w:r w:rsidRPr="00CC618A">
        <w:rPr>
          <w:rStyle w:val="ECCParagraph"/>
          <w:noProof/>
          <w:lang w:val="de-DE" w:eastAsia="de-DE"/>
        </w:rPr>
        <w:drawing>
          <wp:inline distT="0" distB="0" distL="0" distR="0" wp14:anchorId="1E0F112F" wp14:editId="36586FE5">
            <wp:extent cx="5578998" cy="1802364"/>
            <wp:effectExtent l="0" t="0" r="3175"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8794" cy="1818451"/>
                    </a:xfrm>
                    <a:prstGeom prst="rect">
                      <a:avLst/>
                    </a:prstGeom>
                    <a:noFill/>
                    <a:ln>
                      <a:noFill/>
                    </a:ln>
                  </pic:spPr>
                </pic:pic>
              </a:graphicData>
            </a:graphic>
          </wp:inline>
        </w:drawing>
      </w:r>
    </w:p>
    <w:p w14:paraId="117B37E9" w14:textId="6A249785" w:rsidR="005D24D5" w:rsidRPr="00943D97" w:rsidRDefault="005D24D5" w:rsidP="00484082">
      <w:pPr>
        <w:pStyle w:val="Caption"/>
        <w:rPr>
          <w:lang w:val="en-GB"/>
        </w:rPr>
      </w:pPr>
      <w:bookmarkStart w:id="123" w:name="_Ref66373544"/>
      <w:r w:rsidRPr="00484082">
        <w:rPr>
          <w:rStyle w:val="ECCParagraph"/>
          <w:lang w:val="da-DK"/>
        </w:rPr>
        <w:t>Figure </w:t>
      </w:r>
      <w:r w:rsidRPr="00484082">
        <w:rPr>
          <w:rStyle w:val="ECCParagraph"/>
          <w:lang w:val="da-DK"/>
        </w:rPr>
        <w:fldChar w:fldCharType="begin"/>
      </w:r>
      <w:r w:rsidRPr="00484082">
        <w:rPr>
          <w:rStyle w:val="ECCParagraph"/>
          <w:lang w:val="da-DK"/>
        </w:rPr>
        <w:instrText xml:space="preserve"> SEQ Figure \* ARABIC </w:instrText>
      </w:r>
      <w:r w:rsidRPr="00484082">
        <w:rPr>
          <w:rStyle w:val="ECCParagraph"/>
          <w:lang w:val="da-DK"/>
        </w:rPr>
        <w:fldChar w:fldCharType="separate"/>
      </w:r>
      <w:r w:rsidR="004F49F9">
        <w:rPr>
          <w:rStyle w:val="ECCParagraph"/>
          <w:noProof/>
          <w:lang w:val="da-DK"/>
        </w:rPr>
        <w:t>4</w:t>
      </w:r>
      <w:r w:rsidRPr="00484082">
        <w:rPr>
          <w:rStyle w:val="ECCParagraph"/>
          <w:lang w:val="da-DK"/>
        </w:rPr>
        <w:fldChar w:fldCharType="end"/>
      </w:r>
      <w:bookmarkEnd w:id="122"/>
      <w:bookmarkEnd w:id="123"/>
      <w:r w:rsidRPr="00484082">
        <w:t xml:space="preserve">: </w:t>
      </w:r>
      <w:r w:rsidRPr="00484082">
        <w:rPr>
          <w:rStyle w:val="ECCParagraph"/>
          <w:lang w:val="da-DK"/>
        </w:rPr>
        <w:t>Interference scenario</w:t>
      </w:r>
      <w:r w:rsidR="00273A8A">
        <w:rPr>
          <w:rStyle w:val="ECCParagraph"/>
        </w:rPr>
        <w:t xml:space="preserve"> 2</w:t>
      </w:r>
      <w:r w:rsidRPr="00484082">
        <w:rPr>
          <w:rStyle w:val="ECCParagraph"/>
          <w:lang w:val="da-DK"/>
        </w:rPr>
        <w:t xml:space="preserve"> </w:t>
      </w:r>
      <w:r w:rsidR="00943D97">
        <w:rPr>
          <w:rStyle w:val="ECCParagraph"/>
        </w:rPr>
        <w:t xml:space="preserve">for </w:t>
      </w:r>
      <w:r w:rsidR="000278F9">
        <w:rPr>
          <w:rStyle w:val="ECCParagraph"/>
        </w:rPr>
        <w:t xml:space="preserve">generic indoor surveillance </w:t>
      </w:r>
      <w:r w:rsidR="00943D97">
        <w:rPr>
          <w:rStyle w:val="ECCParagraph"/>
        </w:rPr>
        <w:t xml:space="preserve">radars </w:t>
      </w:r>
      <w:r w:rsidRPr="00484082">
        <w:rPr>
          <w:rStyle w:val="ECCParagraph"/>
          <w:lang w:val="da-DK"/>
        </w:rPr>
        <w:t>versus F</w:t>
      </w:r>
      <w:r w:rsidR="00943D97">
        <w:rPr>
          <w:rStyle w:val="ECCParagraph"/>
        </w:rPr>
        <w:t>ixed Service</w:t>
      </w:r>
    </w:p>
    <w:p w14:paraId="3F1C9992" w14:textId="77777777" w:rsidR="0001168A" w:rsidRPr="006D6727" w:rsidRDefault="0001168A" w:rsidP="005C246A">
      <w:pPr>
        <w:pStyle w:val="Heading3"/>
        <w:rPr>
          <w:rStyle w:val="ECCParagraph"/>
          <w:noProof/>
        </w:rPr>
      </w:pPr>
      <w:bookmarkStart w:id="124" w:name="_Ref67041472"/>
      <w:bookmarkStart w:id="125" w:name="_Toc84325249"/>
      <w:bookmarkStart w:id="126" w:name="_Toc127346227"/>
      <w:r w:rsidRPr="006D6727">
        <w:rPr>
          <w:rStyle w:val="ECCParagraph"/>
          <w:noProof/>
        </w:rPr>
        <w:t xml:space="preserve">Radiodetermination systems for </w:t>
      </w:r>
      <w:r w:rsidRPr="006D6727">
        <w:rPr>
          <w:rStyle w:val="ECCParagraph"/>
          <w:rFonts w:eastAsia="Calibri"/>
          <w:noProof/>
        </w:rPr>
        <w:t>industry automation</w:t>
      </w:r>
      <w:r w:rsidR="00AF1D31" w:rsidRPr="006D6727">
        <w:rPr>
          <w:rStyle w:val="ECCParagraph"/>
          <w:rFonts w:eastAsia="Calibri"/>
          <w:noProof/>
        </w:rPr>
        <w:t xml:space="preserve"> (RDI)</w:t>
      </w:r>
      <w:bookmarkEnd w:id="124"/>
      <w:bookmarkEnd w:id="125"/>
      <w:bookmarkEnd w:id="126"/>
    </w:p>
    <w:p w14:paraId="473C4B28" w14:textId="77777777" w:rsidR="003E4BC1" w:rsidRPr="006D6727" w:rsidRDefault="003E4BC1" w:rsidP="000020DA">
      <w:pPr>
        <w:pStyle w:val="Heading4"/>
        <w:keepNext/>
        <w:rPr>
          <w:noProof/>
        </w:rPr>
      </w:pPr>
      <w:bookmarkStart w:id="127" w:name="_Ref45615675"/>
      <w:bookmarkStart w:id="128" w:name="_Ref45619158"/>
      <w:bookmarkStart w:id="129" w:name="_Toc84325250"/>
      <w:r w:rsidRPr="006D6727">
        <w:rPr>
          <w:noProof/>
        </w:rPr>
        <w:t>Application scenario</w:t>
      </w:r>
      <w:bookmarkEnd w:id="127"/>
      <w:bookmarkEnd w:id="128"/>
      <w:bookmarkEnd w:id="129"/>
    </w:p>
    <w:p w14:paraId="6F1C248E" w14:textId="19028794" w:rsidR="00C350B6" w:rsidRPr="006D6727" w:rsidRDefault="00C350B6" w:rsidP="00437302">
      <w:pPr>
        <w:keepNext/>
        <w:rPr>
          <w:rStyle w:val="ECCParagraph"/>
          <w:noProof/>
        </w:rPr>
      </w:pPr>
      <w:r w:rsidRPr="006D6727">
        <w:rPr>
          <w:rStyle w:val="ECCParagraph"/>
          <w:noProof/>
        </w:rPr>
        <w:t>Radiodetermination sensors for automation purposes are used in many industries to measure different physical parameters like presence, distance, velocity or material properties of the target object. The obtained information is further processed and used for automation purposes. A typical conceptional measurement scenario for RDI devices in an industrial environment is illustrated in</w:t>
      </w:r>
      <w:r w:rsidR="004615F1" w:rsidRPr="006D6727">
        <w:rPr>
          <w:rStyle w:val="ECCParagraph"/>
          <w:noProof/>
        </w:rPr>
        <w:t xml:space="preserve"> </w:t>
      </w:r>
      <w:r w:rsidR="004615F1" w:rsidRPr="006D6727">
        <w:rPr>
          <w:rStyle w:val="ECCParagraph"/>
          <w:noProof/>
        </w:rPr>
        <w:fldChar w:fldCharType="begin"/>
      </w:r>
      <w:r w:rsidR="004615F1" w:rsidRPr="006D6727">
        <w:rPr>
          <w:rStyle w:val="ECCParagraph"/>
          <w:noProof/>
        </w:rPr>
        <w:instrText xml:space="preserve"> REF _Ref27406155 \h </w:instrText>
      </w:r>
      <w:r w:rsidR="004615F1" w:rsidRPr="006D6727">
        <w:rPr>
          <w:rStyle w:val="ECCParagraph"/>
          <w:noProof/>
        </w:rPr>
      </w:r>
      <w:r w:rsidR="004615F1" w:rsidRPr="006D6727">
        <w:rPr>
          <w:rStyle w:val="ECCParagraph"/>
          <w:noProof/>
        </w:rPr>
        <w:fldChar w:fldCharType="separate"/>
      </w:r>
      <w:r w:rsidR="0041125F" w:rsidRPr="006D6727">
        <w:rPr>
          <w:rStyle w:val="ECCParagraph"/>
          <w:noProof/>
        </w:rPr>
        <w:t>Figure </w:t>
      </w:r>
      <w:r w:rsidR="0041125F">
        <w:rPr>
          <w:rStyle w:val="ECCParagraph"/>
          <w:noProof/>
        </w:rPr>
        <w:t>5</w:t>
      </w:r>
      <w:r w:rsidR="004615F1" w:rsidRPr="006D6727">
        <w:rPr>
          <w:rStyle w:val="ECCParagraph"/>
          <w:noProof/>
        </w:rPr>
        <w:fldChar w:fldCharType="end"/>
      </w:r>
      <w:r w:rsidRPr="006D6727">
        <w:rPr>
          <w:rStyle w:val="ECCParagraph"/>
          <w:noProof/>
        </w:rPr>
        <w:t>.</w:t>
      </w:r>
    </w:p>
    <w:p w14:paraId="25B3526D" w14:textId="77777777" w:rsidR="00C350B6" w:rsidRPr="006D6727" w:rsidRDefault="00C350B6" w:rsidP="00437302">
      <w:pPr>
        <w:pStyle w:val="ECCFiguregraphcentered"/>
        <w:keepNext/>
        <w:rPr>
          <w:lang w:val="en-GB"/>
        </w:rPr>
      </w:pPr>
      <w:r w:rsidRPr="006D6727">
        <w:drawing>
          <wp:inline distT="0" distB="0" distL="0" distR="0" wp14:anchorId="49CEDBC8" wp14:editId="7FB9E113">
            <wp:extent cx="5831019" cy="2720051"/>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845624" cy="2726864"/>
                    </a:xfrm>
                    <a:prstGeom prst="rect">
                      <a:avLst/>
                    </a:prstGeom>
                    <a:ln>
                      <a:noFill/>
                    </a:ln>
                    <a:extLst>
                      <a:ext uri="{53640926-AAD7-44D8-BBD7-CCE9431645EC}">
                        <a14:shadowObscured xmlns:a14="http://schemas.microsoft.com/office/drawing/2010/main"/>
                      </a:ext>
                    </a:extLst>
                  </pic:spPr>
                </pic:pic>
              </a:graphicData>
            </a:graphic>
          </wp:inline>
        </w:drawing>
      </w:r>
    </w:p>
    <w:p w14:paraId="6B6DD65E" w14:textId="7F6ED687" w:rsidR="00C350B6" w:rsidRPr="006D6727" w:rsidRDefault="00C350B6" w:rsidP="00437302">
      <w:pPr>
        <w:pStyle w:val="Caption"/>
        <w:keepNext/>
        <w:rPr>
          <w:noProof/>
          <w:lang w:val="en-GB"/>
        </w:rPr>
      </w:pPr>
      <w:bookmarkStart w:id="130" w:name="_Ref27406155"/>
      <w:r w:rsidRPr="006D6727">
        <w:rPr>
          <w:rStyle w:val="ECCParagraph"/>
          <w:noProof/>
        </w:rPr>
        <w:t>Figure </w:t>
      </w:r>
      <w:r w:rsidRPr="006D6727">
        <w:rPr>
          <w:rStyle w:val="ECCParagraph"/>
          <w:noProof/>
        </w:rPr>
        <w:fldChar w:fldCharType="begin"/>
      </w:r>
      <w:r w:rsidRPr="006D6727">
        <w:rPr>
          <w:rStyle w:val="ECCParagraph"/>
          <w:noProof/>
        </w:rPr>
        <w:instrText xml:space="preserve"> SEQ Figure \* ARABIC </w:instrText>
      </w:r>
      <w:r w:rsidRPr="006D6727">
        <w:rPr>
          <w:rStyle w:val="ECCParagraph"/>
          <w:noProof/>
        </w:rPr>
        <w:fldChar w:fldCharType="separate"/>
      </w:r>
      <w:r w:rsidR="004F49F9">
        <w:rPr>
          <w:rStyle w:val="ECCParagraph"/>
          <w:noProof/>
        </w:rPr>
        <w:t>5</w:t>
      </w:r>
      <w:r w:rsidRPr="006D6727">
        <w:rPr>
          <w:rStyle w:val="ECCParagraph"/>
          <w:noProof/>
        </w:rPr>
        <w:fldChar w:fldCharType="end"/>
      </w:r>
      <w:bookmarkEnd w:id="130"/>
      <w:r w:rsidRPr="006D6727">
        <w:rPr>
          <w:noProof/>
          <w:lang w:val="en-GB"/>
        </w:rPr>
        <w:t>: Conceptional RDI measurement scenario at an industrial robot in a production line</w:t>
      </w:r>
    </w:p>
    <w:p w14:paraId="6FC5CBE2" w14:textId="77777777" w:rsidR="00C350B6" w:rsidRPr="006D6727" w:rsidRDefault="00C350B6" w:rsidP="00437302">
      <w:pPr>
        <w:keepNext/>
        <w:rPr>
          <w:rStyle w:val="ECCParagraph"/>
          <w:noProof/>
        </w:rPr>
      </w:pPr>
      <w:r w:rsidRPr="006D6727">
        <w:rPr>
          <w:rStyle w:val="ECCParagraph"/>
          <w:noProof/>
        </w:rPr>
        <w:t>For RDI devices several measurement principles and modulation techniques can be applied such as FMCW or pulse-based Radar modulation schemes sometimes with doppler evaluation in order to extract the velocity information out of the received signal. A crucial advantage of Radar technology is that the RF signal travels at the speed of light, which enables real-time applications, and is nearly independent of ambient temperature, pressure and humidity and other adverse environmental conditions.</w:t>
      </w:r>
    </w:p>
    <w:p w14:paraId="122B8122" w14:textId="77777777" w:rsidR="00C350B6" w:rsidRPr="006D6727" w:rsidRDefault="00C350B6" w:rsidP="00437302">
      <w:pPr>
        <w:keepNext/>
        <w:rPr>
          <w:noProof/>
        </w:rPr>
      </w:pPr>
      <w:r w:rsidRPr="006D6727">
        <w:rPr>
          <w:noProof/>
        </w:rPr>
        <w:t>RDI sensors are expected to be installed in a variety of different industrial applications with automation background in order to gain information of different physical parameters of the measurement object. Such applications could be for example (non-exhaustive list):</w:t>
      </w:r>
    </w:p>
    <w:p w14:paraId="2A05BBB6" w14:textId="2A0D5917" w:rsidR="00C350B6" w:rsidRPr="006D6727" w:rsidRDefault="00C350B6" w:rsidP="00437302">
      <w:pPr>
        <w:pStyle w:val="ECCBulletsLv1"/>
        <w:keepNext/>
        <w:rPr>
          <w:noProof/>
        </w:rPr>
      </w:pPr>
      <w:r w:rsidRPr="006D6727">
        <w:rPr>
          <w:noProof/>
        </w:rPr>
        <w:t>Position detection of components or workpieces as well as tools and machinery equipment in smart factory production lines</w:t>
      </w:r>
      <w:r w:rsidR="00825F19">
        <w:rPr>
          <w:noProof/>
        </w:rPr>
        <w:t>;</w:t>
      </w:r>
    </w:p>
    <w:p w14:paraId="38FEFE19" w14:textId="5D1F8A91" w:rsidR="00C350B6" w:rsidRPr="006D6727" w:rsidRDefault="00C350B6" w:rsidP="00437302">
      <w:pPr>
        <w:pStyle w:val="ECCBulletsLv1"/>
        <w:keepNext/>
        <w:rPr>
          <w:noProof/>
        </w:rPr>
      </w:pPr>
      <w:r w:rsidRPr="006D6727">
        <w:rPr>
          <w:noProof/>
        </w:rPr>
        <w:t>Presence and motion detection for collaborative robots in highly automated assembly lines for collision prevention and interaction with humans</w:t>
      </w:r>
      <w:r w:rsidR="00825F19">
        <w:rPr>
          <w:noProof/>
        </w:rPr>
        <w:t>;</w:t>
      </w:r>
    </w:p>
    <w:p w14:paraId="2966DBC7" w14:textId="1E13B3E5" w:rsidR="00C350B6" w:rsidRPr="006D6727" w:rsidRDefault="00C350B6" w:rsidP="00437302">
      <w:pPr>
        <w:pStyle w:val="ECCBulletsLv1"/>
        <w:keepNext/>
        <w:rPr>
          <w:noProof/>
        </w:rPr>
      </w:pPr>
      <w:r w:rsidRPr="006D6727">
        <w:rPr>
          <w:noProof/>
        </w:rPr>
        <w:t>Velocity measurement and positioning of transport containers/waggons during loading and unloading</w:t>
      </w:r>
      <w:r w:rsidR="00825F19">
        <w:rPr>
          <w:noProof/>
        </w:rPr>
        <w:t>;</w:t>
      </w:r>
    </w:p>
    <w:p w14:paraId="6A0A1AD6" w14:textId="74E91C26" w:rsidR="00C350B6" w:rsidRPr="006D6727" w:rsidRDefault="00C350B6" w:rsidP="00437302">
      <w:pPr>
        <w:pStyle w:val="ECCBulletsLv1"/>
        <w:keepNext/>
        <w:rPr>
          <w:noProof/>
        </w:rPr>
      </w:pPr>
      <w:r w:rsidRPr="006D6727">
        <w:rPr>
          <w:noProof/>
        </w:rPr>
        <w:t>Thickness measurement of products during fabrication process</w:t>
      </w:r>
      <w:r w:rsidR="00825F19">
        <w:rPr>
          <w:noProof/>
        </w:rPr>
        <w:t>;</w:t>
      </w:r>
    </w:p>
    <w:p w14:paraId="20B470C4" w14:textId="77777777" w:rsidR="00C350B6" w:rsidRPr="006D6727" w:rsidRDefault="00C350B6" w:rsidP="00437302">
      <w:pPr>
        <w:pStyle w:val="ECCBulletsLv1"/>
        <w:keepNext/>
        <w:rPr>
          <w:noProof/>
        </w:rPr>
      </w:pPr>
      <w:r w:rsidRPr="006D6727">
        <w:rPr>
          <w:noProof/>
        </w:rPr>
        <w:t>Non-destructive in-line quality control of production goods.</w:t>
      </w:r>
    </w:p>
    <w:p w14:paraId="4556CDB1" w14:textId="77777777" w:rsidR="00C350B6" w:rsidRPr="006D6727" w:rsidRDefault="00C350B6" w:rsidP="00437302">
      <w:pPr>
        <w:keepNext/>
        <w:rPr>
          <w:noProof/>
        </w:rPr>
      </w:pPr>
      <w:r w:rsidRPr="006D6727">
        <w:rPr>
          <w:noProof/>
        </w:rPr>
        <w:t xml:space="preserve">It is worth mentioning that in many of these installations, RDI devices provide </w:t>
      </w:r>
      <w:r w:rsidRPr="006D6727">
        <w:rPr>
          <w:rStyle w:val="ECCParagraph"/>
          <w:noProof/>
        </w:rPr>
        <w:t>real-time</w:t>
      </w:r>
      <w:r w:rsidRPr="006D6727">
        <w:rPr>
          <w:noProof/>
        </w:rPr>
        <w:t xml:space="preserve"> and safety-critical information in order to protect humans, animals, technical equipment, machinery and the environment.</w:t>
      </w:r>
    </w:p>
    <w:p w14:paraId="2E1DEBE0" w14:textId="77777777" w:rsidR="00C350B6" w:rsidRDefault="00C350B6" w:rsidP="00437302">
      <w:pPr>
        <w:keepNext/>
        <w:rPr>
          <w:noProof/>
        </w:rPr>
      </w:pPr>
      <w:r w:rsidRPr="006D6727">
        <w:rPr>
          <w:noProof/>
        </w:rPr>
        <w:t>In other applications, an accurate monitoring of specific properties of the product, which can be measured with RDI sensors, helps to improve the quality of the end-product, and to conserve the environment by facilitating the efficient use of scarce natural resources by minimising the materials usage.</w:t>
      </w:r>
    </w:p>
    <w:p w14:paraId="44250CC6" w14:textId="77777777" w:rsidR="005C246A" w:rsidRPr="006D6727" w:rsidRDefault="005C246A" w:rsidP="00437302">
      <w:pPr>
        <w:rPr>
          <w:noProof/>
        </w:rPr>
      </w:pPr>
    </w:p>
    <w:p w14:paraId="4CEEAB6B" w14:textId="77777777" w:rsidR="00C350B6" w:rsidRPr="006D6727" w:rsidRDefault="00C350B6" w:rsidP="00437302">
      <w:pPr>
        <w:pStyle w:val="Caption"/>
        <w:rPr>
          <w:noProof/>
          <w:lang w:val="en-GB"/>
        </w:rPr>
      </w:pPr>
      <w:r w:rsidRPr="006D6727">
        <w:rPr>
          <w:noProof/>
          <w:lang w:val="de-DE" w:eastAsia="de-DE"/>
        </w:rPr>
        <w:drawing>
          <wp:inline distT="0" distB="0" distL="0" distR="0" wp14:anchorId="62C29006" wp14:editId="5D1C33E8">
            <wp:extent cx="2071028" cy="1785823"/>
            <wp:effectExtent l="0" t="0" r="5715"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097525" cy="1808671"/>
                    </a:xfrm>
                    <a:prstGeom prst="rect">
                      <a:avLst/>
                    </a:prstGeom>
                  </pic:spPr>
                </pic:pic>
              </a:graphicData>
            </a:graphic>
          </wp:inline>
        </w:drawing>
      </w:r>
      <w:r w:rsidRPr="006D6727">
        <w:rPr>
          <w:noProof/>
          <w:lang w:val="en-GB"/>
        </w:rPr>
        <w:t xml:space="preserve">  </w:t>
      </w:r>
      <w:r w:rsidRPr="006D6727">
        <w:rPr>
          <w:noProof/>
          <w:lang w:val="de-DE" w:eastAsia="de-DE"/>
        </w:rPr>
        <w:drawing>
          <wp:inline distT="0" distB="0" distL="0" distR="0" wp14:anchorId="1E00438B" wp14:editId="0B2BF36E">
            <wp:extent cx="1779710" cy="1692217"/>
            <wp:effectExtent l="0" t="0" r="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1807618" cy="1718753"/>
                    </a:xfrm>
                    <a:prstGeom prst="rect">
                      <a:avLst/>
                    </a:prstGeom>
                  </pic:spPr>
                </pic:pic>
              </a:graphicData>
            </a:graphic>
          </wp:inline>
        </w:drawing>
      </w:r>
      <w:r w:rsidRPr="006D6727">
        <w:rPr>
          <w:noProof/>
          <w:lang w:val="en-GB"/>
        </w:rPr>
        <w:t xml:space="preserve">  </w:t>
      </w:r>
      <w:r w:rsidRPr="006D6727">
        <w:rPr>
          <w:noProof/>
          <w:lang w:val="de-DE" w:eastAsia="de-DE"/>
        </w:rPr>
        <w:drawing>
          <wp:inline distT="0" distB="0" distL="0" distR="0" wp14:anchorId="302684D3" wp14:editId="50C25F87">
            <wp:extent cx="1548276" cy="234815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79918" cy="2396142"/>
                    </a:xfrm>
                    <a:prstGeom prst="rect">
                      <a:avLst/>
                    </a:prstGeom>
                  </pic:spPr>
                </pic:pic>
              </a:graphicData>
            </a:graphic>
          </wp:inline>
        </w:drawing>
      </w:r>
    </w:p>
    <w:p w14:paraId="7B3306CD" w14:textId="77777777" w:rsidR="00C350B6" w:rsidRPr="006D6727" w:rsidRDefault="00C350B6" w:rsidP="00437302">
      <w:pPr>
        <w:pStyle w:val="Caption"/>
        <w:rPr>
          <w:noProof/>
          <w:lang w:val="en-GB"/>
        </w:rPr>
      </w:pPr>
      <w:r w:rsidRPr="006D6727">
        <w:rPr>
          <w:noProof/>
          <w:lang w:val="de-DE" w:eastAsia="de-DE"/>
        </w:rPr>
        <w:drawing>
          <wp:inline distT="0" distB="0" distL="0" distR="0" wp14:anchorId="4BD7A5D1" wp14:editId="2B0132B8">
            <wp:extent cx="3804355" cy="1975555"/>
            <wp:effectExtent l="0" t="0" r="5715" b="0"/>
            <wp:docPr id="123" name="Grafik 1"/>
            <wp:cNvGraphicFramePr/>
            <a:graphic xmlns:a="http://schemas.openxmlformats.org/drawingml/2006/main">
              <a:graphicData uri="http://schemas.openxmlformats.org/drawingml/2006/picture">
                <pic:pic xmlns:pic="http://schemas.openxmlformats.org/drawingml/2006/picture">
                  <pic:nvPicPr>
                    <pic:cNvPr id="35" name="Grafik 1"/>
                    <pic:cNvPicPr/>
                  </pic:nvPicPr>
                  <pic:blipFill rotWithShape="1">
                    <a:blip r:embed="rId20" cstate="screen">
                      <a:extLst>
                        <a:ext uri="{28A0092B-C50C-407E-A947-70E740481C1C}">
                          <a14:useLocalDpi xmlns:a14="http://schemas.microsoft.com/office/drawing/2010/main"/>
                        </a:ext>
                      </a:extLst>
                    </a:blip>
                    <a:srcRect b="-6824"/>
                    <a:stretch/>
                  </pic:blipFill>
                  <pic:spPr bwMode="auto">
                    <a:xfrm>
                      <a:off x="0" y="0"/>
                      <a:ext cx="3812842" cy="1979962"/>
                    </a:xfrm>
                    <a:prstGeom prst="rect">
                      <a:avLst/>
                    </a:prstGeom>
                    <a:ln>
                      <a:noFill/>
                    </a:ln>
                    <a:extLst>
                      <a:ext uri="{53640926-AAD7-44D8-BBD7-CCE9431645EC}">
                        <a14:shadowObscured xmlns:a14="http://schemas.microsoft.com/office/drawing/2010/main"/>
                      </a:ext>
                    </a:extLst>
                  </pic:spPr>
                </pic:pic>
              </a:graphicData>
            </a:graphic>
          </wp:inline>
        </w:drawing>
      </w:r>
    </w:p>
    <w:p w14:paraId="6F98EBFE" w14:textId="3812E528" w:rsidR="00C350B6" w:rsidRPr="006D6727" w:rsidRDefault="00C350B6" w:rsidP="00437302">
      <w:pPr>
        <w:pStyle w:val="Caption"/>
        <w:rPr>
          <w:noProof/>
          <w:lang w:val="en-GB"/>
        </w:rPr>
      </w:pPr>
      <w:r w:rsidRPr="006D6727">
        <w:rPr>
          <w:rStyle w:val="ECCParagraph"/>
          <w:noProof/>
        </w:rPr>
        <w:t>Figure </w:t>
      </w:r>
      <w:r w:rsidRPr="006D6727">
        <w:rPr>
          <w:rStyle w:val="ECCParagraph"/>
          <w:noProof/>
        </w:rPr>
        <w:fldChar w:fldCharType="begin"/>
      </w:r>
      <w:r w:rsidRPr="006D6727">
        <w:rPr>
          <w:rStyle w:val="ECCParagraph"/>
          <w:noProof/>
        </w:rPr>
        <w:instrText xml:space="preserve"> SEQ Figure \* ARABIC </w:instrText>
      </w:r>
      <w:r w:rsidRPr="006D6727">
        <w:rPr>
          <w:rStyle w:val="ECCParagraph"/>
          <w:noProof/>
        </w:rPr>
        <w:fldChar w:fldCharType="separate"/>
      </w:r>
      <w:r w:rsidR="004F49F9">
        <w:rPr>
          <w:rStyle w:val="ECCParagraph"/>
          <w:noProof/>
        </w:rPr>
        <w:t>6</w:t>
      </w:r>
      <w:r w:rsidRPr="006D6727">
        <w:rPr>
          <w:rStyle w:val="ECCParagraph"/>
          <w:noProof/>
        </w:rPr>
        <w:fldChar w:fldCharType="end"/>
      </w:r>
      <w:r w:rsidRPr="006D6727">
        <w:rPr>
          <w:rStyle w:val="ECCParagraph"/>
          <w:noProof/>
        </w:rPr>
        <w:t>:</w:t>
      </w:r>
      <w:r w:rsidRPr="006D6727">
        <w:rPr>
          <w:noProof/>
          <w:lang w:val="en-GB"/>
        </w:rPr>
        <w:t xml:space="preserve"> Typical examples of outdoor RDI installations</w:t>
      </w:r>
    </w:p>
    <w:p w14:paraId="58A2637C" w14:textId="77777777" w:rsidR="00C350B6" w:rsidRPr="006D6727" w:rsidRDefault="00C350B6" w:rsidP="003A4EB9">
      <w:pPr>
        <w:pStyle w:val="ECCTabletext"/>
        <w:rPr>
          <w:rStyle w:val="ECCParagraph"/>
          <w:noProof/>
        </w:rPr>
      </w:pPr>
      <w:r w:rsidRPr="006D6727">
        <w:rPr>
          <w:rStyle w:val="ECCParagraph"/>
          <w:noProof/>
        </w:rPr>
        <w:t>It is foreseen that RDI equipment in dedicated frequency bands within the range of 116 to 260 GHz is a strictly professional and industrial application. All RDI sensors are expected to be installed complying with the following installation requirements:</w:t>
      </w:r>
    </w:p>
    <w:p w14:paraId="68CF81C2" w14:textId="42A0E7D5" w:rsidR="00C350B6" w:rsidRPr="006D6727" w:rsidRDefault="00C350B6" w:rsidP="00C350B6">
      <w:pPr>
        <w:pStyle w:val="ECCBulletsLv1"/>
        <w:rPr>
          <w:noProof/>
        </w:rPr>
      </w:pPr>
      <w:r w:rsidRPr="006D6727">
        <w:rPr>
          <w:noProof/>
        </w:rPr>
        <w:t>Installers have to ensure that there are no obstacles in the main beam of the antenna in order to minim</w:t>
      </w:r>
      <w:r w:rsidR="001D7996">
        <w:rPr>
          <w:noProof/>
        </w:rPr>
        <w:t>ise</w:t>
      </w:r>
      <w:r w:rsidRPr="006D6727">
        <w:rPr>
          <w:noProof/>
        </w:rPr>
        <w:t xml:space="preserve"> unwanted reflections and scattering. This is of course not true for the measurement object itself whose physical parameters are being analysed</w:t>
      </w:r>
      <w:r w:rsidR="00B807CB">
        <w:rPr>
          <w:noProof/>
        </w:rPr>
        <w:t>;</w:t>
      </w:r>
    </w:p>
    <w:p w14:paraId="7BB1D706" w14:textId="31EAABCC" w:rsidR="00C350B6" w:rsidRPr="006D6727" w:rsidRDefault="00C350B6" w:rsidP="00C350B6">
      <w:pPr>
        <w:pStyle w:val="ECCBulletsLv1"/>
        <w:rPr>
          <w:noProof/>
        </w:rPr>
      </w:pPr>
      <w:r w:rsidRPr="006D6727">
        <w:rPr>
          <w:noProof/>
        </w:rPr>
        <w:t>Installation and maintenance of RDI equipment shall be performed by professionally trained individuals only. RDI equipment shall not be marketed to private end consumers</w:t>
      </w:r>
      <w:r w:rsidR="00B807CB">
        <w:rPr>
          <w:noProof/>
        </w:rPr>
        <w:t>;</w:t>
      </w:r>
    </w:p>
    <w:p w14:paraId="7093026E" w14:textId="12CD8DA6" w:rsidR="00C350B6" w:rsidRPr="006D6727" w:rsidRDefault="00C350B6" w:rsidP="00C350B6">
      <w:pPr>
        <w:pStyle w:val="ECCBulletsLv1"/>
        <w:rPr>
          <w:rStyle w:val="ECCParagraph"/>
          <w:noProof/>
        </w:rPr>
      </w:pPr>
      <w:r w:rsidRPr="006D6727">
        <w:rPr>
          <w:rStyle w:val="ECCParagraph"/>
          <w:noProof/>
        </w:rPr>
        <w:t>As above mentioned, RDI sensors can be deployed in a variety of applications sensing a multiplicity of parameters. However, as the operation of these sensors is envisaged for industrial automation purposes, the installation heights are inherently limited to those which are actually used for the installations and objects which are being monitored for example in an automated production line</w:t>
      </w:r>
      <w:r w:rsidR="00B807CB">
        <w:rPr>
          <w:rStyle w:val="ECCParagraph"/>
          <w:noProof/>
        </w:rPr>
        <w:t>;</w:t>
      </w:r>
    </w:p>
    <w:p w14:paraId="52D11C89" w14:textId="77777777" w:rsidR="00C350B6" w:rsidRPr="006D6727" w:rsidRDefault="00C350B6" w:rsidP="00C350B6">
      <w:pPr>
        <w:pStyle w:val="ECCBulletsLv1"/>
        <w:rPr>
          <w:rStyle w:val="ECCParagraph"/>
          <w:noProof/>
        </w:rPr>
      </w:pPr>
      <w:r w:rsidRPr="006D6727">
        <w:rPr>
          <w:rStyle w:val="ECCParagraph"/>
          <w:noProof/>
        </w:rPr>
        <w:t>It is therefore expected that all outdoor RDI sensors under consideration will be installed in heights from 0 to 3 m above ground. In the considered interference scenarios, it is therefore proposed to use these figures.</w:t>
      </w:r>
    </w:p>
    <w:p w14:paraId="3B40A73C" w14:textId="77777777" w:rsidR="003A1CBD" w:rsidRPr="006D6727" w:rsidRDefault="0007434A" w:rsidP="004E36C2">
      <w:pPr>
        <w:pStyle w:val="Heading4"/>
        <w:rPr>
          <w:noProof/>
        </w:rPr>
      </w:pPr>
      <w:bookmarkStart w:id="131" w:name="_Ref66448158"/>
      <w:bookmarkStart w:id="132" w:name="_Toc84325251"/>
      <w:r w:rsidRPr="006D6727">
        <w:rPr>
          <w:noProof/>
        </w:rPr>
        <w:t>F</w:t>
      </w:r>
      <w:r w:rsidR="000A3479" w:rsidRPr="006D6727">
        <w:rPr>
          <w:noProof/>
        </w:rPr>
        <w:t>requency ranges and application types</w:t>
      </w:r>
      <w:bookmarkEnd w:id="131"/>
      <w:bookmarkEnd w:id="132"/>
    </w:p>
    <w:p w14:paraId="3A5C7F1D" w14:textId="51A82486" w:rsidR="009B34BE" w:rsidRPr="006D6727" w:rsidRDefault="009B34BE" w:rsidP="009B34BE">
      <w:pPr>
        <w:rPr>
          <w:rStyle w:val="ECCParagraph"/>
          <w:noProof/>
        </w:rPr>
      </w:pPr>
      <w:r w:rsidRPr="006D6727">
        <w:rPr>
          <w:rStyle w:val="ECCParagraph"/>
          <w:noProof/>
        </w:rPr>
        <w:t>Radiodetermination for industry automation ha</w:t>
      </w:r>
      <w:r w:rsidR="00E01F71" w:rsidRPr="006D6727">
        <w:rPr>
          <w:rStyle w:val="ECCParagraph"/>
          <w:noProof/>
        </w:rPr>
        <w:t>s</w:t>
      </w:r>
      <w:r w:rsidRPr="006D6727">
        <w:rPr>
          <w:rStyle w:val="ECCParagraph"/>
          <w:noProof/>
        </w:rPr>
        <w:t xml:space="preserve"> been categorised as type A application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F49F9">
        <w:rPr>
          <w:rStyle w:val="ECCParagraph"/>
          <w:noProof/>
        </w:rPr>
        <w:t>2.1</w:t>
      </w:r>
      <w:r w:rsidRPr="006D6727">
        <w:rPr>
          <w:rStyle w:val="ECCParagraph"/>
          <w:noProof/>
        </w:rPr>
        <w:fldChar w:fldCharType="end"/>
      </w:r>
      <w:r w:rsidRPr="006D6727">
        <w:rPr>
          <w:rStyle w:val="ECCParagraph"/>
          <w:noProof/>
        </w:rPr>
        <w:t xml:space="preserve">). The following frequency ranges are proposed to be considered for this type of application (see </w:t>
      </w:r>
      <w:r w:rsidR="00465013" w:rsidRPr="006D6727">
        <w:rPr>
          <w:rStyle w:val="ECCParagraph"/>
          <w:noProof/>
        </w:rPr>
        <w:fldChar w:fldCharType="begin"/>
      </w:r>
      <w:r w:rsidR="00465013" w:rsidRPr="006D6727">
        <w:rPr>
          <w:rStyle w:val="ECCParagraph"/>
          <w:noProof/>
        </w:rPr>
        <w:instrText xml:space="preserve"> REF _Ref15636825 \h </w:instrText>
      </w:r>
      <w:r w:rsidR="00465013" w:rsidRPr="006D6727">
        <w:rPr>
          <w:rStyle w:val="ECCParagraph"/>
          <w:noProof/>
        </w:rPr>
      </w:r>
      <w:r w:rsidR="00465013" w:rsidRPr="006D6727">
        <w:rPr>
          <w:rStyle w:val="ECCParagraph"/>
          <w:noProof/>
        </w:rPr>
        <w:fldChar w:fldCharType="separate"/>
      </w:r>
      <w:r w:rsidR="0041125F" w:rsidRPr="006D6727">
        <w:rPr>
          <w:noProof/>
        </w:rPr>
        <w:t>Table </w:t>
      </w:r>
      <w:r w:rsidR="0041125F">
        <w:rPr>
          <w:noProof/>
        </w:rPr>
        <w:t>33</w:t>
      </w:r>
      <w:r w:rsidR="00465013" w:rsidRPr="006D6727">
        <w:rPr>
          <w:rStyle w:val="ECCParagraph"/>
          <w:noProof/>
        </w:rPr>
        <w:fldChar w:fldCharType="end"/>
      </w:r>
      <w:r w:rsidRPr="006D6727">
        <w:rPr>
          <w:rStyle w:val="ECCParagraph"/>
          <w:noProof/>
        </w:rPr>
        <w:t>):</w:t>
      </w:r>
    </w:p>
    <w:p w14:paraId="09855EF8" w14:textId="77777777" w:rsidR="009B34BE" w:rsidRPr="006D6727" w:rsidRDefault="009B34BE" w:rsidP="009B34BE">
      <w:pPr>
        <w:pStyle w:val="ECCBulletsLv1"/>
        <w:rPr>
          <w:rStyle w:val="ECCParagraph"/>
          <w:noProof/>
        </w:rPr>
      </w:pPr>
      <w:r w:rsidRPr="006D6727">
        <w:rPr>
          <w:rStyle w:val="ECCParagraph"/>
          <w:noProof/>
        </w:rPr>
        <w:t>116 GHz to 130 GHz;</w:t>
      </w:r>
    </w:p>
    <w:p w14:paraId="5C9904FE" w14:textId="77777777" w:rsidR="009B34BE" w:rsidRPr="006D6727" w:rsidRDefault="009B34BE" w:rsidP="009B34BE">
      <w:pPr>
        <w:pStyle w:val="ECCBulletsLv1"/>
        <w:rPr>
          <w:rStyle w:val="ECCParagraph"/>
          <w:noProof/>
        </w:rPr>
      </w:pPr>
      <w:r w:rsidRPr="006D6727">
        <w:rPr>
          <w:rStyle w:val="ECCParagraph"/>
          <w:noProof/>
        </w:rPr>
        <w:t>134 GHz to 141 GHz;</w:t>
      </w:r>
    </w:p>
    <w:p w14:paraId="75616740" w14:textId="77777777" w:rsidR="009B34BE" w:rsidRPr="006D6727" w:rsidRDefault="009B34BE" w:rsidP="009B34BE">
      <w:pPr>
        <w:pStyle w:val="ECCBulletsLv1"/>
        <w:rPr>
          <w:rStyle w:val="ECCParagraph"/>
          <w:noProof/>
        </w:rPr>
      </w:pPr>
      <w:r w:rsidRPr="006D6727">
        <w:rPr>
          <w:rStyle w:val="ECCParagraph"/>
          <w:noProof/>
        </w:rPr>
        <w:t>174</w:t>
      </w:r>
      <w:r w:rsidR="00CF4994">
        <w:rPr>
          <w:rStyle w:val="ECCParagraph"/>
          <w:noProof/>
        </w:rPr>
        <w:t>.8</w:t>
      </w:r>
      <w:r w:rsidRPr="006D6727">
        <w:rPr>
          <w:rStyle w:val="ECCParagraph"/>
          <w:noProof/>
        </w:rPr>
        <w:t> GHz to 182 GHz;</w:t>
      </w:r>
    </w:p>
    <w:p w14:paraId="34C3006E" w14:textId="77777777" w:rsidR="009B34BE" w:rsidRPr="006D6727" w:rsidRDefault="009B34BE" w:rsidP="009B34BE">
      <w:pPr>
        <w:pStyle w:val="ECCBulletsLv1"/>
        <w:rPr>
          <w:rStyle w:val="ECCParagraph"/>
          <w:noProof/>
        </w:rPr>
      </w:pPr>
      <w:r w:rsidRPr="006D6727">
        <w:rPr>
          <w:rStyle w:val="ECCParagraph"/>
          <w:noProof/>
        </w:rPr>
        <w:t>185</w:t>
      </w:r>
      <w:r w:rsidR="00C467E5" w:rsidRPr="006D6727">
        <w:rPr>
          <w:rStyle w:val="ECCParagraph"/>
          <w:noProof/>
        </w:rPr>
        <w:t> GHz</w:t>
      </w:r>
      <w:r w:rsidRPr="006D6727">
        <w:rPr>
          <w:rStyle w:val="ECCParagraph"/>
          <w:noProof/>
        </w:rPr>
        <w:t xml:space="preserve"> to 190 GHz</w:t>
      </w:r>
      <w:r w:rsidR="00054EBC" w:rsidRPr="006D6727">
        <w:rPr>
          <w:rStyle w:val="ECCParagraph"/>
          <w:noProof/>
        </w:rPr>
        <w:t>;</w:t>
      </w:r>
    </w:p>
    <w:p w14:paraId="37F4514E" w14:textId="77777777" w:rsidR="00C467E5" w:rsidRPr="006D6727" w:rsidRDefault="00C467E5" w:rsidP="009B34BE">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r w:rsidR="00054EBC" w:rsidRPr="006D6727">
        <w:rPr>
          <w:rStyle w:val="ECCParagraph"/>
          <w:noProof/>
        </w:rPr>
        <w:t>.</w:t>
      </w:r>
    </w:p>
    <w:p w14:paraId="32DFF2E8" w14:textId="77777777" w:rsidR="00995788" w:rsidRPr="006D6727" w:rsidRDefault="00995788" w:rsidP="004E36C2">
      <w:pPr>
        <w:pStyle w:val="Heading4"/>
        <w:rPr>
          <w:noProof/>
        </w:rPr>
      </w:pPr>
      <w:bookmarkStart w:id="133" w:name="_Ref66448217"/>
      <w:bookmarkStart w:id="134" w:name="_Ref66448249"/>
      <w:bookmarkStart w:id="135" w:name="_Toc84325252"/>
      <w:r w:rsidRPr="006D6727">
        <w:rPr>
          <w:noProof/>
        </w:rPr>
        <w:t>Technical parameters</w:t>
      </w:r>
      <w:bookmarkEnd w:id="133"/>
      <w:bookmarkEnd w:id="134"/>
      <w:bookmarkEnd w:id="135"/>
    </w:p>
    <w:p w14:paraId="54767264" w14:textId="1FC8B8F7" w:rsidR="000F6E3D" w:rsidRPr="006D6727" w:rsidRDefault="00901078" w:rsidP="00031A36">
      <w:pPr>
        <w:pStyle w:val="ECCTabletext"/>
        <w:rPr>
          <w:noProof/>
        </w:rPr>
      </w:pPr>
      <w:r w:rsidRPr="006D6727">
        <w:rPr>
          <w:rStyle w:val="ECCParagraph"/>
          <w:noProof/>
        </w:rPr>
        <w:fldChar w:fldCharType="begin"/>
      </w:r>
      <w:r w:rsidRPr="006D6727">
        <w:rPr>
          <w:rStyle w:val="ECCParagraph"/>
          <w:noProof/>
        </w:rPr>
        <w:instrText xml:space="preserve"> REF _Ref27406452 \h  \* MERGEFORMAT </w:instrText>
      </w:r>
      <w:r w:rsidRPr="006D6727">
        <w:rPr>
          <w:rStyle w:val="ECCParagraph"/>
          <w:noProof/>
        </w:rPr>
      </w:r>
      <w:r w:rsidRPr="006D6727">
        <w:rPr>
          <w:rStyle w:val="ECCParagraph"/>
          <w:noProof/>
        </w:rPr>
        <w:fldChar w:fldCharType="separate"/>
      </w:r>
      <w:r w:rsidR="0041125F" w:rsidRPr="006D6727">
        <w:rPr>
          <w:rStyle w:val="ECCParagraph"/>
          <w:noProof/>
        </w:rPr>
        <w:t>Table </w:t>
      </w:r>
      <w:r w:rsidR="0041125F">
        <w:rPr>
          <w:rStyle w:val="ECCParagraph"/>
          <w:noProof/>
        </w:rPr>
        <w:t>15</w:t>
      </w:r>
      <w:r w:rsidRPr="006D6727">
        <w:rPr>
          <w:rStyle w:val="ECCParagraph"/>
          <w:noProof/>
        </w:rPr>
        <w:fldChar w:fldCharType="end"/>
      </w:r>
      <w:r w:rsidR="000F6E3D" w:rsidRPr="006D6727">
        <w:rPr>
          <w:rStyle w:val="ECCParagraph"/>
          <w:noProof/>
        </w:rPr>
        <w:t xml:space="preserve"> gives an overview of the technical parameters of radiodetermination devices which may be relevant for conducting the compatibility studies.</w:t>
      </w:r>
    </w:p>
    <w:p w14:paraId="5F0F4470" w14:textId="5E0204C5" w:rsidR="000F6E3D" w:rsidRPr="006D6727" w:rsidRDefault="000F6E3D" w:rsidP="000F6E3D">
      <w:pPr>
        <w:pStyle w:val="Caption"/>
        <w:rPr>
          <w:rStyle w:val="ECCHLyellow"/>
          <w:noProof/>
        </w:rPr>
      </w:pPr>
      <w:bookmarkStart w:id="136" w:name="_Ref27406452"/>
      <w:r w:rsidRPr="006D6727">
        <w:rPr>
          <w:rStyle w:val="ECCParagraph"/>
          <w:noProof/>
        </w:rPr>
        <w:t>Table </w:t>
      </w:r>
      <w:r w:rsidRPr="006D6727">
        <w:rPr>
          <w:rStyle w:val="ECCParagraph"/>
          <w:noProof/>
        </w:rPr>
        <w:fldChar w:fldCharType="begin"/>
      </w:r>
      <w:r w:rsidRPr="006D6727">
        <w:rPr>
          <w:rStyle w:val="ECCParagraph"/>
          <w:noProof/>
        </w:rPr>
        <w:instrText xml:space="preserve"> SEQ Table \* ARABIC </w:instrText>
      </w:r>
      <w:r w:rsidRPr="006D6727">
        <w:rPr>
          <w:rStyle w:val="ECCParagraph"/>
          <w:noProof/>
        </w:rPr>
        <w:fldChar w:fldCharType="separate"/>
      </w:r>
      <w:r w:rsidR="004F49F9">
        <w:rPr>
          <w:rStyle w:val="ECCParagraph"/>
          <w:noProof/>
        </w:rPr>
        <w:t>15</w:t>
      </w:r>
      <w:r w:rsidRPr="006D6727">
        <w:rPr>
          <w:rStyle w:val="ECCParagraph"/>
          <w:noProof/>
        </w:rPr>
        <w:fldChar w:fldCharType="end"/>
      </w:r>
      <w:bookmarkEnd w:id="136"/>
      <w:r w:rsidRPr="006D6727">
        <w:rPr>
          <w:noProof/>
          <w:lang w:val="en-GB"/>
        </w:rPr>
        <w:t xml:space="preserve">: </w:t>
      </w:r>
      <w:r w:rsidRPr="006D6727">
        <w:rPr>
          <w:rStyle w:val="ECCParagraph"/>
          <w:rFonts w:eastAsia="Calibri"/>
          <w:noProof/>
        </w:rPr>
        <w:t>Technical parameters of RDI devices</w:t>
      </w:r>
    </w:p>
    <w:tbl>
      <w:tblPr>
        <w:tblStyle w:val="ECCTable-redheader"/>
        <w:tblW w:w="5000" w:type="pct"/>
        <w:tblInd w:w="0" w:type="dxa"/>
        <w:tblLook w:val="04A0" w:firstRow="1" w:lastRow="0" w:firstColumn="1" w:lastColumn="0" w:noHBand="0" w:noVBand="1"/>
      </w:tblPr>
      <w:tblGrid>
        <w:gridCol w:w="2893"/>
        <w:gridCol w:w="2205"/>
        <w:gridCol w:w="4531"/>
      </w:tblGrid>
      <w:tr w:rsidR="000F6E3D" w:rsidRPr="006D6727" w14:paraId="7B48F2E8" w14:textId="77777777" w:rsidTr="00031A36">
        <w:trPr>
          <w:cnfStyle w:val="100000000000" w:firstRow="1" w:lastRow="0" w:firstColumn="0" w:lastColumn="0" w:oddVBand="0" w:evenVBand="0" w:oddHBand="0" w:evenHBand="0" w:firstRowFirstColumn="0" w:firstRowLastColumn="0" w:lastRowFirstColumn="0" w:lastRowLastColumn="0"/>
        </w:trPr>
        <w:tc>
          <w:tcPr>
            <w:tcW w:w="1502" w:type="pct"/>
          </w:tcPr>
          <w:p w14:paraId="67C15BEB" w14:textId="77777777" w:rsidR="000F6E3D" w:rsidRPr="006D6727" w:rsidRDefault="000F6E3D" w:rsidP="00031A36">
            <w:pPr>
              <w:pStyle w:val="ECCTabletext"/>
              <w:spacing w:before="120"/>
              <w:jc w:val="left"/>
              <w:rPr>
                <w:rStyle w:val="ECCParagraph"/>
                <w:noProof/>
              </w:rPr>
            </w:pPr>
            <w:r w:rsidRPr="006D6727">
              <w:rPr>
                <w:rStyle w:val="ECCParagraph"/>
                <w:noProof/>
              </w:rPr>
              <w:t>Parameter</w:t>
            </w:r>
          </w:p>
        </w:tc>
        <w:tc>
          <w:tcPr>
            <w:tcW w:w="1145" w:type="pct"/>
          </w:tcPr>
          <w:p w14:paraId="7FF04166" w14:textId="77777777" w:rsidR="000F6E3D" w:rsidRPr="006D6727" w:rsidRDefault="000F6E3D" w:rsidP="00031A36">
            <w:pPr>
              <w:pStyle w:val="ECCTabletext"/>
              <w:spacing w:before="120"/>
              <w:jc w:val="left"/>
              <w:rPr>
                <w:rStyle w:val="ECCParagraph"/>
                <w:noProof/>
              </w:rPr>
            </w:pPr>
            <w:r w:rsidRPr="006D6727">
              <w:rPr>
                <w:rStyle w:val="ECCParagraph"/>
                <w:noProof/>
              </w:rPr>
              <w:t>Value</w:t>
            </w:r>
          </w:p>
        </w:tc>
        <w:tc>
          <w:tcPr>
            <w:tcW w:w="2353" w:type="pct"/>
          </w:tcPr>
          <w:p w14:paraId="3F09F000" w14:textId="77777777" w:rsidR="000F6E3D" w:rsidRPr="006D6727" w:rsidRDefault="000F6E3D" w:rsidP="00031A36">
            <w:pPr>
              <w:pStyle w:val="ECCTabletext"/>
              <w:spacing w:before="120"/>
              <w:jc w:val="left"/>
              <w:rPr>
                <w:rStyle w:val="ECCParagraph"/>
                <w:noProof/>
              </w:rPr>
            </w:pPr>
            <w:r w:rsidRPr="006D6727">
              <w:rPr>
                <w:rStyle w:val="ECCParagraph"/>
                <w:noProof/>
              </w:rPr>
              <w:t>Notes</w:t>
            </w:r>
          </w:p>
        </w:tc>
      </w:tr>
      <w:tr w:rsidR="000F6E3D" w:rsidRPr="006D6727" w14:paraId="0C096951" w14:textId="77777777" w:rsidTr="00031A36">
        <w:trPr>
          <w:trHeight w:val="265"/>
        </w:trPr>
        <w:tc>
          <w:tcPr>
            <w:tcW w:w="1502" w:type="pct"/>
          </w:tcPr>
          <w:p w14:paraId="389BB65A" w14:textId="77777777" w:rsidR="000F6E3D" w:rsidRPr="006D6727" w:rsidRDefault="000F6E3D" w:rsidP="00031A36">
            <w:pPr>
              <w:pStyle w:val="ECCTabletext"/>
              <w:jc w:val="left"/>
              <w:rPr>
                <w:rStyle w:val="ECCParagraph"/>
                <w:noProof/>
              </w:rPr>
            </w:pPr>
            <w:r w:rsidRPr="006D6727">
              <w:rPr>
                <w:rStyle w:val="ECCParagraph"/>
                <w:noProof/>
              </w:rPr>
              <w:t>Modulation scheme</w:t>
            </w:r>
          </w:p>
        </w:tc>
        <w:tc>
          <w:tcPr>
            <w:tcW w:w="1145" w:type="pct"/>
          </w:tcPr>
          <w:p w14:paraId="48AF6F24" w14:textId="77777777" w:rsidR="000F6E3D" w:rsidRPr="006D6727" w:rsidRDefault="000F6E3D" w:rsidP="00031A36">
            <w:pPr>
              <w:pStyle w:val="ECCTabletext"/>
              <w:jc w:val="left"/>
              <w:rPr>
                <w:rStyle w:val="ECCParagraph"/>
                <w:noProof/>
              </w:rPr>
            </w:pPr>
            <w:r w:rsidRPr="006D6727">
              <w:rPr>
                <w:rStyle w:val="ECCParagraph"/>
                <w:noProof/>
              </w:rPr>
              <w:t>e.g. frequency modulated continuous wave (FMCW) or pulse-based modulation schemes</w:t>
            </w:r>
          </w:p>
        </w:tc>
        <w:tc>
          <w:tcPr>
            <w:tcW w:w="2353" w:type="pct"/>
          </w:tcPr>
          <w:p w14:paraId="0D4786C2" w14:textId="77777777" w:rsidR="000F6E3D" w:rsidRPr="006D6727" w:rsidRDefault="000F6E3D" w:rsidP="00031A36">
            <w:pPr>
              <w:pStyle w:val="ECCTabletext"/>
              <w:jc w:val="left"/>
              <w:rPr>
                <w:rStyle w:val="ECCParagraph"/>
                <w:noProof/>
              </w:rPr>
            </w:pPr>
            <w:r w:rsidRPr="006D6727">
              <w:rPr>
                <w:rStyle w:val="ECCParagraph"/>
                <w:noProof/>
              </w:rPr>
              <w:t>Combination of different OFRs possible</w:t>
            </w:r>
          </w:p>
        </w:tc>
      </w:tr>
      <w:tr w:rsidR="000F6E3D" w:rsidRPr="006D6727" w14:paraId="521F19BC" w14:textId="77777777" w:rsidTr="00031A36">
        <w:trPr>
          <w:trHeight w:val="265"/>
        </w:trPr>
        <w:tc>
          <w:tcPr>
            <w:tcW w:w="1502" w:type="pct"/>
          </w:tcPr>
          <w:p w14:paraId="6019FBAD" w14:textId="77777777" w:rsidR="000F6E3D" w:rsidRPr="006D6727" w:rsidRDefault="000F6E3D" w:rsidP="00031A36">
            <w:pPr>
              <w:pStyle w:val="ECCTabletext"/>
              <w:jc w:val="left"/>
              <w:rPr>
                <w:rStyle w:val="ECCParagraph"/>
                <w:noProof/>
              </w:rPr>
            </w:pPr>
            <w:r w:rsidRPr="006D6727">
              <w:rPr>
                <w:rStyle w:val="ECCParagraph"/>
                <w:noProof/>
              </w:rPr>
              <w:t>Operating frequency range (OFR)</w:t>
            </w:r>
          </w:p>
        </w:tc>
        <w:tc>
          <w:tcPr>
            <w:tcW w:w="1145" w:type="pct"/>
          </w:tcPr>
          <w:p w14:paraId="5FD8FEFA" w14:textId="77777777" w:rsidR="000F6E3D" w:rsidRPr="006D6727" w:rsidRDefault="000F6E3D" w:rsidP="00031A36">
            <w:pPr>
              <w:pStyle w:val="ECCTabletext"/>
              <w:jc w:val="left"/>
              <w:rPr>
                <w:rStyle w:val="ECCParagraph"/>
                <w:noProof/>
              </w:rPr>
            </w:pPr>
            <w:r w:rsidRPr="006D6727">
              <w:rPr>
                <w:rStyle w:val="ECCParagraph"/>
                <w:noProof/>
              </w:rPr>
              <w:t>116−130 GHz</w:t>
            </w:r>
          </w:p>
          <w:p w14:paraId="22BAA293" w14:textId="77777777" w:rsidR="000F6E3D" w:rsidRPr="006D6727" w:rsidRDefault="000F6E3D" w:rsidP="00031A36">
            <w:pPr>
              <w:pStyle w:val="ECCTabletext"/>
              <w:jc w:val="left"/>
              <w:rPr>
                <w:rStyle w:val="ECCParagraph"/>
                <w:noProof/>
              </w:rPr>
            </w:pPr>
            <w:r w:rsidRPr="006D6727">
              <w:rPr>
                <w:rStyle w:val="ECCParagraph"/>
                <w:noProof/>
              </w:rPr>
              <w:t>134−141 GHz</w:t>
            </w:r>
          </w:p>
          <w:p w14:paraId="6CFBAE80" w14:textId="77777777" w:rsidR="000F6E3D" w:rsidRPr="006D6727" w:rsidRDefault="000F6E3D" w:rsidP="00031A36">
            <w:pPr>
              <w:pStyle w:val="ECCTabletext"/>
              <w:jc w:val="left"/>
              <w:rPr>
                <w:rStyle w:val="ECCParagraph"/>
                <w:noProof/>
              </w:rPr>
            </w:pPr>
            <w:r w:rsidRPr="006D6727">
              <w:rPr>
                <w:rStyle w:val="ECCParagraph"/>
                <w:noProof/>
              </w:rPr>
              <w:t>174</w:t>
            </w:r>
            <w:r w:rsidR="00CF4994">
              <w:rPr>
                <w:rStyle w:val="ECCParagraph"/>
                <w:noProof/>
              </w:rPr>
              <w:t>.8</w:t>
            </w:r>
            <w:r w:rsidRPr="006D6727">
              <w:rPr>
                <w:rStyle w:val="ECCParagraph"/>
                <w:noProof/>
              </w:rPr>
              <w:t>−182 GHz</w:t>
            </w:r>
          </w:p>
          <w:p w14:paraId="0E62612F" w14:textId="77777777" w:rsidR="000F6E3D" w:rsidRPr="006D6727" w:rsidRDefault="000F6E3D" w:rsidP="00031A36">
            <w:pPr>
              <w:pStyle w:val="ECCTabletext"/>
              <w:jc w:val="left"/>
              <w:rPr>
                <w:rStyle w:val="ECCParagraph"/>
                <w:noProof/>
              </w:rPr>
            </w:pPr>
            <w:r w:rsidRPr="006D6727">
              <w:rPr>
                <w:rStyle w:val="ECCParagraph"/>
                <w:noProof/>
              </w:rPr>
              <w:t>185−190 GHz</w:t>
            </w:r>
          </w:p>
          <w:p w14:paraId="6F370523" w14:textId="77777777" w:rsidR="000F6E3D" w:rsidRPr="006D6727" w:rsidRDefault="000F6E3D" w:rsidP="00031A36">
            <w:pPr>
              <w:pStyle w:val="ECCTabletext"/>
              <w:jc w:val="left"/>
              <w:rPr>
                <w:rStyle w:val="ECCParagraph"/>
                <w:noProof/>
              </w:rPr>
            </w:pPr>
            <w:r w:rsidRPr="006D6727">
              <w:rPr>
                <w:rStyle w:val="ECCParagraph"/>
                <w:noProof/>
              </w:rPr>
              <w:t>231</w:t>
            </w:r>
            <w:r w:rsidR="00CF4994">
              <w:rPr>
                <w:rStyle w:val="ECCParagraph"/>
                <w:noProof/>
              </w:rPr>
              <w:t>.5</w:t>
            </w:r>
            <w:r w:rsidRPr="006D6727">
              <w:rPr>
                <w:rStyle w:val="ECCParagraph"/>
                <w:noProof/>
              </w:rPr>
              <w:t>−250 GHz</w:t>
            </w:r>
          </w:p>
        </w:tc>
        <w:tc>
          <w:tcPr>
            <w:tcW w:w="2353" w:type="pct"/>
          </w:tcPr>
          <w:p w14:paraId="2CCD1158" w14:textId="77777777" w:rsidR="000F6E3D" w:rsidRPr="006D6727" w:rsidRDefault="000F6E3D" w:rsidP="000F6E3D">
            <w:pPr>
              <w:pStyle w:val="ECCTabletext"/>
              <w:rPr>
                <w:rStyle w:val="ECCParagraph"/>
                <w:noProof/>
              </w:rPr>
            </w:pPr>
          </w:p>
        </w:tc>
      </w:tr>
      <w:tr w:rsidR="000F6E3D" w:rsidRPr="006D6727" w14:paraId="5876EB86" w14:textId="77777777" w:rsidTr="00031A36">
        <w:trPr>
          <w:trHeight w:val="265"/>
        </w:trPr>
        <w:tc>
          <w:tcPr>
            <w:tcW w:w="1502" w:type="pct"/>
          </w:tcPr>
          <w:p w14:paraId="0E2B270E" w14:textId="77777777" w:rsidR="000F6E3D" w:rsidRPr="006D6727" w:rsidRDefault="000F6E3D" w:rsidP="00031A36">
            <w:pPr>
              <w:pStyle w:val="ECCTabletext"/>
              <w:jc w:val="left"/>
              <w:rPr>
                <w:rStyle w:val="ECCParagraph"/>
                <w:noProof/>
              </w:rPr>
            </w:pPr>
            <w:r w:rsidRPr="006D6727">
              <w:rPr>
                <w:rStyle w:val="ECCParagraph"/>
                <w:noProof/>
              </w:rPr>
              <w:t>Available modulation bandwidth</w:t>
            </w:r>
          </w:p>
        </w:tc>
        <w:tc>
          <w:tcPr>
            <w:tcW w:w="1145" w:type="pct"/>
          </w:tcPr>
          <w:p w14:paraId="2885EAD3" w14:textId="77777777" w:rsidR="000F6E3D" w:rsidRPr="006D6727" w:rsidRDefault="000F6E3D" w:rsidP="00031A36">
            <w:pPr>
              <w:pStyle w:val="ECCTabletext"/>
              <w:jc w:val="left"/>
              <w:rPr>
                <w:rStyle w:val="ECCParagraph"/>
                <w:noProof/>
              </w:rPr>
            </w:pPr>
            <w:r w:rsidRPr="006D6727">
              <w:rPr>
                <w:rStyle w:val="ECCParagraph"/>
                <w:noProof/>
              </w:rPr>
              <w:t>1</w:t>
            </w:r>
            <w:r w:rsidR="00E14D8E">
              <w:rPr>
                <w:rStyle w:val="ECCParagraph"/>
              </w:rPr>
              <w:t>4</w:t>
            </w:r>
            <w:r w:rsidRPr="006D6727">
              <w:rPr>
                <w:rStyle w:val="ECCParagraph"/>
                <w:noProof/>
              </w:rPr>
              <w:t> GHz, 7 GHz, 7</w:t>
            </w:r>
            <w:r w:rsidR="00CF4994">
              <w:rPr>
                <w:rStyle w:val="ECCParagraph"/>
                <w:noProof/>
              </w:rPr>
              <w:t>.2</w:t>
            </w:r>
            <w:r w:rsidRPr="006D6727">
              <w:rPr>
                <w:rStyle w:val="ECCParagraph"/>
                <w:noProof/>
              </w:rPr>
              <w:t> GHz, 5 GHz, 18</w:t>
            </w:r>
            <w:r w:rsidR="00CF4994">
              <w:rPr>
                <w:rStyle w:val="ECCParagraph"/>
                <w:noProof/>
              </w:rPr>
              <w:t>.5</w:t>
            </w:r>
            <w:r w:rsidRPr="006D6727">
              <w:rPr>
                <w:rStyle w:val="ECCParagraph"/>
                <w:noProof/>
              </w:rPr>
              <w:t> GHz</w:t>
            </w:r>
          </w:p>
        </w:tc>
        <w:tc>
          <w:tcPr>
            <w:tcW w:w="2353" w:type="pct"/>
          </w:tcPr>
          <w:p w14:paraId="348E76F9" w14:textId="77777777" w:rsidR="000F6E3D" w:rsidRPr="006D6727" w:rsidRDefault="000F6E3D" w:rsidP="000F6E3D">
            <w:pPr>
              <w:pStyle w:val="ECCTabletext"/>
              <w:rPr>
                <w:rStyle w:val="ECCParagraph"/>
                <w:noProof/>
              </w:rPr>
            </w:pPr>
          </w:p>
        </w:tc>
      </w:tr>
      <w:tr w:rsidR="000F6E3D" w:rsidRPr="006D6727" w14:paraId="496B664A" w14:textId="77777777" w:rsidTr="00031A36">
        <w:trPr>
          <w:trHeight w:val="265"/>
        </w:trPr>
        <w:tc>
          <w:tcPr>
            <w:tcW w:w="1502" w:type="pct"/>
          </w:tcPr>
          <w:p w14:paraId="65364EF1" w14:textId="77777777" w:rsidR="000F6E3D" w:rsidRPr="006D6727" w:rsidRDefault="000F6E3D" w:rsidP="00031A36">
            <w:pPr>
              <w:pStyle w:val="ECCTabletext"/>
              <w:jc w:val="left"/>
              <w:rPr>
                <w:rStyle w:val="ECCParagraph"/>
                <w:noProof/>
              </w:rPr>
            </w:pPr>
            <w:r w:rsidRPr="006D6727">
              <w:rPr>
                <w:rStyle w:val="ECCParagraph"/>
                <w:noProof/>
              </w:rPr>
              <w:t>Used modulation bandwidth</w:t>
            </w:r>
          </w:p>
        </w:tc>
        <w:tc>
          <w:tcPr>
            <w:tcW w:w="1145" w:type="pct"/>
          </w:tcPr>
          <w:p w14:paraId="6F7F5687" w14:textId="77777777" w:rsidR="000F6E3D" w:rsidRPr="006D6727" w:rsidRDefault="00A819FB" w:rsidP="00031A36">
            <w:pPr>
              <w:pStyle w:val="ECCTabletext"/>
              <w:jc w:val="left"/>
              <w:rPr>
                <w:rStyle w:val="ECCParagraph"/>
                <w:noProof/>
              </w:rPr>
            </w:pPr>
            <w:r>
              <w:rPr>
                <w:rStyle w:val="ECCParagraph"/>
              </w:rPr>
              <w:t>up to 14</w:t>
            </w:r>
            <w:r w:rsidR="000F6E3D" w:rsidRPr="006D6727">
              <w:rPr>
                <w:rStyle w:val="ECCParagraph"/>
                <w:noProof/>
              </w:rPr>
              <w:t> GHz</w:t>
            </w:r>
          </w:p>
          <w:p w14:paraId="0327773A" w14:textId="77777777" w:rsidR="000F6E3D" w:rsidRPr="006D6727" w:rsidRDefault="00A819FB" w:rsidP="00031A36">
            <w:pPr>
              <w:pStyle w:val="ECCTabletext"/>
              <w:jc w:val="left"/>
              <w:rPr>
                <w:rStyle w:val="ECCParagraph"/>
                <w:noProof/>
              </w:rPr>
            </w:pPr>
            <w:r>
              <w:rPr>
                <w:rStyle w:val="ECCParagraph"/>
              </w:rPr>
              <w:t xml:space="preserve">up to </w:t>
            </w:r>
            <w:r w:rsidR="000F6E3D" w:rsidRPr="006D6727">
              <w:rPr>
                <w:rStyle w:val="ECCParagraph"/>
                <w:noProof/>
              </w:rPr>
              <w:t>7 GHz</w:t>
            </w:r>
          </w:p>
          <w:p w14:paraId="1C159B0E" w14:textId="77777777" w:rsidR="000F6E3D" w:rsidRPr="006D6727" w:rsidRDefault="00A819FB" w:rsidP="00031A36">
            <w:pPr>
              <w:pStyle w:val="ECCTabletext"/>
              <w:jc w:val="left"/>
              <w:rPr>
                <w:rStyle w:val="ECCParagraph"/>
                <w:noProof/>
              </w:rPr>
            </w:pPr>
            <w:r>
              <w:rPr>
                <w:rStyle w:val="ECCParagraph"/>
              </w:rPr>
              <w:t xml:space="preserve">up to </w:t>
            </w:r>
            <w:r w:rsidR="000F6E3D" w:rsidRPr="006D6727">
              <w:rPr>
                <w:rStyle w:val="ECCParagraph"/>
                <w:noProof/>
              </w:rPr>
              <w:t>7</w:t>
            </w:r>
            <w:r w:rsidR="00CF4994">
              <w:rPr>
                <w:rStyle w:val="ECCParagraph"/>
                <w:noProof/>
              </w:rPr>
              <w:t>.2</w:t>
            </w:r>
            <w:r w:rsidR="000F6E3D" w:rsidRPr="006D6727">
              <w:rPr>
                <w:rStyle w:val="ECCParagraph"/>
                <w:noProof/>
              </w:rPr>
              <w:t> GHz</w:t>
            </w:r>
          </w:p>
          <w:p w14:paraId="03EA174C" w14:textId="77777777" w:rsidR="000F6E3D" w:rsidRPr="006D6727" w:rsidRDefault="00A819FB" w:rsidP="00031A36">
            <w:pPr>
              <w:pStyle w:val="ECCTabletext"/>
              <w:jc w:val="left"/>
              <w:rPr>
                <w:rStyle w:val="ECCParagraph"/>
                <w:noProof/>
              </w:rPr>
            </w:pPr>
            <w:r>
              <w:rPr>
                <w:rStyle w:val="ECCParagraph"/>
              </w:rPr>
              <w:t xml:space="preserve">up to </w:t>
            </w:r>
            <w:r w:rsidR="000F6E3D" w:rsidRPr="006D6727">
              <w:rPr>
                <w:rStyle w:val="ECCParagraph"/>
                <w:noProof/>
              </w:rPr>
              <w:t>5 GHz</w:t>
            </w:r>
          </w:p>
          <w:p w14:paraId="468C735C" w14:textId="77777777" w:rsidR="000F6E3D" w:rsidRPr="006D6727" w:rsidRDefault="00A819FB" w:rsidP="00031A36">
            <w:pPr>
              <w:pStyle w:val="ECCTabletext"/>
              <w:jc w:val="left"/>
              <w:rPr>
                <w:rStyle w:val="ECCParagraph"/>
                <w:noProof/>
              </w:rPr>
            </w:pPr>
            <w:r>
              <w:rPr>
                <w:rStyle w:val="ECCParagraph"/>
              </w:rPr>
              <w:t>up to</w:t>
            </w:r>
            <w:r w:rsidR="000F6E3D" w:rsidRPr="006D6727">
              <w:rPr>
                <w:rStyle w:val="ECCParagraph"/>
                <w:noProof/>
              </w:rPr>
              <w:t>18</w:t>
            </w:r>
            <w:r w:rsidR="00CF4994">
              <w:rPr>
                <w:rStyle w:val="ECCParagraph"/>
                <w:noProof/>
              </w:rPr>
              <w:t>.5</w:t>
            </w:r>
            <w:r w:rsidR="000F6E3D" w:rsidRPr="006D6727">
              <w:rPr>
                <w:rStyle w:val="ECCParagraph"/>
                <w:noProof/>
              </w:rPr>
              <w:t> GHz</w:t>
            </w:r>
          </w:p>
        </w:tc>
        <w:tc>
          <w:tcPr>
            <w:tcW w:w="2353" w:type="pct"/>
          </w:tcPr>
          <w:p w14:paraId="15326578" w14:textId="77777777" w:rsidR="000F6E3D" w:rsidRPr="006D6727" w:rsidRDefault="00733E7C" w:rsidP="00031A36">
            <w:pPr>
              <w:pStyle w:val="ECCTabletext"/>
              <w:jc w:val="left"/>
              <w:rPr>
                <w:rStyle w:val="ECCParagraph"/>
                <w:noProof/>
              </w:rPr>
            </w:pPr>
            <w:r w:rsidRPr="006D6727">
              <w:rPr>
                <w:rStyle w:val="ECCParagraph"/>
                <w:noProof/>
              </w:rPr>
              <w:t>-</w:t>
            </w:r>
            <w:r w:rsidR="00D04605">
              <w:rPr>
                <w:rStyle w:val="ECCParagraph"/>
              </w:rPr>
              <w:t>2</w:t>
            </w:r>
            <w:r w:rsidR="000F6E3D" w:rsidRPr="006D6727">
              <w:rPr>
                <w:rStyle w:val="ECCParagraph"/>
                <w:noProof/>
              </w:rPr>
              <w:t>0 dB bandwidth</w:t>
            </w:r>
          </w:p>
        </w:tc>
      </w:tr>
      <w:tr w:rsidR="000F6E3D" w:rsidRPr="006D6727" w14:paraId="260ACF06" w14:textId="77777777" w:rsidTr="00031A36">
        <w:trPr>
          <w:trHeight w:val="265"/>
        </w:trPr>
        <w:tc>
          <w:tcPr>
            <w:tcW w:w="1502" w:type="pct"/>
          </w:tcPr>
          <w:p w14:paraId="383FF97A" w14:textId="77777777" w:rsidR="000F6E3D" w:rsidRPr="006D6727" w:rsidRDefault="000F6E3D" w:rsidP="00031A36">
            <w:pPr>
              <w:pStyle w:val="ECCTabletext"/>
              <w:jc w:val="left"/>
              <w:rPr>
                <w:rStyle w:val="ECCParagraph"/>
                <w:noProof/>
              </w:rPr>
            </w:pPr>
            <w:r w:rsidRPr="006D6727">
              <w:rPr>
                <w:rStyle w:val="ECCParagraph"/>
                <w:noProof/>
              </w:rPr>
              <w:t>Sweeptime</w:t>
            </w:r>
          </w:p>
        </w:tc>
        <w:tc>
          <w:tcPr>
            <w:tcW w:w="1145" w:type="pct"/>
          </w:tcPr>
          <w:p w14:paraId="095299EF" w14:textId="77777777" w:rsidR="000F6E3D" w:rsidRPr="006D6727" w:rsidRDefault="000F6E3D" w:rsidP="00031A36">
            <w:pPr>
              <w:pStyle w:val="ECCTabletext"/>
              <w:jc w:val="left"/>
              <w:rPr>
                <w:rStyle w:val="ECCParagraph"/>
                <w:noProof/>
              </w:rPr>
            </w:pPr>
            <w:r w:rsidRPr="006D6727">
              <w:rPr>
                <w:rStyle w:val="ECCParagraph"/>
                <w:noProof/>
              </w:rPr>
              <w:t>10 µs to 5 ms</w:t>
            </w:r>
          </w:p>
        </w:tc>
        <w:tc>
          <w:tcPr>
            <w:tcW w:w="2353" w:type="pct"/>
          </w:tcPr>
          <w:p w14:paraId="40E82CC8" w14:textId="77777777" w:rsidR="000F6E3D" w:rsidRPr="006D6727" w:rsidRDefault="000F6E3D" w:rsidP="00031A36">
            <w:pPr>
              <w:pStyle w:val="ECCTabletext"/>
              <w:jc w:val="left"/>
              <w:rPr>
                <w:rStyle w:val="ECCParagraph"/>
                <w:noProof/>
              </w:rPr>
            </w:pPr>
            <w:r w:rsidRPr="006D6727">
              <w:rPr>
                <w:rStyle w:val="ECCParagraph"/>
                <w:noProof/>
              </w:rPr>
              <w:t>for a single frequency sweep over entire modulation bandwidth</w:t>
            </w:r>
          </w:p>
        </w:tc>
      </w:tr>
      <w:tr w:rsidR="000F6E3D" w:rsidRPr="006D6727" w14:paraId="2E01E0F7" w14:textId="77777777" w:rsidTr="00031A36">
        <w:trPr>
          <w:trHeight w:val="265"/>
        </w:trPr>
        <w:tc>
          <w:tcPr>
            <w:tcW w:w="1502" w:type="pct"/>
          </w:tcPr>
          <w:p w14:paraId="07B4CEE8" w14:textId="77777777" w:rsidR="000F6E3D" w:rsidRPr="006D6727" w:rsidRDefault="000F6E3D" w:rsidP="00031A36">
            <w:pPr>
              <w:pStyle w:val="ECCTabletext"/>
              <w:jc w:val="left"/>
              <w:rPr>
                <w:rStyle w:val="ECCParagraph"/>
                <w:noProof/>
              </w:rPr>
            </w:pPr>
            <w:r w:rsidRPr="006D6727">
              <w:rPr>
                <w:rStyle w:val="ECCParagraph"/>
                <w:noProof/>
              </w:rPr>
              <w:t>Duty cycle</w:t>
            </w:r>
          </w:p>
        </w:tc>
        <w:tc>
          <w:tcPr>
            <w:tcW w:w="1145" w:type="pct"/>
          </w:tcPr>
          <w:p w14:paraId="3E7256D3" w14:textId="77777777" w:rsidR="000F6E3D" w:rsidRPr="006D6727" w:rsidRDefault="000F6E3D" w:rsidP="00031A36">
            <w:pPr>
              <w:pStyle w:val="ECCTabletext"/>
              <w:jc w:val="left"/>
              <w:rPr>
                <w:rStyle w:val="ECCHLyellow"/>
                <w:noProof/>
              </w:rPr>
            </w:pPr>
            <w:r w:rsidRPr="006D6727">
              <w:rPr>
                <w:rStyle w:val="ECCParagraph"/>
                <w:noProof/>
              </w:rPr>
              <w:t>≤ 5%</w:t>
            </w:r>
          </w:p>
        </w:tc>
        <w:tc>
          <w:tcPr>
            <w:tcW w:w="2353" w:type="pct"/>
          </w:tcPr>
          <w:p w14:paraId="4379AD80" w14:textId="77777777" w:rsidR="000F6E3D" w:rsidRPr="006D6727" w:rsidRDefault="000F6E3D" w:rsidP="000F6E3D">
            <w:pPr>
              <w:pStyle w:val="ECCTabletext"/>
              <w:rPr>
                <w:rStyle w:val="ECCParagraph"/>
                <w:noProof/>
              </w:rPr>
            </w:pPr>
          </w:p>
        </w:tc>
      </w:tr>
      <w:tr w:rsidR="000F6E3D" w:rsidRPr="006D6727" w14:paraId="4EC312E1" w14:textId="77777777" w:rsidTr="00031A36">
        <w:trPr>
          <w:trHeight w:val="265"/>
        </w:trPr>
        <w:tc>
          <w:tcPr>
            <w:tcW w:w="1502" w:type="pct"/>
          </w:tcPr>
          <w:p w14:paraId="192038ED" w14:textId="77777777" w:rsidR="000F6E3D" w:rsidRPr="006D6727" w:rsidRDefault="000F6E3D" w:rsidP="00031A36">
            <w:pPr>
              <w:pStyle w:val="ECCTabletext"/>
              <w:jc w:val="left"/>
              <w:rPr>
                <w:rStyle w:val="ECCParagraph"/>
                <w:noProof/>
              </w:rPr>
            </w:pPr>
            <w:r w:rsidRPr="006D6727">
              <w:rPr>
                <w:rStyle w:val="ECCParagraph"/>
                <w:noProof/>
              </w:rPr>
              <w:t>Conducted peak carrier power</w:t>
            </w:r>
          </w:p>
        </w:tc>
        <w:tc>
          <w:tcPr>
            <w:tcW w:w="1145" w:type="pct"/>
          </w:tcPr>
          <w:p w14:paraId="0434A3BC" w14:textId="77777777" w:rsidR="000F6E3D" w:rsidRPr="006D6727" w:rsidRDefault="000F6E3D" w:rsidP="00031A36">
            <w:pPr>
              <w:pStyle w:val="ECCTabletext"/>
              <w:jc w:val="left"/>
              <w:rPr>
                <w:rStyle w:val="ECCParagraph"/>
                <w:noProof/>
              </w:rPr>
            </w:pPr>
            <w:r w:rsidRPr="006D6727">
              <w:rPr>
                <w:rStyle w:val="ECCParagraph"/>
                <w:noProof/>
              </w:rPr>
              <w:t>up to -5 dBm</w:t>
            </w:r>
          </w:p>
        </w:tc>
        <w:tc>
          <w:tcPr>
            <w:tcW w:w="2353" w:type="pct"/>
          </w:tcPr>
          <w:p w14:paraId="727A0948" w14:textId="77777777" w:rsidR="000F6E3D" w:rsidRPr="006D6727" w:rsidRDefault="000F6E3D" w:rsidP="00031A36">
            <w:pPr>
              <w:pStyle w:val="ECCTabletext"/>
              <w:jc w:val="left"/>
              <w:rPr>
                <w:rStyle w:val="ECCParagraph"/>
                <w:noProof/>
              </w:rPr>
            </w:pPr>
            <w:r w:rsidRPr="006D6727">
              <w:rPr>
                <w:rStyle w:val="ECCParagraph"/>
                <w:noProof/>
              </w:rPr>
              <w:t>Maximum peak output power at antenna feeding point</w:t>
            </w:r>
          </w:p>
        </w:tc>
      </w:tr>
      <w:tr w:rsidR="000F6E3D" w:rsidRPr="006D6727" w14:paraId="6062078E" w14:textId="77777777" w:rsidTr="00031A36">
        <w:trPr>
          <w:trHeight w:val="265"/>
        </w:trPr>
        <w:tc>
          <w:tcPr>
            <w:tcW w:w="1502" w:type="pct"/>
          </w:tcPr>
          <w:p w14:paraId="2CB8282B" w14:textId="77777777" w:rsidR="000F6E3D" w:rsidRPr="006D6727" w:rsidRDefault="000F6E3D" w:rsidP="00031A36">
            <w:pPr>
              <w:pStyle w:val="ECCTabletext"/>
              <w:jc w:val="left"/>
              <w:rPr>
                <w:rStyle w:val="ECCParagraph"/>
                <w:noProof/>
              </w:rPr>
            </w:pPr>
            <w:r w:rsidRPr="006D6727">
              <w:rPr>
                <w:rStyle w:val="ECCParagraph"/>
                <w:noProof/>
              </w:rPr>
              <w:t>Conducted mean power</w:t>
            </w:r>
          </w:p>
        </w:tc>
        <w:tc>
          <w:tcPr>
            <w:tcW w:w="1145" w:type="pct"/>
            <w:shd w:val="clear" w:color="auto" w:fill="auto"/>
          </w:tcPr>
          <w:p w14:paraId="2FE9B8B6" w14:textId="77777777" w:rsidR="000F6E3D" w:rsidRPr="006D6727" w:rsidRDefault="000F6E3D" w:rsidP="00031A36">
            <w:pPr>
              <w:pStyle w:val="ECCTabletext"/>
              <w:jc w:val="left"/>
              <w:rPr>
                <w:rStyle w:val="ECCParagraph"/>
                <w:noProof/>
              </w:rPr>
            </w:pPr>
            <w:r w:rsidRPr="006D6727">
              <w:rPr>
                <w:rStyle w:val="ECCParagraph"/>
                <w:noProof/>
              </w:rPr>
              <w:t>-18 dBm</w:t>
            </w:r>
          </w:p>
        </w:tc>
        <w:tc>
          <w:tcPr>
            <w:tcW w:w="2353" w:type="pct"/>
          </w:tcPr>
          <w:p w14:paraId="345FF5B6" w14:textId="77777777" w:rsidR="000F6E3D" w:rsidRPr="006D6727" w:rsidRDefault="000F6E3D" w:rsidP="00031A36">
            <w:pPr>
              <w:pStyle w:val="ECCTabletext"/>
              <w:jc w:val="left"/>
              <w:rPr>
                <w:rStyle w:val="ECCParagraph"/>
                <w:noProof/>
              </w:rPr>
            </w:pPr>
            <w:r w:rsidRPr="006D6727">
              <w:rPr>
                <w:rStyle w:val="ECCParagraph"/>
                <w:noProof/>
              </w:rPr>
              <w:t>with 5% duty cycle and −5 dBm peak carrier power</w:t>
            </w:r>
          </w:p>
        </w:tc>
      </w:tr>
      <w:tr w:rsidR="000F6E3D" w:rsidRPr="006D6727" w14:paraId="15D697A1" w14:textId="77777777" w:rsidTr="00031A36">
        <w:trPr>
          <w:trHeight w:val="265"/>
        </w:trPr>
        <w:tc>
          <w:tcPr>
            <w:tcW w:w="1502" w:type="pct"/>
          </w:tcPr>
          <w:p w14:paraId="2BC8B485" w14:textId="77777777" w:rsidR="000F6E3D" w:rsidRPr="006D6727" w:rsidRDefault="000F6E3D" w:rsidP="00031A36">
            <w:pPr>
              <w:pStyle w:val="ECCTabletext"/>
              <w:jc w:val="left"/>
              <w:rPr>
                <w:rStyle w:val="ECCParagraph"/>
                <w:noProof/>
              </w:rPr>
            </w:pPr>
            <w:r w:rsidRPr="006D6727">
              <w:rPr>
                <w:rStyle w:val="ECCParagraph"/>
                <w:noProof/>
              </w:rPr>
              <w:t xml:space="preserve">Conducted mean power spectral density </w:t>
            </w:r>
          </w:p>
        </w:tc>
        <w:tc>
          <w:tcPr>
            <w:tcW w:w="1145" w:type="pct"/>
          </w:tcPr>
          <w:p w14:paraId="4DC2154D" w14:textId="77777777" w:rsidR="000F6E3D" w:rsidRPr="006D6727" w:rsidRDefault="000F6E3D" w:rsidP="00031A36">
            <w:pPr>
              <w:pStyle w:val="ECCTabletext"/>
              <w:jc w:val="left"/>
              <w:rPr>
                <w:rStyle w:val="ECCParagraph"/>
                <w:noProof/>
              </w:rPr>
            </w:pPr>
            <w:r w:rsidRPr="006D6727">
              <w:rPr>
                <w:rStyle w:val="ECCParagraph"/>
                <w:noProof/>
              </w:rPr>
              <w:t>-59</w:t>
            </w:r>
            <w:r w:rsidR="00CF4994">
              <w:rPr>
                <w:rStyle w:val="ECCParagraph"/>
                <w:noProof/>
              </w:rPr>
              <w:t>.8</w:t>
            </w:r>
            <w:r w:rsidRPr="006D6727">
              <w:rPr>
                <w:rStyle w:val="ECCParagraph"/>
                <w:noProof/>
              </w:rPr>
              <w:t> dBm/MHz</w:t>
            </w:r>
          </w:p>
        </w:tc>
        <w:tc>
          <w:tcPr>
            <w:tcW w:w="2353" w:type="pct"/>
          </w:tcPr>
          <w:p w14:paraId="29B813A6" w14:textId="77777777" w:rsidR="000F6E3D" w:rsidRPr="006D6727" w:rsidRDefault="000F6E3D" w:rsidP="00031A36">
            <w:pPr>
              <w:pStyle w:val="ECCTabletext"/>
              <w:jc w:val="left"/>
              <w:rPr>
                <w:rStyle w:val="ECCParagraph"/>
                <w:noProof/>
              </w:rPr>
            </w:pPr>
            <w:r w:rsidRPr="006D6727">
              <w:rPr>
                <w:rStyle w:val="ECCParagraph"/>
                <w:noProof/>
              </w:rPr>
              <w:t>with 15 GHz modulation bandwidth and −18 dBm mean power</w:t>
            </w:r>
          </w:p>
        </w:tc>
      </w:tr>
      <w:tr w:rsidR="000F6E3D" w:rsidRPr="006D6727" w14:paraId="34B8E90B" w14:textId="77777777" w:rsidTr="00031A36">
        <w:trPr>
          <w:trHeight w:val="265"/>
        </w:trPr>
        <w:tc>
          <w:tcPr>
            <w:tcW w:w="1502" w:type="pct"/>
          </w:tcPr>
          <w:p w14:paraId="6483CA89" w14:textId="77777777" w:rsidR="000F6E3D" w:rsidRPr="006D6727" w:rsidRDefault="000F6E3D" w:rsidP="00031A36">
            <w:pPr>
              <w:pStyle w:val="ECCTablet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145" w:type="pct"/>
          </w:tcPr>
          <w:p w14:paraId="2EFDDBD0" w14:textId="77777777" w:rsidR="000F6E3D" w:rsidRPr="006D6727" w:rsidRDefault="000F6E3D" w:rsidP="00031A36">
            <w:pPr>
              <w:pStyle w:val="ECCTabletext"/>
              <w:jc w:val="left"/>
              <w:rPr>
                <w:rStyle w:val="ECCParagraph"/>
                <w:noProof/>
              </w:rPr>
            </w:pPr>
            <w:r w:rsidRPr="006D6727">
              <w:rPr>
                <w:rStyle w:val="ECCParagraph"/>
                <w:noProof/>
              </w:rPr>
              <w:t>-23</w:t>
            </w:r>
            <w:r w:rsidR="00CF4994">
              <w:rPr>
                <w:rStyle w:val="ECCParagraph"/>
                <w:noProof/>
              </w:rPr>
              <w:t>.8</w:t>
            </w:r>
            <w:r w:rsidRPr="006D6727">
              <w:rPr>
                <w:rStyle w:val="ECCParagraph"/>
                <w:noProof/>
              </w:rPr>
              <w:t> dBm/MHz</w:t>
            </w:r>
          </w:p>
        </w:tc>
        <w:tc>
          <w:tcPr>
            <w:tcW w:w="2353" w:type="pct"/>
          </w:tcPr>
          <w:p w14:paraId="5BE67F92" w14:textId="77777777" w:rsidR="000F6E3D" w:rsidRPr="006D6727" w:rsidRDefault="006848FD" w:rsidP="00031A36">
            <w:pPr>
              <w:pStyle w:val="ECCTabletext"/>
              <w:jc w:val="left"/>
              <w:rPr>
                <w:rStyle w:val="ECCParagraph"/>
                <w:noProof/>
              </w:rPr>
            </w:pPr>
            <w:r w:rsidRPr="006D6727">
              <w:rPr>
                <w:rStyle w:val="ECCParagraph"/>
                <w:noProof/>
              </w:rPr>
              <w:t>calculated with 36 dBi maximum antenna gain</w:t>
            </w:r>
          </w:p>
        </w:tc>
      </w:tr>
    </w:tbl>
    <w:p w14:paraId="34D11F24" w14:textId="77777777" w:rsidR="001E0CE7" w:rsidRPr="006D6727" w:rsidRDefault="001E0CE7" w:rsidP="004E36C2">
      <w:pPr>
        <w:pStyle w:val="Heading4"/>
        <w:rPr>
          <w:noProof/>
        </w:rPr>
      </w:pPr>
      <w:bookmarkStart w:id="137" w:name="_Ref20137901"/>
      <w:bookmarkStart w:id="138" w:name="_Toc84325253"/>
      <w:r w:rsidRPr="006D6727">
        <w:rPr>
          <w:noProof/>
        </w:rPr>
        <w:t>Antenna data</w:t>
      </w:r>
      <w:bookmarkEnd w:id="137"/>
      <w:bookmarkEnd w:id="138"/>
    </w:p>
    <w:p w14:paraId="55A4813E" w14:textId="77777777" w:rsidR="00965693" w:rsidRPr="006D6727" w:rsidRDefault="00965693" w:rsidP="00965693">
      <w:pPr>
        <w:rPr>
          <w:rStyle w:val="ECCParagraph"/>
          <w:noProof/>
        </w:rPr>
      </w:pPr>
      <w:r w:rsidRPr="006D6727">
        <w:rPr>
          <w:noProof/>
        </w:rPr>
        <w:t>Especially for industry automation and industry automation applications in shielded environments often high gain antennas with small pencil beams and compact size are used to illuminate the measurement target with sufficient power to reach a large SNR, even with small radar targets. High gain antennas also limit the risk of interference with other systems because of the small beam width and a well-defined illumination area directed to the measurement target only.</w:t>
      </w:r>
    </w:p>
    <w:p w14:paraId="22FF0735" w14:textId="77777777" w:rsidR="00965693" w:rsidRPr="006D6727" w:rsidRDefault="00965693" w:rsidP="00965693">
      <w:pPr>
        <w:pStyle w:val="ECCFiguregraphcentered"/>
        <w:rPr>
          <w:lang w:val="en-GB"/>
        </w:rPr>
      </w:pPr>
      <w:r w:rsidRPr="006D6727">
        <w:drawing>
          <wp:inline distT="0" distB="0" distL="0" distR="0" wp14:anchorId="680396FB" wp14:editId="6989EBBB">
            <wp:extent cx="3182620" cy="272724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l="17947"/>
                    <a:stretch/>
                  </pic:blipFill>
                  <pic:spPr bwMode="auto">
                    <a:xfrm>
                      <a:off x="0" y="0"/>
                      <a:ext cx="3226166" cy="2764564"/>
                    </a:xfrm>
                    <a:prstGeom prst="rect">
                      <a:avLst/>
                    </a:prstGeom>
                    <a:ln>
                      <a:noFill/>
                    </a:ln>
                    <a:extLst>
                      <a:ext uri="{53640926-AAD7-44D8-BBD7-CCE9431645EC}">
                        <a14:shadowObscured xmlns:a14="http://schemas.microsoft.com/office/drawing/2010/main"/>
                      </a:ext>
                    </a:extLst>
                  </pic:spPr>
                </pic:pic>
              </a:graphicData>
            </a:graphic>
          </wp:inline>
        </w:drawing>
      </w:r>
    </w:p>
    <w:p w14:paraId="2CC4545F" w14:textId="1D9C654D" w:rsidR="00965693" w:rsidRPr="006D6727" w:rsidRDefault="00965693" w:rsidP="00965693">
      <w:pPr>
        <w:pStyle w:val="Caption"/>
        <w:rPr>
          <w:noProof/>
          <w:lang w:val="en-GB"/>
        </w:rPr>
      </w:pPr>
      <w:bookmarkStart w:id="139" w:name="_Ref20138475"/>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F49F9">
        <w:rPr>
          <w:noProof/>
          <w:lang w:val="en-GB"/>
        </w:rPr>
        <w:t>7</w:t>
      </w:r>
      <w:r w:rsidR="0028290E" w:rsidRPr="006D6727">
        <w:rPr>
          <w:noProof/>
          <w:lang w:val="en-GB"/>
        </w:rPr>
        <w:fldChar w:fldCharType="end"/>
      </w:r>
      <w:bookmarkEnd w:id="139"/>
      <w:r w:rsidRPr="006D6727">
        <w:rPr>
          <w:noProof/>
          <w:lang w:val="en-GB"/>
        </w:rPr>
        <w:t xml:space="preserve">: Typical </w:t>
      </w:r>
      <w:r w:rsidR="007C2789" w:rsidRPr="006D6727">
        <w:rPr>
          <w:noProof/>
          <w:lang w:val="en-GB"/>
        </w:rPr>
        <w:t xml:space="preserve">high gain </w:t>
      </w:r>
      <w:r w:rsidRPr="006D6727">
        <w:rPr>
          <w:noProof/>
          <w:lang w:val="en-GB"/>
        </w:rPr>
        <w:t>dielectric UWB antenna</w:t>
      </w:r>
      <w:r w:rsidR="00C01E1E" w:rsidRPr="006D6727">
        <w:rPr>
          <w:noProof/>
          <w:lang w:val="en-GB"/>
        </w:rPr>
        <w:t xml:space="preserve"> for industrial applications</w:t>
      </w:r>
    </w:p>
    <w:p w14:paraId="02E58B5E" w14:textId="0B6C948C" w:rsidR="00965693" w:rsidRPr="006D6727" w:rsidRDefault="00965693" w:rsidP="000748CB">
      <w:pPr>
        <w:rPr>
          <w:noProof/>
        </w:rPr>
      </w:pPr>
      <w:r w:rsidRPr="006D6727">
        <w:rPr>
          <w:noProof/>
        </w:rPr>
        <w:t xml:space="preserve">In </w:t>
      </w:r>
      <w:r w:rsidR="00FE2D9A" w:rsidRPr="006D6727">
        <w:rPr>
          <w:rStyle w:val="ECCHLmagenta"/>
          <w:noProof/>
        </w:rPr>
        <w:fldChar w:fldCharType="begin"/>
      </w:r>
      <w:r w:rsidR="00FE2D9A" w:rsidRPr="006D6727">
        <w:rPr>
          <w:noProof/>
        </w:rPr>
        <w:instrText xml:space="preserve"> REF _Ref20138475 \h </w:instrText>
      </w:r>
      <w:r w:rsidR="00FE2D9A" w:rsidRPr="006D6727">
        <w:rPr>
          <w:rStyle w:val="ECCHLmagenta"/>
          <w:noProof/>
        </w:rPr>
      </w:r>
      <w:r w:rsidR="00FE2D9A" w:rsidRPr="006D6727">
        <w:rPr>
          <w:rStyle w:val="ECCHLmagenta"/>
          <w:noProof/>
        </w:rPr>
        <w:fldChar w:fldCharType="separate"/>
      </w:r>
      <w:r w:rsidR="0041125F" w:rsidRPr="006D6727">
        <w:rPr>
          <w:noProof/>
        </w:rPr>
        <w:t>Figure </w:t>
      </w:r>
      <w:r w:rsidR="0041125F">
        <w:rPr>
          <w:noProof/>
        </w:rPr>
        <w:t>7</w:t>
      </w:r>
      <w:r w:rsidR="00FE2D9A" w:rsidRPr="006D6727">
        <w:rPr>
          <w:rStyle w:val="ECCHLmagenta"/>
          <w:noProof/>
        </w:rPr>
        <w:fldChar w:fldCharType="end"/>
      </w:r>
      <w:r w:rsidRPr="006D6727">
        <w:rPr>
          <w:noProof/>
        </w:rPr>
        <w:t xml:space="preserve"> a model of a typical dielectric antenna is shown. The antenna consists of a ground plane (e.g. one side of the metallic sensor housing). </w:t>
      </w:r>
      <w:r w:rsidRPr="006D6727">
        <w:rPr>
          <w:rStyle w:val="ECCParagraph"/>
          <w:noProof/>
        </w:rPr>
        <w:t>The beam forming element is ellipsoidal shape</w:t>
      </w:r>
      <w:r w:rsidR="000748CB" w:rsidRPr="006D6727">
        <w:rPr>
          <w:rStyle w:val="ECCParagraph"/>
          <w:noProof/>
        </w:rPr>
        <w:t>d</w:t>
      </w:r>
      <w:r w:rsidRPr="006D6727">
        <w:rPr>
          <w:rStyle w:val="ECCParagraph"/>
          <w:noProof/>
        </w:rPr>
        <w:t xml:space="preserve"> with 35</w:t>
      </w:r>
      <w:r w:rsidR="000748CB" w:rsidRPr="006D6727">
        <w:rPr>
          <w:rStyle w:val="ECCParagraph"/>
          <w:noProof/>
        </w:rPr>
        <w:t> </w:t>
      </w:r>
      <w:r w:rsidRPr="006D6727">
        <w:rPr>
          <w:rStyle w:val="ECCParagraph"/>
          <w:noProof/>
        </w:rPr>
        <w:t>mm diameter that is fed in the second focal point.</w:t>
      </w:r>
    </w:p>
    <w:p w14:paraId="3B205A3C" w14:textId="77777777" w:rsidR="000748CB" w:rsidRPr="006D6727" w:rsidRDefault="000748CB" w:rsidP="00C01E1E">
      <w:pPr>
        <w:rPr>
          <w:noProof/>
        </w:rPr>
      </w:pPr>
      <w:r w:rsidRPr="006D6727">
        <w:rPr>
          <w:noProof/>
        </w:rPr>
        <w:t xml:space="preserve">In the model </w:t>
      </w:r>
      <w:r w:rsidR="00965693" w:rsidRPr="006D6727">
        <w:rPr>
          <w:noProof/>
        </w:rPr>
        <w:t xml:space="preserve">PTFE was chosen </w:t>
      </w:r>
      <w:r w:rsidRPr="006D6727">
        <w:rPr>
          <w:noProof/>
        </w:rPr>
        <w:t>for the beam forming element material</w:t>
      </w:r>
      <w:r w:rsidR="00965693" w:rsidRPr="006D6727">
        <w:rPr>
          <w:noProof/>
        </w:rPr>
        <w:t>, but also PEEK, HPDE or other dielectrics are suitable, depending on the application's specific needs. The dielectric antenna has an external thread for assembly with the sensor</w:t>
      </w:r>
      <w:r w:rsidR="00C01E1E" w:rsidRPr="006D6727">
        <w:rPr>
          <w:noProof/>
        </w:rPr>
        <w:t xml:space="preserve"> itself</w:t>
      </w:r>
      <w:r w:rsidR="00965693" w:rsidRPr="006D6727">
        <w:rPr>
          <w:noProof/>
        </w:rPr>
        <w:t xml:space="preserve">. </w:t>
      </w:r>
      <w:r w:rsidRPr="006D6727">
        <w:rPr>
          <w:noProof/>
        </w:rPr>
        <w:t>In this example</w:t>
      </w:r>
      <w:r w:rsidR="00965693" w:rsidRPr="006D6727">
        <w:rPr>
          <w:noProof/>
        </w:rPr>
        <w:t xml:space="preserve">, a standard design was chosen </w:t>
      </w:r>
      <w:r w:rsidRPr="006D6727">
        <w:rPr>
          <w:noProof/>
        </w:rPr>
        <w:t xml:space="preserve">in order </w:t>
      </w:r>
      <w:r w:rsidR="00965693" w:rsidRPr="006D6727">
        <w:rPr>
          <w:noProof/>
        </w:rPr>
        <w:t xml:space="preserve">to assure a good compatibility </w:t>
      </w:r>
      <w:r w:rsidRPr="006D6727">
        <w:rPr>
          <w:noProof/>
        </w:rPr>
        <w:t xml:space="preserve">between </w:t>
      </w:r>
      <w:r w:rsidR="00965693" w:rsidRPr="006D6727">
        <w:rPr>
          <w:noProof/>
        </w:rPr>
        <w:t xml:space="preserve">easy design </w:t>
      </w:r>
      <w:r w:rsidRPr="006D6727">
        <w:rPr>
          <w:noProof/>
        </w:rPr>
        <w:t>and antenna performance</w:t>
      </w:r>
      <w:r w:rsidR="003D3022" w:rsidRPr="006D6727">
        <w:rPr>
          <w:noProof/>
        </w:rPr>
        <w:t xml:space="preserve"> in terms of directivity, HPBW and side lobe suppression</w:t>
      </w:r>
      <w:r w:rsidRPr="006D6727">
        <w:rPr>
          <w:noProof/>
        </w:rPr>
        <w:t>.</w:t>
      </w:r>
    </w:p>
    <w:p w14:paraId="7A7C3E16" w14:textId="77777777" w:rsidR="00CD03F7" w:rsidRDefault="00C01E1E" w:rsidP="00CD03F7">
      <w:pPr>
        <w:pStyle w:val="Caption"/>
        <w:keepLines w:val="0"/>
        <w:widowControl w:val="0"/>
        <w:rPr>
          <w:noProof/>
          <w:lang w:val="en-GB"/>
        </w:rPr>
      </w:pPr>
      <w:r w:rsidRPr="006D6727">
        <w:rPr>
          <w:noProof/>
          <w:lang w:val="de-DE" w:eastAsia="de-DE"/>
        </w:rPr>
        <w:drawing>
          <wp:inline distT="0" distB="0" distL="0" distR="0" wp14:anchorId="378FB6D7" wp14:editId="4BB150F1">
            <wp:extent cx="5335929" cy="3961342"/>
            <wp:effectExtent l="0" t="0" r="0" b="127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421302" cy="4024722"/>
                    </a:xfrm>
                    <a:prstGeom prst="rect">
                      <a:avLst/>
                    </a:prstGeom>
                  </pic:spPr>
                </pic:pic>
              </a:graphicData>
            </a:graphic>
          </wp:inline>
        </w:drawing>
      </w:r>
      <w:bookmarkStart w:id="140" w:name="_Ref20139248"/>
    </w:p>
    <w:p w14:paraId="21CEFDCF" w14:textId="0E483E46" w:rsidR="00C01E1E" w:rsidRPr="006D6727" w:rsidRDefault="00C01E1E" w:rsidP="00CD03F7">
      <w:pPr>
        <w:pStyle w:val="Caption"/>
        <w:keepLines w:val="0"/>
        <w:widowControl w:val="0"/>
        <w:rPr>
          <w:noProof/>
          <w:lang w:val="en-GB"/>
        </w:rPr>
      </w:pPr>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F49F9">
        <w:rPr>
          <w:noProof/>
          <w:lang w:val="en-GB"/>
        </w:rPr>
        <w:t>8</w:t>
      </w:r>
      <w:r w:rsidR="0028290E" w:rsidRPr="006D6727">
        <w:rPr>
          <w:noProof/>
          <w:lang w:val="en-GB"/>
        </w:rPr>
        <w:fldChar w:fldCharType="end"/>
      </w:r>
      <w:bookmarkEnd w:id="140"/>
      <w:r w:rsidRPr="006D6727">
        <w:rPr>
          <w:noProof/>
          <w:lang w:val="en-GB"/>
        </w:rPr>
        <w:t xml:space="preserve">: Antenna </w:t>
      </w:r>
      <w:r w:rsidR="00547A80" w:rsidRPr="006D6727">
        <w:rPr>
          <w:noProof/>
          <w:lang w:val="en-GB"/>
        </w:rPr>
        <w:t>pattern</w:t>
      </w:r>
      <w:r w:rsidRPr="006D6727">
        <w:rPr>
          <w:noProof/>
          <w:lang w:val="en-GB"/>
        </w:rPr>
        <w:t xml:space="preserve"> in </w:t>
      </w:r>
      <w:r w:rsidR="00D51A09" w:rsidRPr="006D6727">
        <w:rPr>
          <w:rFonts w:cs="Arial"/>
          <w:noProof/>
          <w:lang w:val="en-GB"/>
        </w:rPr>
        <w:t>Φ</w:t>
      </w:r>
      <w:r w:rsidRPr="006D6727">
        <w:rPr>
          <w:noProof/>
          <w:lang w:val="en-GB"/>
        </w:rPr>
        <w:t>=0</w:t>
      </w:r>
      <w:r w:rsidR="00D51A09" w:rsidRPr="006D6727">
        <w:rPr>
          <w:noProof/>
          <w:lang w:val="en-GB"/>
        </w:rPr>
        <w:t>°</w:t>
      </w:r>
      <w:r w:rsidRPr="006D6727">
        <w:rPr>
          <w:noProof/>
          <w:lang w:val="en-GB"/>
        </w:rPr>
        <w:t xml:space="preserve"> plane from 116</w:t>
      </w:r>
      <w:r w:rsidR="00547A80" w:rsidRPr="006D6727">
        <w:rPr>
          <w:noProof/>
          <w:lang w:val="en-GB"/>
        </w:rPr>
        <w:t> </w:t>
      </w:r>
      <w:r w:rsidRPr="006D6727">
        <w:rPr>
          <w:noProof/>
          <w:lang w:val="en-GB"/>
        </w:rPr>
        <w:t>GHz to 190</w:t>
      </w:r>
      <w:r w:rsidR="00547A80" w:rsidRPr="006D6727">
        <w:rPr>
          <w:noProof/>
          <w:lang w:val="en-GB"/>
        </w:rPr>
        <w:t> </w:t>
      </w:r>
      <w:r w:rsidRPr="006D6727">
        <w:rPr>
          <w:noProof/>
          <w:lang w:val="en-GB"/>
        </w:rPr>
        <w:t>GHz</w:t>
      </w:r>
      <w:r w:rsidRPr="006D6727">
        <w:rPr>
          <w:noProof/>
          <w:lang w:val="de-DE" w:eastAsia="de-DE"/>
        </w:rPr>
        <w:drawing>
          <wp:inline distT="0" distB="0" distL="0" distR="0" wp14:anchorId="2CC8F9EB" wp14:editId="0B29B443">
            <wp:extent cx="4618299" cy="3428582"/>
            <wp:effectExtent l="0" t="0" r="0" b="635"/>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4625631" cy="3434025"/>
                    </a:xfrm>
                    <a:prstGeom prst="rect">
                      <a:avLst/>
                    </a:prstGeom>
                  </pic:spPr>
                </pic:pic>
              </a:graphicData>
            </a:graphic>
          </wp:inline>
        </w:drawing>
      </w:r>
    </w:p>
    <w:p w14:paraId="1CEBBEAD" w14:textId="4BC35FFE" w:rsidR="00C01E1E" w:rsidRPr="006D6727" w:rsidRDefault="00C01E1E" w:rsidP="00547A80">
      <w:pPr>
        <w:pStyle w:val="Caption"/>
        <w:rPr>
          <w:noProof/>
          <w:lang w:val="en-GB"/>
        </w:rPr>
      </w:pPr>
      <w:bookmarkStart w:id="141" w:name="_Ref20139255"/>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F49F9">
        <w:rPr>
          <w:noProof/>
          <w:lang w:val="en-GB"/>
        </w:rPr>
        <w:t>9</w:t>
      </w:r>
      <w:r w:rsidR="0028290E" w:rsidRPr="006D6727">
        <w:rPr>
          <w:noProof/>
          <w:lang w:val="en-GB"/>
        </w:rPr>
        <w:fldChar w:fldCharType="end"/>
      </w:r>
      <w:bookmarkEnd w:id="141"/>
      <w:r w:rsidRPr="006D6727">
        <w:rPr>
          <w:noProof/>
          <w:lang w:val="en-GB"/>
        </w:rPr>
        <w:t xml:space="preserve">: Antenna </w:t>
      </w:r>
      <w:r w:rsidR="00547A80" w:rsidRPr="006D6727">
        <w:rPr>
          <w:noProof/>
          <w:lang w:val="en-GB"/>
        </w:rPr>
        <w:t>pattern</w:t>
      </w:r>
      <w:r w:rsidRPr="006D6727">
        <w:rPr>
          <w:noProof/>
          <w:lang w:val="en-GB"/>
        </w:rPr>
        <w:t xml:space="preserve"> in </w:t>
      </w:r>
      <w:r w:rsidR="00D51A09" w:rsidRPr="006D6727">
        <w:rPr>
          <w:rFonts w:cs="Arial"/>
          <w:noProof/>
          <w:lang w:val="en-GB"/>
        </w:rPr>
        <w:t>Φ</w:t>
      </w:r>
      <w:r w:rsidRPr="006D6727">
        <w:rPr>
          <w:noProof/>
          <w:lang w:val="en-GB"/>
        </w:rPr>
        <w:t>=90</w:t>
      </w:r>
      <w:r w:rsidR="00D51A09" w:rsidRPr="006D6727">
        <w:rPr>
          <w:noProof/>
          <w:lang w:val="en-GB"/>
        </w:rPr>
        <w:t>°</w:t>
      </w:r>
      <w:r w:rsidRPr="006D6727">
        <w:rPr>
          <w:noProof/>
          <w:lang w:val="en-GB"/>
        </w:rPr>
        <w:t xml:space="preserve"> plane from 116</w:t>
      </w:r>
      <w:r w:rsidR="00547A80" w:rsidRPr="006D6727">
        <w:rPr>
          <w:noProof/>
          <w:lang w:val="en-GB"/>
        </w:rPr>
        <w:t> </w:t>
      </w:r>
      <w:r w:rsidRPr="006D6727">
        <w:rPr>
          <w:noProof/>
          <w:lang w:val="en-GB"/>
        </w:rPr>
        <w:t>GHz to 190</w:t>
      </w:r>
      <w:r w:rsidR="00547A80" w:rsidRPr="006D6727">
        <w:rPr>
          <w:noProof/>
          <w:lang w:val="en-GB"/>
        </w:rPr>
        <w:t> </w:t>
      </w:r>
      <w:r w:rsidRPr="006D6727">
        <w:rPr>
          <w:noProof/>
          <w:lang w:val="en-GB"/>
        </w:rPr>
        <w:t>GHz</w:t>
      </w:r>
    </w:p>
    <w:p w14:paraId="1AFEA979" w14:textId="77777777" w:rsidR="00C01E1E" w:rsidRPr="006D6727" w:rsidRDefault="00C01E1E" w:rsidP="00C01E1E">
      <w:pPr>
        <w:rPr>
          <w:noProof/>
        </w:rPr>
      </w:pPr>
      <w:r w:rsidRPr="006D6727">
        <w:rPr>
          <w:noProof/>
        </w:rPr>
        <w:t xml:space="preserve">For all simulations, </w:t>
      </w:r>
      <w:r w:rsidRPr="006D6727">
        <w:rPr>
          <w:rStyle w:val="ECCParagraph"/>
          <w:noProof/>
        </w:rPr>
        <w:t xml:space="preserve">a state-of-the-art 3D simulation tool </w:t>
      </w:r>
      <w:r w:rsidRPr="006D6727">
        <w:rPr>
          <w:noProof/>
        </w:rPr>
        <w:t>with a time domain solver and a sufficiently fine mesh was used. Experience shows that simulation results usually exhibit a superior agreement with measurements of the real manufactured antennas</w:t>
      </w:r>
      <w:r w:rsidR="003D3022" w:rsidRPr="006D6727">
        <w:rPr>
          <w:noProof/>
        </w:rPr>
        <w:t xml:space="preserve"> even at those high frequencies.</w:t>
      </w:r>
    </w:p>
    <w:p w14:paraId="570ACA73" w14:textId="561F3DEA" w:rsidR="00C01E1E" w:rsidRPr="006D6727" w:rsidRDefault="00C01E1E" w:rsidP="006024A1">
      <w:pPr>
        <w:rPr>
          <w:rStyle w:val="ECCParagraph"/>
          <w:noProof/>
        </w:rPr>
      </w:pPr>
      <w:r w:rsidRPr="006024A1">
        <w:t xml:space="preserve">In </w:t>
      </w:r>
      <w:r w:rsidR="00547A80" w:rsidRPr="006024A1">
        <w:fldChar w:fldCharType="begin"/>
      </w:r>
      <w:r w:rsidR="00547A80" w:rsidRPr="006024A1">
        <w:instrText xml:space="preserve"> REF _Ref20139248 \h </w:instrText>
      </w:r>
      <w:r w:rsidR="006024A1">
        <w:instrText xml:space="preserve"> \* MERGEFORMAT </w:instrText>
      </w:r>
      <w:r w:rsidR="00547A80" w:rsidRPr="006024A1">
        <w:fldChar w:fldCharType="separate"/>
      </w:r>
      <w:r w:rsidR="0041125F" w:rsidRPr="006D6727">
        <w:rPr>
          <w:noProof/>
        </w:rPr>
        <w:t>Figure </w:t>
      </w:r>
      <w:r w:rsidR="0041125F">
        <w:rPr>
          <w:noProof/>
        </w:rPr>
        <w:t>8</w:t>
      </w:r>
      <w:r w:rsidR="00547A80" w:rsidRPr="006024A1">
        <w:fldChar w:fldCharType="end"/>
      </w:r>
      <w:r w:rsidR="00547A80" w:rsidRPr="006D6727">
        <w:rPr>
          <w:noProof/>
        </w:rPr>
        <w:t xml:space="preserve"> </w:t>
      </w:r>
      <w:r w:rsidRPr="006D6727">
        <w:rPr>
          <w:noProof/>
        </w:rPr>
        <w:t xml:space="preserve">and </w:t>
      </w:r>
      <w:r w:rsidR="00547A80" w:rsidRPr="006D6727">
        <w:rPr>
          <w:noProof/>
        </w:rPr>
        <w:fldChar w:fldCharType="begin"/>
      </w:r>
      <w:r w:rsidR="00547A80" w:rsidRPr="006D6727">
        <w:rPr>
          <w:noProof/>
        </w:rPr>
        <w:instrText xml:space="preserve"> REF _Ref20139255 \h </w:instrText>
      </w:r>
      <w:r w:rsidR="00547A80" w:rsidRPr="006D6727">
        <w:rPr>
          <w:noProof/>
        </w:rPr>
      </w:r>
      <w:r w:rsidR="00547A80" w:rsidRPr="006D6727">
        <w:rPr>
          <w:noProof/>
        </w:rPr>
        <w:fldChar w:fldCharType="separate"/>
      </w:r>
      <w:r w:rsidR="0041125F" w:rsidRPr="006D6727">
        <w:rPr>
          <w:noProof/>
        </w:rPr>
        <w:t>Figure </w:t>
      </w:r>
      <w:r w:rsidR="0041125F">
        <w:rPr>
          <w:noProof/>
        </w:rPr>
        <w:t>9</w:t>
      </w:r>
      <w:r w:rsidR="00547A80" w:rsidRPr="006D6727">
        <w:rPr>
          <w:noProof/>
        </w:rPr>
        <w:fldChar w:fldCharType="end"/>
      </w:r>
      <w:r w:rsidR="00C17AC7">
        <w:rPr>
          <w:noProof/>
        </w:rPr>
        <w:t>,</w:t>
      </w:r>
      <w:r w:rsidR="00547A80" w:rsidRPr="006D6727">
        <w:rPr>
          <w:noProof/>
        </w:rPr>
        <w:t xml:space="preserve"> </w:t>
      </w:r>
      <w:r w:rsidRPr="006D6727">
        <w:rPr>
          <w:noProof/>
        </w:rPr>
        <w:t xml:space="preserve">the simulated antenna </w:t>
      </w:r>
      <w:r w:rsidR="00547A80" w:rsidRPr="006D6727">
        <w:rPr>
          <w:noProof/>
        </w:rPr>
        <w:t>patterns</w:t>
      </w:r>
      <w:r w:rsidRPr="006D6727">
        <w:rPr>
          <w:noProof/>
        </w:rPr>
        <w:t xml:space="preserve"> in the two planes for frequencies from 116 GHz to 190 GHz is shown. The antenna gain </w:t>
      </w:r>
      <w:r w:rsidR="00547A80" w:rsidRPr="006D6727">
        <w:rPr>
          <w:noProof/>
        </w:rPr>
        <w:t xml:space="preserve">in main beam direction </w:t>
      </w:r>
      <w:r w:rsidRPr="006D6727">
        <w:rPr>
          <w:noProof/>
        </w:rPr>
        <w:t>varies from around 31</w:t>
      </w:r>
      <w:r w:rsidR="00547A80" w:rsidRPr="006D6727">
        <w:rPr>
          <w:noProof/>
        </w:rPr>
        <w:t> dBi</w:t>
      </w:r>
      <w:r w:rsidRPr="006D6727">
        <w:rPr>
          <w:noProof/>
        </w:rPr>
        <w:t xml:space="preserve"> to 36</w:t>
      </w:r>
      <w:r w:rsidR="00547A80" w:rsidRPr="006D6727">
        <w:rPr>
          <w:noProof/>
        </w:rPr>
        <w:t> </w:t>
      </w:r>
      <w:r w:rsidRPr="006D6727">
        <w:rPr>
          <w:noProof/>
        </w:rPr>
        <w:t>dBi</w:t>
      </w:r>
      <w:r w:rsidR="00547A80" w:rsidRPr="006D6727">
        <w:rPr>
          <w:noProof/>
        </w:rPr>
        <w:t>.</w:t>
      </w:r>
    </w:p>
    <w:p w14:paraId="54057BBD" w14:textId="77777777" w:rsidR="00C01E1E" w:rsidRPr="006D6727" w:rsidRDefault="00C01E1E" w:rsidP="00C01E1E">
      <w:pPr>
        <w:pStyle w:val="ECCFiguregraphcentered"/>
        <w:rPr>
          <w:lang w:val="en-GB"/>
        </w:rPr>
      </w:pPr>
      <w:r w:rsidRPr="006D6727">
        <w:rPr>
          <w:lang w:val="en-GB"/>
        </w:rPr>
        <w:t xml:space="preserve"> </w:t>
      </w:r>
      <w:r w:rsidRPr="006D6727">
        <w:drawing>
          <wp:inline distT="0" distB="0" distL="0" distR="0" wp14:anchorId="6B254027" wp14:editId="1BA5646F">
            <wp:extent cx="4155312" cy="3085628"/>
            <wp:effectExtent l="0" t="0" r="0" b="635"/>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4184928" cy="3107620"/>
                    </a:xfrm>
                    <a:prstGeom prst="rect">
                      <a:avLst/>
                    </a:prstGeom>
                  </pic:spPr>
                </pic:pic>
              </a:graphicData>
            </a:graphic>
          </wp:inline>
        </w:drawing>
      </w:r>
    </w:p>
    <w:p w14:paraId="7168D2F4" w14:textId="72847228" w:rsidR="00C01E1E" w:rsidRPr="006D6727" w:rsidRDefault="00C01E1E" w:rsidP="00C01E1E">
      <w:pPr>
        <w:pStyle w:val="Caption"/>
        <w:rPr>
          <w:noProof/>
          <w:lang w:val="en-GB"/>
        </w:rPr>
      </w:pPr>
      <w:bookmarkStart w:id="142" w:name="_Ref20139462"/>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F49F9">
        <w:rPr>
          <w:noProof/>
          <w:lang w:val="en-GB"/>
        </w:rPr>
        <w:t>10</w:t>
      </w:r>
      <w:r w:rsidR="0028290E" w:rsidRPr="006D6727">
        <w:rPr>
          <w:noProof/>
          <w:lang w:val="en-GB"/>
        </w:rPr>
        <w:fldChar w:fldCharType="end"/>
      </w:r>
      <w:bookmarkEnd w:id="142"/>
      <w:r w:rsidRPr="006D6727">
        <w:rPr>
          <w:noProof/>
          <w:lang w:val="en-GB"/>
        </w:rPr>
        <w:t xml:space="preserve">: Directivity, </w:t>
      </w:r>
      <w:r w:rsidR="00547A80" w:rsidRPr="006D6727">
        <w:rPr>
          <w:noProof/>
          <w:lang w:val="en-GB"/>
        </w:rPr>
        <w:t>HPBW</w:t>
      </w:r>
      <w:r w:rsidRPr="006D6727">
        <w:rPr>
          <w:noProof/>
          <w:lang w:val="en-GB"/>
        </w:rPr>
        <w:t xml:space="preserve"> and side lobe suppression for both planes from 116</w:t>
      </w:r>
      <w:r w:rsidR="00547A80" w:rsidRPr="006D6727">
        <w:rPr>
          <w:noProof/>
          <w:lang w:val="en-GB"/>
        </w:rPr>
        <w:t> </w:t>
      </w:r>
      <w:r w:rsidRPr="006D6727">
        <w:rPr>
          <w:noProof/>
          <w:lang w:val="en-GB"/>
        </w:rPr>
        <w:t>GHz to 190</w:t>
      </w:r>
      <w:r w:rsidR="00547A80" w:rsidRPr="006D6727">
        <w:rPr>
          <w:noProof/>
          <w:lang w:val="en-GB"/>
        </w:rPr>
        <w:t> </w:t>
      </w:r>
      <w:r w:rsidRPr="006D6727">
        <w:rPr>
          <w:noProof/>
          <w:lang w:val="en-GB"/>
        </w:rPr>
        <w:t>GHz</w:t>
      </w:r>
    </w:p>
    <w:p w14:paraId="5D71DDEA" w14:textId="0315D13E" w:rsidR="00C01E1E" w:rsidRPr="006D6727" w:rsidRDefault="00C01E1E" w:rsidP="00C01E1E">
      <w:pPr>
        <w:rPr>
          <w:rStyle w:val="ECCParagraph"/>
          <w:noProof/>
        </w:rPr>
      </w:pPr>
      <w:r w:rsidRPr="006D6727">
        <w:rPr>
          <w:noProof/>
        </w:rPr>
        <w:t xml:space="preserve">The antenna behaviour over frequency is </w:t>
      </w:r>
      <w:r w:rsidR="00547A80" w:rsidRPr="006D6727">
        <w:rPr>
          <w:noProof/>
        </w:rPr>
        <w:t>depicted</w:t>
      </w:r>
      <w:r w:rsidRPr="006D6727">
        <w:rPr>
          <w:noProof/>
        </w:rPr>
        <w:t xml:space="preserve"> in </w:t>
      </w:r>
      <w:r w:rsidR="00547A80" w:rsidRPr="006D6727">
        <w:rPr>
          <w:noProof/>
        </w:rPr>
        <w:fldChar w:fldCharType="begin"/>
      </w:r>
      <w:r w:rsidR="00547A80" w:rsidRPr="006D6727">
        <w:rPr>
          <w:noProof/>
        </w:rPr>
        <w:instrText xml:space="preserve"> REF _Ref20139462 \h </w:instrText>
      </w:r>
      <w:r w:rsidR="00547A80" w:rsidRPr="006D6727">
        <w:rPr>
          <w:noProof/>
        </w:rPr>
      </w:r>
      <w:r w:rsidR="00547A80" w:rsidRPr="006D6727">
        <w:rPr>
          <w:noProof/>
        </w:rPr>
        <w:fldChar w:fldCharType="separate"/>
      </w:r>
      <w:r w:rsidR="0041125F" w:rsidRPr="006D6727">
        <w:rPr>
          <w:noProof/>
        </w:rPr>
        <w:t>Figure </w:t>
      </w:r>
      <w:r w:rsidR="0041125F">
        <w:rPr>
          <w:noProof/>
        </w:rPr>
        <w:t>10</w:t>
      </w:r>
      <w:r w:rsidR="00547A80" w:rsidRPr="006D6727">
        <w:rPr>
          <w:noProof/>
        </w:rPr>
        <w:fldChar w:fldCharType="end"/>
      </w:r>
      <w:r w:rsidR="00547A80" w:rsidRPr="006D6727">
        <w:rPr>
          <w:noProof/>
        </w:rPr>
        <w:t xml:space="preserve"> </w:t>
      </w:r>
      <w:r w:rsidR="006E5889" w:rsidRPr="006D6727">
        <w:rPr>
          <w:noProof/>
        </w:rPr>
        <w:t xml:space="preserve">in terms of </w:t>
      </w:r>
      <w:r w:rsidRPr="006D6727">
        <w:rPr>
          <w:noProof/>
        </w:rPr>
        <w:t xml:space="preserve">directivity, </w:t>
      </w:r>
      <w:r w:rsidR="006E5889" w:rsidRPr="006D6727">
        <w:rPr>
          <w:noProof/>
        </w:rPr>
        <w:t>HPBW (</w:t>
      </w:r>
      <w:r w:rsidRPr="006D6727">
        <w:rPr>
          <w:noProof/>
        </w:rPr>
        <w:t>angular 3</w:t>
      </w:r>
      <w:r w:rsidR="006E5889" w:rsidRPr="006D6727">
        <w:rPr>
          <w:noProof/>
        </w:rPr>
        <w:t> </w:t>
      </w:r>
      <w:r w:rsidRPr="006D6727">
        <w:rPr>
          <w:noProof/>
        </w:rPr>
        <w:t>dB beam width</w:t>
      </w:r>
      <w:r w:rsidR="006E5889" w:rsidRPr="006D6727">
        <w:rPr>
          <w:noProof/>
        </w:rPr>
        <w:t>)</w:t>
      </w:r>
      <w:r w:rsidRPr="006D6727">
        <w:rPr>
          <w:noProof/>
        </w:rPr>
        <w:t xml:space="preserve"> and side lobe suppression in both planes.</w:t>
      </w:r>
    </w:p>
    <w:p w14:paraId="745B3CD6" w14:textId="6DAFB523" w:rsidR="004A4880" w:rsidRPr="006D6727" w:rsidRDefault="004A4880" w:rsidP="004615F1">
      <w:pPr>
        <w:pStyle w:val="Caption"/>
        <w:rPr>
          <w:noProof/>
          <w:lang w:val="en-GB"/>
        </w:rPr>
      </w:pPr>
      <w:r w:rsidRPr="006D6727">
        <w:rPr>
          <w:rStyle w:val="ECCHLyellow"/>
          <w:noProof/>
          <w:szCs w:val="20"/>
          <w:shd w:val="clear" w:color="auto" w:fill="auto"/>
        </w:rPr>
        <w:t>Table</w:t>
      </w:r>
      <w:r w:rsidR="00722C1B" w:rsidRPr="006D6727">
        <w:rPr>
          <w:rStyle w:val="ECCHLyellow"/>
          <w:noProof/>
          <w:szCs w:val="20"/>
          <w:shd w:val="clear" w:color="auto" w:fill="auto"/>
        </w:rPr>
        <w:t> </w:t>
      </w:r>
      <w:r w:rsidR="009A00CF" w:rsidRPr="006D6727">
        <w:rPr>
          <w:rStyle w:val="ECCHLyellow"/>
          <w:noProof/>
          <w:szCs w:val="20"/>
          <w:shd w:val="clear" w:color="auto" w:fill="auto"/>
        </w:rPr>
        <w:fldChar w:fldCharType="begin"/>
      </w:r>
      <w:r w:rsidR="009A00CF" w:rsidRPr="006D6727">
        <w:rPr>
          <w:rStyle w:val="ECCHLyellow"/>
          <w:noProof/>
          <w:szCs w:val="20"/>
          <w:shd w:val="clear" w:color="auto" w:fill="auto"/>
        </w:rPr>
        <w:instrText xml:space="preserve"> SEQ Table \* ARABIC </w:instrText>
      </w:r>
      <w:r w:rsidR="009A00CF" w:rsidRPr="006D6727">
        <w:rPr>
          <w:rStyle w:val="ECCHLyellow"/>
          <w:noProof/>
          <w:szCs w:val="20"/>
          <w:shd w:val="clear" w:color="auto" w:fill="auto"/>
        </w:rPr>
        <w:fldChar w:fldCharType="separate"/>
      </w:r>
      <w:r w:rsidR="004F49F9">
        <w:rPr>
          <w:rStyle w:val="ECCHLyellow"/>
          <w:noProof/>
          <w:szCs w:val="20"/>
          <w:shd w:val="clear" w:color="auto" w:fill="auto"/>
        </w:rPr>
        <w:t>16</w:t>
      </w:r>
      <w:r w:rsidR="009A00CF" w:rsidRPr="006D6727">
        <w:rPr>
          <w:rStyle w:val="ECCHLyellow"/>
          <w:noProof/>
          <w:szCs w:val="20"/>
          <w:shd w:val="clear" w:color="auto" w:fill="auto"/>
        </w:rPr>
        <w:fldChar w:fldCharType="end"/>
      </w:r>
      <w:r w:rsidRPr="006D6727">
        <w:rPr>
          <w:noProof/>
          <w:lang w:val="en-GB"/>
        </w:rPr>
        <w:t xml:space="preserve">: </w:t>
      </w:r>
      <w:r w:rsidRPr="006D6727">
        <w:rPr>
          <w:rStyle w:val="ECCParagraph"/>
          <w:rFonts w:eastAsia="Calibri"/>
          <w:noProof/>
        </w:rPr>
        <w:t>Antenna parameters for RDI devices</w:t>
      </w:r>
    </w:p>
    <w:tbl>
      <w:tblPr>
        <w:tblStyle w:val="ECCTable-redheader"/>
        <w:tblW w:w="5000" w:type="pct"/>
        <w:tblInd w:w="0" w:type="dxa"/>
        <w:tblLook w:val="04A0" w:firstRow="1" w:lastRow="0" w:firstColumn="1" w:lastColumn="0" w:noHBand="0" w:noVBand="1"/>
      </w:tblPr>
      <w:tblGrid>
        <w:gridCol w:w="2995"/>
        <w:gridCol w:w="3684"/>
        <w:gridCol w:w="2950"/>
      </w:tblGrid>
      <w:tr w:rsidR="00B70CCB" w:rsidRPr="006D6727" w14:paraId="083A99CB" w14:textId="77777777" w:rsidTr="00F22FC9">
        <w:trPr>
          <w:cnfStyle w:val="100000000000" w:firstRow="1" w:lastRow="0" w:firstColumn="0" w:lastColumn="0" w:oddVBand="0" w:evenVBand="0" w:oddHBand="0" w:evenHBand="0" w:firstRowFirstColumn="0" w:firstRowLastColumn="0" w:lastRowFirstColumn="0" w:lastRowLastColumn="0"/>
          <w:trHeight w:val="265"/>
        </w:trPr>
        <w:tc>
          <w:tcPr>
            <w:tcW w:w="1555" w:type="pct"/>
          </w:tcPr>
          <w:p w14:paraId="6B39CDFC" w14:textId="77777777" w:rsidR="00B70CCB" w:rsidRPr="006D6727" w:rsidRDefault="00B70CCB" w:rsidP="003A4EB9">
            <w:pPr>
              <w:pStyle w:val="ECCTabletext"/>
              <w:jc w:val="left"/>
              <w:rPr>
                <w:rStyle w:val="ECCParagraph"/>
                <w:noProof/>
              </w:rPr>
            </w:pPr>
            <w:r w:rsidRPr="006D6727">
              <w:rPr>
                <w:rStyle w:val="ECCParagraph"/>
                <w:noProof/>
              </w:rPr>
              <w:t>Parameter</w:t>
            </w:r>
          </w:p>
        </w:tc>
        <w:tc>
          <w:tcPr>
            <w:tcW w:w="1913" w:type="pct"/>
          </w:tcPr>
          <w:p w14:paraId="23A01A49" w14:textId="77777777" w:rsidR="00B70CCB" w:rsidRPr="006D6727" w:rsidRDefault="00B70CCB" w:rsidP="003A4EB9">
            <w:pPr>
              <w:pStyle w:val="ECCTabletext"/>
              <w:jc w:val="left"/>
              <w:rPr>
                <w:rStyle w:val="ECCParagraph"/>
                <w:noProof/>
              </w:rPr>
            </w:pPr>
            <w:r w:rsidRPr="006D6727">
              <w:rPr>
                <w:rStyle w:val="ECCParagraph"/>
                <w:noProof/>
              </w:rPr>
              <w:t>Value</w:t>
            </w:r>
          </w:p>
        </w:tc>
        <w:tc>
          <w:tcPr>
            <w:tcW w:w="1532" w:type="pct"/>
          </w:tcPr>
          <w:p w14:paraId="501D1EFC" w14:textId="77777777" w:rsidR="00B70CCB" w:rsidRPr="006D6727" w:rsidRDefault="00B70CCB" w:rsidP="003A4EB9">
            <w:pPr>
              <w:pStyle w:val="ECCTabletext"/>
              <w:jc w:val="left"/>
              <w:rPr>
                <w:rStyle w:val="ECCParagraph"/>
                <w:noProof/>
              </w:rPr>
            </w:pPr>
            <w:r w:rsidRPr="006D6727">
              <w:rPr>
                <w:rStyle w:val="ECCParagraph"/>
                <w:noProof/>
              </w:rPr>
              <w:t>Notes</w:t>
            </w:r>
          </w:p>
        </w:tc>
      </w:tr>
      <w:tr w:rsidR="00B70CCB" w:rsidRPr="006D6727" w14:paraId="06B1F2DB" w14:textId="77777777" w:rsidTr="00F22FC9">
        <w:trPr>
          <w:trHeight w:val="265"/>
        </w:trPr>
        <w:tc>
          <w:tcPr>
            <w:tcW w:w="1555" w:type="pct"/>
          </w:tcPr>
          <w:p w14:paraId="4B2AB7F8" w14:textId="77777777" w:rsidR="00B70CCB" w:rsidRPr="006D6727" w:rsidRDefault="00B70CCB" w:rsidP="003A4EB9">
            <w:pPr>
              <w:pStyle w:val="ECCTabletext"/>
              <w:jc w:val="left"/>
              <w:rPr>
                <w:rStyle w:val="ECCParagraph"/>
                <w:noProof/>
              </w:rPr>
            </w:pPr>
            <w:r w:rsidRPr="006D6727">
              <w:rPr>
                <w:rStyle w:val="ECCParagraph"/>
                <w:noProof/>
              </w:rPr>
              <w:t>Antenna type</w:t>
            </w:r>
          </w:p>
        </w:tc>
        <w:tc>
          <w:tcPr>
            <w:tcW w:w="1913" w:type="pct"/>
          </w:tcPr>
          <w:p w14:paraId="40E079EA" w14:textId="77777777" w:rsidR="00B70CCB" w:rsidRPr="006D6727" w:rsidRDefault="00B70CCB" w:rsidP="003A4EB9">
            <w:pPr>
              <w:pStyle w:val="ECCTabletext"/>
              <w:jc w:val="left"/>
              <w:rPr>
                <w:rStyle w:val="ECCParagraph"/>
                <w:noProof/>
              </w:rPr>
            </w:pPr>
            <w:r w:rsidRPr="006D6727">
              <w:rPr>
                <w:rStyle w:val="ECCParagraph"/>
                <w:noProof/>
              </w:rPr>
              <w:t>horn- and lens-horn antennas, dielectric lens antennas, planar antenna arrays or similar</w:t>
            </w:r>
            <w:r w:rsidR="004A4880" w:rsidRPr="006D6727">
              <w:rPr>
                <w:rStyle w:val="ECCParagraph"/>
                <w:noProof/>
              </w:rPr>
              <w:t xml:space="preserve"> structures</w:t>
            </w:r>
          </w:p>
        </w:tc>
        <w:tc>
          <w:tcPr>
            <w:tcW w:w="1532" w:type="pct"/>
          </w:tcPr>
          <w:p w14:paraId="7EB1D128" w14:textId="77777777" w:rsidR="00B70CCB" w:rsidRPr="006D6727" w:rsidRDefault="00B70CCB" w:rsidP="003A4EB9">
            <w:pPr>
              <w:pStyle w:val="ECCTabletext"/>
              <w:jc w:val="left"/>
              <w:rPr>
                <w:rStyle w:val="ECCParagraph"/>
                <w:noProof/>
              </w:rPr>
            </w:pPr>
            <w:r w:rsidRPr="006D6727">
              <w:rPr>
                <w:rStyle w:val="ECCParagraph"/>
                <w:noProof/>
              </w:rPr>
              <w:t>application dependent</w:t>
            </w:r>
          </w:p>
        </w:tc>
      </w:tr>
      <w:tr w:rsidR="00B70CCB" w:rsidRPr="006D6727" w14:paraId="1F3CB376" w14:textId="77777777" w:rsidTr="00F22FC9">
        <w:trPr>
          <w:trHeight w:val="265"/>
        </w:trPr>
        <w:tc>
          <w:tcPr>
            <w:tcW w:w="1555" w:type="pct"/>
          </w:tcPr>
          <w:p w14:paraId="73BE70D4" w14:textId="77777777" w:rsidR="00B70CCB" w:rsidRPr="006D6727" w:rsidRDefault="00B70CCB" w:rsidP="003A4EB9">
            <w:pPr>
              <w:pStyle w:val="ECCTabletext"/>
              <w:jc w:val="left"/>
              <w:rPr>
                <w:rStyle w:val="ECCParagraph"/>
                <w:noProof/>
              </w:rPr>
            </w:pPr>
            <w:r w:rsidRPr="006D6727">
              <w:rPr>
                <w:rStyle w:val="ECCParagraph"/>
                <w:noProof/>
              </w:rPr>
              <w:t>Antenna half power beam-width</w:t>
            </w:r>
          </w:p>
        </w:tc>
        <w:tc>
          <w:tcPr>
            <w:tcW w:w="1913" w:type="pct"/>
          </w:tcPr>
          <w:p w14:paraId="6BFB7AD6" w14:textId="77777777" w:rsidR="00B70CCB" w:rsidRPr="006D6727" w:rsidRDefault="00B70CCB" w:rsidP="003A4EB9">
            <w:pPr>
              <w:pStyle w:val="ECCTabletext"/>
              <w:jc w:val="left"/>
              <w:rPr>
                <w:rStyle w:val="ECCHLyellow"/>
                <w:noProof/>
                <w:shd w:val="clear" w:color="auto" w:fill="auto"/>
              </w:rPr>
            </w:pPr>
            <w:r w:rsidRPr="006D6727">
              <w:rPr>
                <w:rStyle w:val="ECCHLyellow"/>
                <w:noProof/>
                <w:shd w:val="clear" w:color="auto" w:fill="auto"/>
              </w:rPr>
              <w:t>between 2</w:t>
            </w:r>
            <w:r w:rsidR="00CF4994">
              <w:rPr>
                <w:rStyle w:val="ECCHLyellow"/>
                <w:noProof/>
                <w:shd w:val="clear" w:color="auto" w:fill="auto"/>
              </w:rPr>
              <w:t>.3</w:t>
            </w:r>
            <w:r w:rsidRPr="006D6727">
              <w:rPr>
                <w:rStyle w:val="ECCHLyellow"/>
                <w:noProof/>
                <w:shd w:val="clear" w:color="auto" w:fill="auto"/>
              </w:rPr>
              <w:t>° and 3</w:t>
            </w:r>
            <w:r w:rsidR="00CF4994">
              <w:rPr>
                <w:rStyle w:val="ECCHLyellow"/>
                <w:noProof/>
                <w:shd w:val="clear" w:color="auto" w:fill="auto"/>
              </w:rPr>
              <w:t>.9</w:t>
            </w:r>
            <w:r w:rsidRPr="006D6727">
              <w:rPr>
                <w:rStyle w:val="ECCHLyellow"/>
                <w:noProof/>
                <w:shd w:val="clear" w:color="auto" w:fill="auto"/>
              </w:rPr>
              <w:t>°</w:t>
            </w:r>
          </w:p>
        </w:tc>
        <w:tc>
          <w:tcPr>
            <w:tcW w:w="1532" w:type="pct"/>
            <w:vMerge w:val="restart"/>
          </w:tcPr>
          <w:p w14:paraId="29A44D78" w14:textId="77777777" w:rsidR="00B70CCB" w:rsidRPr="006D6727" w:rsidRDefault="00B70CCB" w:rsidP="003A4EB9">
            <w:pPr>
              <w:pStyle w:val="ECCTabletext"/>
              <w:jc w:val="left"/>
              <w:rPr>
                <w:rStyle w:val="ECCParagraph"/>
                <w:noProof/>
              </w:rPr>
            </w:pPr>
            <w:r w:rsidRPr="006D6727">
              <w:rPr>
                <w:rStyle w:val="ECCParagraph"/>
                <w:noProof/>
              </w:rPr>
              <w:t>depends on individual antenna type/between open waveguide and high-gain antenna</w:t>
            </w:r>
          </w:p>
        </w:tc>
      </w:tr>
      <w:tr w:rsidR="00B70CCB" w:rsidRPr="006D6727" w14:paraId="333B835A" w14:textId="77777777" w:rsidTr="00F22FC9">
        <w:trPr>
          <w:trHeight w:val="265"/>
        </w:trPr>
        <w:tc>
          <w:tcPr>
            <w:tcW w:w="1555" w:type="pct"/>
          </w:tcPr>
          <w:p w14:paraId="76BD788D" w14:textId="77777777" w:rsidR="00B70CCB" w:rsidRPr="006D6727" w:rsidRDefault="00B70CCB" w:rsidP="003A4EB9">
            <w:pPr>
              <w:pStyle w:val="ECCTabletext"/>
              <w:jc w:val="left"/>
              <w:rPr>
                <w:rStyle w:val="ECCParagraph"/>
                <w:noProof/>
              </w:rPr>
            </w:pPr>
            <w:r w:rsidRPr="006D6727">
              <w:rPr>
                <w:rStyle w:val="ECCParagraph"/>
                <w:noProof/>
              </w:rPr>
              <w:t>Antenna gain</w:t>
            </w:r>
          </w:p>
        </w:tc>
        <w:tc>
          <w:tcPr>
            <w:tcW w:w="1913" w:type="pct"/>
          </w:tcPr>
          <w:p w14:paraId="5DC6AC63" w14:textId="77777777" w:rsidR="00B70CCB" w:rsidRPr="006D6727" w:rsidRDefault="007B05AA" w:rsidP="003A4EB9">
            <w:pPr>
              <w:pStyle w:val="ECCTabletext"/>
              <w:jc w:val="left"/>
              <w:rPr>
                <w:rStyle w:val="ECCParagraph"/>
                <w:noProof/>
              </w:rPr>
            </w:pPr>
            <w:r w:rsidRPr="006D6727">
              <w:rPr>
                <w:rStyle w:val="ECCParagraph"/>
                <w:noProof/>
              </w:rPr>
              <w:t>typically,</w:t>
            </w:r>
            <w:r w:rsidR="00B70CCB" w:rsidRPr="006D6727">
              <w:rPr>
                <w:rStyle w:val="ECCParagraph"/>
                <w:noProof/>
              </w:rPr>
              <w:t xml:space="preserve"> 6 to 36 dBi</w:t>
            </w:r>
          </w:p>
        </w:tc>
        <w:tc>
          <w:tcPr>
            <w:tcW w:w="1532" w:type="pct"/>
            <w:vMerge/>
          </w:tcPr>
          <w:p w14:paraId="29D032D9" w14:textId="77777777" w:rsidR="00B70CCB" w:rsidRPr="006D6727" w:rsidRDefault="00B70CCB" w:rsidP="00B70CCB">
            <w:pPr>
              <w:pStyle w:val="ECCTabletext"/>
              <w:rPr>
                <w:rStyle w:val="ECCHLyellow"/>
                <w:noProof/>
              </w:rPr>
            </w:pPr>
          </w:p>
        </w:tc>
      </w:tr>
      <w:tr w:rsidR="00B70CCB" w:rsidRPr="006D6727" w14:paraId="1CD05BEC" w14:textId="77777777" w:rsidTr="00F22FC9">
        <w:trPr>
          <w:trHeight w:val="265"/>
        </w:trPr>
        <w:tc>
          <w:tcPr>
            <w:tcW w:w="1555" w:type="pct"/>
          </w:tcPr>
          <w:p w14:paraId="0D2AE957" w14:textId="77777777" w:rsidR="00B70CCB" w:rsidRPr="006D6727" w:rsidRDefault="00B70CCB" w:rsidP="003A4EB9">
            <w:pPr>
              <w:pStyle w:val="ECCTabletext"/>
              <w:jc w:val="left"/>
              <w:rPr>
                <w:rStyle w:val="ECCParagraph"/>
                <w:noProof/>
              </w:rPr>
            </w:pPr>
            <w:r w:rsidRPr="006D6727">
              <w:rPr>
                <w:rStyle w:val="ECCParagraph"/>
                <w:noProof/>
              </w:rPr>
              <w:t>Antenna polarisation</w:t>
            </w:r>
          </w:p>
        </w:tc>
        <w:tc>
          <w:tcPr>
            <w:tcW w:w="1913" w:type="pct"/>
          </w:tcPr>
          <w:p w14:paraId="424679AF" w14:textId="77777777" w:rsidR="00B70CCB" w:rsidRPr="006D6727" w:rsidRDefault="00B70CCB" w:rsidP="003A4EB9">
            <w:pPr>
              <w:pStyle w:val="ECCTabletext"/>
              <w:jc w:val="left"/>
              <w:rPr>
                <w:rStyle w:val="ECCParagraph"/>
                <w:noProof/>
              </w:rPr>
            </w:pPr>
            <w:r w:rsidRPr="006D6727">
              <w:rPr>
                <w:rStyle w:val="ECCParagraph"/>
                <w:noProof/>
              </w:rPr>
              <w:t>Linear or circular</w:t>
            </w:r>
          </w:p>
        </w:tc>
        <w:tc>
          <w:tcPr>
            <w:tcW w:w="1532" w:type="pct"/>
            <w:vMerge/>
          </w:tcPr>
          <w:p w14:paraId="24B70891" w14:textId="77777777" w:rsidR="00B70CCB" w:rsidRPr="006D6727" w:rsidRDefault="00B70CCB" w:rsidP="00B70CCB">
            <w:pPr>
              <w:pStyle w:val="ECCTabletext"/>
              <w:rPr>
                <w:rStyle w:val="ECCHLyellow"/>
                <w:noProof/>
              </w:rPr>
            </w:pPr>
          </w:p>
        </w:tc>
      </w:tr>
    </w:tbl>
    <w:p w14:paraId="00633DE3" w14:textId="77777777" w:rsidR="00995788" w:rsidRPr="006D6727" w:rsidRDefault="00995788" w:rsidP="004E36C2">
      <w:pPr>
        <w:pStyle w:val="Heading4"/>
        <w:rPr>
          <w:noProof/>
        </w:rPr>
      </w:pPr>
      <w:bookmarkStart w:id="143" w:name="_Toc84325254"/>
      <w:r w:rsidRPr="006D6727">
        <w:rPr>
          <w:noProof/>
        </w:rPr>
        <w:t>Market size</w:t>
      </w:r>
      <w:bookmarkEnd w:id="143"/>
    </w:p>
    <w:p w14:paraId="7A49D613" w14:textId="79D55A8A" w:rsidR="00A90F22" w:rsidRPr="006D6727" w:rsidRDefault="00EF7334" w:rsidP="003A4EB9">
      <w:pPr>
        <w:pStyle w:val="ECCTabletext"/>
        <w:jc w:val="left"/>
        <w:rPr>
          <w:rStyle w:val="ECCHLyellow"/>
          <w:noProof/>
        </w:rPr>
      </w:pPr>
      <w:r w:rsidRPr="006D6727">
        <w:rPr>
          <w:rStyle w:val="ECCHLyellow"/>
          <w:noProof/>
        </w:rPr>
        <w:fldChar w:fldCharType="begin"/>
      </w:r>
      <w:r w:rsidRPr="006D6727">
        <w:rPr>
          <w:rStyle w:val="ECCParagraph"/>
          <w:noProof/>
        </w:rPr>
        <w:instrText xml:space="preserve"> REF _Ref27406659 \h </w:instrText>
      </w:r>
      <w:r w:rsidRPr="006D6727">
        <w:rPr>
          <w:rStyle w:val="ECCHLyellow"/>
          <w:noProof/>
        </w:rPr>
      </w:r>
      <w:r w:rsidRPr="006D6727">
        <w:rPr>
          <w:rStyle w:val="ECCHLyellow"/>
          <w:noProof/>
        </w:rPr>
        <w:fldChar w:fldCharType="separate"/>
      </w:r>
      <w:r w:rsidR="0041125F" w:rsidRPr="006D6727">
        <w:rPr>
          <w:rStyle w:val="ECCParagraph"/>
          <w:noProof/>
        </w:rPr>
        <w:t>Table </w:t>
      </w:r>
      <w:r w:rsidR="0041125F">
        <w:rPr>
          <w:rStyle w:val="ECCParagraph"/>
          <w:noProof/>
        </w:rPr>
        <w:t>17</w:t>
      </w:r>
      <w:r w:rsidRPr="006D6727">
        <w:rPr>
          <w:rStyle w:val="ECCHLyellow"/>
          <w:noProof/>
        </w:rPr>
        <w:fldChar w:fldCharType="end"/>
      </w:r>
      <w:r w:rsidRPr="006D6727">
        <w:rPr>
          <w:rStyle w:val="ECCParagraph"/>
          <w:noProof/>
        </w:rPr>
        <w:t xml:space="preserve"> </w:t>
      </w:r>
      <w:r w:rsidR="00A90F22" w:rsidRPr="006D6727">
        <w:rPr>
          <w:rStyle w:val="ECCParagraph"/>
          <w:noProof/>
        </w:rPr>
        <w:t>shows the estimated market size</w:t>
      </w:r>
      <w:r w:rsidR="00A90F22" w:rsidRPr="006D6727">
        <w:rPr>
          <w:rStyle w:val="FootnoteReference"/>
          <w:noProof/>
        </w:rPr>
        <w:footnoteReference w:id="3"/>
      </w:r>
      <w:r w:rsidR="00A90F22" w:rsidRPr="006D6727">
        <w:rPr>
          <w:rStyle w:val="ECCParagraph"/>
          <w:noProof/>
        </w:rPr>
        <w:t xml:space="preserve"> for RDI devices in open air applications throughout Europe subdivided for all proposed frequency bands 116−130 GHz, 134−141 GHz, 174</w:t>
      </w:r>
      <w:r w:rsidR="00CF4994">
        <w:rPr>
          <w:rStyle w:val="ECCParagraph"/>
          <w:noProof/>
        </w:rPr>
        <w:t>.8</w:t>
      </w:r>
      <w:r w:rsidR="00A90F22" w:rsidRPr="006D6727">
        <w:rPr>
          <w:rStyle w:val="ECCParagraph"/>
          <w:noProof/>
        </w:rPr>
        <w:t>−182 GHz, 185−190 GHz and 231</w:t>
      </w:r>
      <w:r w:rsidR="00CF4994">
        <w:rPr>
          <w:rStyle w:val="ECCParagraph"/>
          <w:noProof/>
        </w:rPr>
        <w:t>.5</w:t>
      </w:r>
      <w:r w:rsidR="00A90F22" w:rsidRPr="006D6727">
        <w:rPr>
          <w:rStyle w:val="ECCParagraph"/>
          <w:noProof/>
        </w:rPr>
        <w:t xml:space="preserve">−250 GHz. This rather rough estimation also considers a considerable growth within the first five years after market launch. </w:t>
      </w:r>
      <w:r w:rsidR="00A90F22" w:rsidRPr="006D6727">
        <w:rPr>
          <w:noProof/>
        </w:rPr>
        <w:t>Given the European land area of 10</w:t>
      </w:r>
      <w:r w:rsidR="00CF4994">
        <w:t>5</w:t>
      </w:r>
      <w:r w:rsidR="00A90F22" w:rsidRPr="006D6727">
        <w:rPr>
          <w:noProof/>
        </w:rPr>
        <w:t>23</w:t>
      </w:r>
      <w:r w:rsidR="00CF4994">
        <w:rPr>
          <w:noProof/>
        </w:rPr>
        <w:t>000</w:t>
      </w:r>
      <w:r w:rsidR="00A90F22" w:rsidRPr="006D6727">
        <w:rPr>
          <w:noProof/>
        </w:rPr>
        <w:t xml:space="preserve"> km², </w:t>
      </w:r>
      <w:r w:rsidR="00A90F22" w:rsidRPr="006D6727">
        <w:rPr>
          <w:rStyle w:val="ECCParagraph"/>
          <w:noProof/>
        </w:rPr>
        <w:t>this translates to the average density of 0</w:t>
      </w:r>
      <w:r w:rsidR="00CF4994">
        <w:rPr>
          <w:rStyle w:val="ECCParagraph"/>
          <w:noProof/>
        </w:rPr>
        <w:t>.0</w:t>
      </w:r>
      <w:r w:rsidR="00A90F22" w:rsidRPr="006D6727">
        <w:rPr>
          <w:rStyle w:val="ECCParagraph"/>
          <w:noProof/>
        </w:rPr>
        <w:t>152 RDI devices/km² in the band 116-130 GHz, 0</w:t>
      </w:r>
      <w:r w:rsidR="00CF4994">
        <w:rPr>
          <w:rStyle w:val="ECCParagraph"/>
          <w:noProof/>
        </w:rPr>
        <w:t>.0</w:t>
      </w:r>
      <w:r w:rsidR="00A90F22" w:rsidRPr="006D6727">
        <w:rPr>
          <w:rStyle w:val="ECCParagraph"/>
          <w:noProof/>
        </w:rPr>
        <w:t>076 devices/km² in the bands 134-141 GHz and 174</w:t>
      </w:r>
      <w:r w:rsidR="00CF4994">
        <w:rPr>
          <w:rStyle w:val="ECCParagraph"/>
          <w:noProof/>
        </w:rPr>
        <w:t>.8</w:t>
      </w:r>
      <w:r w:rsidR="00A90F22" w:rsidRPr="006D6727">
        <w:rPr>
          <w:rStyle w:val="ECCParagraph"/>
          <w:noProof/>
        </w:rPr>
        <w:t>-182 GHz and 0</w:t>
      </w:r>
      <w:r w:rsidR="00CF4994">
        <w:rPr>
          <w:rStyle w:val="ECCParagraph"/>
          <w:noProof/>
        </w:rPr>
        <w:t>.0</w:t>
      </w:r>
      <w:r w:rsidR="00A90F22" w:rsidRPr="006D6727">
        <w:rPr>
          <w:rStyle w:val="ECCParagraph"/>
          <w:noProof/>
        </w:rPr>
        <w:t>038 devices/km² in the bands 185-190 GHz and 231</w:t>
      </w:r>
      <w:r w:rsidR="00CF4994">
        <w:rPr>
          <w:rStyle w:val="ECCParagraph"/>
          <w:noProof/>
        </w:rPr>
        <w:t>.5</w:t>
      </w:r>
      <w:r w:rsidR="00A90F22" w:rsidRPr="006D6727">
        <w:rPr>
          <w:rStyle w:val="ECCParagraph"/>
          <w:noProof/>
        </w:rPr>
        <w:t>-250 GHz.</w:t>
      </w:r>
    </w:p>
    <w:p w14:paraId="7DA681F9" w14:textId="7FB24052" w:rsidR="00A90F22" w:rsidRPr="006D6727" w:rsidRDefault="00A90F22" w:rsidP="00A90F22">
      <w:pPr>
        <w:pStyle w:val="Caption"/>
        <w:rPr>
          <w:rStyle w:val="ECCParagraph"/>
          <w:rFonts w:eastAsia="Calibri"/>
          <w:noProof/>
        </w:rPr>
      </w:pPr>
      <w:bookmarkStart w:id="144" w:name="_Ref27406659"/>
      <w:r w:rsidRPr="006D6727">
        <w:rPr>
          <w:rStyle w:val="ECCParagraph"/>
          <w:noProof/>
        </w:rPr>
        <w:t>Table </w:t>
      </w:r>
      <w:r w:rsidRPr="006D6727">
        <w:rPr>
          <w:rStyle w:val="ECCParagraph"/>
          <w:noProof/>
        </w:rPr>
        <w:fldChar w:fldCharType="begin"/>
      </w:r>
      <w:r w:rsidRPr="006D6727">
        <w:rPr>
          <w:rStyle w:val="ECCParagraph"/>
          <w:noProof/>
        </w:rPr>
        <w:instrText xml:space="preserve"> SEQ Table \* ARABIC </w:instrText>
      </w:r>
      <w:r w:rsidRPr="006D6727">
        <w:rPr>
          <w:rStyle w:val="ECCParagraph"/>
          <w:noProof/>
        </w:rPr>
        <w:fldChar w:fldCharType="separate"/>
      </w:r>
      <w:r w:rsidR="004F49F9">
        <w:rPr>
          <w:rStyle w:val="ECCParagraph"/>
          <w:noProof/>
        </w:rPr>
        <w:t>17</w:t>
      </w:r>
      <w:r w:rsidRPr="006D6727">
        <w:rPr>
          <w:rStyle w:val="ECCParagraph"/>
          <w:noProof/>
        </w:rPr>
        <w:fldChar w:fldCharType="end"/>
      </w:r>
      <w:bookmarkEnd w:id="144"/>
      <w:r w:rsidRPr="006D6727">
        <w:rPr>
          <w:rStyle w:val="ECCParagraph"/>
          <w:noProof/>
        </w:rPr>
        <w:t>:</w:t>
      </w:r>
      <w:r w:rsidRPr="006D6727">
        <w:rPr>
          <w:noProof/>
          <w:lang w:val="en-GB"/>
        </w:rPr>
        <w:t xml:space="preserve"> </w:t>
      </w:r>
      <w:r w:rsidRPr="006D6727">
        <w:rPr>
          <w:rStyle w:val="ECCParagraph"/>
          <w:rFonts w:eastAsia="Calibri"/>
          <w:noProof/>
        </w:rPr>
        <w:t>Estimated sales figures and device densities of RDI devices</w:t>
      </w:r>
    </w:p>
    <w:tbl>
      <w:tblPr>
        <w:tblStyle w:val="ECCTable-redheader"/>
        <w:tblW w:w="5000" w:type="pct"/>
        <w:tblInd w:w="0" w:type="dxa"/>
        <w:tblLook w:val="04A0" w:firstRow="1" w:lastRow="0" w:firstColumn="1" w:lastColumn="0" w:noHBand="0" w:noVBand="1"/>
      </w:tblPr>
      <w:tblGrid>
        <w:gridCol w:w="6657"/>
        <w:gridCol w:w="2972"/>
      </w:tblGrid>
      <w:tr w:rsidR="00A90F22" w:rsidRPr="006D6727" w14:paraId="40C4A2CB" w14:textId="77777777" w:rsidTr="000541D1">
        <w:trPr>
          <w:cnfStyle w:val="100000000000" w:firstRow="1" w:lastRow="0" w:firstColumn="0" w:lastColumn="0" w:oddVBand="0" w:evenVBand="0" w:oddHBand="0" w:evenHBand="0" w:firstRowFirstColumn="0" w:firstRowLastColumn="0" w:lastRowFirstColumn="0" w:lastRowLastColumn="0"/>
        </w:trPr>
        <w:tc>
          <w:tcPr>
            <w:tcW w:w="3457" w:type="pct"/>
          </w:tcPr>
          <w:p w14:paraId="77D52B69" w14:textId="77777777" w:rsidR="00A90F22" w:rsidRPr="006D6727" w:rsidRDefault="00A90F22" w:rsidP="00031A36">
            <w:pPr>
              <w:pStyle w:val="ECCTableHeaderwhitefont"/>
              <w:rPr>
                <w:noProof/>
              </w:rPr>
            </w:pPr>
            <w:r w:rsidRPr="006D6727">
              <w:rPr>
                <w:noProof/>
              </w:rPr>
              <w:t>Parameter</w:t>
            </w:r>
          </w:p>
        </w:tc>
        <w:tc>
          <w:tcPr>
            <w:tcW w:w="1543" w:type="pct"/>
          </w:tcPr>
          <w:p w14:paraId="47EF4205" w14:textId="77777777" w:rsidR="00A90F22" w:rsidRPr="006D6727" w:rsidRDefault="00A90F22" w:rsidP="003A4EB9">
            <w:pPr>
              <w:pStyle w:val="ECCTableHeaderwhitefont"/>
              <w:rPr>
                <w:noProof/>
              </w:rPr>
            </w:pPr>
            <w:r w:rsidRPr="006D6727">
              <w:rPr>
                <w:noProof/>
              </w:rPr>
              <w:t>Value</w:t>
            </w:r>
          </w:p>
        </w:tc>
      </w:tr>
      <w:tr w:rsidR="00A90F22" w:rsidRPr="006D6727" w14:paraId="5B0EA6D7" w14:textId="77777777" w:rsidTr="000541D1">
        <w:trPr>
          <w:trHeight w:val="265"/>
        </w:trPr>
        <w:tc>
          <w:tcPr>
            <w:tcW w:w="3457" w:type="pct"/>
          </w:tcPr>
          <w:p w14:paraId="52A60B94" w14:textId="77777777" w:rsidR="00A90F22" w:rsidRPr="006D6727" w:rsidRDefault="00A90F22" w:rsidP="00410DCC">
            <w:pPr>
              <w:pStyle w:val="ECCTabletext"/>
              <w:spacing w:before="60"/>
              <w:jc w:val="left"/>
              <w:rPr>
                <w:noProof/>
              </w:rPr>
            </w:pPr>
            <w:r w:rsidRPr="006D6727">
              <w:rPr>
                <w:noProof/>
              </w:rPr>
              <w:t>Worldwide accumulated number of RDI devices in the field 5 years after launch in all proposed frequency ranges</w:t>
            </w:r>
          </w:p>
        </w:tc>
        <w:tc>
          <w:tcPr>
            <w:tcW w:w="1543" w:type="pct"/>
          </w:tcPr>
          <w:p w14:paraId="471711B2" w14:textId="140EDED2" w:rsidR="00A90F22" w:rsidRPr="00E33A4E" w:rsidRDefault="00A90F22" w:rsidP="00410DCC">
            <w:pPr>
              <w:pStyle w:val="ECCTabletext"/>
              <w:spacing w:before="60"/>
              <w:jc w:val="left"/>
              <w:rPr>
                <w:noProof/>
              </w:rPr>
            </w:pPr>
            <w:r w:rsidRPr="00E33A4E">
              <w:rPr>
                <w:noProof/>
              </w:rPr>
              <w:t>1</w:t>
            </w:r>
            <w:r w:rsidR="00CF4994" w:rsidRPr="00E33A4E">
              <w:rPr>
                <w:noProof/>
              </w:rPr>
              <w:t>000000</w:t>
            </w:r>
          </w:p>
        </w:tc>
      </w:tr>
      <w:tr w:rsidR="00A90F22" w:rsidRPr="006D6727" w14:paraId="6BA592DA" w14:textId="77777777" w:rsidTr="000541D1">
        <w:trPr>
          <w:trHeight w:val="265"/>
        </w:trPr>
        <w:tc>
          <w:tcPr>
            <w:tcW w:w="3457" w:type="pct"/>
          </w:tcPr>
          <w:p w14:paraId="5C236364" w14:textId="77777777" w:rsidR="00A90F22" w:rsidRPr="006D6727" w:rsidRDefault="00A90F22" w:rsidP="00410DCC">
            <w:pPr>
              <w:pStyle w:val="ECCTabletext"/>
              <w:spacing w:before="60"/>
              <w:jc w:val="left"/>
              <w:rPr>
                <w:noProof/>
              </w:rPr>
            </w:pPr>
            <w:r w:rsidRPr="006D6727">
              <w:rPr>
                <w:noProof/>
              </w:rPr>
              <w:t>Fraction of devices sold for the European market in all bands</w:t>
            </w:r>
          </w:p>
        </w:tc>
        <w:tc>
          <w:tcPr>
            <w:tcW w:w="1543" w:type="pct"/>
          </w:tcPr>
          <w:p w14:paraId="54A8D2A3" w14:textId="1986ED58" w:rsidR="00A90F22" w:rsidRPr="00E33A4E" w:rsidRDefault="00A90F22" w:rsidP="00410DCC">
            <w:pPr>
              <w:pStyle w:val="ECCTabletext"/>
              <w:spacing w:before="60"/>
              <w:jc w:val="left"/>
              <w:rPr>
                <w:noProof/>
              </w:rPr>
            </w:pPr>
            <w:r w:rsidRPr="00E33A4E">
              <w:rPr>
                <w:noProof/>
              </w:rPr>
              <w:t>40%</w:t>
            </w:r>
          </w:p>
        </w:tc>
      </w:tr>
      <w:tr w:rsidR="00A90F22" w:rsidRPr="006D6727" w14:paraId="4F73457B" w14:textId="77777777" w:rsidTr="000541D1">
        <w:trPr>
          <w:trHeight w:val="265"/>
        </w:trPr>
        <w:tc>
          <w:tcPr>
            <w:tcW w:w="3457" w:type="pct"/>
          </w:tcPr>
          <w:p w14:paraId="49FF94A7" w14:textId="77777777" w:rsidR="00A90F22" w:rsidRPr="006D6727" w:rsidRDefault="00A90F22" w:rsidP="00410DCC">
            <w:pPr>
              <w:pStyle w:val="ECCTabletext"/>
              <w:spacing w:before="60"/>
              <w:jc w:val="left"/>
              <w:rPr>
                <w:noProof/>
                <w:highlight w:val="yellow"/>
              </w:rPr>
            </w:pPr>
            <w:r w:rsidRPr="006D6727">
              <w:rPr>
                <w:noProof/>
              </w:rPr>
              <w:t xml:space="preserve">Fraction of </w:t>
            </w:r>
            <w:r w:rsidR="00DD7858">
              <w:t>RDI</w:t>
            </w:r>
            <w:r w:rsidR="00DD7858" w:rsidRPr="006D6727">
              <w:rPr>
                <w:noProof/>
              </w:rPr>
              <w:t xml:space="preserve"> </w:t>
            </w:r>
            <w:r w:rsidRPr="006D6727">
              <w:rPr>
                <w:noProof/>
              </w:rPr>
              <w:t>devices sold in the band 116-130 GHz</w:t>
            </w:r>
          </w:p>
        </w:tc>
        <w:tc>
          <w:tcPr>
            <w:tcW w:w="1543" w:type="pct"/>
          </w:tcPr>
          <w:p w14:paraId="6CF6B464" w14:textId="684BFCA6" w:rsidR="00A90F22" w:rsidRPr="00E33A4E" w:rsidRDefault="00A90F22" w:rsidP="00410DCC">
            <w:pPr>
              <w:pStyle w:val="ECCTabletext"/>
              <w:spacing w:before="60"/>
              <w:jc w:val="left"/>
              <w:rPr>
                <w:noProof/>
              </w:rPr>
            </w:pPr>
            <w:r w:rsidRPr="00E33A4E">
              <w:rPr>
                <w:noProof/>
              </w:rPr>
              <w:t>40%</w:t>
            </w:r>
          </w:p>
        </w:tc>
      </w:tr>
      <w:tr w:rsidR="00A90F22" w:rsidRPr="006D6727" w14:paraId="2CE018D7" w14:textId="77777777" w:rsidTr="000541D1">
        <w:trPr>
          <w:trHeight w:val="265"/>
        </w:trPr>
        <w:tc>
          <w:tcPr>
            <w:tcW w:w="3457" w:type="pct"/>
          </w:tcPr>
          <w:p w14:paraId="143D61EB" w14:textId="0011C70B" w:rsidR="00A90F22" w:rsidRPr="006D6727" w:rsidRDefault="00A90F22" w:rsidP="00410DCC">
            <w:pPr>
              <w:pStyle w:val="ECCTabletext"/>
              <w:spacing w:before="60"/>
              <w:jc w:val="left"/>
              <w:rPr>
                <w:noProof/>
              </w:rPr>
            </w:pPr>
            <w:r w:rsidRPr="006D6727">
              <w:rPr>
                <w:noProof/>
              </w:rPr>
              <w:t xml:space="preserve">Fraction of </w:t>
            </w:r>
            <w:r w:rsidR="00DD7858">
              <w:t>RDI</w:t>
            </w:r>
            <w:r w:rsidR="00DD7858" w:rsidRPr="006D6727">
              <w:rPr>
                <w:noProof/>
              </w:rPr>
              <w:t xml:space="preserve"> </w:t>
            </w:r>
            <w:r w:rsidRPr="006D6727">
              <w:rPr>
                <w:noProof/>
              </w:rPr>
              <w:t xml:space="preserve">devices sold in the band </w:t>
            </w:r>
            <w:r w:rsidRPr="006D6727">
              <w:rPr>
                <w:rStyle w:val="ECCParagraph"/>
                <w:noProof/>
              </w:rPr>
              <w:t>134−141 GHz</w:t>
            </w:r>
          </w:p>
        </w:tc>
        <w:tc>
          <w:tcPr>
            <w:tcW w:w="1543" w:type="pct"/>
          </w:tcPr>
          <w:p w14:paraId="11E22CDF" w14:textId="46285ABB" w:rsidR="00A90F22" w:rsidRPr="00E33A4E" w:rsidRDefault="00A90F22" w:rsidP="00410DCC">
            <w:pPr>
              <w:pStyle w:val="ECCTabletext"/>
              <w:spacing w:before="60"/>
              <w:jc w:val="left"/>
              <w:rPr>
                <w:noProof/>
              </w:rPr>
            </w:pPr>
            <w:r w:rsidRPr="00E33A4E">
              <w:rPr>
                <w:noProof/>
              </w:rPr>
              <w:t>20%</w:t>
            </w:r>
          </w:p>
        </w:tc>
      </w:tr>
      <w:tr w:rsidR="00A90F22" w:rsidRPr="006D6727" w14:paraId="33B78395" w14:textId="77777777" w:rsidTr="000541D1">
        <w:trPr>
          <w:trHeight w:val="265"/>
        </w:trPr>
        <w:tc>
          <w:tcPr>
            <w:tcW w:w="3457" w:type="pct"/>
          </w:tcPr>
          <w:p w14:paraId="2C25C1EE" w14:textId="450D9BC8" w:rsidR="00A90F22" w:rsidRPr="006D6727" w:rsidRDefault="00A90F22" w:rsidP="00410DCC">
            <w:pPr>
              <w:pStyle w:val="ECCTabletext"/>
              <w:spacing w:before="60"/>
              <w:jc w:val="left"/>
              <w:rPr>
                <w:noProof/>
              </w:rPr>
            </w:pPr>
            <w:r w:rsidRPr="006D6727">
              <w:rPr>
                <w:noProof/>
              </w:rPr>
              <w:t xml:space="preserve">Fraction of </w:t>
            </w:r>
            <w:r w:rsidR="00DD7858">
              <w:t>RDI</w:t>
            </w:r>
            <w:r w:rsidR="00DD7858" w:rsidRPr="006D6727">
              <w:rPr>
                <w:noProof/>
              </w:rPr>
              <w:t xml:space="preserve"> </w:t>
            </w:r>
            <w:r w:rsidRPr="006D6727">
              <w:rPr>
                <w:noProof/>
              </w:rPr>
              <w:t xml:space="preserve">devices sold in the band </w:t>
            </w:r>
            <w:r w:rsidRPr="006D6727">
              <w:rPr>
                <w:rStyle w:val="ECCParagraph"/>
                <w:noProof/>
              </w:rPr>
              <w:t>174</w:t>
            </w:r>
            <w:r w:rsidR="00CF4994">
              <w:rPr>
                <w:rStyle w:val="ECCParagraph"/>
                <w:noProof/>
              </w:rPr>
              <w:t>.8</w:t>
            </w:r>
            <w:r w:rsidRPr="006D6727">
              <w:rPr>
                <w:rStyle w:val="ECCParagraph"/>
                <w:noProof/>
              </w:rPr>
              <w:t>−182 GHz</w:t>
            </w:r>
          </w:p>
        </w:tc>
        <w:tc>
          <w:tcPr>
            <w:tcW w:w="1543" w:type="pct"/>
          </w:tcPr>
          <w:p w14:paraId="3F8D886D" w14:textId="152D8F9A" w:rsidR="00A90F22" w:rsidRPr="00E33A4E" w:rsidRDefault="00A90F22" w:rsidP="00410DCC">
            <w:pPr>
              <w:pStyle w:val="ECCTabletext"/>
              <w:spacing w:before="60"/>
              <w:jc w:val="left"/>
              <w:rPr>
                <w:noProof/>
              </w:rPr>
            </w:pPr>
            <w:r w:rsidRPr="00E33A4E">
              <w:rPr>
                <w:noProof/>
              </w:rPr>
              <w:t>20%</w:t>
            </w:r>
          </w:p>
        </w:tc>
      </w:tr>
      <w:tr w:rsidR="00A90F22" w:rsidRPr="006D6727" w14:paraId="6E63AB0D" w14:textId="77777777" w:rsidTr="000541D1">
        <w:trPr>
          <w:trHeight w:val="265"/>
        </w:trPr>
        <w:tc>
          <w:tcPr>
            <w:tcW w:w="3457" w:type="pct"/>
          </w:tcPr>
          <w:p w14:paraId="223FB7A2" w14:textId="77777777" w:rsidR="00A90F22" w:rsidRPr="006D6727" w:rsidRDefault="00A90F22" w:rsidP="00410DCC">
            <w:pPr>
              <w:pStyle w:val="ECCTabletext"/>
              <w:spacing w:before="60"/>
              <w:jc w:val="left"/>
              <w:rPr>
                <w:noProof/>
              </w:rPr>
            </w:pPr>
            <w:r w:rsidRPr="006D6727">
              <w:rPr>
                <w:noProof/>
              </w:rPr>
              <w:t xml:space="preserve">Fraction of </w:t>
            </w:r>
            <w:r w:rsidR="00DD7858">
              <w:t>RDI</w:t>
            </w:r>
            <w:r w:rsidR="00DD7858" w:rsidRPr="006D6727">
              <w:rPr>
                <w:noProof/>
              </w:rPr>
              <w:t xml:space="preserve"> </w:t>
            </w:r>
            <w:r w:rsidRPr="006D6727">
              <w:rPr>
                <w:noProof/>
              </w:rPr>
              <w:t>devices sold in the band 185-190 GHz</w:t>
            </w:r>
          </w:p>
        </w:tc>
        <w:tc>
          <w:tcPr>
            <w:tcW w:w="1543" w:type="pct"/>
          </w:tcPr>
          <w:p w14:paraId="017486CA" w14:textId="0FEACE5B" w:rsidR="00A90F22" w:rsidRPr="00E33A4E" w:rsidRDefault="00A90F22" w:rsidP="00410DCC">
            <w:pPr>
              <w:pStyle w:val="ECCTabletext"/>
              <w:spacing w:before="60"/>
              <w:jc w:val="left"/>
              <w:rPr>
                <w:noProof/>
              </w:rPr>
            </w:pPr>
            <w:r w:rsidRPr="00E33A4E">
              <w:rPr>
                <w:noProof/>
              </w:rPr>
              <w:t>10%</w:t>
            </w:r>
          </w:p>
        </w:tc>
      </w:tr>
      <w:tr w:rsidR="00A90F22" w:rsidRPr="006D6727" w14:paraId="6A3B9556" w14:textId="77777777" w:rsidTr="000541D1">
        <w:trPr>
          <w:trHeight w:val="265"/>
        </w:trPr>
        <w:tc>
          <w:tcPr>
            <w:tcW w:w="3457" w:type="pct"/>
          </w:tcPr>
          <w:p w14:paraId="00A6105B" w14:textId="77777777" w:rsidR="00A90F22" w:rsidRPr="006D6727" w:rsidRDefault="00A90F22" w:rsidP="00410DCC">
            <w:pPr>
              <w:pStyle w:val="ECCTabletext"/>
              <w:spacing w:before="60"/>
              <w:jc w:val="left"/>
              <w:rPr>
                <w:noProof/>
              </w:rPr>
            </w:pPr>
            <w:r w:rsidRPr="006D6727">
              <w:rPr>
                <w:noProof/>
              </w:rPr>
              <w:t xml:space="preserve">Fraction of </w:t>
            </w:r>
            <w:r w:rsidR="00DD7858">
              <w:t>RDI</w:t>
            </w:r>
            <w:r w:rsidR="00DD7858" w:rsidRPr="006D6727">
              <w:rPr>
                <w:noProof/>
              </w:rPr>
              <w:t xml:space="preserve"> </w:t>
            </w:r>
            <w:r w:rsidRPr="006D6727">
              <w:rPr>
                <w:noProof/>
              </w:rPr>
              <w:t>devices sold in the band 231</w:t>
            </w:r>
            <w:r w:rsidR="00CF4994">
              <w:rPr>
                <w:noProof/>
              </w:rPr>
              <w:t>.5</w:t>
            </w:r>
            <w:r w:rsidRPr="006D6727">
              <w:rPr>
                <w:noProof/>
              </w:rPr>
              <w:t>-250 GHz</w:t>
            </w:r>
          </w:p>
        </w:tc>
        <w:tc>
          <w:tcPr>
            <w:tcW w:w="1543" w:type="pct"/>
          </w:tcPr>
          <w:p w14:paraId="7DCE3105" w14:textId="3DFB3082" w:rsidR="00A90F22" w:rsidRPr="00E33A4E" w:rsidRDefault="00A90F22" w:rsidP="00410DCC">
            <w:pPr>
              <w:pStyle w:val="ECCTabletext"/>
              <w:spacing w:before="60"/>
              <w:jc w:val="left"/>
              <w:rPr>
                <w:noProof/>
              </w:rPr>
            </w:pPr>
            <w:r w:rsidRPr="00E33A4E">
              <w:rPr>
                <w:noProof/>
              </w:rPr>
              <w:t>10%</w:t>
            </w:r>
          </w:p>
        </w:tc>
      </w:tr>
      <w:tr w:rsidR="00A90F22" w:rsidRPr="006D6727" w14:paraId="2B145E5E" w14:textId="77777777" w:rsidTr="000541D1">
        <w:trPr>
          <w:trHeight w:val="265"/>
        </w:trPr>
        <w:tc>
          <w:tcPr>
            <w:tcW w:w="3457" w:type="pct"/>
          </w:tcPr>
          <w:p w14:paraId="0ADCE7AD" w14:textId="77777777" w:rsidR="00A90F22" w:rsidRPr="006D6727" w:rsidRDefault="00A90F22" w:rsidP="00410DCC">
            <w:pPr>
              <w:pStyle w:val="ECCTabletext"/>
              <w:spacing w:before="60"/>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116-130 GHz</w:t>
            </w:r>
          </w:p>
        </w:tc>
        <w:tc>
          <w:tcPr>
            <w:tcW w:w="1543" w:type="pct"/>
          </w:tcPr>
          <w:p w14:paraId="57B08CBF" w14:textId="6880AE96" w:rsidR="00A90F22" w:rsidRPr="00E33A4E" w:rsidDel="00D723DF" w:rsidRDefault="00A90F22" w:rsidP="00410DCC">
            <w:pPr>
              <w:pStyle w:val="ECCTabletext"/>
              <w:spacing w:before="60"/>
              <w:jc w:val="left"/>
              <w:rPr>
                <w:noProof/>
              </w:rPr>
            </w:pPr>
            <w:r w:rsidRPr="00E33A4E">
              <w:rPr>
                <w:noProof/>
              </w:rPr>
              <w:t>160</w:t>
            </w:r>
            <w:r w:rsidR="00CF4994" w:rsidRPr="00E33A4E">
              <w:rPr>
                <w:noProof/>
              </w:rPr>
              <w:t>000</w:t>
            </w:r>
          </w:p>
        </w:tc>
      </w:tr>
      <w:tr w:rsidR="00A90F22" w:rsidRPr="006D6727" w14:paraId="19546E79" w14:textId="77777777" w:rsidTr="000541D1">
        <w:trPr>
          <w:trHeight w:val="265"/>
        </w:trPr>
        <w:tc>
          <w:tcPr>
            <w:tcW w:w="3457" w:type="pct"/>
          </w:tcPr>
          <w:p w14:paraId="477513F7" w14:textId="77777777" w:rsidR="00A90F22" w:rsidRPr="006D6727" w:rsidRDefault="00A90F22" w:rsidP="00410DCC">
            <w:pPr>
              <w:pStyle w:val="ECCTabletext"/>
              <w:spacing w:before="60"/>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134-141 GHz</w:t>
            </w:r>
          </w:p>
        </w:tc>
        <w:tc>
          <w:tcPr>
            <w:tcW w:w="1543" w:type="pct"/>
          </w:tcPr>
          <w:p w14:paraId="718BC012" w14:textId="2BB695A6" w:rsidR="00A90F22" w:rsidRPr="00E33A4E" w:rsidRDefault="00A90F22" w:rsidP="00410DCC">
            <w:pPr>
              <w:pStyle w:val="ECCTabletext"/>
              <w:spacing w:before="60"/>
              <w:jc w:val="left"/>
              <w:rPr>
                <w:noProof/>
              </w:rPr>
            </w:pPr>
            <w:r w:rsidRPr="00E33A4E">
              <w:rPr>
                <w:noProof/>
              </w:rPr>
              <w:t>80</w:t>
            </w:r>
            <w:r w:rsidR="00CF4994" w:rsidRPr="00E33A4E">
              <w:rPr>
                <w:noProof/>
              </w:rPr>
              <w:t>000</w:t>
            </w:r>
          </w:p>
        </w:tc>
      </w:tr>
      <w:tr w:rsidR="00A90F22" w:rsidRPr="006D6727" w14:paraId="69A0E188" w14:textId="77777777" w:rsidTr="000541D1">
        <w:trPr>
          <w:trHeight w:val="265"/>
        </w:trPr>
        <w:tc>
          <w:tcPr>
            <w:tcW w:w="3457" w:type="pct"/>
          </w:tcPr>
          <w:p w14:paraId="571EDC37" w14:textId="77777777" w:rsidR="00A90F22" w:rsidRPr="006D6727" w:rsidRDefault="00A90F22" w:rsidP="00410DCC">
            <w:pPr>
              <w:pStyle w:val="ECCTabletext"/>
              <w:spacing w:before="60"/>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174</w:t>
            </w:r>
            <w:r w:rsidR="00CF4994">
              <w:rPr>
                <w:noProof/>
              </w:rPr>
              <w:t>.8</w:t>
            </w:r>
            <w:r w:rsidRPr="006D6727">
              <w:rPr>
                <w:noProof/>
              </w:rPr>
              <w:t>-182 GHz</w:t>
            </w:r>
          </w:p>
        </w:tc>
        <w:tc>
          <w:tcPr>
            <w:tcW w:w="1543" w:type="pct"/>
          </w:tcPr>
          <w:p w14:paraId="55F31607" w14:textId="1697BD07" w:rsidR="00A90F22" w:rsidRPr="00E33A4E" w:rsidRDefault="00A90F22" w:rsidP="00410DCC">
            <w:pPr>
              <w:pStyle w:val="ECCTabletext"/>
              <w:spacing w:before="60"/>
              <w:jc w:val="left"/>
              <w:rPr>
                <w:noProof/>
              </w:rPr>
            </w:pPr>
            <w:r w:rsidRPr="00E33A4E">
              <w:rPr>
                <w:noProof/>
              </w:rPr>
              <w:t>80</w:t>
            </w:r>
            <w:r w:rsidR="00CF4994" w:rsidRPr="00E33A4E">
              <w:rPr>
                <w:noProof/>
              </w:rPr>
              <w:t>000</w:t>
            </w:r>
          </w:p>
        </w:tc>
      </w:tr>
      <w:tr w:rsidR="00A90F22" w:rsidRPr="006D6727" w14:paraId="703059CE" w14:textId="77777777" w:rsidTr="000541D1">
        <w:trPr>
          <w:trHeight w:val="265"/>
        </w:trPr>
        <w:tc>
          <w:tcPr>
            <w:tcW w:w="3457" w:type="pct"/>
          </w:tcPr>
          <w:p w14:paraId="5BF91A30" w14:textId="77777777" w:rsidR="00A90F22" w:rsidRPr="006D6727" w:rsidRDefault="00A90F22" w:rsidP="00410DCC">
            <w:pPr>
              <w:pStyle w:val="ECCTabletext"/>
              <w:spacing w:before="60"/>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185-190 GHz</w:t>
            </w:r>
          </w:p>
        </w:tc>
        <w:tc>
          <w:tcPr>
            <w:tcW w:w="1543" w:type="pct"/>
          </w:tcPr>
          <w:p w14:paraId="7E6E7FF8" w14:textId="563B601A" w:rsidR="00A90F22" w:rsidRPr="00E33A4E" w:rsidRDefault="00A90F22" w:rsidP="00410DCC">
            <w:pPr>
              <w:pStyle w:val="ECCTabletext"/>
              <w:spacing w:before="60"/>
              <w:jc w:val="left"/>
              <w:rPr>
                <w:noProof/>
              </w:rPr>
            </w:pPr>
            <w:r w:rsidRPr="00E33A4E">
              <w:rPr>
                <w:noProof/>
              </w:rPr>
              <w:t>40</w:t>
            </w:r>
            <w:r w:rsidR="00CF4994" w:rsidRPr="00E33A4E">
              <w:rPr>
                <w:noProof/>
              </w:rPr>
              <w:t>000</w:t>
            </w:r>
          </w:p>
        </w:tc>
      </w:tr>
      <w:tr w:rsidR="00A90F22" w:rsidRPr="006D6727" w14:paraId="0C7E239A" w14:textId="77777777" w:rsidTr="000541D1">
        <w:trPr>
          <w:trHeight w:val="265"/>
        </w:trPr>
        <w:tc>
          <w:tcPr>
            <w:tcW w:w="3457" w:type="pct"/>
          </w:tcPr>
          <w:p w14:paraId="09F238D6" w14:textId="77777777" w:rsidR="00A90F22" w:rsidRPr="006D6727" w:rsidRDefault="00A90F22" w:rsidP="00410DCC">
            <w:pPr>
              <w:pStyle w:val="ECCTabletext"/>
              <w:spacing w:before="60"/>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231</w:t>
            </w:r>
            <w:r w:rsidR="00CF4994">
              <w:rPr>
                <w:noProof/>
              </w:rPr>
              <w:t>.5</w:t>
            </w:r>
            <w:r w:rsidRPr="006D6727">
              <w:rPr>
                <w:noProof/>
              </w:rPr>
              <w:t>-250 GHz</w:t>
            </w:r>
          </w:p>
        </w:tc>
        <w:tc>
          <w:tcPr>
            <w:tcW w:w="1543" w:type="pct"/>
          </w:tcPr>
          <w:p w14:paraId="2C7B2D1B" w14:textId="3EE2A5E1" w:rsidR="00A90F22" w:rsidRPr="00E33A4E" w:rsidRDefault="00A90F22" w:rsidP="00410DCC">
            <w:pPr>
              <w:pStyle w:val="ECCTabletext"/>
              <w:spacing w:before="60"/>
              <w:jc w:val="left"/>
              <w:rPr>
                <w:noProof/>
              </w:rPr>
            </w:pPr>
            <w:r w:rsidRPr="00E33A4E">
              <w:rPr>
                <w:noProof/>
              </w:rPr>
              <w:t>40</w:t>
            </w:r>
            <w:r w:rsidR="00CF4994" w:rsidRPr="00E33A4E">
              <w:rPr>
                <w:noProof/>
              </w:rPr>
              <w:t>000</w:t>
            </w:r>
          </w:p>
        </w:tc>
      </w:tr>
      <w:tr w:rsidR="00A90F22" w:rsidRPr="006D6727" w14:paraId="79CB0BA4" w14:textId="77777777" w:rsidTr="000541D1">
        <w:trPr>
          <w:trHeight w:val="265"/>
        </w:trPr>
        <w:tc>
          <w:tcPr>
            <w:tcW w:w="3457" w:type="pct"/>
          </w:tcPr>
          <w:p w14:paraId="5E2886A9" w14:textId="77777777" w:rsidR="00A90F22" w:rsidRPr="006D6727" w:rsidRDefault="00A90F22" w:rsidP="00410DCC">
            <w:pPr>
              <w:pStyle w:val="ECCTabletext"/>
              <w:spacing w:before="60"/>
              <w:jc w:val="left"/>
              <w:rPr>
                <w:noProof/>
              </w:rPr>
            </w:pPr>
            <w:r w:rsidRPr="006D6727">
              <w:rPr>
                <w:noProof/>
              </w:rPr>
              <w:t>European land area</w:t>
            </w:r>
          </w:p>
        </w:tc>
        <w:tc>
          <w:tcPr>
            <w:tcW w:w="1543" w:type="pct"/>
          </w:tcPr>
          <w:p w14:paraId="53C2F8AE" w14:textId="3207E892" w:rsidR="00A90F22" w:rsidRPr="00E33A4E" w:rsidRDefault="00A90F22" w:rsidP="00410DCC">
            <w:pPr>
              <w:pStyle w:val="ECCTabletext"/>
              <w:spacing w:before="60"/>
              <w:jc w:val="left"/>
              <w:rPr>
                <w:noProof/>
              </w:rPr>
            </w:pPr>
            <w:r w:rsidRPr="00E33A4E">
              <w:rPr>
                <w:noProof/>
              </w:rPr>
              <w:t>10</w:t>
            </w:r>
            <w:r w:rsidR="00CF4994" w:rsidRPr="00E33A4E">
              <w:t>5</w:t>
            </w:r>
            <w:r w:rsidRPr="00E33A4E">
              <w:rPr>
                <w:noProof/>
              </w:rPr>
              <w:t>23</w:t>
            </w:r>
            <w:r w:rsidR="00CF4994" w:rsidRPr="00E33A4E">
              <w:rPr>
                <w:noProof/>
              </w:rPr>
              <w:t>000</w:t>
            </w:r>
            <w:r w:rsidRPr="00E33A4E">
              <w:rPr>
                <w:noProof/>
              </w:rPr>
              <w:t> km²</w:t>
            </w:r>
          </w:p>
        </w:tc>
      </w:tr>
      <w:tr w:rsidR="00A90F22" w:rsidRPr="006D6727" w14:paraId="3B0ECE84" w14:textId="77777777" w:rsidTr="000541D1">
        <w:trPr>
          <w:trHeight w:val="265"/>
        </w:trPr>
        <w:tc>
          <w:tcPr>
            <w:tcW w:w="3457" w:type="pct"/>
          </w:tcPr>
          <w:p w14:paraId="7D8A8A03" w14:textId="77777777" w:rsidR="00A90F22" w:rsidRPr="006D6727" w:rsidRDefault="00A90F22" w:rsidP="00410DCC">
            <w:pPr>
              <w:pStyle w:val="ECCTabletext"/>
              <w:spacing w:before="60"/>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116-130 GHz</w:t>
            </w:r>
          </w:p>
        </w:tc>
        <w:tc>
          <w:tcPr>
            <w:tcW w:w="1543" w:type="pct"/>
          </w:tcPr>
          <w:p w14:paraId="46DD839C" w14:textId="77777777" w:rsidR="00A90F22" w:rsidRPr="00E33A4E" w:rsidRDefault="00A90F22" w:rsidP="00410DCC">
            <w:pPr>
              <w:pStyle w:val="ECCTabletext"/>
              <w:spacing w:before="60"/>
              <w:jc w:val="left"/>
              <w:rPr>
                <w:noProof/>
              </w:rPr>
            </w:pPr>
            <w:r w:rsidRPr="00E33A4E">
              <w:rPr>
                <w:noProof/>
              </w:rPr>
              <w:t>0</w:t>
            </w:r>
            <w:r w:rsidR="00CF4994" w:rsidRPr="00E33A4E">
              <w:rPr>
                <w:noProof/>
              </w:rPr>
              <w:t>.0</w:t>
            </w:r>
            <w:r w:rsidRPr="00E33A4E">
              <w:rPr>
                <w:noProof/>
              </w:rPr>
              <w:t>152 devices/km²</w:t>
            </w:r>
          </w:p>
        </w:tc>
      </w:tr>
      <w:tr w:rsidR="00A90F22" w:rsidRPr="006D6727" w14:paraId="6032230C" w14:textId="77777777" w:rsidTr="000541D1">
        <w:trPr>
          <w:trHeight w:val="265"/>
        </w:trPr>
        <w:tc>
          <w:tcPr>
            <w:tcW w:w="3457" w:type="pct"/>
          </w:tcPr>
          <w:p w14:paraId="4215656F" w14:textId="77777777" w:rsidR="00A90F22" w:rsidRPr="006D6727" w:rsidRDefault="00A90F22" w:rsidP="00F55BD0">
            <w:pPr>
              <w:pStyle w:val="ECCTabletext"/>
              <w:spacing w:before="60"/>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134-141 GHz</w:t>
            </w:r>
          </w:p>
        </w:tc>
        <w:tc>
          <w:tcPr>
            <w:tcW w:w="1543" w:type="pct"/>
          </w:tcPr>
          <w:p w14:paraId="49E1381A" w14:textId="77777777" w:rsidR="00A90F22" w:rsidRPr="00E33A4E" w:rsidRDefault="00A90F22" w:rsidP="00F55BD0">
            <w:pPr>
              <w:pStyle w:val="ECCTabletext"/>
              <w:spacing w:before="60"/>
              <w:jc w:val="left"/>
              <w:rPr>
                <w:noProof/>
              </w:rPr>
            </w:pPr>
            <w:r w:rsidRPr="00E33A4E">
              <w:rPr>
                <w:noProof/>
              </w:rPr>
              <w:t>0</w:t>
            </w:r>
            <w:r w:rsidR="00CF4994" w:rsidRPr="00E33A4E">
              <w:rPr>
                <w:noProof/>
              </w:rPr>
              <w:t>.0</w:t>
            </w:r>
            <w:r w:rsidRPr="00E33A4E">
              <w:rPr>
                <w:noProof/>
              </w:rPr>
              <w:t>076 devices/km²</w:t>
            </w:r>
          </w:p>
        </w:tc>
      </w:tr>
      <w:tr w:rsidR="00A90F22" w:rsidRPr="006D6727" w14:paraId="7C50E802" w14:textId="77777777" w:rsidTr="000541D1">
        <w:trPr>
          <w:trHeight w:val="265"/>
        </w:trPr>
        <w:tc>
          <w:tcPr>
            <w:tcW w:w="3457" w:type="pct"/>
          </w:tcPr>
          <w:p w14:paraId="7E7768E2" w14:textId="77777777" w:rsidR="00A90F22" w:rsidRPr="006D6727" w:rsidRDefault="00A90F22" w:rsidP="00F55BD0">
            <w:pPr>
              <w:pStyle w:val="ECCTabletext"/>
              <w:spacing w:before="60"/>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174</w:t>
            </w:r>
            <w:r w:rsidR="00CF4994">
              <w:rPr>
                <w:noProof/>
              </w:rPr>
              <w:t>.8</w:t>
            </w:r>
            <w:r w:rsidRPr="006D6727">
              <w:rPr>
                <w:noProof/>
              </w:rPr>
              <w:t>-182 GHz</w:t>
            </w:r>
          </w:p>
        </w:tc>
        <w:tc>
          <w:tcPr>
            <w:tcW w:w="1543" w:type="pct"/>
          </w:tcPr>
          <w:p w14:paraId="45FFAB06" w14:textId="77777777" w:rsidR="00A90F22" w:rsidRPr="00E33A4E" w:rsidRDefault="00A90F22" w:rsidP="00F55BD0">
            <w:pPr>
              <w:pStyle w:val="ECCTabletext"/>
              <w:spacing w:before="60"/>
              <w:jc w:val="left"/>
              <w:rPr>
                <w:noProof/>
              </w:rPr>
            </w:pPr>
            <w:r w:rsidRPr="00E33A4E">
              <w:rPr>
                <w:noProof/>
              </w:rPr>
              <w:t>0</w:t>
            </w:r>
            <w:r w:rsidR="00CF4994" w:rsidRPr="00E33A4E">
              <w:rPr>
                <w:noProof/>
              </w:rPr>
              <w:t>.0</w:t>
            </w:r>
            <w:r w:rsidRPr="00E33A4E">
              <w:rPr>
                <w:noProof/>
              </w:rPr>
              <w:t>076 devices/km²</w:t>
            </w:r>
          </w:p>
        </w:tc>
      </w:tr>
      <w:tr w:rsidR="00A90F22" w:rsidRPr="006D6727" w14:paraId="0AE7D6C6" w14:textId="77777777" w:rsidTr="000541D1">
        <w:trPr>
          <w:trHeight w:val="265"/>
        </w:trPr>
        <w:tc>
          <w:tcPr>
            <w:tcW w:w="3457" w:type="pct"/>
          </w:tcPr>
          <w:p w14:paraId="46E184F8" w14:textId="77777777" w:rsidR="00A90F22" w:rsidRPr="006D6727" w:rsidRDefault="00A90F22" w:rsidP="00F55BD0">
            <w:pPr>
              <w:pStyle w:val="ECCTabletext"/>
              <w:spacing w:before="60"/>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185-190 GHz</w:t>
            </w:r>
          </w:p>
        </w:tc>
        <w:tc>
          <w:tcPr>
            <w:tcW w:w="1543" w:type="pct"/>
          </w:tcPr>
          <w:p w14:paraId="54B6FBD4" w14:textId="77777777" w:rsidR="00A90F22" w:rsidRPr="00E33A4E" w:rsidRDefault="00A90F22" w:rsidP="00F55BD0">
            <w:pPr>
              <w:pStyle w:val="ECCTabletext"/>
              <w:spacing w:before="60"/>
              <w:jc w:val="left"/>
              <w:rPr>
                <w:noProof/>
              </w:rPr>
            </w:pPr>
            <w:r w:rsidRPr="00E33A4E">
              <w:rPr>
                <w:noProof/>
              </w:rPr>
              <w:t>0</w:t>
            </w:r>
            <w:r w:rsidR="00CF4994" w:rsidRPr="00E33A4E">
              <w:rPr>
                <w:noProof/>
              </w:rPr>
              <w:t>.0</w:t>
            </w:r>
            <w:r w:rsidRPr="00E33A4E">
              <w:rPr>
                <w:noProof/>
              </w:rPr>
              <w:t>038 devices/km²</w:t>
            </w:r>
          </w:p>
        </w:tc>
      </w:tr>
      <w:tr w:rsidR="00A90F22" w:rsidRPr="006D6727" w14:paraId="1D81A102" w14:textId="77777777" w:rsidTr="000541D1">
        <w:trPr>
          <w:trHeight w:val="265"/>
        </w:trPr>
        <w:tc>
          <w:tcPr>
            <w:tcW w:w="3457" w:type="pct"/>
          </w:tcPr>
          <w:p w14:paraId="7B272CD6" w14:textId="77777777" w:rsidR="00A90F22" w:rsidRPr="006D6727" w:rsidRDefault="00A90F22" w:rsidP="00F55BD0">
            <w:pPr>
              <w:pStyle w:val="ECCTabletext"/>
              <w:spacing w:before="60"/>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231</w:t>
            </w:r>
            <w:r w:rsidR="00CF4994">
              <w:rPr>
                <w:noProof/>
              </w:rPr>
              <w:t>.5</w:t>
            </w:r>
            <w:r w:rsidRPr="006D6727">
              <w:rPr>
                <w:noProof/>
              </w:rPr>
              <w:t>-250 GHz</w:t>
            </w:r>
          </w:p>
        </w:tc>
        <w:tc>
          <w:tcPr>
            <w:tcW w:w="1543" w:type="pct"/>
          </w:tcPr>
          <w:p w14:paraId="28F015D0" w14:textId="77777777" w:rsidR="00A90F22" w:rsidRPr="00E33A4E" w:rsidRDefault="00A90F22" w:rsidP="00F55BD0">
            <w:pPr>
              <w:pStyle w:val="ECCTabletext"/>
              <w:spacing w:before="60"/>
              <w:jc w:val="left"/>
              <w:rPr>
                <w:noProof/>
              </w:rPr>
            </w:pPr>
            <w:r w:rsidRPr="00E33A4E">
              <w:rPr>
                <w:noProof/>
              </w:rPr>
              <w:t>0</w:t>
            </w:r>
            <w:r w:rsidR="00CF4994" w:rsidRPr="00E33A4E">
              <w:rPr>
                <w:noProof/>
              </w:rPr>
              <w:t>.0</w:t>
            </w:r>
            <w:r w:rsidRPr="00E33A4E">
              <w:rPr>
                <w:noProof/>
              </w:rPr>
              <w:t>038 devices/km²</w:t>
            </w:r>
          </w:p>
        </w:tc>
      </w:tr>
    </w:tbl>
    <w:p w14:paraId="110A9868" w14:textId="77777777" w:rsidR="00A90F22" w:rsidRPr="006D6727" w:rsidRDefault="00A90F22" w:rsidP="00A90F22">
      <w:pPr>
        <w:rPr>
          <w:noProof/>
        </w:rPr>
      </w:pPr>
      <w:r w:rsidRPr="006D6727">
        <w:rPr>
          <w:noProof/>
        </w:rPr>
        <w:t>It may be seen from the numbers given above, that the projected average density of RDI devices will be extremely low, as provided for by their industrial type of use and specific nature of applications. This however does not exclude certain cases, where multiple RDI devices could be used in very near proximity in an industrial plant for instance. But given their very low duty cycles and in addition to that the nevertheless unsynchronised nature of RDI devices, even in such cases, adverse aggregation effects may be considered highly unrealistic.</w:t>
      </w:r>
    </w:p>
    <w:p w14:paraId="5E85769E" w14:textId="0296872C" w:rsidR="00A90F22" w:rsidRPr="006D6727" w:rsidRDefault="00A90F22" w:rsidP="00A90F22">
      <w:pPr>
        <w:rPr>
          <w:noProof/>
        </w:rPr>
      </w:pPr>
      <w:r w:rsidRPr="006D6727">
        <w:rPr>
          <w:rStyle w:val="ECCParagraph"/>
          <w:noProof/>
        </w:rPr>
        <w:t xml:space="preserve">In order to implement the philosophy of worst-case simulations of RDI interference, no additional natural shielding, e.g. treated in Recommendation ITU-R P.2108-0 </w:t>
      </w:r>
      <w:r w:rsidR="004C10B7" w:rsidRPr="006D6727">
        <w:rPr>
          <w:rStyle w:val="ECCParagraph"/>
          <w:noProof/>
        </w:rPr>
        <w:fldChar w:fldCharType="begin"/>
      </w:r>
      <w:r w:rsidR="004C10B7" w:rsidRPr="006D6727">
        <w:rPr>
          <w:rStyle w:val="ECCParagraph"/>
          <w:noProof/>
        </w:rPr>
        <w:instrText xml:space="preserve"> REF  ITU_R_P_2108_0 \h \w  \* MERGEFORMAT </w:instrText>
      </w:r>
      <w:r w:rsidR="004C10B7" w:rsidRPr="006D6727">
        <w:rPr>
          <w:rStyle w:val="ECCParagraph"/>
          <w:noProof/>
        </w:rPr>
      </w:r>
      <w:r w:rsidR="004C10B7" w:rsidRPr="006D6727">
        <w:rPr>
          <w:rStyle w:val="ECCParagraph"/>
          <w:noProof/>
        </w:rPr>
        <w:fldChar w:fldCharType="separate"/>
      </w:r>
      <w:r w:rsidR="004F49F9">
        <w:rPr>
          <w:rStyle w:val="ECCParagraph"/>
          <w:noProof/>
        </w:rPr>
        <w:t>[25]</w:t>
      </w:r>
      <w:r w:rsidR="004C10B7" w:rsidRPr="006D6727">
        <w:rPr>
          <w:rStyle w:val="ECCParagraph"/>
          <w:noProof/>
        </w:rPr>
        <w:fldChar w:fldCharType="end"/>
      </w:r>
      <w:r w:rsidRPr="006D6727">
        <w:rPr>
          <w:rStyle w:val="ECCParagraph"/>
          <w:noProof/>
        </w:rPr>
        <w:t>, is considered in the MCL calculations of this Report, i.e. all MCL calculations are performed for the worst-case of RDI being placed outdoors, with line-of-sight (LOS) conditions and without any natural shielding. As a result, all calculated interference impacts represent the most conservative estimates, which in many real-life scenarios will be further reduced due to aforementioned natural shielding.</w:t>
      </w:r>
    </w:p>
    <w:p w14:paraId="41246503" w14:textId="77777777" w:rsidR="001773C2" w:rsidRPr="006D6727" w:rsidRDefault="001773C2" w:rsidP="004E36C2">
      <w:pPr>
        <w:pStyle w:val="Heading4"/>
        <w:rPr>
          <w:noProof/>
        </w:rPr>
      </w:pPr>
      <w:bookmarkStart w:id="145" w:name="_Ref53582739"/>
      <w:bookmarkStart w:id="146" w:name="_Toc84325255"/>
      <w:r w:rsidRPr="006D6727">
        <w:rPr>
          <w:noProof/>
        </w:rPr>
        <w:t>Interference scenarios</w:t>
      </w:r>
      <w:bookmarkEnd w:id="145"/>
      <w:bookmarkEnd w:id="146"/>
    </w:p>
    <w:p w14:paraId="2C440739" w14:textId="2E188155" w:rsidR="00F33AEA" w:rsidRPr="006D6727" w:rsidRDefault="00F33AEA" w:rsidP="00F33AEA">
      <w:pPr>
        <w:rPr>
          <w:noProof/>
        </w:rPr>
      </w:pPr>
      <w:r w:rsidRPr="006D6727">
        <w:rPr>
          <w:noProof/>
        </w:rPr>
        <w:t xml:space="preserve">In </w:t>
      </w:r>
      <w:r w:rsidR="009D5FA2">
        <w:rPr>
          <w:rStyle w:val="ECCParagraph"/>
          <w:noProof/>
        </w:rPr>
        <w:t>section</w:t>
      </w:r>
      <w:r w:rsidRPr="006D6727">
        <w:rPr>
          <w:rStyle w:val="ECCParagraph"/>
          <w:noProof/>
        </w:rPr>
        <w:t xml:space="preserve"> </w:t>
      </w:r>
      <w:r w:rsidR="000377A6" w:rsidRPr="006D6727">
        <w:rPr>
          <w:rStyle w:val="ECCParagraph"/>
          <w:noProof/>
        </w:rPr>
        <w:fldChar w:fldCharType="begin"/>
      </w:r>
      <w:r w:rsidR="000377A6" w:rsidRPr="006D6727">
        <w:rPr>
          <w:rStyle w:val="ECCParagraph"/>
          <w:noProof/>
        </w:rPr>
        <w:instrText xml:space="preserve"> REF _Ref20310777 \r \h </w:instrText>
      </w:r>
      <w:r w:rsidR="000377A6" w:rsidRPr="006D6727">
        <w:rPr>
          <w:rStyle w:val="ECCParagraph"/>
          <w:noProof/>
        </w:rPr>
      </w:r>
      <w:r w:rsidR="000377A6" w:rsidRPr="006D6727">
        <w:rPr>
          <w:rStyle w:val="ECCParagraph"/>
          <w:noProof/>
        </w:rPr>
        <w:fldChar w:fldCharType="separate"/>
      </w:r>
      <w:r w:rsidR="004F49F9">
        <w:rPr>
          <w:rStyle w:val="ECCParagraph"/>
          <w:noProof/>
        </w:rPr>
        <w:t>3.4</w:t>
      </w:r>
      <w:r w:rsidR="000377A6" w:rsidRPr="006D6727">
        <w:rPr>
          <w:rStyle w:val="ECCParagraph"/>
          <w:noProof/>
        </w:rPr>
        <w:fldChar w:fldCharType="end"/>
      </w:r>
      <w:r w:rsidR="00841535">
        <w:rPr>
          <w:rStyle w:val="ECCParagraph"/>
          <w:noProof/>
        </w:rPr>
        <w:t>,</w:t>
      </w:r>
      <w:r w:rsidR="000377A6" w:rsidRPr="006D6727">
        <w:rPr>
          <w:rStyle w:val="ECCParagraph"/>
          <w:noProof/>
        </w:rPr>
        <w:t xml:space="preserve"> </w:t>
      </w:r>
      <w:r w:rsidRPr="006D6727">
        <w:rPr>
          <w:rStyle w:val="ECCParagraph"/>
          <w:noProof/>
        </w:rPr>
        <w:t>the possible</w:t>
      </w:r>
      <w:r w:rsidRPr="006D6727">
        <w:rPr>
          <w:noProof/>
        </w:rPr>
        <w:t xml:space="preserve"> interference scenarios are divided into the two broad categories:</w:t>
      </w:r>
    </w:p>
    <w:p w14:paraId="48D5D519" w14:textId="3E6DC3B6" w:rsidR="00F33AEA" w:rsidRPr="006D6727" w:rsidRDefault="00F33AEA" w:rsidP="00F55BD0">
      <w:pPr>
        <w:pStyle w:val="ECCBulletsLv1"/>
        <w:spacing w:after="60"/>
        <w:rPr>
          <w:noProof/>
        </w:rPr>
      </w:pPr>
      <w:r w:rsidRPr="006D6727">
        <w:rPr>
          <w:noProof/>
        </w:rPr>
        <w:t>Interference over terrestrial line-of-sight (LOS) paths</w:t>
      </w:r>
      <w:r w:rsidR="009E4E69">
        <w:rPr>
          <w:noProof/>
        </w:rPr>
        <w:t>;</w:t>
      </w:r>
    </w:p>
    <w:p w14:paraId="4E5CED2F" w14:textId="77777777" w:rsidR="00F33AEA" w:rsidRPr="006D6727" w:rsidRDefault="00F33AEA" w:rsidP="00F55BD0">
      <w:pPr>
        <w:pStyle w:val="ECCBulletsLv1"/>
        <w:spacing w:after="60"/>
        <w:rPr>
          <w:noProof/>
        </w:rPr>
      </w:pPr>
      <w:r w:rsidRPr="006D6727">
        <w:rPr>
          <w:noProof/>
        </w:rPr>
        <w:t>Interference to spaceborne passive satellite receivers over LOS paths.</w:t>
      </w:r>
    </w:p>
    <w:p w14:paraId="5E03FA64" w14:textId="77777777" w:rsidR="00F33AEA" w:rsidRPr="006D6727" w:rsidRDefault="00F33AEA" w:rsidP="00F33AEA">
      <w:pPr>
        <w:rPr>
          <w:noProof/>
        </w:rPr>
      </w:pPr>
      <w:r w:rsidRPr="006D6727">
        <w:rPr>
          <w:noProof/>
        </w:rPr>
        <w:t>This categorisation also applies for radiodetermination sensors for industry automation.</w:t>
      </w:r>
    </w:p>
    <w:p w14:paraId="59A9B1C2" w14:textId="77777777" w:rsidR="00F33AEA" w:rsidRPr="006D6727" w:rsidRDefault="00F33AEA" w:rsidP="00F33AEA">
      <w:pPr>
        <w:rPr>
          <w:rStyle w:val="ECCHLbold"/>
          <w:noProof/>
        </w:rPr>
      </w:pPr>
      <w:r w:rsidRPr="006D6727">
        <w:rPr>
          <w:rStyle w:val="ECCHLbold"/>
          <w:noProof/>
        </w:rPr>
        <w:t>Interference over terrestrial paths</w:t>
      </w:r>
    </w:p>
    <w:p w14:paraId="5E153ABD" w14:textId="117D8485" w:rsidR="00F33AEA" w:rsidRPr="006D6727" w:rsidRDefault="00F33AEA" w:rsidP="00F33AEA">
      <w:pPr>
        <w:rPr>
          <w:noProof/>
        </w:rPr>
      </w:pPr>
      <w:r w:rsidRPr="006D6727">
        <w:rPr>
          <w:noProof/>
        </w:rPr>
        <w:t xml:space="preserve">The typical scenario in which an interference signal, originating from an automation sensor, propagates along a terrestrial path will be relevant when evaluating </w:t>
      </w:r>
      <w:r w:rsidR="009D5FA2">
        <w:rPr>
          <w:noProof/>
        </w:rPr>
        <w:t>coexistence</w:t>
      </w:r>
      <w:r w:rsidRPr="006D6727">
        <w:rPr>
          <w:noProof/>
        </w:rPr>
        <w:t xml:space="preserve"> with the following victim services:</w:t>
      </w:r>
    </w:p>
    <w:p w14:paraId="6F7B47A3" w14:textId="1751A455" w:rsidR="00F33AEA" w:rsidRPr="006D6727" w:rsidRDefault="00F33AEA" w:rsidP="00F33AEA">
      <w:pPr>
        <w:pStyle w:val="ECCBulletsLv1"/>
        <w:rPr>
          <w:noProof/>
        </w:rPr>
      </w:pPr>
      <w:r w:rsidRPr="006D6727">
        <w:rPr>
          <w:noProof/>
        </w:rPr>
        <w:t>Fixed Service (FS) links (PP and BWA)</w:t>
      </w:r>
      <w:r w:rsidR="009E4E69">
        <w:rPr>
          <w:noProof/>
        </w:rPr>
        <w:t>;</w:t>
      </w:r>
    </w:p>
    <w:p w14:paraId="67783664" w14:textId="321A0554" w:rsidR="00F33AEA" w:rsidRPr="006D6727" w:rsidRDefault="00F33AEA" w:rsidP="00F33AEA">
      <w:pPr>
        <w:pStyle w:val="ECCBulletsLv1"/>
        <w:rPr>
          <w:noProof/>
        </w:rPr>
      </w:pPr>
      <w:r w:rsidRPr="006D6727">
        <w:rPr>
          <w:noProof/>
        </w:rPr>
        <w:t>Fixed Satellite Service (FSS) earth station receivers</w:t>
      </w:r>
      <w:r w:rsidR="009E4E69">
        <w:rPr>
          <w:noProof/>
        </w:rPr>
        <w:t>;</w:t>
      </w:r>
    </w:p>
    <w:p w14:paraId="09CB960A" w14:textId="2B4B470D" w:rsidR="00F33AEA" w:rsidRPr="006D6727" w:rsidRDefault="00F33AEA" w:rsidP="00F33AEA">
      <w:pPr>
        <w:pStyle w:val="ECCBulletsLv1"/>
        <w:rPr>
          <w:noProof/>
        </w:rPr>
      </w:pPr>
      <w:r w:rsidRPr="006D6727">
        <w:rPr>
          <w:noProof/>
        </w:rPr>
        <w:t>Terrestrial Radio Astronomy Service (RAS)</w:t>
      </w:r>
      <w:r w:rsidR="009E4E69">
        <w:rPr>
          <w:noProof/>
        </w:rPr>
        <w:t>;</w:t>
      </w:r>
    </w:p>
    <w:p w14:paraId="6247ACD6" w14:textId="77777777" w:rsidR="00F33AEA" w:rsidRPr="006D6727" w:rsidRDefault="00F33AEA" w:rsidP="00F33AEA">
      <w:pPr>
        <w:pStyle w:val="ECCBulletsLv1"/>
        <w:rPr>
          <w:noProof/>
        </w:rPr>
      </w:pPr>
      <w:r w:rsidRPr="006D6727">
        <w:rPr>
          <w:noProof/>
        </w:rPr>
        <w:t>Amateur Service receivers.</w:t>
      </w:r>
    </w:p>
    <w:p w14:paraId="72BE7836" w14:textId="443B4DA8" w:rsidR="00F33AEA" w:rsidRPr="006D6727" w:rsidRDefault="00F33AEA" w:rsidP="00F33AEA">
      <w:pPr>
        <w:rPr>
          <w:rStyle w:val="ECCParagraph"/>
          <w:noProof/>
        </w:rPr>
      </w:pPr>
      <w:r w:rsidRPr="006D6727">
        <w:rPr>
          <w:rStyle w:val="ECCParagraph"/>
          <w:noProof/>
        </w:rPr>
        <w:t>In this case, sensor installations might have an impact on the victim stations through direct emissions emitting in horizontal direction along the earth's surface. Due to the fact that radiodetermination sensors for industry automation are classified as type A applications they are not limited to certain antenna orientations and may therefore radiate in any direction. Thus, the case where the main beam direction of the sensor points exactly towards the antenna of the victim service should be considered as the worst</w:t>
      </w:r>
      <w:r w:rsidR="00F44788">
        <w:rPr>
          <w:rStyle w:val="ECCParagraph"/>
        </w:rPr>
        <w:t>-</w:t>
      </w:r>
      <w:r w:rsidRPr="006D6727">
        <w:rPr>
          <w:rStyle w:val="ECCParagraph"/>
          <w:noProof/>
        </w:rPr>
        <w:t xml:space="preserve">case. In contrast to that, it is suggested that the interference signal from the sensor application reaches the victim receiver by coupling over a sidelobe of the victim’s receiving antenna. This concept is described for radio astronomy victims in Recommendation ITU-R RA.769-2 </w:t>
      </w:r>
      <w:r w:rsidRPr="006D6727">
        <w:rPr>
          <w:rStyle w:val="ECCParagraph"/>
          <w:noProof/>
        </w:rPr>
        <w:fldChar w:fldCharType="begin"/>
      </w:r>
      <w:r w:rsidRPr="006D6727">
        <w:rPr>
          <w:rStyle w:val="ECCParagraph"/>
          <w:noProof/>
        </w:rPr>
        <w:instrText xml:space="preserve"> REF  ITU_R_RA_769_2 \h \w </w:instrText>
      </w:r>
      <w:r w:rsidRPr="006D6727">
        <w:rPr>
          <w:rStyle w:val="ECCParagraph"/>
          <w:noProof/>
        </w:rPr>
      </w:r>
      <w:r w:rsidRPr="006D6727">
        <w:rPr>
          <w:rStyle w:val="ECCParagraph"/>
          <w:noProof/>
        </w:rPr>
        <w:fldChar w:fldCharType="separate"/>
      </w:r>
      <w:r w:rsidR="004F49F9">
        <w:rPr>
          <w:rStyle w:val="ECCParagraph"/>
          <w:noProof/>
        </w:rPr>
        <w:t>[9]</w:t>
      </w:r>
      <w:r w:rsidRPr="006D6727">
        <w:rPr>
          <w:rStyle w:val="ECCParagraph"/>
          <w:noProof/>
        </w:rPr>
        <w:fldChar w:fldCharType="end"/>
      </w:r>
      <w:r w:rsidRPr="006D6727">
        <w:rPr>
          <w:rStyle w:val="ECCParagraph"/>
          <w:noProof/>
        </w:rPr>
        <w:t xml:space="preserve"> where the gain of an isotropic radiator 0 dBi is assumed for the respective sidelobe gain. For the Amateur Service victims, a reduction of the main lobe receiving antenna gain of 20 dB due to this misalignment is suggested for the MCL calculations in the first instance.</w:t>
      </w:r>
    </w:p>
    <w:p w14:paraId="1016B418" w14:textId="222256DD" w:rsidR="00F33AEA" w:rsidRPr="006D6727" w:rsidRDefault="00F33AEA" w:rsidP="00F33AEA">
      <w:pPr>
        <w:rPr>
          <w:rStyle w:val="ECCParagraph"/>
          <w:noProof/>
        </w:rPr>
      </w:pPr>
      <w:r w:rsidRPr="006D6727">
        <w:rPr>
          <w:rStyle w:val="ECCParagraph"/>
          <w:noProof/>
        </w:rPr>
        <w:t xml:space="preserve">This worst-case interference scenario along horizontal terrestrial paths utilised for the compatibility study </w:t>
      </w:r>
      <w:r w:rsidR="00E25C24">
        <w:rPr>
          <w:rStyle w:val="ECCParagraph"/>
        </w:rPr>
        <w:t xml:space="preserve">for RAS and Amateur </w:t>
      </w:r>
      <w:r w:rsidR="00B76403">
        <w:rPr>
          <w:rStyle w:val="ECCParagraph"/>
        </w:rPr>
        <w:t>S</w:t>
      </w:r>
      <w:r w:rsidR="00E25C24">
        <w:rPr>
          <w:rStyle w:val="ECCParagraph"/>
        </w:rPr>
        <w:t xml:space="preserve">ervice </w:t>
      </w:r>
      <w:r w:rsidRPr="006D6727">
        <w:rPr>
          <w:rStyle w:val="ECCParagraph"/>
          <w:noProof/>
        </w:rPr>
        <w:t xml:space="preserve">is illustrated in </w:t>
      </w:r>
      <w:r w:rsidRPr="006D6727">
        <w:rPr>
          <w:rStyle w:val="ECCParagraph"/>
          <w:noProof/>
        </w:rPr>
        <w:fldChar w:fldCharType="begin"/>
      </w:r>
      <w:r w:rsidRPr="006D6727">
        <w:rPr>
          <w:rStyle w:val="ECCParagraph"/>
          <w:noProof/>
        </w:rPr>
        <w:instrText xml:space="preserve"> REF _Ref20121116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11</w:t>
      </w:r>
      <w:r w:rsidRPr="006D6727">
        <w:rPr>
          <w:rStyle w:val="ECCParagraph"/>
          <w:noProof/>
        </w:rPr>
        <w:fldChar w:fldCharType="end"/>
      </w:r>
      <w:r w:rsidRPr="006D6727">
        <w:rPr>
          <w:rStyle w:val="ECCParagraph"/>
          <w:noProof/>
        </w:rPr>
        <w:t xml:space="preserve"> by means of an outdoor presence detector monitoring the presence of a vehicle for example during a loading process.</w:t>
      </w:r>
    </w:p>
    <w:p w14:paraId="5207B597" w14:textId="77777777" w:rsidR="00F33AEA" w:rsidRPr="006D6727" w:rsidRDefault="00F33AEA" w:rsidP="00F33AEA">
      <w:pPr>
        <w:pStyle w:val="ECCFiguregraphcentered"/>
        <w:rPr>
          <w:lang w:val="en-GB"/>
        </w:rPr>
      </w:pPr>
      <w:r w:rsidRPr="006D6727">
        <w:drawing>
          <wp:inline distT="0" distB="0" distL="0" distR="0" wp14:anchorId="1D210AA8" wp14:editId="3B36344A">
            <wp:extent cx="6059718" cy="282271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6073744" cy="2829247"/>
                    </a:xfrm>
                    <a:prstGeom prst="rect">
                      <a:avLst/>
                    </a:prstGeom>
                  </pic:spPr>
                </pic:pic>
              </a:graphicData>
            </a:graphic>
          </wp:inline>
        </w:drawing>
      </w:r>
    </w:p>
    <w:p w14:paraId="0CCE3687" w14:textId="3323D788" w:rsidR="00F33AEA" w:rsidRPr="006D6727" w:rsidRDefault="00F33AEA" w:rsidP="00F33AEA">
      <w:pPr>
        <w:pStyle w:val="Caption"/>
        <w:rPr>
          <w:noProof/>
          <w:lang w:val="en-GB"/>
        </w:rPr>
      </w:pPr>
      <w:bookmarkStart w:id="147" w:name="_Ref20121116"/>
      <w:r w:rsidRPr="006D6727">
        <w:rPr>
          <w:noProof/>
          <w:lang w:val="en-GB"/>
        </w:rPr>
        <w:t>Figure</w:t>
      </w:r>
      <w:r w:rsidR="000377A6"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11</w:t>
      </w:r>
      <w:r w:rsidR="00616942" w:rsidRPr="006D6727">
        <w:rPr>
          <w:noProof/>
          <w:lang w:val="en-GB"/>
        </w:rPr>
        <w:fldChar w:fldCharType="end"/>
      </w:r>
      <w:bookmarkEnd w:id="147"/>
      <w:r w:rsidRPr="006D6727">
        <w:rPr>
          <w:noProof/>
          <w:lang w:val="en-GB"/>
        </w:rPr>
        <w:t>: Worst-case interference scenario along horizontal terrestrial paths</w:t>
      </w:r>
    </w:p>
    <w:p w14:paraId="5E0E9642" w14:textId="77777777" w:rsidR="00F33AEA" w:rsidRPr="006D6727" w:rsidRDefault="00F33AEA" w:rsidP="00F33AEA">
      <w:pPr>
        <w:rPr>
          <w:noProof/>
        </w:rPr>
      </w:pPr>
      <w:r w:rsidRPr="006D6727">
        <w:rPr>
          <w:noProof/>
        </w:rPr>
        <w:t xml:space="preserve">For initial worst-case simulations also in this scenario it would be reasonable to assume direct line-of-sight (LOS) coupling between interferer and victim. </w:t>
      </w:r>
      <w:r w:rsidRPr="006D6727">
        <w:rPr>
          <w:rStyle w:val="ECCParagraph"/>
          <w:noProof/>
        </w:rPr>
        <w:t>This means that the free-space propagation model could be applied to model the propagation of the interfering signal over a flat path over the earth's surface without the presence of obstacles.</w:t>
      </w:r>
      <w:r w:rsidRPr="006D6727">
        <w:rPr>
          <w:noProof/>
        </w:rPr>
        <w:t xml:space="preserve"> This, in turn, makes it unnecessary to consider the heights of the sensor antenna and the victim station’s antenna. However, this initial simplification could later be refined in the light of the calculated interference or impact range.</w:t>
      </w:r>
    </w:p>
    <w:p w14:paraId="70A74B2C" w14:textId="29F77C04" w:rsidR="00F33AEA" w:rsidRDefault="00F33AEA" w:rsidP="00F33AEA">
      <w:pPr>
        <w:rPr>
          <w:rStyle w:val="ECCParagraph"/>
          <w:noProof/>
        </w:rPr>
      </w:pPr>
      <w:r w:rsidRPr="006D6727">
        <w:rPr>
          <w:rStyle w:val="ECCParagraph"/>
          <w:noProof/>
        </w:rPr>
        <w:t xml:space="preserve">For example, if the calculated interference distance for a given </w:t>
      </w:r>
      <w:r w:rsidR="009D5FA2">
        <w:rPr>
          <w:rStyle w:val="ECCParagraph"/>
          <w:noProof/>
        </w:rPr>
        <w:t>coexistence</w:t>
      </w:r>
      <w:r w:rsidRPr="006D6727">
        <w:rPr>
          <w:rStyle w:val="ECCParagraph"/>
          <w:noProof/>
        </w:rPr>
        <w:t xml:space="preserve"> case clearly exceeded the estimated radio horizon, this would mean that non-LOS propagation conditions predominate. This in turn would lead to the requirement to apply different propagation models and potentially an unavoidable reduction of the actual interference range.</w:t>
      </w:r>
    </w:p>
    <w:p w14:paraId="5CFBD816" w14:textId="31A48B7C" w:rsidR="00FF7401" w:rsidRDefault="00FF7401" w:rsidP="00F33AEA">
      <w:pPr>
        <w:rPr>
          <w:rStyle w:val="ECCParagraph"/>
        </w:rPr>
      </w:pPr>
      <w:r>
        <w:rPr>
          <w:rStyle w:val="ECCParagraph"/>
        </w:rPr>
        <w:t xml:space="preserve">For Fixed Service links however, dedicated interference scenarios have been developed </w:t>
      </w:r>
      <w:r w:rsidR="00F654B9">
        <w:rPr>
          <w:rStyle w:val="ECCParagraph"/>
        </w:rPr>
        <w:t>where</w:t>
      </w:r>
      <w:r>
        <w:rPr>
          <w:rStyle w:val="ECCParagraph"/>
        </w:rPr>
        <w:t xml:space="preserve"> a Fixed Service transmitter attached to a light pole is linked with a receiver located on top of a building and vice versa</w:t>
      </w:r>
      <w:r w:rsidR="00D31DC1">
        <w:rPr>
          <w:rStyle w:val="ECCParagraph"/>
        </w:rPr>
        <w:t xml:space="preserve"> (</w:t>
      </w:r>
      <w:r w:rsidR="009E5DBD">
        <w:rPr>
          <w:rStyle w:val="ECCParagraph"/>
        </w:rPr>
        <w:t xml:space="preserve">see </w:t>
      </w:r>
      <w:r w:rsidR="009E5DBD">
        <w:rPr>
          <w:rStyle w:val="ECCParagraph"/>
        </w:rPr>
        <w:fldChar w:fldCharType="begin"/>
      </w:r>
      <w:r w:rsidR="009E5DBD">
        <w:rPr>
          <w:rStyle w:val="ECCParagraph"/>
        </w:rPr>
        <w:instrText xml:space="preserve"> REF _Ref44337944 \h </w:instrText>
      </w:r>
      <w:r w:rsidR="009E5DBD">
        <w:rPr>
          <w:rStyle w:val="ECCParagraph"/>
        </w:rPr>
      </w:r>
      <w:r w:rsidR="009E5DBD">
        <w:rPr>
          <w:rStyle w:val="ECCParagraph"/>
        </w:rPr>
        <w:fldChar w:fldCharType="separate"/>
      </w:r>
      <w:r w:rsidR="004F49F9">
        <w:t>Figure </w:t>
      </w:r>
      <w:r w:rsidR="004F49F9">
        <w:rPr>
          <w:noProof/>
        </w:rPr>
        <w:t>12</w:t>
      </w:r>
      <w:r w:rsidR="009E5DBD">
        <w:rPr>
          <w:rStyle w:val="ECCParagraph"/>
        </w:rPr>
        <w:fldChar w:fldCharType="end"/>
      </w:r>
      <w:r w:rsidR="009E5DBD">
        <w:rPr>
          <w:rStyle w:val="ECCParagraph"/>
        </w:rPr>
        <w:t xml:space="preserve"> and </w:t>
      </w:r>
      <w:r w:rsidR="00620EDE">
        <w:rPr>
          <w:rStyle w:val="ECCParagraph"/>
        </w:rPr>
        <w:fldChar w:fldCharType="begin"/>
      </w:r>
      <w:r w:rsidR="00620EDE">
        <w:rPr>
          <w:rStyle w:val="ECCParagraph"/>
        </w:rPr>
        <w:instrText xml:space="preserve"> REF _Ref44338784 \h </w:instrText>
      </w:r>
      <w:r w:rsidR="00620EDE">
        <w:rPr>
          <w:rStyle w:val="ECCParagraph"/>
        </w:rPr>
      </w:r>
      <w:r w:rsidR="00620EDE">
        <w:rPr>
          <w:rStyle w:val="ECCParagraph"/>
        </w:rPr>
        <w:fldChar w:fldCharType="separate"/>
      </w:r>
      <w:r w:rsidR="004F49F9">
        <w:t>Figure </w:t>
      </w:r>
      <w:r w:rsidR="004F49F9">
        <w:rPr>
          <w:noProof/>
        </w:rPr>
        <w:t>13</w:t>
      </w:r>
      <w:r w:rsidR="00620EDE">
        <w:rPr>
          <w:rStyle w:val="ECCParagraph"/>
        </w:rPr>
        <w:fldChar w:fldCharType="end"/>
      </w:r>
      <w:r w:rsidR="00D31DC1">
        <w:rPr>
          <w:rStyle w:val="ECCParagraph"/>
        </w:rPr>
        <w:t>).</w:t>
      </w:r>
    </w:p>
    <w:p w14:paraId="449D9CA2" w14:textId="77777777" w:rsidR="00D31DC1" w:rsidRPr="00D31DC1" w:rsidRDefault="00D31DC1" w:rsidP="005872B3">
      <w:pPr>
        <w:jc w:val="center"/>
      </w:pPr>
      <w:r w:rsidRPr="00D31DC1">
        <w:rPr>
          <w:noProof/>
          <w:lang w:val="de-DE" w:eastAsia="de-DE"/>
        </w:rPr>
        <w:drawing>
          <wp:inline distT="0" distB="0" distL="0" distR="0" wp14:anchorId="552FB074" wp14:editId="2373295E">
            <wp:extent cx="6012557" cy="2054087"/>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6047331" cy="2065967"/>
                    </a:xfrm>
                    <a:prstGeom prst="rect">
                      <a:avLst/>
                    </a:prstGeom>
                  </pic:spPr>
                </pic:pic>
              </a:graphicData>
            </a:graphic>
          </wp:inline>
        </w:drawing>
      </w:r>
    </w:p>
    <w:p w14:paraId="6D8EC81E" w14:textId="3735B6F4" w:rsidR="00D31DC1" w:rsidRPr="00D31DC1" w:rsidRDefault="00D31DC1" w:rsidP="00D31DC1">
      <w:pPr>
        <w:pStyle w:val="Caption"/>
        <w:rPr>
          <w:rStyle w:val="ECCParagraph"/>
        </w:rPr>
      </w:pPr>
      <w:bookmarkStart w:id="148" w:name="_Ref39155785"/>
      <w:bookmarkStart w:id="149" w:name="_Ref44337944"/>
      <w:r>
        <w:t>Figure</w:t>
      </w:r>
      <w:bookmarkEnd w:id="148"/>
      <w:r w:rsidR="00E143C5">
        <w:t> </w:t>
      </w:r>
      <w:r w:rsidR="00E55534">
        <w:fldChar w:fldCharType="begin"/>
      </w:r>
      <w:r w:rsidR="00E55534">
        <w:instrText>SEQ Figure \* ARABIC  \* MERGEFORMAT</w:instrText>
      </w:r>
      <w:r w:rsidR="00E55534">
        <w:fldChar w:fldCharType="separate"/>
      </w:r>
      <w:r w:rsidR="004F49F9">
        <w:rPr>
          <w:noProof/>
        </w:rPr>
        <w:t>12</w:t>
      </w:r>
      <w:r w:rsidR="00E55534">
        <w:rPr>
          <w:noProof/>
        </w:rPr>
        <w:fldChar w:fldCharType="end"/>
      </w:r>
      <w:bookmarkEnd w:id="149"/>
      <w:r w:rsidRPr="00D31DC1">
        <w:t xml:space="preserve">: </w:t>
      </w:r>
      <w:r>
        <w:rPr>
          <w:rStyle w:val="ECCParagraph"/>
        </w:rPr>
        <w:t>Light pole</w:t>
      </w:r>
      <w:r w:rsidRPr="00D31DC1">
        <w:rPr>
          <w:rStyle w:val="ECCParagraph"/>
        </w:rPr>
        <w:t xml:space="preserve"> connected to a building by means of a</w:t>
      </w:r>
      <w:r w:rsidR="00227F57">
        <w:rPr>
          <w:rStyle w:val="ECCParagraph"/>
        </w:rPr>
        <w:t>n</w:t>
      </w:r>
      <w:r w:rsidRPr="00D31DC1">
        <w:rPr>
          <w:rStyle w:val="ECCParagraph"/>
        </w:rPr>
        <w:t xml:space="preserve"> FS link – FS Rx on building</w:t>
      </w:r>
    </w:p>
    <w:p w14:paraId="19A01BDD" w14:textId="250F1F41" w:rsidR="00F654B9" w:rsidRPr="00A706D7" w:rsidRDefault="00F654B9" w:rsidP="005E069D">
      <w:r>
        <w:t>In the first scenario (</w:t>
      </w:r>
      <w:r w:rsidR="00FC471D">
        <w:t xml:space="preserve">see </w:t>
      </w:r>
      <w:r>
        <w:fldChar w:fldCharType="begin"/>
      </w:r>
      <w:r>
        <w:instrText xml:space="preserve"> REF _Ref44337944 \h </w:instrText>
      </w:r>
      <w:r>
        <w:fldChar w:fldCharType="separate"/>
      </w:r>
      <w:r w:rsidR="004F49F9">
        <w:t>Figure </w:t>
      </w:r>
      <w:r w:rsidR="004F49F9">
        <w:rPr>
          <w:noProof/>
        </w:rPr>
        <w:t>12</w:t>
      </w:r>
      <w:r>
        <w:fldChar w:fldCharType="end"/>
      </w:r>
      <w:r>
        <w:t>)</w:t>
      </w:r>
      <w:r w:rsidR="00E33A4E">
        <w:t>,</w:t>
      </w:r>
      <w:r>
        <w:t xml:space="preserve"> </w:t>
      </w:r>
      <w:r w:rsidR="001B73C1">
        <w:t>t</w:t>
      </w:r>
      <w:r w:rsidR="00A706D7" w:rsidRPr="00A706D7">
        <w:t xml:space="preserve">he RDI device is placed at the location of the FS Tx, thus in 300 m distance from the FS Rx. This constellation yields the smallest angle δ which describes the misalignment between the FS Rx </w:t>
      </w:r>
      <w:r w:rsidR="00C26C3D">
        <w:t xml:space="preserve">main beam direction </w:t>
      </w:r>
      <w:r w:rsidR="00A706D7" w:rsidRPr="00A706D7">
        <w:t>and the RDI device. The height of the RDI device above ground shall be 1 m. All RDI devices are expected to be placed between 0 and 3 m above ground (see</w:t>
      </w:r>
      <w:r w:rsidR="00A706D7">
        <w:t xml:space="preserve"> </w:t>
      </w:r>
      <w:r w:rsidR="009D5FA2">
        <w:t>section</w:t>
      </w:r>
      <w:r w:rsidR="00A706D7" w:rsidRPr="00A706D7">
        <w:t xml:space="preserve"> </w:t>
      </w:r>
      <w:r w:rsidR="00A706D7">
        <w:fldChar w:fldCharType="begin"/>
      </w:r>
      <w:r w:rsidR="00A706D7">
        <w:instrText xml:space="preserve"> REF _Ref45615675 \r \h </w:instrText>
      </w:r>
      <w:r w:rsidR="00A706D7">
        <w:fldChar w:fldCharType="separate"/>
      </w:r>
      <w:r w:rsidR="004F49F9">
        <w:t>2.2.2.1</w:t>
      </w:r>
      <w:r w:rsidR="00A706D7">
        <w:fldChar w:fldCharType="end"/>
      </w:r>
      <w:r w:rsidR="00A706D7" w:rsidRPr="00A706D7">
        <w:t>). The angle δ becomes in the above example approximately 0</w:t>
      </w:r>
      <w:r w:rsidR="00CF4994">
        <w:t>.9</w:t>
      </w:r>
      <w:r w:rsidR="00A706D7" w:rsidRPr="00A706D7">
        <w:t xml:space="preserve">5° which results in </w:t>
      </w:r>
      <w:r w:rsidR="00D74BC2">
        <w:t xml:space="preserve">approximately </w:t>
      </w:r>
      <w:r w:rsidR="00A706D7" w:rsidRPr="00A706D7">
        <w:t xml:space="preserve">38 dBi gain of the FS Rx </w:t>
      </w:r>
      <w:r w:rsidR="001A681D">
        <w:t xml:space="preserve">antenna </w:t>
      </w:r>
      <w:r w:rsidR="00A706D7" w:rsidRPr="00A706D7">
        <w:t>towards the RDI interferer.</w:t>
      </w:r>
    </w:p>
    <w:p w14:paraId="2E59B598" w14:textId="1C02C555" w:rsidR="0007071F" w:rsidRPr="0007071F" w:rsidRDefault="00F654B9" w:rsidP="0007071F">
      <w:r>
        <w:rPr>
          <w:rStyle w:val="ECCParagraph"/>
        </w:rPr>
        <w:t>In the second scenario</w:t>
      </w:r>
      <w:r w:rsidR="0007071F">
        <w:rPr>
          <w:rStyle w:val="ECCParagraph"/>
        </w:rPr>
        <w:t xml:space="preserve"> </w:t>
      </w:r>
      <w:r w:rsidR="00A476D1" w:rsidRPr="00A476D1">
        <w:t xml:space="preserve">(see </w:t>
      </w:r>
      <w:r w:rsidR="00A476D1" w:rsidRPr="00A476D1">
        <w:fldChar w:fldCharType="begin"/>
      </w:r>
      <w:r w:rsidR="00A476D1" w:rsidRPr="00A476D1">
        <w:instrText xml:space="preserve"> REF _Ref44338784 \h </w:instrText>
      </w:r>
      <w:r w:rsidR="00A476D1" w:rsidRPr="00A476D1">
        <w:fldChar w:fldCharType="separate"/>
      </w:r>
      <w:r w:rsidR="004F49F9">
        <w:t>Figure </w:t>
      </w:r>
      <w:r w:rsidR="004F49F9">
        <w:rPr>
          <w:noProof/>
        </w:rPr>
        <w:t>13</w:t>
      </w:r>
      <w:r w:rsidR="00A476D1" w:rsidRPr="00A476D1">
        <w:fldChar w:fldCharType="end"/>
      </w:r>
      <w:r w:rsidR="00A476D1" w:rsidRPr="00A476D1">
        <w:t>)</w:t>
      </w:r>
      <w:r w:rsidR="00E33A4E">
        <w:t>,</w:t>
      </w:r>
      <w:r w:rsidR="00A476D1">
        <w:t xml:space="preserve"> </w:t>
      </w:r>
      <w:r w:rsidR="0007071F" w:rsidRPr="0007071F">
        <w:t xml:space="preserve">the building rooftop is again connected to a </w:t>
      </w:r>
      <w:r w:rsidR="0007071F">
        <w:t>light pole</w:t>
      </w:r>
      <w:r w:rsidR="0007071F" w:rsidRPr="0007071F">
        <w:t xml:space="preserve">. In contrast to </w:t>
      </w:r>
      <w:r w:rsidR="0007071F">
        <w:t xml:space="preserve">the first scenario, </w:t>
      </w:r>
      <w:r w:rsidR="0007071F" w:rsidRPr="0007071F">
        <w:t xml:space="preserve">the locations of </w:t>
      </w:r>
      <w:r w:rsidR="0007071F">
        <w:t xml:space="preserve">the </w:t>
      </w:r>
      <w:r w:rsidR="0007071F" w:rsidRPr="0007071F">
        <w:t>FS R</w:t>
      </w:r>
      <w:r w:rsidR="0007071F">
        <w:t>x</w:t>
      </w:r>
      <w:r w:rsidR="0007071F" w:rsidRPr="0007071F">
        <w:t xml:space="preserve"> and </w:t>
      </w:r>
      <w:r w:rsidR="0007071F">
        <w:t xml:space="preserve">the </w:t>
      </w:r>
      <w:r w:rsidR="0007071F" w:rsidRPr="0007071F">
        <w:t xml:space="preserve">FS Tx are exchanged. The distance between </w:t>
      </w:r>
      <w:r w:rsidR="0007071F">
        <w:t xml:space="preserve">the </w:t>
      </w:r>
      <w:r w:rsidR="0007071F" w:rsidRPr="0007071F">
        <w:t xml:space="preserve">FS Rx and Tx is again 300 m and also the separation distance between the RDI device and the FS Rx is again 300 m resulting in </w:t>
      </w:r>
      <w:r w:rsidR="005209BD">
        <w:t xml:space="preserve">an </w:t>
      </w:r>
      <w:r w:rsidR="0007071F" w:rsidRPr="0007071F">
        <w:t xml:space="preserve">angle </w:t>
      </w:r>
      <w:r w:rsidR="005209BD">
        <w:rPr>
          <w:rFonts w:ascii="Calibri" w:hAnsi="Calibri" w:cs="Calibri"/>
        </w:rPr>
        <w:t>α</w:t>
      </w:r>
      <w:r w:rsidR="005209BD">
        <w:t>+</w:t>
      </w:r>
      <w:r w:rsidR="0007071F" w:rsidRPr="0007071F">
        <w:t xml:space="preserve">β which describes the misalignment between the </w:t>
      </w:r>
      <w:r w:rsidR="005209BD">
        <w:t>FS Rx</w:t>
      </w:r>
      <w:r w:rsidR="005209BD" w:rsidRPr="0007071F">
        <w:t xml:space="preserve"> </w:t>
      </w:r>
      <w:r w:rsidR="0007071F" w:rsidRPr="0007071F">
        <w:t xml:space="preserve">direction of main radiation and the </w:t>
      </w:r>
      <w:r w:rsidR="00751A8F">
        <w:t xml:space="preserve">location of the </w:t>
      </w:r>
      <w:r w:rsidR="005209BD">
        <w:t>RDI device</w:t>
      </w:r>
      <w:r w:rsidR="0007071F" w:rsidRPr="0007071F">
        <w:t>.</w:t>
      </w:r>
    </w:p>
    <w:p w14:paraId="4298468F" w14:textId="77777777" w:rsidR="0007071F" w:rsidRPr="0007071F" w:rsidRDefault="0007071F" w:rsidP="005872B3">
      <w:pPr>
        <w:jc w:val="center"/>
      </w:pPr>
      <w:r w:rsidRPr="0007071F">
        <w:rPr>
          <w:noProof/>
          <w:lang w:val="de-DE" w:eastAsia="de-DE"/>
        </w:rPr>
        <w:drawing>
          <wp:inline distT="0" distB="0" distL="0" distR="0" wp14:anchorId="57F53D81" wp14:editId="2FE30626">
            <wp:extent cx="5709138" cy="1942730"/>
            <wp:effectExtent l="0" t="0" r="6350" b="63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721327" cy="1946878"/>
                    </a:xfrm>
                    <a:prstGeom prst="rect">
                      <a:avLst/>
                    </a:prstGeom>
                  </pic:spPr>
                </pic:pic>
              </a:graphicData>
            </a:graphic>
          </wp:inline>
        </w:drawing>
      </w:r>
    </w:p>
    <w:p w14:paraId="66D7BA95" w14:textId="15FE73F7" w:rsidR="0007071F" w:rsidRPr="0007071F" w:rsidRDefault="0007071F" w:rsidP="0007071F">
      <w:pPr>
        <w:pStyle w:val="Caption"/>
        <w:rPr>
          <w:rStyle w:val="ECCParagraph"/>
        </w:rPr>
      </w:pPr>
      <w:bookmarkStart w:id="150" w:name="_Ref44338784"/>
      <w:r>
        <w:t>Figure</w:t>
      </w:r>
      <w:r w:rsidR="004D382C">
        <w:t> </w:t>
      </w:r>
      <w:r w:rsidR="00E55534">
        <w:fldChar w:fldCharType="begin"/>
      </w:r>
      <w:r w:rsidR="00E55534">
        <w:instrText>SEQ Figure \* ARABIC  \* MERGEFORMAT</w:instrText>
      </w:r>
      <w:r w:rsidR="00E55534">
        <w:fldChar w:fldCharType="separate"/>
      </w:r>
      <w:r w:rsidR="004F49F9">
        <w:rPr>
          <w:noProof/>
        </w:rPr>
        <w:t>13</w:t>
      </w:r>
      <w:r w:rsidR="00E55534">
        <w:rPr>
          <w:noProof/>
        </w:rPr>
        <w:fldChar w:fldCharType="end"/>
      </w:r>
      <w:bookmarkEnd w:id="150"/>
      <w:r w:rsidRPr="0007071F">
        <w:t xml:space="preserve">: </w:t>
      </w:r>
      <w:r>
        <w:rPr>
          <w:rStyle w:val="ECCParagraph"/>
        </w:rPr>
        <w:t>Light pole</w:t>
      </w:r>
      <w:r w:rsidRPr="00D31DC1">
        <w:rPr>
          <w:rStyle w:val="ECCParagraph"/>
        </w:rPr>
        <w:t xml:space="preserve"> </w:t>
      </w:r>
      <w:r w:rsidRPr="0007071F">
        <w:rPr>
          <w:rStyle w:val="ECCParagraph"/>
        </w:rPr>
        <w:t>connected to a building by means of a</w:t>
      </w:r>
      <w:r w:rsidR="00227F57">
        <w:rPr>
          <w:rStyle w:val="ECCParagraph"/>
        </w:rPr>
        <w:t>n</w:t>
      </w:r>
      <w:r w:rsidRPr="0007071F">
        <w:rPr>
          <w:rStyle w:val="ECCParagraph"/>
        </w:rPr>
        <w:t xml:space="preserve"> FS link – FS Rx </w:t>
      </w:r>
      <w:r>
        <w:rPr>
          <w:rStyle w:val="ECCParagraph"/>
        </w:rPr>
        <w:t>at</w:t>
      </w:r>
      <w:r w:rsidRPr="0007071F">
        <w:rPr>
          <w:rStyle w:val="ECCParagraph"/>
        </w:rPr>
        <w:t xml:space="preserve"> </w:t>
      </w:r>
      <w:r>
        <w:rPr>
          <w:rStyle w:val="ECCParagraph"/>
        </w:rPr>
        <w:t>light pole</w:t>
      </w:r>
    </w:p>
    <w:p w14:paraId="7D1DCFC6" w14:textId="77777777" w:rsidR="00FF7401" w:rsidRDefault="008C1224" w:rsidP="00F33AEA">
      <w:pPr>
        <w:rPr>
          <w:rStyle w:val="ECCParagraph"/>
          <w:noProof/>
        </w:rPr>
      </w:pPr>
      <w:r>
        <w:rPr>
          <w:rStyle w:val="ECCParagraph"/>
        </w:rPr>
        <w:t xml:space="preserve">For both </w:t>
      </w:r>
      <w:r w:rsidR="00113590">
        <w:rPr>
          <w:rStyle w:val="ECCParagraph"/>
        </w:rPr>
        <w:t>scenario</w:t>
      </w:r>
      <w:r>
        <w:rPr>
          <w:rStyle w:val="ECCParagraph"/>
        </w:rPr>
        <w:t>s</w:t>
      </w:r>
      <w:r w:rsidR="00113590">
        <w:rPr>
          <w:rStyle w:val="ECCParagraph"/>
        </w:rPr>
        <w:t>, the following two cases can be distinguished:</w:t>
      </w:r>
    </w:p>
    <w:p w14:paraId="7BB8E379" w14:textId="72097536" w:rsidR="00113590" w:rsidRPr="00F654B9" w:rsidRDefault="00113590" w:rsidP="00113590">
      <w:pPr>
        <w:pStyle w:val="ECCBulletsLv1"/>
      </w:pPr>
      <w:r>
        <w:t xml:space="preserve">The </w:t>
      </w:r>
      <w:r w:rsidRPr="00F654B9">
        <w:t xml:space="preserve">RDI main beam </w:t>
      </w:r>
      <w:r>
        <w:t>points in</w:t>
      </w:r>
      <w:r w:rsidRPr="00F654B9">
        <w:t xml:space="preserve"> horizontal </w:t>
      </w:r>
      <w:r>
        <w:t xml:space="preserve">direction </w:t>
      </w:r>
      <w:r w:rsidRPr="00F654B9">
        <w:t>(like indicated in</w:t>
      </w:r>
      <w:r>
        <w:t xml:space="preserve"> </w:t>
      </w:r>
      <w:r w:rsidR="008C1224">
        <w:fldChar w:fldCharType="begin"/>
      </w:r>
      <w:r w:rsidR="008C1224">
        <w:instrText xml:space="preserve"> REF _Ref44337944 \h </w:instrText>
      </w:r>
      <w:r w:rsidR="008C1224">
        <w:fldChar w:fldCharType="separate"/>
      </w:r>
      <w:r w:rsidR="004F49F9">
        <w:t>Figure </w:t>
      </w:r>
      <w:r w:rsidR="004F49F9">
        <w:rPr>
          <w:noProof/>
        </w:rPr>
        <w:t>12</w:t>
      </w:r>
      <w:r w:rsidR="008C1224">
        <w:fldChar w:fldCharType="end"/>
      </w:r>
      <w:r w:rsidR="008C1224">
        <w:t xml:space="preserve"> and </w:t>
      </w:r>
      <w:r>
        <w:fldChar w:fldCharType="begin"/>
      </w:r>
      <w:r>
        <w:instrText xml:space="preserve"> REF _Ref44338784 \h </w:instrText>
      </w:r>
      <w:r>
        <w:fldChar w:fldCharType="separate"/>
      </w:r>
      <w:r w:rsidR="004F49F9">
        <w:t>Figure </w:t>
      </w:r>
      <w:r w:rsidR="004F49F9">
        <w:rPr>
          <w:noProof/>
        </w:rPr>
        <w:t>13</w:t>
      </w:r>
      <w:r>
        <w:fldChar w:fldCharType="end"/>
      </w:r>
      <w:r w:rsidRPr="00F654B9">
        <w:t>)</w:t>
      </w:r>
      <w:r w:rsidR="009E4E69">
        <w:t>;</w:t>
      </w:r>
    </w:p>
    <w:p w14:paraId="7EFBA598" w14:textId="77777777" w:rsidR="00113590" w:rsidRDefault="00113590" w:rsidP="00113590">
      <w:pPr>
        <w:pStyle w:val="ECCBulletsLv1"/>
      </w:pPr>
      <w:r>
        <w:t>The RDI main beam points exactly towards the FS receiver</w:t>
      </w:r>
      <w:r w:rsidR="00620EDE">
        <w:t>.</w:t>
      </w:r>
    </w:p>
    <w:p w14:paraId="170CB62D" w14:textId="77777777" w:rsidR="00F33AEA" w:rsidRPr="006D6727" w:rsidRDefault="00F33AEA" w:rsidP="00F33AEA">
      <w:pPr>
        <w:rPr>
          <w:rStyle w:val="ECCHLbold"/>
          <w:noProof/>
        </w:rPr>
      </w:pPr>
      <w:r w:rsidRPr="006D6727">
        <w:rPr>
          <w:rStyle w:val="ECCHLbold"/>
          <w:noProof/>
        </w:rPr>
        <w:t>Interference to EESS (passive) satellite receivers</w:t>
      </w:r>
    </w:p>
    <w:p w14:paraId="5DB59CDC" w14:textId="77777777" w:rsidR="00F33AEA" w:rsidRPr="006D6727" w:rsidRDefault="00F33AEA" w:rsidP="00F33AEA">
      <w:pPr>
        <w:rPr>
          <w:rStyle w:val="ECCParagraph"/>
          <w:noProof/>
        </w:rPr>
      </w:pPr>
      <w:r w:rsidRPr="006D6727">
        <w:rPr>
          <w:rStyle w:val="ECCParagraph"/>
          <w:noProof/>
        </w:rPr>
        <w:t>In case of interference to satellite receivers, the relevant radiation direction would be in vertical plane above the sensor installation and the worst-case scenario could be described as an open-air sensor installation measuring vertically upwards.</w:t>
      </w:r>
    </w:p>
    <w:p w14:paraId="1B4F8CD3" w14:textId="77777777" w:rsidR="00F33AEA" w:rsidRPr="006D6727" w:rsidRDefault="00F33AEA" w:rsidP="00F33AEA">
      <w:pPr>
        <w:rPr>
          <w:rStyle w:val="ECCParagraph"/>
          <w:noProof/>
        </w:rPr>
      </w:pPr>
      <w:r w:rsidRPr="006D6727">
        <w:rPr>
          <w:rStyle w:val="ECCParagraph"/>
          <w:noProof/>
        </w:rPr>
        <w:t>Thus, the case where the main beam direction of the interfering transmit antenna points exactly towards the antenna of the victim service should be considered as the worst</w:t>
      </w:r>
      <w:r w:rsidR="00F44788">
        <w:rPr>
          <w:rStyle w:val="ECCParagraph"/>
        </w:rPr>
        <w:t>-</w:t>
      </w:r>
      <w:r w:rsidRPr="006D6727">
        <w:rPr>
          <w:rStyle w:val="ECCParagraph"/>
          <w:noProof/>
        </w:rPr>
        <w:t xml:space="preserve">case. Thus, also in this scenario the free-space propagation model could be applied assuming direct line-of-sight (LOS) conditions without obstacles between </w:t>
      </w:r>
      <w:r w:rsidRPr="006D6727">
        <w:rPr>
          <w:noProof/>
        </w:rPr>
        <w:t>interferer and victim.</w:t>
      </w:r>
    </w:p>
    <w:p w14:paraId="55DA3984" w14:textId="77777777" w:rsidR="00F33AEA" w:rsidRPr="006D6727" w:rsidRDefault="00F33AEA" w:rsidP="00F33AEA">
      <w:pPr>
        <w:rPr>
          <w:rStyle w:val="ECCParagraph"/>
          <w:noProof/>
        </w:rPr>
      </w:pPr>
      <w:r w:rsidRPr="006D6727">
        <w:rPr>
          <w:rStyle w:val="ECCParagraph"/>
          <w:noProof/>
        </w:rPr>
        <w:t>In contrast to the interference scenario over terrestrial paths, it is suggested that the interference signal from the sensor application reaches the victim satellite receiver by coupling over the main beam direction of the victim’s receiving antenna.</w:t>
      </w:r>
    </w:p>
    <w:p w14:paraId="2FDD6601" w14:textId="4FB82168" w:rsidR="00F33AEA" w:rsidRPr="006D6727" w:rsidRDefault="00374CD1" w:rsidP="00F33AEA">
      <w:pPr>
        <w:rPr>
          <w:rStyle w:val="ECCParagraph"/>
          <w:noProof/>
        </w:rPr>
      </w:pPr>
      <w:r w:rsidRPr="006D6727">
        <w:rPr>
          <w:rStyle w:val="ECCParagraph"/>
          <w:noProof/>
        </w:rPr>
        <w:fldChar w:fldCharType="begin"/>
      </w:r>
      <w:r w:rsidRPr="006D6727">
        <w:rPr>
          <w:rStyle w:val="ECCParagraph"/>
          <w:noProof/>
        </w:rPr>
        <w:instrText xml:space="preserve"> REF _Ref20311155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14</w:t>
      </w:r>
      <w:r w:rsidRPr="006D6727">
        <w:rPr>
          <w:rStyle w:val="ECCParagraph"/>
          <w:noProof/>
        </w:rPr>
        <w:fldChar w:fldCharType="end"/>
      </w:r>
      <w:r w:rsidRPr="006D6727">
        <w:rPr>
          <w:rStyle w:val="ECCParagraph"/>
          <w:noProof/>
        </w:rPr>
        <w:t xml:space="preserve"> </w:t>
      </w:r>
      <w:r w:rsidR="00F33AEA" w:rsidRPr="006D6727">
        <w:rPr>
          <w:rStyle w:val="ECCParagraph"/>
          <w:noProof/>
        </w:rPr>
        <w:t>shows a potential installation of a sensor application monitoring the placement of goods on a conveyor belt where the above described worst-case interference scenario would be reproduced.</w:t>
      </w:r>
    </w:p>
    <w:p w14:paraId="5B9F012A" w14:textId="77777777" w:rsidR="00F33AEA" w:rsidRPr="006D6727" w:rsidRDefault="008833D8" w:rsidP="001D4D07">
      <w:pPr>
        <w:pStyle w:val="Caption"/>
        <w:rPr>
          <w:rStyle w:val="ECCParagraph"/>
          <w:noProof/>
        </w:rPr>
      </w:pPr>
      <w:r w:rsidRPr="006D6727">
        <w:rPr>
          <w:noProof/>
          <w:lang w:val="de-DE" w:eastAsia="de-DE"/>
        </w:rPr>
        <w:drawing>
          <wp:inline distT="0" distB="0" distL="0" distR="0" wp14:anchorId="5D2E46F7" wp14:editId="77098C59">
            <wp:extent cx="5578997" cy="6080235"/>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626860" cy="6132399"/>
                    </a:xfrm>
                    <a:prstGeom prst="rect">
                      <a:avLst/>
                    </a:prstGeom>
                  </pic:spPr>
                </pic:pic>
              </a:graphicData>
            </a:graphic>
          </wp:inline>
        </w:drawing>
      </w:r>
    </w:p>
    <w:p w14:paraId="7DFC8910" w14:textId="55E5439A" w:rsidR="00F33AEA" w:rsidRDefault="00F33AEA" w:rsidP="00F33AEA">
      <w:pPr>
        <w:pStyle w:val="Caption"/>
        <w:rPr>
          <w:noProof/>
          <w:lang w:val="en-GB"/>
        </w:rPr>
      </w:pPr>
      <w:bookmarkStart w:id="151" w:name="_Ref20311155"/>
      <w:r w:rsidRPr="006D6727">
        <w:rPr>
          <w:noProof/>
          <w:lang w:val="en-GB"/>
        </w:rPr>
        <w:t>Figure</w:t>
      </w:r>
      <w:r w:rsidR="000377A6"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14</w:t>
      </w:r>
      <w:r w:rsidR="00616942" w:rsidRPr="006D6727">
        <w:rPr>
          <w:noProof/>
          <w:lang w:val="en-GB"/>
        </w:rPr>
        <w:fldChar w:fldCharType="end"/>
      </w:r>
      <w:bookmarkEnd w:id="151"/>
      <w:r w:rsidRPr="006D6727">
        <w:rPr>
          <w:noProof/>
          <w:lang w:val="en-GB"/>
        </w:rPr>
        <w:t>: Worst-case interference scenario against EESS (passive) satellite receivers</w:t>
      </w:r>
    </w:p>
    <w:p w14:paraId="5C231EBA" w14:textId="77777777" w:rsidR="00A831A2" w:rsidRPr="00A831A2" w:rsidRDefault="000653D8" w:rsidP="00A831A2">
      <w:pPr>
        <w:rPr>
          <w:rStyle w:val="ECCHLbold"/>
        </w:rPr>
      </w:pPr>
      <w:r>
        <w:rPr>
          <w:rStyle w:val="ECCHLbold"/>
        </w:rPr>
        <w:t>Special conditions in</w:t>
      </w:r>
      <w:r w:rsidR="00A831A2">
        <w:rPr>
          <w:rStyle w:val="ECCHLbold"/>
        </w:rPr>
        <w:t xml:space="preserve"> aggregate interference scenario</w:t>
      </w:r>
      <w:r>
        <w:rPr>
          <w:rStyle w:val="ECCHLbold"/>
        </w:rPr>
        <w:t>s</w:t>
      </w:r>
    </w:p>
    <w:p w14:paraId="4A5E9F69" w14:textId="77777777" w:rsidR="00A831A2" w:rsidRPr="00A831A2" w:rsidRDefault="00A831A2" w:rsidP="00A831A2">
      <w:r>
        <w:t>RDI devices</w:t>
      </w:r>
      <w:r w:rsidRPr="00A831A2">
        <w:t xml:space="preserve"> can be arbitrarily aligned in the field</w:t>
      </w:r>
      <w:r>
        <w:t xml:space="preserve"> depending on the measurement scenario. In aggregate interference scenarios, where many of these RDI devices can affect the victim, </w:t>
      </w:r>
      <w:r w:rsidRPr="00A831A2">
        <w:t xml:space="preserve">the usage of an </w:t>
      </w:r>
      <w:r>
        <w:t xml:space="preserve">average RDI </w:t>
      </w:r>
      <w:r w:rsidRPr="00A831A2">
        <w:t>antenna gain</w:t>
      </w:r>
      <w:r>
        <w:t xml:space="preserve"> </w:t>
      </w:r>
      <w:r w:rsidR="000653D8">
        <w:t xml:space="preserve">of </w:t>
      </w:r>
      <w:r w:rsidR="00342E06">
        <w:t>10</w:t>
      </w:r>
      <w:r w:rsidR="000653D8">
        <w:t xml:space="preserve"> dBi </w:t>
      </w:r>
      <w:r>
        <w:t>towards the victim receiver</w:t>
      </w:r>
      <w:r w:rsidRPr="00A831A2">
        <w:t xml:space="preserve"> was </w:t>
      </w:r>
      <w:r w:rsidR="00F622FB">
        <w:t xml:space="preserve">therefore </w:t>
      </w:r>
      <w:r>
        <w:t>assumed</w:t>
      </w:r>
      <w:r w:rsidRPr="00A831A2">
        <w:t>.</w:t>
      </w:r>
    </w:p>
    <w:p w14:paraId="2B1650D1" w14:textId="77777777" w:rsidR="0001168A" w:rsidRPr="006D6727" w:rsidRDefault="00F31771" w:rsidP="00160CD4">
      <w:pPr>
        <w:pStyle w:val="Heading3"/>
        <w:rPr>
          <w:rStyle w:val="ECCParagraph"/>
          <w:noProof/>
        </w:rPr>
      </w:pPr>
      <w:bookmarkStart w:id="152" w:name="_Ref20473265"/>
      <w:bookmarkStart w:id="153" w:name="_Ref20473476"/>
      <w:bookmarkStart w:id="154" w:name="_Ref20475313"/>
      <w:bookmarkStart w:id="155" w:name="_Toc84325256"/>
      <w:bookmarkStart w:id="156" w:name="_Ref122086596"/>
      <w:bookmarkStart w:id="157" w:name="_Toc127346228"/>
      <w:r>
        <w:rPr>
          <w:rStyle w:val="ECCParagraph"/>
        </w:rPr>
        <w:t>Short range</w:t>
      </w:r>
      <w:r w:rsidR="0001168A" w:rsidRPr="006D6727">
        <w:rPr>
          <w:rStyle w:val="ECCParagraph"/>
          <w:noProof/>
        </w:rPr>
        <w:t xml:space="preserve"> assist and </w:t>
      </w:r>
      <w:r>
        <w:rPr>
          <w:rStyle w:val="ECCParagraph"/>
        </w:rPr>
        <w:t>surrounding</w:t>
      </w:r>
      <w:r w:rsidRPr="006D6727">
        <w:rPr>
          <w:rStyle w:val="ECCParagraph"/>
          <w:noProof/>
        </w:rPr>
        <w:t xml:space="preserve"> </w:t>
      </w:r>
      <w:r w:rsidR="0001168A" w:rsidRPr="006D6727">
        <w:rPr>
          <w:rStyle w:val="ECCParagraph"/>
          <w:noProof/>
        </w:rPr>
        <w:t>monitoring for vehicles and autonomous systems</w:t>
      </w:r>
      <w:bookmarkEnd w:id="152"/>
      <w:bookmarkEnd w:id="153"/>
      <w:bookmarkEnd w:id="154"/>
      <w:bookmarkEnd w:id="155"/>
      <w:bookmarkEnd w:id="156"/>
      <w:bookmarkEnd w:id="157"/>
    </w:p>
    <w:p w14:paraId="12273B51" w14:textId="77777777" w:rsidR="003E4BC1" w:rsidRPr="006D6727" w:rsidRDefault="003E4BC1" w:rsidP="004E36C2">
      <w:pPr>
        <w:pStyle w:val="Heading4"/>
        <w:rPr>
          <w:noProof/>
        </w:rPr>
      </w:pPr>
      <w:bookmarkStart w:id="158" w:name="_Toc84325257"/>
      <w:r w:rsidRPr="006D6727">
        <w:rPr>
          <w:noProof/>
        </w:rPr>
        <w:t>Application scenario</w:t>
      </w:r>
      <w:bookmarkEnd w:id="158"/>
    </w:p>
    <w:p w14:paraId="061B60A8" w14:textId="074D5569" w:rsidR="006A2261" w:rsidRPr="006D6727" w:rsidRDefault="006A2261" w:rsidP="006A2261">
      <w:pPr>
        <w:rPr>
          <w:noProof/>
        </w:rPr>
      </w:pPr>
      <w:bookmarkStart w:id="159" w:name="_Hlk67921938"/>
      <w:r w:rsidRPr="006D6727">
        <w:rPr>
          <w:noProof/>
        </w:rPr>
        <w:t>To perform different functionalities for driving assistance, cars are equipped with different type</w:t>
      </w:r>
      <w:r w:rsidR="007351FD">
        <w:t>s</w:t>
      </w:r>
      <w:r w:rsidRPr="006D6727">
        <w:rPr>
          <w:noProof/>
        </w:rPr>
        <w:t xml:space="preserve"> of radars that are integrated in specific positions onboard the vehicle as shown in </w:t>
      </w:r>
      <w:r w:rsidR="00F31771">
        <w:rPr>
          <w:noProof/>
        </w:rPr>
        <w:fldChar w:fldCharType="begin"/>
      </w:r>
      <w:r w:rsidR="00F31771">
        <w:rPr>
          <w:noProof/>
        </w:rPr>
        <w:instrText xml:space="preserve"> REF _Ref10021763 \h </w:instrText>
      </w:r>
      <w:r w:rsidR="00F31771">
        <w:rPr>
          <w:noProof/>
        </w:rPr>
      </w:r>
      <w:r w:rsidR="00F31771">
        <w:rPr>
          <w:noProof/>
        </w:rPr>
        <w:fldChar w:fldCharType="separate"/>
      </w:r>
      <w:r w:rsidR="0041125F" w:rsidRPr="006D6727">
        <w:rPr>
          <w:noProof/>
        </w:rPr>
        <w:t>Figure </w:t>
      </w:r>
      <w:r w:rsidR="0041125F">
        <w:rPr>
          <w:noProof/>
        </w:rPr>
        <w:t>15</w:t>
      </w:r>
      <w:r w:rsidR="00F31771">
        <w:rPr>
          <w:noProof/>
        </w:rPr>
        <w:fldChar w:fldCharType="end"/>
      </w:r>
      <w:r w:rsidRPr="006D6727">
        <w:rPr>
          <w:noProof/>
        </w:rPr>
        <w:t>. Front and corner radars are currently used for applications requiring long and medium range such as automatic cruise control, lane keep, lane change assist, automatic emergency braking, etc.</w:t>
      </w:r>
    </w:p>
    <w:p w14:paraId="6357B26B" w14:textId="77777777" w:rsidR="00F31771" w:rsidRPr="00F31771" w:rsidRDefault="00DA6D1D" w:rsidP="00DA6D1D">
      <w:pPr>
        <w:pStyle w:val="Caption"/>
      </w:pPr>
      <w:r w:rsidRPr="00DA6D1D">
        <w:rPr>
          <w:noProof/>
          <w:lang w:val="de-DE" w:eastAsia="de-DE"/>
        </w:rPr>
        <w:drawing>
          <wp:inline distT="0" distB="0" distL="0" distR="0" wp14:anchorId="74554090" wp14:editId="79B07C41">
            <wp:extent cx="4103077" cy="2182859"/>
            <wp:effectExtent l="0" t="0" r="0" b="8255"/>
            <wp:docPr id="21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47905" cy="2206708"/>
                    </a:xfrm>
                    <a:prstGeom prst="rect">
                      <a:avLst/>
                    </a:prstGeom>
                  </pic:spPr>
                </pic:pic>
              </a:graphicData>
            </a:graphic>
          </wp:inline>
        </w:drawing>
      </w:r>
    </w:p>
    <w:p w14:paraId="3664A536" w14:textId="545B23FB" w:rsidR="007B2AFF" w:rsidRPr="006D6727" w:rsidRDefault="007B2AFF" w:rsidP="007B2AFF">
      <w:pPr>
        <w:pStyle w:val="Caption"/>
        <w:rPr>
          <w:noProof/>
          <w:lang w:val="en-GB"/>
        </w:rPr>
      </w:pPr>
      <w:bookmarkStart w:id="160" w:name="_Ref10021763"/>
      <w:r w:rsidRPr="006D6727">
        <w:rPr>
          <w:noProof/>
          <w:lang w:val="en-GB"/>
        </w:rPr>
        <w:t>Figure </w:t>
      </w:r>
      <w:r w:rsidR="00225548" w:rsidRPr="006D6727">
        <w:rPr>
          <w:noProof/>
          <w:lang w:val="en-GB"/>
        </w:rPr>
        <w:fldChar w:fldCharType="begin"/>
      </w:r>
      <w:r w:rsidR="00225548" w:rsidRPr="006D6727">
        <w:rPr>
          <w:noProof/>
          <w:lang w:val="en-GB"/>
        </w:rPr>
        <w:instrText xml:space="preserve"> SEQ Figure \*ARABIC \* MERGEFORMAT  \* MERGEFORMAT </w:instrText>
      </w:r>
      <w:r w:rsidR="00225548" w:rsidRPr="006D6727">
        <w:rPr>
          <w:noProof/>
          <w:lang w:val="en-GB"/>
        </w:rPr>
        <w:fldChar w:fldCharType="separate"/>
      </w:r>
      <w:r w:rsidR="004F49F9">
        <w:rPr>
          <w:noProof/>
          <w:lang w:val="en-GB"/>
        </w:rPr>
        <w:t>15</w:t>
      </w:r>
      <w:r w:rsidR="00225548" w:rsidRPr="006D6727">
        <w:rPr>
          <w:noProof/>
          <w:lang w:val="en-GB"/>
        </w:rPr>
        <w:fldChar w:fldCharType="end"/>
      </w:r>
      <w:bookmarkEnd w:id="160"/>
      <w:r w:rsidRPr="006D6727">
        <w:rPr>
          <w:noProof/>
          <w:lang w:val="en-GB"/>
        </w:rPr>
        <w:t xml:space="preserve">: </w:t>
      </w:r>
      <w:r w:rsidR="00F31771">
        <w:t>Short or u</w:t>
      </w:r>
      <w:r w:rsidRPr="006D6727">
        <w:rPr>
          <w:noProof/>
          <w:lang w:val="en-GB"/>
        </w:rPr>
        <w:t>ltra short</w:t>
      </w:r>
      <w:r w:rsidR="00832E5D">
        <w:t>-</w:t>
      </w:r>
      <w:r w:rsidRPr="006D6727">
        <w:rPr>
          <w:noProof/>
          <w:lang w:val="en-GB"/>
        </w:rPr>
        <w:t xml:space="preserve">range car radar for </w:t>
      </w:r>
      <w:r w:rsidR="002E5439">
        <w:t>short</w:t>
      </w:r>
      <w:r w:rsidR="00832E5D">
        <w:t>-</w:t>
      </w:r>
      <w:r w:rsidR="002E5439">
        <w:t>range</w:t>
      </w:r>
      <w:r w:rsidRPr="006D6727">
        <w:rPr>
          <w:noProof/>
          <w:lang w:val="en-GB"/>
        </w:rPr>
        <w:t xml:space="preserve"> assist/monitoring</w:t>
      </w:r>
    </w:p>
    <w:p w14:paraId="4E22E980" w14:textId="5ADF406A" w:rsidR="006A2261" w:rsidRPr="006D6727" w:rsidRDefault="006A2261" w:rsidP="006A2261">
      <w:pPr>
        <w:rPr>
          <w:noProof/>
        </w:rPr>
      </w:pPr>
      <w:r w:rsidRPr="006D6727">
        <w:rPr>
          <w:noProof/>
        </w:rPr>
        <w:t xml:space="preserve">On the other hand, future applications providing the vehicle with higher degree of autonomy require </w:t>
      </w:r>
      <w:r w:rsidR="00F31771">
        <w:t xml:space="preserve">short and </w:t>
      </w:r>
      <w:r w:rsidRPr="006D6727">
        <w:rPr>
          <w:noProof/>
        </w:rPr>
        <w:t xml:space="preserve">ultra-short-range radars for </w:t>
      </w:r>
      <w:r w:rsidR="00F31771">
        <w:t xml:space="preserve">front, </w:t>
      </w:r>
      <w:r w:rsidRPr="006D6727">
        <w:rPr>
          <w:noProof/>
        </w:rPr>
        <w:t>side</w:t>
      </w:r>
      <w:r w:rsidR="00F31771">
        <w:t xml:space="preserve"> and </w:t>
      </w:r>
      <w:r w:rsidR="00CD539C">
        <w:t>rear</w:t>
      </w:r>
      <w:r w:rsidR="00CD539C" w:rsidRPr="006D6727">
        <w:rPr>
          <w:noProof/>
        </w:rPr>
        <w:t>-view</w:t>
      </w:r>
      <w:r w:rsidRPr="006D6727">
        <w:rPr>
          <w:noProof/>
        </w:rPr>
        <w:t xml:space="preserve"> (see green areas in </w:t>
      </w:r>
      <w:r w:rsidR="00DA6736" w:rsidRPr="006D6727">
        <w:rPr>
          <w:noProof/>
        </w:rPr>
        <w:fldChar w:fldCharType="begin"/>
      </w:r>
      <w:r w:rsidR="00DA6736" w:rsidRPr="006D6727">
        <w:rPr>
          <w:noProof/>
        </w:rPr>
        <w:instrText xml:space="preserve"> REF _Ref10021763 \h </w:instrText>
      </w:r>
      <w:r w:rsidR="00DA6736" w:rsidRPr="006D6727">
        <w:rPr>
          <w:noProof/>
        </w:rPr>
      </w:r>
      <w:r w:rsidR="00DA6736" w:rsidRPr="006D6727">
        <w:rPr>
          <w:noProof/>
        </w:rPr>
        <w:fldChar w:fldCharType="separate"/>
      </w:r>
      <w:r w:rsidR="0041125F" w:rsidRPr="006D6727">
        <w:rPr>
          <w:noProof/>
        </w:rPr>
        <w:t>Figure </w:t>
      </w:r>
      <w:r w:rsidR="0041125F">
        <w:rPr>
          <w:noProof/>
        </w:rPr>
        <w:t>15</w:t>
      </w:r>
      <w:r w:rsidR="00DA6736" w:rsidRPr="006D6727">
        <w:rPr>
          <w:noProof/>
        </w:rPr>
        <w:fldChar w:fldCharType="end"/>
      </w:r>
      <w:r w:rsidRPr="006D6727">
        <w:rPr>
          <w:noProof/>
        </w:rPr>
        <w:t>)</w:t>
      </w:r>
      <w:r w:rsidR="00D00055">
        <w:t>, such that 360° sensing is enabled</w:t>
      </w:r>
      <w:r w:rsidRPr="006D6727">
        <w:rPr>
          <w:noProof/>
        </w:rPr>
        <w:t xml:space="preserve">. </w:t>
      </w:r>
      <w:r w:rsidR="00D00055">
        <w:t>Those</w:t>
      </w:r>
      <w:r w:rsidRPr="006D6727">
        <w:rPr>
          <w:noProof/>
        </w:rPr>
        <w:t xml:space="preserve"> radars would allow to obtain a wide field of view (elevation and azimuth) in the close proximity of the vehicle and features like automated parking assistance or autonomous valet parking would be possible. To perform such features, the </w:t>
      </w:r>
      <w:r w:rsidR="002E5439">
        <w:t>short</w:t>
      </w:r>
      <w:r w:rsidR="00764E06">
        <w:t>-</w:t>
      </w:r>
      <w:r w:rsidR="002E5439">
        <w:t>range</w:t>
      </w:r>
      <w:r w:rsidRPr="006D6727">
        <w:rPr>
          <w:noProof/>
        </w:rPr>
        <w:t xml:space="preserve"> detection radars should be capable to detect a wide range of objects different in nature to those traditionally detected for driving assistance radars (pedestrian, bicycles, vehicles, etc). Therefore, a wide range of target characteristics should be taken into account while assessing the technical parameters of the radars at this frequency range.</w:t>
      </w:r>
    </w:p>
    <w:p w14:paraId="2C64A805" w14:textId="77777777" w:rsidR="00995788" w:rsidRPr="006D6727" w:rsidRDefault="0007434A" w:rsidP="004E36C2">
      <w:pPr>
        <w:pStyle w:val="Heading4"/>
        <w:rPr>
          <w:noProof/>
        </w:rPr>
      </w:pPr>
      <w:bookmarkStart w:id="161" w:name="_Ref67225688"/>
      <w:bookmarkStart w:id="162" w:name="_Toc84325258"/>
      <w:r w:rsidRPr="006D6727">
        <w:rPr>
          <w:noProof/>
        </w:rPr>
        <w:t>Frequency ranges and application types</w:t>
      </w:r>
      <w:bookmarkEnd w:id="161"/>
      <w:bookmarkEnd w:id="162"/>
    </w:p>
    <w:p w14:paraId="2C8E9D76" w14:textId="127737A1" w:rsidR="00031497" w:rsidRPr="006D6727" w:rsidRDefault="001A41EB" w:rsidP="00031497">
      <w:pPr>
        <w:rPr>
          <w:rStyle w:val="ECCParagraph"/>
          <w:noProof/>
        </w:rPr>
      </w:pPr>
      <w:bookmarkStart w:id="163" w:name="_Hlk10713969"/>
      <w:r w:rsidRPr="006D6727">
        <w:rPr>
          <w:rStyle w:val="ECCParagraph"/>
          <w:noProof/>
        </w:rPr>
        <w:t xml:space="preserve">Radar sensors for </w:t>
      </w:r>
      <w:r w:rsidR="00F31771">
        <w:rPr>
          <w:rStyle w:val="ECCParagraph"/>
        </w:rPr>
        <w:t>short</w:t>
      </w:r>
      <w:r w:rsidR="00832E5D">
        <w:rPr>
          <w:rStyle w:val="ECCParagraph"/>
        </w:rPr>
        <w:t>-</w:t>
      </w:r>
      <w:r w:rsidR="00F31771">
        <w:rPr>
          <w:rStyle w:val="ECCParagraph"/>
        </w:rPr>
        <w:t>range</w:t>
      </w:r>
      <w:r w:rsidRPr="006D6727">
        <w:rPr>
          <w:rStyle w:val="ECCParagraph"/>
          <w:noProof/>
        </w:rPr>
        <w:t xml:space="preserve"> assist and </w:t>
      </w:r>
      <w:r w:rsidR="00F31771">
        <w:rPr>
          <w:rStyle w:val="ECCParagraph"/>
        </w:rPr>
        <w:t>surrounding</w:t>
      </w:r>
      <w:r w:rsidR="00F31771" w:rsidRPr="006D6727">
        <w:rPr>
          <w:rStyle w:val="ECCParagraph"/>
          <w:noProof/>
        </w:rPr>
        <w:t xml:space="preserve"> </w:t>
      </w:r>
      <w:r w:rsidRPr="006D6727">
        <w:rPr>
          <w:rStyle w:val="ECCParagraph"/>
          <w:noProof/>
        </w:rPr>
        <w:t xml:space="preserve">monitoring for vehicles and autonomous systems </w:t>
      </w:r>
      <w:r w:rsidR="00031497" w:rsidRPr="006D6727">
        <w:rPr>
          <w:rStyle w:val="ECCParagraph"/>
          <w:noProof/>
        </w:rPr>
        <w:t xml:space="preserve">have been categorised as type A applications (see </w:t>
      </w:r>
      <w:r w:rsidR="009D5FA2">
        <w:rPr>
          <w:rStyle w:val="ECCParagraph"/>
          <w:noProof/>
        </w:rPr>
        <w:t>section</w:t>
      </w:r>
      <w:r w:rsidR="00031497" w:rsidRPr="006D6727">
        <w:rPr>
          <w:rStyle w:val="ECCParagraph"/>
          <w:noProof/>
        </w:rPr>
        <w:t xml:space="preserve"> </w:t>
      </w:r>
      <w:r w:rsidR="00031497" w:rsidRPr="006D6727">
        <w:rPr>
          <w:rStyle w:val="ECCParagraph"/>
          <w:noProof/>
        </w:rPr>
        <w:fldChar w:fldCharType="begin"/>
      </w:r>
      <w:r w:rsidR="00031497" w:rsidRPr="006D6727">
        <w:rPr>
          <w:rStyle w:val="ECCParagraph"/>
          <w:noProof/>
        </w:rPr>
        <w:instrText xml:space="preserve"> REF _Ref7786850 \r \h  \* MERGEFORMAT </w:instrText>
      </w:r>
      <w:r w:rsidR="00031497" w:rsidRPr="006D6727">
        <w:rPr>
          <w:rStyle w:val="ECCParagraph"/>
          <w:noProof/>
        </w:rPr>
      </w:r>
      <w:r w:rsidR="00031497" w:rsidRPr="006D6727">
        <w:rPr>
          <w:rStyle w:val="ECCParagraph"/>
          <w:noProof/>
        </w:rPr>
        <w:fldChar w:fldCharType="separate"/>
      </w:r>
      <w:r w:rsidR="004F49F9">
        <w:rPr>
          <w:rStyle w:val="ECCParagraph"/>
          <w:noProof/>
        </w:rPr>
        <w:t>2.1</w:t>
      </w:r>
      <w:r w:rsidR="00031497" w:rsidRPr="006D6727">
        <w:rPr>
          <w:rStyle w:val="ECCParagraph"/>
          <w:noProof/>
        </w:rPr>
        <w:fldChar w:fldCharType="end"/>
      </w:r>
      <w:r w:rsidR="00031497" w:rsidRPr="006D6727">
        <w:rPr>
          <w:rStyle w:val="ECCParagraph"/>
          <w:noProof/>
        </w:rPr>
        <w:t>). The following frequency ranges are proposed to be considered for this type of application (see</w:t>
      </w:r>
      <w:r w:rsidR="00DA6736" w:rsidRPr="006D6727">
        <w:rPr>
          <w:rStyle w:val="ECCParagraph"/>
          <w:noProof/>
        </w:rPr>
        <w:t xml:space="preserve"> </w:t>
      </w:r>
      <w:r w:rsidR="00DA6736" w:rsidRPr="006D6727">
        <w:rPr>
          <w:rStyle w:val="ECCParagraph"/>
          <w:noProof/>
        </w:rPr>
        <w:fldChar w:fldCharType="begin"/>
      </w:r>
      <w:r w:rsidR="00DA6736" w:rsidRPr="006D6727">
        <w:rPr>
          <w:rStyle w:val="ECCParagraph"/>
          <w:noProof/>
        </w:rPr>
        <w:instrText xml:space="preserve"> REF _Ref15636825 \h </w:instrText>
      </w:r>
      <w:r w:rsidR="00DA6736" w:rsidRPr="006D6727">
        <w:rPr>
          <w:rStyle w:val="ECCParagraph"/>
          <w:noProof/>
        </w:rPr>
      </w:r>
      <w:r w:rsidR="00DA6736" w:rsidRPr="006D6727">
        <w:rPr>
          <w:rStyle w:val="ECCParagraph"/>
          <w:noProof/>
        </w:rPr>
        <w:fldChar w:fldCharType="separate"/>
      </w:r>
      <w:r w:rsidR="0041125F" w:rsidRPr="006D6727">
        <w:rPr>
          <w:noProof/>
        </w:rPr>
        <w:t>Table </w:t>
      </w:r>
      <w:r w:rsidR="0041125F">
        <w:rPr>
          <w:noProof/>
        </w:rPr>
        <w:t>33</w:t>
      </w:r>
      <w:r w:rsidR="00DA6736" w:rsidRPr="006D6727">
        <w:rPr>
          <w:rStyle w:val="ECCParagraph"/>
          <w:noProof/>
        </w:rPr>
        <w:fldChar w:fldCharType="end"/>
      </w:r>
      <w:r w:rsidR="00031497" w:rsidRPr="006D6727">
        <w:rPr>
          <w:rStyle w:val="ECCParagraph"/>
          <w:noProof/>
        </w:rPr>
        <w:t>):</w:t>
      </w:r>
      <w:bookmarkEnd w:id="163"/>
    </w:p>
    <w:p w14:paraId="763B82F1" w14:textId="77777777" w:rsidR="00031497" w:rsidRPr="006D6727" w:rsidRDefault="001A41EB" w:rsidP="00031497">
      <w:pPr>
        <w:pStyle w:val="ECCBulletsLv1"/>
        <w:rPr>
          <w:rStyle w:val="ECCParagraph"/>
          <w:noProof/>
        </w:rPr>
      </w:pPr>
      <w:r w:rsidRPr="006D6727">
        <w:rPr>
          <w:noProof/>
        </w:rPr>
        <w:t>116</w:t>
      </w:r>
      <w:r w:rsidRPr="006D6727">
        <w:rPr>
          <w:rStyle w:val="ECCParagraph"/>
          <w:noProof/>
        </w:rPr>
        <w:t> GHz to 130 GHz</w:t>
      </w:r>
      <w:r w:rsidR="00054EBC" w:rsidRPr="006D6727">
        <w:rPr>
          <w:rStyle w:val="ECCParagraph"/>
          <w:noProof/>
        </w:rPr>
        <w:t>;</w:t>
      </w:r>
    </w:p>
    <w:p w14:paraId="641B57E7" w14:textId="77777777" w:rsidR="001A41EB" w:rsidRPr="006D6727" w:rsidRDefault="001A41EB" w:rsidP="00031497">
      <w:pPr>
        <w:pStyle w:val="ECCBulletsLv1"/>
        <w:rPr>
          <w:rStyle w:val="ECCParagraph"/>
          <w:noProof/>
        </w:rPr>
      </w:pPr>
      <w:r w:rsidRPr="006D6727">
        <w:rPr>
          <w:rStyle w:val="ECCParagraph"/>
          <w:noProof/>
        </w:rPr>
        <w:t>134 GHz to 141 GHz</w:t>
      </w:r>
      <w:r w:rsidR="00054EBC" w:rsidRPr="006D6727">
        <w:rPr>
          <w:rStyle w:val="ECCParagraph"/>
          <w:noProof/>
        </w:rPr>
        <w:t>;</w:t>
      </w:r>
    </w:p>
    <w:p w14:paraId="0808189B" w14:textId="77777777" w:rsidR="001A41EB" w:rsidRPr="006D6727" w:rsidRDefault="001A41EB" w:rsidP="00031497">
      <w:pPr>
        <w:pStyle w:val="ECCBulletsLv1"/>
        <w:rPr>
          <w:rStyle w:val="ECCParagraph"/>
          <w:noProof/>
        </w:rPr>
      </w:pPr>
      <w:r w:rsidRPr="006D6727">
        <w:rPr>
          <w:rStyle w:val="ECCParagraph"/>
          <w:noProof/>
        </w:rPr>
        <w:t>141 GHz to 148</w:t>
      </w:r>
      <w:r w:rsidR="00CF4994">
        <w:rPr>
          <w:rStyle w:val="ECCParagraph"/>
          <w:noProof/>
        </w:rPr>
        <w:t>.5</w:t>
      </w:r>
      <w:r w:rsidRPr="006D6727">
        <w:rPr>
          <w:rStyle w:val="ECCParagraph"/>
          <w:noProof/>
        </w:rPr>
        <w:t xml:space="preserve"> GHz</w:t>
      </w:r>
      <w:r w:rsidR="00054EBC" w:rsidRPr="006D6727">
        <w:rPr>
          <w:rStyle w:val="ECCParagraph"/>
          <w:noProof/>
        </w:rPr>
        <w:t>.</w:t>
      </w:r>
    </w:p>
    <w:p w14:paraId="39A4A410" w14:textId="77777777" w:rsidR="006A2261" w:rsidRPr="006D6727" w:rsidRDefault="00995788" w:rsidP="004E36C2">
      <w:pPr>
        <w:pStyle w:val="Heading4"/>
        <w:rPr>
          <w:noProof/>
        </w:rPr>
      </w:pPr>
      <w:bookmarkStart w:id="164" w:name="_Ref20313340"/>
      <w:bookmarkStart w:id="165" w:name="_Toc84325259"/>
      <w:r w:rsidRPr="006D6727">
        <w:rPr>
          <w:noProof/>
        </w:rPr>
        <w:t>Technical parameters</w:t>
      </w:r>
      <w:bookmarkEnd w:id="164"/>
      <w:bookmarkEnd w:id="165"/>
    </w:p>
    <w:p w14:paraId="7C36C4AA" w14:textId="6F3AD46E" w:rsidR="009D629B" w:rsidRPr="006D6727" w:rsidRDefault="009D629B" w:rsidP="009D629B">
      <w:pPr>
        <w:rPr>
          <w:noProof/>
        </w:rPr>
      </w:pPr>
      <w:r w:rsidRPr="006D6727">
        <w:rPr>
          <w:noProof/>
        </w:rPr>
        <w:t>Radar products for automobile applications exist in the 24</w:t>
      </w:r>
      <w:r w:rsidR="00E93547" w:rsidRPr="006D6727">
        <w:rPr>
          <w:noProof/>
        </w:rPr>
        <w:t> </w:t>
      </w:r>
      <w:r w:rsidRPr="006D6727">
        <w:rPr>
          <w:noProof/>
        </w:rPr>
        <w:t>GHz and 79</w:t>
      </w:r>
      <w:r w:rsidR="00E93547" w:rsidRPr="006D6727">
        <w:rPr>
          <w:noProof/>
        </w:rPr>
        <w:t> </w:t>
      </w:r>
      <w:r w:rsidRPr="006D6727">
        <w:rPr>
          <w:noProof/>
        </w:rPr>
        <w:t>GHz frequency bands. No prototypes have been developed in frequency bands above 100</w:t>
      </w:r>
      <w:r w:rsidR="00E93547" w:rsidRPr="006D6727">
        <w:rPr>
          <w:noProof/>
        </w:rPr>
        <w:t> </w:t>
      </w:r>
      <w:r w:rsidRPr="006D6727">
        <w:rPr>
          <w:noProof/>
        </w:rPr>
        <w:t xml:space="preserve">GHz; therefore, several hypotheses should be made to deduce radar characteristics at the bands considered in this </w:t>
      </w:r>
      <w:r w:rsidR="009E4E69">
        <w:rPr>
          <w:noProof/>
        </w:rPr>
        <w:t>Report</w:t>
      </w:r>
      <w:r w:rsidRPr="006D6727">
        <w:rPr>
          <w:noProof/>
        </w:rPr>
        <w:t xml:space="preserve">. </w:t>
      </w:r>
      <w:r w:rsidR="00A34D36" w:rsidRPr="006D6727">
        <w:rPr>
          <w:noProof/>
        </w:rPr>
        <w:fldChar w:fldCharType="begin"/>
      </w:r>
      <w:r w:rsidR="00A34D36" w:rsidRPr="006D6727">
        <w:rPr>
          <w:noProof/>
        </w:rPr>
        <w:instrText xml:space="preserve"> REF _Ref15636231 \h </w:instrText>
      </w:r>
      <w:r w:rsidR="00A34D36" w:rsidRPr="006D6727">
        <w:rPr>
          <w:noProof/>
        </w:rPr>
      </w:r>
      <w:r w:rsidR="00A34D36" w:rsidRPr="006D6727">
        <w:rPr>
          <w:noProof/>
        </w:rPr>
        <w:fldChar w:fldCharType="separate"/>
      </w:r>
      <w:r w:rsidR="0041125F" w:rsidRPr="006D6727">
        <w:rPr>
          <w:noProof/>
        </w:rPr>
        <w:t>Table </w:t>
      </w:r>
      <w:r w:rsidR="0041125F">
        <w:rPr>
          <w:noProof/>
        </w:rPr>
        <w:t>18</w:t>
      </w:r>
      <w:r w:rsidR="00A34D36" w:rsidRPr="006D6727">
        <w:rPr>
          <w:noProof/>
        </w:rPr>
        <w:fldChar w:fldCharType="end"/>
      </w:r>
      <w:r w:rsidR="00A34D36" w:rsidRPr="006D6727">
        <w:rPr>
          <w:noProof/>
        </w:rPr>
        <w:t xml:space="preserve"> </w:t>
      </w:r>
      <w:r w:rsidRPr="006D6727">
        <w:rPr>
          <w:noProof/>
        </w:rPr>
        <w:t>provides general assumptions applicable to different type of radars that could be designed in these bands.</w:t>
      </w:r>
    </w:p>
    <w:p w14:paraId="5C239934" w14:textId="754649CA" w:rsidR="009D629B" w:rsidRPr="006D6727" w:rsidRDefault="00A34D36" w:rsidP="009D629B">
      <w:pPr>
        <w:pStyle w:val="Caption"/>
        <w:rPr>
          <w:noProof/>
          <w:lang w:val="en-GB"/>
        </w:rPr>
      </w:pPr>
      <w:bookmarkStart w:id="166" w:name="_Ref15636231"/>
      <w:r w:rsidRPr="006D6727">
        <w:rPr>
          <w:noProof/>
          <w:lang w:val="en-GB"/>
        </w:rPr>
        <w:t>Table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18</w:t>
      </w:r>
      <w:r w:rsidR="00616942" w:rsidRPr="006D6727">
        <w:rPr>
          <w:noProof/>
          <w:lang w:val="en-GB"/>
        </w:rPr>
        <w:fldChar w:fldCharType="end"/>
      </w:r>
      <w:bookmarkEnd w:id="166"/>
      <w:r w:rsidRPr="006D6727">
        <w:rPr>
          <w:noProof/>
          <w:lang w:val="en-GB"/>
        </w:rPr>
        <w:t>:</w:t>
      </w:r>
      <w:r w:rsidR="009D629B" w:rsidRPr="006D6727">
        <w:rPr>
          <w:noProof/>
          <w:lang w:val="en-GB"/>
        </w:rPr>
        <w:t xml:space="preserve"> General assumptions for automotive radars for </w:t>
      </w:r>
      <w:r w:rsidR="002E5439">
        <w:t>short</w:t>
      </w:r>
      <w:r w:rsidR="00832E5D">
        <w:t>-</w:t>
      </w:r>
      <w:r w:rsidR="002E5439">
        <w:t>range</w:t>
      </w:r>
      <w:r w:rsidR="009D629B" w:rsidRPr="006D6727">
        <w:rPr>
          <w:noProof/>
          <w:lang w:val="en-GB"/>
        </w:rPr>
        <w:t xml:space="preserve"> applications</w:t>
      </w:r>
    </w:p>
    <w:tbl>
      <w:tblPr>
        <w:tblStyle w:val="ECCTable-redheader"/>
        <w:tblW w:w="9456" w:type="dxa"/>
        <w:tblInd w:w="0" w:type="dxa"/>
        <w:tblLayout w:type="fixed"/>
        <w:tblLook w:val="04A0" w:firstRow="1" w:lastRow="0" w:firstColumn="1" w:lastColumn="0" w:noHBand="0" w:noVBand="1"/>
      </w:tblPr>
      <w:tblGrid>
        <w:gridCol w:w="2268"/>
        <w:gridCol w:w="1984"/>
        <w:gridCol w:w="5204"/>
      </w:tblGrid>
      <w:tr w:rsidR="009D629B" w:rsidRPr="006D6727" w14:paraId="58C2E5BA" w14:textId="77777777" w:rsidTr="00456ACD">
        <w:trPr>
          <w:cnfStyle w:val="100000000000" w:firstRow="1" w:lastRow="0" w:firstColumn="0" w:lastColumn="0" w:oddVBand="0" w:evenVBand="0" w:oddHBand="0" w:evenHBand="0" w:firstRowFirstColumn="0" w:firstRowLastColumn="0" w:lastRowFirstColumn="0" w:lastRowLastColumn="0"/>
          <w:trHeight w:val="421"/>
        </w:trPr>
        <w:tc>
          <w:tcPr>
            <w:tcW w:w="2268" w:type="dxa"/>
            <w:hideMark/>
          </w:tcPr>
          <w:p w14:paraId="5CB94C03" w14:textId="77777777" w:rsidR="009D629B" w:rsidRPr="006D6727" w:rsidRDefault="009D629B" w:rsidP="009D629B">
            <w:pPr>
              <w:rPr>
                <w:noProof/>
              </w:rPr>
            </w:pPr>
            <w:r w:rsidRPr="006D6727">
              <w:rPr>
                <w:noProof/>
              </w:rPr>
              <w:t>Parameter</w:t>
            </w:r>
          </w:p>
        </w:tc>
        <w:tc>
          <w:tcPr>
            <w:tcW w:w="1984" w:type="dxa"/>
            <w:hideMark/>
          </w:tcPr>
          <w:p w14:paraId="4BA5ED0D" w14:textId="77777777" w:rsidR="009D629B" w:rsidRPr="006D6727" w:rsidRDefault="009D629B" w:rsidP="009D629B">
            <w:pPr>
              <w:rPr>
                <w:noProof/>
              </w:rPr>
            </w:pPr>
            <w:r w:rsidRPr="006D6727">
              <w:rPr>
                <w:noProof/>
              </w:rPr>
              <w:t>Value</w:t>
            </w:r>
          </w:p>
        </w:tc>
        <w:tc>
          <w:tcPr>
            <w:tcW w:w="5204" w:type="dxa"/>
            <w:hideMark/>
          </w:tcPr>
          <w:p w14:paraId="3783DD05" w14:textId="77777777" w:rsidR="009D629B" w:rsidRPr="006D6727" w:rsidRDefault="009D629B" w:rsidP="009D629B">
            <w:pPr>
              <w:rPr>
                <w:noProof/>
              </w:rPr>
            </w:pPr>
            <w:r w:rsidRPr="006D6727">
              <w:rPr>
                <w:noProof/>
              </w:rPr>
              <w:t>Comment</w:t>
            </w:r>
          </w:p>
        </w:tc>
      </w:tr>
      <w:tr w:rsidR="009D629B" w:rsidRPr="006D6727" w14:paraId="74E4DADF" w14:textId="77777777" w:rsidTr="00456ACD">
        <w:trPr>
          <w:trHeight w:val="421"/>
        </w:trPr>
        <w:tc>
          <w:tcPr>
            <w:tcW w:w="2268" w:type="dxa"/>
            <w:hideMark/>
          </w:tcPr>
          <w:p w14:paraId="47F3F367" w14:textId="77777777" w:rsidR="009D629B" w:rsidRPr="006D6727" w:rsidRDefault="006176F7" w:rsidP="00031A36">
            <w:pPr>
              <w:jc w:val="left"/>
              <w:rPr>
                <w:noProof/>
              </w:rPr>
            </w:pPr>
            <w:r w:rsidRPr="006D6727">
              <w:rPr>
                <w:noProof/>
              </w:rPr>
              <w:t>Frequency bands</w:t>
            </w:r>
          </w:p>
        </w:tc>
        <w:tc>
          <w:tcPr>
            <w:tcW w:w="1984" w:type="dxa"/>
            <w:hideMark/>
          </w:tcPr>
          <w:p w14:paraId="74CD804B" w14:textId="4539B06E" w:rsidR="00C8225B" w:rsidRPr="006D6727" w:rsidRDefault="00C8225B" w:rsidP="00031A36">
            <w:pPr>
              <w:jc w:val="left"/>
              <w:rPr>
                <w:noProof/>
              </w:rPr>
            </w:pPr>
            <w:r w:rsidRPr="006D6727">
              <w:rPr>
                <w:noProof/>
              </w:rPr>
              <w:t>116</w:t>
            </w:r>
            <w:r w:rsidR="001D7996">
              <w:rPr>
                <w:noProof/>
              </w:rPr>
              <w:t>-</w:t>
            </w:r>
            <w:r w:rsidRPr="006D6727">
              <w:rPr>
                <w:noProof/>
              </w:rPr>
              <w:t>130 GHz</w:t>
            </w:r>
          </w:p>
          <w:p w14:paraId="0ABFC133" w14:textId="51324307" w:rsidR="00D835D6" w:rsidRPr="006D6727" w:rsidRDefault="006176F7" w:rsidP="00031A36">
            <w:pPr>
              <w:jc w:val="left"/>
              <w:rPr>
                <w:noProof/>
              </w:rPr>
            </w:pPr>
            <w:r w:rsidRPr="006D6727">
              <w:rPr>
                <w:noProof/>
              </w:rPr>
              <w:t>134</w:t>
            </w:r>
            <w:r w:rsidR="001D7996">
              <w:rPr>
                <w:noProof/>
              </w:rPr>
              <w:t>-</w:t>
            </w:r>
            <w:r w:rsidRPr="006D6727">
              <w:rPr>
                <w:noProof/>
              </w:rPr>
              <w:t>141 GHz</w:t>
            </w:r>
          </w:p>
          <w:p w14:paraId="7963700E" w14:textId="10423FEF" w:rsidR="006176F7" w:rsidRPr="006D6727" w:rsidRDefault="006176F7" w:rsidP="00031A36">
            <w:pPr>
              <w:jc w:val="left"/>
              <w:rPr>
                <w:noProof/>
              </w:rPr>
            </w:pPr>
            <w:r w:rsidRPr="006D6727">
              <w:rPr>
                <w:noProof/>
              </w:rPr>
              <w:t>141</w:t>
            </w:r>
            <w:r w:rsidR="001D7996">
              <w:rPr>
                <w:noProof/>
              </w:rPr>
              <w:t>-</w:t>
            </w:r>
            <w:r w:rsidRPr="006D6727">
              <w:rPr>
                <w:noProof/>
              </w:rPr>
              <w:t>148</w:t>
            </w:r>
            <w:r w:rsidR="00CF4994">
              <w:rPr>
                <w:noProof/>
              </w:rPr>
              <w:t>.5</w:t>
            </w:r>
            <w:r w:rsidRPr="006D6727">
              <w:rPr>
                <w:noProof/>
              </w:rPr>
              <w:t> GHz</w:t>
            </w:r>
          </w:p>
        </w:tc>
        <w:tc>
          <w:tcPr>
            <w:tcW w:w="5204" w:type="dxa"/>
            <w:hideMark/>
          </w:tcPr>
          <w:p w14:paraId="76CEC191" w14:textId="77777777" w:rsidR="009D629B" w:rsidRPr="006D6727" w:rsidRDefault="009D629B" w:rsidP="00031A36">
            <w:pPr>
              <w:jc w:val="left"/>
              <w:rPr>
                <w:noProof/>
              </w:rPr>
            </w:pPr>
          </w:p>
        </w:tc>
      </w:tr>
      <w:tr w:rsidR="009D629B" w:rsidRPr="006D6727" w14:paraId="2158753F" w14:textId="77777777" w:rsidTr="00456ACD">
        <w:trPr>
          <w:trHeight w:val="99"/>
        </w:trPr>
        <w:tc>
          <w:tcPr>
            <w:tcW w:w="2268" w:type="dxa"/>
            <w:hideMark/>
          </w:tcPr>
          <w:p w14:paraId="0AAD9F51" w14:textId="77777777" w:rsidR="009D629B" w:rsidRPr="006D6727" w:rsidRDefault="009D629B" w:rsidP="00031A36">
            <w:pPr>
              <w:jc w:val="left"/>
              <w:rPr>
                <w:noProof/>
              </w:rPr>
            </w:pPr>
            <w:r w:rsidRPr="006D6727">
              <w:rPr>
                <w:noProof/>
              </w:rPr>
              <w:t>Bandwidth</w:t>
            </w:r>
          </w:p>
        </w:tc>
        <w:tc>
          <w:tcPr>
            <w:tcW w:w="1984" w:type="dxa"/>
            <w:hideMark/>
          </w:tcPr>
          <w:p w14:paraId="41C5951B" w14:textId="77777777" w:rsidR="009D629B" w:rsidRPr="006D6727" w:rsidRDefault="009D629B" w:rsidP="00031A36">
            <w:pPr>
              <w:jc w:val="left"/>
              <w:rPr>
                <w:noProof/>
              </w:rPr>
            </w:pPr>
            <w:r w:rsidRPr="006D6727">
              <w:rPr>
                <w:noProof/>
              </w:rPr>
              <w:t>1, 2, 4, 7</w:t>
            </w:r>
            <w:r w:rsidR="00F31771">
              <w:t>, 14</w:t>
            </w:r>
            <w:r w:rsidR="00E93547" w:rsidRPr="006D6727">
              <w:rPr>
                <w:noProof/>
              </w:rPr>
              <w:t> </w:t>
            </w:r>
            <w:r w:rsidRPr="006D6727">
              <w:rPr>
                <w:noProof/>
              </w:rPr>
              <w:t>GHz</w:t>
            </w:r>
          </w:p>
        </w:tc>
        <w:tc>
          <w:tcPr>
            <w:tcW w:w="5204" w:type="dxa"/>
            <w:hideMark/>
          </w:tcPr>
          <w:p w14:paraId="53F60CDE" w14:textId="77777777" w:rsidR="009D629B" w:rsidRPr="006D6727" w:rsidRDefault="009D629B" w:rsidP="00031A36">
            <w:pPr>
              <w:jc w:val="left"/>
              <w:rPr>
                <w:noProof/>
              </w:rPr>
            </w:pPr>
            <w:r w:rsidRPr="006D6727">
              <w:rPr>
                <w:noProof/>
              </w:rPr>
              <w:t>Depending on the required range resolution of the application</w:t>
            </w:r>
          </w:p>
        </w:tc>
      </w:tr>
      <w:tr w:rsidR="009D629B" w:rsidRPr="006D6727" w14:paraId="68FDB5EB" w14:textId="77777777" w:rsidTr="00456ACD">
        <w:trPr>
          <w:trHeight w:val="304"/>
        </w:trPr>
        <w:tc>
          <w:tcPr>
            <w:tcW w:w="2268" w:type="dxa"/>
            <w:hideMark/>
          </w:tcPr>
          <w:p w14:paraId="5996A822" w14:textId="77777777" w:rsidR="009D629B" w:rsidRPr="006D6727" w:rsidRDefault="009D629B" w:rsidP="00031A36">
            <w:pPr>
              <w:jc w:val="left"/>
              <w:rPr>
                <w:noProof/>
              </w:rPr>
            </w:pPr>
            <w:r w:rsidRPr="006D6727">
              <w:rPr>
                <w:noProof/>
              </w:rPr>
              <w:t>Required SNR</w:t>
            </w:r>
          </w:p>
        </w:tc>
        <w:tc>
          <w:tcPr>
            <w:tcW w:w="1984" w:type="dxa"/>
            <w:hideMark/>
          </w:tcPr>
          <w:p w14:paraId="03BD0DAD" w14:textId="77777777" w:rsidR="009D629B" w:rsidRPr="006D6727" w:rsidRDefault="009D629B" w:rsidP="00031A36">
            <w:pPr>
              <w:jc w:val="left"/>
              <w:rPr>
                <w:noProof/>
              </w:rPr>
            </w:pPr>
            <w:r w:rsidRPr="006D6727">
              <w:rPr>
                <w:noProof/>
              </w:rPr>
              <w:t>15</w:t>
            </w:r>
            <w:r w:rsidR="00E93547" w:rsidRPr="006D6727">
              <w:rPr>
                <w:noProof/>
              </w:rPr>
              <w:t> </w:t>
            </w:r>
            <w:r w:rsidRPr="006D6727">
              <w:rPr>
                <w:noProof/>
              </w:rPr>
              <w:t>dB</w:t>
            </w:r>
          </w:p>
        </w:tc>
        <w:tc>
          <w:tcPr>
            <w:tcW w:w="5204" w:type="dxa"/>
            <w:hideMark/>
          </w:tcPr>
          <w:p w14:paraId="06C259DA" w14:textId="77777777" w:rsidR="009D629B" w:rsidRPr="006D6727" w:rsidRDefault="009D629B" w:rsidP="00031A36">
            <w:pPr>
              <w:jc w:val="left"/>
              <w:rPr>
                <w:noProof/>
              </w:rPr>
            </w:pPr>
            <w:r w:rsidRPr="006D6727">
              <w:rPr>
                <w:noProof/>
              </w:rPr>
              <w:t>Typical value in lower frequency bands</w:t>
            </w:r>
          </w:p>
        </w:tc>
      </w:tr>
      <w:tr w:rsidR="009D629B" w:rsidRPr="006D6727" w14:paraId="1D176F31" w14:textId="77777777" w:rsidTr="00456ACD">
        <w:trPr>
          <w:trHeight w:val="468"/>
        </w:trPr>
        <w:tc>
          <w:tcPr>
            <w:tcW w:w="2268" w:type="dxa"/>
            <w:hideMark/>
          </w:tcPr>
          <w:p w14:paraId="6838DB46" w14:textId="77777777" w:rsidR="009D629B" w:rsidRPr="006D6727" w:rsidRDefault="009D629B" w:rsidP="00031A36">
            <w:pPr>
              <w:jc w:val="left"/>
              <w:rPr>
                <w:noProof/>
              </w:rPr>
            </w:pPr>
            <w:r w:rsidRPr="006D6727">
              <w:rPr>
                <w:noProof/>
              </w:rPr>
              <w:t>RCS</w:t>
            </w:r>
          </w:p>
        </w:tc>
        <w:tc>
          <w:tcPr>
            <w:tcW w:w="1984" w:type="dxa"/>
            <w:hideMark/>
          </w:tcPr>
          <w:p w14:paraId="684103A3" w14:textId="77777777" w:rsidR="009D629B" w:rsidRPr="006D6727" w:rsidRDefault="00E93547" w:rsidP="00031A36">
            <w:pPr>
              <w:jc w:val="left"/>
              <w:rPr>
                <w:noProof/>
              </w:rPr>
            </w:pPr>
            <w:r w:rsidRPr="006D6727">
              <w:rPr>
                <w:rFonts w:cs="Arial"/>
                <w:noProof/>
              </w:rPr>
              <w:t>−</w:t>
            </w:r>
            <w:r w:rsidR="009D629B" w:rsidRPr="006D6727">
              <w:rPr>
                <w:noProof/>
              </w:rPr>
              <w:t>30</w:t>
            </w:r>
            <w:r w:rsidR="00D835D6" w:rsidRPr="006D6727">
              <w:rPr>
                <w:noProof/>
              </w:rPr>
              <w:t> dBm²</w:t>
            </w:r>
            <w:r w:rsidR="009D629B" w:rsidRPr="006D6727">
              <w:rPr>
                <w:noProof/>
              </w:rPr>
              <w:t xml:space="preserve"> to +10</w:t>
            </w:r>
            <w:r w:rsidRPr="006D6727">
              <w:rPr>
                <w:noProof/>
              </w:rPr>
              <w:t> </w:t>
            </w:r>
            <w:r w:rsidR="009D629B" w:rsidRPr="006D6727">
              <w:rPr>
                <w:noProof/>
              </w:rPr>
              <w:t>dBm</w:t>
            </w:r>
            <w:r w:rsidR="00D835D6" w:rsidRPr="006D6727">
              <w:rPr>
                <w:noProof/>
              </w:rPr>
              <w:t>²</w:t>
            </w:r>
            <w:r w:rsidR="003D713C" w:rsidRPr="006D6727">
              <w:rPr>
                <w:noProof/>
              </w:rPr>
              <w:t xml:space="preserve"> (Note 1)</w:t>
            </w:r>
          </w:p>
        </w:tc>
        <w:tc>
          <w:tcPr>
            <w:tcW w:w="5204" w:type="dxa"/>
            <w:hideMark/>
          </w:tcPr>
          <w:p w14:paraId="2135840B" w14:textId="77777777" w:rsidR="009D629B" w:rsidRPr="006D6727" w:rsidRDefault="009D629B" w:rsidP="00031A36">
            <w:pPr>
              <w:jc w:val="left"/>
              <w:rPr>
                <w:noProof/>
              </w:rPr>
            </w:pPr>
            <w:r w:rsidRPr="006D6727">
              <w:rPr>
                <w:noProof/>
              </w:rPr>
              <w:t xml:space="preserve">For different type of objects related to </w:t>
            </w:r>
            <w:r w:rsidR="002E5439">
              <w:t>short</w:t>
            </w:r>
            <w:r w:rsidR="00832E5D">
              <w:t>-</w:t>
            </w:r>
            <w:r w:rsidR="002E5439">
              <w:t>range</w:t>
            </w:r>
            <w:r w:rsidRPr="006D6727">
              <w:rPr>
                <w:noProof/>
              </w:rPr>
              <w:t xml:space="preserve"> </w:t>
            </w:r>
            <w:r w:rsidR="002E5439">
              <w:t xml:space="preserve">assist </w:t>
            </w:r>
            <w:r w:rsidRPr="006D6727">
              <w:rPr>
                <w:noProof/>
              </w:rPr>
              <w:t>application</w:t>
            </w:r>
          </w:p>
        </w:tc>
      </w:tr>
      <w:tr w:rsidR="009D629B" w:rsidRPr="006D6727" w14:paraId="0DD32600" w14:textId="77777777" w:rsidTr="00456ACD">
        <w:trPr>
          <w:trHeight w:val="570"/>
        </w:trPr>
        <w:tc>
          <w:tcPr>
            <w:tcW w:w="2268" w:type="dxa"/>
            <w:hideMark/>
          </w:tcPr>
          <w:p w14:paraId="2711726F" w14:textId="77777777" w:rsidR="009D629B" w:rsidRPr="006D6727" w:rsidRDefault="009D629B" w:rsidP="00031A36">
            <w:pPr>
              <w:jc w:val="left"/>
              <w:rPr>
                <w:noProof/>
              </w:rPr>
            </w:pPr>
            <w:r w:rsidRPr="006D6727">
              <w:rPr>
                <w:noProof/>
              </w:rPr>
              <w:t>Maximum antenna gain</w:t>
            </w:r>
          </w:p>
        </w:tc>
        <w:tc>
          <w:tcPr>
            <w:tcW w:w="1984" w:type="dxa"/>
            <w:hideMark/>
          </w:tcPr>
          <w:p w14:paraId="635FD8AD" w14:textId="77777777" w:rsidR="00D00055" w:rsidRDefault="00D00055" w:rsidP="00031A36">
            <w:pPr>
              <w:jc w:val="left"/>
            </w:pPr>
            <w:r>
              <w:t>10 dBi</w:t>
            </w:r>
            <w:r w:rsidR="00872B10">
              <w:t xml:space="preserve"> (SISO or MIMO)</w:t>
            </w:r>
          </w:p>
          <w:p w14:paraId="6F084235" w14:textId="77777777" w:rsidR="009D629B" w:rsidRPr="006D6727" w:rsidRDefault="00F31771" w:rsidP="00031A36">
            <w:pPr>
              <w:jc w:val="left"/>
              <w:rPr>
                <w:noProof/>
              </w:rPr>
            </w:pPr>
            <w:r w:rsidRPr="0093750C">
              <w:t>19</w:t>
            </w:r>
            <w:r w:rsidR="00F3537E">
              <w:t> </w:t>
            </w:r>
            <w:r w:rsidRPr="0093750C">
              <w:t>dBi</w:t>
            </w:r>
            <w:r w:rsidR="00D00055">
              <w:t xml:space="preserve"> </w:t>
            </w:r>
            <w:r w:rsidR="00872B10">
              <w:t>(beamforming)</w:t>
            </w:r>
          </w:p>
        </w:tc>
        <w:tc>
          <w:tcPr>
            <w:tcW w:w="5204" w:type="dxa"/>
            <w:hideMark/>
          </w:tcPr>
          <w:p w14:paraId="2AE0D188" w14:textId="77777777" w:rsidR="009D629B" w:rsidRPr="006D6727" w:rsidRDefault="009D629B" w:rsidP="00031A36">
            <w:pPr>
              <w:jc w:val="left"/>
              <w:rPr>
                <w:noProof/>
              </w:rPr>
            </w:pPr>
            <w:r w:rsidRPr="006D6727">
              <w:rPr>
                <w:noProof/>
              </w:rPr>
              <w:t>For transmission and reception</w:t>
            </w:r>
          </w:p>
        </w:tc>
      </w:tr>
      <w:tr w:rsidR="009D629B" w:rsidRPr="006D6727" w14:paraId="27732602" w14:textId="77777777" w:rsidTr="00456ACD">
        <w:trPr>
          <w:trHeight w:val="454"/>
        </w:trPr>
        <w:tc>
          <w:tcPr>
            <w:tcW w:w="2268" w:type="dxa"/>
            <w:hideMark/>
          </w:tcPr>
          <w:p w14:paraId="78658E6F" w14:textId="77777777" w:rsidR="009D629B" w:rsidRPr="006D6727" w:rsidRDefault="009D629B" w:rsidP="00031A36">
            <w:pPr>
              <w:jc w:val="left"/>
              <w:rPr>
                <w:noProof/>
              </w:rPr>
            </w:pPr>
            <w:r w:rsidRPr="006D6727">
              <w:rPr>
                <w:noProof/>
              </w:rPr>
              <w:t>Radar loss</w:t>
            </w:r>
          </w:p>
        </w:tc>
        <w:tc>
          <w:tcPr>
            <w:tcW w:w="1984" w:type="dxa"/>
            <w:hideMark/>
          </w:tcPr>
          <w:p w14:paraId="6B16409E" w14:textId="77777777" w:rsidR="009D629B" w:rsidRPr="006D6727" w:rsidRDefault="009D629B" w:rsidP="00031A36">
            <w:pPr>
              <w:jc w:val="left"/>
              <w:rPr>
                <w:noProof/>
              </w:rPr>
            </w:pPr>
            <w:r w:rsidRPr="006D6727">
              <w:rPr>
                <w:noProof/>
              </w:rPr>
              <w:t>6</w:t>
            </w:r>
            <w:r w:rsidR="00E93547" w:rsidRPr="006D6727">
              <w:rPr>
                <w:noProof/>
              </w:rPr>
              <w:t> </w:t>
            </w:r>
            <w:r w:rsidRPr="006D6727">
              <w:rPr>
                <w:noProof/>
              </w:rPr>
              <w:t>dB</w:t>
            </w:r>
          </w:p>
        </w:tc>
        <w:tc>
          <w:tcPr>
            <w:tcW w:w="5204" w:type="dxa"/>
            <w:hideMark/>
          </w:tcPr>
          <w:p w14:paraId="4FB9D6D2" w14:textId="77777777" w:rsidR="009D629B" w:rsidRPr="006D6727" w:rsidRDefault="009D629B" w:rsidP="00031A36">
            <w:pPr>
              <w:jc w:val="left"/>
              <w:rPr>
                <w:noProof/>
              </w:rPr>
            </w:pPr>
            <w:r w:rsidRPr="006D6727">
              <w:rPr>
                <w:noProof/>
              </w:rPr>
              <w:t xml:space="preserve">Overall IF signal handling loss </w:t>
            </w:r>
          </w:p>
        </w:tc>
      </w:tr>
      <w:tr w:rsidR="009D629B" w:rsidRPr="006D6727" w14:paraId="5CD76862" w14:textId="77777777" w:rsidTr="00456ACD">
        <w:trPr>
          <w:trHeight w:val="438"/>
        </w:trPr>
        <w:tc>
          <w:tcPr>
            <w:tcW w:w="2268" w:type="dxa"/>
            <w:hideMark/>
          </w:tcPr>
          <w:p w14:paraId="0785EDE7" w14:textId="77777777" w:rsidR="009D629B" w:rsidRPr="006D6727" w:rsidRDefault="009D629B" w:rsidP="00031A36">
            <w:pPr>
              <w:jc w:val="left"/>
              <w:rPr>
                <w:noProof/>
              </w:rPr>
            </w:pPr>
            <w:r w:rsidRPr="006D6727">
              <w:rPr>
                <w:noProof/>
              </w:rPr>
              <w:t>Noise figure</w:t>
            </w:r>
          </w:p>
        </w:tc>
        <w:tc>
          <w:tcPr>
            <w:tcW w:w="1984" w:type="dxa"/>
            <w:hideMark/>
          </w:tcPr>
          <w:p w14:paraId="38045BDC" w14:textId="77777777" w:rsidR="009D629B" w:rsidRPr="006D6727" w:rsidRDefault="009D629B" w:rsidP="00031A36">
            <w:pPr>
              <w:jc w:val="left"/>
              <w:rPr>
                <w:noProof/>
              </w:rPr>
            </w:pPr>
            <w:r w:rsidRPr="006D6727">
              <w:rPr>
                <w:noProof/>
              </w:rPr>
              <w:t>1</w:t>
            </w:r>
            <w:r w:rsidRPr="006D6727">
              <w:rPr>
                <w:rStyle w:val="ECCParagraph"/>
                <w:noProof/>
              </w:rPr>
              <w:t>5</w:t>
            </w:r>
            <w:r w:rsidR="00E93547" w:rsidRPr="006D6727">
              <w:rPr>
                <w:noProof/>
              </w:rPr>
              <w:t> </w:t>
            </w:r>
            <w:r w:rsidRPr="006D6727">
              <w:rPr>
                <w:noProof/>
              </w:rPr>
              <w:t>dB</w:t>
            </w:r>
          </w:p>
        </w:tc>
        <w:tc>
          <w:tcPr>
            <w:tcW w:w="5204" w:type="dxa"/>
            <w:hideMark/>
          </w:tcPr>
          <w:p w14:paraId="1A44CF75" w14:textId="77777777" w:rsidR="009D629B" w:rsidRPr="006D6727" w:rsidRDefault="009D629B" w:rsidP="00031A36">
            <w:pPr>
              <w:jc w:val="left"/>
              <w:rPr>
                <w:noProof/>
              </w:rPr>
            </w:pPr>
            <w:r w:rsidRPr="006D6727">
              <w:rPr>
                <w:noProof/>
              </w:rPr>
              <w:t>Typical value in lower frequency bands</w:t>
            </w:r>
          </w:p>
        </w:tc>
      </w:tr>
      <w:tr w:rsidR="006176F7" w:rsidRPr="006D6727" w14:paraId="3772DE25" w14:textId="77777777" w:rsidTr="00456ACD">
        <w:trPr>
          <w:trHeight w:val="438"/>
        </w:trPr>
        <w:tc>
          <w:tcPr>
            <w:tcW w:w="2268" w:type="dxa"/>
          </w:tcPr>
          <w:p w14:paraId="4ECC703C" w14:textId="77777777" w:rsidR="006176F7" w:rsidRPr="006D6727" w:rsidRDefault="006176F7" w:rsidP="00031A36">
            <w:pPr>
              <w:jc w:val="left"/>
              <w:rPr>
                <w:noProof/>
              </w:rPr>
            </w:pPr>
            <w:r w:rsidRPr="006D6727">
              <w:rPr>
                <w:noProof/>
              </w:rPr>
              <w:t>Antenna height</w:t>
            </w:r>
          </w:p>
        </w:tc>
        <w:tc>
          <w:tcPr>
            <w:tcW w:w="1984" w:type="dxa"/>
          </w:tcPr>
          <w:p w14:paraId="13FA9893" w14:textId="7CE6942E" w:rsidR="006176F7" w:rsidRPr="006D6727" w:rsidRDefault="006176F7" w:rsidP="00031A36">
            <w:pPr>
              <w:jc w:val="left"/>
              <w:rPr>
                <w:noProof/>
              </w:rPr>
            </w:pPr>
            <w:r w:rsidRPr="006D6727">
              <w:rPr>
                <w:noProof/>
              </w:rPr>
              <w:t>0</w:t>
            </w:r>
            <w:r w:rsidR="00CF4994">
              <w:rPr>
                <w:noProof/>
              </w:rPr>
              <w:t>.4</w:t>
            </w:r>
            <w:r w:rsidR="001D7996">
              <w:rPr>
                <w:noProof/>
              </w:rPr>
              <w:t>-</w:t>
            </w:r>
            <w:r w:rsidRPr="006D6727">
              <w:rPr>
                <w:noProof/>
              </w:rPr>
              <w:t>1 m above road</w:t>
            </w:r>
          </w:p>
        </w:tc>
        <w:tc>
          <w:tcPr>
            <w:tcW w:w="5204" w:type="dxa"/>
          </w:tcPr>
          <w:p w14:paraId="0FBBECAA" w14:textId="77777777" w:rsidR="006176F7" w:rsidRPr="006D6727" w:rsidRDefault="006176F7" w:rsidP="00031A36">
            <w:pPr>
              <w:jc w:val="left"/>
              <w:rPr>
                <w:noProof/>
              </w:rPr>
            </w:pPr>
          </w:p>
        </w:tc>
      </w:tr>
      <w:tr w:rsidR="006176F7" w:rsidRPr="006D6727" w14:paraId="7DAF4365" w14:textId="77777777" w:rsidTr="00456ACD">
        <w:trPr>
          <w:trHeight w:val="438"/>
        </w:trPr>
        <w:tc>
          <w:tcPr>
            <w:tcW w:w="2268" w:type="dxa"/>
          </w:tcPr>
          <w:p w14:paraId="4CC1079C" w14:textId="77777777" w:rsidR="006176F7" w:rsidRPr="006D6727" w:rsidRDefault="006176F7" w:rsidP="00031A36">
            <w:pPr>
              <w:jc w:val="left"/>
              <w:rPr>
                <w:noProof/>
              </w:rPr>
            </w:pPr>
            <w:r w:rsidRPr="006D6727">
              <w:rPr>
                <w:noProof/>
              </w:rPr>
              <w:t>Antenna azimuth -3 dB beamwidth</w:t>
            </w:r>
          </w:p>
        </w:tc>
        <w:tc>
          <w:tcPr>
            <w:tcW w:w="1984" w:type="dxa"/>
          </w:tcPr>
          <w:p w14:paraId="244DC12B" w14:textId="77777777" w:rsidR="006176F7" w:rsidRPr="002E7E49" w:rsidRDefault="006176F7" w:rsidP="00031A36">
            <w:pPr>
              <w:jc w:val="left"/>
              <w:rPr>
                <w:noProof/>
              </w:rPr>
            </w:pPr>
            <w:r w:rsidRPr="002E7E49">
              <w:rPr>
                <w:noProof/>
              </w:rPr>
              <w:t>T</w:t>
            </w:r>
            <w:r w:rsidR="00631F30" w:rsidRPr="002E7E49">
              <w:t>x</w:t>
            </w:r>
            <w:r w:rsidRPr="002E7E49">
              <w:rPr>
                <w:noProof/>
              </w:rPr>
              <w:t>/R</w:t>
            </w:r>
            <w:r w:rsidR="00631F30" w:rsidRPr="002E7E49">
              <w:t>x</w:t>
            </w:r>
            <w:r w:rsidRPr="002E7E49">
              <w:rPr>
                <w:noProof/>
              </w:rPr>
              <w:t>: ± 70°</w:t>
            </w:r>
            <w:r w:rsidR="00D00055" w:rsidRPr="002E7E49">
              <w:t xml:space="preserve"> </w:t>
            </w:r>
            <w:r w:rsidR="00872B10" w:rsidRPr="002E7E49">
              <w:t>(SISO or MIMO)</w:t>
            </w:r>
          </w:p>
          <w:p w14:paraId="55F84BC3" w14:textId="77777777" w:rsidR="00D00055" w:rsidRPr="006D6727" w:rsidRDefault="00D00055" w:rsidP="00031A36">
            <w:pPr>
              <w:jc w:val="left"/>
              <w:rPr>
                <w:noProof/>
              </w:rPr>
            </w:pPr>
            <w:r>
              <w:t>T</w:t>
            </w:r>
            <w:r w:rsidR="00631F30">
              <w:t>x</w:t>
            </w:r>
            <w:r>
              <w:t>/R</w:t>
            </w:r>
            <w:r w:rsidR="00631F30">
              <w:t>x</w:t>
            </w:r>
            <w:r>
              <w:t xml:space="preserve">: </w:t>
            </w:r>
            <w:r w:rsidRPr="00D00055">
              <w:t>±</w:t>
            </w:r>
            <w:r>
              <w:t xml:space="preserve"> 15° in case of </w:t>
            </w:r>
            <w:r w:rsidR="006A0DF4">
              <w:t>b</w:t>
            </w:r>
            <w:r>
              <w:t xml:space="preserve">eamforming </w:t>
            </w:r>
          </w:p>
        </w:tc>
        <w:tc>
          <w:tcPr>
            <w:tcW w:w="5204" w:type="dxa"/>
          </w:tcPr>
          <w:p w14:paraId="317F5A12" w14:textId="2BDC4974" w:rsidR="006176F7" w:rsidRPr="006D6727" w:rsidRDefault="006176F7" w:rsidP="00E33A4E">
            <w:pPr>
              <w:pStyle w:val="ECCTabletext"/>
              <w:rPr>
                <w:noProof/>
              </w:rPr>
            </w:pPr>
            <w:r w:rsidRPr="006D6727">
              <w:rPr>
                <w:noProof/>
              </w:rPr>
              <w:t xml:space="preserve">Equations </w:t>
            </w:r>
            <w:r w:rsidR="003B2815" w:rsidRPr="006D6727">
              <w:rPr>
                <w:noProof/>
              </w:rPr>
              <w:t>acc</w:t>
            </w:r>
            <w:r w:rsidR="0080333B" w:rsidRPr="006D6727">
              <w:rPr>
                <w:noProof/>
              </w:rPr>
              <w:t>ording</w:t>
            </w:r>
            <w:r w:rsidR="003B2815" w:rsidRPr="006D6727">
              <w:rPr>
                <w:noProof/>
              </w:rPr>
              <w:t xml:space="preserve"> to </w:t>
            </w:r>
            <w:r w:rsidRPr="006D6727">
              <w:rPr>
                <w:noProof/>
              </w:rPr>
              <w:t>Rec</w:t>
            </w:r>
            <w:r w:rsidR="003B2815" w:rsidRPr="006D6727">
              <w:rPr>
                <w:noProof/>
              </w:rPr>
              <w:t>ommendation</w:t>
            </w:r>
            <w:r w:rsidRPr="006D6727">
              <w:rPr>
                <w:noProof/>
              </w:rPr>
              <w:t xml:space="preserve"> ITU-R M.2057</w:t>
            </w:r>
            <w:r w:rsidR="00EF3E55">
              <w:rPr>
                <w:noProof/>
              </w:rPr>
              <w:t xml:space="preserve"> </w:t>
            </w:r>
            <w:r w:rsidR="00EF3E55" w:rsidRPr="00E33A4E">
              <w:rPr>
                <w:rStyle w:val="ECCParagraph"/>
                <w:szCs w:val="20"/>
              </w:rPr>
              <w:fldChar w:fldCharType="begin"/>
            </w:r>
            <w:r w:rsidR="00EF3E55" w:rsidRPr="00E33A4E">
              <w:rPr>
                <w:rStyle w:val="ECCParagraph"/>
                <w:szCs w:val="20"/>
              </w:rPr>
              <w:instrText xml:space="preserve"> REF  ITU_R_M_2057 \h \w  \* MERGEFORMAT </w:instrText>
            </w:r>
            <w:r w:rsidR="00EF3E55" w:rsidRPr="00E33A4E">
              <w:rPr>
                <w:rStyle w:val="ECCParagraph"/>
                <w:szCs w:val="20"/>
              </w:rPr>
            </w:r>
            <w:r w:rsidR="00EF3E55" w:rsidRPr="00E33A4E">
              <w:rPr>
                <w:rStyle w:val="ECCParagraph"/>
                <w:szCs w:val="20"/>
              </w:rPr>
              <w:fldChar w:fldCharType="separate"/>
            </w:r>
            <w:r w:rsidR="004F49F9">
              <w:rPr>
                <w:rStyle w:val="ECCParagraph"/>
                <w:szCs w:val="20"/>
              </w:rPr>
              <w:t>[24]</w:t>
            </w:r>
            <w:r w:rsidR="00EF3E55" w:rsidRPr="00E33A4E">
              <w:rPr>
                <w:rStyle w:val="ECCParagraph"/>
                <w:szCs w:val="20"/>
              </w:rPr>
              <w:fldChar w:fldCharType="end"/>
            </w:r>
            <w:r w:rsidR="00817A7E" w:rsidRPr="00E33A4E">
              <w:rPr>
                <w:noProof/>
                <w:szCs w:val="20"/>
              </w:rPr>
              <w:t xml:space="preserve"> </w:t>
            </w:r>
            <w:r w:rsidR="00817A7E" w:rsidRPr="006D6727">
              <w:rPr>
                <w:noProof/>
              </w:rPr>
              <w:t>(Note 2)</w:t>
            </w:r>
          </w:p>
        </w:tc>
      </w:tr>
      <w:tr w:rsidR="0080333B" w:rsidRPr="006D6727" w14:paraId="6765C3BD" w14:textId="77777777" w:rsidTr="00456ACD">
        <w:trPr>
          <w:trHeight w:val="438"/>
        </w:trPr>
        <w:tc>
          <w:tcPr>
            <w:tcW w:w="2268" w:type="dxa"/>
          </w:tcPr>
          <w:p w14:paraId="47B9783F" w14:textId="77777777" w:rsidR="0080333B" w:rsidRPr="006D6727" w:rsidRDefault="0080333B" w:rsidP="00031A36">
            <w:pPr>
              <w:jc w:val="left"/>
              <w:rPr>
                <w:noProof/>
              </w:rPr>
            </w:pPr>
            <w:r w:rsidRPr="006D6727">
              <w:rPr>
                <w:noProof/>
              </w:rPr>
              <w:t>Antenna elevation -3 dB beamwidth</w:t>
            </w:r>
          </w:p>
        </w:tc>
        <w:tc>
          <w:tcPr>
            <w:tcW w:w="1984" w:type="dxa"/>
          </w:tcPr>
          <w:p w14:paraId="3146DAC9" w14:textId="77777777" w:rsidR="0080333B" w:rsidRPr="00E8045A" w:rsidRDefault="0080333B" w:rsidP="00031A36">
            <w:pPr>
              <w:jc w:val="left"/>
              <w:rPr>
                <w:noProof/>
              </w:rPr>
            </w:pPr>
            <w:r w:rsidRPr="00E8045A">
              <w:rPr>
                <w:noProof/>
              </w:rPr>
              <w:t>T</w:t>
            </w:r>
            <w:r w:rsidR="00631F30" w:rsidRPr="00E8045A">
              <w:t>x</w:t>
            </w:r>
            <w:r w:rsidRPr="00E8045A">
              <w:rPr>
                <w:noProof/>
              </w:rPr>
              <w:t>/R</w:t>
            </w:r>
            <w:r w:rsidR="00631F30" w:rsidRPr="00E8045A">
              <w:t>x</w:t>
            </w:r>
            <w:r w:rsidRPr="00E8045A">
              <w:rPr>
                <w:noProof/>
              </w:rPr>
              <w:t>: ± 30°, 60°</w:t>
            </w:r>
            <w:r w:rsidR="00D00055" w:rsidRPr="00E8045A">
              <w:t xml:space="preserve"> </w:t>
            </w:r>
            <w:r w:rsidR="00872B10" w:rsidRPr="00E8045A">
              <w:t>(SISO or MIMO)</w:t>
            </w:r>
          </w:p>
          <w:p w14:paraId="064418F4" w14:textId="77777777" w:rsidR="00D00055" w:rsidRPr="006D6727" w:rsidRDefault="00D00055" w:rsidP="00031A36">
            <w:pPr>
              <w:jc w:val="left"/>
              <w:rPr>
                <w:noProof/>
              </w:rPr>
            </w:pPr>
            <w:r>
              <w:t>T</w:t>
            </w:r>
            <w:r w:rsidR="00631F30">
              <w:t>x</w:t>
            </w:r>
            <w:r>
              <w:t>/R</w:t>
            </w:r>
            <w:r w:rsidR="00631F30">
              <w:t>x</w:t>
            </w:r>
            <w:r>
              <w:t xml:space="preserve">: </w:t>
            </w:r>
            <w:r w:rsidRPr="00D00055">
              <w:t>±</w:t>
            </w:r>
            <w:r>
              <w:t xml:space="preserve">5° in case of beamforming </w:t>
            </w:r>
          </w:p>
        </w:tc>
        <w:tc>
          <w:tcPr>
            <w:tcW w:w="5204" w:type="dxa"/>
          </w:tcPr>
          <w:p w14:paraId="7D7E0A80" w14:textId="779413D7" w:rsidR="0080333B" w:rsidRPr="006D6727" w:rsidRDefault="0080333B" w:rsidP="00E33A4E">
            <w:pPr>
              <w:pStyle w:val="ECCTabletext"/>
              <w:rPr>
                <w:noProof/>
              </w:rPr>
            </w:pPr>
            <w:r w:rsidRPr="006D6727">
              <w:rPr>
                <w:noProof/>
              </w:rPr>
              <w:t xml:space="preserve">Equations according to Recommendation ITU-R M.2057 </w:t>
            </w:r>
            <w:r w:rsidR="00EF3E55" w:rsidRPr="00E33A4E">
              <w:rPr>
                <w:rStyle w:val="ECCParagraph"/>
                <w:szCs w:val="20"/>
              </w:rPr>
              <w:fldChar w:fldCharType="begin"/>
            </w:r>
            <w:r w:rsidR="00EF3E55" w:rsidRPr="00E33A4E">
              <w:rPr>
                <w:rStyle w:val="ECCParagraph"/>
                <w:szCs w:val="20"/>
              </w:rPr>
              <w:instrText xml:space="preserve"> REF  ITU_R_M_2057 \h \w  \* MERGEFORMAT </w:instrText>
            </w:r>
            <w:r w:rsidR="00EF3E55" w:rsidRPr="00E33A4E">
              <w:rPr>
                <w:rStyle w:val="ECCParagraph"/>
                <w:szCs w:val="20"/>
              </w:rPr>
            </w:r>
            <w:r w:rsidR="00EF3E55" w:rsidRPr="00E33A4E">
              <w:rPr>
                <w:rStyle w:val="ECCParagraph"/>
                <w:szCs w:val="20"/>
              </w:rPr>
              <w:fldChar w:fldCharType="separate"/>
            </w:r>
            <w:r w:rsidR="004F49F9">
              <w:rPr>
                <w:rStyle w:val="ECCParagraph"/>
                <w:szCs w:val="20"/>
              </w:rPr>
              <w:t>[24]</w:t>
            </w:r>
            <w:r w:rsidR="00EF3E55" w:rsidRPr="00E33A4E">
              <w:rPr>
                <w:rStyle w:val="ECCParagraph"/>
                <w:szCs w:val="20"/>
              </w:rPr>
              <w:fldChar w:fldCharType="end"/>
            </w:r>
            <w:r w:rsidR="00EF3E55" w:rsidRPr="00E33A4E">
              <w:rPr>
                <w:noProof/>
                <w:szCs w:val="20"/>
              </w:rPr>
              <w:t xml:space="preserve"> </w:t>
            </w:r>
            <w:r w:rsidRPr="006D6727">
              <w:rPr>
                <w:noProof/>
              </w:rPr>
              <w:t>(Note 2)</w:t>
            </w:r>
          </w:p>
        </w:tc>
      </w:tr>
      <w:tr w:rsidR="0080333B" w:rsidRPr="006D6727" w14:paraId="5DD33338" w14:textId="77777777" w:rsidTr="00456ACD">
        <w:trPr>
          <w:trHeight w:val="438"/>
        </w:trPr>
        <w:tc>
          <w:tcPr>
            <w:tcW w:w="2268" w:type="dxa"/>
          </w:tcPr>
          <w:p w14:paraId="46131196" w14:textId="77777777" w:rsidR="0080333B" w:rsidRPr="006D6727" w:rsidRDefault="0080333B" w:rsidP="00031A36">
            <w:pPr>
              <w:jc w:val="left"/>
              <w:rPr>
                <w:noProof/>
              </w:rPr>
            </w:pPr>
            <w:r w:rsidRPr="006D6727">
              <w:rPr>
                <w:noProof/>
              </w:rPr>
              <w:t>Typical duty cycle</w:t>
            </w:r>
          </w:p>
        </w:tc>
        <w:tc>
          <w:tcPr>
            <w:tcW w:w="1984" w:type="dxa"/>
          </w:tcPr>
          <w:p w14:paraId="64967EDB" w14:textId="1D173030" w:rsidR="0080333B" w:rsidRPr="006D6727" w:rsidRDefault="0080333B" w:rsidP="00031A36">
            <w:pPr>
              <w:jc w:val="left"/>
              <w:rPr>
                <w:noProof/>
              </w:rPr>
            </w:pPr>
            <w:r w:rsidRPr="006D6727">
              <w:rPr>
                <w:noProof/>
              </w:rPr>
              <w:t>30</w:t>
            </w:r>
            <w:r w:rsidR="001D7996">
              <w:rPr>
                <w:noProof/>
              </w:rPr>
              <w:t>-</w:t>
            </w:r>
            <w:r w:rsidRPr="006D6727">
              <w:rPr>
                <w:noProof/>
              </w:rPr>
              <w:t>50</w:t>
            </w:r>
            <w:r w:rsidR="00E91B50">
              <w:rPr>
                <w:noProof/>
              </w:rPr>
              <w:t>%</w:t>
            </w:r>
          </w:p>
        </w:tc>
        <w:tc>
          <w:tcPr>
            <w:tcW w:w="5204" w:type="dxa"/>
          </w:tcPr>
          <w:p w14:paraId="7C8D8FD1" w14:textId="77777777" w:rsidR="0080333B" w:rsidRPr="006D6727" w:rsidRDefault="0080333B" w:rsidP="00031A36">
            <w:pPr>
              <w:jc w:val="left"/>
              <w:rPr>
                <w:noProof/>
              </w:rPr>
            </w:pPr>
          </w:p>
        </w:tc>
      </w:tr>
      <w:tr w:rsidR="00F31771" w:rsidRPr="006D6727" w14:paraId="5716F473" w14:textId="77777777" w:rsidTr="00456ACD">
        <w:trPr>
          <w:trHeight w:val="438"/>
        </w:trPr>
        <w:tc>
          <w:tcPr>
            <w:tcW w:w="2268" w:type="dxa"/>
          </w:tcPr>
          <w:p w14:paraId="0A60D393" w14:textId="77777777" w:rsidR="00F31771" w:rsidRPr="00F31771" w:rsidRDefault="00F31771" w:rsidP="00031A36">
            <w:pPr>
              <w:jc w:val="left"/>
            </w:pPr>
            <w:r w:rsidRPr="0093750C">
              <w:t>Conducted peak carrier power</w:t>
            </w:r>
          </w:p>
        </w:tc>
        <w:tc>
          <w:tcPr>
            <w:tcW w:w="1984" w:type="dxa"/>
          </w:tcPr>
          <w:p w14:paraId="3FA154EA" w14:textId="77777777" w:rsidR="00F31771" w:rsidRPr="00F31771" w:rsidRDefault="00F31771" w:rsidP="00031A36">
            <w:pPr>
              <w:jc w:val="left"/>
            </w:pPr>
            <w:r w:rsidRPr="0093750C">
              <w:t>up to +10</w:t>
            </w:r>
            <w:r w:rsidR="00F3537E">
              <w:t> </w:t>
            </w:r>
            <w:r w:rsidRPr="0093750C">
              <w:t>dBm</w:t>
            </w:r>
            <w:r w:rsidR="00D64BC6">
              <w:t xml:space="preserve"> (Note 3)</w:t>
            </w:r>
          </w:p>
        </w:tc>
        <w:tc>
          <w:tcPr>
            <w:tcW w:w="5204" w:type="dxa"/>
          </w:tcPr>
          <w:p w14:paraId="2B437CC9" w14:textId="77777777" w:rsidR="00F31771" w:rsidRPr="00F31771" w:rsidRDefault="00F31771" w:rsidP="00031A36">
            <w:pPr>
              <w:jc w:val="left"/>
            </w:pPr>
            <w:r w:rsidRPr="0093750C">
              <w:t>Maximum peak output power at antenna feeding point</w:t>
            </w:r>
          </w:p>
        </w:tc>
      </w:tr>
      <w:tr w:rsidR="00F31771" w:rsidRPr="006D6727" w14:paraId="7AFB8C7E" w14:textId="77777777" w:rsidTr="005B6638">
        <w:trPr>
          <w:trHeight w:val="438"/>
        </w:trPr>
        <w:tc>
          <w:tcPr>
            <w:tcW w:w="9456" w:type="dxa"/>
            <w:gridSpan w:val="3"/>
            <w:hideMark/>
          </w:tcPr>
          <w:p w14:paraId="26ACB9EB" w14:textId="77777777" w:rsidR="00F31771" w:rsidRPr="00F31771" w:rsidRDefault="00F31771" w:rsidP="00464AE0">
            <w:pPr>
              <w:pStyle w:val="ECCTablenote"/>
            </w:pPr>
            <w:r w:rsidRPr="00F31771">
              <w:t>Note 1: Analysis of RCS values should be further developed to ensure that small objects such as sidewalk edges, bushes and others are represented in the analysis</w:t>
            </w:r>
          </w:p>
          <w:p w14:paraId="4B65338D" w14:textId="11767E97" w:rsidR="00F31771" w:rsidRDefault="00F31771" w:rsidP="00464AE0">
            <w:pPr>
              <w:pStyle w:val="ECCTablenote"/>
            </w:pPr>
            <w:r w:rsidRPr="00F31771">
              <w:t xml:space="preserve">Note 2: Recommendation ITU-R M.2057 </w:t>
            </w:r>
            <w:r w:rsidRPr="00C53C39">
              <w:rPr>
                <w:rStyle w:val="ECCParagraph"/>
                <w:sz w:val="16"/>
              </w:rPr>
              <w:fldChar w:fldCharType="begin"/>
            </w:r>
            <w:r w:rsidRPr="00C53C39">
              <w:rPr>
                <w:rStyle w:val="ECCParagraph"/>
                <w:sz w:val="16"/>
              </w:rPr>
              <w:instrText xml:space="preserve"> REF  ITU_R_M_2057 \h \w  \* MERGEFORMAT </w:instrText>
            </w:r>
            <w:r w:rsidRPr="00C53C39">
              <w:rPr>
                <w:rStyle w:val="ECCParagraph"/>
                <w:sz w:val="16"/>
              </w:rPr>
            </w:r>
            <w:r w:rsidRPr="00C53C39">
              <w:rPr>
                <w:rStyle w:val="ECCParagraph"/>
                <w:sz w:val="16"/>
              </w:rPr>
              <w:fldChar w:fldCharType="separate"/>
            </w:r>
            <w:r w:rsidR="004F49F9">
              <w:rPr>
                <w:rStyle w:val="ECCParagraph"/>
                <w:sz w:val="16"/>
              </w:rPr>
              <w:t>[24]</w:t>
            </w:r>
            <w:r w:rsidRPr="00C53C39">
              <w:rPr>
                <w:rStyle w:val="ECCParagraph"/>
                <w:sz w:val="16"/>
              </w:rPr>
              <w:fldChar w:fldCharType="end"/>
            </w:r>
            <w:r w:rsidRPr="00F31771">
              <w:rPr>
                <w:rStyle w:val="ECCParagraph"/>
              </w:rPr>
              <w:t xml:space="preserve"> </w:t>
            </w:r>
            <w:r w:rsidRPr="00F31771">
              <w:t>is referenced here, even if it is only applicable to the frequency band 76 GHz</w:t>
            </w:r>
            <w:r w:rsidR="001D7996">
              <w:t>-</w:t>
            </w:r>
            <w:r w:rsidRPr="00F31771">
              <w:t>81 GHz.</w:t>
            </w:r>
          </w:p>
          <w:p w14:paraId="0477977F" w14:textId="77777777" w:rsidR="00D64BC6" w:rsidRPr="00F31771" w:rsidRDefault="00D64BC6" w:rsidP="00464AE0">
            <w:pPr>
              <w:pStyle w:val="ECCTablenote"/>
            </w:pPr>
            <w:r>
              <w:t>Note 3</w:t>
            </w:r>
            <w:r w:rsidRPr="00D64BC6">
              <w:t>: For the initial studies with EESS (passive), a maximum e.i.r.p. of 55 dBm was proposed by industry, subsequently decreased to 47 dBm.</w:t>
            </w:r>
          </w:p>
        </w:tc>
      </w:tr>
    </w:tbl>
    <w:bookmarkStart w:id="167" w:name="_Hlk67922006"/>
    <w:p w14:paraId="1F49C82B" w14:textId="6100966A" w:rsidR="00DE7686" w:rsidRPr="006D6727" w:rsidRDefault="00EF3E55" w:rsidP="00DE7686">
      <w:pPr>
        <w:rPr>
          <w:noProof/>
        </w:rPr>
      </w:pPr>
      <w:r>
        <w:rPr>
          <w:noProof/>
        </w:rPr>
        <w:fldChar w:fldCharType="begin"/>
      </w:r>
      <w:r>
        <w:rPr>
          <w:noProof/>
        </w:rPr>
        <w:instrText xml:space="preserve"> REF _Ref15637850 \h </w:instrText>
      </w:r>
      <w:r>
        <w:rPr>
          <w:noProof/>
        </w:rPr>
      </w:r>
      <w:r>
        <w:rPr>
          <w:noProof/>
        </w:rPr>
        <w:fldChar w:fldCharType="separate"/>
      </w:r>
      <w:r w:rsidR="0041125F" w:rsidRPr="006D6727">
        <w:rPr>
          <w:noProof/>
        </w:rPr>
        <w:t>Figure </w:t>
      </w:r>
      <w:r w:rsidR="0041125F">
        <w:rPr>
          <w:noProof/>
        </w:rPr>
        <w:t>16</w:t>
      </w:r>
      <w:r>
        <w:rPr>
          <w:noProof/>
        </w:rPr>
        <w:fldChar w:fldCharType="end"/>
      </w:r>
      <w:r>
        <w:rPr>
          <w:noProof/>
        </w:rPr>
        <w:t xml:space="preserve">, </w:t>
      </w:r>
      <w:r>
        <w:rPr>
          <w:noProof/>
        </w:rPr>
        <w:fldChar w:fldCharType="begin"/>
      </w:r>
      <w:r>
        <w:rPr>
          <w:noProof/>
        </w:rPr>
        <w:instrText xml:space="preserve"> REF _Ref20474269 \h </w:instrText>
      </w:r>
      <w:r>
        <w:rPr>
          <w:noProof/>
        </w:rPr>
      </w:r>
      <w:r>
        <w:rPr>
          <w:noProof/>
        </w:rPr>
        <w:fldChar w:fldCharType="separate"/>
      </w:r>
      <w:r w:rsidR="0041125F" w:rsidRPr="006D6727">
        <w:rPr>
          <w:noProof/>
        </w:rPr>
        <w:t>Figure </w:t>
      </w:r>
      <w:r w:rsidR="0041125F">
        <w:rPr>
          <w:noProof/>
        </w:rPr>
        <w:t>17</w:t>
      </w:r>
      <w:r>
        <w:rPr>
          <w:noProof/>
        </w:rPr>
        <w:fldChar w:fldCharType="end"/>
      </w:r>
      <w:r>
        <w:rPr>
          <w:noProof/>
        </w:rPr>
        <w:t xml:space="preserve"> and </w:t>
      </w:r>
      <w:r>
        <w:rPr>
          <w:noProof/>
        </w:rPr>
        <w:fldChar w:fldCharType="begin"/>
      </w:r>
      <w:r>
        <w:rPr>
          <w:noProof/>
        </w:rPr>
        <w:instrText xml:space="preserve"> REF _Ref15637856 \h </w:instrText>
      </w:r>
      <w:r>
        <w:rPr>
          <w:noProof/>
        </w:rPr>
      </w:r>
      <w:r>
        <w:rPr>
          <w:noProof/>
        </w:rPr>
        <w:fldChar w:fldCharType="separate"/>
      </w:r>
      <w:r w:rsidR="0041125F" w:rsidRPr="006D6727">
        <w:rPr>
          <w:noProof/>
        </w:rPr>
        <w:t>Figure </w:t>
      </w:r>
      <w:r w:rsidR="0041125F">
        <w:rPr>
          <w:noProof/>
        </w:rPr>
        <w:t>18</w:t>
      </w:r>
      <w:r>
        <w:rPr>
          <w:noProof/>
        </w:rPr>
        <w:fldChar w:fldCharType="end"/>
      </w:r>
      <w:r w:rsidR="00DE7686" w:rsidRPr="006D6727">
        <w:rPr>
          <w:noProof/>
        </w:rPr>
        <w:t xml:space="preserve"> provide the results on required peak power for different targets (RCS) depending on the detection range.</w:t>
      </w:r>
    </w:p>
    <w:bookmarkEnd w:id="159"/>
    <w:p w14:paraId="6C90DFFA" w14:textId="77777777" w:rsidR="00DE7686" w:rsidRPr="006D6727" w:rsidRDefault="00DE7686" w:rsidP="00DE7686">
      <w:pPr>
        <w:pStyle w:val="ECCFiguregraphcentered"/>
        <w:rPr>
          <w:lang w:val="en-GB"/>
        </w:rPr>
      </w:pPr>
      <w:r w:rsidRPr="006D6727">
        <w:drawing>
          <wp:inline distT="0" distB="0" distL="0" distR="0" wp14:anchorId="20CED295" wp14:editId="6A0D6A3C">
            <wp:extent cx="3892062" cy="27598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905336" cy="2769222"/>
                    </a:xfrm>
                    <a:prstGeom prst="rect">
                      <a:avLst/>
                    </a:prstGeom>
                    <a:noFill/>
                    <a:ln>
                      <a:noFill/>
                    </a:ln>
                  </pic:spPr>
                </pic:pic>
              </a:graphicData>
            </a:graphic>
          </wp:inline>
        </w:drawing>
      </w:r>
    </w:p>
    <w:p w14:paraId="0CED692B" w14:textId="17AD1E5C" w:rsidR="00DE7686" w:rsidRPr="006D6727" w:rsidRDefault="00436A47" w:rsidP="00436A47">
      <w:pPr>
        <w:pStyle w:val="Caption"/>
        <w:rPr>
          <w:noProof/>
          <w:lang w:val="en-GB"/>
        </w:rPr>
      </w:pPr>
      <w:bookmarkStart w:id="168" w:name="_Ref15637850"/>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F49F9">
        <w:rPr>
          <w:noProof/>
          <w:lang w:val="en-GB"/>
        </w:rPr>
        <w:t>16</w:t>
      </w:r>
      <w:r w:rsidR="0028290E" w:rsidRPr="006D6727">
        <w:rPr>
          <w:noProof/>
          <w:lang w:val="en-GB"/>
        </w:rPr>
        <w:fldChar w:fldCharType="end"/>
      </w:r>
      <w:bookmarkEnd w:id="168"/>
      <w:r w:rsidRPr="006D6727">
        <w:rPr>
          <w:noProof/>
          <w:lang w:val="en-GB"/>
        </w:rPr>
        <w:t xml:space="preserve">: </w:t>
      </w:r>
      <w:r w:rsidR="00DE7686" w:rsidRPr="006D6727">
        <w:rPr>
          <w:noProof/>
          <w:lang w:val="en-GB"/>
        </w:rPr>
        <w:t>Maximum peak power vs detection distance for 1</w:t>
      </w:r>
      <w:r w:rsidR="00E93547" w:rsidRPr="006D6727">
        <w:rPr>
          <w:noProof/>
          <w:lang w:val="en-GB"/>
        </w:rPr>
        <w:t> </w:t>
      </w:r>
      <w:r w:rsidR="00DE7686" w:rsidRPr="006D6727">
        <w:rPr>
          <w:noProof/>
          <w:lang w:val="en-GB"/>
        </w:rPr>
        <w:t>GHz bandwidth radars</w:t>
      </w:r>
    </w:p>
    <w:p w14:paraId="0AE8471A" w14:textId="189091F5" w:rsidR="00DE7686" w:rsidRPr="006D6727" w:rsidRDefault="00DE7686" w:rsidP="00DE7686">
      <w:pPr>
        <w:rPr>
          <w:noProof/>
        </w:rPr>
      </w:pPr>
      <w:r w:rsidRPr="006D6727">
        <w:rPr>
          <w:noProof/>
        </w:rPr>
        <w:t>Using the same hypothesis on the link budgets for the two frequency bands considered, the order of magnitude obtained for central frequency of 125</w:t>
      </w:r>
      <w:r w:rsidR="00E93547" w:rsidRPr="006D6727">
        <w:rPr>
          <w:noProof/>
        </w:rPr>
        <w:t> </w:t>
      </w:r>
      <w:r w:rsidRPr="006D6727">
        <w:rPr>
          <w:noProof/>
        </w:rPr>
        <w:t>GHz and 137</w:t>
      </w:r>
      <w:r w:rsidR="00CF4994">
        <w:rPr>
          <w:noProof/>
        </w:rPr>
        <w:t>.5</w:t>
      </w:r>
      <w:r w:rsidR="00E93547" w:rsidRPr="006D6727">
        <w:rPr>
          <w:noProof/>
        </w:rPr>
        <w:t> </w:t>
      </w:r>
      <w:r w:rsidRPr="006D6727">
        <w:rPr>
          <w:noProof/>
        </w:rPr>
        <w:t>GHz are very similar. Consequently, the subsequent results are provided only for the 1</w:t>
      </w:r>
      <w:r w:rsidR="00DF2DDD" w:rsidRPr="006D6727">
        <w:rPr>
          <w:noProof/>
        </w:rPr>
        <w:t>16</w:t>
      </w:r>
      <w:r w:rsidR="001D7996">
        <w:rPr>
          <w:noProof/>
        </w:rPr>
        <w:t>-</w:t>
      </w:r>
      <w:r w:rsidRPr="006D6727">
        <w:rPr>
          <w:noProof/>
        </w:rPr>
        <w:t>130</w:t>
      </w:r>
      <w:r w:rsidR="00E93547" w:rsidRPr="006D6727">
        <w:rPr>
          <w:noProof/>
        </w:rPr>
        <w:t> </w:t>
      </w:r>
      <w:r w:rsidRPr="006D6727">
        <w:rPr>
          <w:noProof/>
        </w:rPr>
        <w:t>GHz frequency band.</w:t>
      </w:r>
    </w:p>
    <w:p w14:paraId="0BFC77EE" w14:textId="77777777" w:rsidR="00DE7686" w:rsidRPr="006D6727" w:rsidRDefault="00DE7686" w:rsidP="00DE7686">
      <w:pPr>
        <w:pStyle w:val="ECCFiguregraphcentered"/>
        <w:rPr>
          <w:lang w:val="en-GB"/>
        </w:rPr>
      </w:pPr>
      <w:r w:rsidRPr="006D6727">
        <w:drawing>
          <wp:inline distT="0" distB="0" distL="0" distR="0" wp14:anchorId="4AEFDD82" wp14:editId="6F119466">
            <wp:extent cx="2976245" cy="22167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976245" cy="2216785"/>
                    </a:xfrm>
                    <a:prstGeom prst="rect">
                      <a:avLst/>
                    </a:prstGeom>
                    <a:noFill/>
                    <a:ln>
                      <a:noFill/>
                    </a:ln>
                  </pic:spPr>
                </pic:pic>
              </a:graphicData>
            </a:graphic>
          </wp:inline>
        </w:drawing>
      </w:r>
      <w:r w:rsidRPr="006D6727">
        <w:rPr>
          <w:lang w:val="en-GB"/>
        </w:rPr>
        <w:t xml:space="preserve">  </w:t>
      </w:r>
      <w:r w:rsidRPr="006D6727">
        <w:drawing>
          <wp:inline distT="0" distB="0" distL="0" distR="0" wp14:anchorId="1076F489" wp14:editId="3E8FD967">
            <wp:extent cx="3002280" cy="222567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002280" cy="2225675"/>
                    </a:xfrm>
                    <a:prstGeom prst="rect">
                      <a:avLst/>
                    </a:prstGeom>
                    <a:noFill/>
                    <a:ln>
                      <a:noFill/>
                    </a:ln>
                  </pic:spPr>
                </pic:pic>
              </a:graphicData>
            </a:graphic>
          </wp:inline>
        </w:drawing>
      </w:r>
    </w:p>
    <w:p w14:paraId="6F91A3E0" w14:textId="3268059B" w:rsidR="00DE7686" w:rsidRPr="006D6727" w:rsidRDefault="00436A47" w:rsidP="00E93547">
      <w:pPr>
        <w:pStyle w:val="Caption"/>
        <w:jc w:val="both"/>
        <w:rPr>
          <w:noProof/>
          <w:lang w:val="en-GB"/>
        </w:rPr>
      </w:pPr>
      <w:bookmarkStart w:id="169" w:name="_Ref20474269"/>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F49F9">
        <w:rPr>
          <w:noProof/>
          <w:lang w:val="en-GB"/>
        </w:rPr>
        <w:t>17</w:t>
      </w:r>
      <w:r w:rsidR="0028290E" w:rsidRPr="006D6727">
        <w:rPr>
          <w:noProof/>
          <w:lang w:val="en-GB"/>
        </w:rPr>
        <w:fldChar w:fldCharType="end"/>
      </w:r>
      <w:bookmarkEnd w:id="169"/>
      <w:r w:rsidRPr="006D6727">
        <w:rPr>
          <w:noProof/>
          <w:lang w:val="en-GB"/>
        </w:rPr>
        <w:t xml:space="preserve">: </w:t>
      </w:r>
      <w:r w:rsidR="00DE7686" w:rsidRPr="006D6727">
        <w:rPr>
          <w:noProof/>
          <w:lang w:val="en-GB"/>
        </w:rPr>
        <w:t>Maximum peak power vs detection distance for 2 and 4</w:t>
      </w:r>
      <w:r w:rsidR="00E93547" w:rsidRPr="006D6727">
        <w:rPr>
          <w:noProof/>
          <w:lang w:val="en-GB"/>
        </w:rPr>
        <w:t> </w:t>
      </w:r>
      <w:r w:rsidR="00DE7686" w:rsidRPr="006D6727">
        <w:rPr>
          <w:noProof/>
          <w:lang w:val="en-GB"/>
        </w:rPr>
        <w:t>GHz bandwidth radars</w:t>
      </w:r>
    </w:p>
    <w:p w14:paraId="4148ADFA" w14:textId="77777777" w:rsidR="00DE7686" w:rsidRPr="006D6727" w:rsidRDefault="00DE7686" w:rsidP="00DE7686">
      <w:pPr>
        <w:pStyle w:val="ECCFiguregraphcentered"/>
        <w:rPr>
          <w:lang w:val="en-GB"/>
        </w:rPr>
      </w:pPr>
      <w:r w:rsidRPr="006D6727">
        <w:drawing>
          <wp:inline distT="0" distB="0" distL="0" distR="0" wp14:anchorId="2F940FA6" wp14:editId="3FD8046E">
            <wp:extent cx="4196862" cy="2967447"/>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226393" cy="2988327"/>
                    </a:xfrm>
                    <a:prstGeom prst="rect">
                      <a:avLst/>
                    </a:prstGeom>
                    <a:noFill/>
                    <a:ln>
                      <a:noFill/>
                    </a:ln>
                  </pic:spPr>
                </pic:pic>
              </a:graphicData>
            </a:graphic>
          </wp:inline>
        </w:drawing>
      </w:r>
    </w:p>
    <w:p w14:paraId="1C47355A" w14:textId="7F6C78E7" w:rsidR="00DE7686" w:rsidRPr="006D6727" w:rsidRDefault="00436A47" w:rsidP="00436A47">
      <w:pPr>
        <w:pStyle w:val="Caption"/>
        <w:rPr>
          <w:noProof/>
          <w:lang w:val="en-GB"/>
        </w:rPr>
      </w:pPr>
      <w:bookmarkStart w:id="170" w:name="_Ref15637856"/>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F49F9">
        <w:rPr>
          <w:noProof/>
          <w:lang w:val="en-GB"/>
        </w:rPr>
        <w:t>18</w:t>
      </w:r>
      <w:r w:rsidR="0028290E" w:rsidRPr="006D6727">
        <w:rPr>
          <w:noProof/>
          <w:lang w:val="en-GB"/>
        </w:rPr>
        <w:fldChar w:fldCharType="end"/>
      </w:r>
      <w:bookmarkEnd w:id="170"/>
      <w:r w:rsidRPr="006D6727">
        <w:rPr>
          <w:noProof/>
          <w:lang w:val="en-GB"/>
        </w:rPr>
        <w:t xml:space="preserve">: </w:t>
      </w:r>
      <w:r w:rsidR="00DE7686" w:rsidRPr="006D6727">
        <w:rPr>
          <w:noProof/>
          <w:lang w:val="en-GB"/>
        </w:rPr>
        <w:t>Maximum peak power vs</w:t>
      </w:r>
      <w:r w:rsidR="00CB021A">
        <w:t>.</w:t>
      </w:r>
      <w:r w:rsidR="00DE7686" w:rsidRPr="006D6727">
        <w:rPr>
          <w:noProof/>
          <w:lang w:val="en-GB"/>
        </w:rPr>
        <w:t xml:space="preserve"> detection distance for 7</w:t>
      </w:r>
      <w:r w:rsidR="00E93547" w:rsidRPr="006D6727">
        <w:rPr>
          <w:noProof/>
          <w:lang w:val="en-GB"/>
        </w:rPr>
        <w:t> </w:t>
      </w:r>
      <w:r w:rsidR="00DE7686" w:rsidRPr="006D6727">
        <w:rPr>
          <w:noProof/>
          <w:lang w:val="en-GB"/>
        </w:rPr>
        <w:t>GHz bandwidth radars</w:t>
      </w:r>
    </w:p>
    <w:p w14:paraId="72D675E4" w14:textId="3503DBC7" w:rsidR="00DE7686" w:rsidRPr="006D6727" w:rsidRDefault="00DE7686" w:rsidP="00DE7686">
      <w:pPr>
        <w:rPr>
          <w:noProof/>
        </w:rPr>
      </w:pPr>
      <w:r w:rsidRPr="006D6727">
        <w:rPr>
          <w:noProof/>
        </w:rPr>
        <w:t xml:space="preserve">Based on the previous results, it can be observed that for a fixed peak power level, the reduction in range is significant when a fine range resolution is required. This can be illustrated </w:t>
      </w:r>
      <w:r w:rsidR="00E33A4E">
        <w:rPr>
          <w:noProof/>
        </w:rPr>
        <w:t>in</w:t>
      </w:r>
      <w:r w:rsidR="00EF3E55">
        <w:rPr>
          <w:noProof/>
        </w:rPr>
        <w:t xml:space="preserve"> </w:t>
      </w:r>
      <w:r w:rsidR="00EF3E55">
        <w:rPr>
          <w:noProof/>
        </w:rPr>
        <w:fldChar w:fldCharType="begin"/>
      </w:r>
      <w:r w:rsidR="00EF3E55">
        <w:rPr>
          <w:noProof/>
        </w:rPr>
        <w:instrText xml:space="preserve"> REF _Ref88129708 \h </w:instrText>
      </w:r>
      <w:r w:rsidR="00EF3E55">
        <w:rPr>
          <w:noProof/>
        </w:rPr>
      </w:r>
      <w:r w:rsidR="00EF3E55">
        <w:rPr>
          <w:noProof/>
        </w:rPr>
        <w:fldChar w:fldCharType="separate"/>
      </w:r>
      <w:r w:rsidR="0041125F" w:rsidRPr="006D6727">
        <w:rPr>
          <w:noProof/>
        </w:rPr>
        <w:t>Figure </w:t>
      </w:r>
      <w:r w:rsidR="0041125F">
        <w:rPr>
          <w:noProof/>
        </w:rPr>
        <w:t>19</w:t>
      </w:r>
      <w:r w:rsidR="00EF3E55">
        <w:rPr>
          <w:noProof/>
        </w:rPr>
        <w:fldChar w:fldCharType="end"/>
      </w:r>
      <w:r w:rsidRPr="006D6727">
        <w:rPr>
          <w:noProof/>
        </w:rPr>
        <w:t xml:space="preserve"> in which 20</w:t>
      </w:r>
      <w:r w:rsidR="00E93547" w:rsidRPr="006D6727">
        <w:rPr>
          <w:noProof/>
        </w:rPr>
        <w:t> </w:t>
      </w:r>
      <w:r w:rsidRPr="006D6727">
        <w:rPr>
          <w:noProof/>
        </w:rPr>
        <w:t xml:space="preserve">dBm peak power imply that a target of </w:t>
      </w:r>
      <w:r w:rsidR="00E93547" w:rsidRPr="006D6727">
        <w:rPr>
          <w:rFonts w:cs="Arial"/>
          <w:noProof/>
        </w:rPr>
        <w:t>−</w:t>
      </w:r>
      <w:r w:rsidRPr="006D6727">
        <w:rPr>
          <w:noProof/>
        </w:rPr>
        <w:t>10</w:t>
      </w:r>
      <w:r w:rsidR="00E93547" w:rsidRPr="006D6727">
        <w:rPr>
          <w:noProof/>
        </w:rPr>
        <w:t> </w:t>
      </w:r>
      <w:r w:rsidRPr="006D6727">
        <w:rPr>
          <w:noProof/>
        </w:rPr>
        <w:t>dB</w:t>
      </w:r>
      <w:r w:rsidR="005A630C" w:rsidRPr="006D6727">
        <w:rPr>
          <w:noProof/>
        </w:rPr>
        <w:t>m²</w:t>
      </w:r>
      <w:r w:rsidRPr="006D6727">
        <w:rPr>
          <w:noProof/>
        </w:rPr>
        <w:t xml:space="preserve"> is visible at around 20</w:t>
      </w:r>
      <w:r w:rsidR="00E93547" w:rsidRPr="006D6727">
        <w:rPr>
          <w:noProof/>
        </w:rPr>
        <w:t> </w:t>
      </w:r>
      <w:r w:rsidRPr="006D6727">
        <w:rPr>
          <w:noProof/>
        </w:rPr>
        <w:t>m with a radar using 1</w:t>
      </w:r>
      <w:r w:rsidR="00E93547" w:rsidRPr="006D6727">
        <w:rPr>
          <w:noProof/>
        </w:rPr>
        <w:t> </w:t>
      </w:r>
      <w:r w:rsidRPr="006D6727">
        <w:rPr>
          <w:noProof/>
        </w:rPr>
        <w:t>GHz bandwidth but the same target will be visible only at around 13</w:t>
      </w:r>
      <w:r w:rsidR="00E93547" w:rsidRPr="006D6727">
        <w:rPr>
          <w:noProof/>
        </w:rPr>
        <w:t> </w:t>
      </w:r>
      <w:r w:rsidRPr="006D6727">
        <w:rPr>
          <w:noProof/>
        </w:rPr>
        <w:t>m for a 7</w:t>
      </w:r>
      <w:r w:rsidR="00E93547" w:rsidRPr="006D6727">
        <w:rPr>
          <w:noProof/>
        </w:rPr>
        <w:t> </w:t>
      </w:r>
      <w:r w:rsidRPr="006D6727">
        <w:rPr>
          <w:noProof/>
        </w:rPr>
        <w:t>GHz radar. This is a consequence of the short duration of the pulse, which implies a reduction in the duty cycle that should be compensated by the peak power level. This effect is even more noticeable for targets with low RCS values (</w:t>
      </w:r>
      <w:r w:rsidR="00E93547" w:rsidRPr="006D6727">
        <w:rPr>
          <w:rFonts w:cs="Arial"/>
          <w:noProof/>
        </w:rPr>
        <w:t>−</w:t>
      </w:r>
      <w:r w:rsidRPr="006D6727">
        <w:rPr>
          <w:noProof/>
        </w:rPr>
        <w:t>20</w:t>
      </w:r>
      <w:r w:rsidR="00E93547" w:rsidRPr="006D6727">
        <w:rPr>
          <w:noProof/>
        </w:rPr>
        <w:t> </w:t>
      </w:r>
      <w:r w:rsidRPr="006D6727">
        <w:rPr>
          <w:noProof/>
        </w:rPr>
        <w:t>dB</w:t>
      </w:r>
      <w:r w:rsidR="005A630C" w:rsidRPr="006D6727">
        <w:rPr>
          <w:noProof/>
        </w:rPr>
        <w:t>m²</w:t>
      </w:r>
      <w:r w:rsidRPr="006D6727">
        <w:rPr>
          <w:noProof/>
        </w:rPr>
        <w:t xml:space="preserve"> or </w:t>
      </w:r>
      <w:r w:rsidR="00E93547" w:rsidRPr="006D6727">
        <w:rPr>
          <w:rFonts w:cs="Arial"/>
          <w:noProof/>
        </w:rPr>
        <w:t>−</w:t>
      </w:r>
      <w:r w:rsidRPr="006D6727">
        <w:rPr>
          <w:noProof/>
        </w:rPr>
        <w:t>30</w:t>
      </w:r>
      <w:r w:rsidR="00E93547" w:rsidRPr="006D6727">
        <w:rPr>
          <w:noProof/>
        </w:rPr>
        <w:t> </w:t>
      </w:r>
      <w:r w:rsidRPr="006D6727">
        <w:rPr>
          <w:noProof/>
        </w:rPr>
        <w:t>dB</w:t>
      </w:r>
      <w:r w:rsidR="005A630C" w:rsidRPr="006D6727">
        <w:rPr>
          <w:noProof/>
        </w:rPr>
        <w:t>m²</w:t>
      </w:r>
      <w:r w:rsidRPr="006D6727">
        <w:rPr>
          <w:noProof/>
        </w:rPr>
        <w:t>), which are those that are more relevant for the application described in this section.</w:t>
      </w:r>
    </w:p>
    <w:p w14:paraId="28758E83" w14:textId="77777777" w:rsidR="00DE7686" w:rsidRDefault="00DE7686" w:rsidP="00DE7686">
      <w:pPr>
        <w:rPr>
          <w:noProof/>
        </w:rPr>
      </w:pPr>
      <w:r w:rsidRPr="006D6727">
        <w:rPr>
          <w:noProof/>
        </w:rPr>
        <w:t>This analysis suggests that a peak power limitation is less suitable for radar applications in this band that an average power spectral density value, which is directly related to the used bandwidth, depending on the required range resolution. In addition, given the nature of radar signals, a mean power spectral density value would be more adapted to perform compatibility studies with other services.</w:t>
      </w:r>
    </w:p>
    <w:p w14:paraId="144AD1C3" w14:textId="77777777" w:rsidR="00DE7686" w:rsidRPr="006D6727" w:rsidRDefault="00DE7686" w:rsidP="00DE7686">
      <w:pPr>
        <w:rPr>
          <w:noProof/>
        </w:rPr>
      </w:pPr>
      <w:r w:rsidRPr="006D6727">
        <w:rPr>
          <w:noProof/>
          <w:lang w:val="de-DE" w:eastAsia="de-DE"/>
        </w:rPr>
        <w:drawing>
          <wp:inline distT="0" distB="0" distL="0" distR="0" wp14:anchorId="69126003" wp14:editId="00FA4B5B">
            <wp:extent cx="6025661" cy="275824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028692" cy="2759634"/>
                    </a:xfrm>
                    <a:prstGeom prst="rect">
                      <a:avLst/>
                    </a:prstGeom>
                    <a:noFill/>
                    <a:ln>
                      <a:noFill/>
                    </a:ln>
                  </pic:spPr>
                </pic:pic>
              </a:graphicData>
            </a:graphic>
          </wp:inline>
        </w:drawing>
      </w:r>
    </w:p>
    <w:p w14:paraId="155DD20D" w14:textId="77777777" w:rsidR="00DE7686" w:rsidRPr="006D6727" w:rsidRDefault="00DE7686" w:rsidP="00DE7686">
      <w:pPr>
        <w:rPr>
          <w:noProof/>
        </w:rPr>
      </w:pPr>
      <w:r w:rsidRPr="006D6727">
        <w:rPr>
          <w:noProof/>
          <w:lang w:val="de-DE" w:eastAsia="de-DE"/>
        </w:rPr>
        <w:drawing>
          <wp:inline distT="0" distB="0" distL="0" distR="0" wp14:anchorId="1D2983A1" wp14:editId="5CAB795A">
            <wp:extent cx="6124575" cy="28035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124575" cy="2803525"/>
                    </a:xfrm>
                    <a:prstGeom prst="rect">
                      <a:avLst/>
                    </a:prstGeom>
                    <a:noFill/>
                    <a:ln>
                      <a:noFill/>
                    </a:ln>
                  </pic:spPr>
                </pic:pic>
              </a:graphicData>
            </a:graphic>
          </wp:inline>
        </w:drawing>
      </w:r>
    </w:p>
    <w:p w14:paraId="4B4FF6A4" w14:textId="59F6A818" w:rsidR="00DE7686" w:rsidRPr="006D6727" w:rsidRDefault="005E7390" w:rsidP="005E7390">
      <w:pPr>
        <w:pStyle w:val="Caption"/>
        <w:rPr>
          <w:noProof/>
          <w:lang w:val="en-GB"/>
        </w:rPr>
      </w:pPr>
      <w:bookmarkStart w:id="171" w:name="_Ref88129708"/>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F49F9">
        <w:rPr>
          <w:noProof/>
          <w:lang w:val="en-GB"/>
        </w:rPr>
        <w:t>19</w:t>
      </w:r>
      <w:r w:rsidR="0028290E" w:rsidRPr="006D6727">
        <w:rPr>
          <w:noProof/>
          <w:lang w:val="en-GB"/>
        </w:rPr>
        <w:fldChar w:fldCharType="end"/>
      </w:r>
      <w:bookmarkEnd w:id="171"/>
      <w:r w:rsidRPr="006D6727">
        <w:rPr>
          <w:noProof/>
          <w:lang w:val="en-GB"/>
        </w:rPr>
        <w:t xml:space="preserve">: </w:t>
      </w:r>
      <w:r w:rsidR="00DE7686" w:rsidRPr="006D6727">
        <w:rPr>
          <w:noProof/>
          <w:lang w:val="en-GB"/>
        </w:rPr>
        <w:t>Required peak power for 1</w:t>
      </w:r>
      <w:r w:rsidR="00E93547" w:rsidRPr="006D6727">
        <w:rPr>
          <w:noProof/>
          <w:lang w:val="en-GB"/>
        </w:rPr>
        <w:t> </w:t>
      </w:r>
      <w:r w:rsidR="00DE7686" w:rsidRPr="006D6727">
        <w:rPr>
          <w:noProof/>
          <w:lang w:val="en-GB"/>
        </w:rPr>
        <w:t xml:space="preserve">GHz </w:t>
      </w:r>
      <w:r w:rsidR="00DE7686" w:rsidRPr="006D6727">
        <w:rPr>
          <w:rStyle w:val="ECCParagraph"/>
          <w:noProof/>
        </w:rPr>
        <w:t>and 7</w:t>
      </w:r>
      <w:r w:rsidR="00E93547" w:rsidRPr="006D6727">
        <w:rPr>
          <w:rStyle w:val="ECCParagraph"/>
          <w:noProof/>
        </w:rPr>
        <w:t> </w:t>
      </w:r>
      <w:r w:rsidR="00DE7686" w:rsidRPr="006D6727">
        <w:rPr>
          <w:rStyle w:val="ECCParagraph"/>
          <w:noProof/>
        </w:rPr>
        <w:t>GHz</w:t>
      </w:r>
      <w:r w:rsidR="00DE7686" w:rsidRPr="006D6727">
        <w:rPr>
          <w:noProof/>
          <w:lang w:val="en-GB"/>
        </w:rPr>
        <w:t xml:space="preserve"> bandwidth radars</w:t>
      </w:r>
    </w:p>
    <w:p w14:paraId="55B5DB13" w14:textId="77777777" w:rsidR="00DE7686" w:rsidRPr="006D6727" w:rsidRDefault="00DE7686" w:rsidP="00DE7686">
      <w:pPr>
        <w:rPr>
          <w:rStyle w:val="ECCHLbold"/>
          <w:noProof/>
        </w:rPr>
      </w:pPr>
      <w:r w:rsidRPr="006D6727">
        <w:rPr>
          <w:rStyle w:val="ECCHLbold"/>
          <w:noProof/>
        </w:rPr>
        <w:t>Discussion on Design margin</w:t>
      </w:r>
    </w:p>
    <w:p w14:paraId="3CA25E84" w14:textId="77777777" w:rsidR="00FF4F65" w:rsidRPr="006D6727" w:rsidRDefault="00DE7686" w:rsidP="00DE7686">
      <w:pPr>
        <w:rPr>
          <w:noProof/>
        </w:rPr>
      </w:pPr>
      <w:r w:rsidRPr="006D6727">
        <w:rPr>
          <w:noProof/>
        </w:rPr>
        <w:t>The previous results d</w:t>
      </w:r>
      <w:r w:rsidR="003C4FA9" w:rsidRPr="006D6727">
        <w:rPr>
          <w:noProof/>
        </w:rPr>
        <w:t>o</w:t>
      </w:r>
      <w:r w:rsidRPr="006D6727">
        <w:rPr>
          <w:noProof/>
        </w:rPr>
        <w:t xml:space="preserve"> not take into account any margin to compensate for propagation effects such as rain fade or </w:t>
      </w:r>
      <w:r w:rsidR="00524F58" w:rsidRPr="006D6727">
        <w:rPr>
          <w:noProof/>
        </w:rPr>
        <w:t>gas</w:t>
      </w:r>
      <w:r w:rsidRPr="006D6727">
        <w:rPr>
          <w:noProof/>
        </w:rPr>
        <w:t xml:space="preserve"> absorption which have a significant impact in the frequency bands analysed.</w:t>
      </w:r>
    </w:p>
    <w:p w14:paraId="3C10B609" w14:textId="77777777" w:rsidR="0031748A" w:rsidRPr="006D6727" w:rsidRDefault="0031748A" w:rsidP="0031748A">
      <w:pPr>
        <w:rPr>
          <w:noProof/>
        </w:rPr>
      </w:pPr>
      <w:r w:rsidRPr="006D6727">
        <w:rPr>
          <w:noProof/>
        </w:rPr>
        <w:t>Since automotive radars do not implement power control mechanisms that would allow for increased power in the presence of rain; the power levels considered in this Report will be those estimated under clear sky conditions.</w:t>
      </w:r>
    </w:p>
    <w:p w14:paraId="68244711" w14:textId="77777777" w:rsidR="00DE7686" w:rsidRPr="006D6727" w:rsidRDefault="00DE7686" w:rsidP="00DE7686">
      <w:pPr>
        <w:rPr>
          <w:rStyle w:val="ECCHLbold"/>
          <w:noProof/>
        </w:rPr>
      </w:pPr>
      <w:r w:rsidRPr="006D6727">
        <w:rPr>
          <w:rStyle w:val="ECCHLbold"/>
          <w:noProof/>
        </w:rPr>
        <w:t>Discussion on Proposed mean power density limits</w:t>
      </w:r>
    </w:p>
    <w:p w14:paraId="52C7422C" w14:textId="52843154" w:rsidR="00DE7686" w:rsidRPr="006D6727" w:rsidRDefault="00DE7686" w:rsidP="00DE7686">
      <w:pPr>
        <w:rPr>
          <w:rStyle w:val="ECCParagraph"/>
          <w:noProof/>
        </w:rPr>
      </w:pPr>
      <w:r w:rsidRPr="006D6727">
        <w:rPr>
          <w:rStyle w:val="ECCParagraph"/>
          <w:noProof/>
        </w:rPr>
        <w:t>Different power limits could be applied to the frequency bands considered, depending on the sharing environment. For instance, in the 116</w:t>
      </w:r>
      <w:r w:rsidR="001D7996">
        <w:rPr>
          <w:rStyle w:val="ECCParagraph"/>
          <w:noProof/>
        </w:rPr>
        <w:t>-</w:t>
      </w:r>
      <w:r w:rsidRPr="006D6727">
        <w:rPr>
          <w:rStyle w:val="ECCParagraph"/>
          <w:noProof/>
        </w:rPr>
        <w:t>122</w:t>
      </w:r>
      <w:r w:rsidR="00EB239D" w:rsidRPr="006D6727">
        <w:rPr>
          <w:rStyle w:val="ECCParagraph"/>
          <w:noProof/>
        </w:rPr>
        <w:t> </w:t>
      </w:r>
      <w:r w:rsidRPr="006D6727">
        <w:rPr>
          <w:rStyle w:val="ECCParagraph"/>
          <w:noProof/>
        </w:rPr>
        <w:t xml:space="preserve">GHz band, the maximum power spectral density would be mainly limited by the coexistence with the </w:t>
      </w:r>
      <w:r w:rsidR="0002062F" w:rsidRPr="006D6727">
        <w:rPr>
          <w:rStyle w:val="ECCParagraph"/>
          <w:noProof/>
        </w:rPr>
        <w:t>EESS</w:t>
      </w:r>
      <w:r w:rsidRPr="006D6727">
        <w:rPr>
          <w:rStyle w:val="ECCParagraph"/>
          <w:noProof/>
        </w:rPr>
        <w:t xml:space="preserve"> (passive). In the remaining bands, it will be the radio astronomy service that mainly drive the automotive radar power limitations.</w:t>
      </w:r>
    </w:p>
    <w:p w14:paraId="41427A82" w14:textId="0724AE97" w:rsidR="00DE7686" w:rsidRDefault="00DE7686" w:rsidP="0013054D">
      <w:pPr>
        <w:rPr>
          <w:rStyle w:val="ECCParagraph"/>
          <w:noProof/>
        </w:rPr>
      </w:pPr>
      <w:r w:rsidRPr="006D6727">
        <w:rPr>
          <w:rStyle w:val="ECCParagraph"/>
          <w:noProof/>
        </w:rPr>
        <w:t xml:space="preserve">Consequently, no specific values are proposed in this section for power density limitations; nevertheless, </w:t>
      </w:r>
      <w:r w:rsidR="0013054D" w:rsidRPr="006D6727">
        <w:rPr>
          <w:rStyle w:val="ECCParagraph"/>
          <w:noProof/>
        </w:rPr>
        <w:fldChar w:fldCharType="begin"/>
      </w:r>
      <w:r w:rsidR="0013054D" w:rsidRPr="006D6727">
        <w:rPr>
          <w:rStyle w:val="ECCParagraph"/>
          <w:noProof/>
        </w:rPr>
        <w:instrText xml:space="preserve"> REF _Ref15637850 \h  \* MERGEFORMAT </w:instrText>
      </w:r>
      <w:r w:rsidR="0013054D" w:rsidRPr="006D6727">
        <w:rPr>
          <w:rStyle w:val="ECCParagraph"/>
          <w:noProof/>
        </w:rPr>
      </w:r>
      <w:r w:rsidR="0013054D" w:rsidRPr="006D6727">
        <w:rPr>
          <w:rStyle w:val="ECCParagraph"/>
          <w:noProof/>
        </w:rPr>
        <w:fldChar w:fldCharType="separate"/>
      </w:r>
      <w:r w:rsidR="0041125F" w:rsidRPr="0041125F">
        <w:rPr>
          <w:rStyle w:val="ECCParagraph"/>
          <w:noProof/>
        </w:rPr>
        <w:t>Figure 16</w:t>
      </w:r>
      <w:r w:rsidR="0013054D" w:rsidRPr="006D6727">
        <w:rPr>
          <w:rStyle w:val="ECCParagraph"/>
          <w:noProof/>
        </w:rPr>
        <w:fldChar w:fldCharType="end"/>
      </w:r>
      <w:r w:rsidR="00EF3E55">
        <w:rPr>
          <w:rStyle w:val="ECCParagraph"/>
          <w:noProof/>
        </w:rPr>
        <w:t xml:space="preserve">, </w:t>
      </w:r>
      <w:r w:rsidR="00EF3E55">
        <w:rPr>
          <w:rStyle w:val="ECCParagraph"/>
          <w:noProof/>
        </w:rPr>
        <w:fldChar w:fldCharType="begin"/>
      </w:r>
      <w:r w:rsidR="00EF3E55">
        <w:rPr>
          <w:rStyle w:val="ECCParagraph"/>
          <w:noProof/>
        </w:rPr>
        <w:instrText xml:space="preserve"> REF _Ref20474269 \h </w:instrText>
      </w:r>
      <w:r w:rsidR="00EF3E55">
        <w:rPr>
          <w:rStyle w:val="ECCParagraph"/>
          <w:noProof/>
        </w:rPr>
      </w:r>
      <w:r w:rsidR="00EF3E55">
        <w:rPr>
          <w:rStyle w:val="ECCParagraph"/>
          <w:noProof/>
        </w:rPr>
        <w:fldChar w:fldCharType="separate"/>
      </w:r>
      <w:r w:rsidR="0041125F" w:rsidRPr="006D6727">
        <w:rPr>
          <w:noProof/>
        </w:rPr>
        <w:t>Figure </w:t>
      </w:r>
      <w:r w:rsidR="0041125F">
        <w:rPr>
          <w:noProof/>
        </w:rPr>
        <w:t>17</w:t>
      </w:r>
      <w:r w:rsidR="00EF3E55">
        <w:rPr>
          <w:rStyle w:val="ECCParagraph"/>
          <w:noProof/>
        </w:rPr>
        <w:fldChar w:fldCharType="end"/>
      </w:r>
      <w:r w:rsidR="0013054D" w:rsidRPr="006D6727">
        <w:rPr>
          <w:rStyle w:val="ECCParagraph"/>
          <w:noProof/>
        </w:rPr>
        <w:t xml:space="preserve"> </w:t>
      </w:r>
      <w:r w:rsidR="00EF3E55">
        <w:rPr>
          <w:rStyle w:val="ECCParagraph"/>
          <w:noProof/>
        </w:rPr>
        <w:t>and</w:t>
      </w:r>
      <w:r w:rsidRPr="006D6727">
        <w:rPr>
          <w:rStyle w:val="ECCParagraph"/>
          <w:noProof/>
        </w:rPr>
        <w:t xml:space="preserve"> </w:t>
      </w:r>
      <w:r w:rsidR="0013054D" w:rsidRPr="006D6727">
        <w:rPr>
          <w:rStyle w:val="ECCParagraph"/>
          <w:noProof/>
        </w:rPr>
        <w:fldChar w:fldCharType="begin"/>
      </w:r>
      <w:r w:rsidR="0013054D" w:rsidRPr="006D6727">
        <w:rPr>
          <w:rStyle w:val="ECCParagraph"/>
          <w:noProof/>
        </w:rPr>
        <w:instrText xml:space="preserve"> REF _Ref15637856 \h  \* MERGEFORMAT </w:instrText>
      </w:r>
      <w:r w:rsidR="0013054D" w:rsidRPr="006D6727">
        <w:rPr>
          <w:rStyle w:val="ECCParagraph"/>
          <w:noProof/>
        </w:rPr>
      </w:r>
      <w:r w:rsidR="0013054D" w:rsidRPr="006D6727">
        <w:rPr>
          <w:rStyle w:val="ECCParagraph"/>
          <w:noProof/>
        </w:rPr>
        <w:fldChar w:fldCharType="separate"/>
      </w:r>
      <w:r w:rsidR="0041125F" w:rsidRPr="0041125F">
        <w:rPr>
          <w:rStyle w:val="ECCParagraph"/>
          <w:noProof/>
        </w:rPr>
        <w:t>Figure 18</w:t>
      </w:r>
      <w:r w:rsidR="0013054D" w:rsidRPr="006D6727">
        <w:rPr>
          <w:rStyle w:val="ECCParagraph"/>
          <w:noProof/>
        </w:rPr>
        <w:fldChar w:fldCharType="end"/>
      </w:r>
      <w:r w:rsidRPr="006D6727">
        <w:rPr>
          <w:rStyle w:val="ECCParagraph"/>
          <w:noProof/>
        </w:rPr>
        <w:t xml:space="preserve"> provide information on the peak power values that would be necessary for different type of radars. The actual limitations would be derived from the subsequent sharing studies to be conducted.</w:t>
      </w:r>
    </w:p>
    <w:p w14:paraId="2E62B5FA" w14:textId="77777777" w:rsidR="00A53C41" w:rsidRPr="00A53C41" w:rsidRDefault="00A53C41" w:rsidP="00A53C41">
      <w:r w:rsidRPr="00A53C41">
        <w:t>It has however to be noted that for the initial compatibility studies with EESS (passive), a maximum e</w:t>
      </w:r>
      <w:r>
        <w:t>.</w:t>
      </w:r>
      <w:r w:rsidRPr="00A53C41">
        <w:t>i</w:t>
      </w:r>
      <w:r>
        <w:t>.</w:t>
      </w:r>
      <w:r w:rsidRPr="00A53C41">
        <w:t>r</w:t>
      </w:r>
      <w:r>
        <w:t>.</w:t>
      </w:r>
      <w:r w:rsidRPr="00A53C41">
        <w:t>p</w:t>
      </w:r>
      <w:r>
        <w:t>.</w:t>
      </w:r>
      <w:r w:rsidRPr="00A53C41">
        <w:t xml:space="preserve"> of 55</w:t>
      </w:r>
      <w:r>
        <w:t> </w:t>
      </w:r>
      <w:r w:rsidRPr="00A53C41">
        <w:t>dBm was proposed by industry, subsequently decreased to 47</w:t>
      </w:r>
      <w:r>
        <w:t> </w:t>
      </w:r>
      <w:r w:rsidRPr="00A53C41">
        <w:t>dBm. This later 47</w:t>
      </w:r>
      <w:r>
        <w:t> </w:t>
      </w:r>
      <w:r w:rsidRPr="00A53C41">
        <w:t>dBm value has been used as a reference for the studies in the present Report.</w:t>
      </w:r>
    </w:p>
    <w:p w14:paraId="1BEC0F1D" w14:textId="77777777" w:rsidR="00A53C41" w:rsidRPr="00A53C41" w:rsidRDefault="00A53C41" w:rsidP="00A53C41">
      <w:r w:rsidRPr="00A53C41">
        <w:t>Additional calculations have also been performed with 40</w:t>
      </w:r>
      <w:r>
        <w:t> </w:t>
      </w:r>
      <w:r w:rsidRPr="00A53C41">
        <w:t>dBm and 26</w:t>
      </w:r>
      <w:r>
        <w:t> </w:t>
      </w:r>
      <w:r w:rsidRPr="00A53C41">
        <w:t>dBm maximum e</w:t>
      </w:r>
      <w:r>
        <w:t>.</w:t>
      </w:r>
      <w:r w:rsidRPr="00A53C41">
        <w:t>i</w:t>
      </w:r>
      <w:r>
        <w:t>.</w:t>
      </w:r>
      <w:r w:rsidRPr="00A53C41">
        <w:t>r</w:t>
      </w:r>
      <w:r>
        <w:t>.</w:t>
      </w:r>
      <w:r w:rsidRPr="00A53C41">
        <w:t>p.</w:t>
      </w:r>
    </w:p>
    <w:p w14:paraId="4A0C9677" w14:textId="77777777" w:rsidR="00FF6C00" w:rsidRPr="006D6727" w:rsidRDefault="00FF6C00" w:rsidP="004E36C2">
      <w:pPr>
        <w:pStyle w:val="Heading4"/>
        <w:rPr>
          <w:noProof/>
        </w:rPr>
      </w:pPr>
      <w:bookmarkStart w:id="172" w:name="_Ref67225744"/>
      <w:bookmarkStart w:id="173" w:name="_Toc84325260"/>
      <w:r w:rsidRPr="006D6727">
        <w:rPr>
          <w:noProof/>
        </w:rPr>
        <w:t>Antenna data</w:t>
      </w:r>
      <w:bookmarkEnd w:id="172"/>
      <w:bookmarkEnd w:id="173"/>
    </w:p>
    <w:p w14:paraId="5FF51F48" w14:textId="14ED6F9D" w:rsidR="00376EC1" w:rsidRDefault="00432875" w:rsidP="00376EC1">
      <w:pPr>
        <w:rPr>
          <w:noProof/>
        </w:rPr>
      </w:pPr>
      <w:r w:rsidRPr="006D6727">
        <w:rPr>
          <w:noProof/>
        </w:rPr>
        <w:t>The relevant antenna parameters</w:t>
      </w:r>
      <w:r w:rsidR="00872B10">
        <w:t xml:space="preserve">, like maximum gain and azimuth and elevation -3 dB bandwidth </w:t>
      </w:r>
      <w:r w:rsidRPr="006D6727">
        <w:rPr>
          <w:noProof/>
        </w:rPr>
        <w:t xml:space="preserve">for </w:t>
      </w:r>
      <w:r w:rsidR="00D00055">
        <w:t>short</w:t>
      </w:r>
      <w:r w:rsidR="00832E5D">
        <w:t>-</w:t>
      </w:r>
      <w:r w:rsidR="00D00055">
        <w:t>range</w:t>
      </w:r>
      <w:r w:rsidRPr="006D6727">
        <w:rPr>
          <w:noProof/>
        </w:rPr>
        <w:t xml:space="preserve"> assist and </w:t>
      </w:r>
      <w:r w:rsidR="00D00055">
        <w:t>surrounding</w:t>
      </w:r>
      <w:r w:rsidR="00D00055" w:rsidRPr="006D6727">
        <w:rPr>
          <w:noProof/>
        </w:rPr>
        <w:t xml:space="preserve"> </w:t>
      </w:r>
      <w:r w:rsidRPr="006D6727">
        <w:rPr>
          <w:noProof/>
        </w:rPr>
        <w:t xml:space="preserve">monitoring systems for vehicles and autonomous systems are included in </w:t>
      </w:r>
      <w:r w:rsidRPr="006D6727">
        <w:rPr>
          <w:noProof/>
        </w:rPr>
        <w:fldChar w:fldCharType="begin"/>
      </w:r>
      <w:r w:rsidRPr="006D6727">
        <w:rPr>
          <w:noProof/>
        </w:rPr>
        <w:instrText xml:space="preserve"> REF _Ref15636231 \h </w:instrText>
      </w:r>
      <w:r w:rsidRPr="006D6727">
        <w:rPr>
          <w:noProof/>
        </w:rPr>
      </w:r>
      <w:r w:rsidRPr="006D6727">
        <w:rPr>
          <w:noProof/>
        </w:rPr>
        <w:fldChar w:fldCharType="separate"/>
      </w:r>
      <w:r w:rsidR="0041125F" w:rsidRPr="006D6727">
        <w:rPr>
          <w:noProof/>
        </w:rPr>
        <w:t>Table </w:t>
      </w:r>
      <w:r w:rsidR="0041125F">
        <w:rPr>
          <w:noProof/>
        </w:rPr>
        <w:t>18</w:t>
      </w:r>
      <w:r w:rsidRPr="006D6727">
        <w:rPr>
          <w:noProof/>
        </w:rPr>
        <w:fldChar w:fldCharType="end"/>
      </w:r>
      <w:r w:rsidRPr="006D6727">
        <w:rPr>
          <w:noProof/>
        </w:rPr>
        <w:t xml:space="preserve"> in </w:t>
      </w:r>
      <w:r w:rsidR="009D5FA2">
        <w:rPr>
          <w:noProof/>
        </w:rPr>
        <w:t>section</w:t>
      </w:r>
      <w:r w:rsidRPr="006D6727">
        <w:rPr>
          <w:noProof/>
        </w:rPr>
        <w:t xml:space="preserve"> </w:t>
      </w:r>
      <w:r w:rsidRPr="006D6727">
        <w:rPr>
          <w:noProof/>
        </w:rPr>
        <w:fldChar w:fldCharType="begin"/>
      </w:r>
      <w:r w:rsidRPr="006D6727">
        <w:rPr>
          <w:noProof/>
        </w:rPr>
        <w:instrText xml:space="preserve"> REF _Ref20313340 \r \h </w:instrText>
      </w:r>
      <w:r w:rsidRPr="006D6727">
        <w:rPr>
          <w:noProof/>
        </w:rPr>
      </w:r>
      <w:r w:rsidRPr="006D6727">
        <w:rPr>
          <w:noProof/>
        </w:rPr>
        <w:fldChar w:fldCharType="separate"/>
      </w:r>
      <w:r w:rsidR="004F49F9">
        <w:rPr>
          <w:noProof/>
        </w:rPr>
        <w:t>2.2.3.3</w:t>
      </w:r>
      <w:r w:rsidRPr="006D6727">
        <w:rPr>
          <w:noProof/>
        </w:rPr>
        <w:fldChar w:fldCharType="end"/>
      </w:r>
      <w:r w:rsidRPr="006D6727">
        <w:rPr>
          <w:noProof/>
        </w:rPr>
        <w:t>.</w:t>
      </w:r>
    </w:p>
    <w:p w14:paraId="59BDF501" w14:textId="77777777" w:rsidR="00872B10" w:rsidRPr="00872B10" w:rsidRDefault="00872B10" w:rsidP="00872B10">
      <w:r w:rsidRPr="00872B10">
        <w:t>In the MIMO case, the T</w:t>
      </w:r>
      <w:r w:rsidR="008C6A78">
        <w:t>x</w:t>
      </w:r>
      <w:r w:rsidRPr="00872B10">
        <w:t xml:space="preserve"> antennas are used with nearly omnidirectional patterns. Therefore</w:t>
      </w:r>
      <w:r>
        <w:t>,</w:t>
      </w:r>
      <w:r w:rsidRPr="00872B10">
        <w:t xml:space="preserve"> the beamwidth is the same as in the SISO case (SISO meaning single T</w:t>
      </w:r>
      <w:r w:rsidR="00631F30">
        <w:t>x</w:t>
      </w:r>
      <w:r w:rsidRPr="00872B10">
        <w:t xml:space="preserve"> antenna and single R</w:t>
      </w:r>
      <w:r w:rsidR="00631F30">
        <w:t>x</w:t>
      </w:r>
      <w:r w:rsidRPr="00872B10">
        <w:t xml:space="preserve"> antenna). The beamforming gain is achieved by receiver processing, which does not affect the </w:t>
      </w:r>
      <w:r w:rsidR="00F37503">
        <w:t>e.i.r.p</w:t>
      </w:r>
      <w:r w:rsidRPr="00872B10">
        <w:t>.</w:t>
      </w:r>
    </w:p>
    <w:p w14:paraId="676D1E1F" w14:textId="442E665C" w:rsidR="00872B10" w:rsidRPr="00872B10" w:rsidRDefault="00872B10" w:rsidP="00872B10">
      <w:r>
        <w:rPr>
          <w:rStyle w:val="ECCParagraph"/>
        </w:rPr>
        <w:t>In the beamforming case, the T</w:t>
      </w:r>
      <w:r w:rsidR="008C6A78">
        <w:rPr>
          <w:rStyle w:val="ECCParagraph"/>
        </w:rPr>
        <w:t>x</w:t>
      </w:r>
      <w:r>
        <w:rPr>
          <w:rStyle w:val="ECCParagraph"/>
        </w:rPr>
        <w:t xml:space="preserve"> antennas are used jointly to create a </w:t>
      </w:r>
      <w:r w:rsidRPr="00872B10">
        <w:rPr>
          <w:rStyle w:val="ECCParagraph"/>
        </w:rPr>
        <w:t>directional beam that is narrower than the nearly omnidirectional beam of the individual elements, resulting in some array gain. The parameters of 19</w:t>
      </w:r>
      <w:r>
        <w:rPr>
          <w:rStyle w:val="ECCParagraph"/>
        </w:rPr>
        <w:t> </w:t>
      </w:r>
      <w:r w:rsidRPr="00872B10">
        <w:rPr>
          <w:rStyle w:val="ECCParagraph"/>
        </w:rPr>
        <w:t>dBi antenna gain and 3</w:t>
      </w:r>
      <w:r>
        <w:rPr>
          <w:rStyle w:val="ECCParagraph"/>
        </w:rPr>
        <w:t> </w:t>
      </w:r>
      <w:r w:rsidRPr="00872B10">
        <w:rPr>
          <w:rStyle w:val="ECCParagraph"/>
        </w:rPr>
        <w:t>dB azimuth and elevation beamwidth of 30</w:t>
      </w:r>
      <w:r w:rsidRPr="00872B10">
        <w:t xml:space="preserve">° and 10°, as in the current version of the draft, are calculated exactly as per </w:t>
      </w:r>
      <w:r w:rsidR="00EF3E55">
        <w:t xml:space="preserve">Recommendation </w:t>
      </w:r>
      <w:r w:rsidRPr="00872B10">
        <w:t>ITU-R M.2057 (Note 2)</w:t>
      </w:r>
      <w:r w:rsidR="00C53C39">
        <w:t xml:space="preserve"> </w:t>
      </w:r>
      <w:r w:rsidR="00C53C39" w:rsidRPr="00C53C39">
        <w:rPr>
          <w:rStyle w:val="ECCParagraph"/>
        </w:rPr>
        <w:fldChar w:fldCharType="begin"/>
      </w:r>
      <w:r w:rsidR="00C53C39" w:rsidRPr="00C53C39">
        <w:rPr>
          <w:rStyle w:val="ECCParagraph"/>
        </w:rPr>
        <w:instrText xml:space="preserve"> REF  ITU_R_M_2057 \h \w  \* MERGEFORMAT </w:instrText>
      </w:r>
      <w:r w:rsidR="00C53C39" w:rsidRPr="00C53C39">
        <w:rPr>
          <w:rStyle w:val="ECCParagraph"/>
        </w:rPr>
      </w:r>
      <w:r w:rsidR="00C53C39" w:rsidRPr="00C53C39">
        <w:rPr>
          <w:rStyle w:val="ECCParagraph"/>
        </w:rPr>
        <w:fldChar w:fldCharType="separate"/>
      </w:r>
      <w:r w:rsidR="004F49F9">
        <w:rPr>
          <w:rStyle w:val="ECCParagraph"/>
        </w:rPr>
        <w:t>[24]</w:t>
      </w:r>
      <w:r w:rsidR="00C53C39" w:rsidRPr="00C53C39">
        <w:rPr>
          <w:rStyle w:val="ECCParagraph"/>
        </w:rPr>
        <w:fldChar w:fldCharType="end"/>
      </w:r>
      <w:r w:rsidRPr="00872B10">
        <w:t>, resulting in the following patterns.</w:t>
      </w:r>
    </w:p>
    <w:p w14:paraId="602987A4" w14:textId="77777777" w:rsidR="00872B10" w:rsidRPr="00D9036B" w:rsidRDefault="00872B10" w:rsidP="00872B10">
      <w:pPr>
        <w:pStyle w:val="ECCFiguregraphcentered"/>
        <w:rPr>
          <w:lang w:val="en-US"/>
        </w:rPr>
      </w:pPr>
      <w:r w:rsidRPr="00872B10">
        <w:rPr>
          <w:rStyle w:val="ECCHLblue"/>
          <w:lang w:val="de-DE"/>
        </w:rPr>
        <w:drawing>
          <wp:inline distT="0" distB="0" distL="0" distR="0" wp14:anchorId="395B4A13" wp14:editId="7E358AEC">
            <wp:extent cx="2940711" cy="2205446"/>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9823" cy="2227279"/>
                    </a:xfrm>
                    <a:prstGeom prst="rect">
                      <a:avLst/>
                    </a:prstGeom>
                    <a:noFill/>
                    <a:ln>
                      <a:noFill/>
                    </a:ln>
                  </pic:spPr>
                </pic:pic>
              </a:graphicData>
            </a:graphic>
          </wp:inline>
        </w:drawing>
      </w:r>
      <w:r w:rsidRPr="00D9036B">
        <w:rPr>
          <w:lang w:val="en-US"/>
        </w:rPr>
        <w:t xml:space="preserve"> </w:t>
      </w:r>
      <w:r w:rsidRPr="00872B10">
        <w:rPr>
          <w:rStyle w:val="ECCHLblue"/>
          <w:lang w:val="de-DE"/>
        </w:rPr>
        <w:drawing>
          <wp:inline distT="0" distB="0" distL="0" distR="0" wp14:anchorId="671F7FA3" wp14:editId="3E706C74">
            <wp:extent cx="2955341" cy="2216417"/>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66308" cy="2224642"/>
                    </a:xfrm>
                    <a:prstGeom prst="rect">
                      <a:avLst/>
                    </a:prstGeom>
                    <a:noFill/>
                    <a:ln>
                      <a:noFill/>
                    </a:ln>
                  </pic:spPr>
                </pic:pic>
              </a:graphicData>
            </a:graphic>
          </wp:inline>
        </w:drawing>
      </w:r>
    </w:p>
    <w:p w14:paraId="34458C80" w14:textId="6618C14C" w:rsidR="00872B10" w:rsidRPr="00872B10" w:rsidRDefault="00872B10" w:rsidP="00872B10">
      <w:pPr>
        <w:pStyle w:val="Caption"/>
      </w:pPr>
      <w:bookmarkStart w:id="174" w:name="_Ref88129718"/>
      <w:r w:rsidRPr="00872B10">
        <w:t>Figure </w:t>
      </w:r>
      <w:r w:rsidR="00E55534">
        <w:fldChar w:fldCharType="begin"/>
      </w:r>
      <w:r w:rsidR="00E55534">
        <w:instrText>SEQ Figure \*ARABIC \* MERGEFORMAT  \* MERGEFORMAT</w:instrText>
      </w:r>
      <w:r w:rsidR="00E55534">
        <w:fldChar w:fldCharType="separate"/>
      </w:r>
      <w:r w:rsidR="004F49F9">
        <w:rPr>
          <w:noProof/>
        </w:rPr>
        <w:t>20</w:t>
      </w:r>
      <w:r w:rsidR="00E55534">
        <w:rPr>
          <w:noProof/>
        </w:rPr>
        <w:fldChar w:fldCharType="end"/>
      </w:r>
      <w:bookmarkEnd w:id="174"/>
      <w:r w:rsidRPr="00872B10">
        <w:t xml:space="preserve">: </w:t>
      </w:r>
      <w:r>
        <w:t xml:space="preserve">Antenna azimuth and elevation patterns for </w:t>
      </w:r>
      <w:r w:rsidR="005820DD">
        <w:t xml:space="preserve">the beamforming case (calculated according to </w:t>
      </w:r>
      <w:r w:rsidR="00EF3E55">
        <w:t xml:space="preserve">Recommendation </w:t>
      </w:r>
      <w:r w:rsidR="00EF3E55" w:rsidRPr="00872B10">
        <w:t>ITU-R M.2057 (Note 2)</w:t>
      </w:r>
      <w:r w:rsidR="00EF3E55">
        <w:t xml:space="preserve"> </w:t>
      </w:r>
      <w:r w:rsidR="00EF3E55" w:rsidRPr="00C53C39">
        <w:rPr>
          <w:rStyle w:val="ECCParagraph"/>
        </w:rPr>
        <w:fldChar w:fldCharType="begin"/>
      </w:r>
      <w:r w:rsidR="00EF3E55" w:rsidRPr="00C53C39">
        <w:rPr>
          <w:rStyle w:val="ECCParagraph"/>
        </w:rPr>
        <w:instrText xml:space="preserve"> REF  ITU_R_M_2057 \h \w  \* MERGEFORMAT </w:instrText>
      </w:r>
      <w:r w:rsidR="00EF3E55" w:rsidRPr="00C53C39">
        <w:rPr>
          <w:rStyle w:val="ECCParagraph"/>
        </w:rPr>
      </w:r>
      <w:r w:rsidR="00EF3E55" w:rsidRPr="00C53C39">
        <w:rPr>
          <w:rStyle w:val="ECCParagraph"/>
        </w:rPr>
        <w:fldChar w:fldCharType="separate"/>
      </w:r>
      <w:r w:rsidR="004F49F9">
        <w:rPr>
          <w:rStyle w:val="ECCParagraph"/>
        </w:rPr>
        <w:t>[24]</w:t>
      </w:r>
      <w:r w:rsidR="00EF3E55" w:rsidRPr="00C53C39">
        <w:rPr>
          <w:rStyle w:val="ECCParagraph"/>
        </w:rPr>
        <w:fldChar w:fldCharType="end"/>
      </w:r>
    </w:p>
    <w:p w14:paraId="6B2BCFE2" w14:textId="77777777" w:rsidR="00FF6C00" w:rsidRPr="006D6727" w:rsidRDefault="00FF6C00" w:rsidP="004E36C2">
      <w:pPr>
        <w:pStyle w:val="Heading4"/>
        <w:rPr>
          <w:noProof/>
        </w:rPr>
      </w:pPr>
      <w:bookmarkStart w:id="175" w:name="_Toc84325261"/>
      <w:r w:rsidRPr="006D6727">
        <w:rPr>
          <w:noProof/>
        </w:rPr>
        <w:t>Market size</w:t>
      </w:r>
      <w:bookmarkEnd w:id="175"/>
    </w:p>
    <w:p w14:paraId="0AD2F296" w14:textId="0025230F" w:rsidR="00432875" w:rsidRPr="006D6727" w:rsidRDefault="00432875" w:rsidP="00432875">
      <w:pPr>
        <w:rPr>
          <w:noProof/>
        </w:rPr>
      </w:pPr>
      <w:r w:rsidRPr="006D6727">
        <w:rPr>
          <w:rStyle w:val="ECCParagraph"/>
          <w:noProof/>
        </w:rPr>
        <w:t xml:space="preserve">Even though estimation of the market size is not provided in the ETSI TR 103 498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F49F9">
        <w:rPr>
          <w:rStyle w:val="ECCParagraph"/>
          <w:noProof/>
        </w:rPr>
        <w:t>[1]</w:t>
      </w:r>
      <w:r w:rsidRPr="006D6727">
        <w:rPr>
          <w:rStyle w:val="ECCParagraph"/>
          <w:noProof/>
        </w:rPr>
        <w:fldChar w:fldCharType="end"/>
      </w:r>
      <w:r w:rsidRPr="006D6727">
        <w:rPr>
          <w:rStyle w:val="ECCParagraph"/>
          <w:noProof/>
        </w:rPr>
        <w:t xml:space="preserve">, it is expected that the number of vehicles equipped with this type of systems be smaller than those equipped with radars used for car safety and road safety. Indeed, the front radars or corner radars are often used by </w:t>
      </w:r>
      <w:r w:rsidRPr="006D6727">
        <w:rPr>
          <w:noProof/>
        </w:rPr>
        <w:t xml:space="preserve">Advanced </w:t>
      </w:r>
      <w:r w:rsidR="004C5101" w:rsidRPr="006D6727">
        <w:rPr>
          <w:noProof/>
        </w:rPr>
        <w:t>D</w:t>
      </w:r>
      <w:r w:rsidRPr="006D6727">
        <w:rPr>
          <w:noProof/>
        </w:rPr>
        <w:t>river-</w:t>
      </w:r>
      <w:r w:rsidR="004C5101" w:rsidRPr="006D6727">
        <w:rPr>
          <w:noProof/>
        </w:rPr>
        <w:t>A</w:t>
      </w:r>
      <w:r w:rsidRPr="006D6727">
        <w:rPr>
          <w:noProof/>
        </w:rPr>
        <w:t xml:space="preserve">ssistance </w:t>
      </w:r>
      <w:r w:rsidR="004C5101" w:rsidRPr="006D6727">
        <w:rPr>
          <w:noProof/>
        </w:rPr>
        <w:t>S</w:t>
      </w:r>
      <w:r w:rsidRPr="006D6727">
        <w:rPr>
          <w:noProof/>
        </w:rPr>
        <w:t xml:space="preserve">ystems (ADAS) </w:t>
      </w:r>
      <w:r w:rsidRPr="006D6727">
        <w:rPr>
          <w:rStyle w:val="ECCParagraph"/>
          <w:noProof/>
        </w:rPr>
        <w:t xml:space="preserve">to avoid collisions and accidents </w:t>
      </w:r>
      <w:r w:rsidRPr="006D6727">
        <w:rPr>
          <w:noProof/>
        </w:rPr>
        <w:t xml:space="preserve">while driving; on the other hand, the </w:t>
      </w:r>
      <w:r w:rsidR="002E5439">
        <w:t>short</w:t>
      </w:r>
      <w:r w:rsidR="00832E5D">
        <w:t>-</w:t>
      </w:r>
      <w:r w:rsidR="002E5439">
        <w:t xml:space="preserve">range assist </w:t>
      </w:r>
      <w:r w:rsidRPr="006D6727">
        <w:rPr>
          <w:noProof/>
        </w:rPr>
        <w:t>radars analysed in this section would be mainly deployed in vehicles with high level of autonomy.</w:t>
      </w:r>
    </w:p>
    <w:p w14:paraId="59B1241B" w14:textId="77777777" w:rsidR="001773C2" w:rsidRPr="006D6727" w:rsidRDefault="001773C2" w:rsidP="004E36C2">
      <w:pPr>
        <w:pStyle w:val="Heading4"/>
        <w:rPr>
          <w:noProof/>
        </w:rPr>
      </w:pPr>
      <w:bookmarkStart w:id="176" w:name="_Ref67225770"/>
      <w:bookmarkStart w:id="177" w:name="_Toc84325262"/>
      <w:r w:rsidRPr="006D6727">
        <w:rPr>
          <w:noProof/>
        </w:rPr>
        <w:t>Interference scenarios</w:t>
      </w:r>
      <w:bookmarkEnd w:id="176"/>
      <w:bookmarkEnd w:id="177"/>
    </w:p>
    <w:p w14:paraId="7BC301D0" w14:textId="236F32D3" w:rsidR="009E5B54" w:rsidRPr="006D6727" w:rsidRDefault="009E5B54" w:rsidP="009E5B54">
      <w:pPr>
        <w:rPr>
          <w:noProof/>
        </w:rPr>
      </w:pPr>
      <w:r w:rsidRPr="006D6727">
        <w:rPr>
          <w:noProof/>
        </w:rPr>
        <w:t xml:space="preserve">Based on the applications identified in the European Common Allocation (ECA) Table contained in </w:t>
      </w:r>
      <w:r w:rsidRPr="006D6727">
        <w:rPr>
          <w:noProof/>
        </w:rPr>
        <w:fldChar w:fldCharType="begin"/>
      </w:r>
      <w:r w:rsidRPr="006D6727">
        <w:rPr>
          <w:noProof/>
        </w:rPr>
        <w:instrText xml:space="preserve"> REF _Ref12449270 \h </w:instrText>
      </w:r>
      <w:r w:rsidRPr="006D6727">
        <w:rPr>
          <w:noProof/>
        </w:rPr>
      </w:r>
      <w:r w:rsidRPr="006D6727">
        <w:rPr>
          <w:noProof/>
        </w:rPr>
        <w:fldChar w:fldCharType="separate"/>
      </w:r>
      <w:r w:rsidR="0041125F" w:rsidRPr="006D6727">
        <w:rPr>
          <w:noProof/>
        </w:rPr>
        <w:t>Table </w:t>
      </w:r>
      <w:r w:rsidR="0041125F">
        <w:rPr>
          <w:noProof/>
        </w:rPr>
        <w:t>34</w:t>
      </w:r>
      <w:r w:rsidRPr="006D6727">
        <w:rPr>
          <w:noProof/>
        </w:rPr>
        <w:fldChar w:fldCharType="end"/>
      </w:r>
      <w:r w:rsidRPr="006D6727">
        <w:rPr>
          <w:noProof/>
        </w:rPr>
        <w:t xml:space="preserve">, the sharing scenarios between </w:t>
      </w:r>
      <w:r w:rsidR="007E0D13">
        <w:t>short-range</w:t>
      </w:r>
      <w:r w:rsidRPr="006D6727">
        <w:rPr>
          <w:noProof/>
        </w:rPr>
        <w:t xml:space="preserve"> and </w:t>
      </w:r>
      <w:r w:rsidR="007E0D13">
        <w:t>surrounding</w:t>
      </w:r>
      <w:r w:rsidR="007E0D13" w:rsidRPr="006D6727">
        <w:rPr>
          <w:noProof/>
        </w:rPr>
        <w:t xml:space="preserve"> </w:t>
      </w:r>
      <w:r w:rsidRPr="006D6727">
        <w:rPr>
          <w:noProof/>
        </w:rPr>
        <w:t xml:space="preserve">monitoring sensors for vehicles and existing services are described in </w:t>
      </w:r>
      <w:r w:rsidRPr="006D6727">
        <w:rPr>
          <w:noProof/>
        </w:rPr>
        <w:fldChar w:fldCharType="begin"/>
      </w:r>
      <w:r w:rsidRPr="006D6727">
        <w:rPr>
          <w:noProof/>
        </w:rPr>
        <w:instrText xml:space="preserve"> REF _Ref17818247 \h </w:instrText>
      </w:r>
      <w:r w:rsidRPr="006D6727">
        <w:rPr>
          <w:noProof/>
        </w:rPr>
      </w:r>
      <w:r w:rsidRPr="006D6727">
        <w:rPr>
          <w:noProof/>
        </w:rPr>
        <w:fldChar w:fldCharType="separate"/>
      </w:r>
      <w:r w:rsidR="0041125F" w:rsidRPr="006D6727">
        <w:rPr>
          <w:noProof/>
        </w:rPr>
        <w:t>Table </w:t>
      </w:r>
      <w:r w:rsidR="0041125F">
        <w:rPr>
          <w:noProof/>
        </w:rPr>
        <w:t>19</w:t>
      </w:r>
      <w:r w:rsidRPr="006D6727">
        <w:rPr>
          <w:noProof/>
        </w:rPr>
        <w:fldChar w:fldCharType="end"/>
      </w:r>
      <w:r w:rsidRPr="006D6727">
        <w:rPr>
          <w:noProof/>
        </w:rPr>
        <w:t>.</w:t>
      </w:r>
    </w:p>
    <w:p w14:paraId="032978E2" w14:textId="4E16987A" w:rsidR="009E5B54" w:rsidRPr="006D6727" w:rsidRDefault="009E5B54" w:rsidP="009E5B54">
      <w:pPr>
        <w:pStyle w:val="Caption"/>
        <w:rPr>
          <w:noProof/>
          <w:lang w:val="en-GB"/>
        </w:rPr>
      </w:pPr>
      <w:bookmarkStart w:id="178" w:name="_Ref17818247"/>
      <w:r w:rsidRPr="006D6727">
        <w:rPr>
          <w:noProof/>
          <w:lang w:val="en-GB"/>
        </w:rPr>
        <w:t>Table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19</w:t>
      </w:r>
      <w:r w:rsidR="00616942" w:rsidRPr="006D6727">
        <w:rPr>
          <w:noProof/>
          <w:lang w:val="en-GB"/>
        </w:rPr>
        <w:fldChar w:fldCharType="end"/>
      </w:r>
      <w:bookmarkEnd w:id="178"/>
      <w:r w:rsidRPr="006D6727">
        <w:rPr>
          <w:noProof/>
          <w:lang w:val="en-GB"/>
        </w:rPr>
        <w:t>: Sharing studies description</w:t>
      </w:r>
    </w:p>
    <w:tbl>
      <w:tblPr>
        <w:tblStyle w:val="ECCTable-redheader"/>
        <w:tblW w:w="4858" w:type="pct"/>
        <w:tblInd w:w="0" w:type="dxa"/>
        <w:tblLook w:val="04A0" w:firstRow="1" w:lastRow="0" w:firstColumn="1" w:lastColumn="0" w:noHBand="0" w:noVBand="1"/>
      </w:tblPr>
      <w:tblGrid>
        <w:gridCol w:w="4957"/>
        <w:gridCol w:w="4399"/>
      </w:tblGrid>
      <w:tr w:rsidR="009E5B54" w:rsidRPr="006D6727" w14:paraId="75761D55" w14:textId="77777777" w:rsidTr="009E4E3D">
        <w:trPr>
          <w:cnfStyle w:val="100000000000" w:firstRow="1" w:lastRow="0" w:firstColumn="0" w:lastColumn="0" w:oddVBand="0" w:evenVBand="0" w:oddHBand="0" w:evenHBand="0" w:firstRowFirstColumn="0" w:firstRowLastColumn="0" w:lastRowFirstColumn="0" w:lastRowLastColumn="0"/>
        </w:trPr>
        <w:tc>
          <w:tcPr>
            <w:tcW w:w="2649" w:type="pct"/>
          </w:tcPr>
          <w:p w14:paraId="690F345D" w14:textId="77777777" w:rsidR="009E5B54" w:rsidRPr="006D6727" w:rsidRDefault="009E5B54" w:rsidP="00031A36">
            <w:pPr>
              <w:pStyle w:val="ECCTabletext"/>
              <w:spacing w:before="120"/>
              <w:jc w:val="left"/>
              <w:rPr>
                <w:rStyle w:val="ECCParagraph"/>
                <w:noProof/>
              </w:rPr>
            </w:pPr>
            <w:bookmarkStart w:id="179" w:name="_Hlk17818554"/>
            <w:r w:rsidRPr="006D6727">
              <w:rPr>
                <w:rStyle w:val="ECCParagraph"/>
                <w:noProof/>
              </w:rPr>
              <w:t>Interfered with service</w:t>
            </w:r>
            <w:r w:rsidR="00FC63B5" w:rsidRPr="006D6727">
              <w:rPr>
                <w:rStyle w:val="ECCParagraph"/>
                <w:noProof/>
              </w:rPr>
              <w:t xml:space="preserve"> or application</w:t>
            </w:r>
          </w:p>
        </w:tc>
        <w:tc>
          <w:tcPr>
            <w:tcW w:w="2351" w:type="pct"/>
          </w:tcPr>
          <w:p w14:paraId="0758D1D2" w14:textId="77777777" w:rsidR="009E5B54" w:rsidRPr="006D6727" w:rsidRDefault="009E5B54" w:rsidP="00031A36">
            <w:pPr>
              <w:pStyle w:val="ECCTabletext"/>
              <w:spacing w:before="120"/>
              <w:jc w:val="left"/>
              <w:rPr>
                <w:rStyle w:val="ECCParagraph"/>
                <w:noProof/>
              </w:rPr>
            </w:pPr>
            <w:r w:rsidRPr="006D6727">
              <w:rPr>
                <w:rStyle w:val="ECCParagraph"/>
                <w:noProof/>
              </w:rPr>
              <w:t>Frequency bands</w:t>
            </w:r>
          </w:p>
        </w:tc>
      </w:tr>
      <w:tr w:rsidR="009E5B54" w:rsidRPr="006D6727" w14:paraId="66CF1E1C" w14:textId="77777777" w:rsidTr="009E4E3D">
        <w:trPr>
          <w:trHeight w:val="265"/>
        </w:trPr>
        <w:tc>
          <w:tcPr>
            <w:tcW w:w="2649" w:type="pct"/>
          </w:tcPr>
          <w:p w14:paraId="4F5040FC" w14:textId="77777777" w:rsidR="009E5B54" w:rsidRPr="006D6727" w:rsidRDefault="009E5B54" w:rsidP="00031A36">
            <w:pPr>
              <w:pStyle w:val="ECCTabletext"/>
              <w:jc w:val="left"/>
              <w:rPr>
                <w:rStyle w:val="ECCParagraph"/>
                <w:noProof/>
              </w:rPr>
            </w:pPr>
            <w:r w:rsidRPr="006D6727">
              <w:rPr>
                <w:rStyle w:val="ECCParagraph"/>
                <w:noProof/>
              </w:rPr>
              <w:t>Earth Exploration Satellite Service (passive)</w:t>
            </w:r>
          </w:p>
        </w:tc>
        <w:tc>
          <w:tcPr>
            <w:tcW w:w="2351" w:type="pct"/>
          </w:tcPr>
          <w:p w14:paraId="54D9EE2B" w14:textId="4AC3203E" w:rsidR="009E5B54" w:rsidRDefault="006A4EA9" w:rsidP="00031A36">
            <w:pPr>
              <w:pStyle w:val="ECCTabletext"/>
              <w:jc w:val="left"/>
              <w:rPr>
                <w:rStyle w:val="ECCParagraph"/>
                <w:noProof/>
              </w:rPr>
            </w:pPr>
            <w:r w:rsidRPr="006D6727">
              <w:rPr>
                <w:rStyle w:val="ECCParagraph"/>
                <w:noProof/>
              </w:rPr>
              <w:t>114</w:t>
            </w:r>
            <w:r w:rsidR="00CF4994">
              <w:rPr>
                <w:rStyle w:val="ECCParagraph"/>
                <w:noProof/>
              </w:rPr>
              <w:t>.2</w:t>
            </w:r>
            <w:r w:rsidRPr="006D6727">
              <w:rPr>
                <w:rStyle w:val="ECCParagraph"/>
                <w:noProof/>
              </w:rPr>
              <w:t>5</w:t>
            </w:r>
            <w:r w:rsidR="001D7996">
              <w:rPr>
                <w:rStyle w:val="ECCParagraph"/>
                <w:noProof/>
              </w:rPr>
              <w:t>-</w:t>
            </w:r>
            <w:r w:rsidR="009E5B54" w:rsidRPr="006D6727">
              <w:rPr>
                <w:rStyle w:val="ECCParagraph"/>
                <w:noProof/>
              </w:rPr>
              <w:t>122</w:t>
            </w:r>
            <w:r w:rsidR="00CF4994">
              <w:rPr>
                <w:rStyle w:val="ECCParagraph"/>
                <w:noProof/>
              </w:rPr>
              <w:t>.2</w:t>
            </w:r>
            <w:r w:rsidR="009E5B54" w:rsidRPr="006D6727">
              <w:rPr>
                <w:rStyle w:val="ECCParagraph"/>
                <w:noProof/>
              </w:rPr>
              <w:t>5 GHz</w:t>
            </w:r>
            <w:r w:rsidR="00A53C41">
              <w:rPr>
                <w:rStyle w:val="ECCParagraph"/>
              </w:rPr>
              <w:t xml:space="preserve"> (in-band)</w:t>
            </w:r>
          </w:p>
          <w:p w14:paraId="4792D3AB" w14:textId="5E5789B0" w:rsidR="00A53C41" w:rsidRPr="006D6727" w:rsidRDefault="00A53C41" w:rsidP="00031A36">
            <w:pPr>
              <w:pStyle w:val="ECCTabletext"/>
              <w:jc w:val="left"/>
              <w:rPr>
                <w:rStyle w:val="ECCParagraph"/>
                <w:noProof/>
              </w:rPr>
            </w:pPr>
            <w:r>
              <w:rPr>
                <w:rStyle w:val="ECCParagraph"/>
              </w:rPr>
              <w:t>148.5</w:t>
            </w:r>
            <w:r w:rsidR="001D7996">
              <w:rPr>
                <w:rStyle w:val="ECCParagraph"/>
              </w:rPr>
              <w:t>-</w:t>
            </w:r>
            <w:r>
              <w:rPr>
                <w:rStyle w:val="ECCParagraph"/>
              </w:rPr>
              <w:t>151.5 GHz (adjacent</w:t>
            </w:r>
            <w:r w:rsidR="00BE5D31">
              <w:rPr>
                <w:rStyle w:val="ECCParagraph"/>
              </w:rPr>
              <w:t xml:space="preserve"> </w:t>
            </w:r>
            <w:r>
              <w:rPr>
                <w:rStyle w:val="ECCParagraph"/>
              </w:rPr>
              <w:t>band)</w:t>
            </w:r>
          </w:p>
        </w:tc>
      </w:tr>
      <w:tr w:rsidR="009E5B54" w:rsidRPr="006D6727" w14:paraId="5F6728B3" w14:textId="77777777" w:rsidTr="009E4E3D">
        <w:trPr>
          <w:trHeight w:val="265"/>
        </w:trPr>
        <w:tc>
          <w:tcPr>
            <w:tcW w:w="2649" w:type="pct"/>
          </w:tcPr>
          <w:p w14:paraId="32C313F4" w14:textId="77777777" w:rsidR="009E5B54" w:rsidRPr="006D6727" w:rsidRDefault="009E5B54" w:rsidP="00031A36">
            <w:pPr>
              <w:pStyle w:val="ECCTabletext"/>
              <w:jc w:val="left"/>
              <w:rPr>
                <w:rStyle w:val="ECCParagraph"/>
                <w:noProof/>
              </w:rPr>
            </w:pPr>
            <w:r w:rsidRPr="006D6727">
              <w:rPr>
                <w:rStyle w:val="ECCParagraph"/>
                <w:noProof/>
              </w:rPr>
              <w:t>Non-specific SRDs</w:t>
            </w:r>
          </w:p>
        </w:tc>
        <w:tc>
          <w:tcPr>
            <w:tcW w:w="2351" w:type="pct"/>
          </w:tcPr>
          <w:p w14:paraId="00E1542E" w14:textId="5F4A06F1" w:rsidR="009E5B54" w:rsidRPr="006D6727" w:rsidRDefault="009E5B54" w:rsidP="00031A36">
            <w:pPr>
              <w:pStyle w:val="ECCTabletext"/>
              <w:jc w:val="left"/>
              <w:rPr>
                <w:rStyle w:val="ECCParagraph"/>
                <w:noProof/>
              </w:rPr>
            </w:pPr>
            <w:r w:rsidRPr="006D6727">
              <w:rPr>
                <w:rStyle w:val="ECCParagraph"/>
                <w:noProof/>
              </w:rPr>
              <w:t>122</w:t>
            </w:r>
            <w:r w:rsidR="00CF4994">
              <w:rPr>
                <w:rStyle w:val="ECCParagraph"/>
                <w:noProof/>
              </w:rPr>
              <w:t>.2</w:t>
            </w:r>
            <w:r w:rsidRPr="006D6727">
              <w:rPr>
                <w:rStyle w:val="ECCParagraph"/>
                <w:noProof/>
              </w:rPr>
              <w:t>5</w:t>
            </w:r>
            <w:r w:rsidR="001D7996">
              <w:rPr>
                <w:rStyle w:val="ECCParagraph"/>
                <w:noProof/>
              </w:rPr>
              <w:t>-</w:t>
            </w:r>
            <w:r w:rsidRPr="006D6727">
              <w:rPr>
                <w:rStyle w:val="ECCParagraph"/>
                <w:noProof/>
              </w:rPr>
              <w:t>123 GHz</w:t>
            </w:r>
          </w:p>
        </w:tc>
      </w:tr>
      <w:tr w:rsidR="009E5B54" w:rsidRPr="006D6727" w14:paraId="6965DA2E" w14:textId="77777777" w:rsidTr="009E4E3D">
        <w:trPr>
          <w:trHeight w:val="265"/>
        </w:trPr>
        <w:tc>
          <w:tcPr>
            <w:tcW w:w="2649" w:type="pct"/>
          </w:tcPr>
          <w:p w14:paraId="13913984" w14:textId="77777777" w:rsidR="009E5B54" w:rsidRPr="006D6727" w:rsidRDefault="009E5B54" w:rsidP="00031A36">
            <w:pPr>
              <w:pStyle w:val="ECCTabletext"/>
              <w:jc w:val="left"/>
              <w:rPr>
                <w:rStyle w:val="ECCParagraph"/>
                <w:noProof/>
              </w:rPr>
            </w:pPr>
            <w:r w:rsidRPr="006D6727">
              <w:rPr>
                <w:rStyle w:val="ECCParagraph"/>
                <w:noProof/>
              </w:rPr>
              <w:t>Radio Astronomy</w:t>
            </w:r>
            <w:r w:rsidR="00FC63B5" w:rsidRPr="006D6727">
              <w:rPr>
                <w:rStyle w:val="ECCParagraph"/>
                <w:noProof/>
              </w:rPr>
              <w:t xml:space="preserve"> Service</w:t>
            </w:r>
          </w:p>
        </w:tc>
        <w:tc>
          <w:tcPr>
            <w:tcW w:w="2351" w:type="pct"/>
          </w:tcPr>
          <w:p w14:paraId="45583DC4" w14:textId="35F93BDF" w:rsidR="009E5B54" w:rsidRPr="006D6727" w:rsidRDefault="009E5B54" w:rsidP="00031A36">
            <w:pPr>
              <w:pStyle w:val="ECCTabletext"/>
              <w:jc w:val="left"/>
              <w:rPr>
                <w:rStyle w:val="ECCParagraph"/>
                <w:noProof/>
              </w:rPr>
            </w:pPr>
            <w:r w:rsidRPr="006D6727">
              <w:rPr>
                <w:rStyle w:val="ECCParagraph"/>
                <w:noProof/>
              </w:rPr>
              <w:t>123</w:t>
            </w:r>
            <w:r w:rsidR="001D7996">
              <w:rPr>
                <w:rStyle w:val="ECCParagraph"/>
                <w:noProof/>
              </w:rPr>
              <w:t>-</w:t>
            </w:r>
            <w:r w:rsidRPr="006D6727">
              <w:rPr>
                <w:rStyle w:val="ECCParagraph"/>
                <w:noProof/>
              </w:rPr>
              <w:t>130 GHz</w:t>
            </w:r>
          </w:p>
          <w:p w14:paraId="6546669C" w14:textId="357A9834" w:rsidR="009E5B54" w:rsidRPr="006D6727" w:rsidRDefault="009E5B54" w:rsidP="00031A36">
            <w:pPr>
              <w:pStyle w:val="ECCTabletext"/>
              <w:jc w:val="left"/>
              <w:rPr>
                <w:rStyle w:val="ECCParagraph"/>
                <w:noProof/>
              </w:rPr>
            </w:pPr>
            <w:r w:rsidRPr="006D6727">
              <w:rPr>
                <w:rStyle w:val="ECCParagraph"/>
                <w:noProof/>
              </w:rPr>
              <w:t>130</w:t>
            </w:r>
            <w:r w:rsidR="001D7996">
              <w:rPr>
                <w:rStyle w:val="ECCParagraph"/>
                <w:noProof/>
              </w:rPr>
              <w:t>-</w:t>
            </w:r>
            <w:r w:rsidRPr="006D6727">
              <w:rPr>
                <w:rStyle w:val="ECCParagraph"/>
                <w:noProof/>
              </w:rPr>
              <w:t>134 GHz</w:t>
            </w:r>
          </w:p>
          <w:p w14:paraId="58DB69C7" w14:textId="3B2DD397" w:rsidR="009E5B54" w:rsidRPr="006D6727" w:rsidRDefault="009E5B54" w:rsidP="00031A36">
            <w:pPr>
              <w:pStyle w:val="ECCTabletext"/>
              <w:jc w:val="left"/>
              <w:rPr>
                <w:rStyle w:val="ECCParagraph"/>
                <w:noProof/>
              </w:rPr>
            </w:pPr>
            <w:r w:rsidRPr="006D6727">
              <w:rPr>
                <w:rStyle w:val="ECCParagraph"/>
                <w:noProof/>
              </w:rPr>
              <w:t>134</w:t>
            </w:r>
            <w:r w:rsidR="001D7996">
              <w:rPr>
                <w:rStyle w:val="ECCParagraph"/>
                <w:noProof/>
              </w:rPr>
              <w:t>-</w:t>
            </w:r>
            <w:r w:rsidRPr="006D6727">
              <w:rPr>
                <w:rStyle w:val="ECCParagraph"/>
                <w:noProof/>
              </w:rPr>
              <w:t>141 GHz</w:t>
            </w:r>
          </w:p>
          <w:p w14:paraId="7475E1D7" w14:textId="681B1362" w:rsidR="009E5B54" w:rsidRPr="006D6727" w:rsidRDefault="009E5B54" w:rsidP="00031A36">
            <w:pPr>
              <w:pStyle w:val="ECCTabletext"/>
              <w:jc w:val="left"/>
              <w:rPr>
                <w:rStyle w:val="ECCParagraph"/>
                <w:noProof/>
              </w:rPr>
            </w:pPr>
            <w:r w:rsidRPr="006D6727">
              <w:rPr>
                <w:rStyle w:val="ECCParagraph"/>
                <w:noProof/>
              </w:rPr>
              <w:t>141</w:t>
            </w:r>
            <w:r w:rsidR="001D7996">
              <w:rPr>
                <w:rStyle w:val="ECCParagraph"/>
                <w:noProof/>
              </w:rPr>
              <w:t>-</w:t>
            </w:r>
            <w:r w:rsidRPr="006D6727">
              <w:rPr>
                <w:rStyle w:val="ECCParagraph"/>
                <w:noProof/>
              </w:rPr>
              <w:t>148</w:t>
            </w:r>
            <w:r w:rsidR="00CF4994">
              <w:rPr>
                <w:rStyle w:val="ECCParagraph"/>
                <w:noProof/>
              </w:rPr>
              <w:t>.5</w:t>
            </w:r>
            <w:r w:rsidRPr="006D6727">
              <w:rPr>
                <w:rStyle w:val="ECCParagraph"/>
                <w:noProof/>
              </w:rPr>
              <w:t> GHz</w:t>
            </w:r>
          </w:p>
        </w:tc>
      </w:tr>
      <w:tr w:rsidR="009E5B54" w:rsidRPr="006D6727" w14:paraId="0F8021E6" w14:textId="77777777" w:rsidTr="009E4E3D">
        <w:trPr>
          <w:trHeight w:val="265"/>
        </w:trPr>
        <w:tc>
          <w:tcPr>
            <w:tcW w:w="2649" w:type="pct"/>
          </w:tcPr>
          <w:p w14:paraId="03701844" w14:textId="77777777" w:rsidR="009E5B54" w:rsidRPr="006D6727" w:rsidRDefault="009E5B54" w:rsidP="00031A36">
            <w:pPr>
              <w:pStyle w:val="ECCTabletext"/>
              <w:jc w:val="left"/>
              <w:rPr>
                <w:rStyle w:val="ECCParagraph"/>
                <w:noProof/>
              </w:rPr>
            </w:pPr>
            <w:r w:rsidRPr="006D6727">
              <w:rPr>
                <w:rStyle w:val="ECCParagraph"/>
                <w:noProof/>
              </w:rPr>
              <w:t>Fixed Service</w:t>
            </w:r>
          </w:p>
        </w:tc>
        <w:tc>
          <w:tcPr>
            <w:tcW w:w="2351" w:type="pct"/>
          </w:tcPr>
          <w:p w14:paraId="7E5F9E59" w14:textId="71C37409" w:rsidR="009E5B54" w:rsidRPr="006D6727" w:rsidRDefault="009E5B54" w:rsidP="00031A36">
            <w:pPr>
              <w:pStyle w:val="ECCTabletext"/>
              <w:jc w:val="left"/>
              <w:rPr>
                <w:rStyle w:val="ECCParagraph"/>
                <w:noProof/>
              </w:rPr>
            </w:pPr>
            <w:r w:rsidRPr="006D6727">
              <w:rPr>
                <w:rStyle w:val="ECCParagraph"/>
                <w:noProof/>
              </w:rPr>
              <w:t>130</w:t>
            </w:r>
            <w:r w:rsidR="001D7996">
              <w:rPr>
                <w:rStyle w:val="ECCParagraph"/>
                <w:noProof/>
              </w:rPr>
              <w:t>-</w:t>
            </w:r>
            <w:r w:rsidRPr="006D6727">
              <w:rPr>
                <w:rStyle w:val="ECCParagraph"/>
                <w:noProof/>
              </w:rPr>
              <w:t>134 GHz</w:t>
            </w:r>
          </w:p>
          <w:p w14:paraId="354ABEA2" w14:textId="72476A83" w:rsidR="009E5B54" w:rsidRPr="006D6727" w:rsidRDefault="009E5B54" w:rsidP="00031A36">
            <w:pPr>
              <w:pStyle w:val="ECCTabletext"/>
              <w:jc w:val="left"/>
              <w:rPr>
                <w:rStyle w:val="ECCParagraph"/>
                <w:noProof/>
              </w:rPr>
            </w:pPr>
            <w:r w:rsidRPr="006D6727">
              <w:rPr>
                <w:rStyle w:val="ECCParagraph"/>
                <w:noProof/>
              </w:rPr>
              <w:t>141</w:t>
            </w:r>
            <w:r w:rsidR="001D7996">
              <w:rPr>
                <w:rStyle w:val="ECCParagraph"/>
                <w:noProof/>
              </w:rPr>
              <w:t>-</w:t>
            </w:r>
            <w:r w:rsidRPr="006D6727">
              <w:rPr>
                <w:rStyle w:val="ECCParagraph"/>
                <w:noProof/>
              </w:rPr>
              <w:t>148</w:t>
            </w:r>
            <w:r w:rsidR="00CF4994">
              <w:rPr>
                <w:rStyle w:val="ECCParagraph"/>
                <w:noProof/>
              </w:rPr>
              <w:t>.5</w:t>
            </w:r>
            <w:r w:rsidRPr="006D6727">
              <w:rPr>
                <w:rStyle w:val="ECCParagraph"/>
                <w:noProof/>
              </w:rPr>
              <w:t> GHz</w:t>
            </w:r>
          </w:p>
        </w:tc>
      </w:tr>
      <w:tr w:rsidR="009E5B54" w:rsidRPr="006D6727" w14:paraId="75EF4495" w14:textId="77777777" w:rsidTr="009E4E3D">
        <w:trPr>
          <w:trHeight w:val="265"/>
        </w:trPr>
        <w:tc>
          <w:tcPr>
            <w:tcW w:w="2649" w:type="pct"/>
          </w:tcPr>
          <w:p w14:paraId="41A12E40" w14:textId="77777777" w:rsidR="009E5B54" w:rsidRPr="006D6727" w:rsidRDefault="009E5B54" w:rsidP="00031A36">
            <w:pPr>
              <w:pStyle w:val="ECCTabletext"/>
              <w:jc w:val="left"/>
              <w:rPr>
                <w:rStyle w:val="ECCParagraph"/>
                <w:noProof/>
              </w:rPr>
            </w:pPr>
            <w:r w:rsidRPr="006D6727">
              <w:rPr>
                <w:rStyle w:val="ECCParagraph"/>
                <w:noProof/>
              </w:rPr>
              <w:t>Amateur</w:t>
            </w:r>
            <w:r w:rsidR="00580BB4" w:rsidRPr="006D6727">
              <w:rPr>
                <w:rStyle w:val="ECCParagraph"/>
                <w:noProof/>
              </w:rPr>
              <w:t xml:space="preserve"> Service</w:t>
            </w:r>
          </w:p>
        </w:tc>
        <w:tc>
          <w:tcPr>
            <w:tcW w:w="2351" w:type="pct"/>
          </w:tcPr>
          <w:p w14:paraId="5F7821D8" w14:textId="38CE1D80" w:rsidR="009E5B54" w:rsidRPr="006D6727" w:rsidRDefault="009E5B54" w:rsidP="00031A36">
            <w:pPr>
              <w:pStyle w:val="ECCTabletext"/>
              <w:jc w:val="left"/>
              <w:rPr>
                <w:rStyle w:val="ECCParagraph"/>
                <w:noProof/>
              </w:rPr>
            </w:pPr>
            <w:r w:rsidRPr="006D6727">
              <w:rPr>
                <w:rStyle w:val="ECCParagraph"/>
                <w:noProof/>
              </w:rPr>
              <w:t>122</w:t>
            </w:r>
            <w:r w:rsidR="00CF4994">
              <w:rPr>
                <w:rStyle w:val="ECCParagraph"/>
                <w:noProof/>
              </w:rPr>
              <w:t>.2</w:t>
            </w:r>
            <w:r w:rsidRPr="006D6727">
              <w:rPr>
                <w:rStyle w:val="ECCParagraph"/>
                <w:noProof/>
              </w:rPr>
              <w:t>5</w:t>
            </w:r>
            <w:r w:rsidR="001D7996">
              <w:rPr>
                <w:rStyle w:val="ECCParagraph"/>
                <w:noProof/>
              </w:rPr>
              <w:t>-</w:t>
            </w:r>
            <w:r w:rsidRPr="006D6727">
              <w:rPr>
                <w:rStyle w:val="ECCParagraph"/>
                <w:noProof/>
              </w:rPr>
              <w:t>123 GHz</w:t>
            </w:r>
          </w:p>
          <w:p w14:paraId="1EB73815" w14:textId="564E7F5B" w:rsidR="009E5B54" w:rsidRPr="006D6727" w:rsidRDefault="009E5B54" w:rsidP="00031A36">
            <w:pPr>
              <w:pStyle w:val="ECCTabletext"/>
              <w:jc w:val="left"/>
              <w:rPr>
                <w:rStyle w:val="ECCParagraph"/>
                <w:noProof/>
              </w:rPr>
            </w:pPr>
            <w:r w:rsidRPr="006D6727">
              <w:rPr>
                <w:rStyle w:val="ECCParagraph"/>
                <w:noProof/>
              </w:rPr>
              <w:t>134</w:t>
            </w:r>
            <w:r w:rsidR="001D7996">
              <w:rPr>
                <w:rStyle w:val="ECCParagraph"/>
                <w:noProof/>
              </w:rPr>
              <w:t>-</w:t>
            </w:r>
            <w:r w:rsidRPr="006D6727">
              <w:rPr>
                <w:rStyle w:val="ECCParagraph"/>
                <w:noProof/>
              </w:rPr>
              <w:t>141 GHz</w:t>
            </w:r>
          </w:p>
        </w:tc>
      </w:tr>
      <w:tr w:rsidR="009E5B54" w:rsidRPr="006D6727" w14:paraId="7627B254" w14:textId="77777777" w:rsidTr="009E4E3D">
        <w:trPr>
          <w:trHeight w:val="265"/>
        </w:trPr>
        <w:tc>
          <w:tcPr>
            <w:tcW w:w="2649" w:type="pct"/>
          </w:tcPr>
          <w:p w14:paraId="772708DA" w14:textId="77777777" w:rsidR="009E5B54" w:rsidRPr="006D6727" w:rsidRDefault="009E5B54" w:rsidP="00031A36">
            <w:pPr>
              <w:pStyle w:val="ECCTabletext"/>
              <w:jc w:val="left"/>
              <w:rPr>
                <w:rStyle w:val="ECCParagraph"/>
                <w:noProof/>
              </w:rPr>
            </w:pPr>
            <w:r w:rsidRPr="006D6727">
              <w:rPr>
                <w:rStyle w:val="ECCParagraph"/>
                <w:noProof/>
              </w:rPr>
              <w:t>Amateur-</w:t>
            </w:r>
            <w:r w:rsidR="00580BB4" w:rsidRPr="006D6727">
              <w:rPr>
                <w:rStyle w:val="ECCParagraph"/>
                <w:noProof/>
              </w:rPr>
              <w:t>S</w:t>
            </w:r>
            <w:r w:rsidRPr="006D6727">
              <w:rPr>
                <w:rStyle w:val="ECCParagraph"/>
                <w:noProof/>
              </w:rPr>
              <w:t>atellite</w:t>
            </w:r>
            <w:r w:rsidR="00580BB4" w:rsidRPr="006D6727">
              <w:rPr>
                <w:rStyle w:val="ECCParagraph"/>
                <w:noProof/>
              </w:rPr>
              <w:t xml:space="preserve"> Service</w:t>
            </w:r>
          </w:p>
        </w:tc>
        <w:tc>
          <w:tcPr>
            <w:tcW w:w="2351" w:type="pct"/>
          </w:tcPr>
          <w:p w14:paraId="2F8B95CC" w14:textId="1C78A751" w:rsidR="009E5B54" w:rsidRPr="006D6727" w:rsidRDefault="009E5B54" w:rsidP="00031A36">
            <w:pPr>
              <w:pStyle w:val="ECCTabletext"/>
              <w:jc w:val="left"/>
              <w:rPr>
                <w:rStyle w:val="ECCParagraph"/>
                <w:noProof/>
              </w:rPr>
            </w:pPr>
            <w:r w:rsidRPr="006D6727">
              <w:rPr>
                <w:rStyle w:val="ECCParagraph"/>
                <w:noProof/>
              </w:rPr>
              <w:t>122</w:t>
            </w:r>
            <w:r w:rsidR="00CF4994">
              <w:rPr>
                <w:rStyle w:val="ECCParagraph"/>
                <w:noProof/>
              </w:rPr>
              <w:t>.2</w:t>
            </w:r>
            <w:r w:rsidRPr="006D6727">
              <w:rPr>
                <w:rStyle w:val="ECCParagraph"/>
                <w:noProof/>
              </w:rPr>
              <w:t>5</w:t>
            </w:r>
            <w:r w:rsidR="001D7996">
              <w:rPr>
                <w:rStyle w:val="ECCParagraph"/>
                <w:noProof/>
              </w:rPr>
              <w:t>-</w:t>
            </w:r>
            <w:r w:rsidRPr="006D6727">
              <w:rPr>
                <w:rStyle w:val="ECCParagraph"/>
                <w:noProof/>
              </w:rPr>
              <w:t>123 GHz</w:t>
            </w:r>
          </w:p>
          <w:p w14:paraId="18FE7DAA" w14:textId="5BB79F6C" w:rsidR="009E5B54" w:rsidRPr="006D6727" w:rsidRDefault="009E5B54" w:rsidP="00031A36">
            <w:pPr>
              <w:pStyle w:val="ECCTabletext"/>
              <w:jc w:val="left"/>
              <w:rPr>
                <w:rStyle w:val="ECCParagraph"/>
                <w:noProof/>
              </w:rPr>
            </w:pPr>
            <w:r w:rsidRPr="006D6727">
              <w:rPr>
                <w:rStyle w:val="ECCParagraph"/>
                <w:noProof/>
              </w:rPr>
              <w:t>134</w:t>
            </w:r>
            <w:r w:rsidR="001D7996">
              <w:rPr>
                <w:rStyle w:val="ECCParagraph"/>
                <w:noProof/>
              </w:rPr>
              <w:t>-</w:t>
            </w:r>
            <w:r w:rsidRPr="006D6727">
              <w:rPr>
                <w:rStyle w:val="ECCParagraph"/>
                <w:noProof/>
              </w:rPr>
              <w:t>141 GHz</w:t>
            </w:r>
          </w:p>
        </w:tc>
      </w:tr>
    </w:tbl>
    <w:p w14:paraId="6BF13CF8" w14:textId="77777777" w:rsidR="0001168A" w:rsidRDefault="0001168A" w:rsidP="00C46DF9">
      <w:pPr>
        <w:pStyle w:val="Heading3"/>
        <w:rPr>
          <w:rStyle w:val="ECCHLyellow"/>
          <w:noProof/>
          <w:szCs w:val="26"/>
          <w:shd w:val="clear" w:color="auto" w:fill="auto"/>
        </w:rPr>
      </w:pPr>
      <w:bookmarkStart w:id="180" w:name="_Ref67041473"/>
      <w:bookmarkStart w:id="181" w:name="_Toc84325263"/>
      <w:bookmarkStart w:id="182" w:name="_Toc127346229"/>
      <w:bookmarkEnd w:id="167"/>
      <w:bookmarkEnd w:id="179"/>
      <w:r w:rsidRPr="006D6727">
        <w:rPr>
          <w:noProof/>
          <w:lang w:val="en-GB"/>
        </w:rPr>
        <w:t xml:space="preserve">Ground </w:t>
      </w:r>
      <w:r w:rsidR="00C46DF9" w:rsidRPr="006D6727">
        <w:rPr>
          <w:noProof/>
          <w:lang w:val="en-GB"/>
        </w:rPr>
        <w:t>B</w:t>
      </w:r>
      <w:r w:rsidRPr="006D6727">
        <w:rPr>
          <w:noProof/>
          <w:lang w:val="en-GB"/>
        </w:rPr>
        <w:t xml:space="preserve">ased </w:t>
      </w:r>
      <w:r w:rsidR="00C46DF9" w:rsidRPr="006D6727">
        <w:rPr>
          <w:noProof/>
          <w:lang w:val="en-GB"/>
        </w:rPr>
        <w:t>S</w:t>
      </w:r>
      <w:r w:rsidRPr="006D6727">
        <w:rPr>
          <w:noProof/>
          <w:lang w:val="en-GB"/>
        </w:rPr>
        <w:t xml:space="preserve">ynthetic </w:t>
      </w:r>
      <w:r w:rsidR="00C46DF9" w:rsidRPr="006D6727">
        <w:rPr>
          <w:noProof/>
          <w:lang w:val="en-GB"/>
        </w:rPr>
        <w:t>A</w:t>
      </w:r>
      <w:r w:rsidRPr="006D6727">
        <w:rPr>
          <w:noProof/>
          <w:lang w:val="en-GB"/>
        </w:rPr>
        <w:t xml:space="preserve">perture </w:t>
      </w:r>
      <w:r w:rsidR="00C46DF9" w:rsidRPr="006D6727">
        <w:rPr>
          <w:rStyle w:val="ECCParagraph"/>
          <w:rFonts w:eastAsia="Calibri"/>
          <w:noProof/>
        </w:rPr>
        <w:t>R</w:t>
      </w:r>
      <w:r w:rsidRPr="006D6727">
        <w:rPr>
          <w:noProof/>
          <w:lang w:val="en-GB"/>
        </w:rPr>
        <w:t>adar</w:t>
      </w:r>
      <w:r w:rsidR="007A4275" w:rsidRPr="006D6727">
        <w:rPr>
          <w:rStyle w:val="ECCHLyellow"/>
          <w:noProof/>
          <w:szCs w:val="26"/>
          <w:shd w:val="clear" w:color="auto" w:fill="auto"/>
        </w:rPr>
        <w:t xml:space="preserve"> (GBSAR)</w:t>
      </w:r>
      <w:bookmarkEnd w:id="180"/>
      <w:bookmarkEnd w:id="181"/>
      <w:bookmarkEnd w:id="182"/>
    </w:p>
    <w:p w14:paraId="20BCEB0F" w14:textId="77777777" w:rsidR="004C7709" w:rsidRDefault="004C7709" w:rsidP="004E36C2">
      <w:pPr>
        <w:pStyle w:val="Heading4"/>
        <w:rPr>
          <w:rFonts w:eastAsia="Calibri"/>
        </w:rPr>
      </w:pPr>
      <w:bookmarkStart w:id="183" w:name="_Ref51057430"/>
      <w:bookmarkStart w:id="184" w:name="_Toc84325264"/>
      <w:r>
        <w:rPr>
          <w:rFonts w:eastAsia="Calibri"/>
        </w:rPr>
        <w:t>Application scenario</w:t>
      </w:r>
      <w:bookmarkEnd w:id="183"/>
      <w:bookmarkEnd w:id="184"/>
    </w:p>
    <w:p w14:paraId="0A9266C2" w14:textId="4D2AF5BC" w:rsidR="004C7709" w:rsidRDefault="004C7709" w:rsidP="00CD539C">
      <w:r w:rsidRPr="003435BD">
        <w:t>The use of a monitoring system based on the radar technology (GBSAR) is not new and allows to remotely monitor the displacements of thousands of points over a surface with a high accuracy and without the need of installing any reflecto</w:t>
      </w:r>
      <w:r w:rsidR="00CD539C">
        <w:t xml:space="preserve">r </w:t>
      </w:r>
      <w:r w:rsidR="00AB2745">
        <w:t>(</w:t>
      </w:r>
      <w:r w:rsidR="00CD539C">
        <w:t xml:space="preserve">see ECC Report 111 </w:t>
      </w:r>
      <w:r w:rsidR="001A1BCC">
        <w:rPr>
          <w:rStyle w:val="ECCParagraph"/>
        </w:rPr>
        <w:fldChar w:fldCharType="begin"/>
      </w:r>
      <w:r w:rsidR="001A1BCC">
        <w:rPr>
          <w:rStyle w:val="ECCParagraph"/>
        </w:rPr>
        <w:instrText xml:space="preserve"> REF  ECCRep111 \h \w  \* MERGEFORMAT </w:instrText>
      </w:r>
      <w:r w:rsidR="001A1BCC">
        <w:rPr>
          <w:rStyle w:val="ECCParagraph"/>
        </w:rPr>
      </w:r>
      <w:r w:rsidR="001A1BCC">
        <w:rPr>
          <w:rStyle w:val="ECCParagraph"/>
        </w:rPr>
        <w:fldChar w:fldCharType="separate"/>
      </w:r>
      <w:r w:rsidR="004F49F9">
        <w:rPr>
          <w:rStyle w:val="ECCParagraph"/>
        </w:rPr>
        <w:t>[60]</w:t>
      </w:r>
      <w:r w:rsidR="001A1BCC">
        <w:rPr>
          <w:rStyle w:val="ECCParagraph"/>
        </w:rPr>
        <w:fldChar w:fldCharType="end"/>
      </w:r>
      <w:r w:rsidR="00CD539C">
        <w:rPr>
          <w:rStyle w:val="ECCParagraph"/>
        </w:rPr>
        <w:t xml:space="preserve"> and ECC Report 315</w:t>
      </w:r>
      <w:r w:rsidR="00CD539C">
        <w:t xml:space="preserve"> </w:t>
      </w:r>
      <w:r w:rsidR="001A1BCC">
        <w:rPr>
          <w:rStyle w:val="ECCParagraph"/>
        </w:rPr>
        <w:fldChar w:fldCharType="begin"/>
      </w:r>
      <w:r w:rsidR="001A1BCC">
        <w:rPr>
          <w:rStyle w:val="ECCParagraph"/>
        </w:rPr>
        <w:instrText xml:space="preserve"> REF  ECCRep315 \h \w  \* MERGEFORMAT </w:instrText>
      </w:r>
      <w:r w:rsidR="001A1BCC">
        <w:rPr>
          <w:rStyle w:val="ECCParagraph"/>
        </w:rPr>
      </w:r>
      <w:r w:rsidR="001A1BCC">
        <w:rPr>
          <w:rStyle w:val="ECCParagraph"/>
        </w:rPr>
        <w:fldChar w:fldCharType="separate"/>
      </w:r>
      <w:r w:rsidR="004F49F9">
        <w:rPr>
          <w:rStyle w:val="ECCParagraph"/>
        </w:rPr>
        <w:t>[61]</w:t>
      </w:r>
      <w:r w:rsidR="001A1BCC">
        <w:rPr>
          <w:rStyle w:val="ECCParagraph"/>
        </w:rPr>
        <w:fldChar w:fldCharType="end"/>
      </w:r>
      <w:r w:rsidR="00AB2745">
        <w:rPr>
          <w:rStyle w:val="ECCParagraph"/>
        </w:rPr>
        <w:t>)</w:t>
      </w:r>
      <w:r w:rsidRPr="003435BD">
        <w:t>.</w:t>
      </w:r>
      <w:r>
        <w:t xml:space="preserve"> </w:t>
      </w:r>
      <w:r w:rsidRPr="005138A3">
        <w:t xml:space="preserve">From a technical point of view, the measurement is performed by a high frequency </w:t>
      </w:r>
      <w:r>
        <w:t xml:space="preserve">LFMCW </w:t>
      </w:r>
      <w:r w:rsidRPr="005138A3">
        <w:t>interferometry radar working as a rotating Synthetic Aperture Radar</w:t>
      </w:r>
      <w:r>
        <w:t xml:space="preserve"> (Arc SAR)</w:t>
      </w:r>
      <w:r w:rsidRPr="005138A3">
        <w:t>.</w:t>
      </w:r>
      <w:r>
        <w:t xml:space="preserve"> In practice, the radar continuously transmits LFMCW signals while it is rotating and moving along a circular trajectory (</w:t>
      </w:r>
      <w:r w:rsidR="00222C49">
        <w:t xml:space="preserve">see </w:t>
      </w:r>
      <w:r>
        <w:fldChar w:fldCharType="begin"/>
      </w:r>
      <w:r>
        <w:instrText xml:space="preserve"> REF _Ref37324016 \h </w:instrText>
      </w:r>
      <w:r>
        <w:fldChar w:fldCharType="separate"/>
      </w:r>
      <w:r w:rsidR="0041125F" w:rsidRPr="003435BD">
        <w:t>Figure</w:t>
      </w:r>
      <w:r w:rsidR="0041125F">
        <w:t> </w:t>
      </w:r>
      <w:r w:rsidR="0041125F">
        <w:rPr>
          <w:noProof/>
        </w:rPr>
        <w:t>21</w:t>
      </w:r>
      <w:r>
        <w:fldChar w:fldCharType="end"/>
      </w:r>
      <w:r>
        <w:t>).</w:t>
      </w:r>
    </w:p>
    <w:p w14:paraId="2D7CDED2" w14:textId="77777777" w:rsidR="004C7709" w:rsidRPr="003435BD" w:rsidRDefault="004C7709" w:rsidP="004C7709">
      <w:pPr>
        <w:pStyle w:val="ECCFiguregraphcentered"/>
      </w:pPr>
      <w:r w:rsidRPr="003435BD">
        <w:drawing>
          <wp:inline distT="0" distB="0" distL="0" distR="0" wp14:anchorId="79FD689E" wp14:editId="6DD47BE2">
            <wp:extent cx="3834068" cy="26621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3834068" cy="2662177"/>
                    </a:xfrm>
                    <a:prstGeom prst="rect">
                      <a:avLst/>
                    </a:prstGeom>
                    <a:noFill/>
                    <a:ln>
                      <a:noFill/>
                    </a:ln>
                    <a:extLst>
                      <a:ext uri="{53640926-AAD7-44D8-BBD7-CCE9431645EC}">
                        <a14:shadowObscured xmlns:a14="http://schemas.microsoft.com/office/drawing/2010/main"/>
                      </a:ext>
                    </a:extLst>
                  </pic:spPr>
                </pic:pic>
              </a:graphicData>
            </a:graphic>
          </wp:inline>
        </w:drawing>
      </w:r>
    </w:p>
    <w:p w14:paraId="2A7CD690" w14:textId="70279CD1" w:rsidR="004C7709" w:rsidRDefault="004C7709" w:rsidP="004C7709">
      <w:pPr>
        <w:pStyle w:val="Caption"/>
      </w:pPr>
      <w:bookmarkStart w:id="185" w:name="_Ref37324016"/>
      <w:r w:rsidRPr="003435BD">
        <w:t>Figure</w:t>
      </w:r>
      <w:r w:rsidR="00983735">
        <w:t> </w:t>
      </w:r>
      <w:r w:rsidRPr="004C7709">
        <w:fldChar w:fldCharType="begin"/>
      </w:r>
      <w:r>
        <w:instrText xml:space="preserve"> SEQ Figure \* ARABIC </w:instrText>
      </w:r>
      <w:r w:rsidRPr="004C7709">
        <w:fldChar w:fldCharType="separate"/>
      </w:r>
      <w:r w:rsidR="004F49F9">
        <w:rPr>
          <w:noProof/>
        </w:rPr>
        <w:t>21</w:t>
      </w:r>
      <w:r w:rsidRPr="004C7709">
        <w:fldChar w:fldCharType="end"/>
      </w:r>
      <w:bookmarkEnd w:id="185"/>
      <w:r w:rsidRPr="003435BD">
        <w:t>: Arc SAR acquisition</w:t>
      </w:r>
    </w:p>
    <w:p w14:paraId="1240159A" w14:textId="5B5CCEFA" w:rsidR="004C7709" w:rsidRPr="00E421C5" w:rsidRDefault="004C7709" w:rsidP="004C7709">
      <w:pPr>
        <w:rPr>
          <w:rStyle w:val="ECCParagraph"/>
        </w:rPr>
      </w:pPr>
      <w:r w:rsidRPr="00E421C5">
        <w:rPr>
          <w:rStyle w:val="ECCParagraph"/>
        </w:rPr>
        <w:t>GBSAR provides a bi-dimensional image of the monitored scenario; the two dimensions are determined by the range resolution and the angular resolution capability (</w:t>
      </w:r>
      <w:r w:rsidR="00222C49">
        <w:t xml:space="preserve">see </w:t>
      </w:r>
      <w:r>
        <w:rPr>
          <w:rStyle w:val="ECCParagraph"/>
        </w:rPr>
        <w:fldChar w:fldCharType="begin"/>
      </w:r>
      <w:r>
        <w:rPr>
          <w:rStyle w:val="ECCParagraph"/>
        </w:rPr>
        <w:instrText xml:space="preserve"> REF _Ref2012893 \h </w:instrText>
      </w:r>
      <w:r>
        <w:rPr>
          <w:rStyle w:val="ECCParagraph"/>
        </w:rPr>
      </w:r>
      <w:r>
        <w:rPr>
          <w:rStyle w:val="ECCParagraph"/>
        </w:rPr>
        <w:fldChar w:fldCharType="separate"/>
      </w:r>
      <w:r w:rsidR="0041125F" w:rsidRPr="004C7709">
        <w:t>Figure</w:t>
      </w:r>
      <w:r w:rsidR="0041125F">
        <w:t> </w:t>
      </w:r>
      <w:r w:rsidR="0041125F">
        <w:rPr>
          <w:noProof/>
        </w:rPr>
        <w:t>22</w:t>
      </w:r>
      <w:r>
        <w:rPr>
          <w:rStyle w:val="ECCParagraph"/>
        </w:rPr>
        <w:fldChar w:fldCharType="end"/>
      </w:r>
      <w:r w:rsidRPr="00E421C5">
        <w:rPr>
          <w:rStyle w:val="ECCParagraph"/>
        </w:rPr>
        <w:t>).</w:t>
      </w:r>
    </w:p>
    <w:p w14:paraId="3F896CC4" w14:textId="77777777" w:rsidR="004C7709" w:rsidRPr="00FF4B1B" w:rsidRDefault="004C7709" w:rsidP="004C7709">
      <w:pPr>
        <w:pStyle w:val="ECCFiguregraphcentered"/>
      </w:pPr>
      <w:r w:rsidRPr="004C7709">
        <w:drawing>
          <wp:inline distT="0" distB="0" distL="0" distR="0" wp14:anchorId="5C4E4470" wp14:editId="0E9956EE">
            <wp:extent cx="5361537" cy="340295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409411" cy="3433343"/>
                    </a:xfrm>
                    <a:prstGeom prst="rect">
                      <a:avLst/>
                    </a:prstGeom>
                    <a:noFill/>
                  </pic:spPr>
                </pic:pic>
              </a:graphicData>
            </a:graphic>
          </wp:inline>
        </w:drawing>
      </w:r>
    </w:p>
    <w:p w14:paraId="161E8168" w14:textId="0D70B30E" w:rsidR="004C7709" w:rsidRPr="004C7709" w:rsidRDefault="004C7709" w:rsidP="004C7709">
      <w:pPr>
        <w:pStyle w:val="Caption"/>
      </w:pPr>
      <w:bookmarkStart w:id="186" w:name="_Ref2012893"/>
      <w:r w:rsidRPr="004C7709">
        <w:t>Figure</w:t>
      </w:r>
      <w:r w:rsidR="00983735">
        <w:t> </w:t>
      </w:r>
      <w:r>
        <w:fldChar w:fldCharType="begin"/>
      </w:r>
      <w:r>
        <w:instrText>SEQ Figure \* ARABIC</w:instrText>
      </w:r>
      <w:r>
        <w:fldChar w:fldCharType="separate"/>
      </w:r>
      <w:r w:rsidR="004F49F9">
        <w:rPr>
          <w:noProof/>
        </w:rPr>
        <w:t>22</w:t>
      </w:r>
      <w:r>
        <w:fldChar w:fldCharType="end"/>
      </w:r>
      <w:bookmarkEnd w:id="186"/>
      <w:r w:rsidRPr="004C7709">
        <w:t>: GBSAR spatial resolution</w:t>
      </w:r>
    </w:p>
    <w:p w14:paraId="2B574355" w14:textId="228C893A" w:rsidR="004C7709" w:rsidRDefault="004C7709" w:rsidP="004C7709">
      <w:pPr>
        <w:rPr>
          <w:rStyle w:val="ECCParagraph"/>
        </w:rPr>
      </w:pPr>
      <w:r w:rsidRPr="0013769C">
        <w:rPr>
          <w:rStyle w:val="ECCParagraph"/>
        </w:rPr>
        <w:t xml:space="preserve">The range resolution </w:t>
      </w:r>
      <m:oMath>
        <m:r>
          <m:rPr>
            <m:sty m:val="p"/>
          </m:rPr>
          <w:rPr>
            <w:rStyle w:val="ECCParagraph"/>
            <w:rFonts w:ascii="Cambria Math" w:hAnsi="Cambria Math"/>
          </w:rPr>
          <m:t>Δ</m:t>
        </m:r>
        <m:r>
          <w:rPr>
            <w:rStyle w:val="ECCParagraph"/>
            <w:rFonts w:ascii="Cambria Math" w:hAnsi="Cambria Math"/>
          </w:rPr>
          <m:t>R</m:t>
        </m:r>
      </m:oMath>
      <w:r w:rsidRPr="0013769C">
        <w:rPr>
          <w:rStyle w:val="ECCParagraph"/>
        </w:rPr>
        <w:t xml:space="preserve"> is determined by the bandwidth of the emitted signal</w:t>
      </w:r>
      <w:r>
        <w:rPr>
          <w:rStyle w:val="ECCParagraph"/>
        </w:rPr>
        <w:t xml:space="preserve"> </w:t>
      </w:r>
      <m:oMath>
        <m:r>
          <w:rPr>
            <w:rStyle w:val="ECCParagraph"/>
            <w:rFonts w:ascii="Cambria Math" w:hAnsi="Cambria Math"/>
          </w:rPr>
          <m:t>B</m:t>
        </m:r>
      </m:oMath>
      <w:r w:rsidRPr="0013769C">
        <w:rPr>
          <w:rStyle w:val="ECCParagraph"/>
        </w:rPr>
        <w:t xml:space="preserve"> (</w:t>
      </w:r>
      <m:oMath>
        <m:r>
          <m:rPr>
            <m:sty m:val="p"/>
          </m:rPr>
          <w:rPr>
            <w:rStyle w:val="ECCParagraph"/>
            <w:rFonts w:ascii="Cambria Math" w:hAnsi="Cambria Math"/>
          </w:rPr>
          <m:t>Δ</m:t>
        </m:r>
        <m:r>
          <w:rPr>
            <w:rStyle w:val="ECCParagraph"/>
            <w:rFonts w:ascii="Cambria Math" w:hAnsi="Cambria Math"/>
          </w:rPr>
          <m:t>R=c/2B,</m:t>
        </m:r>
      </m:oMath>
      <w:r>
        <w:rPr>
          <w:rStyle w:val="ECCParagraph"/>
        </w:rPr>
        <w:t xml:space="preserve"> where </w:t>
      </w:r>
      <m:oMath>
        <m:r>
          <w:rPr>
            <w:rStyle w:val="ECCParagraph"/>
            <w:rFonts w:ascii="Cambria Math" w:hAnsi="Cambria Math"/>
          </w:rPr>
          <m:t>c</m:t>
        </m:r>
      </m:oMath>
      <w:r>
        <w:rPr>
          <w:rStyle w:val="ECCParagraph"/>
        </w:rPr>
        <w:t xml:space="preserve"> is the speed of light</w:t>
      </w:r>
      <w:r w:rsidRPr="0013769C">
        <w:rPr>
          <w:rStyle w:val="ECCParagraph"/>
        </w:rPr>
        <w:t>)</w:t>
      </w:r>
      <w:r>
        <w:rPr>
          <w:rStyle w:val="ECCParagraph"/>
        </w:rPr>
        <w:t>; with a 7 GHz bandwidth,</w:t>
      </w:r>
      <w:r w:rsidRPr="0013769C">
        <w:rPr>
          <w:rStyle w:val="ECCParagraph"/>
        </w:rPr>
        <w:t xml:space="preserve"> </w:t>
      </w:r>
      <w:r>
        <w:rPr>
          <w:rStyle w:val="ECCParagraph"/>
        </w:rPr>
        <w:t>it</w:t>
      </w:r>
      <w:r w:rsidRPr="0013769C">
        <w:rPr>
          <w:rStyle w:val="ECCParagraph"/>
        </w:rPr>
        <w:t xml:space="preserve"> is</w:t>
      </w:r>
      <w:r>
        <w:rPr>
          <w:rStyle w:val="ECCParagraph"/>
        </w:rPr>
        <w:t xml:space="preserve"> equal to about 2cm</w:t>
      </w:r>
      <w:r w:rsidRPr="0013769C">
        <w:rPr>
          <w:rStyle w:val="ECCParagraph"/>
        </w:rPr>
        <w:t xml:space="preserve">, whereas the angular resolution </w:t>
      </w:r>
      <m:oMath>
        <m:r>
          <m:rPr>
            <m:sty m:val="p"/>
          </m:rPr>
          <w:rPr>
            <w:rStyle w:val="ECCParagraph"/>
            <w:rFonts w:ascii="Cambria Math" w:hAnsi="Cambria Math"/>
          </w:rPr>
          <m:t>ΔAz</m:t>
        </m:r>
      </m:oMath>
      <w:r w:rsidRPr="0013769C">
        <w:rPr>
          <w:rStyle w:val="ECCParagraph"/>
        </w:rPr>
        <w:t xml:space="preserve"> is around 8 mrad assuming a rotation radius of </w:t>
      </w:r>
      <w:r>
        <w:rPr>
          <w:rStyle w:val="ECCParagraph"/>
        </w:rPr>
        <w:t>25 cm</w:t>
      </w:r>
      <w:r w:rsidRPr="0013769C">
        <w:rPr>
          <w:rStyle w:val="ECCParagraph"/>
        </w:rPr>
        <w:t>.</w:t>
      </w:r>
      <w:r>
        <w:rPr>
          <w:rStyle w:val="ECCParagraph"/>
        </w:rPr>
        <w:t xml:space="preserve"> </w:t>
      </w:r>
      <w:r w:rsidRPr="0013769C">
        <w:rPr>
          <w:rStyle w:val="ECCParagraph"/>
        </w:rPr>
        <w:t>The combination of range and angular resolution allows the creation of a bi-dimensional image (</w:t>
      </w:r>
      <w:r w:rsidR="00222C49">
        <w:t xml:space="preserve">see </w:t>
      </w:r>
      <w:r>
        <w:rPr>
          <w:rStyle w:val="ECCParagraph"/>
        </w:rPr>
        <w:fldChar w:fldCharType="begin"/>
      </w:r>
      <w:r>
        <w:rPr>
          <w:rStyle w:val="ECCParagraph"/>
        </w:rPr>
        <w:instrText xml:space="preserve"> REF _Ref2012893 \h </w:instrText>
      </w:r>
      <w:r>
        <w:rPr>
          <w:rStyle w:val="ECCParagraph"/>
        </w:rPr>
      </w:r>
      <w:r>
        <w:rPr>
          <w:rStyle w:val="ECCParagraph"/>
        </w:rPr>
        <w:fldChar w:fldCharType="separate"/>
      </w:r>
      <w:r w:rsidR="0041125F" w:rsidRPr="004C7709">
        <w:t>Figure</w:t>
      </w:r>
      <w:r w:rsidR="0041125F">
        <w:t> </w:t>
      </w:r>
      <w:r w:rsidR="0041125F">
        <w:rPr>
          <w:noProof/>
        </w:rPr>
        <w:t>22</w:t>
      </w:r>
      <w:r>
        <w:rPr>
          <w:rStyle w:val="ECCParagraph"/>
        </w:rPr>
        <w:fldChar w:fldCharType="end"/>
      </w:r>
      <w:r w:rsidRPr="0013769C">
        <w:rPr>
          <w:rStyle w:val="ECCParagraph"/>
        </w:rPr>
        <w:t>), where each resolution cell is a measurement point providing a real-time displacement information with sub-millimetre accuracy thanks to the interferometric technique.</w:t>
      </w:r>
    </w:p>
    <w:p w14:paraId="4DBED178" w14:textId="77777777" w:rsidR="004C7709" w:rsidRPr="005138A3" w:rsidRDefault="004C7709" w:rsidP="004C7709">
      <w:r w:rsidRPr="005138A3">
        <w:t>The system can perform an acquisition in less than a minute and provide as output a displacement heat-map of the monitored scenario. The displacement information is in general used to provide early warning in case of deformation having magnitude and rate indicative of hazardous instabilities of the monitored scenario.</w:t>
      </w:r>
      <w:r>
        <w:t xml:space="preserve"> </w:t>
      </w:r>
      <w:r w:rsidRPr="003435BD">
        <w:t xml:space="preserve">Therefore, this radar has the potential to be a perfect tool to </w:t>
      </w:r>
      <w:r w:rsidR="00AB2745">
        <w:t xml:space="preserve">improve the safety standard for </w:t>
      </w:r>
      <w:r w:rsidRPr="003435BD">
        <w:t>a wide range of applications</w:t>
      </w:r>
      <w:r>
        <w:t xml:space="preserve"> such as:</w:t>
      </w:r>
    </w:p>
    <w:p w14:paraId="2C76CE46" w14:textId="4BB39F4A" w:rsidR="004C7709" w:rsidRPr="005138A3" w:rsidRDefault="004C7709" w:rsidP="004C7709">
      <w:pPr>
        <w:pStyle w:val="ECCBulletsLv1"/>
      </w:pPr>
      <w:r w:rsidRPr="004C7709">
        <w:t>Structural Health Monitoring (SHM)</w:t>
      </w:r>
      <w:r w:rsidR="00CB5E32">
        <w:t>;</w:t>
      </w:r>
    </w:p>
    <w:p w14:paraId="64D41990" w14:textId="59C3F81E" w:rsidR="004C7709" w:rsidRDefault="004C7709" w:rsidP="004C7709">
      <w:pPr>
        <w:pStyle w:val="ECCBulletsLv1"/>
      </w:pPr>
      <w:r w:rsidRPr="004C7709">
        <w:t xml:space="preserve">Slope </w:t>
      </w:r>
      <w:r w:rsidR="00DB63FF">
        <w:t>S</w:t>
      </w:r>
      <w:r w:rsidRPr="004C7709">
        <w:t xml:space="preserve">tability </w:t>
      </w:r>
      <w:r w:rsidR="00DB63FF">
        <w:t>M</w:t>
      </w:r>
      <w:r w:rsidRPr="004C7709">
        <w:t>onitoring</w:t>
      </w:r>
      <w:r w:rsidR="00CB5E32">
        <w:t>;</w:t>
      </w:r>
    </w:p>
    <w:p w14:paraId="37E583C0" w14:textId="57A2B427" w:rsidR="004C7709" w:rsidRPr="005138A3" w:rsidRDefault="004C7709" w:rsidP="004C7709">
      <w:pPr>
        <w:pStyle w:val="ECCBulletsLv1"/>
      </w:pPr>
      <w:r w:rsidRPr="004C7709">
        <w:t xml:space="preserve">Tunnel </w:t>
      </w:r>
      <w:r w:rsidR="00DB63FF">
        <w:t>M</w:t>
      </w:r>
      <w:r w:rsidRPr="004C7709">
        <w:t>onitoring</w:t>
      </w:r>
      <w:r w:rsidR="00CB5E32">
        <w:t>.</w:t>
      </w:r>
    </w:p>
    <w:p w14:paraId="7AFC3FCD" w14:textId="77777777" w:rsidR="004C7709" w:rsidRDefault="004C7709" w:rsidP="004C7709">
      <w:r w:rsidRPr="00C032B8">
        <w:t xml:space="preserve">The above listed applications would significantly benefit by the availability of a very compact and portable system, providing at the same a very fine </w:t>
      </w:r>
      <w:r>
        <w:t xml:space="preserve">spatial </w:t>
      </w:r>
      <w:r w:rsidRPr="00C032B8">
        <w:t xml:space="preserve">resolution of the monitored scenario. Both compactness and </w:t>
      </w:r>
      <w:r>
        <w:t xml:space="preserve">high spatial </w:t>
      </w:r>
      <w:r w:rsidRPr="00C032B8">
        <w:t xml:space="preserve">resolution </w:t>
      </w:r>
      <w:r>
        <w:t xml:space="preserve">can be achieved by having a </w:t>
      </w:r>
      <w:r w:rsidRPr="00C032B8">
        <w:t xml:space="preserve">very large </w:t>
      </w:r>
      <w:r>
        <w:t xml:space="preserve">operating </w:t>
      </w:r>
      <w:r w:rsidRPr="00C032B8">
        <w:t xml:space="preserve">bandwidth </w:t>
      </w:r>
      <w:r>
        <w:t>located at very high</w:t>
      </w:r>
      <w:r w:rsidRPr="00C032B8">
        <w:t xml:space="preserve"> frequency</w:t>
      </w:r>
      <w:r w:rsidR="00AB2745">
        <w:t>.</w:t>
      </w:r>
      <w:r w:rsidR="00AB2745" w:rsidRPr="00AB2745">
        <w:t xml:space="preserve"> </w:t>
      </w:r>
      <w:r w:rsidR="00AB2745">
        <w:t>Additional information concerning the mentioned applications and the typical usage of GBSAR are provided below.</w:t>
      </w:r>
    </w:p>
    <w:p w14:paraId="3A28A09F" w14:textId="77777777" w:rsidR="00AB2745" w:rsidRPr="00653E73" w:rsidRDefault="00AB2745" w:rsidP="00AB2745">
      <w:pPr>
        <w:rPr>
          <w:rStyle w:val="ECCHLbold"/>
        </w:rPr>
      </w:pPr>
      <w:r>
        <w:rPr>
          <w:rStyle w:val="ECCHLbold"/>
        </w:rPr>
        <w:t xml:space="preserve">Structural </w:t>
      </w:r>
      <w:r w:rsidR="002F0E78">
        <w:rPr>
          <w:rStyle w:val="ECCHLbold"/>
        </w:rPr>
        <w:t>h</w:t>
      </w:r>
      <w:r>
        <w:rPr>
          <w:rStyle w:val="ECCHLbold"/>
        </w:rPr>
        <w:t>ea</w:t>
      </w:r>
      <w:r w:rsidR="00035820">
        <w:rPr>
          <w:rStyle w:val="ECCHLbold"/>
        </w:rPr>
        <w:t>l</w:t>
      </w:r>
      <w:r>
        <w:rPr>
          <w:rStyle w:val="ECCHLbold"/>
        </w:rPr>
        <w:t xml:space="preserve">th </w:t>
      </w:r>
      <w:r w:rsidR="002F0E78">
        <w:rPr>
          <w:rStyle w:val="ECCHLbold"/>
        </w:rPr>
        <w:t>m</w:t>
      </w:r>
      <w:r w:rsidRPr="00653E73">
        <w:rPr>
          <w:rStyle w:val="ECCHLbold"/>
        </w:rPr>
        <w:t>onitoring</w:t>
      </w:r>
    </w:p>
    <w:p w14:paraId="43A6C50F" w14:textId="77777777" w:rsidR="00AB2745" w:rsidRPr="00653E73" w:rsidRDefault="00AB2745" w:rsidP="00AB2745">
      <w:r w:rsidRPr="00653E73">
        <w:t>Monitoring of the deformation of civil structures such as buildings or other man-made structures to either assess stability of the structure, or to monitor for any instabilities induced over time by external causes, such as earthquake or underground construction taking place close to or directly under the monitored object.</w:t>
      </w:r>
    </w:p>
    <w:p w14:paraId="6FE2AD5C" w14:textId="791A6077" w:rsidR="00AB2745" w:rsidRDefault="00AB2745" w:rsidP="00AB2745">
      <w:pPr>
        <w:rPr>
          <w:rStyle w:val="ECCParagraph"/>
        </w:rPr>
      </w:pPr>
      <w:r w:rsidRPr="00653E73">
        <w:t>GBSAR is installed in proximity of the structure to be monitored, at a distance D, (</w:t>
      </w:r>
      <w:r w:rsidR="00222C49">
        <w:t xml:space="preserve">see </w:t>
      </w:r>
      <w:r w:rsidR="00EF24B4">
        <w:fldChar w:fldCharType="begin"/>
      </w:r>
      <w:r w:rsidR="00EF24B4">
        <w:instrText xml:space="preserve"> REF _Ref51056944 \h </w:instrText>
      </w:r>
      <w:r w:rsidR="00EF24B4">
        <w:fldChar w:fldCharType="separate"/>
      </w:r>
      <w:r w:rsidR="0041125F" w:rsidRPr="00AB2745">
        <w:t>Figure</w:t>
      </w:r>
      <w:r w:rsidR="0041125F">
        <w:t> </w:t>
      </w:r>
      <w:r w:rsidR="0041125F">
        <w:rPr>
          <w:noProof/>
        </w:rPr>
        <w:t>23</w:t>
      </w:r>
      <w:r w:rsidR="00EF24B4">
        <w:fldChar w:fldCharType="end"/>
      </w:r>
      <w:r w:rsidRPr="00653E73">
        <w:t xml:space="preserve">) and the vertical antenna radiation pattern boresight is pointed towards the middle of the building or structure to be monitored </w:t>
      </w:r>
      <w:r w:rsidRPr="005358B6">
        <w:rPr>
          <w:rStyle w:val="ECCParagraph"/>
        </w:rPr>
        <w:t>to maximi</w:t>
      </w:r>
      <w:r w:rsidR="001D7996">
        <w:rPr>
          <w:rStyle w:val="ECCParagraph"/>
        </w:rPr>
        <w:t>s</w:t>
      </w:r>
      <w:r w:rsidRPr="005358B6">
        <w:rPr>
          <w:rStyle w:val="ECCParagraph"/>
        </w:rPr>
        <w:t>e the vertical coverage. In order to opti</w:t>
      </w:r>
      <w:r w:rsidR="001D7996">
        <w:rPr>
          <w:rStyle w:val="ECCParagraph"/>
        </w:rPr>
        <w:t>mise</w:t>
      </w:r>
      <w:r w:rsidRPr="005358B6">
        <w:rPr>
          <w:rStyle w:val="ECCParagraph"/>
        </w:rPr>
        <w:t xml:space="preserve"> the monitoring performance, the distance D between GBSAR and the surveyed building shall be between </w:t>
      </w:r>
      <w:r>
        <w:rPr>
          <w:rStyle w:val="ECCParagraph"/>
        </w:rPr>
        <w:t>1</w:t>
      </w:r>
      <w:r w:rsidRPr="005358B6">
        <w:rPr>
          <w:rStyle w:val="ECCParagraph"/>
        </w:rPr>
        <w:t xml:space="preserve"> and </w:t>
      </w:r>
      <w:r>
        <w:rPr>
          <w:rStyle w:val="ECCParagraph"/>
        </w:rPr>
        <w:t>1.5</w:t>
      </w:r>
      <w:r w:rsidRPr="005358B6">
        <w:rPr>
          <w:rStyle w:val="ECCParagraph"/>
        </w:rPr>
        <w:t xml:space="preserve"> times the height of the building </w:t>
      </w:r>
      <w:r>
        <w:rPr>
          <w:rStyle w:val="ECCParagraph"/>
        </w:rPr>
        <w:t>(ECC Rep</w:t>
      </w:r>
      <w:r w:rsidR="00EF24B4">
        <w:rPr>
          <w:rStyle w:val="ECCParagraph"/>
        </w:rPr>
        <w:t>ort</w:t>
      </w:r>
      <w:r>
        <w:rPr>
          <w:rStyle w:val="ECCParagraph"/>
        </w:rPr>
        <w:t xml:space="preserve"> 315</w:t>
      </w:r>
      <w:r w:rsidR="00CB5E32">
        <w:rPr>
          <w:rStyle w:val="ECCParagraph"/>
        </w:rPr>
        <w:t>, annex 5</w:t>
      </w:r>
      <w:r>
        <w:rPr>
          <w:rStyle w:val="ECCParagraph"/>
        </w:rPr>
        <w:t xml:space="preserve"> </w:t>
      </w:r>
      <w:r w:rsidR="00EF24B4">
        <w:rPr>
          <w:rStyle w:val="ECCParagraph"/>
        </w:rPr>
        <w:fldChar w:fldCharType="begin"/>
      </w:r>
      <w:r w:rsidR="00EF24B4">
        <w:rPr>
          <w:rStyle w:val="ECCParagraph"/>
        </w:rPr>
        <w:instrText xml:space="preserve"> REF  ECCRep315 \h \n </w:instrText>
      </w:r>
      <w:r w:rsidR="00EF24B4">
        <w:rPr>
          <w:rStyle w:val="ECCParagraph"/>
        </w:rPr>
      </w:r>
      <w:r w:rsidR="00EF24B4">
        <w:rPr>
          <w:rStyle w:val="ECCParagraph"/>
        </w:rPr>
        <w:fldChar w:fldCharType="separate"/>
      </w:r>
      <w:r w:rsidR="004F49F9">
        <w:rPr>
          <w:rStyle w:val="ECCParagraph"/>
        </w:rPr>
        <w:t>[61]</w:t>
      </w:r>
      <w:r w:rsidR="00EF24B4">
        <w:rPr>
          <w:rStyle w:val="ECCParagraph"/>
        </w:rPr>
        <w:fldChar w:fldCharType="end"/>
      </w:r>
      <w:r>
        <w:rPr>
          <w:rStyle w:val="ECCParagraph"/>
        </w:rPr>
        <w:t>).</w:t>
      </w:r>
    </w:p>
    <w:p w14:paraId="2F01D892" w14:textId="77777777" w:rsidR="00AB2745" w:rsidRPr="00AB2745" w:rsidRDefault="00AB2745" w:rsidP="00AB2745">
      <w:pPr>
        <w:pStyle w:val="ECCFiguregraphcentered"/>
        <w:rPr>
          <w:lang w:val="en-US"/>
        </w:rPr>
      </w:pPr>
      <w:r w:rsidRPr="00653E73">
        <w:drawing>
          <wp:inline distT="0" distB="0" distL="0" distR="0" wp14:anchorId="57E332DC" wp14:editId="422318C2">
            <wp:extent cx="1696203" cy="21600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696203" cy="2160000"/>
                    </a:xfrm>
                    <a:prstGeom prst="rect">
                      <a:avLst/>
                    </a:prstGeom>
                    <a:noFill/>
                  </pic:spPr>
                </pic:pic>
              </a:graphicData>
            </a:graphic>
          </wp:inline>
        </w:drawing>
      </w:r>
      <w:r w:rsidRPr="00AB2745">
        <w:rPr>
          <w:lang w:val="en-US"/>
        </w:rPr>
        <w:t xml:space="preserve">   </w:t>
      </w:r>
      <w:r w:rsidRPr="00653E73">
        <w:drawing>
          <wp:inline distT="0" distB="0" distL="0" distR="0" wp14:anchorId="5779A776" wp14:editId="711A43AA">
            <wp:extent cx="3841560" cy="2160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841560" cy="2160000"/>
                    </a:xfrm>
                    <a:prstGeom prst="rect">
                      <a:avLst/>
                    </a:prstGeom>
                    <a:noFill/>
                  </pic:spPr>
                </pic:pic>
              </a:graphicData>
            </a:graphic>
          </wp:inline>
        </w:drawing>
      </w:r>
    </w:p>
    <w:p w14:paraId="74DE173A" w14:textId="3D829AEE" w:rsidR="00AB2745" w:rsidRPr="00AB2745" w:rsidRDefault="00AB2745" w:rsidP="00AB2745">
      <w:pPr>
        <w:pStyle w:val="Caption"/>
        <w:rPr>
          <w:rFonts w:eastAsia="Calibri"/>
        </w:rPr>
      </w:pPr>
      <w:bookmarkStart w:id="187" w:name="_Ref51056944"/>
      <w:r w:rsidRPr="00AB2745">
        <w:rPr>
          <w:rFonts w:eastAsia="Calibri"/>
        </w:rPr>
        <w:t>Figure</w:t>
      </w:r>
      <w:r w:rsidR="00983735">
        <w:rPr>
          <w:rFonts w:eastAsia="Calibri"/>
        </w:rPr>
        <w:t> </w:t>
      </w:r>
      <w:r>
        <w:fldChar w:fldCharType="begin"/>
      </w:r>
      <w:r>
        <w:instrText>SEQ Figure \* ARABIC</w:instrText>
      </w:r>
      <w:r>
        <w:fldChar w:fldCharType="separate"/>
      </w:r>
      <w:r w:rsidR="004F49F9">
        <w:rPr>
          <w:noProof/>
        </w:rPr>
        <w:t>23</w:t>
      </w:r>
      <w:r>
        <w:fldChar w:fldCharType="end"/>
      </w:r>
      <w:bookmarkEnd w:id="187"/>
      <w:r w:rsidRPr="00AB2745">
        <w:rPr>
          <w:rFonts w:eastAsia="Calibri"/>
        </w:rPr>
        <w:t xml:space="preserve">: Building Monitoring scenario </w:t>
      </w:r>
    </w:p>
    <w:p w14:paraId="072E0323" w14:textId="45286CA1" w:rsidR="00AB2745" w:rsidRPr="00653E73" w:rsidRDefault="00AB2745" w:rsidP="00AB2745">
      <w:pPr>
        <w:rPr>
          <w:rStyle w:val="ECCParagraph"/>
        </w:rPr>
      </w:pPr>
      <w:r w:rsidRPr="00653E73">
        <w:rPr>
          <w:rStyle w:val="ECCParagraph"/>
        </w:rPr>
        <w:t xml:space="preserve">Typical GBSAR application for structure monitoring consists of a short one-two days survey, installing the system nearby the </w:t>
      </w:r>
      <w:r w:rsidRPr="00653E73">
        <w:t>structure</w:t>
      </w:r>
      <w:r w:rsidRPr="00653E73">
        <w:rPr>
          <w:rStyle w:val="ECCParagraph"/>
        </w:rPr>
        <w:t xml:space="preserve"> to monitor and performing an acquisition every minute, therefore providing a new displacement measure every minute. For structure monitoring the maximum required horizontal field of view is of 180°, therefore considering the angular rotation speed of 10°/sec, GBSAR transmit around 18 seconds every minute, leading to an activity factor of about 30</w:t>
      </w:r>
      <w:r w:rsidR="00F800A2">
        <w:rPr>
          <w:rStyle w:val="ECCParagraph"/>
        </w:rPr>
        <w:t>%</w:t>
      </w:r>
      <w:r w:rsidRPr="00653E73">
        <w:rPr>
          <w:rStyle w:val="ECCParagraph"/>
        </w:rPr>
        <w:t xml:space="preserve"> during the survey period.</w:t>
      </w:r>
    </w:p>
    <w:p w14:paraId="0B3AFAF5" w14:textId="77777777" w:rsidR="00AB2745" w:rsidRPr="00F061AA" w:rsidRDefault="00AB2745" w:rsidP="00AB2745">
      <w:pPr>
        <w:rPr>
          <w:rStyle w:val="ECCHLbold"/>
        </w:rPr>
      </w:pPr>
      <w:r w:rsidRPr="00F061AA">
        <w:rPr>
          <w:rStyle w:val="ECCHLbold"/>
        </w:rPr>
        <w:t xml:space="preserve">Slope </w:t>
      </w:r>
      <w:r w:rsidR="002F0E78">
        <w:rPr>
          <w:rStyle w:val="ECCHLbold"/>
        </w:rPr>
        <w:t>s</w:t>
      </w:r>
      <w:r w:rsidRPr="00F061AA">
        <w:rPr>
          <w:rStyle w:val="ECCHLbold"/>
        </w:rPr>
        <w:t xml:space="preserve">tability </w:t>
      </w:r>
      <w:r w:rsidR="002F0E78">
        <w:rPr>
          <w:rStyle w:val="ECCHLbold"/>
        </w:rPr>
        <w:t>m</w:t>
      </w:r>
      <w:r w:rsidRPr="00F061AA">
        <w:rPr>
          <w:rStyle w:val="ECCHLbold"/>
        </w:rPr>
        <w:t>onitoring</w:t>
      </w:r>
    </w:p>
    <w:p w14:paraId="70BA470B" w14:textId="77777777" w:rsidR="00AB2745" w:rsidRDefault="00AB2745" w:rsidP="00AB2745">
      <w:r w:rsidRPr="00F061AA">
        <w:t>Monitoring of the ground superficial deformation of active quarry</w:t>
      </w:r>
      <w:r>
        <w:t>, open pit mines</w:t>
      </w:r>
      <w:r w:rsidRPr="00F061AA">
        <w:t xml:space="preserve"> or natural landslide. For this use case GBSAR </w:t>
      </w:r>
      <w:r>
        <w:t>provides</w:t>
      </w:r>
      <w:r w:rsidRPr="00F061AA">
        <w:t xml:space="preserve"> a maximum measurement distance of 800 m </w:t>
      </w:r>
      <w:r>
        <w:t>giving</w:t>
      </w:r>
      <w:r w:rsidRPr="00F061AA">
        <w:t xml:space="preserve"> a real-time displacement measure of the monitored scenario every minute.</w:t>
      </w:r>
    </w:p>
    <w:p w14:paraId="35445A1F" w14:textId="00BD5505" w:rsidR="00AB2745" w:rsidRPr="00935F57" w:rsidRDefault="00AB2745" w:rsidP="00AB2745">
      <w:r w:rsidRPr="00935F57">
        <w:t>GBSAR is installed on a stable location with free line of sight of the slope to be monitored (</w:t>
      </w:r>
      <w:r w:rsidR="00222C49">
        <w:t xml:space="preserve">see </w:t>
      </w:r>
      <w:r w:rsidR="00EF24B4">
        <w:fldChar w:fldCharType="begin"/>
      </w:r>
      <w:r w:rsidR="00EF24B4">
        <w:instrText xml:space="preserve"> REF _Ref49162038 \h </w:instrText>
      </w:r>
      <w:r w:rsidR="00EF24B4">
        <w:fldChar w:fldCharType="separate"/>
      </w:r>
      <w:r w:rsidR="0041125F" w:rsidRPr="00AB2745">
        <w:t>Figure</w:t>
      </w:r>
      <w:r w:rsidR="0041125F">
        <w:t> </w:t>
      </w:r>
      <w:r w:rsidR="0041125F">
        <w:rPr>
          <w:noProof/>
        </w:rPr>
        <w:t>24</w:t>
      </w:r>
      <w:r w:rsidR="00EF24B4">
        <w:fldChar w:fldCharType="end"/>
      </w:r>
      <w:r w:rsidRPr="00935F57">
        <w:t>). For this use case the GBSAR can offer a maximum measurement distance of 800</w:t>
      </w:r>
      <w:r w:rsidR="005A72C8">
        <w:t> </w:t>
      </w:r>
      <w:r w:rsidRPr="00935F57">
        <w:t>m providing a real-time displacement measure of the monitored scenario every minute. the vertical antenna radiation pattern boresight is pointed towards the middle of the slope to be monitored to maxi</w:t>
      </w:r>
      <w:r w:rsidR="001D7996">
        <w:t>mise</w:t>
      </w:r>
      <w:r w:rsidRPr="00935F57">
        <w:t xml:space="preserve"> the vertical coverage.</w:t>
      </w:r>
    </w:p>
    <w:p w14:paraId="1A422B1C" w14:textId="77777777" w:rsidR="00AB2745" w:rsidRPr="00ED0931" w:rsidRDefault="00AB2745" w:rsidP="00AB2745">
      <w:pPr>
        <w:pStyle w:val="ECCFiguregraphcentered"/>
        <w:rPr>
          <w:lang w:val="en-GB"/>
        </w:rPr>
      </w:pPr>
      <w:r w:rsidRPr="00935F57">
        <w:drawing>
          <wp:inline distT="0" distB="0" distL="0" distR="0" wp14:anchorId="17A2BCE2" wp14:editId="5934E1C6">
            <wp:extent cx="2149488" cy="1800000"/>
            <wp:effectExtent l="0" t="0" r="317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149488" cy="1800000"/>
                    </a:xfrm>
                    <a:prstGeom prst="rect">
                      <a:avLst/>
                    </a:prstGeom>
                    <a:noFill/>
                  </pic:spPr>
                </pic:pic>
              </a:graphicData>
            </a:graphic>
          </wp:inline>
        </w:drawing>
      </w:r>
      <w:r w:rsidRPr="00ED0931">
        <w:rPr>
          <w:lang w:val="en-GB"/>
        </w:rPr>
        <w:t xml:space="preserve">       </w:t>
      </w:r>
      <w:r w:rsidRPr="00935F57">
        <w:drawing>
          <wp:inline distT="0" distB="0" distL="0" distR="0" wp14:anchorId="5CC64132" wp14:editId="3CBFF3F4">
            <wp:extent cx="3603713" cy="18000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603713" cy="1800000"/>
                    </a:xfrm>
                    <a:prstGeom prst="rect">
                      <a:avLst/>
                    </a:prstGeom>
                    <a:noFill/>
                  </pic:spPr>
                </pic:pic>
              </a:graphicData>
            </a:graphic>
          </wp:inline>
        </w:drawing>
      </w:r>
    </w:p>
    <w:p w14:paraId="777C8E76" w14:textId="33F81AF2" w:rsidR="00AB2745" w:rsidRPr="00AB2745" w:rsidRDefault="00AB2745" w:rsidP="00AB2745">
      <w:pPr>
        <w:pStyle w:val="Caption"/>
        <w:rPr>
          <w:rFonts w:eastAsia="Calibri"/>
        </w:rPr>
      </w:pPr>
      <w:bookmarkStart w:id="188" w:name="_Ref49162038"/>
      <w:r w:rsidRPr="00AB2745">
        <w:rPr>
          <w:rFonts w:eastAsia="Calibri"/>
        </w:rPr>
        <w:t>Figure</w:t>
      </w:r>
      <w:r w:rsidR="00166545">
        <w:rPr>
          <w:rFonts w:eastAsia="Calibri"/>
        </w:rPr>
        <w:t> </w:t>
      </w:r>
      <w:r>
        <w:fldChar w:fldCharType="begin"/>
      </w:r>
      <w:r>
        <w:instrText>SEQ Figure \* ARABIC</w:instrText>
      </w:r>
      <w:r>
        <w:fldChar w:fldCharType="separate"/>
      </w:r>
      <w:r w:rsidR="004F49F9">
        <w:rPr>
          <w:noProof/>
        </w:rPr>
        <w:t>24</w:t>
      </w:r>
      <w:r>
        <w:fldChar w:fldCharType="end"/>
      </w:r>
      <w:bookmarkEnd w:id="188"/>
      <w:r w:rsidRPr="00AB2745">
        <w:rPr>
          <w:rFonts w:eastAsia="Calibri"/>
        </w:rPr>
        <w:t>: Slope Monitoring scenario</w:t>
      </w:r>
    </w:p>
    <w:p w14:paraId="0072350A" w14:textId="2177C92A" w:rsidR="00AB2745" w:rsidRDefault="00AB2745" w:rsidP="00AB2745">
      <w:pPr>
        <w:rPr>
          <w:rStyle w:val="ECCParagraph"/>
        </w:rPr>
      </w:pPr>
      <w:r w:rsidRPr="00935F57">
        <w:rPr>
          <w:rStyle w:val="ECCParagraph"/>
        </w:rPr>
        <w:t>For slope monitoring applications, the GBSAR can be exploited for continuous or for time-discreet monitoring surveys: in the first case the system is permanently installed in front of the landslide/unstable slope, while in the second case it will be used as a nomadic system, performing several different surveys in different time-period. In the case of a time-discreet nomadic use, one survey would usually last for about 1-2 weeks with a time repetition interval of some months. The maximum required horizontal field of view for slope monitoring is 180°, therefore as for the structure monitoring case the activity factor during the survey period is around 30</w:t>
      </w:r>
      <w:r w:rsidR="00F800A2">
        <w:rPr>
          <w:rStyle w:val="ECCParagraph"/>
        </w:rPr>
        <w:t>%</w:t>
      </w:r>
      <w:r w:rsidRPr="00935F57">
        <w:rPr>
          <w:rStyle w:val="ECCParagraph"/>
        </w:rPr>
        <w:t xml:space="preserve"> (18 seconds every minute).</w:t>
      </w:r>
    </w:p>
    <w:p w14:paraId="4BFA4174" w14:textId="77777777" w:rsidR="00634246" w:rsidRDefault="00634246">
      <w:pPr>
        <w:rPr>
          <w:rStyle w:val="ECCHLbold"/>
        </w:rPr>
      </w:pPr>
      <w:r>
        <w:rPr>
          <w:rStyle w:val="ECCHLbold"/>
        </w:rPr>
        <w:br w:type="page"/>
      </w:r>
    </w:p>
    <w:p w14:paraId="386970F6" w14:textId="34F5924C" w:rsidR="00B91440" w:rsidRPr="00F061AA" w:rsidRDefault="00B91440" w:rsidP="00B91440">
      <w:pPr>
        <w:rPr>
          <w:rStyle w:val="ECCHLbold"/>
        </w:rPr>
      </w:pPr>
      <w:r w:rsidRPr="00F061AA">
        <w:rPr>
          <w:rStyle w:val="ECCHLbold"/>
        </w:rPr>
        <w:t xml:space="preserve">Tunnel </w:t>
      </w:r>
      <w:r w:rsidR="002F0E78">
        <w:rPr>
          <w:rStyle w:val="ECCHLbold"/>
        </w:rPr>
        <w:t>m</w:t>
      </w:r>
      <w:r w:rsidRPr="00F061AA">
        <w:rPr>
          <w:rStyle w:val="ECCHLbold"/>
        </w:rPr>
        <w:t>onitoring</w:t>
      </w:r>
    </w:p>
    <w:p w14:paraId="401F6D47" w14:textId="77777777" w:rsidR="00B91440" w:rsidRPr="00F061AA" w:rsidRDefault="00B91440" w:rsidP="00B91440">
      <w:r w:rsidRPr="00F061AA">
        <w:t>Monitoring of underground mines and tunnels under construction as a geotechnical tool for deformation measurement to provide early warning in case of surface deformation as precursor of an impending collapse.</w:t>
      </w:r>
    </w:p>
    <w:p w14:paraId="10B00EEB" w14:textId="5E057EC8" w:rsidR="00B91440" w:rsidRPr="00935F57" w:rsidRDefault="00B91440" w:rsidP="00B91440">
      <w:r w:rsidRPr="00935F57">
        <w:t>GBSAR can be used for monitoring the front excavation face of tunnels under construction (</w:t>
      </w:r>
      <w:r w:rsidR="0051457B">
        <w:t xml:space="preserve">see </w:t>
      </w:r>
      <w:r w:rsidR="00DD6DE8">
        <w:fldChar w:fldCharType="begin"/>
      </w:r>
      <w:r w:rsidR="00DD6DE8">
        <w:instrText xml:space="preserve"> REF _Ref49153509 \h </w:instrText>
      </w:r>
      <w:r w:rsidR="00DD6DE8">
        <w:fldChar w:fldCharType="separate"/>
      </w:r>
      <w:r w:rsidR="0041125F" w:rsidRPr="00B91440">
        <w:t>Figure</w:t>
      </w:r>
      <w:r w:rsidR="0041125F">
        <w:t> </w:t>
      </w:r>
      <w:r w:rsidR="0041125F">
        <w:rPr>
          <w:noProof/>
        </w:rPr>
        <w:t>25</w:t>
      </w:r>
      <w:r w:rsidR="00DD6DE8">
        <w:fldChar w:fldCharType="end"/>
      </w:r>
      <w:r w:rsidRPr="00935F57">
        <w:t>) and underground mines wall (</w:t>
      </w:r>
      <w:r w:rsidR="0051457B">
        <w:t xml:space="preserve">see </w:t>
      </w:r>
      <w:r w:rsidR="00DD6DE8">
        <w:fldChar w:fldCharType="begin"/>
      </w:r>
      <w:r w:rsidR="00DD6DE8">
        <w:instrText xml:space="preserve"> REF _Ref49153526 \h </w:instrText>
      </w:r>
      <w:r w:rsidR="00DD6DE8">
        <w:fldChar w:fldCharType="separate"/>
      </w:r>
      <w:r w:rsidR="0041125F" w:rsidRPr="00B91440">
        <w:t>Figure</w:t>
      </w:r>
      <w:r w:rsidR="0041125F">
        <w:t> </w:t>
      </w:r>
      <w:r w:rsidR="0041125F">
        <w:rPr>
          <w:noProof/>
        </w:rPr>
        <w:t>26</w:t>
      </w:r>
      <w:r w:rsidR="00DD6DE8">
        <w:fldChar w:fldCharType="end"/>
      </w:r>
      <w:r w:rsidRPr="00935F57">
        <w:t>) as a geotechnical tool for deformation measurement to provide early warning in case of surface deformation as precursor of an impending collapse.</w:t>
      </w:r>
    </w:p>
    <w:p w14:paraId="4D3903D8" w14:textId="77777777" w:rsidR="00B91440" w:rsidRPr="00983735" w:rsidRDefault="00B91440" w:rsidP="00672614">
      <w:pPr>
        <w:pStyle w:val="ECCFiguregraphcentered"/>
        <w:rPr>
          <w:lang w:val="en-GB"/>
        </w:rPr>
      </w:pPr>
      <w:r w:rsidRPr="00935F57">
        <w:drawing>
          <wp:inline distT="0" distB="0" distL="0" distR="0" wp14:anchorId="2AFEBAD9" wp14:editId="3AA52B3D">
            <wp:extent cx="6241370" cy="2157046"/>
            <wp:effectExtent l="0" t="0" r="762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6252470" cy="2160882"/>
                    </a:xfrm>
                    <a:prstGeom prst="rect">
                      <a:avLst/>
                    </a:prstGeom>
                    <a:noFill/>
                  </pic:spPr>
                </pic:pic>
              </a:graphicData>
            </a:graphic>
          </wp:inline>
        </w:drawing>
      </w:r>
    </w:p>
    <w:p w14:paraId="1F555155" w14:textId="74000A93" w:rsidR="00B91440" w:rsidRPr="00B91440" w:rsidRDefault="00B91440" w:rsidP="00B91440">
      <w:pPr>
        <w:pStyle w:val="Caption"/>
        <w:rPr>
          <w:rFonts w:eastAsia="Calibri"/>
        </w:rPr>
      </w:pPr>
      <w:bookmarkStart w:id="189" w:name="_Ref49153509"/>
      <w:r w:rsidRPr="00B91440">
        <w:rPr>
          <w:rFonts w:eastAsia="Calibri"/>
        </w:rPr>
        <w:t>Figure</w:t>
      </w:r>
      <w:r w:rsidR="00166545">
        <w:rPr>
          <w:rFonts w:eastAsia="Calibri"/>
        </w:rPr>
        <w:t> </w:t>
      </w:r>
      <w:r>
        <w:fldChar w:fldCharType="begin"/>
      </w:r>
      <w:r>
        <w:instrText>SEQ Figure \* ARABIC</w:instrText>
      </w:r>
      <w:r>
        <w:fldChar w:fldCharType="separate"/>
      </w:r>
      <w:r w:rsidR="004F49F9">
        <w:rPr>
          <w:noProof/>
        </w:rPr>
        <w:t>25</w:t>
      </w:r>
      <w:r>
        <w:fldChar w:fldCharType="end"/>
      </w:r>
      <w:bookmarkEnd w:id="189"/>
      <w:r w:rsidRPr="00B91440">
        <w:rPr>
          <w:rFonts w:eastAsia="Calibri"/>
        </w:rPr>
        <w:t xml:space="preserve">: Tunnel in construction </w:t>
      </w:r>
      <w:r w:rsidR="004518E9">
        <w:rPr>
          <w:rFonts w:eastAsia="Calibri"/>
        </w:rPr>
        <w:t>m</w:t>
      </w:r>
      <w:r w:rsidRPr="00B91440">
        <w:rPr>
          <w:rFonts w:eastAsia="Calibri"/>
        </w:rPr>
        <w:t xml:space="preserve">onitoring scenario </w:t>
      </w:r>
    </w:p>
    <w:p w14:paraId="271DF7E2" w14:textId="77777777" w:rsidR="00B91440" w:rsidRPr="00935F57" w:rsidRDefault="00B91440" w:rsidP="00672614">
      <w:pPr>
        <w:jc w:val="center"/>
        <w:rPr>
          <w:rStyle w:val="ECCParagraph"/>
        </w:rPr>
      </w:pPr>
      <w:r w:rsidRPr="00B91440">
        <w:rPr>
          <w:rStyle w:val="ECCParagraph"/>
          <w:noProof/>
          <w:lang w:val="de-DE" w:eastAsia="de-DE"/>
        </w:rPr>
        <w:drawing>
          <wp:inline distT="0" distB="0" distL="0" distR="0" wp14:anchorId="4AFC69C8" wp14:editId="752DEA66">
            <wp:extent cx="6164295" cy="1828800"/>
            <wp:effectExtent l="0" t="0" r="825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6184921" cy="1834919"/>
                    </a:xfrm>
                    <a:prstGeom prst="rect">
                      <a:avLst/>
                    </a:prstGeom>
                    <a:noFill/>
                  </pic:spPr>
                </pic:pic>
              </a:graphicData>
            </a:graphic>
          </wp:inline>
        </w:drawing>
      </w:r>
    </w:p>
    <w:p w14:paraId="43BB4FF3" w14:textId="749DA612" w:rsidR="00B91440" w:rsidRPr="00B91440" w:rsidRDefault="00B91440" w:rsidP="00B91440">
      <w:pPr>
        <w:pStyle w:val="Caption"/>
        <w:rPr>
          <w:rFonts w:eastAsia="Calibri"/>
        </w:rPr>
      </w:pPr>
      <w:bookmarkStart w:id="190" w:name="_Ref49153526"/>
      <w:r w:rsidRPr="00B91440">
        <w:rPr>
          <w:rFonts w:eastAsia="Calibri"/>
        </w:rPr>
        <w:t>Figure</w:t>
      </w:r>
      <w:r w:rsidR="00166545">
        <w:rPr>
          <w:rFonts w:eastAsia="Calibri"/>
        </w:rPr>
        <w:t> </w:t>
      </w:r>
      <w:r>
        <w:fldChar w:fldCharType="begin"/>
      </w:r>
      <w:r>
        <w:instrText>SEQ Figure \* ARABIC</w:instrText>
      </w:r>
      <w:r>
        <w:fldChar w:fldCharType="separate"/>
      </w:r>
      <w:r w:rsidR="004F49F9">
        <w:rPr>
          <w:noProof/>
        </w:rPr>
        <w:t>26</w:t>
      </w:r>
      <w:r>
        <w:fldChar w:fldCharType="end"/>
      </w:r>
      <w:bookmarkEnd w:id="190"/>
      <w:r w:rsidRPr="00B91440">
        <w:rPr>
          <w:rFonts w:eastAsia="Calibri"/>
        </w:rPr>
        <w:t xml:space="preserve">: Underground mine monitoring scenario </w:t>
      </w:r>
    </w:p>
    <w:p w14:paraId="03F6F59F" w14:textId="35ACBDEC" w:rsidR="00B91440" w:rsidRPr="00935F57" w:rsidRDefault="00B91440" w:rsidP="00B91440">
      <w:r w:rsidRPr="00935F57">
        <w:rPr>
          <w:rStyle w:val="ECCParagraph"/>
        </w:rPr>
        <w:t>For this applications GBSAR can be used either for continuous monitoring of unstable wall areas for a period from one day to several weeks, or for performing several surveys of various areas in different time-periods, where each survey lasts a few hours. In both cases the system is installed for the survey period close to the monitored area (&lt;200 m). Given the sudden nature of the ground instability event in tunnel and underground mine environment, during the survey GBSAR performs an acquisition every 15 seconds with a field of view of 120°m, leading to an activity factor of 80</w:t>
      </w:r>
      <w:r w:rsidR="00F800A2">
        <w:rPr>
          <w:rStyle w:val="ECCParagraph"/>
        </w:rPr>
        <w:t>%</w:t>
      </w:r>
      <w:r w:rsidRPr="00935F57">
        <w:rPr>
          <w:rStyle w:val="ECCParagraph"/>
        </w:rPr>
        <w:t xml:space="preserve"> (12 seconds acquisition every 15 seconds).</w:t>
      </w:r>
    </w:p>
    <w:p w14:paraId="34398E28" w14:textId="77777777" w:rsidR="004C7709" w:rsidRDefault="004C7709" w:rsidP="004E36C2">
      <w:pPr>
        <w:pStyle w:val="Heading4"/>
        <w:rPr>
          <w:rFonts w:eastAsia="Calibri"/>
        </w:rPr>
      </w:pPr>
      <w:bookmarkStart w:id="191" w:name="_Ref66361588"/>
      <w:bookmarkStart w:id="192" w:name="_Toc84325265"/>
      <w:r>
        <w:rPr>
          <w:rFonts w:eastAsia="Calibri"/>
        </w:rPr>
        <w:t>Frequency ranges and application types</w:t>
      </w:r>
      <w:bookmarkEnd w:id="191"/>
      <w:bookmarkEnd w:id="192"/>
    </w:p>
    <w:p w14:paraId="1F0F739E" w14:textId="50D676C7" w:rsidR="004C7709" w:rsidRDefault="004C7709" w:rsidP="004C7709">
      <w:r>
        <w:t xml:space="preserve">Ground Based Synthetic Aperture Radar (GBSAR) has been categorised as a type A application (see </w:t>
      </w:r>
      <w:r w:rsidR="009D5FA2">
        <w:t>section</w:t>
      </w:r>
      <w:r>
        <w:t xml:space="preserve"> </w:t>
      </w:r>
      <w:r>
        <w:fldChar w:fldCharType="begin"/>
      </w:r>
      <w:r>
        <w:instrText xml:space="preserve"> REF _Ref7786850 \r \h </w:instrText>
      </w:r>
      <w:r>
        <w:fldChar w:fldCharType="separate"/>
      </w:r>
      <w:r w:rsidR="004F49F9">
        <w:t>2.1</w:t>
      </w:r>
      <w:r>
        <w:fldChar w:fldCharType="end"/>
      </w:r>
      <w:r>
        <w:t xml:space="preserve">). The following frequency range is proposed to be considered for this type of application (see </w:t>
      </w:r>
      <w:r>
        <w:fldChar w:fldCharType="begin"/>
      </w:r>
      <w:r>
        <w:instrText xml:space="preserve"> REF _Ref15636825 \h </w:instrText>
      </w:r>
      <w:r>
        <w:fldChar w:fldCharType="separate"/>
      </w:r>
      <w:r w:rsidR="0041125F" w:rsidRPr="006D6727">
        <w:rPr>
          <w:noProof/>
        </w:rPr>
        <w:t>Table </w:t>
      </w:r>
      <w:r w:rsidR="0041125F">
        <w:rPr>
          <w:noProof/>
        </w:rPr>
        <w:t>33</w:t>
      </w:r>
      <w:r>
        <w:fldChar w:fldCharType="end"/>
      </w:r>
      <w:r>
        <w:t>):</w:t>
      </w:r>
    </w:p>
    <w:p w14:paraId="2ED33B22" w14:textId="77777777" w:rsidR="004C7709" w:rsidRPr="004C7709" w:rsidRDefault="004C7709" w:rsidP="004C7709">
      <w:pPr>
        <w:pStyle w:val="ECCBulletsLv1"/>
      </w:pPr>
      <w:r>
        <w:t>134 GHz to 141 GHz.</w:t>
      </w:r>
    </w:p>
    <w:p w14:paraId="78904CCF" w14:textId="77777777" w:rsidR="004C7709" w:rsidRDefault="004C7709" w:rsidP="004E36C2">
      <w:pPr>
        <w:pStyle w:val="Heading4"/>
        <w:rPr>
          <w:rFonts w:eastAsia="Calibri"/>
        </w:rPr>
      </w:pPr>
      <w:bookmarkStart w:id="193" w:name="_Ref49776445"/>
      <w:bookmarkStart w:id="194" w:name="_Toc84325266"/>
      <w:r>
        <w:rPr>
          <w:rFonts w:eastAsia="Calibri"/>
        </w:rPr>
        <w:t>Technical parameters</w:t>
      </w:r>
      <w:bookmarkEnd w:id="193"/>
      <w:bookmarkEnd w:id="194"/>
    </w:p>
    <w:p w14:paraId="52DF89A6" w14:textId="6402EC48" w:rsidR="004C7709" w:rsidRDefault="004C7709" w:rsidP="004C7709">
      <w:r w:rsidRPr="0032181A">
        <w:fldChar w:fldCharType="begin"/>
      </w:r>
      <w:r w:rsidRPr="0032181A">
        <w:instrText xml:space="preserve"> REF _Ref37237090 \h </w:instrText>
      </w:r>
      <w:r>
        <w:instrText xml:space="preserve"> \* MERGEFORMAT </w:instrText>
      </w:r>
      <w:r w:rsidRPr="0032181A">
        <w:fldChar w:fldCharType="separate"/>
      </w:r>
      <w:r w:rsidR="0041125F" w:rsidRPr="0032181A">
        <w:t>Table</w:t>
      </w:r>
      <w:r w:rsidR="0041125F">
        <w:t> 20</w:t>
      </w:r>
      <w:r w:rsidRPr="0032181A">
        <w:fldChar w:fldCharType="end"/>
      </w:r>
      <w:r w:rsidRPr="0032181A">
        <w:t xml:space="preserve"> </w:t>
      </w:r>
      <w:r>
        <w:t>provides an overview of GBSAR technical parameters to be considered for the compatibility studies.</w:t>
      </w:r>
    </w:p>
    <w:p w14:paraId="64B0873C" w14:textId="0F8928A8" w:rsidR="004C7709" w:rsidRPr="00A256BC" w:rsidRDefault="004C7709" w:rsidP="004C7709">
      <w:pPr>
        <w:pStyle w:val="Caption"/>
        <w:rPr>
          <w:rStyle w:val="ECCHLyellow"/>
        </w:rPr>
      </w:pPr>
      <w:bookmarkStart w:id="195" w:name="_Ref37237090"/>
      <w:r w:rsidRPr="0032181A">
        <w:t>Table</w:t>
      </w:r>
      <w:r w:rsidR="00983735">
        <w:t> </w:t>
      </w:r>
      <w:r>
        <w:fldChar w:fldCharType="begin"/>
      </w:r>
      <w:r>
        <w:instrText>SEQ Table \* ARABIC</w:instrText>
      </w:r>
      <w:r>
        <w:fldChar w:fldCharType="separate"/>
      </w:r>
      <w:r w:rsidR="004F49F9">
        <w:rPr>
          <w:noProof/>
        </w:rPr>
        <w:t>20</w:t>
      </w:r>
      <w:r>
        <w:fldChar w:fldCharType="end"/>
      </w:r>
      <w:bookmarkEnd w:id="195"/>
      <w:r w:rsidRPr="0032181A">
        <w:t xml:space="preserve">: </w:t>
      </w:r>
      <w:r w:rsidRPr="004C7709">
        <w:rPr>
          <w:rStyle w:val="ECCParagraph"/>
          <w:rFonts w:eastAsia="Calibri"/>
        </w:rPr>
        <w:t>Technical parameters of GBSAR</w:t>
      </w:r>
    </w:p>
    <w:tbl>
      <w:tblPr>
        <w:tblStyle w:val="ECCTable-redheader"/>
        <w:tblW w:w="5000" w:type="pct"/>
        <w:tblInd w:w="0" w:type="dxa"/>
        <w:tblLook w:val="04A0" w:firstRow="1" w:lastRow="0" w:firstColumn="1" w:lastColumn="0" w:noHBand="0" w:noVBand="1"/>
      </w:tblPr>
      <w:tblGrid>
        <w:gridCol w:w="3070"/>
        <w:gridCol w:w="3503"/>
        <w:gridCol w:w="3056"/>
      </w:tblGrid>
      <w:tr w:rsidR="004C7709" w:rsidRPr="00CA0902" w14:paraId="128EDAC2" w14:textId="77777777" w:rsidTr="004C011F">
        <w:trPr>
          <w:cnfStyle w:val="100000000000" w:firstRow="1" w:lastRow="0" w:firstColumn="0" w:lastColumn="0" w:oddVBand="0" w:evenVBand="0" w:oddHBand="0" w:evenHBand="0" w:firstRowFirstColumn="0" w:firstRowLastColumn="0" w:lastRowFirstColumn="0" w:lastRowLastColumn="0"/>
        </w:trPr>
        <w:tc>
          <w:tcPr>
            <w:tcW w:w="1594" w:type="pct"/>
          </w:tcPr>
          <w:p w14:paraId="6340F225" w14:textId="77777777" w:rsidR="004C7709" w:rsidRPr="004C7709" w:rsidRDefault="004C7709" w:rsidP="00031A36">
            <w:pPr>
              <w:pStyle w:val="ECCTabletext"/>
              <w:jc w:val="left"/>
              <w:rPr>
                <w:rStyle w:val="ECCParagraph"/>
              </w:rPr>
            </w:pPr>
            <w:r w:rsidRPr="0032181A">
              <w:rPr>
                <w:rStyle w:val="ECCParagraph"/>
              </w:rPr>
              <w:t>Parameter</w:t>
            </w:r>
          </w:p>
        </w:tc>
        <w:tc>
          <w:tcPr>
            <w:tcW w:w="1819" w:type="pct"/>
          </w:tcPr>
          <w:p w14:paraId="4D965E1E" w14:textId="77777777" w:rsidR="004C7709" w:rsidRPr="004C7709" w:rsidRDefault="004C7709" w:rsidP="00031A36">
            <w:pPr>
              <w:pStyle w:val="ECCTabletext"/>
              <w:jc w:val="left"/>
              <w:rPr>
                <w:rStyle w:val="ECCParagraph"/>
              </w:rPr>
            </w:pPr>
            <w:r w:rsidRPr="0032181A">
              <w:rPr>
                <w:rStyle w:val="ECCParagraph"/>
              </w:rPr>
              <w:t>Value</w:t>
            </w:r>
          </w:p>
        </w:tc>
        <w:tc>
          <w:tcPr>
            <w:tcW w:w="1587" w:type="pct"/>
          </w:tcPr>
          <w:p w14:paraId="1CA57539" w14:textId="77777777" w:rsidR="004C7709" w:rsidRPr="004C7709" w:rsidRDefault="004C7709" w:rsidP="00031A36">
            <w:pPr>
              <w:pStyle w:val="ECCTabletext"/>
              <w:jc w:val="left"/>
              <w:rPr>
                <w:rStyle w:val="ECCParagraph"/>
              </w:rPr>
            </w:pPr>
            <w:r w:rsidRPr="0032181A">
              <w:rPr>
                <w:rStyle w:val="ECCParagraph"/>
              </w:rPr>
              <w:t>Notes</w:t>
            </w:r>
          </w:p>
        </w:tc>
      </w:tr>
      <w:tr w:rsidR="004C7709" w:rsidRPr="00D80B55" w14:paraId="225FE4DD" w14:textId="77777777" w:rsidTr="004C011F">
        <w:trPr>
          <w:trHeight w:val="265"/>
        </w:trPr>
        <w:tc>
          <w:tcPr>
            <w:tcW w:w="1594" w:type="pct"/>
          </w:tcPr>
          <w:p w14:paraId="0D6B1028" w14:textId="77777777" w:rsidR="004C7709" w:rsidRPr="004C7709" w:rsidRDefault="004C7709" w:rsidP="00031A36">
            <w:pPr>
              <w:pStyle w:val="ECCTabletext"/>
              <w:jc w:val="left"/>
              <w:rPr>
                <w:rStyle w:val="ECCParagraph"/>
              </w:rPr>
            </w:pPr>
            <w:r w:rsidRPr="0032181A">
              <w:rPr>
                <w:rStyle w:val="ECCParagraph"/>
              </w:rPr>
              <w:t>Modulation scheme</w:t>
            </w:r>
          </w:p>
        </w:tc>
        <w:tc>
          <w:tcPr>
            <w:tcW w:w="1819" w:type="pct"/>
          </w:tcPr>
          <w:p w14:paraId="5F57938A" w14:textId="77777777" w:rsidR="004C7709" w:rsidRPr="004C7709" w:rsidRDefault="004C7709" w:rsidP="00031A36">
            <w:pPr>
              <w:pStyle w:val="ECCTabletext"/>
              <w:jc w:val="left"/>
              <w:rPr>
                <w:rStyle w:val="ECCParagraph"/>
              </w:rPr>
            </w:pPr>
            <w:r>
              <w:rPr>
                <w:rStyle w:val="ECCParagraph"/>
              </w:rPr>
              <w:t xml:space="preserve">Linear </w:t>
            </w:r>
            <w:r w:rsidRPr="004C7709">
              <w:rPr>
                <w:rStyle w:val="ECCParagraph"/>
              </w:rPr>
              <w:t>Frequency Modulated Continuous Wave (FMCW)</w:t>
            </w:r>
          </w:p>
        </w:tc>
        <w:tc>
          <w:tcPr>
            <w:tcW w:w="1587" w:type="pct"/>
          </w:tcPr>
          <w:p w14:paraId="3DC3FA23" w14:textId="77777777" w:rsidR="004C7709" w:rsidRPr="0032181A" w:rsidRDefault="004C7709" w:rsidP="004C7709">
            <w:pPr>
              <w:pStyle w:val="ECCTabletext"/>
              <w:rPr>
                <w:rStyle w:val="ECCParagraph"/>
              </w:rPr>
            </w:pPr>
          </w:p>
        </w:tc>
      </w:tr>
      <w:tr w:rsidR="004C7709" w:rsidRPr="00D80B55" w14:paraId="3901FE96" w14:textId="77777777" w:rsidTr="004C011F">
        <w:trPr>
          <w:trHeight w:val="265"/>
        </w:trPr>
        <w:tc>
          <w:tcPr>
            <w:tcW w:w="1594" w:type="pct"/>
          </w:tcPr>
          <w:p w14:paraId="53DBA516" w14:textId="77777777" w:rsidR="004C7709" w:rsidRPr="004C7709" w:rsidRDefault="004C7709" w:rsidP="00031A36">
            <w:pPr>
              <w:pStyle w:val="ECCTabletext"/>
              <w:jc w:val="left"/>
              <w:rPr>
                <w:rStyle w:val="ECCParagraph"/>
              </w:rPr>
            </w:pPr>
            <w:r w:rsidRPr="0032181A">
              <w:rPr>
                <w:rStyle w:val="ECCParagraph"/>
              </w:rPr>
              <w:t>Operating frequency range (OFR)</w:t>
            </w:r>
          </w:p>
        </w:tc>
        <w:tc>
          <w:tcPr>
            <w:tcW w:w="1819" w:type="pct"/>
          </w:tcPr>
          <w:p w14:paraId="2C591CAD" w14:textId="77777777" w:rsidR="004C7709" w:rsidRPr="004C7709" w:rsidRDefault="004C7709" w:rsidP="00031A36">
            <w:pPr>
              <w:pStyle w:val="ECCTabletext"/>
              <w:jc w:val="left"/>
              <w:rPr>
                <w:rStyle w:val="ECCParagraph"/>
              </w:rPr>
            </w:pPr>
            <w:r>
              <w:rPr>
                <w:rStyle w:val="ECCParagraph"/>
              </w:rPr>
              <w:t>134-141</w:t>
            </w:r>
            <w:r w:rsidR="005734C9">
              <w:rPr>
                <w:rStyle w:val="ECCParagraph"/>
              </w:rPr>
              <w:t> </w:t>
            </w:r>
            <w:r>
              <w:rPr>
                <w:rStyle w:val="ECCParagraph"/>
              </w:rPr>
              <w:t>GHz</w:t>
            </w:r>
          </w:p>
        </w:tc>
        <w:tc>
          <w:tcPr>
            <w:tcW w:w="1587" w:type="pct"/>
          </w:tcPr>
          <w:p w14:paraId="71ADF0F6" w14:textId="77777777" w:rsidR="004C7709" w:rsidRPr="0032181A" w:rsidRDefault="004C7709" w:rsidP="004C7709">
            <w:pPr>
              <w:pStyle w:val="ECCTabletext"/>
              <w:rPr>
                <w:rStyle w:val="ECCParagraph"/>
              </w:rPr>
            </w:pPr>
          </w:p>
        </w:tc>
      </w:tr>
      <w:tr w:rsidR="004C7709" w:rsidRPr="00D80B55" w14:paraId="7F5B2F5E" w14:textId="77777777" w:rsidTr="004C011F">
        <w:trPr>
          <w:trHeight w:val="265"/>
        </w:trPr>
        <w:tc>
          <w:tcPr>
            <w:tcW w:w="1594" w:type="pct"/>
          </w:tcPr>
          <w:p w14:paraId="1C9085A7" w14:textId="77777777" w:rsidR="004C7709" w:rsidRPr="004C7709" w:rsidRDefault="004C7709" w:rsidP="00031A36">
            <w:pPr>
              <w:pStyle w:val="ECCTabletext"/>
              <w:jc w:val="left"/>
              <w:rPr>
                <w:rStyle w:val="ECCParagraph"/>
              </w:rPr>
            </w:pPr>
            <w:r>
              <w:rPr>
                <w:rStyle w:val="ECCParagraph"/>
              </w:rPr>
              <w:t>M</w:t>
            </w:r>
            <w:r w:rsidRPr="004C7709">
              <w:rPr>
                <w:rStyle w:val="ECCParagraph"/>
              </w:rPr>
              <w:t>odulation bandwidth</w:t>
            </w:r>
          </w:p>
        </w:tc>
        <w:tc>
          <w:tcPr>
            <w:tcW w:w="1819" w:type="pct"/>
          </w:tcPr>
          <w:p w14:paraId="6F64243E" w14:textId="77777777" w:rsidR="004C7709" w:rsidRPr="004C7709" w:rsidRDefault="004C7709" w:rsidP="00031A36">
            <w:pPr>
              <w:pStyle w:val="ECCTabletext"/>
              <w:jc w:val="left"/>
              <w:rPr>
                <w:rStyle w:val="ECCParagraph"/>
              </w:rPr>
            </w:pPr>
            <w:r>
              <w:rPr>
                <w:rStyle w:val="ECCParagraph"/>
              </w:rPr>
              <w:t>7</w:t>
            </w:r>
            <w:r w:rsidR="005734C9">
              <w:rPr>
                <w:rStyle w:val="ECCParagraph"/>
              </w:rPr>
              <w:t> </w:t>
            </w:r>
            <w:r>
              <w:rPr>
                <w:rStyle w:val="ECCParagraph"/>
              </w:rPr>
              <w:t>GHz</w:t>
            </w:r>
          </w:p>
        </w:tc>
        <w:tc>
          <w:tcPr>
            <w:tcW w:w="1587" w:type="pct"/>
          </w:tcPr>
          <w:p w14:paraId="6FCF50C9" w14:textId="77777777" w:rsidR="004C7709" w:rsidRPr="0032181A" w:rsidRDefault="004C7709" w:rsidP="004C7709">
            <w:pPr>
              <w:pStyle w:val="ECCTabletext"/>
              <w:rPr>
                <w:rStyle w:val="ECCParagraph"/>
              </w:rPr>
            </w:pPr>
          </w:p>
        </w:tc>
      </w:tr>
      <w:tr w:rsidR="004C7709" w:rsidRPr="00D80B55" w14:paraId="243A3411" w14:textId="77777777" w:rsidTr="004C011F">
        <w:trPr>
          <w:trHeight w:val="265"/>
        </w:trPr>
        <w:tc>
          <w:tcPr>
            <w:tcW w:w="1594" w:type="pct"/>
          </w:tcPr>
          <w:p w14:paraId="68352F31" w14:textId="77777777" w:rsidR="004C7709" w:rsidRPr="004C7709" w:rsidRDefault="004C7709" w:rsidP="00031A36">
            <w:pPr>
              <w:pStyle w:val="ECCTabletext"/>
              <w:jc w:val="left"/>
              <w:rPr>
                <w:rStyle w:val="ECCParagraph"/>
              </w:rPr>
            </w:pPr>
            <w:r w:rsidRPr="0032181A">
              <w:rPr>
                <w:rStyle w:val="ECCParagraph"/>
              </w:rPr>
              <w:t>Sweep</w:t>
            </w:r>
            <w:r w:rsidRPr="004C7709">
              <w:rPr>
                <w:rStyle w:val="ECCParagraph"/>
              </w:rPr>
              <w:t xml:space="preserve"> time</w:t>
            </w:r>
          </w:p>
        </w:tc>
        <w:tc>
          <w:tcPr>
            <w:tcW w:w="1819" w:type="pct"/>
          </w:tcPr>
          <w:p w14:paraId="5B60695A" w14:textId="77777777" w:rsidR="004C7709" w:rsidRPr="004C7709" w:rsidRDefault="004C7709" w:rsidP="00031A36">
            <w:pPr>
              <w:pStyle w:val="ECCTabletext"/>
              <w:jc w:val="left"/>
              <w:rPr>
                <w:rStyle w:val="ECCParagraph"/>
              </w:rPr>
            </w:pPr>
            <w:r w:rsidRPr="0032181A">
              <w:rPr>
                <w:rStyle w:val="ECCParagraph"/>
              </w:rPr>
              <w:t>500 µs to 5 ms</w:t>
            </w:r>
          </w:p>
        </w:tc>
        <w:tc>
          <w:tcPr>
            <w:tcW w:w="1587" w:type="pct"/>
          </w:tcPr>
          <w:p w14:paraId="1CB699E2" w14:textId="77777777" w:rsidR="004C7709" w:rsidRPr="004C7709" w:rsidRDefault="004C7709" w:rsidP="00031A36">
            <w:pPr>
              <w:pStyle w:val="ECCTabletext"/>
              <w:jc w:val="left"/>
              <w:rPr>
                <w:rStyle w:val="ECCParagraph"/>
              </w:rPr>
            </w:pPr>
            <w:r>
              <w:rPr>
                <w:rStyle w:val="ECCParagraph"/>
              </w:rPr>
              <w:t>F</w:t>
            </w:r>
            <w:r w:rsidRPr="004C7709">
              <w:rPr>
                <w:rStyle w:val="ECCParagraph"/>
              </w:rPr>
              <w:t>or a single frequency sweep over entire modulation bandwidth</w:t>
            </w:r>
          </w:p>
        </w:tc>
      </w:tr>
      <w:tr w:rsidR="004C7709" w:rsidRPr="00D80B55" w14:paraId="3EEAC7F2" w14:textId="77777777" w:rsidTr="004C011F">
        <w:trPr>
          <w:trHeight w:val="265"/>
        </w:trPr>
        <w:tc>
          <w:tcPr>
            <w:tcW w:w="1594" w:type="pct"/>
          </w:tcPr>
          <w:p w14:paraId="67EC3628" w14:textId="77777777" w:rsidR="004C7709" w:rsidRPr="004C7709" w:rsidRDefault="004C7709" w:rsidP="00031A36">
            <w:pPr>
              <w:pStyle w:val="ECCTabletext"/>
              <w:jc w:val="left"/>
              <w:rPr>
                <w:rStyle w:val="ECCParagraph"/>
              </w:rPr>
            </w:pPr>
            <w:r w:rsidRPr="0032181A">
              <w:rPr>
                <w:rStyle w:val="ECCParagraph"/>
              </w:rPr>
              <w:t xml:space="preserve">Conducted peak carrier </w:t>
            </w:r>
            <w:r w:rsidRPr="004C7709">
              <w:rPr>
                <w:rStyle w:val="ECCParagraph"/>
              </w:rPr>
              <w:t>power</w:t>
            </w:r>
          </w:p>
        </w:tc>
        <w:tc>
          <w:tcPr>
            <w:tcW w:w="1819" w:type="pct"/>
          </w:tcPr>
          <w:p w14:paraId="6BE68F65" w14:textId="77777777" w:rsidR="004C7709" w:rsidRPr="004C7709" w:rsidRDefault="004C7709" w:rsidP="00031A36">
            <w:pPr>
              <w:pStyle w:val="ECCTabletext"/>
              <w:jc w:val="left"/>
              <w:rPr>
                <w:rStyle w:val="ECCParagraph"/>
              </w:rPr>
            </w:pPr>
            <w:r w:rsidRPr="0032181A">
              <w:rPr>
                <w:rStyle w:val="ECCParagraph"/>
              </w:rPr>
              <w:t>up to +</w:t>
            </w:r>
            <w:r w:rsidRPr="004C7709">
              <w:rPr>
                <w:rStyle w:val="ECCParagraph"/>
              </w:rPr>
              <w:t>24 dBm</w:t>
            </w:r>
          </w:p>
        </w:tc>
        <w:tc>
          <w:tcPr>
            <w:tcW w:w="1587" w:type="pct"/>
          </w:tcPr>
          <w:p w14:paraId="071800FE" w14:textId="77777777" w:rsidR="004C7709" w:rsidRPr="004C7709" w:rsidRDefault="004C7709" w:rsidP="00031A36">
            <w:pPr>
              <w:pStyle w:val="ECCTabletext"/>
              <w:jc w:val="left"/>
              <w:rPr>
                <w:rStyle w:val="ECCParagraph"/>
              </w:rPr>
            </w:pPr>
            <w:r w:rsidRPr="0032181A">
              <w:rPr>
                <w:rStyle w:val="ECCParagraph"/>
              </w:rPr>
              <w:t>Maximum saturated output power at antenna feeding point</w:t>
            </w:r>
          </w:p>
        </w:tc>
      </w:tr>
      <w:tr w:rsidR="004C7709" w:rsidRPr="00D80B55" w14:paraId="3DEF7B1D" w14:textId="77777777" w:rsidTr="004C011F">
        <w:trPr>
          <w:trHeight w:val="265"/>
        </w:trPr>
        <w:tc>
          <w:tcPr>
            <w:tcW w:w="1594" w:type="pct"/>
          </w:tcPr>
          <w:p w14:paraId="5005672E" w14:textId="77777777" w:rsidR="004C7709" w:rsidRPr="004C7709" w:rsidRDefault="004C7709" w:rsidP="00031A36">
            <w:pPr>
              <w:pStyle w:val="ECCTabletext"/>
              <w:jc w:val="left"/>
              <w:rPr>
                <w:rStyle w:val="ECCParagraph"/>
              </w:rPr>
            </w:pPr>
            <w:r>
              <w:rPr>
                <w:rStyle w:val="ECCParagraph"/>
              </w:rPr>
              <w:t xml:space="preserve">Maximum e.i.r.p </w:t>
            </w:r>
          </w:p>
        </w:tc>
        <w:tc>
          <w:tcPr>
            <w:tcW w:w="1819" w:type="pct"/>
          </w:tcPr>
          <w:p w14:paraId="7A54287F" w14:textId="77777777" w:rsidR="004C7709" w:rsidRPr="004C7709" w:rsidRDefault="004C7709" w:rsidP="00031A36">
            <w:pPr>
              <w:pStyle w:val="ECCTabletext"/>
              <w:jc w:val="left"/>
              <w:rPr>
                <w:rStyle w:val="ECCParagraph"/>
              </w:rPr>
            </w:pPr>
            <w:r>
              <w:rPr>
                <w:rStyle w:val="ECCParagraph"/>
              </w:rPr>
              <w:t>48</w:t>
            </w:r>
            <w:r w:rsidR="005734C9">
              <w:rPr>
                <w:rStyle w:val="ECCParagraph"/>
              </w:rPr>
              <w:t> </w:t>
            </w:r>
            <w:r>
              <w:rPr>
                <w:rStyle w:val="ECCParagraph"/>
              </w:rPr>
              <w:t>dBm</w:t>
            </w:r>
          </w:p>
        </w:tc>
        <w:tc>
          <w:tcPr>
            <w:tcW w:w="1587" w:type="pct"/>
          </w:tcPr>
          <w:p w14:paraId="09A299B5" w14:textId="77777777" w:rsidR="004C7709" w:rsidRPr="0032181A" w:rsidRDefault="004C7709" w:rsidP="004C7709">
            <w:pPr>
              <w:pStyle w:val="ECCTabletext"/>
              <w:rPr>
                <w:rStyle w:val="ECCParagraph"/>
              </w:rPr>
            </w:pPr>
          </w:p>
        </w:tc>
      </w:tr>
      <w:tr w:rsidR="004C7709" w:rsidRPr="00D80B55" w14:paraId="36EC24DB" w14:textId="77777777" w:rsidTr="004C011F">
        <w:trPr>
          <w:trHeight w:val="265"/>
        </w:trPr>
        <w:tc>
          <w:tcPr>
            <w:tcW w:w="1594" w:type="pct"/>
          </w:tcPr>
          <w:p w14:paraId="2752D084" w14:textId="77777777" w:rsidR="004C7709" w:rsidRPr="004C7709" w:rsidRDefault="004C7709" w:rsidP="00031A36">
            <w:pPr>
              <w:pStyle w:val="ECCTabletext"/>
              <w:jc w:val="left"/>
              <w:rPr>
                <w:rStyle w:val="ECCParagraph"/>
              </w:rPr>
            </w:pPr>
            <w:r w:rsidRPr="004C7709">
              <w:t xml:space="preserve">Maximum </w:t>
            </w:r>
            <w:r w:rsidR="004C011F">
              <w:t xml:space="preserve">Power </w:t>
            </w:r>
            <w:r w:rsidRPr="004C7709">
              <w:t>Spectral Density</w:t>
            </w:r>
          </w:p>
        </w:tc>
        <w:tc>
          <w:tcPr>
            <w:tcW w:w="1819" w:type="pct"/>
          </w:tcPr>
          <w:p w14:paraId="2F162EA6" w14:textId="77777777" w:rsidR="004C7709" w:rsidRPr="004C7709" w:rsidRDefault="00C4636E" w:rsidP="00031A36">
            <w:pPr>
              <w:pStyle w:val="ECCTabletext"/>
              <w:jc w:val="left"/>
              <w:rPr>
                <w:rStyle w:val="ECCParagraph"/>
              </w:rPr>
            </w:pPr>
            <w:r>
              <w:rPr>
                <w:rStyle w:val="ECCParagraph"/>
              </w:rPr>
              <w:t>9</w:t>
            </w:r>
            <w:r w:rsidR="00CF4994">
              <w:rPr>
                <w:rStyle w:val="ECCParagraph"/>
              </w:rPr>
              <w:t>.5</w:t>
            </w:r>
            <w:r>
              <w:rPr>
                <w:rStyle w:val="ECCParagraph"/>
              </w:rPr>
              <w:t>5</w:t>
            </w:r>
            <w:r w:rsidR="005734C9">
              <w:rPr>
                <w:rStyle w:val="ECCParagraph"/>
              </w:rPr>
              <w:t> </w:t>
            </w:r>
            <w:r w:rsidR="004C7709">
              <w:rPr>
                <w:rStyle w:val="ECCParagraph"/>
              </w:rPr>
              <w:t>dBm/MHz</w:t>
            </w:r>
          </w:p>
        </w:tc>
        <w:tc>
          <w:tcPr>
            <w:tcW w:w="1587" w:type="pct"/>
          </w:tcPr>
          <w:p w14:paraId="01084FDB" w14:textId="77777777" w:rsidR="004C7709" w:rsidRPr="0032181A" w:rsidRDefault="004C7709" w:rsidP="004C7709">
            <w:pPr>
              <w:pStyle w:val="ECCTabletext"/>
              <w:rPr>
                <w:rStyle w:val="ECCParagraph"/>
              </w:rPr>
            </w:pPr>
          </w:p>
        </w:tc>
      </w:tr>
      <w:tr w:rsidR="004C7709" w:rsidRPr="00D80B55" w14:paraId="269797DB" w14:textId="77777777" w:rsidTr="004C011F">
        <w:trPr>
          <w:trHeight w:val="265"/>
        </w:trPr>
        <w:tc>
          <w:tcPr>
            <w:tcW w:w="1594" w:type="pct"/>
          </w:tcPr>
          <w:p w14:paraId="1C4EA40D" w14:textId="77777777" w:rsidR="004C7709" w:rsidRPr="004C7709" w:rsidRDefault="004C7709" w:rsidP="00031A36">
            <w:pPr>
              <w:pStyle w:val="ECCTabletext"/>
              <w:jc w:val="left"/>
              <w:rPr>
                <w:rStyle w:val="ECCParagraph"/>
              </w:rPr>
            </w:pPr>
            <w:r w:rsidRPr="0032181A">
              <w:rPr>
                <w:rStyle w:val="ECCParagraph"/>
              </w:rPr>
              <w:t>Antenna type</w:t>
            </w:r>
          </w:p>
        </w:tc>
        <w:tc>
          <w:tcPr>
            <w:tcW w:w="1819" w:type="pct"/>
          </w:tcPr>
          <w:p w14:paraId="0FF85866" w14:textId="77777777" w:rsidR="004C7709" w:rsidRPr="004C7709" w:rsidRDefault="004C7709" w:rsidP="00031A36">
            <w:pPr>
              <w:pStyle w:val="ECCTabletext"/>
              <w:jc w:val="left"/>
              <w:rPr>
                <w:rStyle w:val="ECCParagraph"/>
              </w:rPr>
            </w:pPr>
            <w:r w:rsidRPr="0032181A">
              <w:rPr>
                <w:rStyle w:val="ECCParagraph"/>
              </w:rPr>
              <w:t>horn- and lens-horn antennas, planar antenna arrays</w:t>
            </w:r>
          </w:p>
        </w:tc>
        <w:tc>
          <w:tcPr>
            <w:tcW w:w="1587" w:type="pct"/>
          </w:tcPr>
          <w:p w14:paraId="4563F415" w14:textId="77777777" w:rsidR="004C7709" w:rsidRPr="0032181A" w:rsidRDefault="004C7709" w:rsidP="004C7709">
            <w:pPr>
              <w:pStyle w:val="ECCTabletext"/>
              <w:rPr>
                <w:rStyle w:val="ECCParagraph"/>
              </w:rPr>
            </w:pPr>
          </w:p>
        </w:tc>
      </w:tr>
      <w:tr w:rsidR="004C7709" w:rsidRPr="00D80B55" w14:paraId="0C83A57A" w14:textId="77777777" w:rsidTr="004C011F">
        <w:trPr>
          <w:trHeight w:val="265"/>
        </w:trPr>
        <w:tc>
          <w:tcPr>
            <w:tcW w:w="1594" w:type="pct"/>
          </w:tcPr>
          <w:p w14:paraId="20A97850" w14:textId="77777777" w:rsidR="004C7709" w:rsidRPr="004C7709" w:rsidRDefault="004C7709" w:rsidP="00031A36">
            <w:pPr>
              <w:pStyle w:val="ECCTabletext"/>
              <w:jc w:val="left"/>
              <w:rPr>
                <w:rStyle w:val="ECCParagraph"/>
              </w:rPr>
            </w:pPr>
            <w:r>
              <w:rPr>
                <w:rStyle w:val="ECCParagraph"/>
              </w:rPr>
              <w:t>Antenna horizontal -3</w:t>
            </w:r>
            <w:r w:rsidR="003843D5">
              <w:rPr>
                <w:rStyle w:val="ECCParagraph"/>
              </w:rPr>
              <w:t> </w:t>
            </w:r>
            <w:r>
              <w:rPr>
                <w:rStyle w:val="ECCParagraph"/>
              </w:rPr>
              <w:t>dB beamwidth</w:t>
            </w:r>
          </w:p>
        </w:tc>
        <w:tc>
          <w:tcPr>
            <w:tcW w:w="1819" w:type="pct"/>
          </w:tcPr>
          <w:p w14:paraId="2079610B" w14:textId="77777777" w:rsidR="004C7709" w:rsidRPr="004C7709" w:rsidRDefault="004C7709" w:rsidP="00031A36">
            <w:pPr>
              <w:pStyle w:val="ECCTabletext"/>
              <w:jc w:val="left"/>
              <w:rPr>
                <w:rStyle w:val="ECCParagraph"/>
              </w:rPr>
            </w:pPr>
            <w:r>
              <w:rPr>
                <w:rStyle w:val="ECCParagraph"/>
              </w:rPr>
              <w:t>10°</w:t>
            </w:r>
            <w:r w:rsidRPr="004C7709">
              <w:rPr>
                <w:rStyle w:val="ECCParagraph"/>
              </w:rPr>
              <w:t>÷30°</w:t>
            </w:r>
          </w:p>
        </w:tc>
        <w:tc>
          <w:tcPr>
            <w:tcW w:w="1587" w:type="pct"/>
          </w:tcPr>
          <w:p w14:paraId="6B8C9D83" w14:textId="77777777" w:rsidR="004C7709" w:rsidRPr="0032181A" w:rsidRDefault="004C7709" w:rsidP="004C7709">
            <w:pPr>
              <w:pStyle w:val="ECCTabletext"/>
              <w:rPr>
                <w:rStyle w:val="ECCParagraph"/>
              </w:rPr>
            </w:pPr>
          </w:p>
        </w:tc>
      </w:tr>
      <w:tr w:rsidR="004C7709" w:rsidRPr="00D80B55" w14:paraId="41CEB03B" w14:textId="77777777" w:rsidTr="004C011F">
        <w:trPr>
          <w:trHeight w:val="265"/>
        </w:trPr>
        <w:tc>
          <w:tcPr>
            <w:tcW w:w="1594" w:type="pct"/>
          </w:tcPr>
          <w:p w14:paraId="316FE89A" w14:textId="77777777" w:rsidR="004C7709" w:rsidRPr="004C7709" w:rsidRDefault="004C7709" w:rsidP="00031A36">
            <w:pPr>
              <w:pStyle w:val="ECCTabletext"/>
              <w:jc w:val="left"/>
              <w:rPr>
                <w:rStyle w:val="ECCParagraph"/>
              </w:rPr>
            </w:pPr>
            <w:r>
              <w:rPr>
                <w:rStyle w:val="ECCParagraph"/>
              </w:rPr>
              <w:t>Antenna vertical -3</w:t>
            </w:r>
            <w:r w:rsidR="003843D5">
              <w:rPr>
                <w:rStyle w:val="ECCParagraph"/>
              </w:rPr>
              <w:t> </w:t>
            </w:r>
            <w:r>
              <w:rPr>
                <w:rStyle w:val="ECCParagraph"/>
              </w:rPr>
              <w:t>dB beamwidth</w:t>
            </w:r>
          </w:p>
        </w:tc>
        <w:tc>
          <w:tcPr>
            <w:tcW w:w="1819" w:type="pct"/>
          </w:tcPr>
          <w:p w14:paraId="2D3B2706" w14:textId="77777777" w:rsidR="004C7709" w:rsidRPr="004C7709" w:rsidRDefault="004C7709" w:rsidP="00031A36">
            <w:pPr>
              <w:pStyle w:val="ECCTabletext"/>
              <w:jc w:val="left"/>
              <w:rPr>
                <w:rStyle w:val="ECCParagraph"/>
              </w:rPr>
            </w:pPr>
            <w:r>
              <w:rPr>
                <w:rStyle w:val="ECCParagraph"/>
              </w:rPr>
              <w:t>10°</w:t>
            </w:r>
            <w:r w:rsidRPr="004C7709">
              <w:rPr>
                <w:rStyle w:val="ECCParagraph"/>
              </w:rPr>
              <w:t>÷50°</w:t>
            </w:r>
          </w:p>
        </w:tc>
        <w:tc>
          <w:tcPr>
            <w:tcW w:w="1587" w:type="pct"/>
          </w:tcPr>
          <w:p w14:paraId="5154EB2B" w14:textId="77777777" w:rsidR="004C7709" w:rsidRPr="0032181A" w:rsidRDefault="004C7709" w:rsidP="004C7709">
            <w:pPr>
              <w:pStyle w:val="ECCTabletext"/>
              <w:rPr>
                <w:rStyle w:val="ECCParagraph"/>
              </w:rPr>
            </w:pPr>
          </w:p>
        </w:tc>
      </w:tr>
      <w:tr w:rsidR="004C7709" w:rsidRPr="00D80B55" w14:paraId="18C3BA73" w14:textId="77777777" w:rsidTr="004C011F">
        <w:trPr>
          <w:trHeight w:val="265"/>
        </w:trPr>
        <w:tc>
          <w:tcPr>
            <w:tcW w:w="1594" w:type="pct"/>
          </w:tcPr>
          <w:p w14:paraId="314B9895" w14:textId="4901A6A1" w:rsidR="004C7709" w:rsidRPr="004C7709" w:rsidRDefault="004C7709" w:rsidP="00031A36">
            <w:pPr>
              <w:pStyle w:val="ECCTabletext"/>
              <w:jc w:val="left"/>
              <w:rPr>
                <w:rStyle w:val="ECCParagraph"/>
              </w:rPr>
            </w:pPr>
            <w:r>
              <w:rPr>
                <w:rStyle w:val="ECCParagraph"/>
              </w:rPr>
              <w:t>Antenna polari</w:t>
            </w:r>
            <w:r w:rsidR="00743314">
              <w:rPr>
                <w:rStyle w:val="ECCParagraph"/>
              </w:rPr>
              <w:t>s</w:t>
            </w:r>
            <w:r>
              <w:rPr>
                <w:rStyle w:val="ECCParagraph"/>
              </w:rPr>
              <w:t xml:space="preserve">ation </w:t>
            </w:r>
          </w:p>
        </w:tc>
        <w:tc>
          <w:tcPr>
            <w:tcW w:w="1819" w:type="pct"/>
          </w:tcPr>
          <w:p w14:paraId="3C295B1B" w14:textId="77777777" w:rsidR="004C7709" w:rsidRPr="004C7709" w:rsidRDefault="004C7709" w:rsidP="00031A36">
            <w:pPr>
              <w:pStyle w:val="ECCTabletext"/>
              <w:jc w:val="left"/>
              <w:rPr>
                <w:rStyle w:val="ECCParagraph"/>
              </w:rPr>
            </w:pPr>
            <w:r>
              <w:rPr>
                <w:rStyle w:val="ECCParagraph"/>
              </w:rPr>
              <w:t>Horizontal or Vertical</w:t>
            </w:r>
          </w:p>
        </w:tc>
        <w:tc>
          <w:tcPr>
            <w:tcW w:w="1587" w:type="pct"/>
          </w:tcPr>
          <w:p w14:paraId="1998DF85" w14:textId="77777777" w:rsidR="004C7709" w:rsidRPr="0032181A" w:rsidRDefault="004C7709" w:rsidP="004C7709">
            <w:pPr>
              <w:pStyle w:val="ECCTabletext"/>
              <w:rPr>
                <w:rStyle w:val="ECCParagraph"/>
              </w:rPr>
            </w:pPr>
          </w:p>
        </w:tc>
      </w:tr>
      <w:tr w:rsidR="004C7709" w:rsidRPr="00D80B55" w14:paraId="11CEA712" w14:textId="77777777" w:rsidTr="004C011F">
        <w:trPr>
          <w:trHeight w:val="265"/>
        </w:trPr>
        <w:tc>
          <w:tcPr>
            <w:tcW w:w="1594" w:type="pct"/>
          </w:tcPr>
          <w:p w14:paraId="27D48C0B" w14:textId="77777777" w:rsidR="004C7709" w:rsidRPr="004C7709" w:rsidRDefault="004C7709" w:rsidP="00031A36">
            <w:pPr>
              <w:pStyle w:val="ECCTabletext"/>
              <w:jc w:val="left"/>
              <w:rPr>
                <w:rStyle w:val="ECCParagraph"/>
              </w:rPr>
            </w:pPr>
            <w:r>
              <w:rPr>
                <w:rStyle w:val="ECCParagraph"/>
              </w:rPr>
              <w:t>Antenna rotation speed</w:t>
            </w:r>
          </w:p>
        </w:tc>
        <w:tc>
          <w:tcPr>
            <w:tcW w:w="1819" w:type="pct"/>
          </w:tcPr>
          <w:p w14:paraId="200D59AA" w14:textId="77777777" w:rsidR="004C7709" w:rsidRPr="004C7709" w:rsidRDefault="004C7709" w:rsidP="00031A36">
            <w:pPr>
              <w:pStyle w:val="ECCTabletext"/>
              <w:jc w:val="left"/>
              <w:rPr>
                <w:rStyle w:val="ECCParagraph"/>
              </w:rPr>
            </w:pPr>
            <w:r>
              <w:rPr>
                <w:rStyle w:val="ECCParagraph"/>
              </w:rPr>
              <w:t>10</w:t>
            </w:r>
            <w:r w:rsidR="00EB50A7">
              <w:rPr>
                <w:rStyle w:val="ECCParagraph"/>
              </w:rPr>
              <w:t> </w:t>
            </w:r>
            <w:r>
              <w:rPr>
                <w:rStyle w:val="ECCParagraph"/>
              </w:rPr>
              <w:t>deg/sec</w:t>
            </w:r>
          </w:p>
        </w:tc>
        <w:tc>
          <w:tcPr>
            <w:tcW w:w="1587" w:type="pct"/>
          </w:tcPr>
          <w:p w14:paraId="3B35962A" w14:textId="77777777" w:rsidR="004C7709" w:rsidRPr="004C7709" w:rsidRDefault="004C7709" w:rsidP="00031A36">
            <w:pPr>
              <w:pStyle w:val="ECCTabletext"/>
              <w:jc w:val="left"/>
              <w:rPr>
                <w:rStyle w:val="ECCParagraph"/>
              </w:rPr>
            </w:pPr>
            <w:r>
              <w:rPr>
                <w:rStyle w:val="ECCParagraph"/>
              </w:rPr>
              <w:t>During the acquisition the antenna is rotating</w:t>
            </w:r>
          </w:p>
        </w:tc>
      </w:tr>
      <w:tr w:rsidR="004C7709" w:rsidRPr="00D80B55" w14:paraId="74931BA9" w14:textId="77777777" w:rsidTr="004C011F">
        <w:trPr>
          <w:trHeight w:val="265"/>
        </w:trPr>
        <w:tc>
          <w:tcPr>
            <w:tcW w:w="1594" w:type="pct"/>
          </w:tcPr>
          <w:p w14:paraId="3FEC20E6" w14:textId="77777777" w:rsidR="004C7709" w:rsidRPr="004C7709" w:rsidRDefault="004C7709" w:rsidP="00031A36">
            <w:pPr>
              <w:pStyle w:val="ECCTabletext"/>
              <w:jc w:val="left"/>
              <w:rPr>
                <w:rStyle w:val="ECCParagraph"/>
              </w:rPr>
            </w:pPr>
            <w:r>
              <w:rPr>
                <w:rStyle w:val="ECCParagraph"/>
              </w:rPr>
              <w:t>Out</w:t>
            </w:r>
            <w:r w:rsidR="00B65F61">
              <w:rPr>
                <w:rStyle w:val="ECCParagraph"/>
              </w:rPr>
              <w:t>-</w:t>
            </w:r>
            <w:r>
              <w:rPr>
                <w:rStyle w:val="ECCParagraph"/>
              </w:rPr>
              <w:t>of</w:t>
            </w:r>
            <w:r w:rsidR="00B65F61">
              <w:rPr>
                <w:rStyle w:val="ECCParagraph"/>
              </w:rPr>
              <w:t>-</w:t>
            </w:r>
            <w:r>
              <w:rPr>
                <w:rStyle w:val="ECCParagraph"/>
              </w:rPr>
              <w:t>band domain maximum e.i.r.p.</w:t>
            </w:r>
          </w:p>
        </w:tc>
        <w:tc>
          <w:tcPr>
            <w:tcW w:w="1819" w:type="pct"/>
          </w:tcPr>
          <w:p w14:paraId="60B6FCB5" w14:textId="77777777" w:rsidR="004C7709" w:rsidRPr="004C7709" w:rsidRDefault="004C7709" w:rsidP="00031A36">
            <w:pPr>
              <w:pStyle w:val="ECCTabletext"/>
              <w:jc w:val="left"/>
              <w:rPr>
                <w:rStyle w:val="ECCParagraph"/>
              </w:rPr>
            </w:pPr>
            <w:r>
              <w:rPr>
                <w:rStyle w:val="ECCParagraph"/>
              </w:rPr>
              <w:t>0</w:t>
            </w:r>
            <w:r w:rsidR="005734C9">
              <w:rPr>
                <w:rStyle w:val="ECCParagraph"/>
              </w:rPr>
              <w:t> </w:t>
            </w:r>
            <w:r>
              <w:rPr>
                <w:rStyle w:val="ECCParagraph"/>
              </w:rPr>
              <w:t>dBm</w:t>
            </w:r>
          </w:p>
        </w:tc>
        <w:tc>
          <w:tcPr>
            <w:tcW w:w="1587" w:type="pct"/>
          </w:tcPr>
          <w:p w14:paraId="67098DD5" w14:textId="77777777" w:rsidR="004C7709" w:rsidRDefault="004C7709" w:rsidP="004C7709">
            <w:pPr>
              <w:pStyle w:val="ECCTabletext"/>
              <w:rPr>
                <w:rStyle w:val="ECCParagraph"/>
              </w:rPr>
            </w:pPr>
          </w:p>
        </w:tc>
      </w:tr>
      <w:tr w:rsidR="004C7709" w:rsidRPr="0067654F" w14:paraId="05DC0392" w14:textId="77777777" w:rsidTr="004C011F">
        <w:trPr>
          <w:trHeight w:val="265"/>
        </w:trPr>
        <w:tc>
          <w:tcPr>
            <w:tcW w:w="1594" w:type="pct"/>
          </w:tcPr>
          <w:p w14:paraId="4A992931" w14:textId="77777777" w:rsidR="004C7709" w:rsidRPr="004C7709" w:rsidRDefault="004C7709" w:rsidP="00031A36">
            <w:pPr>
              <w:pStyle w:val="ECCTabletext"/>
              <w:jc w:val="left"/>
              <w:rPr>
                <w:rStyle w:val="ECCParagraph"/>
              </w:rPr>
            </w:pPr>
            <w:r>
              <w:rPr>
                <w:rStyle w:val="ECCParagraph"/>
              </w:rPr>
              <w:t xml:space="preserve">Maximum emission in the </w:t>
            </w:r>
            <w:r w:rsidRPr="004C7709">
              <w:rPr>
                <w:rStyle w:val="ECCParagraph"/>
              </w:rPr>
              <w:t>spurious domain</w:t>
            </w:r>
          </w:p>
        </w:tc>
        <w:tc>
          <w:tcPr>
            <w:tcW w:w="1819" w:type="pct"/>
          </w:tcPr>
          <w:p w14:paraId="70CE0DF2" w14:textId="77777777" w:rsidR="004C7709" w:rsidRPr="004C7709" w:rsidRDefault="004C7709" w:rsidP="00E72FB0">
            <w:pPr>
              <w:pStyle w:val="ECCBulletsLv1"/>
              <w:jc w:val="left"/>
            </w:pPr>
            <w:r w:rsidRPr="00FF4B1B">
              <w:t>54</w:t>
            </w:r>
            <w:r w:rsidR="005734C9">
              <w:t> </w:t>
            </w:r>
            <w:r w:rsidRPr="00FF4B1B">
              <w:t>dBm, for</w:t>
            </w:r>
            <w:r w:rsidRPr="004C7709">
              <w:rPr>
                <w:rStyle w:val="Emphasis"/>
              </w:rPr>
              <w:t xml:space="preserve"> f</w:t>
            </w:r>
            <w:r w:rsidRPr="004C7709">
              <w:t xml:space="preserve"> within the bands 47-74</w:t>
            </w:r>
            <w:r w:rsidR="005734C9">
              <w:t> </w:t>
            </w:r>
            <w:r w:rsidRPr="004C7709">
              <w:t>MHz, 87.5-118</w:t>
            </w:r>
            <w:r w:rsidR="005734C9">
              <w:t> </w:t>
            </w:r>
            <w:r w:rsidRPr="004C7709">
              <w:t>MHz, 174-230</w:t>
            </w:r>
            <w:r w:rsidR="005734C9">
              <w:t> </w:t>
            </w:r>
            <w:r w:rsidRPr="004C7709">
              <w:t>MHz, 470-862</w:t>
            </w:r>
            <w:r w:rsidR="005734C9">
              <w:t> </w:t>
            </w:r>
            <w:r w:rsidRPr="004C7709">
              <w:t>MHz;</w:t>
            </w:r>
          </w:p>
          <w:p w14:paraId="2BF9F241" w14:textId="77777777" w:rsidR="004C7709" w:rsidRPr="004C7709" w:rsidRDefault="004C7709" w:rsidP="00E72FB0">
            <w:pPr>
              <w:pStyle w:val="ECCBulletsLv1"/>
              <w:jc w:val="left"/>
            </w:pPr>
            <w:r w:rsidRPr="00FF4B1B">
              <w:t>-36</w:t>
            </w:r>
            <w:r w:rsidR="005734C9">
              <w:t> </w:t>
            </w:r>
            <w:r w:rsidRPr="00FF4B1B">
              <w:t>dBm, for 9</w:t>
            </w:r>
            <w:r w:rsidR="005734C9">
              <w:t> </w:t>
            </w:r>
            <w:r w:rsidRPr="00FF4B1B">
              <w:t xml:space="preserve">kHz ≤ </w:t>
            </w:r>
            <w:r w:rsidRPr="004C7709">
              <w:rPr>
                <w:rStyle w:val="Emphasis"/>
              </w:rPr>
              <w:t>f</w:t>
            </w:r>
            <w:r w:rsidRPr="004C7709">
              <w:t xml:space="preserve"> ≤ 1</w:t>
            </w:r>
            <w:r w:rsidR="005734C9">
              <w:t> </w:t>
            </w:r>
            <w:r w:rsidRPr="004C7709">
              <w:t>GHz (except the above frequency bands);</w:t>
            </w:r>
          </w:p>
          <w:p w14:paraId="2ECF6C79" w14:textId="77777777" w:rsidR="004C7709" w:rsidRPr="00414077" w:rsidRDefault="004C7709" w:rsidP="00E72FB0">
            <w:pPr>
              <w:pStyle w:val="ECCBulletsLv1"/>
              <w:jc w:val="left"/>
              <w:rPr>
                <w:rStyle w:val="ECCParagraph"/>
                <w:lang w:val="da-DK"/>
              </w:rPr>
            </w:pPr>
            <w:r w:rsidRPr="00414077">
              <w:rPr>
                <w:lang w:val="da-DK"/>
              </w:rPr>
              <w:t>-30</w:t>
            </w:r>
            <w:r w:rsidR="005734C9" w:rsidRPr="006A70A1">
              <w:t> </w:t>
            </w:r>
            <w:r w:rsidRPr="00414077">
              <w:rPr>
                <w:lang w:val="da-DK"/>
              </w:rPr>
              <w:t>dBm, for 1</w:t>
            </w:r>
            <w:r w:rsidR="005734C9" w:rsidRPr="006A70A1">
              <w:t> </w:t>
            </w:r>
            <w:r w:rsidRPr="00414077">
              <w:rPr>
                <w:lang w:val="da-DK"/>
              </w:rPr>
              <w:t>GHz &lt;</w:t>
            </w:r>
            <w:r w:rsidRPr="00414077">
              <w:rPr>
                <w:rStyle w:val="Emphasis"/>
                <w:lang w:val="da-DK"/>
              </w:rPr>
              <w:t xml:space="preserve"> f</w:t>
            </w:r>
            <w:r w:rsidRPr="00414077">
              <w:rPr>
                <w:lang w:val="da-DK"/>
              </w:rPr>
              <w:t xml:space="preserve"> ≤ </w:t>
            </w:r>
            <w:r w:rsidRPr="00414077">
              <w:rPr>
                <w:rStyle w:val="Emphasis"/>
                <w:lang w:val="da-DK"/>
              </w:rPr>
              <w:t>Fupper</w:t>
            </w:r>
          </w:p>
        </w:tc>
        <w:tc>
          <w:tcPr>
            <w:tcW w:w="1587" w:type="pct"/>
          </w:tcPr>
          <w:p w14:paraId="66813506" w14:textId="77777777" w:rsidR="004C7709" w:rsidRPr="00414077" w:rsidRDefault="004C7709" w:rsidP="004C7709">
            <w:pPr>
              <w:pStyle w:val="ECCTabletext"/>
              <w:rPr>
                <w:rStyle w:val="ECCParagraph"/>
                <w:lang w:val="da-DK"/>
              </w:rPr>
            </w:pPr>
          </w:p>
        </w:tc>
      </w:tr>
    </w:tbl>
    <w:p w14:paraId="6481AA17" w14:textId="58E3C234" w:rsidR="004C7709" w:rsidRDefault="004C7709" w:rsidP="004C7709">
      <w:pPr>
        <w:rPr>
          <w:rStyle w:val="ECCParagraph"/>
        </w:rPr>
      </w:pPr>
      <w:r>
        <w:t xml:space="preserve">The GBSAR horizontal and vertical antenna pattern shall be modelled respectively with the equations </w:t>
      </w:r>
      <w:r w:rsidR="00E76003">
        <w:fldChar w:fldCharType="begin"/>
      </w:r>
      <w:r w:rsidR="00E76003">
        <w:instrText xml:space="preserve"> REF _Ref84239805 \h </w:instrText>
      </w:r>
      <w:r w:rsidR="00E76003">
        <w:fldChar w:fldCharType="separate"/>
      </w:r>
      <w:r w:rsidR="0041125F">
        <w:rPr>
          <w:rStyle w:val="ECCParagraph"/>
        </w:rPr>
        <w:t>(</w:t>
      </w:r>
      <w:r w:rsidR="0041125F">
        <w:rPr>
          <w:noProof/>
        </w:rPr>
        <w:t>1</w:t>
      </w:r>
      <w:r w:rsidR="0041125F">
        <w:t>)</w:t>
      </w:r>
      <w:r w:rsidR="00E76003">
        <w:fldChar w:fldCharType="end"/>
      </w:r>
      <w:r>
        <w:rPr>
          <w:rStyle w:val="ECCParagraph"/>
        </w:rPr>
        <w:t xml:space="preserve"> and </w:t>
      </w:r>
      <w:r w:rsidR="00E76003">
        <w:rPr>
          <w:rStyle w:val="ECCParagraph"/>
        </w:rPr>
        <w:fldChar w:fldCharType="begin"/>
      </w:r>
      <w:r w:rsidR="00E76003">
        <w:rPr>
          <w:rStyle w:val="ECCParagraph"/>
        </w:rPr>
        <w:instrText xml:space="preserve"> REF _Ref84239814 \h </w:instrText>
      </w:r>
      <w:r w:rsidR="00E76003">
        <w:rPr>
          <w:rStyle w:val="ECCParagraph"/>
        </w:rPr>
      </w:r>
      <w:r w:rsidR="00E76003">
        <w:rPr>
          <w:rStyle w:val="ECCParagraph"/>
        </w:rPr>
        <w:fldChar w:fldCharType="separate"/>
      </w:r>
      <w:r w:rsidR="0041125F">
        <w:rPr>
          <w:rStyle w:val="ECCParagraph"/>
        </w:rPr>
        <w:t>(</w:t>
      </w:r>
      <w:r w:rsidR="0041125F">
        <w:rPr>
          <w:noProof/>
        </w:rPr>
        <w:t>2</w:t>
      </w:r>
      <w:r w:rsidR="0041125F">
        <w:t>)</w:t>
      </w:r>
      <w:r w:rsidR="00E76003">
        <w:rPr>
          <w:rStyle w:val="ECCParagraph"/>
        </w:rPr>
        <w:fldChar w:fldCharType="end"/>
      </w:r>
      <w:r>
        <w:rPr>
          <w:rStyle w:val="ECCParagraph"/>
        </w:rPr>
        <w:t xml:space="preserve">. </w:t>
      </w:r>
      <w:r>
        <w:t xml:space="preserve">The antenna normalised radiation pattern expressed in dB is shown in </w:t>
      </w:r>
      <w:r>
        <w:fldChar w:fldCharType="begin"/>
      </w:r>
      <w:r>
        <w:instrText xml:space="preserve"> REF _Ref37241838 \h </w:instrText>
      </w:r>
      <w:r>
        <w:fldChar w:fldCharType="separate"/>
      </w:r>
      <w:r w:rsidR="0041125F" w:rsidRPr="00414077">
        <w:t>Figure</w:t>
      </w:r>
      <w:r w:rsidR="0041125F">
        <w:t> </w:t>
      </w:r>
      <w:r w:rsidR="0041125F">
        <w:rPr>
          <w:noProof/>
        </w:rPr>
        <w:t>27</w:t>
      </w:r>
      <w:r>
        <w:fldChar w:fldCharType="end"/>
      </w:r>
      <w:r>
        <w:t xml:space="preserve"> and </w:t>
      </w:r>
      <w:r>
        <w:fldChar w:fldCharType="begin"/>
      </w:r>
      <w:r>
        <w:instrText xml:space="preserve"> REF _Ref2107378 \h </w:instrText>
      </w:r>
      <w:r>
        <w:fldChar w:fldCharType="separate"/>
      </w:r>
      <w:r w:rsidR="0041125F" w:rsidRPr="00414077">
        <w:t>Figure</w:t>
      </w:r>
      <w:r w:rsidR="0041125F">
        <w:t> </w:t>
      </w:r>
      <w:r w:rsidR="0041125F">
        <w:rPr>
          <w:noProof/>
        </w:rPr>
        <w:t>28</w:t>
      </w:r>
      <w:r>
        <w:fldChar w:fldCharType="end"/>
      </w:r>
      <w:r>
        <w:t>.</w:t>
      </w:r>
      <w:r>
        <w:rPr>
          <w:rStyle w:val="ECCParagraph"/>
        </w:rPr>
        <w:t xml:space="preserve"> The main lobe three-dimensional pattern can be approximated by multiplying the horizontal and vertical pattern formula, in any case the antenna attenuation can’t be lower than -20</w:t>
      </w:r>
      <w:r w:rsidR="006934CC">
        <w:rPr>
          <w:rStyle w:val="ECCParagraph"/>
        </w:rPr>
        <w:t> </w:t>
      </w:r>
      <w:r>
        <w:rPr>
          <w:rStyle w:val="ECCParagraph"/>
        </w:rPr>
        <w:t>dB.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07765" w14:paraId="67F812C0" w14:textId="77777777" w:rsidTr="00E76003">
        <w:tc>
          <w:tcPr>
            <w:tcW w:w="4761" w:type="pct"/>
          </w:tcPr>
          <w:p w14:paraId="15D689D7" w14:textId="35CC3CFB" w:rsidR="00007765" w:rsidRPr="00144C97" w:rsidRDefault="00E55534" w:rsidP="5F98746D">
            <w:pPr>
              <w:spacing w:before="120" w:after="60"/>
              <w:jc w:val="center"/>
              <w:rPr>
                <w:rStyle w:val="ECCParagraph"/>
                <w:rFonts w:eastAsiaTheme="minorEastAsia" w:cstheme="minorBidi"/>
                <w:lang w:eastAsia="da-DK"/>
              </w:rPr>
            </w:pPr>
            <m:oMathPara>
              <m:oMath>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H</m:t>
                    </m:r>
                  </m:sub>
                </m:sSub>
                <m:d>
                  <m:dPr>
                    <m:ctrlPr>
                      <w:rPr>
                        <w:rStyle w:val="ECCParagraph"/>
                        <w:rFonts w:ascii="Cambria Math" w:hAnsi="Cambria Math"/>
                      </w:rPr>
                    </m:ctrlPr>
                  </m:dPr>
                  <m:e>
                    <m:r>
                      <w:rPr>
                        <w:rStyle w:val="ECCParagraph"/>
                        <w:rFonts w:ascii="Cambria Math" w:hAnsi="Cambria Math"/>
                      </w:rPr>
                      <m:t>ϕ</m:t>
                    </m:r>
                  </m:e>
                </m:d>
                <m:r>
                  <m:rPr>
                    <m:sty m:val="p"/>
                  </m:rPr>
                  <w:rPr>
                    <w:rStyle w:val="ECCParagraph"/>
                    <w:rFonts w:ascii="Cambria Math" w:hAnsi="Cambria Math"/>
                  </w:rPr>
                  <m:t>dB=</m:t>
                </m:r>
                <m:d>
                  <m:dPr>
                    <m:begChr m:val="{"/>
                    <m:endChr m:val=""/>
                    <m:ctrlPr>
                      <w:rPr>
                        <w:rStyle w:val="ECCParagraph"/>
                        <w:rFonts w:ascii="Cambria Math" w:hAnsi="Cambria Math"/>
                      </w:rPr>
                    </m:ctrlPr>
                  </m:dPr>
                  <m:e>
                    <m:eqArr>
                      <m:eqArrPr>
                        <m:ctrlPr>
                          <w:rPr>
                            <w:rStyle w:val="ECCParagraph"/>
                            <w:rFonts w:ascii="Cambria Math" w:hAnsi="Cambria Math"/>
                          </w:rPr>
                        </m:ctrlPr>
                      </m:eqArrPr>
                      <m:e>
                        <m:func>
                          <m:funcPr>
                            <m:ctrlPr>
                              <w:rPr>
                                <w:rFonts w:ascii="Cambria Math" w:hAnsi="Cambria Math"/>
                              </w:rPr>
                            </m:ctrlPr>
                          </m:funcPr>
                          <m:fName>
                            <m:r>
                              <m:rPr>
                                <m:sty m:val="p"/>
                              </m:rPr>
                              <w:rPr>
                                <w:rFonts w:ascii="Cambria Math" w:hAnsi="Cambria Math"/>
                              </w:rPr>
                              <m:t>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e>
                        </m:func>
                        <m:sSup>
                          <m:sSupPr>
                            <m:ctrlPr>
                              <w:rPr>
                                <w:rFonts w:ascii="Cambria Math" w:hAnsi="Cambria Math"/>
                              </w:rPr>
                            </m:ctrlPr>
                          </m:sSup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Style w:val="ECCParagraph"/>
                                        <w:rFonts w:ascii="Cambria Math" w:hAnsi="Cambria Math"/>
                                      </w:rPr>
                                      <m:t>ϕ</m:t>
                                    </m:r>
                                  </m:e>
                                </m:d>
                              </m:e>
                            </m:func>
                          </m:e>
                          <m:sup>
                            <m:r>
                              <m:rPr>
                                <m:sty m:val="p"/>
                              </m:rPr>
                              <w:rPr>
                                <w:rFonts w:ascii="Cambria Math" w:hAnsi="Cambria Math"/>
                              </w:rPr>
                              <m:t>10</m:t>
                            </m:r>
                          </m:sup>
                        </m:sSup>
                        <m:r>
                          <m:rPr>
                            <m:sty m:val="p"/>
                          </m:rPr>
                          <w:rPr>
                            <w:rFonts w:ascii="Cambria Math" w:hAnsi="Cambria Math"/>
                          </w:rPr>
                          <m:t>)</m:t>
                        </m:r>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d>
                              <m:dPr>
                                <m:begChr m:val="|"/>
                                <m:endChr m:val="|"/>
                                <m:ctrlPr>
                                  <w:rPr>
                                    <w:rStyle w:val="ECCParagraph"/>
                                    <w:rFonts w:ascii="Cambria Math" w:hAnsi="Cambria Math"/>
                                  </w:rPr>
                                </m:ctrlPr>
                              </m:dPr>
                              <m:e>
                                <m:r>
                                  <w:rPr>
                                    <w:rStyle w:val="ECCParagraph"/>
                                    <w:rFonts w:ascii="Cambria Math" w:hAnsi="Cambria Math"/>
                                  </w:rPr>
                                  <m:t>ϕ</m:t>
                                </m:r>
                              </m:e>
                            </m:d>
                            <m:r>
                              <m:rPr>
                                <m:sty m:val="p"/>
                              </m:rPr>
                              <w:rPr>
                                <w:rFonts w:ascii="Cambria Math" w:hAnsi="Cambria Math"/>
                              </w:rPr>
                              <m:t>-30</m:t>
                            </m:r>
                          </m:num>
                          <m:den>
                            <m:r>
                              <m:rPr>
                                <m:sty m:val="p"/>
                              </m:rPr>
                              <w:rPr>
                                <w:rFonts w:ascii="Cambria Math" w:hAnsi="Cambria Math"/>
                              </w:rPr>
                              <m:t>60</m:t>
                            </m:r>
                          </m:den>
                        </m:f>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+20</m:t>
                            </m:r>
                          </m:e>
                        </m:d>
                      </m:e>
                      <m:e>
                        <m:r>
                          <w:rPr>
                            <w:rStyle w:val="ECCParagraph"/>
                            <w:rFonts w:ascii="Cambria Math" w:hAnsi="Cambria Math"/>
                          </w:rPr>
                          <m:t>&lt;-20</m:t>
                        </m:r>
                      </m:e>
                    </m:eqArr>
                    <m:eqArr>
                      <m:eqArrPr>
                        <m:ctrlPr>
                          <w:rPr>
                            <w:rStyle w:val="ECCParagraph"/>
                            <w:rFonts w:ascii="Cambria Math" w:hAnsi="Cambria Math"/>
                          </w:rPr>
                        </m:ctrlPr>
                      </m:eqArrPr>
                      <m:e>
                        <m:d>
                          <m:dPr>
                            <m:begChr m:val="|"/>
                            <m:endChr m:val="|"/>
                            <m:ctrlPr>
                              <w:rPr>
                                <w:rStyle w:val="ECCParagraph"/>
                                <w:rFonts w:ascii="Cambria Math" w:hAnsi="Cambria Math"/>
                              </w:rPr>
                            </m:ctrlPr>
                          </m:dPr>
                          <m:e>
                            <m:r>
                              <w:rPr>
                                <w:rStyle w:val="ECCParagraph"/>
                                <w:rFonts w:ascii="Cambria Math" w:hAnsi="Cambria Math"/>
                              </w:rPr>
                              <m:t>ϕ</m:t>
                            </m:r>
                          </m:e>
                        </m:d>
                        <m:r>
                          <m:rPr>
                            <m:sty m:val="p"/>
                          </m:rPr>
                          <w:rPr>
                            <w:rStyle w:val="ECCParagraph"/>
                            <w:rFonts w:ascii="Cambria Math" w:hAnsi="Cambria Math"/>
                          </w:rPr>
                          <m:t>&lt;30°</m:t>
                        </m:r>
                      </m:e>
                      <m:e>
                        <m:d>
                          <m:dPr>
                            <m:begChr m:val="|"/>
                            <m:endChr m:val="|"/>
                            <m:ctrlPr>
                              <w:rPr>
                                <w:rStyle w:val="ECCParagraph"/>
                                <w:rFonts w:ascii="Cambria Math" w:hAnsi="Cambria Math"/>
                              </w:rPr>
                            </m:ctrlPr>
                          </m:dPr>
                          <m:e>
                            <m:r>
                              <w:rPr>
                                <w:rStyle w:val="ECCParagraph"/>
                                <w:rFonts w:ascii="Cambria Math" w:hAnsi="Cambria Math"/>
                              </w:rPr>
                              <m:t>ϕ</m:t>
                            </m:r>
                          </m:e>
                        </m:d>
                        <m:r>
                          <m:rPr>
                            <m:sty m:val="p"/>
                          </m:rPr>
                          <w:rPr>
                            <w:rStyle w:val="ECCParagraph"/>
                            <w:rFonts w:ascii="Cambria Math" w:hAnsi="Cambria Math"/>
                          </w:rPr>
                          <m:t>=30°</m:t>
                        </m:r>
                      </m:e>
                      <m:e>
                        <m:r>
                          <m:rPr>
                            <m:sty m:val="p"/>
                          </m:rPr>
                          <w:rPr>
                            <w:rFonts w:ascii="Cambria Math" w:hAnsi="Cambria Math"/>
                          </w:rPr>
                          <m:t xml:space="preserve"> </m:t>
                        </m:r>
                        <m:r>
                          <w:rPr>
                            <w:rStyle w:val="ECCParagraph"/>
                            <w:rFonts w:ascii="Cambria Math" w:hAnsi="Cambria Math"/>
                          </w:rPr>
                          <m:t>30°&lt;</m:t>
                        </m:r>
                        <m:d>
                          <m:dPr>
                            <m:begChr m:val="|"/>
                            <m:endChr m:val="|"/>
                            <m:ctrlPr>
                              <w:rPr>
                                <w:rStyle w:val="ECCParagraph"/>
                                <w:rFonts w:ascii="Cambria Math" w:hAnsi="Cambria Math"/>
                              </w:rPr>
                            </m:ctrlPr>
                          </m:dPr>
                          <m:e>
                            <m:r>
                              <w:rPr>
                                <w:rStyle w:val="ECCParagraph"/>
                                <w:rFonts w:ascii="Cambria Math" w:hAnsi="Cambria Math"/>
                              </w:rPr>
                              <m:t>ϕ</m:t>
                            </m:r>
                          </m:e>
                        </m:d>
                        <m:r>
                          <w:rPr>
                            <w:rStyle w:val="ECCParagraph"/>
                            <w:rFonts w:ascii="Cambria Math" w:hAnsi="Cambria Math"/>
                          </w:rPr>
                          <m:t>&lt;90°</m:t>
                        </m:r>
                      </m:e>
                      <m:e>
                        <m:r>
                          <w:rPr>
                            <w:rStyle w:val="ECCParagraph"/>
                            <w:rFonts w:ascii="Cambria Math" w:hAnsi="Cambria Math"/>
                          </w:rPr>
                          <m:t>90°&lt;</m:t>
                        </m:r>
                        <m:d>
                          <m:dPr>
                            <m:begChr m:val="|"/>
                            <m:endChr m:val="|"/>
                            <m:ctrlPr>
                              <w:rPr>
                                <w:rStyle w:val="ECCParagraph"/>
                                <w:rFonts w:ascii="Cambria Math" w:hAnsi="Cambria Math"/>
                              </w:rPr>
                            </m:ctrlPr>
                          </m:dPr>
                          <m:e>
                            <m:r>
                              <w:rPr>
                                <w:rStyle w:val="ECCParagraph"/>
                                <w:rFonts w:ascii="Cambria Math" w:hAnsi="Cambria Math"/>
                              </w:rPr>
                              <m:t>ϕ</m:t>
                            </m:r>
                          </m:e>
                        </m:d>
                        <m:r>
                          <w:rPr>
                            <w:rStyle w:val="ECCParagraph"/>
                            <w:rFonts w:ascii="Cambria Math" w:hAnsi="Cambria Math"/>
                          </w:rPr>
                          <m:t>&lt;180°</m:t>
                        </m:r>
                      </m:e>
                    </m:eqArr>
                  </m:e>
                </m:d>
              </m:oMath>
            </m:oMathPara>
          </w:p>
        </w:tc>
        <w:tc>
          <w:tcPr>
            <w:tcW w:w="239" w:type="pct"/>
          </w:tcPr>
          <w:p w14:paraId="6272C4E3" w14:textId="7164359B" w:rsidR="00007765" w:rsidRDefault="00007765" w:rsidP="008A2884">
            <w:pPr>
              <w:spacing w:before="120" w:after="60"/>
              <w:jc w:val="right"/>
              <w:rPr>
                <w:rStyle w:val="ECCParagraph"/>
                <w:rFonts w:eastAsiaTheme="minorEastAsia"/>
                <w:lang w:eastAsia="da-DK"/>
              </w:rPr>
            </w:pPr>
            <w:bookmarkStart w:id="196" w:name="_Ref84239805"/>
            <w:r>
              <w:rPr>
                <w:rStyle w:val="ECCParagraph"/>
              </w:rPr>
              <w:t>(</w:t>
            </w:r>
            <w:r>
              <w:fldChar w:fldCharType="begin"/>
            </w:r>
            <w:r>
              <w:instrText xml:space="preserve"> SEQ Equation \* ARABIC </w:instrText>
            </w:r>
            <w:r>
              <w:fldChar w:fldCharType="separate"/>
            </w:r>
            <w:r w:rsidR="004F49F9">
              <w:rPr>
                <w:noProof/>
              </w:rPr>
              <w:t>1</w:t>
            </w:r>
            <w:r>
              <w:fldChar w:fldCharType="end"/>
            </w:r>
            <w:r>
              <w:t>)</w:t>
            </w:r>
            <w:bookmarkEnd w:id="196"/>
          </w:p>
        </w:tc>
      </w:tr>
      <w:tr w:rsidR="00007765" w14:paraId="4495582F" w14:textId="77777777" w:rsidTr="00884098">
        <w:tc>
          <w:tcPr>
            <w:tcW w:w="4761" w:type="pct"/>
          </w:tcPr>
          <w:p w14:paraId="19207DF3" w14:textId="7400F51D" w:rsidR="00007765" w:rsidRPr="00144C97" w:rsidRDefault="00E55534"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V</m:t>
                    </m:r>
                  </m:sub>
                </m:sSub>
                <m:d>
                  <m:dPr>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dB=</m:t>
                </m:r>
                <m:d>
                  <m:dPr>
                    <m:begChr m:val="{"/>
                    <m:endChr m:val=""/>
                    <m:ctrlPr>
                      <w:rPr>
                        <w:rStyle w:val="ECCParagraph"/>
                        <w:rFonts w:ascii="Cambria Math" w:hAnsi="Cambria Math"/>
                      </w:rPr>
                    </m:ctrlPr>
                  </m:dPr>
                  <m:e>
                    <m:eqArr>
                      <m:eqArrPr>
                        <m:ctrlPr>
                          <w:rPr>
                            <w:rStyle w:val="ECCParagraph"/>
                            <w:rFonts w:ascii="Cambria Math" w:hAnsi="Cambria Math"/>
                          </w:rPr>
                        </m:ctrlPr>
                      </m:eqArrPr>
                      <m:e>
                        <m:func>
                          <m:funcPr>
                            <m:ctrlPr>
                              <w:rPr>
                                <w:rFonts w:ascii="Cambria Math" w:hAnsi="Cambria Math"/>
                              </w:rPr>
                            </m:ctrlPr>
                          </m:funcPr>
                          <m:fName>
                            <m:r>
                              <m:rPr>
                                <m:sty m:val="p"/>
                              </m:rPr>
                              <w:rPr>
                                <w:rFonts w:ascii="Cambria Math" w:hAnsi="Cambria Math"/>
                              </w:rPr>
                              <m:t>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e>
                        </m:func>
                        <m:sSup>
                          <m:sSupPr>
                            <m:ctrlPr>
                              <w:rPr>
                                <w:rFonts w:ascii="Cambria Math" w:hAnsi="Cambria Math"/>
                              </w:rPr>
                            </m:ctrlPr>
                          </m:sSup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Style w:val="ECCParagraph"/>
                                        <w:rFonts w:ascii="Cambria Math" w:hAnsi="Cambria Math"/>
                                      </w:rPr>
                                      <m:t>θ</m:t>
                                    </m:r>
                                  </m:e>
                                </m:d>
                              </m:e>
                            </m:func>
                          </m:e>
                          <m:sup>
                            <m:r>
                              <m:rPr>
                                <m:sty m:val="p"/>
                              </m:rPr>
                              <w:rPr>
                                <w:rFonts w:ascii="Cambria Math" w:hAnsi="Cambria Math"/>
                              </w:rPr>
                              <m:t>3.5</m:t>
                            </m:r>
                          </m:sup>
                        </m:sSup>
                        <m:r>
                          <m:rPr>
                            <m:sty m:val="p"/>
                          </m:rPr>
                          <w:rPr>
                            <w:rFonts w:ascii="Cambria Math" w:hAnsi="Cambria Math"/>
                          </w:rPr>
                          <m:t>)</m:t>
                        </m:r>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d>
                              <m:dPr>
                                <m:begChr m:val="|"/>
                                <m:endChr m:val="|"/>
                                <m:ctrlPr>
                                  <w:rPr>
                                    <w:rStyle w:val="ECCParagraph"/>
                                    <w:rFonts w:ascii="Cambria Math" w:hAnsi="Cambria Math"/>
                                  </w:rPr>
                                </m:ctrlPr>
                              </m:dPr>
                              <m:e>
                                <m:r>
                                  <w:rPr>
                                    <w:rStyle w:val="ECCParagraph"/>
                                    <w:rFonts w:ascii="Cambria Math" w:hAnsi="Cambria Math"/>
                                  </w:rPr>
                                  <m:t>θ</m:t>
                                </m:r>
                              </m:e>
                            </m:d>
                            <m:r>
                              <m:rPr>
                                <m:sty m:val="p"/>
                              </m:rPr>
                              <w:rPr>
                                <w:rFonts w:ascii="Cambria Math" w:hAnsi="Cambria Math"/>
                              </w:rPr>
                              <m:t>-30</m:t>
                            </m:r>
                          </m:num>
                          <m:den>
                            <m:r>
                              <m:rPr>
                                <m:sty m:val="p"/>
                              </m:rPr>
                              <w:rPr>
                                <w:rFonts w:ascii="Cambria Math" w:hAnsi="Cambria Math"/>
                              </w:rPr>
                              <m:t>60</m:t>
                            </m:r>
                          </m:den>
                        </m:f>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1</m:t>
                                </m:r>
                              </m:sub>
                            </m:sSub>
                            <m:r>
                              <m:rPr>
                                <m:sty m:val="p"/>
                              </m:rPr>
                              <w:rPr>
                                <w:rFonts w:ascii="Cambria Math" w:hAnsi="Cambria Math"/>
                              </w:rPr>
                              <m:t>+20</m:t>
                            </m:r>
                          </m:e>
                        </m:d>
                      </m:e>
                      <m:e>
                        <m:r>
                          <w:rPr>
                            <w:rStyle w:val="ECCParagraph"/>
                            <w:rFonts w:ascii="Cambria Math" w:hAnsi="Cambria Math"/>
                          </w:rPr>
                          <m:t>&lt;-20</m:t>
                        </m:r>
                      </m:e>
                    </m:eqArr>
                    <m:eqArr>
                      <m:eqArrPr>
                        <m:ctrlPr>
                          <w:rPr>
                            <w:rStyle w:val="ECCParagraph"/>
                            <w:rFonts w:ascii="Cambria Math" w:hAnsi="Cambria Math"/>
                          </w:rPr>
                        </m:ctrlPr>
                      </m:eqArrPr>
                      <m:e>
                        <m:d>
                          <m:dPr>
                            <m:begChr m:val="|"/>
                            <m:endChr m:val="|"/>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&lt;30°</m:t>
                        </m:r>
                      </m:e>
                      <m:e>
                        <m:d>
                          <m:dPr>
                            <m:begChr m:val="|"/>
                            <m:endChr m:val="|"/>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=30°</m:t>
                        </m:r>
                      </m:e>
                      <m:e>
                        <m:r>
                          <m:rPr>
                            <m:sty m:val="p"/>
                          </m:rPr>
                          <w:rPr>
                            <w:rFonts w:ascii="Cambria Math" w:hAnsi="Cambria Math"/>
                          </w:rPr>
                          <m:t xml:space="preserve"> </m:t>
                        </m:r>
                        <m:r>
                          <w:rPr>
                            <w:rStyle w:val="ECCParagraph"/>
                            <w:rFonts w:ascii="Cambria Math" w:hAnsi="Cambria Math"/>
                          </w:rPr>
                          <m:t>30°&lt;</m:t>
                        </m:r>
                        <m:d>
                          <m:dPr>
                            <m:begChr m:val="|"/>
                            <m:endChr m:val="|"/>
                            <m:ctrlPr>
                              <w:rPr>
                                <w:rStyle w:val="ECCParagraph"/>
                                <w:rFonts w:ascii="Cambria Math" w:hAnsi="Cambria Math"/>
                              </w:rPr>
                            </m:ctrlPr>
                          </m:dPr>
                          <m:e>
                            <m:r>
                              <w:rPr>
                                <w:rStyle w:val="ECCParagraph"/>
                                <w:rFonts w:ascii="Cambria Math" w:hAnsi="Cambria Math"/>
                              </w:rPr>
                              <m:t>θ</m:t>
                            </m:r>
                          </m:e>
                        </m:d>
                        <m:r>
                          <w:rPr>
                            <w:rStyle w:val="ECCParagraph"/>
                            <w:rFonts w:ascii="Cambria Math" w:hAnsi="Cambria Math"/>
                          </w:rPr>
                          <m:t>&lt;90°</m:t>
                        </m:r>
                      </m:e>
                      <m:e>
                        <m:r>
                          <w:rPr>
                            <w:rStyle w:val="ECCParagraph"/>
                            <w:rFonts w:ascii="Cambria Math" w:hAnsi="Cambria Math"/>
                          </w:rPr>
                          <m:t>90°&lt;</m:t>
                        </m:r>
                        <m:d>
                          <m:dPr>
                            <m:begChr m:val="|"/>
                            <m:endChr m:val="|"/>
                            <m:ctrlPr>
                              <w:rPr>
                                <w:rStyle w:val="ECCParagraph"/>
                                <w:rFonts w:ascii="Cambria Math" w:hAnsi="Cambria Math"/>
                              </w:rPr>
                            </m:ctrlPr>
                          </m:dPr>
                          <m:e>
                            <m:r>
                              <w:rPr>
                                <w:rStyle w:val="ECCParagraph"/>
                                <w:rFonts w:ascii="Cambria Math" w:hAnsi="Cambria Math"/>
                              </w:rPr>
                              <m:t>θ</m:t>
                            </m:r>
                          </m:e>
                        </m:d>
                        <m:r>
                          <w:rPr>
                            <w:rStyle w:val="ECCParagraph"/>
                            <w:rFonts w:ascii="Cambria Math" w:hAnsi="Cambria Math"/>
                          </w:rPr>
                          <m:t>&lt;180°</m:t>
                        </m:r>
                      </m:e>
                    </m:eqArr>
                  </m:e>
                </m:d>
              </m:oMath>
            </m:oMathPara>
          </w:p>
        </w:tc>
        <w:tc>
          <w:tcPr>
            <w:tcW w:w="239" w:type="pct"/>
          </w:tcPr>
          <w:p w14:paraId="0E8CA4A7" w14:textId="42B482C6" w:rsidR="00007765" w:rsidRDefault="00007765" w:rsidP="008A2884">
            <w:pPr>
              <w:spacing w:before="120" w:after="60"/>
              <w:jc w:val="right"/>
              <w:rPr>
                <w:rStyle w:val="ECCParagraph"/>
                <w:rFonts w:eastAsiaTheme="minorEastAsia"/>
                <w:lang w:eastAsia="da-DK"/>
              </w:rPr>
            </w:pPr>
            <w:bookmarkStart w:id="197" w:name="_Ref84239814"/>
            <w:r>
              <w:rPr>
                <w:rStyle w:val="ECCParagraph"/>
              </w:rPr>
              <w:t>(</w:t>
            </w:r>
            <w:r>
              <w:fldChar w:fldCharType="begin"/>
            </w:r>
            <w:r>
              <w:instrText xml:space="preserve"> SEQ Equation \* ARABIC </w:instrText>
            </w:r>
            <w:r>
              <w:fldChar w:fldCharType="separate"/>
            </w:r>
            <w:r w:rsidR="004F49F9">
              <w:rPr>
                <w:noProof/>
              </w:rPr>
              <w:t>2</w:t>
            </w:r>
            <w:r>
              <w:fldChar w:fldCharType="end"/>
            </w:r>
            <w:r>
              <w:t>)</w:t>
            </w:r>
            <w:bookmarkEnd w:id="197"/>
          </w:p>
        </w:tc>
      </w:tr>
    </w:tbl>
    <w:p w14:paraId="69D6C153" w14:textId="77777777" w:rsidR="004C7709" w:rsidRDefault="004C7709" w:rsidP="004C7709">
      <w:pPr>
        <w:rPr>
          <w:rStyle w:val="ECCParagraph"/>
        </w:rPr>
      </w:pPr>
      <w:r w:rsidRPr="00160A9F">
        <w:rPr>
          <w:rStyle w:val="ECCParagraph"/>
        </w:rPr>
        <w:t>Where</w:t>
      </w:r>
      <w:r>
        <w:rPr>
          <w:rStyle w:val="ECCParagraph"/>
        </w:rPr>
        <w:t>:</w:t>
      </w:r>
    </w:p>
    <w:p w14:paraId="6EC37573" w14:textId="16508EDE" w:rsidR="004C7709" w:rsidRPr="004C7709" w:rsidRDefault="00E55534" w:rsidP="004C7709">
      <w:pPr>
        <w:pStyle w:val="ECCBulletsLv1"/>
      </w:pP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0</m:t>
            </m:r>
          </m:sub>
        </m:sSub>
        <m:r>
          <w:rPr>
            <w:rStyle w:val="ECCParagraph"/>
            <w:rFonts w:ascii="Cambria Math" w:hAnsi="Cambria Math"/>
          </w:rPr>
          <m:t>=</m:t>
        </m:r>
        <m:sSup>
          <m:sSupPr>
            <m:ctrlPr>
              <w:rPr>
                <w:rStyle w:val="ECCParagraph"/>
                <w:rFonts w:ascii="Cambria Math" w:hAnsi="Cambria Math"/>
              </w:rPr>
            </m:ctrlPr>
          </m:sSupPr>
          <m:e>
            <m:func>
              <m:funcPr>
                <m:ctrlPr>
                  <w:rPr>
                    <w:rStyle w:val="ECCParagraph"/>
                    <w:rFonts w:ascii="Cambria Math" w:hAnsi="Cambria Math"/>
                  </w:rPr>
                </m:ctrlPr>
              </m:funcPr>
              <m:fName>
                <m:r>
                  <m:rPr>
                    <m:sty m:val="p"/>
                  </m:rPr>
                  <w:rPr>
                    <w:rStyle w:val="ECCParagraph"/>
                    <w:rFonts w:ascii="Cambria Math" w:hAnsi="Cambria Math"/>
                  </w:rPr>
                  <m:t>20⋅l</m:t>
                </m:r>
                <m:sSub>
                  <m:sSubPr>
                    <m:ctrlPr>
                      <w:rPr>
                        <w:rStyle w:val="ECCParagraph"/>
                        <w:rFonts w:ascii="Cambria Math" w:hAnsi="Cambria Math"/>
                      </w:rPr>
                    </m:ctrlPr>
                  </m:sSubPr>
                  <m:e>
                    <m:r>
                      <m:rPr>
                        <m:sty m:val="p"/>
                      </m:rPr>
                      <w:rPr>
                        <w:rStyle w:val="ECCParagraph"/>
                        <w:rFonts w:ascii="Cambria Math" w:hAnsi="Cambria Math"/>
                      </w:rPr>
                      <m:t>og</m:t>
                    </m:r>
                  </m:e>
                  <m:sub>
                    <m:r>
                      <m:rPr>
                        <m:sty m:val="p"/>
                      </m:rPr>
                      <w:rPr>
                        <w:rStyle w:val="ECCParagraph"/>
                        <w:rFonts w:ascii="Cambria Math" w:hAnsi="Cambria Math"/>
                      </w:rPr>
                      <m:t>10</m:t>
                    </m:r>
                  </m:sub>
                </m:sSub>
                <m:r>
                  <m:rPr>
                    <m:sty m:val="p"/>
                  </m:rPr>
                  <w:rPr>
                    <w:rStyle w:val="ECCParagraph"/>
                    <w:rFonts w:ascii="Cambria Math" w:hAnsi="Cambria Math"/>
                  </w:rPr>
                  <m:t>(</m:t>
                </m:r>
                <m:r>
                  <w:rPr>
                    <w:rStyle w:val="ECCParagraph"/>
                    <w:rFonts w:ascii="Cambria Math" w:hAnsi="Cambria Math"/>
                  </w:rPr>
                  <m:t>cos</m:t>
                </m:r>
              </m:fName>
              <m:e>
                <m:r>
                  <m:rPr>
                    <m:sty m:val="p"/>
                  </m:rPr>
                  <w:rPr>
                    <w:rStyle w:val="ECCParagraph"/>
                    <w:rFonts w:ascii="Cambria Math" w:hAnsi="Cambria Math"/>
                  </w:rPr>
                  <m:t>(</m:t>
                </m:r>
              </m:e>
            </m:func>
            <m:r>
              <w:rPr>
                <w:rStyle w:val="ECCParagraph"/>
                <w:rFonts w:ascii="Cambria Math" w:hAnsi="Cambria Math"/>
              </w:rPr>
              <m:t>30</m:t>
            </m:r>
            <m:r>
              <m:rPr>
                <m:sty m:val="p"/>
              </m:rPr>
              <w:rPr>
                <w:rStyle w:val="ECCParagraph"/>
                <w:rFonts w:ascii="Cambria Math" w:hAnsi="Cambria Math"/>
              </w:rPr>
              <m:t>))</m:t>
            </m:r>
          </m:e>
          <m:sup>
            <m:r>
              <m:rPr>
                <m:sty m:val="p"/>
              </m:rPr>
              <w:rPr>
                <w:rStyle w:val="ECCParagraph"/>
                <w:rFonts w:ascii="Cambria Math" w:hAnsi="Cambria Math"/>
              </w:rPr>
              <m:t>10</m:t>
            </m:r>
          </m:sup>
        </m:sSup>
      </m:oMath>
      <w:r w:rsidR="004518E9">
        <w:rPr>
          <w:rStyle w:val="ECCParagraph"/>
        </w:rPr>
        <w:t>;</w:t>
      </w:r>
    </w:p>
    <w:p w14:paraId="5B7DB6FC" w14:textId="2B85A5A7" w:rsidR="004C7709" w:rsidRPr="004C7709" w:rsidRDefault="00E55534" w:rsidP="004C7709">
      <w:pPr>
        <w:pStyle w:val="ECCBulletsLv1"/>
      </w:pP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1</m:t>
            </m:r>
          </m:sub>
        </m:sSub>
        <m:r>
          <w:rPr>
            <w:rStyle w:val="ECCParagraph"/>
            <w:rFonts w:ascii="Cambria Math" w:hAnsi="Cambria Math"/>
          </w:rPr>
          <m:t>=</m:t>
        </m:r>
        <m:sSup>
          <m:sSupPr>
            <m:ctrlPr>
              <w:rPr>
                <w:rStyle w:val="ECCParagraph"/>
                <w:rFonts w:ascii="Cambria Math" w:hAnsi="Cambria Math"/>
              </w:rPr>
            </m:ctrlPr>
          </m:sSupPr>
          <m:e>
            <m:func>
              <m:funcPr>
                <m:ctrlPr>
                  <w:rPr>
                    <w:rStyle w:val="ECCParagraph"/>
                    <w:rFonts w:ascii="Cambria Math" w:hAnsi="Cambria Math"/>
                  </w:rPr>
                </m:ctrlPr>
              </m:funcPr>
              <m:fName>
                <m:r>
                  <m:rPr>
                    <m:sty m:val="p"/>
                  </m:rPr>
                  <w:rPr>
                    <w:rStyle w:val="ECCParagraph"/>
                    <w:rFonts w:ascii="Cambria Math" w:hAnsi="Cambria Math"/>
                  </w:rPr>
                  <m:t>20⋅</m:t>
                </m:r>
                <m:sSub>
                  <m:sSubPr>
                    <m:ctrlPr>
                      <w:rPr>
                        <w:rStyle w:val="ECCParagraph"/>
                        <w:rFonts w:ascii="Cambria Math" w:hAnsi="Cambria Math"/>
                      </w:rPr>
                    </m:ctrlPr>
                  </m:sSubPr>
                  <m:e>
                    <m:r>
                      <m:rPr>
                        <m:sty m:val="p"/>
                      </m:rPr>
                      <w:rPr>
                        <w:rStyle w:val="ECCParagraph"/>
                        <w:rFonts w:ascii="Cambria Math" w:hAnsi="Cambria Math"/>
                      </w:rPr>
                      <m:t>log</m:t>
                    </m:r>
                  </m:e>
                  <m:sub>
                    <m:r>
                      <m:rPr>
                        <m:sty m:val="p"/>
                      </m:rPr>
                      <w:rPr>
                        <w:rStyle w:val="ECCParagraph"/>
                        <w:rFonts w:ascii="Cambria Math" w:hAnsi="Cambria Math"/>
                      </w:rPr>
                      <m:t>10</m:t>
                    </m:r>
                  </m:sub>
                </m:sSub>
                <m:r>
                  <m:rPr>
                    <m:sty m:val="p"/>
                  </m:rPr>
                  <w:rPr>
                    <w:rStyle w:val="ECCParagraph"/>
                    <w:rFonts w:ascii="Cambria Math" w:hAnsi="Cambria Math"/>
                  </w:rPr>
                  <m:t>(</m:t>
                </m:r>
                <m:r>
                  <w:rPr>
                    <w:rStyle w:val="ECCParagraph"/>
                    <w:rFonts w:ascii="Cambria Math" w:hAnsi="Cambria Math"/>
                  </w:rPr>
                  <m:t>cos</m:t>
                </m:r>
              </m:fName>
              <m:e>
                <m:r>
                  <m:rPr>
                    <m:sty m:val="p"/>
                  </m:rPr>
                  <w:rPr>
                    <w:rStyle w:val="ECCParagraph"/>
                    <w:rFonts w:ascii="Cambria Math" w:hAnsi="Cambria Math"/>
                  </w:rPr>
                  <m:t>(</m:t>
                </m:r>
              </m:e>
            </m:func>
            <m:r>
              <w:rPr>
                <w:rStyle w:val="ECCParagraph"/>
                <w:rFonts w:ascii="Cambria Math" w:hAnsi="Cambria Math"/>
              </w:rPr>
              <m:t>30</m:t>
            </m:r>
            <m:r>
              <m:rPr>
                <m:sty m:val="p"/>
              </m:rPr>
              <w:rPr>
                <w:rStyle w:val="ECCParagraph"/>
                <w:rFonts w:ascii="Cambria Math" w:hAnsi="Cambria Math"/>
              </w:rPr>
              <m:t>))</m:t>
            </m:r>
          </m:e>
          <m:sup>
            <m:r>
              <m:rPr>
                <m:sty m:val="p"/>
              </m:rPr>
              <w:rPr>
                <w:rStyle w:val="ECCParagraph"/>
                <w:rFonts w:ascii="Cambria Math" w:hAnsi="Cambria Math"/>
              </w:rPr>
              <m:t>3.5</m:t>
            </m:r>
          </m:sup>
        </m:sSup>
      </m:oMath>
      <w:r w:rsidR="004518E9">
        <w:rPr>
          <w:rStyle w:val="ECCParagraph"/>
        </w:rPr>
        <w:t>;</w:t>
      </w:r>
    </w:p>
    <w:p w14:paraId="00E1C548" w14:textId="5A4E5EBB" w:rsidR="004C7709" w:rsidRPr="004C7709" w:rsidRDefault="004C7709" w:rsidP="004C7709">
      <w:pPr>
        <w:pStyle w:val="ECCBulletsLv1"/>
        <w:rPr>
          <w:rStyle w:val="ECCParagraph"/>
        </w:rPr>
      </w:pPr>
      <m:oMath>
        <m:r>
          <w:rPr>
            <w:rStyle w:val="ECCParagraph"/>
            <w:rFonts w:ascii="Cambria Math" w:hAnsi="Cambria Math"/>
          </w:rPr>
          <m:t>ϕ</m:t>
        </m:r>
      </m:oMath>
      <w:r w:rsidRPr="004C7709">
        <w:rPr>
          <w:rStyle w:val="ECCParagraph"/>
        </w:rPr>
        <w:t xml:space="preserve"> is the azimuth angle (0° is the antenna boresight)</w:t>
      </w:r>
      <w:r w:rsidR="004518E9">
        <w:rPr>
          <w:rStyle w:val="ECCParagraph"/>
        </w:rPr>
        <w:t>;</w:t>
      </w:r>
    </w:p>
    <w:p w14:paraId="705A0590" w14:textId="34C7117C" w:rsidR="004C7709" w:rsidRPr="004C7709" w:rsidRDefault="004C7709" w:rsidP="004C7709">
      <w:pPr>
        <w:pStyle w:val="ECCBulletsLv1"/>
      </w:pPr>
      <m:oMath>
        <m:r>
          <w:rPr>
            <w:rStyle w:val="ECCParagraph"/>
            <w:rFonts w:ascii="Cambria Math" w:hAnsi="Cambria Math"/>
          </w:rPr>
          <m:t>θ</m:t>
        </m:r>
      </m:oMath>
      <w:r w:rsidRPr="004C7709">
        <w:rPr>
          <w:rStyle w:val="ECCParagraph"/>
        </w:rPr>
        <w:t xml:space="preserve"> is the elevation angle (0° is the antenna boresight)</w:t>
      </w:r>
      <w:r w:rsidR="004518E9" w:rsidRPr="007B5599">
        <w:t>.</w:t>
      </w:r>
    </w:p>
    <w:p w14:paraId="48945E2C" w14:textId="77777777" w:rsidR="009D1C71" w:rsidRPr="009D1C71" w:rsidRDefault="009D1C71" w:rsidP="004C011F">
      <w:pPr>
        <w:pStyle w:val="Caption"/>
      </w:pPr>
      <w:r w:rsidRPr="009D1C71">
        <w:rPr>
          <w:noProof/>
          <w:lang w:val="de-DE" w:eastAsia="de-DE"/>
        </w:rPr>
        <w:drawing>
          <wp:inline distT="0" distB="0" distL="0" distR="0" wp14:anchorId="6514DA3D" wp14:editId="62F2F29E">
            <wp:extent cx="4572000" cy="2987060"/>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579255" cy="2991800"/>
                    </a:xfrm>
                    <a:prstGeom prst="rect">
                      <a:avLst/>
                    </a:prstGeom>
                    <a:noFill/>
                  </pic:spPr>
                </pic:pic>
              </a:graphicData>
            </a:graphic>
          </wp:inline>
        </w:drawing>
      </w:r>
    </w:p>
    <w:p w14:paraId="7EEDA2E9" w14:textId="1CE3CC76" w:rsidR="009D1C71" w:rsidRPr="00414077" w:rsidRDefault="009D1C71" w:rsidP="004C011F">
      <w:pPr>
        <w:pStyle w:val="Caption"/>
        <w:rPr>
          <w:lang w:val="en-GB"/>
        </w:rPr>
      </w:pPr>
      <w:bookmarkStart w:id="198" w:name="_Ref37241838"/>
      <w:r w:rsidRPr="00414077">
        <w:rPr>
          <w:rFonts w:eastAsia="Calibri"/>
          <w:lang w:val="en-GB"/>
        </w:rPr>
        <w:t>Figure</w:t>
      </w:r>
      <w:r w:rsidR="00983735">
        <w:rPr>
          <w:rFonts w:eastAsia="Calibri"/>
        </w:rPr>
        <w:t> </w:t>
      </w:r>
      <w:r w:rsidRPr="009D1C71">
        <w:fldChar w:fldCharType="begin"/>
      </w:r>
      <w:r w:rsidRPr="00414077">
        <w:rPr>
          <w:lang w:val="en-GB"/>
        </w:rPr>
        <w:instrText xml:space="preserve"> SEQ Figure \* ARABIC </w:instrText>
      </w:r>
      <w:r w:rsidRPr="009D1C71">
        <w:fldChar w:fldCharType="separate"/>
      </w:r>
      <w:r w:rsidR="004F49F9">
        <w:rPr>
          <w:noProof/>
          <w:lang w:val="en-GB"/>
        </w:rPr>
        <w:t>27</w:t>
      </w:r>
      <w:r w:rsidRPr="009D1C71">
        <w:fldChar w:fldCharType="end"/>
      </w:r>
      <w:bookmarkEnd w:id="198"/>
      <w:r w:rsidRPr="00414077">
        <w:rPr>
          <w:rFonts w:eastAsia="Calibri"/>
          <w:lang w:val="en-GB"/>
        </w:rPr>
        <w:t xml:space="preserve">: Representative Horizontal Radiation </w:t>
      </w:r>
      <w:r w:rsidRPr="00414077">
        <w:rPr>
          <w:lang w:val="en-GB"/>
        </w:rPr>
        <w:t>pattern</w:t>
      </w:r>
      <w:r w:rsidRPr="00414077">
        <w:rPr>
          <w:rFonts w:eastAsia="Calibri"/>
          <w:lang w:val="en-GB"/>
        </w:rPr>
        <w:t xml:space="preserve"> of GBSAR</w:t>
      </w:r>
    </w:p>
    <w:p w14:paraId="7D8FB82E" w14:textId="77777777" w:rsidR="009D1C71" w:rsidRDefault="009D1C71" w:rsidP="009D1C71">
      <w:pPr>
        <w:pStyle w:val="ECCFiguregraphcentered"/>
      </w:pPr>
      <w:r>
        <w:drawing>
          <wp:inline distT="0" distB="0" distL="0" distR="0" wp14:anchorId="20EF2091" wp14:editId="5E623A48">
            <wp:extent cx="4610421" cy="3012163"/>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627371" cy="3023237"/>
                    </a:xfrm>
                    <a:prstGeom prst="rect">
                      <a:avLst/>
                    </a:prstGeom>
                    <a:noFill/>
                  </pic:spPr>
                </pic:pic>
              </a:graphicData>
            </a:graphic>
          </wp:inline>
        </w:drawing>
      </w:r>
    </w:p>
    <w:p w14:paraId="0D99C083" w14:textId="52501B4B" w:rsidR="009D1C71" w:rsidRPr="009E1BE6" w:rsidRDefault="009D1C71" w:rsidP="009D1C71">
      <w:pPr>
        <w:pStyle w:val="Caption"/>
        <w:rPr>
          <w:rFonts w:eastAsia="Calibri"/>
          <w:lang w:val="en-GB"/>
        </w:rPr>
      </w:pPr>
      <w:bookmarkStart w:id="199" w:name="_Ref2107378"/>
      <w:bookmarkStart w:id="200" w:name="_Ref2107375"/>
      <w:r w:rsidRPr="00414077">
        <w:rPr>
          <w:rFonts w:eastAsia="Calibri"/>
          <w:lang w:val="en-GB"/>
        </w:rPr>
        <w:t>Figure</w:t>
      </w:r>
      <w:r w:rsidR="00983735">
        <w:rPr>
          <w:rFonts w:eastAsia="Calibri"/>
        </w:rPr>
        <w:t> </w:t>
      </w:r>
      <w:r w:rsidRPr="009D1C71">
        <w:fldChar w:fldCharType="begin"/>
      </w:r>
      <w:r w:rsidRPr="009E1BE6">
        <w:rPr>
          <w:lang w:val="en-GB"/>
        </w:rPr>
        <w:instrText xml:space="preserve"> SEQ Figure \* ARABIC </w:instrText>
      </w:r>
      <w:r w:rsidRPr="009D1C71">
        <w:fldChar w:fldCharType="separate"/>
      </w:r>
      <w:r w:rsidR="004F49F9">
        <w:rPr>
          <w:noProof/>
          <w:lang w:val="en-GB"/>
        </w:rPr>
        <w:t>28</w:t>
      </w:r>
      <w:r w:rsidRPr="009D1C71">
        <w:fldChar w:fldCharType="end"/>
      </w:r>
      <w:bookmarkEnd w:id="199"/>
      <w:r w:rsidRPr="009E1BE6">
        <w:rPr>
          <w:rFonts w:eastAsia="Calibri"/>
          <w:lang w:val="en-GB"/>
        </w:rPr>
        <w:t xml:space="preserve">: Representative Vertical Radiation </w:t>
      </w:r>
      <w:r w:rsidRPr="009E1BE6">
        <w:rPr>
          <w:lang w:val="en-GB"/>
        </w:rPr>
        <w:t>pattern</w:t>
      </w:r>
      <w:r w:rsidRPr="009E1BE6">
        <w:rPr>
          <w:rFonts w:eastAsia="Calibri"/>
          <w:lang w:val="en-GB"/>
        </w:rPr>
        <w:t xml:space="preserve"> of GBSAR</w:t>
      </w:r>
      <w:bookmarkEnd w:id="200"/>
      <w:r w:rsidRPr="009E1BE6">
        <w:rPr>
          <w:rFonts w:eastAsia="Calibri"/>
          <w:lang w:val="en-GB"/>
        </w:rPr>
        <w:t xml:space="preserve"> </w:t>
      </w:r>
    </w:p>
    <w:p w14:paraId="5E7B288C" w14:textId="77777777" w:rsidR="004C7709" w:rsidRDefault="009D1C71" w:rsidP="004E36C2">
      <w:pPr>
        <w:pStyle w:val="Heading4"/>
        <w:rPr>
          <w:rFonts w:eastAsia="Calibri"/>
        </w:rPr>
      </w:pPr>
      <w:bookmarkStart w:id="201" w:name="_Toc84325267"/>
      <w:r>
        <w:rPr>
          <w:rFonts w:eastAsia="Calibri"/>
        </w:rPr>
        <w:t>Market size</w:t>
      </w:r>
      <w:bookmarkEnd w:id="201"/>
    </w:p>
    <w:p w14:paraId="35CF5D39" w14:textId="06C6FDD8" w:rsidR="00B91440" w:rsidRDefault="00B91440" w:rsidP="00B91440">
      <w:pPr>
        <w:rPr>
          <w:rStyle w:val="ECCParagraph"/>
        </w:rPr>
      </w:pPr>
      <w:r w:rsidRPr="00653E73">
        <w:rPr>
          <w:rStyle w:val="ECCParagraph"/>
        </w:rPr>
        <w:t xml:space="preserve">ETSI TR 103 498 </w:t>
      </w:r>
      <w:r w:rsidRPr="00653E73">
        <w:rPr>
          <w:rStyle w:val="ECCParagraph"/>
        </w:rPr>
        <w:fldChar w:fldCharType="begin"/>
      </w:r>
      <w:r w:rsidRPr="00653E73">
        <w:rPr>
          <w:rStyle w:val="ECCParagraph"/>
        </w:rPr>
        <w:instrText xml:space="preserve"> REF  ETSITR103498 \h \w  \* MERGEFORMAT </w:instrText>
      </w:r>
      <w:r w:rsidRPr="00653E73">
        <w:rPr>
          <w:rStyle w:val="ECCParagraph"/>
        </w:rPr>
      </w:r>
      <w:r w:rsidRPr="00653E73">
        <w:rPr>
          <w:rStyle w:val="ECCParagraph"/>
        </w:rPr>
        <w:fldChar w:fldCharType="separate"/>
      </w:r>
      <w:r w:rsidR="004F49F9">
        <w:rPr>
          <w:rStyle w:val="ECCParagraph"/>
        </w:rPr>
        <w:t>[1]</w:t>
      </w:r>
      <w:r w:rsidRPr="00653E73">
        <w:rPr>
          <w:rStyle w:val="ECCParagraph"/>
        </w:rPr>
        <w:fldChar w:fldCharType="end"/>
      </w:r>
      <w:r w:rsidRPr="00653E73">
        <w:rPr>
          <w:rStyle w:val="ECCParagraph"/>
        </w:rPr>
        <w:t xml:space="preserve"> does not give any figures for the market size for </w:t>
      </w:r>
      <w:r w:rsidRPr="005358B6">
        <w:rPr>
          <w:rStyle w:val="ECCParagraph"/>
        </w:rPr>
        <w:t>GBSAR</w:t>
      </w:r>
      <w:r w:rsidRPr="00653E73">
        <w:rPr>
          <w:rStyle w:val="ECCParagraph"/>
        </w:rPr>
        <w:t xml:space="preserve">. </w:t>
      </w:r>
      <w:r>
        <w:rPr>
          <w:rStyle w:val="ECCParagraph"/>
        </w:rPr>
        <w:t xml:space="preserve">However, based on the market analysis performed in ECC Report 315 </w:t>
      </w:r>
      <w:r w:rsidR="00DD6DE8">
        <w:rPr>
          <w:rStyle w:val="ECCParagraph"/>
        </w:rPr>
        <w:fldChar w:fldCharType="begin"/>
      </w:r>
      <w:r w:rsidR="00DD6DE8">
        <w:rPr>
          <w:rStyle w:val="ECCParagraph"/>
        </w:rPr>
        <w:instrText xml:space="preserve"> REF  ECCRep315 \h \n </w:instrText>
      </w:r>
      <w:r w:rsidR="00DD6DE8">
        <w:rPr>
          <w:rStyle w:val="ECCParagraph"/>
        </w:rPr>
      </w:r>
      <w:r w:rsidR="00DD6DE8">
        <w:rPr>
          <w:rStyle w:val="ECCParagraph"/>
        </w:rPr>
        <w:fldChar w:fldCharType="separate"/>
      </w:r>
      <w:r w:rsidR="004F49F9">
        <w:rPr>
          <w:rStyle w:val="ECCParagraph"/>
        </w:rPr>
        <w:t>[61]</w:t>
      </w:r>
      <w:r w:rsidR="00DD6DE8">
        <w:rPr>
          <w:rStyle w:val="ECCParagraph"/>
        </w:rPr>
        <w:fldChar w:fldCharType="end"/>
      </w:r>
      <w:r>
        <w:rPr>
          <w:rStyle w:val="ECCParagraph"/>
        </w:rPr>
        <w:t xml:space="preserve"> for HD-GBSAR, it can be forecasted similar figures for the number of GBSAR deployed for Slope Monitoring and Tunnel Monitoring applications, and an order of magnitude higher number for GBSAR applied to Structural Health Monitoring (SHM). The higher number for SHM is justified by the increased compactness of the system allowed by the higher operating frequency, which fosters and makes more practical the deployment of the system for SHM applications. </w:t>
      </w:r>
      <w:r w:rsidR="00DD6DE8">
        <w:rPr>
          <w:rStyle w:val="ECCParagraph"/>
        </w:rPr>
        <w:fldChar w:fldCharType="begin"/>
      </w:r>
      <w:r w:rsidR="00DD6DE8">
        <w:rPr>
          <w:rStyle w:val="ECCParagraph"/>
        </w:rPr>
        <w:instrText xml:space="preserve"> REF _Ref51057289 \h </w:instrText>
      </w:r>
      <w:r w:rsidR="00DD6DE8">
        <w:rPr>
          <w:rStyle w:val="ECCParagraph"/>
        </w:rPr>
      </w:r>
      <w:r w:rsidR="00DD6DE8">
        <w:rPr>
          <w:rStyle w:val="ECCParagraph"/>
        </w:rPr>
        <w:fldChar w:fldCharType="separate"/>
      </w:r>
      <w:r w:rsidR="0041125F" w:rsidRPr="009E1BE6">
        <w:t>Table</w:t>
      </w:r>
      <w:r w:rsidR="0041125F">
        <w:t> </w:t>
      </w:r>
      <w:r w:rsidR="0041125F">
        <w:rPr>
          <w:noProof/>
        </w:rPr>
        <w:t>21</w:t>
      </w:r>
      <w:r w:rsidR="00DD6DE8">
        <w:rPr>
          <w:rStyle w:val="ECCParagraph"/>
        </w:rPr>
        <w:fldChar w:fldCharType="end"/>
      </w:r>
      <w:r w:rsidR="00DD6DE8">
        <w:rPr>
          <w:rStyle w:val="ECCParagraph"/>
        </w:rPr>
        <w:t xml:space="preserve"> </w:t>
      </w:r>
      <w:r>
        <w:rPr>
          <w:rStyle w:val="ECCParagraph"/>
        </w:rPr>
        <w:t>reports an estimation of the GBSAR deployed units in the first 5 years divided for the three identified market segments.</w:t>
      </w:r>
    </w:p>
    <w:p w14:paraId="6F382FCB" w14:textId="77777777" w:rsidR="00B91440" w:rsidRPr="005358B6" w:rsidRDefault="00B91440" w:rsidP="00B91440">
      <w:pPr>
        <w:rPr>
          <w:rStyle w:val="ECCParagraph"/>
        </w:rPr>
      </w:pPr>
      <w:r>
        <w:t>For</w:t>
      </w:r>
      <w:r w:rsidRPr="00E02EA6">
        <w:t xml:space="preserve"> shared spectrum use considerations, </w:t>
      </w:r>
      <w:r>
        <w:t xml:space="preserve">the tunnel monitoring application </w:t>
      </w:r>
      <w:r w:rsidRPr="00E02EA6">
        <w:t xml:space="preserve">can be </w:t>
      </w:r>
      <w:r>
        <w:t xml:space="preserve">excluded </w:t>
      </w:r>
      <w:r w:rsidRPr="00E02EA6">
        <w:t>from further analysis because the systems would be</w:t>
      </w:r>
      <w:r>
        <w:t xml:space="preserve"> </w:t>
      </w:r>
      <w:r w:rsidRPr="00E02EA6">
        <w:t xml:space="preserve">deployed </w:t>
      </w:r>
      <w:r>
        <w:t>in a</w:t>
      </w:r>
      <w:r w:rsidR="00ED0931">
        <w:t>n</w:t>
      </w:r>
      <w:r>
        <w:t xml:space="preserve"> indoor environment with </w:t>
      </w:r>
      <w:r w:rsidRPr="00E02EA6">
        <w:t xml:space="preserve">no risk of </w:t>
      </w:r>
      <w:r>
        <w:t>interference with services operating outdoor</w:t>
      </w:r>
      <w:r w:rsidRPr="00E02EA6">
        <w:t>.</w:t>
      </w:r>
    </w:p>
    <w:p w14:paraId="598E61A6" w14:textId="291EA0AB" w:rsidR="00B91440" w:rsidRPr="005358B6" w:rsidRDefault="00B91440" w:rsidP="00B91440">
      <w:pPr>
        <w:rPr>
          <w:rStyle w:val="ECCHLyellow"/>
        </w:rPr>
      </w:pPr>
      <w:r w:rsidRPr="005358B6">
        <w:t>Given the European land area of 10</w:t>
      </w:r>
      <w:r w:rsidR="00CF4994">
        <w:t>5</w:t>
      </w:r>
      <w:r w:rsidRPr="005358B6">
        <w:t>23</w:t>
      </w:r>
      <w:r w:rsidR="00CF4994">
        <w:t>000</w:t>
      </w:r>
      <w:r w:rsidRPr="005358B6">
        <w:t xml:space="preserve"> km², this translates to the average density of 0</w:t>
      </w:r>
      <w:r w:rsidR="00CF4994">
        <w:t>.0</w:t>
      </w:r>
      <w:r w:rsidRPr="005358B6">
        <w:t>00067 GBSAR devices/km² in the band 134-141 GHz</w:t>
      </w:r>
      <w:r>
        <w:t xml:space="preserve"> operating outdoor</w:t>
      </w:r>
      <w:r w:rsidR="005C4748">
        <w:t>s</w:t>
      </w:r>
      <w:r w:rsidRPr="005358B6">
        <w:t>.</w:t>
      </w:r>
    </w:p>
    <w:p w14:paraId="46451484" w14:textId="1E48AA1B" w:rsidR="009D1C71" w:rsidRPr="009D1C71" w:rsidRDefault="009D1C71" w:rsidP="009D1C71">
      <w:pPr>
        <w:pStyle w:val="Caption"/>
        <w:rPr>
          <w:rStyle w:val="ECCParagraph"/>
          <w:rFonts w:eastAsia="Calibri"/>
        </w:rPr>
      </w:pPr>
      <w:bookmarkStart w:id="202" w:name="_Ref51057289"/>
      <w:r w:rsidRPr="009E1BE6">
        <w:rPr>
          <w:lang w:val="en-GB"/>
        </w:rPr>
        <w:t>Table</w:t>
      </w:r>
      <w:r w:rsidR="00983735">
        <w:t> </w:t>
      </w:r>
      <w:r w:rsidRPr="009D1C71">
        <w:fldChar w:fldCharType="begin"/>
      </w:r>
      <w:r w:rsidRPr="009E1BE6">
        <w:rPr>
          <w:lang w:val="en-GB"/>
        </w:rPr>
        <w:instrText xml:space="preserve"> SEQ Table \* ARABIC </w:instrText>
      </w:r>
      <w:r w:rsidRPr="009D1C71">
        <w:fldChar w:fldCharType="separate"/>
      </w:r>
      <w:r w:rsidR="004F49F9">
        <w:rPr>
          <w:noProof/>
          <w:lang w:val="en-GB"/>
        </w:rPr>
        <w:t>21</w:t>
      </w:r>
      <w:r w:rsidRPr="009D1C71">
        <w:fldChar w:fldCharType="end"/>
      </w:r>
      <w:bookmarkEnd w:id="202"/>
      <w:r w:rsidRPr="009E1BE6">
        <w:rPr>
          <w:lang w:val="en-GB"/>
        </w:rPr>
        <w:t xml:space="preserve">: </w:t>
      </w:r>
      <w:r w:rsidRPr="009D1C71">
        <w:rPr>
          <w:rStyle w:val="ECCParagraph"/>
          <w:rFonts w:eastAsia="Calibri"/>
        </w:rPr>
        <w:t>Estimated market size of GBSAR devices</w:t>
      </w:r>
      <w:r w:rsidR="00B91440">
        <w:rPr>
          <w:rStyle w:val="ECCParagraph"/>
          <w:rFonts w:eastAsia="Calibri"/>
        </w:rPr>
        <w:t xml:space="preserve"> for the first five years after launch</w:t>
      </w:r>
    </w:p>
    <w:tbl>
      <w:tblPr>
        <w:tblStyle w:val="ECCTable-redheader"/>
        <w:tblW w:w="4414" w:type="pct"/>
        <w:tblInd w:w="0" w:type="dxa"/>
        <w:tblLook w:val="04A0" w:firstRow="1" w:lastRow="0" w:firstColumn="1" w:lastColumn="0" w:noHBand="0" w:noVBand="1"/>
      </w:tblPr>
      <w:tblGrid>
        <w:gridCol w:w="4957"/>
        <w:gridCol w:w="2057"/>
        <w:gridCol w:w="1486"/>
      </w:tblGrid>
      <w:tr w:rsidR="005C4748" w:rsidRPr="00C923F1" w14:paraId="537BBF8D" w14:textId="77777777" w:rsidTr="00BD6D95">
        <w:trPr>
          <w:cnfStyle w:val="100000000000" w:firstRow="1" w:lastRow="0" w:firstColumn="0" w:lastColumn="0" w:oddVBand="0" w:evenVBand="0" w:oddHBand="0" w:evenHBand="0" w:firstRowFirstColumn="0" w:firstRowLastColumn="0" w:lastRowFirstColumn="0" w:lastRowLastColumn="0"/>
        </w:trPr>
        <w:tc>
          <w:tcPr>
            <w:tcW w:w="2916" w:type="pct"/>
          </w:tcPr>
          <w:p w14:paraId="6330E56A" w14:textId="77777777" w:rsidR="005C4748" w:rsidRPr="009D1C71" w:rsidRDefault="005C4748" w:rsidP="00031A36">
            <w:pPr>
              <w:pStyle w:val="ECCTableHeaderwhitefont"/>
            </w:pPr>
            <w:r w:rsidRPr="009D1C71">
              <w:t>Market Segment</w:t>
            </w:r>
          </w:p>
        </w:tc>
        <w:tc>
          <w:tcPr>
            <w:tcW w:w="1210" w:type="pct"/>
          </w:tcPr>
          <w:p w14:paraId="65DE0F10" w14:textId="77777777" w:rsidR="005C4748" w:rsidRPr="009D1C71" w:rsidRDefault="005C4748" w:rsidP="00755979">
            <w:pPr>
              <w:pStyle w:val="ECCTableHeaderwhitefont"/>
            </w:pPr>
            <w:r w:rsidRPr="009D1C71">
              <w:t xml:space="preserve">Deployment Forecast (units) </w:t>
            </w:r>
          </w:p>
        </w:tc>
        <w:tc>
          <w:tcPr>
            <w:tcW w:w="874" w:type="pct"/>
          </w:tcPr>
          <w:p w14:paraId="12F4C6CF" w14:textId="77777777" w:rsidR="005C4748" w:rsidRPr="009D1C71" w:rsidRDefault="005C4748" w:rsidP="00755979">
            <w:pPr>
              <w:pStyle w:val="ECCTableHeaderwhitefont"/>
            </w:pPr>
            <w:r w:rsidRPr="009D1C71">
              <w:t>Units per km</w:t>
            </w:r>
            <w:r>
              <w:rPr>
                <w:rFonts w:cs="Arial"/>
              </w:rPr>
              <w:t>²</w:t>
            </w:r>
          </w:p>
        </w:tc>
      </w:tr>
      <w:tr w:rsidR="005C4748" w:rsidRPr="00C923F1" w14:paraId="050E4B72" w14:textId="77777777" w:rsidTr="00BD6D95">
        <w:trPr>
          <w:trHeight w:val="265"/>
        </w:trPr>
        <w:tc>
          <w:tcPr>
            <w:tcW w:w="2916" w:type="pct"/>
          </w:tcPr>
          <w:p w14:paraId="4D706195" w14:textId="77777777" w:rsidR="005C4748" w:rsidRPr="009D1C71" w:rsidRDefault="005C4748" w:rsidP="00031A36">
            <w:pPr>
              <w:pStyle w:val="ECCTabletext"/>
              <w:jc w:val="left"/>
            </w:pPr>
            <w:r w:rsidRPr="00795037">
              <w:t>Structural Health Monitoring</w:t>
            </w:r>
          </w:p>
        </w:tc>
        <w:tc>
          <w:tcPr>
            <w:tcW w:w="1210" w:type="pct"/>
          </w:tcPr>
          <w:p w14:paraId="6B5C7767" w14:textId="77777777" w:rsidR="005C4748" w:rsidRPr="00C923F1" w:rsidRDefault="005C4748" w:rsidP="00031A36">
            <w:pPr>
              <w:pStyle w:val="ECCTabletext"/>
              <w:jc w:val="left"/>
            </w:pPr>
            <w:r>
              <w:t>400</w:t>
            </w:r>
          </w:p>
        </w:tc>
        <w:tc>
          <w:tcPr>
            <w:tcW w:w="874" w:type="pct"/>
          </w:tcPr>
          <w:p w14:paraId="555DA84C" w14:textId="77777777" w:rsidR="005C4748" w:rsidRPr="00C923F1" w:rsidRDefault="005C4748" w:rsidP="00031A36">
            <w:pPr>
              <w:pStyle w:val="ECCTabletext"/>
              <w:jc w:val="left"/>
            </w:pPr>
            <w:r>
              <w:t>0</w:t>
            </w:r>
            <w:r w:rsidR="00CF4994">
              <w:t>.0</w:t>
            </w:r>
            <w:r>
              <w:t>00038</w:t>
            </w:r>
          </w:p>
        </w:tc>
      </w:tr>
      <w:tr w:rsidR="005C4748" w:rsidRPr="00C923F1" w14:paraId="410F941B" w14:textId="77777777" w:rsidTr="00BD6D95">
        <w:trPr>
          <w:trHeight w:val="265"/>
        </w:trPr>
        <w:tc>
          <w:tcPr>
            <w:tcW w:w="2916" w:type="pct"/>
          </w:tcPr>
          <w:p w14:paraId="1071141B" w14:textId="77777777" w:rsidR="005C4748" w:rsidRPr="009D1C71" w:rsidRDefault="005C4748" w:rsidP="00031A36">
            <w:pPr>
              <w:pStyle w:val="ECCTabletext"/>
              <w:jc w:val="left"/>
            </w:pPr>
            <w:r>
              <w:t>Slope Monitoring</w:t>
            </w:r>
          </w:p>
        </w:tc>
        <w:tc>
          <w:tcPr>
            <w:tcW w:w="1210" w:type="pct"/>
          </w:tcPr>
          <w:p w14:paraId="5D1D126B" w14:textId="77777777" w:rsidR="005C4748" w:rsidRPr="00C923F1" w:rsidRDefault="005C4748" w:rsidP="00031A36">
            <w:pPr>
              <w:pStyle w:val="ECCTabletext"/>
              <w:jc w:val="left"/>
            </w:pPr>
            <w:r>
              <w:t>300</w:t>
            </w:r>
          </w:p>
        </w:tc>
        <w:tc>
          <w:tcPr>
            <w:tcW w:w="874" w:type="pct"/>
          </w:tcPr>
          <w:p w14:paraId="3F587F11" w14:textId="77777777" w:rsidR="005C4748" w:rsidRPr="00C923F1" w:rsidRDefault="005C4748" w:rsidP="00031A36">
            <w:pPr>
              <w:pStyle w:val="ECCTabletext"/>
              <w:jc w:val="left"/>
            </w:pPr>
            <w:r>
              <w:t>0</w:t>
            </w:r>
            <w:r w:rsidR="00CF4994">
              <w:t>.0</w:t>
            </w:r>
            <w:r>
              <w:t>00029</w:t>
            </w:r>
          </w:p>
        </w:tc>
      </w:tr>
      <w:tr w:rsidR="005C4748" w:rsidRPr="001C7CAB" w14:paraId="55A04993" w14:textId="77777777" w:rsidTr="00BD6D95">
        <w:trPr>
          <w:trHeight w:val="265"/>
        </w:trPr>
        <w:tc>
          <w:tcPr>
            <w:tcW w:w="2916" w:type="pct"/>
          </w:tcPr>
          <w:p w14:paraId="0DB19CFD" w14:textId="77777777" w:rsidR="005C4748" w:rsidRPr="009D1C71" w:rsidRDefault="005C4748" w:rsidP="00031A36">
            <w:pPr>
              <w:pStyle w:val="ECCTabletext"/>
              <w:jc w:val="left"/>
            </w:pPr>
            <w:r>
              <w:t>Tunnel Monitoring</w:t>
            </w:r>
          </w:p>
        </w:tc>
        <w:tc>
          <w:tcPr>
            <w:tcW w:w="1210" w:type="pct"/>
          </w:tcPr>
          <w:p w14:paraId="71E04CD4" w14:textId="77777777" w:rsidR="005C4748" w:rsidRPr="00C923F1" w:rsidRDefault="005C4748" w:rsidP="00031A36">
            <w:pPr>
              <w:pStyle w:val="ECCTabletext"/>
              <w:jc w:val="left"/>
            </w:pPr>
            <w:r>
              <w:t>200</w:t>
            </w:r>
          </w:p>
        </w:tc>
        <w:tc>
          <w:tcPr>
            <w:tcW w:w="874" w:type="pct"/>
          </w:tcPr>
          <w:p w14:paraId="44F066B0" w14:textId="77777777" w:rsidR="005C4748" w:rsidRPr="00C923F1" w:rsidRDefault="005C4748" w:rsidP="00031A36">
            <w:pPr>
              <w:pStyle w:val="ECCTabletext"/>
              <w:jc w:val="left"/>
            </w:pPr>
            <w:r>
              <w:t>N.A.</w:t>
            </w:r>
          </w:p>
        </w:tc>
      </w:tr>
      <w:tr w:rsidR="005C4748" w:rsidRPr="001C7CAB" w14:paraId="28843586" w14:textId="77777777" w:rsidTr="00BD6D95">
        <w:trPr>
          <w:trHeight w:val="265"/>
        </w:trPr>
        <w:tc>
          <w:tcPr>
            <w:tcW w:w="2916" w:type="pct"/>
          </w:tcPr>
          <w:p w14:paraId="01336BDD" w14:textId="77777777" w:rsidR="005C4748" w:rsidRDefault="005C4748" w:rsidP="00031A36">
            <w:pPr>
              <w:pStyle w:val="ECCTabletext"/>
              <w:jc w:val="left"/>
            </w:pPr>
            <w:r>
              <w:t>Total operating outdoors (Structural Health + Slope)</w:t>
            </w:r>
          </w:p>
        </w:tc>
        <w:tc>
          <w:tcPr>
            <w:tcW w:w="1210" w:type="pct"/>
          </w:tcPr>
          <w:p w14:paraId="2CBDC07F" w14:textId="77777777" w:rsidR="005C4748" w:rsidRDefault="005C4748" w:rsidP="00031A36">
            <w:pPr>
              <w:pStyle w:val="ECCTabletext"/>
              <w:jc w:val="left"/>
            </w:pPr>
            <w:r>
              <w:t>700</w:t>
            </w:r>
          </w:p>
        </w:tc>
        <w:tc>
          <w:tcPr>
            <w:tcW w:w="874" w:type="pct"/>
          </w:tcPr>
          <w:p w14:paraId="068E9F5C" w14:textId="77777777" w:rsidR="005C4748" w:rsidRDefault="005C4748" w:rsidP="00031A36">
            <w:pPr>
              <w:pStyle w:val="ECCTabletext"/>
              <w:jc w:val="left"/>
            </w:pPr>
            <w:r>
              <w:t>0</w:t>
            </w:r>
            <w:r w:rsidR="00CF4994">
              <w:t>.0</w:t>
            </w:r>
            <w:r>
              <w:t>00067</w:t>
            </w:r>
          </w:p>
        </w:tc>
      </w:tr>
    </w:tbl>
    <w:p w14:paraId="73060E23" w14:textId="77777777" w:rsidR="009D1C71" w:rsidRPr="009D1C71" w:rsidRDefault="009D1C71" w:rsidP="004E36C2">
      <w:pPr>
        <w:pStyle w:val="Heading4"/>
      </w:pPr>
      <w:bookmarkStart w:id="203" w:name="_Ref66361808"/>
      <w:bookmarkStart w:id="204" w:name="_Toc84325268"/>
      <w:r>
        <w:t>Interference scenarios</w:t>
      </w:r>
      <w:bookmarkEnd w:id="203"/>
      <w:bookmarkEnd w:id="204"/>
    </w:p>
    <w:p w14:paraId="4A593C9A" w14:textId="7355BCF9" w:rsidR="00D07DA3" w:rsidRPr="009158BE" w:rsidRDefault="00D07DA3" w:rsidP="00D07DA3">
      <w:r w:rsidRPr="009158BE">
        <w:t xml:space="preserve">When considering the range of identified victim services (see </w:t>
      </w:r>
      <w:r w:rsidR="009D5FA2">
        <w:t>section</w:t>
      </w:r>
      <w:r w:rsidRPr="009158BE">
        <w:t xml:space="preserve"> </w:t>
      </w:r>
      <w:r w:rsidRPr="009158BE">
        <w:fldChar w:fldCharType="begin"/>
      </w:r>
      <w:r w:rsidRPr="009158BE">
        <w:instrText xml:space="preserve"> REF _Ref9857612 \r \h </w:instrText>
      </w:r>
      <w:r w:rsidRPr="009158BE">
        <w:fldChar w:fldCharType="separate"/>
      </w:r>
      <w:r w:rsidR="004F49F9">
        <w:t>3</w:t>
      </w:r>
      <w:r w:rsidRPr="009158BE">
        <w:fldChar w:fldCharType="end"/>
      </w:r>
      <w:r w:rsidRPr="009158BE">
        <w:t>)</w:t>
      </w:r>
      <w:r>
        <w:t xml:space="preserve"> and the GBSAR applications (see </w:t>
      </w:r>
      <w:r w:rsidR="009D5FA2">
        <w:t>section</w:t>
      </w:r>
      <w:r w:rsidR="00E80035">
        <w:t xml:space="preserve"> </w:t>
      </w:r>
      <w:r w:rsidR="00E80035">
        <w:fldChar w:fldCharType="begin"/>
      </w:r>
      <w:r w:rsidR="00E80035">
        <w:instrText xml:space="preserve"> REF _Ref51057430 \r \h </w:instrText>
      </w:r>
      <w:r w:rsidR="00E80035">
        <w:fldChar w:fldCharType="separate"/>
      </w:r>
      <w:r w:rsidR="004F49F9">
        <w:t>2.2.4.1</w:t>
      </w:r>
      <w:r w:rsidR="00E80035">
        <w:fldChar w:fldCharType="end"/>
      </w:r>
      <w:r>
        <w:t>)</w:t>
      </w:r>
      <w:r w:rsidRPr="009158BE">
        <w:t>, it may be suggested to divide the possible interference scenarios into two broad categories</w:t>
      </w:r>
      <w:r>
        <w:t xml:space="preserve"> as proposed in </w:t>
      </w:r>
      <w:r w:rsidR="009D5FA2">
        <w:rPr>
          <w:rStyle w:val="ECCParagraph"/>
        </w:rPr>
        <w:t>section</w:t>
      </w:r>
      <w:r w:rsidRPr="00101EBA">
        <w:rPr>
          <w:rStyle w:val="ECCParagraph"/>
        </w:rPr>
        <w:t xml:space="preserve"> </w:t>
      </w:r>
      <w:r w:rsidRPr="00101EBA">
        <w:rPr>
          <w:rStyle w:val="ECCParagraph"/>
        </w:rPr>
        <w:fldChar w:fldCharType="begin"/>
      </w:r>
      <w:r w:rsidRPr="00101EBA">
        <w:rPr>
          <w:rStyle w:val="ECCParagraph"/>
        </w:rPr>
        <w:instrText xml:space="preserve"> REF _Ref20310777 \r \h </w:instrText>
      </w:r>
      <w:r w:rsidRPr="00101EBA">
        <w:rPr>
          <w:rStyle w:val="ECCParagraph"/>
        </w:rPr>
      </w:r>
      <w:r w:rsidRPr="00101EBA">
        <w:rPr>
          <w:rStyle w:val="ECCParagraph"/>
        </w:rPr>
        <w:fldChar w:fldCharType="separate"/>
      </w:r>
      <w:r w:rsidR="004F49F9">
        <w:rPr>
          <w:rStyle w:val="ECCParagraph"/>
        </w:rPr>
        <w:t>3.4</w:t>
      </w:r>
      <w:r w:rsidRPr="00101EBA">
        <w:rPr>
          <w:rStyle w:val="ECCParagraph"/>
        </w:rPr>
        <w:fldChar w:fldCharType="end"/>
      </w:r>
      <w:r w:rsidRPr="009158BE">
        <w:t>:</w:t>
      </w:r>
    </w:p>
    <w:p w14:paraId="5C76C71F" w14:textId="1E6A2446" w:rsidR="00D07DA3" w:rsidRPr="009158BE" w:rsidRDefault="00D07DA3" w:rsidP="00D07DA3">
      <w:pPr>
        <w:pStyle w:val="ECCBulletsLv1"/>
        <w:rPr>
          <w:rStyle w:val="ECCParagraph"/>
        </w:rPr>
      </w:pPr>
      <w:r w:rsidRPr="009158BE">
        <w:rPr>
          <w:rStyle w:val="ECCParagraph"/>
        </w:rPr>
        <w:t>Interference over terrestrial paths</w:t>
      </w:r>
      <w:r w:rsidR="000926DB">
        <w:rPr>
          <w:rStyle w:val="ECCParagraph"/>
        </w:rPr>
        <w:t>;</w:t>
      </w:r>
    </w:p>
    <w:p w14:paraId="53C1CEAC" w14:textId="79BB673B" w:rsidR="00D07DA3" w:rsidRPr="009158BE" w:rsidRDefault="00D07DA3" w:rsidP="00D07DA3">
      <w:pPr>
        <w:pStyle w:val="ECCBulletsLv1"/>
        <w:rPr>
          <w:rStyle w:val="ECCParagraph"/>
        </w:rPr>
      </w:pPr>
      <w:r w:rsidRPr="009158BE">
        <w:rPr>
          <w:rStyle w:val="ECCParagraph"/>
        </w:rPr>
        <w:t>Interference to EESS (passive) satellite receivers</w:t>
      </w:r>
      <w:r w:rsidR="000926DB">
        <w:rPr>
          <w:rStyle w:val="ECCParagraph"/>
        </w:rPr>
        <w:t>.</w:t>
      </w:r>
    </w:p>
    <w:p w14:paraId="4D22713A" w14:textId="77777777" w:rsidR="00D07DA3" w:rsidRPr="009158BE" w:rsidRDefault="00D07DA3" w:rsidP="00D07DA3">
      <w:pPr>
        <w:rPr>
          <w:rStyle w:val="ECCHLbold"/>
        </w:rPr>
      </w:pPr>
      <w:r w:rsidRPr="009158BE">
        <w:rPr>
          <w:rStyle w:val="ECCHLbold"/>
        </w:rPr>
        <w:t>Interference over terrestrial paths</w:t>
      </w:r>
    </w:p>
    <w:p w14:paraId="3D5EA89E" w14:textId="5ED5AF8E" w:rsidR="00D07DA3" w:rsidRPr="009158BE" w:rsidRDefault="00D07DA3" w:rsidP="00D07DA3">
      <w:r w:rsidRPr="009158BE">
        <w:t xml:space="preserve">The scenario in which an interference signal, originating from </w:t>
      </w:r>
      <w:r>
        <w:t>GBSAR</w:t>
      </w:r>
      <w:r w:rsidRPr="009158BE">
        <w:t xml:space="preserve"> propagates along a terrestrial path is relevant when evaluating </w:t>
      </w:r>
      <w:r w:rsidR="009D5FA2">
        <w:t>coexistence</w:t>
      </w:r>
      <w:r w:rsidRPr="009158BE">
        <w:t xml:space="preserve"> of </w:t>
      </w:r>
      <w:r>
        <w:t>GBSAR</w:t>
      </w:r>
      <w:r w:rsidRPr="009158BE">
        <w:t xml:space="preserve"> devices with the following victim services:</w:t>
      </w:r>
    </w:p>
    <w:p w14:paraId="73779A79" w14:textId="3AE65858" w:rsidR="00D07DA3" w:rsidRPr="009158BE" w:rsidRDefault="00D07DA3" w:rsidP="00D07DA3">
      <w:pPr>
        <w:pStyle w:val="ECCBulletsLv1"/>
      </w:pPr>
      <w:r w:rsidRPr="009158BE">
        <w:t xml:space="preserve">Fixed Service (FS) </w:t>
      </w:r>
      <w:r>
        <w:t>operating in the adjacent band (130-134</w:t>
      </w:r>
      <w:r w:rsidR="00983735">
        <w:t> </w:t>
      </w:r>
      <w:r>
        <w:t>GHz and 141-148</w:t>
      </w:r>
      <w:r w:rsidR="00983735">
        <w:t> </w:t>
      </w:r>
      <w:r>
        <w:t>GHz)</w:t>
      </w:r>
      <w:r w:rsidR="000926DB">
        <w:t>;</w:t>
      </w:r>
    </w:p>
    <w:p w14:paraId="4E6E156F" w14:textId="2F19EA08" w:rsidR="00D07DA3" w:rsidRPr="009158BE" w:rsidRDefault="00D07DA3" w:rsidP="00D07DA3">
      <w:pPr>
        <w:pStyle w:val="ECCBulletsLv1"/>
      </w:pPr>
      <w:r w:rsidRPr="009158BE">
        <w:t>Terrestrial Radio Astronomy Service (RAS)</w:t>
      </w:r>
      <w:r>
        <w:t>, active both in</w:t>
      </w:r>
      <w:r w:rsidR="007D633A">
        <w:t>-</w:t>
      </w:r>
      <w:r>
        <w:t>band and in the adjacent band (123-158</w:t>
      </w:r>
      <w:r w:rsidR="00CF4994">
        <w:t>.5</w:t>
      </w:r>
      <w:r w:rsidR="00983735">
        <w:t> </w:t>
      </w:r>
      <w:r>
        <w:t>GHz)</w:t>
      </w:r>
      <w:r w:rsidR="000926DB">
        <w:t>;</w:t>
      </w:r>
    </w:p>
    <w:p w14:paraId="7039185D" w14:textId="77777777" w:rsidR="00D07DA3" w:rsidRPr="009D1C71" w:rsidRDefault="00D07DA3" w:rsidP="00D07DA3">
      <w:pPr>
        <w:pStyle w:val="ECCBulletsLv1"/>
      </w:pPr>
      <w:r w:rsidRPr="00B76403">
        <w:t>Amateur Service receivers</w:t>
      </w:r>
      <w:r>
        <w:t xml:space="preserve"> (in</w:t>
      </w:r>
      <w:r w:rsidR="007D633A">
        <w:t>-</w:t>
      </w:r>
      <w:r>
        <w:t>band and out</w:t>
      </w:r>
      <w:r w:rsidR="00D803AF">
        <w:t>-</w:t>
      </w:r>
      <w:r>
        <w:t>of</w:t>
      </w:r>
      <w:r w:rsidR="00D803AF">
        <w:t>-</w:t>
      </w:r>
      <w:r>
        <w:t>band interference)</w:t>
      </w:r>
      <w:r w:rsidRPr="00B76403">
        <w:t>.</w:t>
      </w:r>
    </w:p>
    <w:p w14:paraId="5968AE35" w14:textId="24165CB2" w:rsidR="00D25CA9" w:rsidRPr="00D25CA9" w:rsidRDefault="00D25CA9" w:rsidP="00D25CA9">
      <w:r w:rsidRPr="00D25CA9">
        <w:t>For Fixed Service links, the most likely worst</w:t>
      </w:r>
      <w:r w:rsidR="00F44788">
        <w:t>-</w:t>
      </w:r>
      <w:r w:rsidRPr="00D25CA9">
        <w:t xml:space="preserve">case interference scenarios are related to the urban environment, assuming the usage of GBSAR to monitor the stability of a building and the contemporary presence of FS point to point link, where a Fixed Service transmitter attached to a light pole is linked with a receiver located on top of a building and vice versa (see </w:t>
      </w:r>
      <w:r w:rsidRPr="00D25CA9">
        <w:fldChar w:fldCharType="begin"/>
      </w:r>
      <w:r w:rsidRPr="00D25CA9">
        <w:instrText xml:space="preserve"> REF _Ref48928165 \h </w:instrText>
      </w:r>
      <w:r>
        <w:instrText xml:space="preserve"> \* MERGEFORMAT </w:instrText>
      </w:r>
      <w:r w:rsidRPr="00D25CA9">
        <w:fldChar w:fldCharType="separate"/>
      </w:r>
      <w:r w:rsidR="0041125F" w:rsidRPr="002F0E78">
        <w:t>Figure</w:t>
      </w:r>
      <w:r w:rsidR="0041125F">
        <w:t> 29</w:t>
      </w:r>
      <w:r w:rsidRPr="00D25CA9">
        <w:fldChar w:fldCharType="end"/>
      </w:r>
      <w:r w:rsidRPr="00D25CA9">
        <w:t xml:space="preserve"> and </w:t>
      </w:r>
      <w:r w:rsidRPr="00D25CA9">
        <w:fldChar w:fldCharType="begin"/>
      </w:r>
      <w:r w:rsidRPr="00D25CA9">
        <w:instrText xml:space="preserve"> REF _Ref48928171 \h </w:instrText>
      </w:r>
      <w:r>
        <w:instrText xml:space="preserve"> \* MERGEFORMAT </w:instrText>
      </w:r>
      <w:r w:rsidRPr="00D25CA9">
        <w:fldChar w:fldCharType="separate"/>
      </w:r>
      <w:r w:rsidR="0041125F" w:rsidRPr="002F0E78">
        <w:t>Figure</w:t>
      </w:r>
      <w:r w:rsidR="0041125F">
        <w:t> 30</w:t>
      </w:r>
      <w:r w:rsidRPr="00D25CA9">
        <w:fldChar w:fldCharType="end"/>
      </w:r>
      <w:r w:rsidRPr="00D25CA9">
        <w:t>).</w:t>
      </w:r>
    </w:p>
    <w:p w14:paraId="1FEFFC00" w14:textId="2868F4B7" w:rsidR="00D25CA9" w:rsidRPr="00D25CA9" w:rsidRDefault="00D25CA9" w:rsidP="00D25CA9">
      <w:r w:rsidRPr="00D25CA9">
        <w:t xml:space="preserve">In the first scenario (see </w:t>
      </w:r>
      <w:r w:rsidRPr="00D25CA9">
        <w:fldChar w:fldCharType="begin"/>
      </w:r>
      <w:r w:rsidRPr="00D25CA9">
        <w:instrText xml:space="preserve"> REF _Ref48928165 \h </w:instrText>
      </w:r>
      <w:r>
        <w:instrText xml:space="preserve"> \* MERGEFORMAT </w:instrText>
      </w:r>
      <w:r w:rsidRPr="00D25CA9">
        <w:fldChar w:fldCharType="separate"/>
      </w:r>
      <w:r w:rsidR="0041125F" w:rsidRPr="002F0E78">
        <w:t>Figure</w:t>
      </w:r>
      <w:r w:rsidR="0041125F">
        <w:t> 29</w:t>
      </w:r>
      <w:r w:rsidRPr="00D25CA9">
        <w:fldChar w:fldCharType="end"/>
      </w:r>
      <w:r w:rsidRPr="00D25CA9">
        <w:t>)</w:t>
      </w:r>
      <w:r w:rsidR="000926DB">
        <w:t>,</w:t>
      </w:r>
      <w:r w:rsidRPr="00D25CA9">
        <w:t xml:space="preserve"> the GBSAR is monitoring the stability of a building located in close proximity of the FS Tx, thus in 300 m distance from the FS Rx. The worst-case condition is represented by the almost main beam to main beam interference between GBSAR and FS Rx.</w:t>
      </w:r>
    </w:p>
    <w:p w14:paraId="54A3502F" w14:textId="6CAD5601" w:rsidR="00D25CA9" w:rsidRDefault="00D25CA9" w:rsidP="00D25CA9">
      <w:r w:rsidRPr="00D25CA9">
        <w:t xml:space="preserve">In the second scenario </w:t>
      </w:r>
      <w:r w:rsidR="000926DB" w:rsidRPr="00D25CA9">
        <w:t xml:space="preserve">(see </w:t>
      </w:r>
      <w:r w:rsidR="000926DB" w:rsidRPr="00D25CA9">
        <w:fldChar w:fldCharType="begin"/>
      </w:r>
      <w:r w:rsidR="000926DB" w:rsidRPr="00D25CA9">
        <w:instrText xml:space="preserve"> REF _Ref48928171 \h </w:instrText>
      </w:r>
      <w:r w:rsidR="000926DB">
        <w:instrText xml:space="preserve"> \* MERGEFORMAT </w:instrText>
      </w:r>
      <w:r w:rsidR="000926DB" w:rsidRPr="00D25CA9">
        <w:fldChar w:fldCharType="separate"/>
      </w:r>
      <w:r w:rsidR="0041125F" w:rsidRPr="002F0E78">
        <w:t>Figure</w:t>
      </w:r>
      <w:r w:rsidR="0041125F">
        <w:t> 30</w:t>
      </w:r>
      <w:r w:rsidR="000926DB" w:rsidRPr="00D25CA9">
        <w:fldChar w:fldCharType="end"/>
      </w:r>
      <w:r w:rsidR="000926DB" w:rsidRPr="00D25CA9">
        <w:t>)</w:t>
      </w:r>
      <w:r w:rsidR="000926DB">
        <w:t xml:space="preserve">, </w:t>
      </w:r>
      <w:r w:rsidRPr="00D25CA9">
        <w:t>the locations of FS Rx and Tx are exchanged and the interfered FS Rx is assumed to be between GBSAR and the monitored building. Such condition mini</w:t>
      </w:r>
      <w:r w:rsidR="001D7996">
        <w:t>mise</w:t>
      </w:r>
      <w:r w:rsidRPr="00D25CA9">
        <w:t>s the distance between GBSAR and FS Rx.</w:t>
      </w:r>
    </w:p>
    <w:p w14:paraId="18480028" w14:textId="77777777" w:rsidR="002F0E78" w:rsidRPr="004D3CC6" w:rsidRDefault="002F0E78" w:rsidP="002F0E78">
      <w:pPr>
        <w:pStyle w:val="Caption"/>
      </w:pPr>
      <w:r w:rsidRPr="002F0E78">
        <w:rPr>
          <w:rFonts w:eastAsia="Calibri"/>
          <w:noProof/>
          <w:lang w:val="de-DE" w:eastAsia="de-DE"/>
        </w:rPr>
        <w:drawing>
          <wp:inline distT="0" distB="0" distL="0" distR="0" wp14:anchorId="5C1D1F40" wp14:editId="3920F0A1">
            <wp:extent cx="5420797" cy="3646583"/>
            <wp:effectExtent l="0" t="0" r="889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27203" cy="3650892"/>
                    </a:xfrm>
                    <a:prstGeom prst="rect">
                      <a:avLst/>
                    </a:prstGeom>
                    <a:noFill/>
                  </pic:spPr>
                </pic:pic>
              </a:graphicData>
            </a:graphic>
          </wp:inline>
        </w:drawing>
      </w:r>
    </w:p>
    <w:p w14:paraId="1D3AB349" w14:textId="31202B24" w:rsidR="002F0E78" w:rsidRDefault="002F0E78" w:rsidP="002F0E78">
      <w:pPr>
        <w:pStyle w:val="Caption"/>
        <w:rPr>
          <w:rFonts w:eastAsia="Calibri"/>
        </w:rPr>
      </w:pPr>
      <w:bookmarkStart w:id="205" w:name="_Ref48928165"/>
      <w:r w:rsidRPr="002F0E78">
        <w:rPr>
          <w:rFonts w:eastAsia="Calibri"/>
        </w:rPr>
        <w:t>Figure</w:t>
      </w:r>
      <w:r w:rsidR="00983735">
        <w:rPr>
          <w:rFonts w:eastAsia="Calibri"/>
        </w:rPr>
        <w:t> </w:t>
      </w:r>
      <w:r>
        <w:fldChar w:fldCharType="begin"/>
      </w:r>
      <w:r>
        <w:instrText>SEQ Figure \* ARABIC</w:instrText>
      </w:r>
      <w:r>
        <w:fldChar w:fldCharType="separate"/>
      </w:r>
      <w:r w:rsidR="004F49F9">
        <w:rPr>
          <w:noProof/>
        </w:rPr>
        <w:t>29</w:t>
      </w:r>
      <w:r>
        <w:fldChar w:fldCharType="end"/>
      </w:r>
      <w:bookmarkEnd w:id="205"/>
      <w:r w:rsidRPr="002F0E78">
        <w:rPr>
          <w:rFonts w:eastAsia="Calibri"/>
        </w:rPr>
        <w:t>: First GBSAR FS interference scenario (victim receiver on the building)</w:t>
      </w:r>
    </w:p>
    <w:p w14:paraId="2D946E03" w14:textId="77777777" w:rsidR="00034148" w:rsidRPr="00034148" w:rsidRDefault="00034148" w:rsidP="00034148"/>
    <w:p w14:paraId="4A80D296" w14:textId="77777777" w:rsidR="002F0E78" w:rsidRPr="002F0E78" w:rsidRDefault="002F0E78" w:rsidP="002F0E78">
      <w:pPr>
        <w:pStyle w:val="Caption"/>
        <w:rPr>
          <w:rStyle w:val="ECCHLyellow"/>
          <w:szCs w:val="20"/>
          <w:shd w:val="clear" w:color="auto" w:fill="auto"/>
          <w:lang w:val="da-DK"/>
        </w:rPr>
      </w:pPr>
      <w:r w:rsidRPr="002F0E78">
        <w:rPr>
          <w:rFonts w:eastAsia="Calibri"/>
          <w:noProof/>
          <w:lang w:val="de-DE" w:eastAsia="de-DE"/>
        </w:rPr>
        <w:drawing>
          <wp:inline distT="0" distB="0" distL="0" distR="0" wp14:anchorId="3A44ED76" wp14:editId="59D06D12">
            <wp:extent cx="5535484" cy="3734814"/>
            <wp:effectExtent l="0" t="0" r="825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9150" cy="3737287"/>
                    </a:xfrm>
                    <a:prstGeom prst="rect">
                      <a:avLst/>
                    </a:prstGeom>
                    <a:noFill/>
                  </pic:spPr>
                </pic:pic>
              </a:graphicData>
            </a:graphic>
          </wp:inline>
        </w:drawing>
      </w:r>
    </w:p>
    <w:p w14:paraId="4B1B993C" w14:textId="654EE752" w:rsidR="002F0E78" w:rsidRPr="002F0E78" w:rsidRDefault="002F0E78" w:rsidP="002F0E78">
      <w:pPr>
        <w:pStyle w:val="Caption"/>
        <w:rPr>
          <w:rFonts w:eastAsia="Calibri"/>
        </w:rPr>
      </w:pPr>
      <w:bookmarkStart w:id="206" w:name="_Ref48928171"/>
      <w:r w:rsidRPr="002F0E78">
        <w:rPr>
          <w:rFonts w:eastAsia="Calibri"/>
        </w:rPr>
        <w:t>Figure</w:t>
      </w:r>
      <w:r w:rsidR="00983735">
        <w:rPr>
          <w:rFonts w:eastAsia="Calibri"/>
        </w:rPr>
        <w:t> </w:t>
      </w:r>
      <w:r w:rsidRPr="002F0E78">
        <w:fldChar w:fldCharType="begin"/>
      </w:r>
      <w:r w:rsidRPr="00686C97">
        <w:instrText xml:space="preserve"> SEQ Figure \* ARABIC </w:instrText>
      </w:r>
      <w:r w:rsidRPr="002F0E78">
        <w:fldChar w:fldCharType="separate"/>
      </w:r>
      <w:r w:rsidR="004F49F9">
        <w:rPr>
          <w:noProof/>
        </w:rPr>
        <w:t>30</w:t>
      </w:r>
      <w:r w:rsidRPr="002F0E78">
        <w:fldChar w:fldCharType="end"/>
      </w:r>
      <w:bookmarkEnd w:id="206"/>
      <w:r w:rsidRPr="002F0E78">
        <w:rPr>
          <w:rFonts w:eastAsia="Calibri"/>
        </w:rPr>
        <w:t>: Second GBSAR FS interference scenario (victim receiver on the street lamp pole)</w:t>
      </w:r>
    </w:p>
    <w:p w14:paraId="7CD27D57" w14:textId="1D9C173C" w:rsidR="002F0E78" w:rsidRPr="005358B6" w:rsidRDefault="002F0E78" w:rsidP="002F0E78">
      <w:r w:rsidRPr="005358B6">
        <w:t xml:space="preserve">For both cases, the GBSAR is assumed the monitoring geometry of </w:t>
      </w:r>
      <w:r w:rsidR="00E80035">
        <w:fldChar w:fldCharType="begin"/>
      </w:r>
      <w:r w:rsidR="00E80035">
        <w:instrText xml:space="preserve"> REF _Ref51057653 \h </w:instrText>
      </w:r>
      <w:r w:rsidR="00E80035">
        <w:fldChar w:fldCharType="separate"/>
      </w:r>
      <w:r w:rsidR="0041125F" w:rsidRPr="002F0E78">
        <w:t>Figure</w:t>
      </w:r>
      <w:r w:rsidR="0041125F">
        <w:t> </w:t>
      </w:r>
      <w:r w:rsidR="0041125F">
        <w:rPr>
          <w:noProof/>
        </w:rPr>
        <w:t>31</w:t>
      </w:r>
      <w:r w:rsidR="00E80035">
        <w:fldChar w:fldCharType="end"/>
      </w:r>
      <w:r w:rsidRPr="005358B6">
        <w:t>, where GBSAR antenna is vertically pointed towards the geometric centre of the surveyed building to maxi</w:t>
      </w:r>
      <w:r w:rsidR="001D7996">
        <w:t>mise</w:t>
      </w:r>
      <w:r w:rsidRPr="005358B6">
        <w:t xml:space="preserve"> the coverage of the monitored </w:t>
      </w:r>
      <w:r>
        <w:t>facade</w:t>
      </w:r>
      <w:r w:rsidRPr="005358B6">
        <w:t>. For typical usage of GBSAR, it applies the same considerations reported in the ECC Report 315</w:t>
      </w:r>
      <w:r w:rsidR="006B7173">
        <w:t>, annex 5</w:t>
      </w:r>
      <w:r w:rsidRPr="005358B6">
        <w:t xml:space="preserve"> </w:t>
      </w:r>
      <w:r w:rsidR="00E80035">
        <w:fldChar w:fldCharType="begin"/>
      </w:r>
      <w:r w:rsidR="00E80035">
        <w:instrText xml:space="preserve"> REF  ECCRep315 \h \n </w:instrText>
      </w:r>
      <w:r w:rsidR="00E80035">
        <w:fldChar w:fldCharType="separate"/>
      </w:r>
      <w:r w:rsidR="004F49F9">
        <w:t>[61]</w:t>
      </w:r>
      <w:r w:rsidR="00E80035">
        <w:fldChar w:fldCharType="end"/>
      </w:r>
      <w:r w:rsidRPr="005358B6">
        <w:t xml:space="preserve"> ), therefore in the sharing analysis the ratio between D1 and H1 shall be considered between 1.0 and 1.5, corresponding to a value of </w:t>
      </w:r>
      <m:oMath>
        <m:r>
          <w:rPr>
            <w:rFonts w:ascii="Cambria Math" w:hAnsi="Cambria Math"/>
          </w:rPr>
          <m:t>β</m:t>
        </m:r>
      </m:oMath>
      <w:r w:rsidRPr="005358B6">
        <w:t xml:space="preserve"> ranging between 18</w:t>
      </w:r>
      <w:r w:rsidR="00CF4994">
        <w:t>.4</w:t>
      </w:r>
      <w:r w:rsidRPr="005358B6">
        <w:t>° and 26</w:t>
      </w:r>
      <w:r w:rsidR="00CF4994">
        <w:t>.6</w:t>
      </w:r>
      <w:r w:rsidRPr="005358B6">
        <w:t>°.</w:t>
      </w:r>
    </w:p>
    <w:p w14:paraId="321F7E0C" w14:textId="77777777" w:rsidR="002F0E78" w:rsidRPr="002F0E78" w:rsidRDefault="002F0E78" w:rsidP="002F0E78">
      <w:pPr>
        <w:pStyle w:val="ECCFiguregraphcentered"/>
        <w:rPr>
          <w:rFonts w:eastAsia="Calibri"/>
        </w:rPr>
      </w:pPr>
      <w:r w:rsidRPr="002F0E78">
        <w:rPr>
          <w:rFonts w:eastAsia="Calibri"/>
        </w:rPr>
        <w:drawing>
          <wp:inline distT="0" distB="0" distL="0" distR="0" wp14:anchorId="70A68F88" wp14:editId="40DD40FB">
            <wp:extent cx="4680000" cy="2441923"/>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0000" cy="2441923"/>
                    </a:xfrm>
                    <a:prstGeom prst="rect">
                      <a:avLst/>
                    </a:prstGeom>
                    <a:noFill/>
                  </pic:spPr>
                </pic:pic>
              </a:graphicData>
            </a:graphic>
          </wp:inline>
        </w:drawing>
      </w:r>
    </w:p>
    <w:p w14:paraId="7D336D8B" w14:textId="31677622" w:rsidR="002F0E78" w:rsidRPr="002F0E78" w:rsidRDefault="002F0E78" w:rsidP="002F0E78">
      <w:pPr>
        <w:pStyle w:val="Caption"/>
        <w:rPr>
          <w:rFonts w:eastAsia="Calibri"/>
        </w:rPr>
      </w:pPr>
      <w:bookmarkStart w:id="207" w:name="_Ref51057653"/>
      <w:r w:rsidRPr="002F0E78">
        <w:rPr>
          <w:rFonts w:eastAsia="Calibri"/>
        </w:rPr>
        <w:t>Figure</w:t>
      </w:r>
      <w:r w:rsidR="00983735">
        <w:rPr>
          <w:rFonts w:eastAsia="Calibri"/>
        </w:rPr>
        <w:t> </w:t>
      </w:r>
      <w:r>
        <w:fldChar w:fldCharType="begin"/>
      </w:r>
      <w:r>
        <w:instrText>SEQ Figure \* ARABIC</w:instrText>
      </w:r>
      <w:r>
        <w:fldChar w:fldCharType="separate"/>
      </w:r>
      <w:r w:rsidR="004F49F9">
        <w:rPr>
          <w:noProof/>
        </w:rPr>
        <w:t>31</w:t>
      </w:r>
      <w:r>
        <w:fldChar w:fldCharType="end"/>
      </w:r>
      <w:bookmarkEnd w:id="207"/>
      <w:r w:rsidRPr="002F0E78">
        <w:rPr>
          <w:rFonts w:eastAsia="Calibri"/>
        </w:rPr>
        <w:t>: GBSAR acquisition geometry for SHM</w:t>
      </w:r>
    </w:p>
    <w:p w14:paraId="38FE6FDF" w14:textId="58E018B7" w:rsidR="00DB63FF" w:rsidRPr="005358B6" w:rsidRDefault="00DB63FF" w:rsidP="00DB63FF">
      <w:pPr>
        <w:rPr>
          <w:rStyle w:val="ECCHLyellow"/>
        </w:rPr>
      </w:pPr>
      <w:r w:rsidRPr="005358B6">
        <w:rPr>
          <w:rStyle w:val="ECCParagraph"/>
        </w:rPr>
        <w:t>T</w:t>
      </w:r>
      <w:r w:rsidRPr="00EB0104">
        <w:rPr>
          <w:rStyle w:val="ECCParagraph"/>
        </w:rPr>
        <w:t xml:space="preserve">he worst-case interference scenario along terrestrial paths utilised for the compatibility study for RAS and </w:t>
      </w:r>
      <w:r w:rsidRPr="005358B6">
        <w:t>Amateur Service is illustrated in</w:t>
      </w:r>
      <w:r w:rsidR="00C2679A">
        <w:t xml:space="preserve"> </w:t>
      </w:r>
      <w:r w:rsidR="00C2679A">
        <w:fldChar w:fldCharType="begin"/>
      </w:r>
      <w:r w:rsidR="00C2679A">
        <w:instrText xml:space="preserve"> REF _Ref48928503 \h </w:instrText>
      </w:r>
      <w:r w:rsidR="00C2679A">
        <w:fldChar w:fldCharType="separate"/>
      </w:r>
      <w:r w:rsidR="0041125F" w:rsidRPr="00DB63FF">
        <w:t>Figure</w:t>
      </w:r>
      <w:r w:rsidR="0041125F">
        <w:t> </w:t>
      </w:r>
      <w:r w:rsidR="0041125F">
        <w:rPr>
          <w:noProof/>
        </w:rPr>
        <w:t>32</w:t>
      </w:r>
      <w:r w:rsidR="00C2679A">
        <w:fldChar w:fldCharType="end"/>
      </w:r>
      <w:r w:rsidRPr="005358B6">
        <w:t>.</w:t>
      </w:r>
      <w:r w:rsidR="006B7173">
        <w:t xml:space="preserve"> </w:t>
      </w:r>
      <w:r w:rsidRPr="005358B6">
        <w:t>In such scenario GBSAR is monitoring the stability of slope with free LOS visibility with the victim receiver.</w:t>
      </w:r>
      <w:r>
        <w:t xml:space="preserve"> For slope monitoring GBSAR antenna is assumed to be vertically pointed towards the centre of the monitored slope and the ratio between the height of the slope H and the distance of GBSAR and slope D shall range between 1 and 5 </w:t>
      </w:r>
      <w:r w:rsidRPr="003F6ACA">
        <w:t>(see</w:t>
      </w:r>
      <w:r w:rsidR="006B7173">
        <w:t xml:space="preserve"> </w:t>
      </w:r>
      <w:r w:rsidR="006B7173" w:rsidRPr="005358B6">
        <w:t>ECC Report 315</w:t>
      </w:r>
      <w:r w:rsidR="006B7173">
        <w:t>,</w:t>
      </w:r>
      <w:r w:rsidRPr="003F6ACA">
        <w:t xml:space="preserve"> annex 5</w:t>
      </w:r>
      <w:r w:rsidR="006B7173" w:rsidRPr="003F6ACA">
        <w:t xml:space="preserve"> </w:t>
      </w:r>
      <w:r w:rsidR="006B7173">
        <w:fldChar w:fldCharType="begin"/>
      </w:r>
      <w:r w:rsidR="006B7173">
        <w:instrText xml:space="preserve"> REF  ECCRep315 \h \n </w:instrText>
      </w:r>
      <w:r w:rsidR="006B7173">
        <w:fldChar w:fldCharType="separate"/>
      </w:r>
      <w:r w:rsidR="004F49F9">
        <w:t>[61]</w:t>
      </w:r>
      <w:r w:rsidR="006B7173">
        <w:fldChar w:fldCharType="end"/>
      </w:r>
      <w:r w:rsidRPr="003F6ACA">
        <w:t>)</w:t>
      </w:r>
      <w:r>
        <w:t xml:space="preserve">, consequently the GBSAR vertical main beam direction </w:t>
      </w:r>
      <m:oMath>
        <m:r>
          <w:rPr>
            <w:rFonts w:ascii="Cambria Math" w:hAnsi="Cambria Math"/>
          </w:rPr>
          <m:t>β</m:t>
        </m:r>
      </m:oMath>
      <w:r w:rsidRPr="003F6ACA">
        <w:t xml:space="preserve"> </w:t>
      </w:r>
      <w:r>
        <w:t>is comprised between 5.7° and 26.6°.</w:t>
      </w:r>
    </w:p>
    <w:p w14:paraId="141699F4" w14:textId="77777777" w:rsidR="00DB63FF" w:rsidRDefault="00DB63FF" w:rsidP="00DB63FF">
      <w:pPr>
        <w:pStyle w:val="ECCFiguregraphcentered"/>
        <w:rPr>
          <w:rStyle w:val="ECCHLbold"/>
        </w:rPr>
      </w:pPr>
      <w:r>
        <w:rPr>
          <w:rStyle w:val="ECCHLbold"/>
        </w:rPr>
        <w:drawing>
          <wp:inline distT="0" distB="0" distL="0" distR="0" wp14:anchorId="0312A3D8" wp14:editId="7D2453F5">
            <wp:extent cx="6012263" cy="2932176"/>
            <wp:effectExtent l="0" t="0" r="0" b="190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19555" cy="2935732"/>
                    </a:xfrm>
                    <a:prstGeom prst="rect">
                      <a:avLst/>
                    </a:prstGeom>
                    <a:noFill/>
                  </pic:spPr>
                </pic:pic>
              </a:graphicData>
            </a:graphic>
          </wp:inline>
        </w:drawing>
      </w:r>
    </w:p>
    <w:p w14:paraId="421CD43F" w14:textId="1150961D" w:rsidR="00DB63FF" w:rsidRPr="00DB63FF" w:rsidRDefault="00DB63FF" w:rsidP="00DB63FF">
      <w:pPr>
        <w:pStyle w:val="Caption"/>
        <w:rPr>
          <w:rFonts w:eastAsia="Calibri"/>
        </w:rPr>
      </w:pPr>
      <w:bookmarkStart w:id="208" w:name="_Ref48928503"/>
      <w:r w:rsidRPr="00DB63FF">
        <w:rPr>
          <w:rFonts w:eastAsia="Calibri"/>
        </w:rPr>
        <w:t>Figure</w:t>
      </w:r>
      <w:r w:rsidR="002C096F">
        <w:rPr>
          <w:rFonts w:eastAsia="Calibri"/>
        </w:rPr>
        <w:t> </w:t>
      </w:r>
      <w:r>
        <w:fldChar w:fldCharType="begin"/>
      </w:r>
      <w:r>
        <w:instrText>SEQ Figure \* ARABIC</w:instrText>
      </w:r>
      <w:r>
        <w:fldChar w:fldCharType="separate"/>
      </w:r>
      <w:r w:rsidR="004F49F9">
        <w:rPr>
          <w:noProof/>
        </w:rPr>
        <w:t>32</w:t>
      </w:r>
      <w:r>
        <w:fldChar w:fldCharType="end"/>
      </w:r>
      <w:bookmarkEnd w:id="208"/>
      <w:r w:rsidRPr="00DB63FF">
        <w:rPr>
          <w:rFonts w:eastAsia="Calibri"/>
        </w:rPr>
        <w:t>: GBSAR interference scenario along terrestrial paht for RAS and Amateur Service</w:t>
      </w:r>
    </w:p>
    <w:p w14:paraId="67074DF9" w14:textId="77777777" w:rsidR="00DB63FF" w:rsidRPr="00101EBA" w:rsidRDefault="00DB63FF" w:rsidP="00DB63FF">
      <w:pPr>
        <w:rPr>
          <w:rStyle w:val="ECCHLbold"/>
        </w:rPr>
      </w:pPr>
      <w:r w:rsidRPr="005B518B">
        <w:rPr>
          <w:rStyle w:val="ECCHLbold"/>
        </w:rPr>
        <w:t xml:space="preserve">Interference </w:t>
      </w:r>
      <w:r w:rsidRPr="005358B6">
        <w:rPr>
          <w:rStyle w:val="ECCHLbold"/>
        </w:rPr>
        <w:t>to EESS (passive) satellite receivers</w:t>
      </w:r>
    </w:p>
    <w:p w14:paraId="1E47488A" w14:textId="77FAD32A" w:rsidR="00DB63FF" w:rsidRPr="005358B6" w:rsidRDefault="00DB63FF" w:rsidP="00DB63FF">
      <w:r w:rsidRPr="005358B6">
        <w:t>In case of interference to satellite receivers, the relevant radiation direction would be in vertical plane while GBSAR is either monitoring a building or a slope (</w:t>
      </w:r>
      <w:r w:rsidR="006B7173">
        <w:t xml:space="preserve">see </w:t>
      </w:r>
      <w:r w:rsidR="002C096F">
        <w:fldChar w:fldCharType="begin"/>
      </w:r>
      <w:r w:rsidR="002C096F">
        <w:instrText xml:space="preserve"> REF _Ref49159225 \h </w:instrText>
      </w:r>
      <w:r w:rsidR="002C096F">
        <w:fldChar w:fldCharType="separate"/>
      </w:r>
      <w:r w:rsidR="0041125F" w:rsidRPr="00DB63FF">
        <w:t>Figure</w:t>
      </w:r>
      <w:r w:rsidR="0041125F">
        <w:t> </w:t>
      </w:r>
      <w:r w:rsidR="0041125F">
        <w:rPr>
          <w:noProof/>
        </w:rPr>
        <w:t>33</w:t>
      </w:r>
      <w:r w:rsidR="002C096F">
        <w:fldChar w:fldCharType="end"/>
      </w:r>
      <w:r w:rsidRPr="005358B6">
        <w:t>).</w:t>
      </w:r>
    </w:p>
    <w:p w14:paraId="2FB68C02" w14:textId="77777777" w:rsidR="00DB63FF" w:rsidRDefault="00DB63FF" w:rsidP="00DB63FF">
      <w:pPr>
        <w:pStyle w:val="ECCFiguregraphcentered"/>
      </w:pPr>
      <w:r w:rsidRPr="005358B6">
        <w:drawing>
          <wp:inline distT="0" distB="0" distL="0" distR="0" wp14:anchorId="75B5CA93" wp14:editId="70AAD61E">
            <wp:extent cx="5764193" cy="2110882"/>
            <wp:effectExtent l="0" t="0" r="8255"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8696" cy="2112531"/>
                    </a:xfrm>
                    <a:prstGeom prst="rect">
                      <a:avLst/>
                    </a:prstGeom>
                    <a:noFill/>
                  </pic:spPr>
                </pic:pic>
              </a:graphicData>
            </a:graphic>
          </wp:inline>
        </w:drawing>
      </w:r>
    </w:p>
    <w:p w14:paraId="0925F335" w14:textId="4133B0BB" w:rsidR="00DB63FF" w:rsidRPr="00DB63FF" w:rsidRDefault="00DB63FF" w:rsidP="00DB63FF">
      <w:pPr>
        <w:pStyle w:val="Caption"/>
        <w:rPr>
          <w:rFonts w:eastAsia="Calibri"/>
        </w:rPr>
      </w:pPr>
      <w:bookmarkStart w:id="209" w:name="_Ref49159225"/>
      <w:r w:rsidRPr="00DB63FF">
        <w:rPr>
          <w:rFonts w:eastAsia="Calibri"/>
        </w:rPr>
        <w:t>Figure</w:t>
      </w:r>
      <w:r w:rsidR="002C096F">
        <w:rPr>
          <w:rFonts w:eastAsia="Calibri"/>
        </w:rPr>
        <w:t> </w:t>
      </w:r>
      <w:r>
        <w:fldChar w:fldCharType="begin"/>
      </w:r>
      <w:r>
        <w:instrText>SEQ Figure \* ARABIC</w:instrText>
      </w:r>
      <w:r>
        <w:fldChar w:fldCharType="separate"/>
      </w:r>
      <w:r w:rsidR="004F49F9">
        <w:rPr>
          <w:noProof/>
        </w:rPr>
        <w:t>33</w:t>
      </w:r>
      <w:r>
        <w:fldChar w:fldCharType="end"/>
      </w:r>
      <w:bookmarkEnd w:id="209"/>
      <w:r w:rsidRPr="00DB63FF">
        <w:rPr>
          <w:rFonts w:eastAsia="Calibri"/>
        </w:rPr>
        <w:t>: GBSAR interference scenario to EESS satellite receiver</w:t>
      </w:r>
    </w:p>
    <w:p w14:paraId="0FF000DD" w14:textId="77777777" w:rsidR="00383820" w:rsidRPr="006D6727" w:rsidRDefault="00383820" w:rsidP="00160CD4">
      <w:pPr>
        <w:pStyle w:val="Heading3"/>
        <w:rPr>
          <w:rStyle w:val="ECCParagraph"/>
          <w:noProof/>
        </w:rPr>
      </w:pPr>
      <w:bookmarkStart w:id="210" w:name="_Ref15643917"/>
      <w:bookmarkStart w:id="211" w:name="_Ref15643948"/>
      <w:bookmarkStart w:id="212" w:name="_Ref9430137"/>
      <w:bookmarkStart w:id="213" w:name="_Ref9500724"/>
      <w:bookmarkStart w:id="214" w:name="_Ref9517530"/>
      <w:bookmarkStart w:id="215" w:name="_Toc84325269"/>
      <w:bookmarkStart w:id="216" w:name="_Toc127346230"/>
      <w:r w:rsidRPr="006D6727">
        <w:rPr>
          <w:rStyle w:val="ECCParagraph"/>
          <w:noProof/>
        </w:rPr>
        <w:t xml:space="preserve">Level </w:t>
      </w:r>
      <w:r w:rsidR="00C46DF9" w:rsidRPr="006D6727">
        <w:rPr>
          <w:rStyle w:val="ECCParagraph"/>
          <w:noProof/>
        </w:rPr>
        <w:t>P</w:t>
      </w:r>
      <w:r w:rsidRPr="006D6727">
        <w:rPr>
          <w:rStyle w:val="ECCParagraph"/>
          <w:noProof/>
        </w:rPr>
        <w:t xml:space="preserve">robing </w:t>
      </w:r>
      <w:r w:rsidR="00C46DF9" w:rsidRPr="006D6727">
        <w:rPr>
          <w:rStyle w:val="ECCParagraph"/>
          <w:noProof/>
        </w:rPr>
        <w:t>R</w:t>
      </w:r>
      <w:r w:rsidRPr="006D6727">
        <w:rPr>
          <w:rStyle w:val="ECCParagraph"/>
          <w:noProof/>
        </w:rPr>
        <w:t xml:space="preserve">adar </w:t>
      </w:r>
      <w:r w:rsidR="00475E54" w:rsidRPr="006D6727">
        <w:rPr>
          <w:rStyle w:val="ECCParagraph"/>
          <w:noProof/>
        </w:rPr>
        <w:t>(LPR)</w:t>
      </w:r>
      <w:bookmarkEnd w:id="210"/>
      <w:bookmarkEnd w:id="211"/>
      <w:bookmarkEnd w:id="212"/>
      <w:bookmarkEnd w:id="213"/>
      <w:bookmarkEnd w:id="214"/>
      <w:bookmarkEnd w:id="215"/>
      <w:bookmarkEnd w:id="216"/>
    </w:p>
    <w:p w14:paraId="055DD224" w14:textId="77777777" w:rsidR="004D00D6" w:rsidRPr="006D6727" w:rsidRDefault="006E7277" w:rsidP="004E36C2">
      <w:pPr>
        <w:pStyle w:val="Heading4"/>
        <w:rPr>
          <w:noProof/>
        </w:rPr>
      </w:pPr>
      <w:bookmarkStart w:id="217" w:name="_Ref45619348"/>
      <w:bookmarkStart w:id="218" w:name="_Toc84325270"/>
      <w:r w:rsidRPr="006D6727">
        <w:rPr>
          <w:noProof/>
        </w:rPr>
        <w:t>Application s</w:t>
      </w:r>
      <w:r w:rsidR="004D00D6" w:rsidRPr="006D6727">
        <w:rPr>
          <w:noProof/>
        </w:rPr>
        <w:t>cenario</w:t>
      </w:r>
      <w:bookmarkEnd w:id="217"/>
      <w:bookmarkEnd w:id="218"/>
    </w:p>
    <w:p w14:paraId="7B5356DD" w14:textId="0ECF04B1" w:rsidR="00BD0B4B" w:rsidRPr="006D6727" w:rsidRDefault="0012447A" w:rsidP="0012447A">
      <w:pPr>
        <w:rPr>
          <w:rStyle w:val="ECCParagraph"/>
          <w:noProof/>
        </w:rPr>
      </w:pPr>
      <w:r w:rsidRPr="006D6727">
        <w:rPr>
          <w:rStyle w:val="ECCParagraph"/>
          <w:noProof/>
        </w:rPr>
        <w:t xml:space="preserve">Level Probing Radar (LPR) sensors are used in many industries to measure the </w:t>
      </w:r>
      <w:r w:rsidR="00BE5C97" w:rsidRPr="006D6727">
        <w:rPr>
          <w:rStyle w:val="ECCParagraph"/>
          <w:noProof/>
        </w:rPr>
        <w:t xml:space="preserve">distance to the surface </w:t>
      </w:r>
      <w:r w:rsidRPr="006D6727">
        <w:rPr>
          <w:rStyle w:val="ECCParagraph"/>
          <w:noProof/>
        </w:rPr>
        <w:t>of various materials and substances (mostly liquids and solids)</w:t>
      </w:r>
      <w:r w:rsidR="00BE5C97" w:rsidRPr="006D6727">
        <w:rPr>
          <w:rStyle w:val="ECCParagraph"/>
          <w:noProof/>
        </w:rPr>
        <w:t xml:space="preserve"> and thus </w:t>
      </w:r>
      <w:r w:rsidR="001E4680" w:rsidRPr="006D6727">
        <w:rPr>
          <w:rStyle w:val="ECCParagraph"/>
          <w:noProof/>
        </w:rPr>
        <w:t xml:space="preserve">indirectly </w:t>
      </w:r>
      <w:r w:rsidR="00BE5C97" w:rsidRPr="006D6727">
        <w:rPr>
          <w:rStyle w:val="ECCParagraph"/>
          <w:noProof/>
        </w:rPr>
        <w:t>the amount of these goods</w:t>
      </w:r>
      <w:r w:rsidR="0076693F" w:rsidRPr="006D6727">
        <w:rPr>
          <w:rStyle w:val="ECCParagraph"/>
          <w:noProof/>
        </w:rPr>
        <w:t xml:space="preserve"> in open-air areas or </w:t>
      </w:r>
      <w:r w:rsidR="002849D2" w:rsidRPr="006D6727">
        <w:rPr>
          <w:rStyle w:val="ECCParagraph"/>
          <w:noProof/>
        </w:rPr>
        <w:t xml:space="preserve">in </w:t>
      </w:r>
      <w:r w:rsidR="0076693F" w:rsidRPr="006D6727">
        <w:rPr>
          <w:rStyle w:val="ECCParagraph"/>
          <w:noProof/>
        </w:rPr>
        <w:t>tanks</w:t>
      </w:r>
      <w:r w:rsidR="002849D2" w:rsidRPr="006D6727">
        <w:rPr>
          <w:rStyle w:val="ECCParagraph"/>
          <w:noProof/>
        </w:rPr>
        <w:t xml:space="preserve"> with non-attenuating shells</w:t>
      </w:r>
      <w:r w:rsidR="004F2896" w:rsidRPr="006D6727">
        <w:rPr>
          <w:rStyle w:val="ECCParagraph"/>
          <w:noProof/>
        </w:rPr>
        <w:t xml:space="preserve"> (e.g. plastic tanks)</w:t>
      </w:r>
      <w:r w:rsidRPr="006D6727">
        <w:rPr>
          <w:rStyle w:val="ECCParagraph"/>
          <w:noProof/>
        </w:rPr>
        <w:t xml:space="preserve">. </w:t>
      </w:r>
      <w:r w:rsidR="00392B6B" w:rsidRPr="006D6727">
        <w:rPr>
          <w:rStyle w:val="ECCParagraph"/>
          <w:noProof/>
        </w:rPr>
        <w:t xml:space="preserve">A </w:t>
      </w:r>
      <w:r w:rsidR="00C91E6F" w:rsidRPr="006D6727">
        <w:rPr>
          <w:rStyle w:val="ECCParagraph"/>
          <w:noProof/>
        </w:rPr>
        <w:t xml:space="preserve">typical </w:t>
      </w:r>
      <w:r w:rsidR="00392B6B" w:rsidRPr="006D6727">
        <w:rPr>
          <w:rStyle w:val="ECCParagraph"/>
          <w:noProof/>
        </w:rPr>
        <w:t>co</w:t>
      </w:r>
      <w:r w:rsidR="003A6650" w:rsidRPr="006D6727">
        <w:rPr>
          <w:rStyle w:val="ECCParagraph"/>
          <w:noProof/>
        </w:rPr>
        <w:t xml:space="preserve">nceptional measurement scenario for LPR devices is illustrated in </w:t>
      </w:r>
      <w:r w:rsidR="003A6650" w:rsidRPr="006D6727">
        <w:rPr>
          <w:rStyle w:val="ECCParagraph"/>
          <w:noProof/>
        </w:rPr>
        <w:fldChar w:fldCharType="begin"/>
      </w:r>
      <w:r w:rsidR="003A6650" w:rsidRPr="006D6727">
        <w:rPr>
          <w:rStyle w:val="ECCParagraph"/>
          <w:noProof/>
        </w:rPr>
        <w:instrText xml:space="preserve"> REF _Ref2010926 \h  \* MERGEFORMAT </w:instrText>
      </w:r>
      <w:r w:rsidR="003A6650" w:rsidRPr="006D6727">
        <w:rPr>
          <w:rStyle w:val="ECCParagraph"/>
          <w:noProof/>
        </w:rPr>
      </w:r>
      <w:r w:rsidR="003A6650" w:rsidRPr="006D6727">
        <w:rPr>
          <w:rStyle w:val="ECCParagraph"/>
          <w:noProof/>
        </w:rPr>
        <w:fldChar w:fldCharType="separate"/>
      </w:r>
      <w:r w:rsidR="0041125F" w:rsidRPr="0041125F">
        <w:rPr>
          <w:rStyle w:val="ECCParagraph"/>
          <w:noProof/>
        </w:rPr>
        <w:t>Figure 34</w:t>
      </w:r>
      <w:r w:rsidR="003A6650" w:rsidRPr="006D6727">
        <w:rPr>
          <w:rStyle w:val="ECCParagraph"/>
          <w:noProof/>
        </w:rPr>
        <w:fldChar w:fldCharType="end"/>
      </w:r>
      <w:r w:rsidR="003A6650" w:rsidRPr="006D6727">
        <w:rPr>
          <w:rStyle w:val="ECCParagraph"/>
          <w:noProof/>
        </w:rPr>
        <w:t>.</w:t>
      </w:r>
    </w:p>
    <w:p w14:paraId="4738476F" w14:textId="77777777" w:rsidR="008516A9" w:rsidRPr="006D6727" w:rsidRDefault="00491490" w:rsidP="00863A3B">
      <w:pPr>
        <w:pStyle w:val="ECCFiguregraphcentered"/>
        <w:rPr>
          <w:lang w:val="en-GB"/>
        </w:rPr>
      </w:pPr>
      <w:r w:rsidRPr="006D6727">
        <w:drawing>
          <wp:inline distT="0" distB="0" distL="0" distR="0" wp14:anchorId="009A3E82" wp14:editId="091F3C9F">
            <wp:extent cx="5093043" cy="344925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5117409" cy="3465758"/>
                    </a:xfrm>
                    <a:prstGeom prst="rect">
                      <a:avLst/>
                    </a:prstGeom>
                  </pic:spPr>
                </pic:pic>
              </a:graphicData>
            </a:graphic>
          </wp:inline>
        </w:drawing>
      </w:r>
    </w:p>
    <w:p w14:paraId="55193D92" w14:textId="03C71859" w:rsidR="008516A9" w:rsidRPr="006D6727" w:rsidRDefault="008516A9" w:rsidP="008516A9">
      <w:pPr>
        <w:pStyle w:val="Caption"/>
        <w:rPr>
          <w:noProof/>
          <w:lang w:val="en-GB"/>
        </w:rPr>
      </w:pPr>
      <w:bookmarkStart w:id="219" w:name="_Ref2010926"/>
      <w:r w:rsidRPr="006D6727">
        <w:rPr>
          <w:noProof/>
          <w:lang w:val="en-GB"/>
        </w:rPr>
        <w:t>Figure</w:t>
      </w:r>
      <w:r w:rsidR="00C2679A">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34</w:t>
      </w:r>
      <w:r w:rsidR="00616942" w:rsidRPr="006D6727">
        <w:rPr>
          <w:noProof/>
          <w:lang w:val="en-GB"/>
        </w:rPr>
        <w:fldChar w:fldCharType="end"/>
      </w:r>
      <w:bookmarkEnd w:id="219"/>
      <w:r w:rsidRPr="006D6727">
        <w:rPr>
          <w:noProof/>
          <w:lang w:val="en-GB"/>
        </w:rPr>
        <w:t xml:space="preserve">: </w:t>
      </w:r>
      <w:r w:rsidR="003A6650" w:rsidRPr="006D6727">
        <w:rPr>
          <w:noProof/>
          <w:lang w:val="en-GB"/>
        </w:rPr>
        <w:t xml:space="preserve">Conceptional </w:t>
      </w:r>
      <w:r w:rsidRPr="006D6727">
        <w:rPr>
          <w:noProof/>
          <w:lang w:val="en-GB"/>
        </w:rPr>
        <w:t xml:space="preserve">LPR measurement </w:t>
      </w:r>
      <w:r w:rsidR="00392B6B" w:rsidRPr="006D6727">
        <w:rPr>
          <w:noProof/>
          <w:lang w:val="en-GB"/>
        </w:rPr>
        <w:t>scenario</w:t>
      </w:r>
    </w:p>
    <w:p w14:paraId="445BF87C" w14:textId="6F933A10" w:rsidR="00390F05" w:rsidRPr="006D6727" w:rsidRDefault="002E1B15" w:rsidP="00390F05">
      <w:pPr>
        <w:rPr>
          <w:rStyle w:val="ECCParagraph"/>
          <w:noProof/>
        </w:rPr>
      </w:pPr>
      <w:r w:rsidRPr="006D6727">
        <w:rPr>
          <w:rStyle w:val="ECCParagraph"/>
          <w:noProof/>
        </w:rPr>
        <w:t>The measurement principle of LPR devices is a time-of-flight method usually using an FMCW modulated Radar signal. Here, a</w:t>
      </w:r>
      <w:r w:rsidR="00390F05" w:rsidRPr="006D6727">
        <w:rPr>
          <w:rStyle w:val="ECCParagraph"/>
          <w:noProof/>
        </w:rPr>
        <w:t xml:space="preserve"> frequency sweep over a defined bandwidth in a certain time is sent from the LPR</w:t>
      </w:r>
      <w:r w:rsidR="00345B3A">
        <w:rPr>
          <w:rStyle w:val="ECCParagraph"/>
          <w:noProof/>
        </w:rPr>
        <w:t xml:space="preserve"> </w:t>
      </w:r>
      <w:r w:rsidR="00390F05" w:rsidRPr="006D6727">
        <w:rPr>
          <w:rStyle w:val="ECCParagraph"/>
          <w:noProof/>
        </w:rPr>
        <w:t xml:space="preserve">antenna towards the material whose filling level has to be measured. The transmit signal is reflected at the surface of the respective material and received from the antenna again. The instantaneous frequency shift between the transmit signal and the received signal is proportional to the distance between the sensor and the surface and is evaluated for </w:t>
      </w:r>
      <w:r w:rsidR="00BC0DA6" w:rsidRPr="006D6727">
        <w:rPr>
          <w:rStyle w:val="ECCParagraph"/>
          <w:noProof/>
        </w:rPr>
        <w:t>multiple reflections</w:t>
      </w:r>
      <w:r w:rsidR="00390F05" w:rsidRPr="006D6727">
        <w:rPr>
          <w:rStyle w:val="ECCParagraph"/>
          <w:noProof/>
        </w:rPr>
        <w:t xml:space="preserve">. A corresponding level signal can </w:t>
      </w:r>
      <w:r w:rsidR="00BC0DA6" w:rsidRPr="006D6727">
        <w:rPr>
          <w:rStyle w:val="ECCParagraph"/>
          <w:noProof/>
        </w:rPr>
        <w:t xml:space="preserve">hence </w:t>
      </w:r>
      <w:r w:rsidR="00390F05" w:rsidRPr="006D6727">
        <w:rPr>
          <w:rStyle w:val="ECCParagraph"/>
          <w:noProof/>
        </w:rPr>
        <w:t xml:space="preserve">be calculated. The RF signal travels at the speed of light and is nearly independent of </w:t>
      </w:r>
      <w:r w:rsidR="00BC0DA6" w:rsidRPr="006D6727">
        <w:rPr>
          <w:rStyle w:val="ECCParagraph"/>
          <w:noProof/>
        </w:rPr>
        <w:t xml:space="preserve">ambient </w:t>
      </w:r>
      <w:r w:rsidR="00390F05" w:rsidRPr="006D6727">
        <w:rPr>
          <w:rStyle w:val="ECCParagraph"/>
          <w:noProof/>
        </w:rPr>
        <w:t>temperature, pressure and humidity</w:t>
      </w:r>
      <w:r w:rsidR="00BC0DA6" w:rsidRPr="006D6727">
        <w:rPr>
          <w:rStyle w:val="ECCParagraph"/>
          <w:noProof/>
        </w:rPr>
        <w:t xml:space="preserve"> and other adverse environmental conditions.</w:t>
      </w:r>
    </w:p>
    <w:p w14:paraId="17587CD9" w14:textId="77777777" w:rsidR="0012447A" w:rsidRPr="006D6727" w:rsidRDefault="0012447A" w:rsidP="0012447A">
      <w:pPr>
        <w:rPr>
          <w:noProof/>
        </w:rPr>
      </w:pPr>
      <w:r w:rsidRPr="006D6727">
        <w:rPr>
          <w:noProof/>
        </w:rPr>
        <w:t xml:space="preserve">Due to different physical </w:t>
      </w:r>
      <w:r w:rsidR="00053323" w:rsidRPr="006D6727">
        <w:rPr>
          <w:noProof/>
        </w:rPr>
        <w:t xml:space="preserve">or chemical </w:t>
      </w:r>
      <w:r w:rsidRPr="006D6727">
        <w:rPr>
          <w:noProof/>
        </w:rPr>
        <w:t xml:space="preserve">properties of different liquids or solids, LPR sensors are installed in a large variety of different storage, processing or transportation </w:t>
      </w:r>
      <w:r w:rsidR="00CB7D71" w:rsidRPr="006D6727">
        <w:rPr>
          <w:noProof/>
        </w:rPr>
        <w:t xml:space="preserve">environments </w:t>
      </w:r>
      <w:r w:rsidRPr="006D6727">
        <w:rPr>
          <w:noProof/>
        </w:rPr>
        <w:t>including:</w:t>
      </w:r>
    </w:p>
    <w:p w14:paraId="38BA5578" w14:textId="38FD4987" w:rsidR="00CB7D71" w:rsidRPr="006D6727" w:rsidRDefault="00513BA2" w:rsidP="00CB7D71">
      <w:pPr>
        <w:pStyle w:val="ECCBulletsLv1"/>
        <w:rPr>
          <w:rStyle w:val="ECCParagraph"/>
          <w:noProof/>
        </w:rPr>
      </w:pPr>
      <w:r w:rsidRPr="006D6727">
        <w:rPr>
          <w:noProof/>
        </w:rPr>
        <w:t>o</w:t>
      </w:r>
      <w:r w:rsidR="00CB7D71" w:rsidRPr="006D6727">
        <w:rPr>
          <w:noProof/>
        </w:rPr>
        <w:t>pen</w:t>
      </w:r>
      <w:r w:rsidRPr="006D6727">
        <w:rPr>
          <w:noProof/>
        </w:rPr>
        <w:t>-</w:t>
      </w:r>
      <w:r w:rsidR="00CB7D71" w:rsidRPr="006D6727">
        <w:rPr>
          <w:noProof/>
        </w:rPr>
        <w:t xml:space="preserve">air </w:t>
      </w:r>
      <w:r w:rsidR="00CB7D71" w:rsidRPr="006D6727">
        <w:rPr>
          <w:rStyle w:val="ECCParagraph"/>
          <w:noProof/>
        </w:rPr>
        <w:t>(</w:t>
      </w:r>
      <w:r w:rsidR="00AC6B02" w:rsidRPr="006D6727">
        <w:rPr>
          <w:rStyle w:val="ECCParagraph"/>
          <w:noProof/>
        </w:rPr>
        <w:t xml:space="preserve">level measurement of </w:t>
      </w:r>
      <w:r w:rsidR="00CB7D71" w:rsidRPr="006D6727">
        <w:rPr>
          <w:rStyle w:val="ECCParagraph"/>
          <w:noProof/>
        </w:rPr>
        <w:t>bulk solids heaps, piles, dams, pools, rivers, channels, flumes, etc.)</w:t>
      </w:r>
      <w:r w:rsidR="006B7173">
        <w:rPr>
          <w:rStyle w:val="ECCParagraph"/>
          <w:noProof/>
        </w:rPr>
        <w:t>;</w:t>
      </w:r>
    </w:p>
    <w:p w14:paraId="5F6D9EC1" w14:textId="5833611B" w:rsidR="0012447A" w:rsidRPr="006D6727" w:rsidRDefault="0012447A" w:rsidP="00CB7D71">
      <w:pPr>
        <w:pStyle w:val="ECCBulletsLv1"/>
        <w:rPr>
          <w:rStyle w:val="ECCParagraph"/>
          <w:noProof/>
        </w:rPr>
      </w:pPr>
      <w:r w:rsidRPr="006D6727">
        <w:rPr>
          <w:noProof/>
        </w:rPr>
        <w:t xml:space="preserve">non-metallic tanks </w:t>
      </w:r>
      <w:r w:rsidRPr="006D6727">
        <w:rPr>
          <w:rStyle w:val="ECCParagraph"/>
          <w:noProof/>
        </w:rPr>
        <w:t>(</w:t>
      </w:r>
      <w:r w:rsidR="00DA6092" w:rsidRPr="006D6727">
        <w:rPr>
          <w:rStyle w:val="ECCParagraph"/>
          <w:noProof/>
        </w:rPr>
        <w:t>measurement in non-shielded environments like in containers made of plastic or glass)</w:t>
      </w:r>
      <w:r w:rsidR="006B7173">
        <w:rPr>
          <w:rStyle w:val="ECCParagraph"/>
          <w:noProof/>
        </w:rPr>
        <w:t>.</w:t>
      </w:r>
    </w:p>
    <w:p w14:paraId="0B703ADE" w14:textId="77777777" w:rsidR="0012447A" w:rsidRPr="006D6727" w:rsidRDefault="0012447A" w:rsidP="0012447A">
      <w:pPr>
        <w:rPr>
          <w:noProof/>
        </w:rPr>
      </w:pPr>
      <w:r w:rsidRPr="006D6727">
        <w:rPr>
          <w:noProof/>
        </w:rPr>
        <w:t xml:space="preserve">In many of these installations, LPR devices provide </w:t>
      </w:r>
      <w:r w:rsidRPr="006D6727">
        <w:rPr>
          <w:rStyle w:val="ECCParagraph"/>
          <w:noProof/>
        </w:rPr>
        <w:t>real-time</w:t>
      </w:r>
      <w:r w:rsidRPr="006D6727">
        <w:rPr>
          <w:noProof/>
        </w:rPr>
        <w:t xml:space="preserve"> </w:t>
      </w:r>
      <w:r w:rsidR="00AC6B02" w:rsidRPr="006D6727">
        <w:rPr>
          <w:noProof/>
        </w:rPr>
        <w:t xml:space="preserve">and safety-critical </w:t>
      </w:r>
      <w:r w:rsidRPr="006D6727">
        <w:rPr>
          <w:noProof/>
        </w:rPr>
        <w:t>information</w:t>
      </w:r>
      <w:r w:rsidR="00EE7AD4" w:rsidRPr="006D6727">
        <w:rPr>
          <w:noProof/>
        </w:rPr>
        <w:t xml:space="preserve"> </w:t>
      </w:r>
      <w:r w:rsidR="003C7249" w:rsidRPr="006D6727">
        <w:rPr>
          <w:noProof/>
        </w:rPr>
        <w:t xml:space="preserve">in order </w:t>
      </w:r>
      <w:r w:rsidRPr="006D6727">
        <w:rPr>
          <w:noProof/>
        </w:rPr>
        <w:t xml:space="preserve">to protect humans, </w:t>
      </w:r>
      <w:r w:rsidR="00EC2BCB" w:rsidRPr="006D6727">
        <w:rPr>
          <w:noProof/>
        </w:rPr>
        <w:t>technical equipment, machinery</w:t>
      </w:r>
      <w:r w:rsidRPr="006D6727">
        <w:rPr>
          <w:noProof/>
        </w:rPr>
        <w:t xml:space="preserve"> and the environment. Examples of </w:t>
      </w:r>
      <w:r w:rsidR="006F2785" w:rsidRPr="006D6727">
        <w:rPr>
          <w:noProof/>
        </w:rPr>
        <w:t xml:space="preserve">such </w:t>
      </w:r>
      <w:r w:rsidRPr="006D6727">
        <w:rPr>
          <w:rStyle w:val="ECCParagraph"/>
          <w:noProof/>
        </w:rPr>
        <w:t>safety</w:t>
      </w:r>
      <w:r w:rsidR="003C7249" w:rsidRPr="006D6727">
        <w:rPr>
          <w:rStyle w:val="ECCParagraph"/>
          <w:noProof/>
        </w:rPr>
        <w:t>-</w:t>
      </w:r>
      <w:r w:rsidRPr="006D6727">
        <w:rPr>
          <w:rStyle w:val="ECCParagraph"/>
          <w:noProof/>
        </w:rPr>
        <w:t>critical</w:t>
      </w:r>
      <w:r w:rsidRPr="006D6727">
        <w:rPr>
          <w:noProof/>
        </w:rPr>
        <w:t xml:space="preserve"> </w:t>
      </w:r>
      <w:r w:rsidR="006F2785" w:rsidRPr="006D6727">
        <w:rPr>
          <w:noProof/>
        </w:rPr>
        <w:t xml:space="preserve">open-air </w:t>
      </w:r>
      <w:r w:rsidRPr="006D6727">
        <w:rPr>
          <w:noProof/>
        </w:rPr>
        <w:t>applications include:</w:t>
      </w:r>
    </w:p>
    <w:p w14:paraId="6B8F0793" w14:textId="795857D6" w:rsidR="0012447A" w:rsidRPr="006D6727" w:rsidRDefault="0012447A" w:rsidP="000F2730">
      <w:pPr>
        <w:pStyle w:val="ECCBulletsLv1"/>
        <w:rPr>
          <w:noProof/>
        </w:rPr>
      </w:pPr>
      <w:r w:rsidRPr="006D6727">
        <w:rPr>
          <w:noProof/>
        </w:rPr>
        <w:t xml:space="preserve">hydrological services </w:t>
      </w:r>
      <w:r w:rsidRPr="006D6727">
        <w:rPr>
          <w:rStyle w:val="ECCParagraph"/>
          <w:noProof/>
        </w:rPr>
        <w:t>(</w:t>
      </w:r>
      <w:r w:rsidR="00AC6B02" w:rsidRPr="006D6727">
        <w:rPr>
          <w:rStyle w:val="ECCParagraph"/>
          <w:noProof/>
        </w:rPr>
        <w:t xml:space="preserve">measurement of </w:t>
      </w:r>
      <w:r w:rsidRPr="006D6727">
        <w:rPr>
          <w:rStyle w:val="ECCParagraph"/>
          <w:noProof/>
        </w:rPr>
        <w:t xml:space="preserve">river or </w:t>
      </w:r>
      <w:r w:rsidR="00AC6B02" w:rsidRPr="006D6727">
        <w:rPr>
          <w:rStyle w:val="ECCParagraph"/>
          <w:noProof/>
        </w:rPr>
        <w:t xml:space="preserve">hydro </w:t>
      </w:r>
      <w:r w:rsidRPr="006D6727">
        <w:rPr>
          <w:rStyle w:val="ECCParagraph"/>
          <w:noProof/>
        </w:rPr>
        <w:t>dam levels, wave height</w:t>
      </w:r>
      <w:r w:rsidR="006F2785" w:rsidRPr="006D6727">
        <w:rPr>
          <w:rStyle w:val="ECCParagraph"/>
          <w:noProof/>
        </w:rPr>
        <w:t>s</w:t>
      </w:r>
      <w:r w:rsidRPr="006D6727">
        <w:rPr>
          <w:rStyle w:val="ECCParagraph"/>
          <w:noProof/>
        </w:rPr>
        <w:t>, tides, etc.)</w:t>
      </w:r>
      <w:r w:rsidR="006B7173">
        <w:rPr>
          <w:rStyle w:val="ECCParagraph"/>
          <w:noProof/>
        </w:rPr>
        <w:t>;</w:t>
      </w:r>
    </w:p>
    <w:p w14:paraId="692283B1" w14:textId="77A8B143" w:rsidR="0012447A" w:rsidRPr="006D6727" w:rsidRDefault="0012447A" w:rsidP="000F2730">
      <w:pPr>
        <w:pStyle w:val="ECCBulletsLv1"/>
        <w:rPr>
          <w:rStyle w:val="ECCHLyellow"/>
          <w:noProof/>
        </w:rPr>
      </w:pPr>
      <w:r w:rsidRPr="006D6727">
        <w:rPr>
          <w:noProof/>
        </w:rPr>
        <w:t xml:space="preserve">storing or processing </w:t>
      </w:r>
      <w:r w:rsidR="006F2785" w:rsidRPr="006D6727">
        <w:rPr>
          <w:noProof/>
        </w:rPr>
        <w:t xml:space="preserve">of </w:t>
      </w:r>
      <w:r w:rsidRPr="006D6727">
        <w:rPr>
          <w:noProof/>
        </w:rPr>
        <w:t xml:space="preserve">hazardous substances </w:t>
      </w:r>
      <w:r w:rsidRPr="006D6727">
        <w:rPr>
          <w:rStyle w:val="ECCParagraph"/>
          <w:noProof/>
        </w:rPr>
        <w:t>(</w:t>
      </w:r>
      <w:r w:rsidR="00DA6092" w:rsidRPr="006D6727">
        <w:rPr>
          <w:rStyle w:val="ECCParagraph"/>
          <w:noProof/>
        </w:rPr>
        <w:t xml:space="preserve">level measurement of </w:t>
      </w:r>
      <w:r w:rsidRPr="006D6727">
        <w:rPr>
          <w:rStyle w:val="ECCParagraph"/>
          <w:noProof/>
        </w:rPr>
        <w:t>flammable and/or corrosive</w:t>
      </w:r>
      <w:r w:rsidR="00DA6092" w:rsidRPr="006D6727">
        <w:rPr>
          <w:rStyle w:val="ECCParagraph"/>
          <w:noProof/>
        </w:rPr>
        <w:t xml:space="preserve"> materials</w:t>
      </w:r>
      <w:r w:rsidRPr="006D6727">
        <w:rPr>
          <w:rStyle w:val="ECCParagraph"/>
          <w:noProof/>
        </w:rPr>
        <w:t>, acids, bases, etc.)</w:t>
      </w:r>
      <w:r w:rsidR="006B7173">
        <w:rPr>
          <w:rStyle w:val="ECCParagraph"/>
          <w:noProof/>
        </w:rPr>
        <w:t>;</w:t>
      </w:r>
    </w:p>
    <w:p w14:paraId="6C230FB7" w14:textId="77777777" w:rsidR="0012447A" w:rsidRPr="006D6727" w:rsidRDefault="0012447A" w:rsidP="000F2730">
      <w:pPr>
        <w:pStyle w:val="ECCBulletsLv1"/>
        <w:rPr>
          <w:rStyle w:val="ECCHLyellow"/>
          <w:noProof/>
        </w:rPr>
      </w:pPr>
      <w:r w:rsidRPr="006D6727">
        <w:rPr>
          <w:noProof/>
        </w:rPr>
        <w:t xml:space="preserve">storing solids in piles </w:t>
      </w:r>
      <w:r w:rsidRPr="006D6727">
        <w:rPr>
          <w:rStyle w:val="ECCParagraph"/>
          <w:noProof/>
        </w:rPr>
        <w:t>(</w:t>
      </w:r>
      <w:r w:rsidR="00DA6092" w:rsidRPr="006D6727">
        <w:rPr>
          <w:rStyle w:val="ECCParagraph"/>
          <w:noProof/>
        </w:rPr>
        <w:t xml:space="preserve">measurement of levels of different materials such as </w:t>
      </w:r>
      <w:r w:rsidRPr="006D6727">
        <w:rPr>
          <w:rStyle w:val="ECCParagraph"/>
          <w:noProof/>
        </w:rPr>
        <w:t>sand, pebble stones, gravel, coal, pellets, wood chips, etc.).</w:t>
      </w:r>
    </w:p>
    <w:p w14:paraId="181EC755" w14:textId="77777777" w:rsidR="0012447A" w:rsidRPr="006D6727" w:rsidRDefault="0012447A" w:rsidP="0012447A">
      <w:pPr>
        <w:rPr>
          <w:noProof/>
        </w:rPr>
      </w:pPr>
      <w:r w:rsidRPr="006D6727">
        <w:rPr>
          <w:noProof/>
        </w:rPr>
        <w:t>In other applications, an accurate level measurement helps to improve the quality of the end</w:t>
      </w:r>
      <w:r w:rsidR="00005D31" w:rsidRPr="006D6727">
        <w:rPr>
          <w:noProof/>
        </w:rPr>
        <w:t>-</w:t>
      </w:r>
      <w:r w:rsidRPr="006D6727">
        <w:rPr>
          <w:noProof/>
        </w:rPr>
        <w:t>product, and to conserve the environment by facilitating the efficient use of scarce natural resources. Examples of such applications include:</w:t>
      </w:r>
    </w:p>
    <w:p w14:paraId="6FD1D86D" w14:textId="77777777" w:rsidR="0012447A" w:rsidRPr="006D6727" w:rsidRDefault="0012447A" w:rsidP="006E7FA9">
      <w:pPr>
        <w:pStyle w:val="ECCBulletsLv1"/>
        <w:rPr>
          <w:noProof/>
        </w:rPr>
      </w:pPr>
      <w:r w:rsidRPr="006D6727">
        <w:rPr>
          <w:noProof/>
        </w:rPr>
        <w:t>exact dosing of liquids in chemical or pharmaceutical plants;</w:t>
      </w:r>
    </w:p>
    <w:p w14:paraId="6068B18D" w14:textId="77777777" w:rsidR="0012447A" w:rsidRPr="006D6727" w:rsidRDefault="0012447A" w:rsidP="006E7FA9">
      <w:pPr>
        <w:pStyle w:val="ECCBulletsLv1"/>
        <w:rPr>
          <w:noProof/>
        </w:rPr>
      </w:pPr>
      <w:r w:rsidRPr="006D6727">
        <w:rPr>
          <w:noProof/>
        </w:rPr>
        <w:t>exact measurement of piles of solids (e.g. coal, iron ore, building materials like cement, etc.).</w:t>
      </w:r>
    </w:p>
    <w:p w14:paraId="2B70540D" w14:textId="32230C38" w:rsidR="0068121F" w:rsidRPr="006D6727" w:rsidRDefault="00DD632E" w:rsidP="006B7173">
      <w:pPr>
        <w:pStyle w:val="ECCBulletsLv1"/>
        <w:numPr>
          <w:ilvl w:val="0"/>
          <w:numId w:val="0"/>
        </w:numPr>
        <w:spacing w:before="240" w:after="60"/>
        <w:rPr>
          <w:noProof/>
        </w:rPr>
      </w:pPr>
      <w:r w:rsidRPr="006D6727">
        <w:rPr>
          <w:noProof/>
        </w:rPr>
        <w:t xml:space="preserve">Typical examples of LPR installations are illustrated in </w:t>
      </w:r>
      <w:r w:rsidR="00EF6D7B" w:rsidRPr="006D6727">
        <w:rPr>
          <w:noProof/>
        </w:rPr>
        <w:fldChar w:fldCharType="begin"/>
      </w:r>
      <w:r w:rsidR="00EF6D7B" w:rsidRPr="006D6727">
        <w:rPr>
          <w:noProof/>
        </w:rPr>
        <w:instrText xml:space="preserve"> REF _Ref8822708 \h </w:instrText>
      </w:r>
      <w:r w:rsidR="00EF6D7B" w:rsidRPr="006D6727">
        <w:rPr>
          <w:noProof/>
        </w:rPr>
      </w:r>
      <w:r w:rsidR="00EF6D7B" w:rsidRPr="006D6727">
        <w:rPr>
          <w:noProof/>
        </w:rPr>
        <w:fldChar w:fldCharType="separate"/>
      </w:r>
      <w:r w:rsidR="0041125F" w:rsidRPr="006D6727">
        <w:rPr>
          <w:noProof/>
        </w:rPr>
        <w:t>Figure</w:t>
      </w:r>
      <w:r w:rsidR="0041125F">
        <w:t> </w:t>
      </w:r>
      <w:r w:rsidR="0041125F">
        <w:rPr>
          <w:noProof/>
        </w:rPr>
        <w:t>35</w:t>
      </w:r>
      <w:r w:rsidR="00EF6D7B" w:rsidRPr="006D6727">
        <w:rPr>
          <w:noProof/>
        </w:rPr>
        <w:fldChar w:fldCharType="end"/>
      </w:r>
      <w:r w:rsidR="00EF6D7B" w:rsidRPr="006D6727">
        <w:rPr>
          <w:noProof/>
        </w:rPr>
        <w:t>.</w:t>
      </w:r>
    </w:p>
    <w:p w14:paraId="0F554ACC" w14:textId="77777777" w:rsidR="002C2D2E" w:rsidRPr="006D6727" w:rsidRDefault="00572632" w:rsidP="00863A3B">
      <w:pPr>
        <w:pStyle w:val="ECCFiguregraphcentered"/>
        <w:rPr>
          <w:lang w:val="en-GB"/>
        </w:rPr>
      </w:pPr>
      <w:r w:rsidRPr="006D6727">
        <w:drawing>
          <wp:inline distT="0" distB="0" distL="0" distR="0" wp14:anchorId="5984386E" wp14:editId="4075C088">
            <wp:extent cx="1683593" cy="21569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714976" cy="2197149"/>
                    </a:xfrm>
                    <a:prstGeom prst="rect">
                      <a:avLst/>
                    </a:prstGeom>
                    <a:noFill/>
                    <a:ln>
                      <a:noFill/>
                    </a:ln>
                  </pic:spPr>
                </pic:pic>
              </a:graphicData>
            </a:graphic>
          </wp:inline>
        </w:drawing>
      </w:r>
      <w:r w:rsidRPr="006D6727">
        <w:rPr>
          <w:lang w:val="en-GB"/>
        </w:rPr>
        <w:t xml:space="preserve"> </w:t>
      </w:r>
      <w:r w:rsidRPr="006D6727">
        <w:drawing>
          <wp:inline distT="0" distB="0" distL="0" distR="0" wp14:anchorId="006802D1" wp14:editId="3140C47F">
            <wp:extent cx="2070533" cy="2516962"/>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flipH="1">
                      <a:off x="0" y="0"/>
                      <a:ext cx="2093041" cy="2544323"/>
                    </a:xfrm>
                    <a:prstGeom prst="rect">
                      <a:avLst/>
                    </a:prstGeom>
                    <a:noFill/>
                    <a:ln>
                      <a:noFill/>
                    </a:ln>
                  </pic:spPr>
                </pic:pic>
              </a:graphicData>
            </a:graphic>
          </wp:inline>
        </w:drawing>
      </w:r>
      <w:r w:rsidRPr="006D6727">
        <w:rPr>
          <w:lang w:val="en-GB"/>
        </w:rPr>
        <w:t xml:space="preserve"> </w:t>
      </w:r>
      <w:r w:rsidRPr="006D6727">
        <w:drawing>
          <wp:inline distT="0" distB="0" distL="0" distR="0" wp14:anchorId="1CBF1B4D" wp14:editId="6A870EB2">
            <wp:extent cx="2274077" cy="2150063"/>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288708" cy="2163896"/>
                    </a:xfrm>
                    <a:prstGeom prst="rect">
                      <a:avLst/>
                    </a:prstGeom>
                    <a:noFill/>
                    <a:ln>
                      <a:noFill/>
                    </a:ln>
                  </pic:spPr>
                </pic:pic>
              </a:graphicData>
            </a:graphic>
          </wp:inline>
        </w:drawing>
      </w:r>
    </w:p>
    <w:p w14:paraId="56231FF1" w14:textId="530A7938" w:rsidR="002C2D2E" w:rsidRPr="006D6727" w:rsidRDefault="002C2D2E" w:rsidP="002C2D2E">
      <w:pPr>
        <w:pStyle w:val="Caption"/>
        <w:rPr>
          <w:noProof/>
          <w:lang w:val="en-GB"/>
        </w:rPr>
      </w:pPr>
      <w:bookmarkStart w:id="220" w:name="_Ref8822708"/>
      <w:bookmarkStart w:id="221" w:name="_Hlk8826705"/>
      <w:r w:rsidRPr="006D6727">
        <w:rPr>
          <w:noProof/>
          <w:lang w:val="en-GB"/>
        </w:rPr>
        <w:t>Figure</w:t>
      </w:r>
      <w:r w:rsidR="00C2679A">
        <w:t> </w:t>
      </w:r>
      <w:r w:rsidR="00767A21" w:rsidRPr="006D6727">
        <w:rPr>
          <w:noProof/>
          <w:lang w:val="en-GB"/>
        </w:rPr>
        <w:fldChar w:fldCharType="begin"/>
      </w:r>
      <w:r w:rsidR="00767A21" w:rsidRPr="006D6727">
        <w:rPr>
          <w:noProof/>
          <w:lang w:val="en-GB"/>
        </w:rPr>
        <w:instrText xml:space="preserve"> SEQ Figure \* ARABIC </w:instrText>
      </w:r>
      <w:r w:rsidR="00767A21" w:rsidRPr="006D6727">
        <w:rPr>
          <w:noProof/>
          <w:lang w:val="en-GB"/>
        </w:rPr>
        <w:fldChar w:fldCharType="separate"/>
      </w:r>
      <w:r w:rsidR="004F49F9">
        <w:rPr>
          <w:noProof/>
          <w:lang w:val="en-GB"/>
        </w:rPr>
        <w:t>35</w:t>
      </w:r>
      <w:r w:rsidR="00767A21" w:rsidRPr="006D6727">
        <w:rPr>
          <w:noProof/>
          <w:lang w:val="en-GB"/>
        </w:rPr>
        <w:fldChar w:fldCharType="end"/>
      </w:r>
      <w:bookmarkEnd w:id="220"/>
      <w:r w:rsidRPr="006D6727">
        <w:rPr>
          <w:noProof/>
          <w:lang w:val="en-GB"/>
        </w:rPr>
        <w:t>: Typical examples of LPR installations</w:t>
      </w:r>
    </w:p>
    <w:bookmarkEnd w:id="221"/>
    <w:p w14:paraId="1C8D445C" w14:textId="77777777" w:rsidR="00E1358C" w:rsidRPr="006D6727" w:rsidRDefault="00E1358C" w:rsidP="006B7173">
      <w:pPr>
        <w:pStyle w:val="ECCTabletext"/>
        <w:spacing w:before="240"/>
        <w:rPr>
          <w:rStyle w:val="ECCParagraph"/>
          <w:noProof/>
        </w:rPr>
      </w:pPr>
      <w:r w:rsidRPr="006D6727">
        <w:rPr>
          <w:rStyle w:val="ECCParagraph"/>
          <w:noProof/>
        </w:rPr>
        <w:t xml:space="preserve">It is foreseen that </w:t>
      </w:r>
      <w:r w:rsidR="00BF0DF7" w:rsidRPr="006D6727">
        <w:rPr>
          <w:rStyle w:val="ECCParagraph"/>
          <w:noProof/>
        </w:rPr>
        <w:t xml:space="preserve">LPR </w:t>
      </w:r>
      <w:r w:rsidR="002169BF" w:rsidRPr="006D6727">
        <w:rPr>
          <w:rStyle w:val="ECCParagraph"/>
          <w:noProof/>
        </w:rPr>
        <w:t xml:space="preserve">in </w:t>
      </w:r>
      <w:r w:rsidR="009B2A7A" w:rsidRPr="006D6727">
        <w:rPr>
          <w:rStyle w:val="ECCParagraph"/>
          <w:noProof/>
        </w:rPr>
        <w:t xml:space="preserve">dedicated </w:t>
      </w:r>
      <w:r w:rsidR="002169BF" w:rsidRPr="006D6727">
        <w:rPr>
          <w:rStyle w:val="ECCParagraph"/>
          <w:noProof/>
        </w:rPr>
        <w:t xml:space="preserve">frequency </w:t>
      </w:r>
      <w:r w:rsidR="009B2A7A" w:rsidRPr="006D6727">
        <w:rPr>
          <w:rStyle w:val="ECCParagraph"/>
          <w:noProof/>
        </w:rPr>
        <w:t>bands</w:t>
      </w:r>
      <w:r w:rsidR="002169BF" w:rsidRPr="006D6727">
        <w:rPr>
          <w:rStyle w:val="ECCParagraph"/>
          <w:noProof/>
        </w:rPr>
        <w:t xml:space="preserve"> </w:t>
      </w:r>
      <w:r w:rsidR="009B2A7A" w:rsidRPr="006D6727">
        <w:rPr>
          <w:rStyle w:val="ECCParagraph"/>
          <w:noProof/>
        </w:rPr>
        <w:t>within the range</w:t>
      </w:r>
      <w:r w:rsidR="002169BF" w:rsidRPr="006D6727">
        <w:rPr>
          <w:rStyle w:val="ECCParagraph"/>
          <w:noProof/>
        </w:rPr>
        <w:t xml:space="preserve"> </w:t>
      </w:r>
      <w:r w:rsidR="009B2A7A" w:rsidRPr="006D6727">
        <w:rPr>
          <w:rStyle w:val="ECCParagraph"/>
          <w:noProof/>
        </w:rPr>
        <w:t>116</w:t>
      </w:r>
      <w:r w:rsidR="002169BF" w:rsidRPr="006D6727">
        <w:rPr>
          <w:rStyle w:val="ECCParagraph"/>
          <w:noProof/>
        </w:rPr>
        <w:t xml:space="preserve"> to 260 GHz </w:t>
      </w:r>
      <w:r w:rsidR="00BF0DF7" w:rsidRPr="006D6727">
        <w:rPr>
          <w:rStyle w:val="ECCParagraph"/>
          <w:noProof/>
        </w:rPr>
        <w:t>is</w:t>
      </w:r>
      <w:r w:rsidRPr="006D6727">
        <w:rPr>
          <w:rStyle w:val="ECCParagraph"/>
          <w:noProof/>
        </w:rPr>
        <w:t xml:space="preserve"> </w:t>
      </w:r>
      <w:r w:rsidR="002169BF" w:rsidRPr="006D6727">
        <w:rPr>
          <w:rStyle w:val="ECCParagraph"/>
          <w:noProof/>
        </w:rPr>
        <w:t xml:space="preserve">still </w:t>
      </w:r>
      <w:r w:rsidRPr="006D6727">
        <w:rPr>
          <w:rStyle w:val="ECCParagraph"/>
          <w:noProof/>
        </w:rPr>
        <w:t>a strictly professional and industrial application</w:t>
      </w:r>
      <w:r w:rsidR="00BF0DF7" w:rsidRPr="006D6727">
        <w:rPr>
          <w:rStyle w:val="ECCParagraph"/>
          <w:noProof/>
        </w:rPr>
        <w:t>.</w:t>
      </w:r>
      <w:r w:rsidRPr="006D6727">
        <w:rPr>
          <w:rStyle w:val="ECCParagraph"/>
          <w:noProof/>
        </w:rPr>
        <w:t xml:space="preserve"> </w:t>
      </w:r>
      <w:r w:rsidR="00BF0DF7" w:rsidRPr="006D6727">
        <w:rPr>
          <w:rStyle w:val="ECCParagraph"/>
          <w:noProof/>
        </w:rPr>
        <w:t>All level probing radars</w:t>
      </w:r>
      <w:r w:rsidRPr="006D6727">
        <w:rPr>
          <w:rStyle w:val="ECCParagraph"/>
          <w:noProof/>
        </w:rPr>
        <w:t xml:space="preserve"> are expected to be installed </w:t>
      </w:r>
      <w:r w:rsidR="00A30068" w:rsidRPr="006D6727">
        <w:rPr>
          <w:rStyle w:val="ECCParagraph"/>
          <w:noProof/>
        </w:rPr>
        <w:t>complying with</w:t>
      </w:r>
      <w:r w:rsidR="00BF0DF7" w:rsidRPr="006D6727">
        <w:rPr>
          <w:rStyle w:val="ECCParagraph"/>
          <w:noProof/>
        </w:rPr>
        <w:t xml:space="preserve"> the following</w:t>
      </w:r>
      <w:r w:rsidRPr="006D6727">
        <w:rPr>
          <w:rStyle w:val="ECCParagraph"/>
          <w:noProof/>
        </w:rPr>
        <w:t xml:space="preserve"> installation requirements</w:t>
      </w:r>
      <w:r w:rsidR="00BF0DF7" w:rsidRPr="006D6727">
        <w:rPr>
          <w:rStyle w:val="ECCParagraph"/>
          <w:noProof/>
        </w:rPr>
        <w:t>:</w:t>
      </w:r>
    </w:p>
    <w:p w14:paraId="72842ECC" w14:textId="76E68060" w:rsidR="00E1358C" w:rsidRPr="006D6727" w:rsidRDefault="00E1358C" w:rsidP="00E1358C">
      <w:pPr>
        <w:pStyle w:val="ECCBulletsLv1"/>
        <w:rPr>
          <w:noProof/>
        </w:rPr>
      </w:pPr>
      <w:r w:rsidRPr="006D6727">
        <w:rPr>
          <w:noProof/>
        </w:rPr>
        <w:t>L</w:t>
      </w:r>
      <w:r w:rsidR="00385C8E" w:rsidRPr="006D6727">
        <w:rPr>
          <w:noProof/>
        </w:rPr>
        <w:t>evel probing radars</w:t>
      </w:r>
      <w:r w:rsidRPr="006D6727">
        <w:rPr>
          <w:noProof/>
        </w:rPr>
        <w:t xml:space="preserve"> are required to be installed at a permanent fixed position pointing in a downward</w:t>
      </w:r>
      <w:r w:rsidR="001101F9" w:rsidRPr="006D6727">
        <w:rPr>
          <w:noProof/>
        </w:rPr>
        <w:t>s</w:t>
      </w:r>
      <w:r w:rsidRPr="006D6727">
        <w:rPr>
          <w:noProof/>
        </w:rPr>
        <w:t xml:space="preserve"> direction</w:t>
      </w:r>
      <w:r w:rsidR="001101F9" w:rsidRPr="006D6727">
        <w:rPr>
          <w:noProof/>
        </w:rPr>
        <w:t xml:space="preserve"> towards the ground</w:t>
      </w:r>
      <w:r w:rsidR="00A3649B">
        <w:rPr>
          <w:noProof/>
        </w:rPr>
        <w:t>;</w:t>
      </w:r>
    </w:p>
    <w:p w14:paraId="54043CD9" w14:textId="03D7D764" w:rsidR="00E1358C" w:rsidRPr="006D6727" w:rsidRDefault="00E1358C" w:rsidP="00E1358C">
      <w:pPr>
        <w:pStyle w:val="ECCBulletsLv1"/>
        <w:rPr>
          <w:noProof/>
        </w:rPr>
      </w:pPr>
      <w:r w:rsidRPr="006D6727">
        <w:rPr>
          <w:noProof/>
        </w:rPr>
        <w:t xml:space="preserve">Installers have to ensure that there are no obstacles in the downwards radiating </w:t>
      </w:r>
      <w:r w:rsidR="001101F9" w:rsidRPr="006D6727">
        <w:rPr>
          <w:noProof/>
        </w:rPr>
        <w:t xml:space="preserve">main </w:t>
      </w:r>
      <w:r w:rsidRPr="006D6727">
        <w:rPr>
          <w:noProof/>
        </w:rPr>
        <w:t xml:space="preserve">beam of the </w:t>
      </w:r>
      <w:r w:rsidR="001101F9" w:rsidRPr="006D6727">
        <w:rPr>
          <w:noProof/>
        </w:rPr>
        <w:t>antenna</w:t>
      </w:r>
      <w:r w:rsidRPr="006D6727">
        <w:rPr>
          <w:noProof/>
        </w:rPr>
        <w:t xml:space="preserve"> </w:t>
      </w:r>
      <w:r w:rsidR="001101F9" w:rsidRPr="006D6727">
        <w:rPr>
          <w:noProof/>
        </w:rPr>
        <w:t xml:space="preserve">in order </w:t>
      </w:r>
      <w:r w:rsidRPr="006D6727">
        <w:rPr>
          <w:noProof/>
        </w:rPr>
        <w:t>to mini</w:t>
      </w:r>
      <w:r w:rsidR="001D7996">
        <w:rPr>
          <w:noProof/>
        </w:rPr>
        <w:t>mise</w:t>
      </w:r>
      <w:r w:rsidRPr="006D6727">
        <w:rPr>
          <w:noProof/>
        </w:rPr>
        <w:t xml:space="preserve"> unwanted reflections</w:t>
      </w:r>
      <w:r w:rsidR="00A3649B">
        <w:rPr>
          <w:noProof/>
        </w:rPr>
        <w:t>;</w:t>
      </w:r>
    </w:p>
    <w:p w14:paraId="419F2AAC" w14:textId="77777777" w:rsidR="00E1358C" w:rsidRPr="006D6727" w:rsidRDefault="00E1358C" w:rsidP="00E1358C">
      <w:pPr>
        <w:pStyle w:val="ECCBulletsLv1"/>
        <w:rPr>
          <w:noProof/>
        </w:rPr>
      </w:pPr>
      <w:r w:rsidRPr="006D6727">
        <w:rPr>
          <w:noProof/>
        </w:rPr>
        <w:t>Installation and maintenance of LPR equipment sh</w:t>
      </w:r>
      <w:r w:rsidR="001101F9" w:rsidRPr="006D6727">
        <w:rPr>
          <w:noProof/>
        </w:rPr>
        <w:t>all</w:t>
      </w:r>
      <w:r w:rsidRPr="006D6727">
        <w:rPr>
          <w:noProof/>
        </w:rPr>
        <w:t xml:space="preserve"> be performed by professionally trained individuals only.</w:t>
      </w:r>
    </w:p>
    <w:p w14:paraId="1234DA29" w14:textId="7F174AFC" w:rsidR="00110689" w:rsidRPr="006D6727" w:rsidRDefault="00385C8E" w:rsidP="006B7173">
      <w:pPr>
        <w:pStyle w:val="ECCBulletsLv1"/>
        <w:numPr>
          <w:ilvl w:val="0"/>
          <w:numId w:val="0"/>
        </w:numPr>
        <w:spacing w:before="240" w:after="60"/>
        <w:rPr>
          <w:rStyle w:val="ECCParagraph"/>
          <w:noProof/>
        </w:rPr>
      </w:pPr>
      <w:r w:rsidRPr="006D6727">
        <w:rPr>
          <w:noProof/>
        </w:rPr>
        <w:t xml:space="preserve">These installation requirements are </w:t>
      </w:r>
      <w:r w:rsidR="00537C3F" w:rsidRPr="006D6727">
        <w:rPr>
          <w:noProof/>
        </w:rPr>
        <w:t>well-</w:t>
      </w:r>
      <w:r w:rsidRPr="006D6727">
        <w:rPr>
          <w:noProof/>
        </w:rPr>
        <w:t xml:space="preserve">established for LPRs </w:t>
      </w:r>
      <w:r w:rsidR="00537C3F" w:rsidRPr="006D6727">
        <w:rPr>
          <w:noProof/>
        </w:rPr>
        <w:t xml:space="preserve">already </w:t>
      </w:r>
      <w:r w:rsidRPr="006D6727">
        <w:rPr>
          <w:noProof/>
        </w:rPr>
        <w:t xml:space="preserve">available on the market and operating </w:t>
      </w:r>
      <w:r w:rsidR="00FC683D" w:rsidRPr="006D6727">
        <w:rPr>
          <w:noProof/>
        </w:rPr>
        <w:t>in lower</w:t>
      </w:r>
      <w:r w:rsidRPr="006D6727">
        <w:rPr>
          <w:noProof/>
        </w:rPr>
        <w:t xml:space="preserve"> frequency ranges </w:t>
      </w:r>
      <w:bookmarkStart w:id="222" w:name="_Hlk20129288"/>
      <w:r w:rsidR="00544304" w:rsidRPr="006D6727">
        <w:rPr>
          <w:noProof/>
        </w:rPr>
        <w:t>ETSI EN 302 729</w:t>
      </w:r>
      <w:r w:rsidR="00544304">
        <w:rPr>
          <w:noProof/>
        </w:rPr>
        <w:t xml:space="preserve"> </w:t>
      </w:r>
      <w:r w:rsidR="00DF3A69" w:rsidRPr="006D6727">
        <w:rPr>
          <w:rStyle w:val="ECCParagraph"/>
          <w:noProof/>
        </w:rPr>
        <w:fldChar w:fldCharType="begin"/>
      </w:r>
      <w:r w:rsidR="00DF3A69" w:rsidRPr="006D6727">
        <w:rPr>
          <w:rStyle w:val="ECCParagraph"/>
          <w:noProof/>
        </w:rPr>
        <w:instrText xml:space="preserve"> REF  ETSIEN302729 \h \w </w:instrText>
      </w:r>
      <w:r w:rsidR="00DF3A69" w:rsidRPr="006D6727">
        <w:rPr>
          <w:rStyle w:val="ECCParagraph"/>
          <w:noProof/>
        </w:rPr>
      </w:r>
      <w:r w:rsidR="00DF3A69" w:rsidRPr="006D6727">
        <w:rPr>
          <w:rStyle w:val="ECCParagraph"/>
          <w:noProof/>
        </w:rPr>
        <w:fldChar w:fldCharType="separate"/>
      </w:r>
      <w:r w:rsidR="004F49F9">
        <w:rPr>
          <w:rStyle w:val="ECCParagraph"/>
          <w:noProof/>
        </w:rPr>
        <w:t>[5]</w:t>
      </w:r>
      <w:r w:rsidR="00DF3A69" w:rsidRPr="006D6727">
        <w:rPr>
          <w:rStyle w:val="ECCParagraph"/>
          <w:noProof/>
        </w:rPr>
        <w:fldChar w:fldCharType="end"/>
      </w:r>
      <w:bookmarkEnd w:id="222"/>
      <w:r w:rsidR="00DF3A69" w:rsidRPr="006D6727">
        <w:rPr>
          <w:rStyle w:val="ECCParagraph"/>
          <w:noProof/>
        </w:rPr>
        <w:t>.</w:t>
      </w:r>
    </w:p>
    <w:p w14:paraId="336370F6" w14:textId="3629EBEA" w:rsidR="000B3246" w:rsidRPr="006D6727" w:rsidRDefault="00E13D13" w:rsidP="006B7173">
      <w:pPr>
        <w:pStyle w:val="ECCBulletsLv1"/>
        <w:numPr>
          <w:ilvl w:val="0"/>
          <w:numId w:val="0"/>
        </w:numPr>
        <w:spacing w:before="240" w:after="60"/>
        <w:rPr>
          <w:rStyle w:val="ECCParagraph"/>
          <w:noProof/>
        </w:rPr>
      </w:pPr>
      <w:r w:rsidRPr="006D6727">
        <w:rPr>
          <w:rStyle w:val="ECCParagraph"/>
          <w:noProof/>
        </w:rPr>
        <w:t>In ECC</w:t>
      </w:r>
      <w:r w:rsidR="008029B0">
        <w:rPr>
          <w:rStyle w:val="ECCParagraph"/>
          <w:noProof/>
        </w:rPr>
        <w:t xml:space="preserve"> </w:t>
      </w:r>
      <w:r w:rsidRPr="006D6727">
        <w:rPr>
          <w:rStyle w:val="ECCParagraph"/>
          <w:noProof/>
        </w:rPr>
        <w:t>Report 139</w:t>
      </w:r>
      <w:r w:rsidR="0034625D">
        <w:rPr>
          <w:rStyle w:val="ECCParagraph"/>
          <w:noProof/>
        </w:rPr>
        <w:t>,</w:t>
      </w:r>
      <w:r w:rsidRPr="006D6727">
        <w:rPr>
          <w:rStyle w:val="ECCParagraph"/>
          <w:noProof/>
        </w:rPr>
        <w:t xml:space="preserve"> </w:t>
      </w:r>
      <w:r w:rsidR="009D5FA2">
        <w:rPr>
          <w:rStyle w:val="ECCParagraph"/>
          <w:noProof/>
        </w:rPr>
        <w:t>section</w:t>
      </w:r>
      <w:r w:rsidRPr="006D6727">
        <w:rPr>
          <w:rStyle w:val="ECCParagraph"/>
          <w:noProof/>
        </w:rPr>
        <w:t xml:space="preserve"> 2.8</w:t>
      </w:r>
      <w:r w:rsidR="006B7173">
        <w:rPr>
          <w:rStyle w:val="ECCParagraph"/>
          <w:noProof/>
        </w:rPr>
        <w:t xml:space="preserve"> </w:t>
      </w:r>
      <w:r w:rsidR="006B7173" w:rsidRPr="006D6727">
        <w:rPr>
          <w:rStyle w:val="ECCParagraph"/>
          <w:noProof/>
        </w:rPr>
        <w:fldChar w:fldCharType="begin"/>
      </w:r>
      <w:r w:rsidR="006B7173" w:rsidRPr="006D6727">
        <w:rPr>
          <w:rStyle w:val="ECCParagraph"/>
          <w:noProof/>
        </w:rPr>
        <w:instrText xml:space="preserve"> REF  ECCRep139 \h \w  \* MERGEFORMAT </w:instrText>
      </w:r>
      <w:r w:rsidR="006B7173" w:rsidRPr="006D6727">
        <w:rPr>
          <w:rStyle w:val="ECCParagraph"/>
          <w:noProof/>
        </w:rPr>
      </w:r>
      <w:r w:rsidR="006B7173" w:rsidRPr="006D6727">
        <w:rPr>
          <w:rStyle w:val="ECCParagraph"/>
          <w:noProof/>
        </w:rPr>
        <w:fldChar w:fldCharType="separate"/>
      </w:r>
      <w:r w:rsidR="004F49F9">
        <w:rPr>
          <w:rStyle w:val="ECCParagraph"/>
          <w:noProof/>
        </w:rPr>
        <w:t>[4]</w:t>
      </w:r>
      <w:r w:rsidR="006B7173" w:rsidRPr="006D6727">
        <w:rPr>
          <w:rStyle w:val="ECCParagraph"/>
          <w:noProof/>
        </w:rPr>
        <w:fldChar w:fldCharType="end"/>
      </w:r>
      <w:r w:rsidR="006B7173">
        <w:rPr>
          <w:rStyle w:val="ECCParagraph"/>
          <w:noProof/>
        </w:rPr>
        <w:t>,</w:t>
      </w:r>
      <w:r w:rsidRPr="006D6727">
        <w:rPr>
          <w:rStyle w:val="ECCParagraph"/>
          <w:noProof/>
        </w:rPr>
        <w:t xml:space="preserve"> an estimation of the installation above ground was given for LPRs in the lower frequency ranges 6 to 8</w:t>
      </w:r>
      <w:r w:rsidR="00CF4994">
        <w:rPr>
          <w:rStyle w:val="ECCParagraph"/>
          <w:noProof/>
        </w:rPr>
        <w:t>.5</w:t>
      </w:r>
      <w:r w:rsidRPr="006D6727">
        <w:rPr>
          <w:rStyle w:val="ECCParagraph"/>
          <w:noProof/>
        </w:rPr>
        <w:t> GHz, 24</w:t>
      </w:r>
      <w:r w:rsidR="00CF4994">
        <w:rPr>
          <w:rStyle w:val="ECCParagraph"/>
          <w:noProof/>
        </w:rPr>
        <w:t>.0</w:t>
      </w:r>
      <w:r w:rsidRPr="006D6727">
        <w:rPr>
          <w:rStyle w:val="ECCParagraph"/>
          <w:noProof/>
        </w:rPr>
        <w:t>5 to 26</w:t>
      </w:r>
      <w:r w:rsidR="00CF4994">
        <w:rPr>
          <w:rStyle w:val="ECCParagraph"/>
          <w:noProof/>
        </w:rPr>
        <w:t>.5</w:t>
      </w:r>
      <w:r w:rsidRPr="006D6727">
        <w:rPr>
          <w:rStyle w:val="ECCParagraph"/>
          <w:noProof/>
        </w:rPr>
        <w:t> GHz, 57 to 64 GHz and 75 to 85 GHz. There it was anticipated that 90</w:t>
      </w:r>
      <w:r w:rsidR="00F800A2">
        <w:rPr>
          <w:rStyle w:val="ECCParagraph"/>
          <w:noProof/>
        </w:rPr>
        <w:t>%</w:t>
      </w:r>
      <w:r w:rsidRPr="006D6727">
        <w:rPr>
          <w:rStyle w:val="ECCParagraph"/>
          <w:noProof/>
        </w:rPr>
        <w:t xml:space="preserve"> of all outdoor LPRs are installed 2 to 15 m above ground. Only 10</w:t>
      </w:r>
      <w:r w:rsidR="00E91B50">
        <w:rPr>
          <w:rStyle w:val="ECCParagraph"/>
          <w:noProof/>
        </w:rPr>
        <w:t>%</w:t>
      </w:r>
      <w:r w:rsidRPr="006D6727">
        <w:rPr>
          <w:rStyle w:val="ECCParagraph"/>
          <w:noProof/>
        </w:rPr>
        <w:t xml:space="preserve"> of all installations were predicted to be installed 15 to 50 m above ground. This </w:t>
      </w:r>
      <w:r w:rsidR="00FA48C6" w:rsidRPr="006D6727">
        <w:rPr>
          <w:rStyle w:val="ECCParagraph"/>
          <w:noProof/>
        </w:rPr>
        <w:t xml:space="preserve">estimation has proven true over the last years as observations of customer applications and especially of pre-set </w:t>
      </w:r>
      <w:r w:rsidR="00AC327F" w:rsidRPr="006D6727">
        <w:rPr>
          <w:rStyle w:val="ECCParagraph"/>
          <w:noProof/>
        </w:rPr>
        <w:t xml:space="preserve">maximum </w:t>
      </w:r>
      <w:r w:rsidR="00FA48C6" w:rsidRPr="006D6727">
        <w:rPr>
          <w:rStyle w:val="ECCParagraph"/>
          <w:noProof/>
        </w:rPr>
        <w:t>measurement ranges of up</w:t>
      </w:r>
      <w:r w:rsidR="002169BF" w:rsidRPr="006D6727">
        <w:rPr>
          <w:rStyle w:val="ECCParagraph"/>
          <w:noProof/>
        </w:rPr>
        <w:t>-</w:t>
      </w:r>
      <w:r w:rsidR="00FA48C6" w:rsidRPr="006D6727">
        <w:rPr>
          <w:rStyle w:val="ECCParagraph"/>
          <w:noProof/>
        </w:rPr>
        <w:t>for</w:t>
      </w:r>
      <w:r w:rsidR="002169BF" w:rsidRPr="006D6727">
        <w:rPr>
          <w:rStyle w:val="ECCParagraph"/>
          <w:noProof/>
        </w:rPr>
        <w:t>-</w:t>
      </w:r>
      <w:r w:rsidR="00FA48C6" w:rsidRPr="006D6727">
        <w:rPr>
          <w:rStyle w:val="ECCParagraph"/>
          <w:noProof/>
        </w:rPr>
        <w:t xml:space="preserve"> </w:t>
      </w:r>
      <w:r w:rsidR="005F1928" w:rsidRPr="006D6727">
        <w:rPr>
          <w:rStyle w:val="ECCParagraph"/>
          <w:noProof/>
        </w:rPr>
        <w:t>immediate</w:t>
      </w:r>
      <w:r w:rsidR="002169BF" w:rsidRPr="006D6727">
        <w:rPr>
          <w:rStyle w:val="ECCParagraph"/>
          <w:noProof/>
        </w:rPr>
        <w:t>-</w:t>
      </w:r>
      <w:r w:rsidR="00FA48C6" w:rsidRPr="006D6727">
        <w:rPr>
          <w:rStyle w:val="ECCParagraph"/>
          <w:noProof/>
        </w:rPr>
        <w:t>sale devices show.</w:t>
      </w:r>
      <w:r w:rsidR="00C93C10" w:rsidRPr="006D6727">
        <w:rPr>
          <w:rStyle w:val="ECCParagraph"/>
          <w:noProof/>
        </w:rPr>
        <w:t xml:space="preserve"> However, for LPR devices </w:t>
      </w:r>
      <w:r w:rsidR="002169BF" w:rsidRPr="006D6727">
        <w:rPr>
          <w:rStyle w:val="ECCParagraph"/>
          <w:noProof/>
        </w:rPr>
        <w:t>in higher frequency bands the maximum measurement ranges will</w:t>
      </w:r>
      <w:r w:rsidR="00317732" w:rsidRPr="006D6727">
        <w:rPr>
          <w:rStyle w:val="ECCParagraph"/>
          <w:noProof/>
        </w:rPr>
        <w:t xml:space="preserve"> </w:t>
      </w:r>
      <w:r w:rsidR="002169BF" w:rsidRPr="006D6727">
        <w:rPr>
          <w:rStyle w:val="ECCParagraph"/>
          <w:noProof/>
        </w:rPr>
        <w:t>drop due to higher free space attenuation and a lowered sensitivity of the receiver architecture.</w:t>
      </w:r>
    </w:p>
    <w:p w14:paraId="08F15920" w14:textId="6D5F0CC2" w:rsidR="002169BF" w:rsidRPr="006D6727" w:rsidRDefault="00605B74" w:rsidP="006B7173">
      <w:pPr>
        <w:pStyle w:val="ECCBulletsLv1"/>
        <w:numPr>
          <w:ilvl w:val="0"/>
          <w:numId w:val="0"/>
        </w:numPr>
        <w:spacing w:before="240" w:after="60"/>
        <w:rPr>
          <w:rStyle w:val="ECCParagraph"/>
          <w:noProof/>
        </w:rPr>
      </w:pPr>
      <w:r w:rsidRPr="006D6727">
        <w:rPr>
          <w:rStyle w:val="ECCParagraph"/>
          <w:noProof/>
        </w:rPr>
        <w:t>It is therefore anticipated that 90</w:t>
      </w:r>
      <w:r w:rsidR="00F800A2">
        <w:rPr>
          <w:rStyle w:val="ECCParagraph"/>
          <w:noProof/>
        </w:rPr>
        <w:t>%</w:t>
      </w:r>
      <w:r w:rsidRPr="006D6727">
        <w:rPr>
          <w:rStyle w:val="ECCParagraph"/>
          <w:noProof/>
        </w:rPr>
        <w:t xml:space="preserve"> of all outdoor LPRs under consideration will be installed in heights from 0</w:t>
      </w:r>
      <w:r w:rsidR="00CF4994">
        <w:rPr>
          <w:rStyle w:val="ECCParagraph"/>
          <w:noProof/>
        </w:rPr>
        <w:t>.5</w:t>
      </w:r>
      <w:r w:rsidRPr="006D6727">
        <w:rPr>
          <w:rStyle w:val="ECCParagraph"/>
          <w:noProof/>
        </w:rPr>
        <w:t xml:space="preserve"> to 5 m. The remaining 10</w:t>
      </w:r>
      <w:r w:rsidR="00F800A2">
        <w:rPr>
          <w:rStyle w:val="ECCParagraph"/>
          <w:noProof/>
        </w:rPr>
        <w:t>%</w:t>
      </w:r>
      <w:r w:rsidRPr="006D6727">
        <w:rPr>
          <w:rStyle w:val="ECCParagraph"/>
          <w:noProof/>
        </w:rPr>
        <w:t xml:space="preserve"> are expected </w:t>
      </w:r>
      <w:r w:rsidR="00341C6C" w:rsidRPr="006D6727">
        <w:rPr>
          <w:rStyle w:val="ECCParagraph"/>
          <w:noProof/>
        </w:rPr>
        <w:t xml:space="preserve">in </w:t>
      </w:r>
      <w:r w:rsidRPr="006D6727">
        <w:rPr>
          <w:rStyle w:val="ECCParagraph"/>
          <w:noProof/>
        </w:rPr>
        <w:t>5 to 10 m above ground.</w:t>
      </w:r>
      <w:r w:rsidR="00341C6C" w:rsidRPr="006D6727">
        <w:rPr>
          <w:rStyle w:val="ECCParagraph"/>
          <w:noProof/>
        </w:rPr>
        <w:t xml:space="preserve"> </w:t>
      </w:r>
      <w:r w:rsidR="002169BF" w:rsidRPr="006D6727">
        <w:rPr>
          <w:rStyle w:val="ECCParagraph"/>
          <w:noProof/>
        </w:rPr>
        <w:t xml:space="preserve">For aggregated interference scenarios it is therefore proposed to use </w:t>
      </w:r>
      <w:r w:rsidR="00B943B6" w:rsidRPr="006D6727">
        <w:rPr>
          <w:rStyle w:val="ECCParagraph"/>
          <w:noProof/>
        </w:rPr>
        <w:t>these figures</w:t>
      </w:r>
      <w:r w:rsidR="00341C6C" w:rsidRPr="006D6727">
        <w:rPr>
          <w:rStyle w:val="ECCParagraph"/>
          <w:noProof/>
        </w:rPr>
        <w:t>.</w:t>
      </w:r>
    </w:p>
    <w:p w14:paraId="2DF4C63E" w14:textId="77777777" w:rsidR="007B06EC" w:rsidRPr="006D6727" w:rsidRDefault="005A55E4" w:rsidP="004E36C2">
      <w:pPr>
        <w:pStyle w:val="Heading4"/>
        <w:rPr>
          <w:noProof/>
        </w:rPr>
      </w:pPr>
      <w:r w:rsidRPr="006D6727">
        <w:rPr>
          <w:noProof/>
        </w:rPr>
        <w:t xml:space="preserve"> </w:t>
      </w:r>
      <w:bookmarkStart w:id="223" w:name="_Ref66452152"/>
      <w:bookmarkStart w:id="224" w:name="_Toc84325271"/>
      <w:r w:rsidRPr="006D6727">
        <w:rPr>
          <w:noProof/>
        </w:rPr>
        <w:t>Frequency ranges and application types</w:t>
      </w:r>
      <w:bookmarkEnd w:id="223"/>
      <w:bookmarkEnd w:id="224"/>
    </w:p>
    <w:p w14:paraId="2265F30B" w14:textId="24EF6EEC" w:rsidR="0056651A" w:rsidRPr="006D6727" w:rsidRDefault="00736638" w:rsidP="006A4AAE">
      <w:pPr>
        <w:rPr>
          <w:rStyle w:val="ECCParagraph"/>
          <w:noProof/>
        </w:rPr>
      </w:pPr>
      <w:r w:rsidRPr="006D6727">
        <w:rPr>
          <w:rStyle w:val="ECCParagraph"/>
          <w:noProof/>
        </w:rPr>
        <w:t xml:space="preserve">Level </w:t>
      </w:r>
      <w:r w:rsidR="00FE1233" w:rsidRPr="006D6727">
        <w:rPr>
          <w:rStyle w:val="ECCParagraph"/>
          <w:noProof/>
        </w:rPr>
        <w:t>P</w:t>
      </w:r>
      <w:r w:rsidRPr="006D6727">
        <w:rPr>
          <w:rStyle w:val="ECCParagraph"/>
          <w:noProof/>
        </w:rPr>
        <w:t xml:space="preserve">robing </w:t>
      </w:r>
      <w:r w:rsidR="00FE1233" w:rsidRPr="006D6727">
        <w:rPr>
          <w:rStyle w:val="ECCParagraph"/>
          <w:noProof/>
        </w:rPr>
        <w:t>R</w:t>
      </w:r>
      <w:r w:rsidRPr="006D6727">
        <w:rPr>
          <w:rStyle w:val="ECCParagraph"/>
          <w:noProof/>
        </w:rPr>
        <w:t xml:space="preserve">adars </w:t>
      </w:r>
      <w:r w:rsidR="00627269" w:rsidRPr="006D6727">
        <w:rPr>
          <w:rStyle w:val="ECCParagraph"/>
          <w:noProof/>
        </w:rPr>
        <w:t xml:space="preserve">(LPR) </w:t>
      </w:r>
      <w:r w:rsidR="00464ADF" w:rsidRPr="006D6727">
        <w:rPr>
          <w:rStyle w:val="ECCParagraph"/>
          <w:noProof/>
        </w:rPr>
        <w:t>have been</w:t>
      </w:r>
      <w:r w:rsidRPr="006D6727">
        <w:rPr>
          <w:rStyle w:val="ECCParagraph"/>
          <w:noProof/>
        </w:rPr>
        <w:t xml:space="preserve"> categorised as type B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w:instrText>
      </w:r>
      <w:r w:rsidR="0056651A" w:rsidRPr="006D6727">
        <w:rPr>
          <w:rStyle w:val="ECCParagraph"/>
          <w:noProof/>
        </w:rPr>
        <w:instrText xml:space="preserve"> \* MERGEFORMAT </w:instrText>
      </w:r>
      <w:r w:rsidRPr="006D6727">
        <w:rPr>
          <w:rStyle w:val="ECCParagraph"/>
          <w:noProof/>
        </w:rPr>
      </w:r>
      <w:r w:rsidRPr="006D6727">
        <w:rPr>
          <w:rStyle w:val="ECCParagraph"/>
          <w:noProof/>
        </w:rPr>
        <w:fldChar w:fldCharType="separate"/>
      </w:r>
      <w:r w:rsidR="004F49F9">
        <w:rPr>
          <w:rStyle w:val="ECCParagraph"/>
          <w:noProof/>
        </w:rPr>
        <w:t>2.1</w:t>
      </w:r>
      <w:r w:rsidRPr="006D6727">
        <w:rPr>
          <w:rStyle w:val="ECCParagraph"/>
          <w:noProof/>
        </w:rPr>
        <w:fldChar w:fldCharType="end"/>
      </w:r>
      <w:r w:rsidRPr="006D6727">
        <w:rPr>
          <w:rStyle w:val="ECCParagraph"/>
          <w:noProof/>
        </w:rPr>
        <w:t xml:space="preserve">). The </w:t>
      </w:r>
      <w:r w:rsidR="006A4AAE" w:rsidRPr="006D6727">
        <w:rPr>
          <w:rStyle w:val="ECCParagraph"/>
          <w:noProof/>
        </w:rPr>
        <w:t xml:space="preserve">following </w:t>
      </w:r>
      <w:r w:rsidRPr="006D6727">
        <w:rPr>
          <w:rStyle w:val="ECCParagraph"/>
          <w:noProof/>
        </w:rPr>
        <w:t>frequency ranges</w:t>
      </w:r>
      <w:r w:rsidR="0056651A" w:rsidRPr="006D6727">
        <w:rPr>
          <w:rStyle w:val="ECCParagraph"/>
          <w:noProof/>
        </w:rPr>
        <w:t xml:space="preserve"> </w:t>
      </w:r>
      <w:r w:rsidR="00627269" w:rsidRPr="006D6727">
        <w:rPr>
          <w:rStyle w:val="ECCParagraph"/>
          <w:noProof/>
        </w:rPr>
        <w:t>are proposed to be considered</w:t>
      </w:r>
      <w:r w:rsidR="0056651A" w:rsidRPr="006D6727">
        <w:rPr>
          <w:rStyle w:val="ECCParagraph"/>
          <w:noProof/>
        </w:rPr>
        <w:t xml:space="preserve"> for this </w:t>
      </w:r>
      <w:r w:rsidR="007C5588" w:rsidRPr="006D6727">
        <w:rPr>
          <w:rStyle w:val="ECCParagraph"/>
          <w:noProof/>
        </w:rPr>
        <w:t xml:space="preserve">type </w:t>
      </w:r>
      <w:r w:rsidR="00627269" w:rsidRPr="006D6727">
        <w:rPr>
          <w:rStyle w:val="ECCParagraph"/>
          <w:noProof/>
        </w:rPr>
        <w:t xml:space="preserve">of </w:t>
      </w:r>
      <w:r w:rsidR="0056651A" w:rsidRPr="006D6727">
        <w:rPr>
          <w:rStyle w:val="ECCParagraph"/>
          <w:noProof/>
        </w:rPr>
        <w:t xml:space="preserve">application (see </w:t>
      </w:r>
      <w:r w:rsidR="002A3059" w:rsidRPr="006D6727">
        <w:rPr>
          <w:rStyle w:val="ECCParagraph"/>
          <w:noProof/>
        </w:rPr>
        <w:fldChar w:fldCharType="begin"/>
      </w:r>
      <w:r w:rsidR="002A3059" w:rsidRPr="006D6727">
        <w:rPr>
          <w:rStyle w:val="ECCParagraph"/>
          <w:noProof/>
        </w:rPr>
        <w:instrText xml:space="preserve"> REF _Ref15636825 \h </w:instrText>
      </w:r>
      <w:r w:rsidR="002A3059" w:rsidRPr="006D6727">
        <w:rPr>
          <w:rStyle w:val="ECCParagraph"/>
          <w:noProof/>
        </w:rPr>
      </w:r>
      <w:r w:rsidR="002A3059" w:rsidRPr="006D6727">
        <w:rPr>
          <w:rStyle w:val="ECCParagraph"/>
          <w:noProof/>
        </w:rPr>
        <w:fldChar w:fldCharType="separate"/>
      </w:r>
      <w:r w:rsidR="0041125F" w:rsidRPr="006D6727">
        <w:rPr>
          <w:noProof/>
        </w:rPr>
        <w:t>Table </w:t>
      </w:r>
      <w:r w:rsidR="0041125F">
        <w:rPr>
          <w:noProof/>
        </w:rPr>
        <w:t>33</w:t>
      </w:r>
      <w:r w:rsidR="002A3059" w:rsidRPr="006D6727">
        <w:rPr>
          <w:rStyle w:val="ECCParagraph"/>
          <w:noProof/>
        </w:rPr>
        <w:fldChar w:fldCharType="end"/>
      </w:r>
      <w:r w:rsidR="002A3059" w:rsidRPr="006D6727">
        <w:rPr>
          <w:rStyle w:val="ECCParagraph"/>
          <w:noProof/>
        </w:rPr>
        <w:t>):</w:t>
      </w:r>
    </w:p>
    <w:p w14:paraId="3C29C184" w14:textId="77777777" w:rsidR="00ED0C5D" w:rsidRPr="006D6727" w:rsidRDefault="00ED0C5D" w:rsidP="00ED0C5D">
      <w:pPr>
        <w:pStyle w:val="ECCBulletsLv1"/>
        <w:rPr>
          <w:rStyle w:val="ECCParagraph"/>
          <w:noProof/>
        </w:rPr>
      </w:pPr>
      <w:r w:rsidRPr="006D6727">
        <w:rPr>
          <w:rStyle w:val="ECCParagraph"/>
          <w:noProof/>
        </w:rPr>
        <w:t>116 GHz to 148</w:t>
      </w:r>
      <w:r w:rsidR="00CF4994">
        <w:rPr>
          <w:rStyle w:val="ECCParagraph"/>
          <w:noProof/>
        </w:rPr>
        <w:t>.5</w:t>
      </w:r>
      <w:r w:rsidRPr="006D6727">
        <w:rPr>
          <w:rStyle w:val="ECCParagraph"/>
          <w:noProof/>
        </w:rPr>
        <w:t> GHz</w:t>
      </w:r>
      <w:r w:rsidR="009F21AB" w:rsidRPr="006D6727">
        <w:rPr>
          <w:rStyle w:val="ECCParagraph"/>
          <w:noProof/>
        </w:rPr>
        <w:t>;</w:t>
      </w:r>
    </w:p>
    <w:p w14:paraId="28F1BA99" w14:textId="77777777" w:rsidR="0056651A" w:rsidRPr="006D6727" w:rsidRDefault="00736638" w:rsidP="006A4AAE">
      <w:pPr>
        <w:pStyle w:val="ECCBulletsLv1"/>
        <w:rPr>
          <w:rStyle w:val="ECCParagraph"/>
          <w:noProof/>
        </w:rPr>
      </w:pPr>
      <w:r w:rsidRPr="006D6727">
        <w:rPr>
          <w:rStyle w:val="ECCParagraph"/>
          <w:noProof/>
        </w:rPr>
        <w:t>167 GHz to 182 GHz</w:t>
      </w:r>
      <w:r w:rsidR="009F21AB" w:rsidRPr="006D6727">
        <w:rPr>
          <w:rStyle w:val="ECCParagraph"/>
          <w:noProof/>
        </w:rPr>
        <w:t>;</w:t>
      </w:r>
    </w:p>
    <w:p w14:paraId="5C904AA9" w14:textId="77777777" w:rsidR="00627269" w:rsidRPr="006D6727" w:rsidRDefault="00736638" w:rsidP="006A4AAE">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r w:rsidR="00146AED" w:rsidRPr="006D6727">
        <w:rPr>
          <w:rStyle w:val="ECCParagraph"/>
          <w:noProof/>
        </w:rPr>
        <w:t>.</w:t>
      </w:r>
    </w:p>
    <w:p w14:paraId="268D0F63" w14:textId="77777777" w:rsidR="001C1693" w:rsidRPr="006D6727" w:rsidRDefault="001C1693" w:rsidP="004E36C2">
      <w:pPr>
        <w:pStyle w:val="Heading4"/>
        <w:rPr>
          <w:noProof/>
        </w:rPr>
      </w:pPr>
      <w:bookmarkStart w:id="225" w:name="_Ref20319451"/>
      <w:bookmarkStart w:id="226" w:name="_Ref20319501"/>
      <w:bookmarkStart w:id="227" w:name="_Toc84325272"/>
      <w:r w:rsidRPr="006D6727">
        <w:rPr>
          <w:noProof/>
        </w:rPr>
        <w:t>Technical parameters</w:t>
      </w:r>
      <w:bookmarkEnd w:id="225"/>
      <w:bookmarkEnd w:id="226"/>
      <w:bookmarkEnd w:id="227"/>
    </w:p>
    <w:p w14:paraId="0C940237" w14:textId="26C7A31E" w:rsidR="007F7F8A" w:rsidRPr="006D6727" w:rsidRDefault="009534CF" w:rsidP="004B4C8B">
      <w:pPr>
        <w:pStyle w:val="ECCTabletext"/>
        <w:rPr>
          <w:rStyle w:val="ECCParagraph"/>
          <w:noProof/>
        </w:rPr>
      </w:pPr>
      <w:r w:rsidRPr="006D6727">
        <w:rPr>
          <w:rStyle w:val="ECCParagraph"/>
          <w:noProof/>
        </w:rPr>
        <w:fldChar w:fldCharType="begin"/>
      </w:r>
      <w:r w:rsidRPr="006D6727">
        <w:rPr>
          <w:rStyle w:val="ECCParagraph"/>
          <w:noProof/>
        </w:rPr>
        <w:instrText xml:space="preserve"> REF _Ref2012710 \h  \* MERGEFORMAT </w:instrText>
      </w:r>
      <w:r w:rsidRPr="006D6727">
        <w:rPr>
          <w:rStyle w:val="ECCParagraph"/>
          <w:noProof/>
        </w:rPr>
      </w:r>
      <w:r w:rsidRPr="006D6727">
        <w:rPr>
          <w:rStyle w:val="ECCParagraph"/>
          <w:noProof/>
        </w:rPr>
        <w:fldChar w:fldCharType="separate"/>
      </w:r>
      <w:r w:rsidR="0041125F" w:rsidRPr="0041125F">
        <w:rPr>
          <w:rStyle w:val="ECCParagraph"/>
          <w:noProof/>
        </w:rPr>
        <w:t>Table 22</w:t>
      </w:r>
      <w:r w:rsidRPr="006D6727">
        <w:rPr>
          <w:rStyle w:val="ECCParagraph"/>
          <w:noProof/>
        </w:rPr>
        <w:fldChar w:fldCharType="end"/>
      </w:r>
      <w:r w:rsidRPr="006D6727">
        <w:rPr>
          <w:rStyle w:val="ECCParagraph"/>
          <w:noProof/>
        </w:rPr>
        <w:t xml:space="preserve"> </w:t>
      </w:r>
      <w:r w:rsidR="00A07321" w:rsidRPr="006D6727">
        <w:rPr>
          <w:rStyle w:val="ECCParagraph"/>
          <w:noProof/>
        </w:rPr>
        <w:t>gives</w:t>
      </w:r>
      <w:r w:rsidRPr="006D6727">
        <w:rPr>
          <w:rStyle w:val="ECCParagraph"/>
          <w:noProof/>
        </w:rPr>
        <w:t xml:space="preserve"> an overview of the </w:t>
      </w:r>
      <w:r w:rsidR="000B1E91" w:rsidRPr="006D6727">
        <w:rPr>
          <w:rStyle w:val="ECCParagraph"/>
          <w:noProof/>
        </w:rPr>
        <w:t xml:space="preserve">technical parameters of LPR devices which </w:t>
      </w:r>
      <w:r w:rsidR="007C0F11" w:rsidRPr="006D6727">
        <w:rPr>
          <w:rStyle w:val="ECCParagraph"/>
          <w:noProof/>
        </w:rPr>
        <w:t>may be</w:t>
      </w:r>
      <w:r w:rsidR="000B1E91" w:rsidRPr="006D6727">
        <w:rPr>
          <w:rStyle w:val="ECCParagraph"/>
          <w:noProof/>
        </w:rPr>
        <w:t xml:space="preserve"> relevant for conducting the </w:t>
      </w:r>
      <w:r w:rsidR="00586A5E" w:rsidRPr="006D6727">
        <w:rPr>
          <w:rStyle w:val="ECCParagraph"/>
          <w:noProof/>
        </w:rPr>
        <w:t xml:space="preserve">compatibility </w:t>
      </w:r>
      <w:r w:rsidR="000B1E91" w:rsidRPr="006D6727">
        <w:rPr>
          <w:rStyle w:val="ECCParagraph"/>
          <w:noProof/>
        </w:rPr>
        <w:t>studies.</w:t>
      </w:r>
    </w:p>
    <w:p w14:paraId="2525A2C4" w14:textId="68D0F798" w:rsidR="00A256BC" w:rsidRPr="006D6727" w:rsidRDefault="00A256BC" w:rsidP="00A256BC">
      <w:pPr>
        <w:pStyle w:val="Caption"/>
        <w:rPr>
          <w:rStyle w:val="ECCHLyellow"/>
          <w:noProof/>
        </w:rPr>
      </w:pPr>
      <w:bookmarkStart w:id="228" w:name="_Ref2012710"/>
      <w:r w:rsidRPr="006D6727">
        <w:rPr>
          <w:noProof/>
          <w:lang w:val="en-GB"/>
        </w:rPr>
        <w:t>Table</w:t>
      </w:r>
      <w:r w:rsidR="00D051AF" w:rsidRPr="006D6727">
        <w:rPr>
          <w:noProof/>
          <w:lang w:val="en-GB"/>
        </w:rPr>
        <w:t> </w:t>
      </w:r>
      <w:r w:rsidR="0021439D" w:rsidRPr="006D6727">
        <w:rPr>
          <w:noProof/>
          <w:lang w:val="en-GB"/>
        </w:rPr>
        <w:fldChar w:fldCharType="begin"/>
      </w:r>
      <w:r w:rsidR="0021439D" w:rsidRPr="006D6727">
        <w:rPr>
          <w:noProof/>
          <w:lang w:val="en-GB"/>
        </w:rPr>
        <w:instrText xml:space="preserve"> SEQ Table \* ARABIC </w:instrText>
      </w:r>
      <w:r w:rsidR="0021439D" w:rsidRPr="006D6727">
        <w:rPr>
          <w:noProof/>
          <w:lang w:val="en-GB"/>
        </w:rPr>
        <w:fldChar w:fldCharType="separate"/>
      </w:r>
      <w:r w:rsidR="004F49F9">
        <w:rPr>
          <w:noProof/>
          <w:lang w:val="en-GB"/>
        </w:rPr>
        <w:t>22</w:t>
      </w:r>
      <w:r w:rsidR="0021439D" w:rsidRPr="006D6727">
        <w:rPr>
          <w:noProof/>
          <w:lang w:val="en-GB"/>
        </w:rPr>
        <w:fldChar w:fldCharType="end"/>
      </w:r>
      <w:bookmarkEnd w:id="228"/>
      <w:r w:rsidRPr="006D6727">
        <w:rPr>
          <w:noProof/>
          <w:lang w:val="en-GB"/>
        </w:rPr>
        <w:t xml:space="preserve">: </w:t>
      </w:r>
      <w:r w:rsidRPr="006D6727">
        <w:rPr>
          <w:rStyle w:val="ECCParagraph"/>
          <w:rFonts w:eastAsia="Calibri"/>
          <w:noProof/>
        </w:rPr>
        <w:t xml:space="preserve">Technical </w:t>
      </w:r>
      <w:r w:rsidR="007901AE" w:rsidRPr="006D6727">
        <w:rPr>
          <w:rStyle w:val="ECCParagraph"/>
          <w:rFonts w:eastAsia="Calibri"/>
          <w:noProof/>
        </w:rPr>
        <w:t>parameters of LPR equipment</w:t>
      </w:r>
    </w:p>
    <w:tbl>
      <w:tblPr>
        <w:tblStyle w:val="ECCTable-redheader"/>
        <w:tblW w:w="5000" w:type="pct"/>
        <w:tblInd w:w="0" w:type="dxa"/>
        <w:tblLook w:val="04A0" w:firstRow="1" w:lastRow="0" w:firstColumn="1" w:lastColumn="0" w:noHBand="0" w:noVBand="1"/>
      </w:tblPr>
      <w:tblGrid>
        <w:gridCol w:w="2892"/>
        <w:gridCol w:w="3199"/>
        <w:gridCol w:w="3538"/>
      </w:tblGrid>
      <w:tr w:rsidR="00C665BE" w:rsidRPr="006D6727" w14:paraId="3C4FC56A" w14:textId="77777777" w:rsidTr="004B4C8B">
        <w:trPr>
          <w:cnfStyle w:val="100000000000" w:firstRow="1" w:lastRow="0" w:firstColumn="0" w:lastColumn="0" w:oddVBand="0" w:evenVBand="0" w:oddHBand="0" w:evenHBand="0" w:firstRowFirstColumn="0" w:firstRowLastColumn="0" w:lastRowFirstColumn="0" w:lastRowLastColumn="0"/>
        </w:trPr>
        <w:tc>
          <w:tcPr>
            <w:tcW w:w="1502" w:type="pct"/>
          </w:tcPr>
          <w:p w14:paraId="2FE2082E" w14:textId="77777777" w:rsidR="00C665BE" w:rsidRPr="006D6727" w:rsidRDefault="00C665BE" w:rsidP="004B4C8B">
            <w:pPr>
              <w:pStyle w:val="ECCTableHeaderwhitefont"/>
              <w:rPr>
                <w:rStyle w:val="ECCParagraph"/>
                <w:noProof/>
              </w:rPr>
            </w:pPr>
            <w:r w:rsidRPr="006D6727">
              <w:rPr>
                <w:rStyle w:val="ECCParagraph"/>
                <w:noProof/>
              </w:rPr>
              <w:t>Parameter</w:t>
            </w:r>
          </w:p>
        </w:tc>
        <w:tc>
          <w:tcPr>
            <w:tcW w:w="1661" w:type="pct"/>
          </w:tcPr>
          <w:p w14:paraId="0D60916C" w14:textId="77777777" w:rsidR="00C665BE" w:rsidRPr="006D6727" w:rsidRDefault="00C665BE" w:rsidP="004B4C8B">
            <w:pPr>
              <w:pStyle w:val="ECCTableHeaderwhitefont"/>
              <w:rPr>
                <w:rStyle w:val="ECCParagraph"/>
                <w:noProof/>
              </w:rPr>
            </w:pPr>
            <w:r w:rsidRPr="006D6727">
              <w:rPr>
                <w:rStyle w:val="ECCParagraph"/>
                <w:noProof/>
              </w:rPr>
              <w:t>Value</w:t>
            </w:r>
          </w:p>
        </w:tc>
        <w:tc>
          <w:tcPr>
            <w:tcW w:w="1837" w:type="pct"/>
          </w:tcPr>
          <w:p w14:paraId="4CB7A55D" w14:textId="77777777" w:rsidR="00C665BE" w:rsidRPr="006D6727" w:rsidRDefault="00C665BE" w:rsidP="004B4C8B">
            <w:pPr>
              <w:pStyle w:val="ECCTableHeaderwhitefont"/>
              <w:rPr>
                <w:rStyle w:val="ECCParagraph"/>
                <w:noProof/>
              </w:rPr>
            </w:pPr>
            <w:r w:rsidRPr="006D6727">
              <w:rPr>
                <w:rStyle w:val="ECCParagraph"/>
                <w:noProof/>
              </w:rPr>
              <w:t>Note</w:t>
            </w:r>
            <w:r w:rsidR="00CF2565" w:rsidRPr="006D6727">
              <w:rPr>
                <w:rStyle w:val="ECCParagraph"/>
                <w:noProof/>
              </w:rPr>
              <w:t>s</w:t>
            </w:r>
          </w:p>
        </w:tc>
      </w:tr>
      <w:tr w:rsidR="00C665BE" w:rsidRPr="006D6727" w14:paraId="4FFB3075" w14:textId="77777777" w:rsidTr="004B4C8B">
        <w:trPr>
          <w:trHeight w:val="265"/>
        </w:trPr>
        <w:tc>
          <w:tcPr>
            <w:tcW w:w="1502" w:type="pct"/>
          </w:tcPr>
          <w:p w14:paraId="5B554B2C" w14:textId="77777777" w:rsidR="00C665BE" w:rsidRPr="006D6727" w:rsidRDefault="00C665BE" w:rsidP="00031A36">
            <w:pPr>
              <w:pStyle w:val="ECCTabletext"/>
              <w:jc w:val="left"/>
              <w:rPr>
                <w:rStyle w:val="ECCParagraph"/>
                <w:noProof/>
              </w:rPr>
            </w:pPr>
            <w:r w:rsidRPr="006D6727">
              <w:rPr>
                <w:rStyle w:val="ECCParagraph"/>
                <w:noProof/>
              </w:rPr>
              <w:t>Modulation scheme</w:t>
            </w:r>
          </w:p>
        </w:tc>
        <w:tc>
          <w:tcPr>
            <w:tcW w:w="1661" w:type="pct"/>
          </w:tcPr>
          <w:p w14:paraId="7231C4C0" w14:textId="77777777" w:rsidR="00C665BE" w:rsidRPr="006D6727" w:rsidRDefault="00C665BE" w:rsidP="00031A36">
            <w:pPr>
              <w:pStyle w:val="ECCTabletext"/>
              <w:jc w:val="left"/>
              <w:rPr>
                <w:rStyle w:val="ECCParagraph"/>
                <w:noProof/>
              </w:rPr>
            </w:pPr>
            <w:r w:rsidRPr="006D6727">
              <w:rPr>
                <w:rStyle w:val="ECCParagraph"/>
                <w:noProof/>
              </w:rPr>
              <w:t>Frequency Modulated Continuous Wave (FMCW)</w:t>
            </w:r>
          </w:p>
        </w:tc>
        <w:tc>
          <w:tcPr>
            <w:tcW w:w="1837" w:type="pct"/>
          </w:tcPr>
          <w:p w14:paraId="7A55FDEC" w14:textId="77777777" w:rsidR="00C665BE" w:rsidRPr="006D6727" w:rsidRDefault="00C665BE" w:rsidP="00CA0902">
            <w:pPr>
              <w:pStyle w:val="ECCTabletext"/>
              <w:rPr>
                <w:rStyle w:val="ECCParagraph"/>
                <w:noProof/>
              </w:rPr>
            </w:pPr>
          </w:p>
        </w:tc>
      </w:tr>
      <w:tr w:rsidR="00C665BE" w:rsidRPr="006D6727" w14:paraId="52636A66" w14:textId="77777777" w:rsidTr="004B4C8B">
        <w:trPr>
          <w:trHeight w:val="265"/>
        </w:trPr>
        <w:tc>
          <w:tcPr>
            <w:tcW w:w="1502" w:type="pct"/>
          </w:tcPr>
          <w:p w14:paraId="727EDDBB" w14:textId="77777777" w:rsidR="00C665BE" w:rsidRPr="006D6727" w:rsidRDefault="00C665BE" w:rsidP="00031A36">
            <w:pPr>
              <w:pStyle w:val="ECCTabletext"/>
              <w:jc w:val="left"/>
              <w:rPr>
                <w:rStyle w:val="ECCParagraph"/>
                <w:noProof/>
              </w:rPr>
            </w:pPr>
            <w:r w:rsidRPr="006D6727">
              <w:rPr>
                <w:rStyle w:val="ECCParagraph"/>
                <w:noProof/>
              </w:rPr>
              <w:t>Operating frequency range (OFR)</w:t>
            </w:r>
          </w:p>
        </w:tc>
        <w:tc>
          <w:tcPr>
            <w:tcW w:w="1661" w:type="pct"/>
          </w:tcPr>
          <w:p w14:paraId="080D37FD" w14:textId="77777777" w:rsidR="00362626" w:rsidRPr="006D6727" w:rsidRDefault="00362626" w:rsidP="00031A36">
            <w:pPr>
              <w:pStyle w:val="ECCTabletext"/>
              <w:jc w:val="left"/>
              <w:rPr>
                <w:rStyle w:val="ECCParagraph"/>
                <w:noProof/>
              </w:rPr>
            </w:pPr>
            <w:r w:rsidRPr="006D6727">
              <w:rPr>
                <w:rStyle w:val="ECCParagraph"/>
                <w:noProof/>
              </w:rPr>
              <w:t>116−148</w:t>
            </w:r>
            <w:r w:rsidR="00CF4994">
              <w:rPr>
                <w:rStyle w:val="ECCParagraph"/>
                <w:noProof/>
              </w:rPr>
              <w:t>.5</w:t>
            </w:r>
            <w:r w:rsidRPr="006D6727">
              <w:rPr>
                <w:rStyle w:val="ECCParagraph"/>
                <w:noProof/>
              </w:rPr>
              <w:t> GHz</w:t>
            </w:r>
          </w:p>
          <w:p w14:paraId="7E298B7F" w14:textId="77777777" w:rsidR="00362626" w:rsidRPr="006D6727" w:rsidRDefault="00C665BE" w:rsidP="00031A36">
            <w:pPr>
              <w:pStyle w:val="ECCTabletext"/>
              <w:jc w:val="left"/>
              <w:rPr>
                <w:rStyle w:val="ECCParagraph"/>
                <w:noProof/>
              </w:rPr>
            </w:pPr>
            <w:r w:rsidRPr="006D6727">
              <w:rPr>
                <w:rStyle w:val="ECCParagraph"/>
                <w:noProof/>
              </w:rPr>
              <w:t>167−182 GHz</w:t>
            </w:r>
          </w:p>
          <w:p w14:paraId="1AD975E2" w14:textId="77777777" w:rsidR="00C665BE" w:rsidRPr="006D6727" w:rsidRDefault="00C665BE" w:rsidP="00031A36">
            <w:pPr>
              <w:pStyle w:val="ECCTabletext"/>
              <w:jc w:val="left"/>
              <w:rPr>
                <w:rStyle w:val="ECCParagraph"/>
                <w:noProof/>
              </w:rPr>
            </w:pPr>
            <w:r w:rsidRPr="006D6727">
              <w:rPr>
                <w:rStyle w:val="ECCParagraph"/>
                <w:noProof/>
              </w:rPr>
              <w:t>231</w:t>
            </w:r>
            <w:r w:rsidR="00CF4994">
              <w:rPr>
                <w:rStyle w:val="ECCParagraph"/>
                <w:noProof/>
              </w:rPr>
              <w:t>.5</w:t>
            </w:r>
            <w:r w:rsidRPr="006D6727">
              <w:rPr>
                <w:rStyle w:val="ECCParagraph"/>
                <w:noProof/>
              </w:rPr>
              <w:t>−250 GHz</w:t>
            </w:r>
          </w:p>
        </w:tc>
        <w:tc>
          <w:tcPr>
            <w:tcW w:w="1837" w:type="pct"/>
          </w:tcPr>
          <w:p w14:paraId="238C2490" w14:textId="77777777" w:rsidR="00C665BE" w:rsidRPr="006D6727" w:rsidRDefault="00C665BE" w:rsidP="00CA0902">
            <w:pPr>
              <w:pStyle w:val="ECCTabletext"/>
              <w:rPr>
                <w:rStyle w:val="ECCParagraph"/>
                <w:noProof/>
              </w:rPr>
            </w:pPr>
          </w:p>
        </w:tc>
      </w:tr>
      <w:tr w:rsidR="00C665BE" w:rsidRPr="006D6727" w14:paraId="38249191" w14:textId="77777777" w:rsidTr="004B4C8B">
        <w:trPr>
          <w:trHeight w:val="265"/>
        </w:trPr>
        <w:tc>
          <w:tcPr>
            <w:tcW w:w="1502" w:type="pct"/>
          </w:tcPr>
          <w:p w14:paraId="4AF5ACD6" w14:textId="77777777" w:rsidR="00C665BE" w:rsidRPr="006D6727" w:rsidRDefault="00C665BE" w:rsidP="00031A36">
            <w:pPr>
              <w:pStyle w:val="ECCTabletext"/>
              <w:jc w:val="left"/>
              <w:rPr>
                <w:rStyle w:val="ECCParagraph"/>
                <w:noProof/>
              </w:rPr>
            </w:pPr>
            <w:r w:rsidRPr="006D6727">
              <w:rPr>
                <w:rStyle w:val="ECCParagraph"/>
                <w:noProof/>
              </w:rPr>
              <w:t>Available modulation bandwidth</w:t>
            </w:r>
          </w:p>
        </w:tc>
        <w:tc>
          <w:tcPr>
            <w:tcW w:w="1661" w:type="pct"/>
          </w:tcPr>
          <w:p w14:paraId="4DF46927" w14:textId="77777777" w:rsidR="00C665BE" w:rsidRPr="006D6727" w:rsidRDefault="00CB499C" w:rsidP="00031A36">
            <w:pPr>
              <w:pStyle w:val="ECCTabletext"/>
              <w:jc w:val="left"/>
              <w:rPr>
                <w:rStyle w:val="ECCParagraph"/>
                <w:noProof/>
              </w:rPr>
            </w:pPr>
            <w:r w:rsidRPr="006D6727">
              <w:rPr>
                <w:rStyle w:val="ECCParagraph"/>
                <w:noProof/>
              </w:rPr>
              <w:t>32</w:t>
            </w:r>
            <w:r w:rsidR="00CF4994">
              <w:rPr>
                <w:rStyle w:val="ECCParagraph"/>
                <w:noProof/>
              </w:rPr>
              <w:t>.5</w:t>
            </w:r>
            <w:r w:rsidRPr="006D6727">
              <w:rPr>
                <w:rStyle w:val="ECCParagraph"/>
                <w:noProof/>
              </w:rPr>
              <w:t xml:space="preserve"> GHz, </w:t>
            </w:r>
            <w:r w:rsidR="00C665BE" w:rsidRPr="006D6727">
              <w:rPr>
                <w:rStyle w:val="ECCParagraph"/>
                <w:noProof/>
              </w:rPr>
              <w:t>15 GHz and 18</w:t>
            </w:r>
            <w:r w:rsidR="00CF4994">
              <w:rPr>
                <w:rStyle w:val="ECCParagraph"/>
                <w:noProof/>
              </w:rPr>
              <w:t>.5</w:t>
            </w:r>
            <w:r w:rsidR="00C665BE" w:rsidRPr="006D6727">
              <w:rPr>
                <w:rStyle w:val="ECCParagraph"/>
                <w:noProof/>
              </w:rPr>
              <w:t> GHz</w:t>
            </w:r>
          </w:p>
        </w:tc>
        <w:tc>
          <w:tcPr>
            <w:tcW w:w="1837" w:type="pct"/>
          </w:tcPr>
          <w:p w14:paraId="3472EE16" w14:textId="77777777" w:rsidR="00C665BE" w:rsidRPr="006D6727" w:rsidRDefault="00C665BE" w:rsidP="00CA0902">
            <w:pPr>
              <w:pStyle w:val="ECCTabletext"/>
              <w:rPr>
                <w:rStyle w:val="ECCParagraph"/>
                <w:noProof/>
              </w:rPr>
            </w:pPr>
          </w:p>
        </w:tc>
      </w:tr>
      <w:tr w:rsidR="00C665BE" w:rsidRPr="006D6727" w14:paraId="39917AE4" w14:textId="77777777" w:rsidTr="004B4C8B">
        <w:trPr>
          <w:trHeight w:val="265"/>
        </w:trPr>
        <w:tc>
          <w:tcPr>
            <w:tcW w:w="1502" w:type="pct"/>
          </w:tcPr>
          <w:p w14:paraId="6DF13DC4" w14:textId="77777777" w:rsidR="00C665BE" w:rsidRPr="006D6727" w:rsidRDefault="00C665BE" w:rsidP="00031A36">
            <w:pPr>
              <w:pStyle w:val="ECCTabletext"/>
              <w:jc w:val="left"/>
              <w:rPr>
                <w:rStyle w:val="ECCHLyellow"/>
                <w:noProof/>
                <w:shd w:val="clear" w:color="auto" w:fill="auto"/>
              </w:rPr>
            </w:pPr>
            <w:r w:rsidRPr="006D6727">
              <w:rPr>
                <w:rStyle w:val="ECCHLyellow"/>
                <w:noProof/>
                <w:shd w:val="clear" w:color="auto" w:fill="auto"/>
              </w:rPr>
              <w:t>Used modulation bandwidth</w:t>
            </w:r>
          </w:p>
        </w:tc>
        <w:tc>
          <w:tcPr>
            <w:tcW w:w="1661" w:type="pct"/>
          </w:tcPr>
          <w:p w14:paraId="5ADB7D17" w14:textId="34592069" w:rsidR="0046537B" w:rsidRPr="006D6727" w:rsidRDefault="006B7173" w:rsidP="00031A36">
            <w:pPr>
              <w:pStyle w:val="ECCTabletext"/>
              <w:jc w:val="left"/>
              <w:rPr>
                <w:rStyle w:val="ECCParagraph"/>
                <w:noProof/>
              </w:rPr>
            </w:pPr>
            <w:r>
              <w:rPr>
                <w:rStyle w:val="ECCParagraph"/>
              </w:rPr>
              <w:t>U</w:t>
            </w:r>
            <w:r w:rsidR="005769FE">
              <w:rPr>
                <w:rStyle w:val="ECCParagraph"/>
              </w:rPr>
              <w:t xml:space="preserve">p to </w:t>
            </w:r>
            <w:r w:rsidR="0046537B" w:rsidRPr="006D6727">
              <w:rPr>
                <w:rStyle w:val="ECCParagraph"/>
                <w:noProof/>
              </w:rPr>
              <w:t>32</w:t>
            </w:r>
            <w:r w:rsidR="00CF4994">
              <w:rPr>
                <w:rStyle w:val="ECCParagraph"/>
                <w:noProof/>
              </w:rPr>
              <w:t>.5</w:t>
            </w:r>
            <w:r w:rsidR="0046537B" w:rsidRPr="006D6727">
              <w:rPr>
                <w:rStyle w:val="ECCParagraph"/>
                <w:noProof/>
              </w:rPr>
              <w:t> GHz</w:t>
            </w:r>
          </w:p>
          <w:p w14:paraId="315AC2FC" w14:textId="5A3D1EE8" w:rsidR="0046537B" w:rsidRPr="006D6727" w:rsidRDefault="006B7173" w:rsidP="00031A36">
            <w:pPr>
              <w:pStyle w:val="ECCTabletext"/>
              <w:jc w:val="left"/>
              <w:rPr>
                <w:rStyle w:val="ECCParagraph"/>
                <w:noProof/>
              </w:rPr>
            </w:pPr>
            <w:r>
              <w:rPr>
                <w:rStyle w:val="ECCParagraph"/>
              </w:rPr>
              <w:t>U</w:t>
            </w:r>
            <w:r w:rsidR="005769FE">
              <w:rPr>
                <w:rStyle w:val="ECCParagraph"/>
              </w:rPr>
              <w:t xml:space="preserve">p to </w:t>
            </w:r>
            <w:r w:rsidR="00311FA4" w:rsidRPr="006D6727">
              <w:rPr>
                <w:rStyle w:val="ECCParagraph"/>
                <w:noProof/>
              </w:rPr>
              <w:t>1</w:t>
            </w:r>
            <w:r w:rsidR="00C665BE" w:rsidRPr="006D6727">
              <w:rPr>
                <w:rStyle w:val="ECCParagraph"/>
                <w:noProof/>
              </w:rPr>
              <w:t>5 GHz</w:t>
            </w:r>
          </w:p>
          <w:p w14:paraId="01F6F90B" w14:textId="75D77E0C" w:rsidR="0046537B" w:rsidRPr="006D6727" w:rsidRDefault="006B7173" w:rsidP="00031A36">
            <w:pPr>
              <w:pStyle w:val="ECCTabletext"/>
              <w:jc w:val="left"/>
              <w:rPr>
                <w:rStyle w:val="ECCHLyellow"/>
                <w:noProof/>
                <w:shd w:val="clear" w:color="auto" w:fill="auto"/>
              </w:rPr>
            </w:pPr>
            <w:r>
              <w:rPr>
                <w:rStyle w:val="ECCParagraph"/>
              </w:rPr>
              <w:t>U</w:t>
            </w:r>
            <w:r w:rsidR="005769FE">
              <w:rPr>
                <w:rStyle w:val="ECCParagraph"/>
              </w:rPr>
              <w:t xml:space="preserve">p to </w:t>
            </w:r>
            <w:r w:rsidR="00C665BE" w:rsidRPr="006D6727">
              <w:rPr>
                <w:rStyle w:val="ECCHLyellow"/>
                <w:noProof/>
                <w:shd w:val="clear" w:color="auto" w:fill="auto"/>
              </w:rPr>
              <w:t>18</w:t>
            </w:r>
            <w:r w:rsidR="00CF4994">
              <w:rPr>
                <w:rStyle w:val="ECCHLyellow"/>
                <w:noProof/>
                <w:shd w:val="clear" w:color="auto" w:fill="auto"/>
              </w:rPr>
              <w:t>.5</w:t>
            </w:r>
            <w:r w:rsidR="00C665BE" w:rsidRPr="006D6727">
              <w:rPr>
                <w:rStyle w:val="ECCHLyellow"/>
                <w:noProof/>
                <w:shd w:val="clear" w:color="auto" w:fill="auto"/>
              </w:rPr>
              <w:t> GHz</w:t>
            </w:r>
          </w:p>
        </w:tc>
        <w:tc>
          <w:tcPr>
            <w:tcW w:w="1837" w:type="pct"/>
          </w:tcPr>
          <w:p w14:paraId="7ABCD703" w14:textId="77777777" w:rsidR="00C665BE" w:rsidRPr="006D6727" w:rsidRDefault="00733E7C" w:rsidP="00031A36">
            <w:pPr>
              <w:pStyle w:val="ECCTabletext"/>
              <w:jc w:val="left"/>
              <w:rPr>
                <w:rStyle w:val="ECCHLyellow"/>
                <w:noProof/>
                <w:shd w:val="clear" w:color="auto" w:fill="auto"/>
              </w:rPr>
            </w:pPr>
            <w:r w:rsidRPr="006D6727">
              <w:rPr>
                <w:rStyle w:val="ECCParagraph"/>
                <w:noProof/>
              </w:rPr>
              <w:t>-</w:t>
            </w:r>
            <w:r w:rsidR="001D7EDB" w:rsidRPr="005769FE">
              <w:rPr>
                <w:rStyle w:val="ECCHLyellow"/>
                <w:shd w:val="clear" w:color="auto" w:fill="auto"/>
              </w:rPr>
              <w:t>20 </w:t>
            </w:r>
            <w:r w:rsidR="00F0173D" w:rsidRPr="006D6727">
              <w:rPr>
                <w:rStyle w:val="ECCHLyellow"/>
                <w:noProof/>
                <w:shd w:val="clear" w:color="auto" w:fill="auto"/>
              </w:rPr>
              <w:t>dB bandwidth</w:t>
            </w:r>
          </w:p>
        </w:tc>
      </w:tr>
      <w:tr w:rsidR="00C665BE" w:rsidRPr="006D6727" w14:paraId="6A6040CF" w14:textId="77777777" w:rsidTr="004B4C8B">
        <w:trPr>
          <w:trHeight w:val="265"/>
        </w:trPr>
        <w:tc>
          <w:tcPr>
            <w:tcW w:w="1502" w:type="pct"/>
          </w:tcPr>
          <w:p w14:paraId="1D243D7E" w14:textId="77777777" w:rsidR="00C665BE" w:rsidRPr="006D6727" w:rsidRDefault="00C665BE" w:rsidP="00031A36">
            <w:pPr>
              <w:pStyle w:val="ECCTabletext"/>
              <w:jc w:val="left"/>
              <w:rPr>
                <w:rStyle w:val="ECCParagraph"/>
                <w:noProof/>
              </w:rPr>
            </w:pPr>
            <w:r w:rsidRPr="006D6727">
              <w:rPr>
                <w:rStyle w:val="ECCParagraph"/>
                <w:noProof/>
              </w:rPr>
              <w:t>Sweeptime</w:t>
            </w:r>
          </w:p>
        </w:tc>
        <w:tc>
          <w:tcPr>
            <w:tcW w:w="1661" w:type="pct"/>
          </w:tcPr>
          <w:p w14:paraId="1257DB40" w14:textId="77777777" w:rsidR="00C665BE" w:rsidRPr="006D6727" w:rsidRDefault="00C665BE" w:rsidP="00031A36">
            <w:pPr>
              <w:pStyle w:val="ECCTabletext"/>
              <w:jc w:val="left"/>
              <w:rPr>
                <w:rStyle w:val="ECCParagraph"/>
                <w:noProof/>
              </w:rPr>
            </w:pPr>
            <w:r w:rsidRPr="006D6727">
              <w:rPr>
                <w:rStyle w:val="ECCParagraph"/>
                <w:noProof/>
              </w:rPr>
              <w:t>500 µs to 5 ms</w:t>
            </w:r>
          </w:p>
        </w:tc>
        <w:tc>
          <w:tcPr>
            <w:tcW w:w="1837" w:type="pct"/>
          </w:tcPr>
          <w:p w14:paraId="4F82DCDF" w14:textId="77777777" w:rsidR="00C665BE" w:rsidRPr="006D6727" w:rsidRDefault="00C665BE" w:rsidP="00031A36">
            <w:pPr>
              <w:pStyle w:val="ECCTabletext"/>
              <w:jc w:val="left"/>
              <w:rPr>
                <w:rStyle w:val="ECCParagraph"/>
                <w:noProof/>
              </w:rPr>
            </w:pPr>
            <w:r w:rsidRPr="006D6727">
              <w:rPr>
                <w:rStyle w:val="ECCParagraph"/>
                <w:noProof/>
              </w:rPr>
              <w:t xml:space="preserve">for </w:t>
            </w:r>
            <w:r w:rsidR="00073AB7" w:rsidRPr="006D6727">
              <w:rPr>
                <w:rStyle w:val="ECCParagraph"/>
                <w:noProof/>
              </w:rPr>
              <w:t>a single</w:t>
            </w:r>
            <w:r w:rsidRPr="006D6727">
              <w:rPr>
                <w:rStyle w:val="ECCParagraph"/>
                <w:noProof/>
              </w:rPr>
              <w:t xml:space="preserve"> frequency sweep</w:t>
            </w:r>
            <w:r w:rsidR="00073AB7" w:rsidRPr="006D6727">
              <w:rPr>
                <w:rStyle w:val="ECCParagraph"/>
                <w:noProof/>
              </w:rPr>
              <w:t xml:space="preserve"> over entire modulation bandwidth</w:t>
            </w:r>
          </w:p>
        </w:tc>
      </w:tr>
      <w:tr w:rsidR="00C665BE" w:rsidRPr="006D6727" w14:paraId="28971846" w14:textId="77777777" w:rsidTr="004B4C8B">
        <w:trPr>
          <w:trHeight w:val="265"/>
        </w:trPr>
        <w:tc>
          <w:tcPr>
            <w:tcW w:w="1502" w:type="pct"/>
          </w:tcPr>
          <w:p w14:paraId="09A33153" w14:textId="77777777" w:rsidR="00C665BE" w:rsidRPr="006D6727" w:rsidRDefault="00C665BE" w:rsidP="00031A36">
            <w:pPr>
              <w:pStyle w:val="ECCTabletext"/>
              <w:jc w:val="left"/>
              <w:rPr>
                <w:rStyle w:val="ECCParagraph"/>
                <w:noProof/>
              </w:rPr>
            </w:pPr>
            <w:r w:rsidRPr="006D6727">
              <w:rPr>
                <w:rStyle w:val="ECCParagraph"/>
                <w:noProof/>
              </w:rPr>
              <w:t>Duty cycle</w:t>
            </w:r>
          </w:p>
        </w:tc>
        <w:tc>
          <w:tcPr>
            <w:tcW w:w="1661" w:type="pct"/>
          </w:tcPr>
          <w:p w14:paraId="54A7F4C0" w14:textId="77777777" w:rsidR="00C665BE" w:rsidRPr="006D6727" w:rsidRDefault="00C665BE" w:rsidP="00031A36">
            <w:pPr>
              <w:pStyle w:val="ECCTabletext"/>
              <w:jc w:val="left"/>
              <w:rPr>
                <w:rStyle w:val="ECCParagraph"/>
                <w:noProof/>
              </w:rPr>
            </w:pPr>
            <w:r w:rsidRPr="006D6727">
              <w:rPr>
                <w:rStyle w:val="ECCParagraph"/>
                <w:noProof/>
              </w:rPr>
              <w:t>≤ 5%</w:t>
            </w:r>
          </w:p>
        </w:tc>
        <w:tc>
          <w:tcPr>
            <w:tcW w:w="1837" w:type="pct"/>
          </w:tcPr>
          <w:p w14:paraId="4A653B0C" w14:textId="77777777" w:rsidR="00C665BE" w:rsidRPr="006D6727" w:rsidRDefault="00C665BE" w:rsidP="00CA0902">
            <w:pPr>
              <w:pStyle w:val="ECCTabletext"/>
              <w:rPr>
                <w:rStyle w:val="ECCParagraph"/>
                <w:noProof/>
              </w:rPr>
            </w:pPr>
          </w:p>
        </w:tc>
      </w:tr>
      <w:tr w:rsidR="00C665BE" w:rsidRPr="006D6727" w14:paraId="24D6A077" w14:textId="77777777" w:rsidTr="004B4C8B">
        <w:trPr>
          <w:trHeight w:val="265"/>
        </w:trPr>
        <w:tc>
          <w:tcPr>
            <w:tcW w:w="1502" w:type="pct"/>
          </w:tcPr>
          <w:p w14:paraId="478AF1E6" w14:textId="77777777" w:rsidR="00C665BE" w:rsidRPr="006D6727" w:rsidRDefault="00C665BE" w:rsidP="00031A36">
            <w:pPr>
              <w:pStyle w:val="ECCTabletext"/>
              <w:jc w:val="left"/>
              <w:rPr>
                <w:rStyle w:val="ECCParagraph"/>
                <w:noProof/>
              </w:rPr>
            </w:pPr>
            <w:r w:rsidRPr="006D6727">
              <w:rPr>
                <w:rStyle w:val="ECCParagraph"/>
                <w:noProof/>
              </w:rPr>
              <w:t>Conducted peak carrier power</w:t>
            </w:r>
          </w:p>
        </w:tc>
        <w:tc>
          <w:tcPr>
            <w:tcW w:w="1661" w:type="pct"/>
          </w:tcPr>
          <w:p w14:paraId="386ECE6F" w14:textId="670B9568" w:rsidR="00C665BE" w:rsidRPr="006D6727" w:rsidRDefault="006B7173" w:rsidP="00031A36">
            <w:pPr>
              <w:pStyle w:val="ECCTabletext"/>
              <w:jc w:val="left"/>
              <w:rPr>
                <w:rStyle w:val="ECCParagraph"/>
                <w:noProof/>
              </w:rPr>
            </w:pPr>
            <w:r>
              <w:rPr>
                <w:rStyle w:val="ECCParagraph"/>
                <w:noProof/>
              </w:rPr>
              <w:t>U</w:t>
            </w:r>
            <w:r w:rsidR="00522F63" w:rsidRPr="006D6727">
              <w:rPr>
                <w:rStyle w:val="ECCParagraph"/>
                <w:noProof/>
              </w:rPr>
              <w:t xml:space="preserve">p to </w:t>
            </w:r>
            <w:r w:rsidR="00C665BE" w:rsidRPr="006D6727">
              <w:rPr>
                <w:rStyle w:val="ECCParagraph"/>
                <w:noProof/>
              </w:rPr>
              <w:t>+5 dBm</w:t>
            </w:r>
          </w:p>
        </w:tc>
        <w:tc>
          <w:tcPr>
            <w:tcW w:w="1837" w:type="pct"/>
          </w:tcPr>
          <w:p w14:paraId="0DF255EA" w14:textId="77777777" w:rsidR="00C665BE" w:rsidRPr="006D6727" w:rsidRDefault="00D03101" w:rsidP="00031A36">
            <w:pPr>
              <w:pStyle w:val="ECCTabletext"/>
              <w:jc w:val="left"/>
              <w:rPr>
                <w:rStyle w:val="ECCParagraph"/>
                <w:noProof/>
              </w:rPr>
            </w:pPr>
            <w:r w:rsidRPr="006D6727">
              <w:rPr>
                <w:rStyle w:val="ECCParagraph"/>
                <w:noProof/>
              </w:rPr>
              <w:t xml:space="preserve">Maximum saturated output power </w:t>
            </w:r>
            <w:r w:rsidR="00C665BE" w:rsidRPr="006D6727">
              <w:rPr>
                <w:rStyle w:val="ECCParagraph"/>
                <w:noProof/>
              </w:rPr>
              <w:t xml:space="preserve">at antenna </w:t>
            </w:r>
            <w:r w:rsidR="00493B46" w:rsidRPr="006D6727">
              <w:rPr>
                <w:rStyle w:val="ECCParagraph"/>
                <w:noProof/>
              </w:rPr>
              <w:t>feeding point</w:t>
            </w:r>
          </w:p>
        </w:tc>
      </w:tr>
      <w:tr w:rsidR="00C665BE" w:rsidRPr="006D6727" w14:paraId="618DEF35" w14:textId="77777777" w:rsidTr="004B4C8B">
        <w:trPr>
          <w:trHeight w:val="265"/>
        </w:trPr>
        <w:tc>
          <w:tcPr>
            <w:tcW w:w="1502" w:type="pct"/>
          </w:tcPr>
          <w:p w14:paraId="58D6C062" w14:textId="77777777" w:rsidR="00C665BE" w:rsidRPr="006D6727" w:rsidRDefault="00C665BE" w:rsidP="00031A36">
            <w:pPr>
              <w:pStyle w:val="ECCTabletext"/>
              <w:jc w:val="left"/>
              <w:rPr>
                <w:rStyle w:val="ECCParagraph"/>
                <w:noProof/>
              </w:rPr>
            </w:pPr>
            <w:r w:rsidRPr="006D6727">
              <w:rPr>
                <w:rStyle w:val="ECCParagraph"/>
                <w:noProof/>
              </w:rPr>
              <w:t>Conducted mean power</w:t>
            </w:r>
          </w:p>
        </w:tc>
        <w:tc>
          <w:tcPr>
            <w:tcW w:w="1661" w:type="pct"/>
          </w:tcPr>
          <w:p w14:paraId="419F508F" w14:textId="77777777" w:rsidR="00C665BE" w:rsidRPr="006D6727" w:rsidRDefault="00C665BE" w:rsidP="00031A36">
            <w:pPr>
              <w:pStyle w:val="ECCTabletext"/>
              <w:jc w:val="left"/>
              <w:rPr>
                <w:rStyle w:val="ECCParagraph"/>
                <w:noProof/>
              </w:rPr>
            </w:pPr>
            <w:r w:rsidRPr="006D6727">
              <w:rPr>
                <w:rStyle w:val="ECCParagraph"/>
                <w:noProof/>
              </w:rPr>
              <w:t>-8 dBm</w:t>
            </w:r>
          </w:p>
        </w:tc>
        <w:tc>
          <w:tcPr>
            <w:tcW w:w="1837" w:type="pct"/>
          </w:tcPr>
          <w:p w14:paraId="17E25970" w14:textId="77777777" w:rsidR="00C665BE" w:rsidRPr="006D6727" w:rsidRDefault="00C665BE" w:rsidP="00031A36">
            <w:pPr>
              <w:pStyle w:val="ECCTabletext"/>
              <w:jc w:val="left"/>
              <w:rPr>
                <w:rStyle w:val="ECCParagraph"/>
                <w:noProof/>
              </w:rPr>
            </w:pPr>
            <w:r w:rsidRPr="006D6727">
              <w:rPr>
                <w:rStyle w:val="ECCParagraph"/>
                <w:noProof/>
              </w:rPr>
              <w:t>with 5% duty cycle and +5 dBm peak carrier power</w:t>
            </w:r>
          </w:p>
        </w:tc>
      </w:tr>
      <w:tr w:rsidR="00C665BE" w:rsidRPr="006D6727" w14:paraId="607552F4" w14:textId="77777777" w:rsidTr="004B4C8B">
        <w:trPr>
          <w:trHeight w:val="265"/>
        </w:trPr>
        <w:tc>
          <w:tcPr>
            <w:tcW w:w="1502" w:type="pct"/>
          </w:tcPr>
          <w:p w14:paraId="1D1EB613" w14:textId="77777777" w:rsidR="00C665BE" w:rsidRPr="006D6727" w:rsidRDefault="00C665BE" w:rsidP="00031A36">
            <w:pPr>
              <w:pStyle w:val="ECCTabletext"/>
              <w:jc w:val="left"/>
              <w:rPr>
                <w:rStyle w:val="ECCParagraph"/>
                <w:noProof/>
              </w:rPr>
            </w:pPr>
            <w:r w:rsidRPr="006D6727">
              <w:rPr>
                <w:rStyle w:val="ECCParagraph"/>
                <w:noProof/>
              </w:rPr>
              <w:t xml:space="preserve">Conducted mean power spectral density </w:t>
            </w:r>
          </w:p>
        </w:tc>
        <w:tc>
          <w:tcPr>
            <w:tcW w:w="1661" w:type="pct"/>
          </w:tcPr>
          <w:p w14:paraId="3E3BA702" w14:textId="77777777" w:rsidR="00C665BE" w:rsidRPr="006D6727" w:rsidRDefault="00446C91" w:rsidP="00031A36">
            <w:pPr>
              <w:pStyle w:val="ECCTabletext"/>
              <w:jc w:val="left"/>
              <w:rPr>
                <w:rStyle w:val="ECCParagraph"/>
                <w:noProof/>
              </w:rPr>
            </w:pPr>
            <w:r w:rsidRPr="006D6727">
              <w:rPr>
                <w:rStyle w:val="ECCParagraph"/>
                <w:noProof/>
              </w:rPr>
              <w:t>-4</w:t>
            </w:r>
            <w:r w:rsidR="00237C9E" w:rsidRPr="006D6727">
              <w:rPr>
                <w:rStyle w:val="ECCParagraph"/>
                <w:noProof/>
              </w:rPr>
              <w:t>8</w:t>
            </w:r>
            <w:r w:rsidRPr="006D6727">
              <w:rPr>
                <w:rStyle w:val="ECCParagraph"/>
                <w:noProof/>
              </w:rPr>
              <w:t> dBm</w:t>
            </w:r>
            <w:r w:rsidR="009901E6" w:rsidRPr="006D6727">
              <w:rPr>
                <w:rStyle w:val="ECCParagraph"/>
                <w:noProof/>
              </w:rPr>
              <w:t>/MHz</w:t>
            </w:r>
          </w:p>
        </w:tc>
        <w:tc>
          <w:tcPr>
            <w:tcW w:w="1837" w:type="pct"/>
          </w:tcPr>
          <w:p w14:paraId="1182C2BC" w14:textId="77777777" w:rsidR="00C665BE" w:rsidRPr="006D6727" w:rsidRDefault="00446C91" w:rsidP="00031A36">
            <w:pPr>
              <w:pStyle w:val="ECCTabletext"/>
              <w:jc w:val="left"/>
              <w:rPr>
                <w:rStyle w:val="ECCParagraph"/>
                <w:noProof/>
              </w:rPr>
            </w:pPr>
            <w:r w:rsidRPr="006D6727">
              <w:rPr>
                <w:rStyle w:val="ECCParagraph"/>
                <w:noProof/>
              </w:rPr>
              <w:t xml:space="preserve">with 10 GHz modulation bandwidth and -8 dBm </w:t>
            </w:r>
            <w:r w:rsidR="009103CE" w:rsidRPr="006D6727">
              <w:rPr>
                <w:rStyle w:val="ECCParagraph"/>
                <w:noProof/>
              </w:rPr>
              <w:t>mean</w:t>
            </w:r>
            <w:r w:rsidRPr="006D6727">
              <w:rPr>
                <w:rStyle w:val="ECCParagraph"/>
                <w:noProof/>
              </w:rPr>
              <w:t xml:space="preserve"> power</w:t>
            </w:r>
          </w:p>
        </w:tc>
      </w:tr>
      <w:tr w:rsidR="002E7ED0" w:rsidRPr="006D6727" w14:paraId="67D4B4C4" w14:textId="77777777" w:rsidTr="004B4C8B">
        <w:trPr>
          <w:trHeight w:val="265"/>
        </w:trPr>
        <w:tc>
          <w:tcPr>
            <w:tcW w:w="1502" w:type="pct"/>
          </w:tcPr>
          <w:p w14:paraId="0FFC3E60" w14:textId="77777777" w:rsidR="002E7ED0" w:rsidRPr="006D6727" w:rsidRDefault="002E7ED0" w:rsidP="00031A36">
            <w:pPr>
              <w:pStyle w:val="ECCTablet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661" w:type="pct"/>
          </w:tcPr>
          <w:p w14:paraId="5AF19348" w14:textId="77777777" w:rsidR="002E7ED0" w:rsidRPr="006D6727" w:rsidRDefault="002E7ED0" w:rsidP="00031A36">
            <w:pPr>
              <w:pStyle w:val="ECCTabletext"/>
              <w:jc w:val="left"/>
              <w:rPr>
                <w:rStyle w:val="ECCParagraph"/>
                <w:noProof/>
              </w:rPr>
            </w:pPr>
            <w:r w:rsidRPr="006D6727">
              <w:rPr>
                <w:rStyle w:val="ECCParagraph"/>
                <w:noProof/>
              </w:rPr>
              <w:t>-</w:t>
            </w:r>
            <w:r w:rsidR="003673E5" w:rsidRPr="006D6727">
              <w:rPr>
                <w:rStyle w:val="ECCParagraph"/>
                <w:noProof/>
              </w:rPr>
              <w:t>8</w:t>
            </w:r>
            <w:r w:rsidRPr="006D6727">
              <w:rPr>
                <w:rStyle w:val="ECCParagraph"/>
                <w:noProof/>
              </w:rPr>
              <w:t> dBm/MHz</w:t>
            </w:r>
          </w:p>
        </w:tc>
        <w:tc>
          <w:tcPr>
            <w:tcW w:w="1837" w:type="pct"/>
          </w:tcPr>
          <w:p w14:paraId="00AC2A05" w14:textId="77777777" w:rsidR="002E7ED0" w:rsidRPr="006D6727" w:rsidRDefault="00F55560" w:rsidP="00031A36">
            <w:pPr>
              <w:pStyle w:val="ECCTabletext"/>
              <w:jc w:val="left"/>
              <w:rPr>
                <w:rStyle w:val="ECCParagraph"/>
                <w:noProof/>
              </w:rPr>
            </w:pPr>
            <w:r w:rsidRPr="006D6727">
              <w:rPr>
                <w:rStyle w:val="ECCParagraph"/>
                <w:noProof/>
              </w:rPr>
              <w:t>calculated with 40 dBi antenna gain</w:t>
            </w:r>
          </w:p>
        </w:tc>
      </w:tr>
    </w:tbl>
    <w:p w14:paraId="6627B0D3" w14:textId="63FC87A0" w:rsidR="00410D02" w:rsidRPr="006D6727" w:rsidRDefault="00941453" w:rsidP="00A256BC">
      <w:pPr>
        <w:rPr>
          <w:rStyle w:val="ECCParagraph"/>
          <w:noProof/>
        </w:rPr>
      </w:pPr>
      <w:r w:rsidRPr="006D6727">
        <w:rPr>
          <w:rStyle w:val="ECCParagraph"/>
          <w:noProof/>
        </w:rPr>
        <w:fldChar w:fldCharType="begin"/>
      </w:r>
      <w:r w:rsidRPr="006D6727">
        <w:rPr>
          <w:rStyle w:val="ECCParagraph"/>
          <w:noProof/>
        </w:rPr>
        <w:instrText xml:space="preserve"> REF _Ref8900572 \h  \* MERGEFORMAT </w:instrText>
      </w:r>
      <w:r w:rsidRPr="006D6727">
        <w:rPr>
          <w:rStyle w:val="ECCParagraph"/>
          <w:noProof/>
        </w:rPr>
      </w:r>
      <w:r w:rsidRPr="006D6727">
        <w:rPr>
          <w:rStyle w:val="ECCParagraph"/>
          <w:noProof/>
        </w:rPr>
        <w:fldChar w:fldCharType="separate"/>
      </w:r>
      <w:r w:rsidR="0041125F" w:rsidRPr="0041125F">
        <w:rPr>
          <w:rStyle w:val="ECCParagraph"/>
          <w:noProof/>
        </w:rPr>
        <w:t>Figure 36</w:t>
      </w:r>
      <w:r w:rsidRPr="006D6727">
        <w:rPr>
          <w:rStyle w:val="ECCParagraph"/>
          <w:noProof/>
        </w:rPr>
        <w:fldChar w:fldCharType="end"/>
      </w:r>
      <w:r w:rsidRPr="006D6727">
        <w:rPr>
          <w:rStyle w:val="ECCParagraph"/>
          <w:noProof/>
        </w:rPr>
        <w:t xml:space="preserve"> shows a typical FMCW modulation scheme of an LPR device. A single or multiple frequency ramps are transmitted within one </w:t>
      </w:r>
      <w:r w:rsidR="000C24A8" w:rsidRPr="006D6727">
        <w:rPr>
          <w:rStyle w:val="ECCParagraph"/>
          <w:noProof/>
        </w:rPr>
        <w:t xml:space="preserve">measurement </w:t>
      </w:r>
      <w:r w:rsidRPr="006D6727">
        <w:rPr>
          <w:rStyle w:val="ECCParagraph"/>
          <w:noProof/>
        </w:rPr>
        <w:t>burst</w:t>
      </w:r>
      <w:r w:rsidR="00B51949" w:rsidRPr="006D6727">
        <w:rPr>
          <w:rStyle w:val="ECCParagraph"/>
          <w:noProof/>
        </w:rPr>
        <w:t xml:space="preserve"> with duration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meas</m:t>
            </m:r>
          </m:sub>
        </m:sSub>
      </m:oMath>
      <w:r w:rsidR="00265735" w:rsidRPr="006D6727">
        <w:rPr>
          <w:rStyle w:val="ECCParagraph"/>
          <w:noProof/>
        </w:rPr>
        <w:t xml:space="preserve"> between the frequency boundaries </w:t>
      </w:r>
      <m:oMath>
        <m:sSub>
          <m:sSubPr>
            <m:ctrlPr>
              <w:rPr>
                <w:rStyle w:val="ECCParagraph"/>
                <w:rFonts w:ascii="Cambria Math" w:hAnsi="Cambria Math"/>
                <w:i/>
                <w:noProof/>
              </w:rPr>
            </m:ctrlPr>
          </m:sSubPr>
          <m:e>
            <m:r>
              <w:rPr>
                <w:rStyle w:val="ECCParagraph"/>
                <w:rFonts w:ascii="Cambria Math" w:hAnsi="Cambria Math"/>
                <w:noProof/>
              </w:rPr>
              <m:t>f</m:t>
            </m:r>
          </m:e>
          <m:sub>
            <m:r>
              <w:rPr>
                <w:rStyle w:val="ECCParagraph"/>
                <w:rFonts w:ascii="Cambria Math" w:hAnsi="Cambria Math"/>
                <w:noProof/>
              </w:rPr>
              <m:t>L</m:t>
            </m:r>
          </m:sub>
        </m:sSub>
      </m:oMath>
      <w:r w:rsidR="00265735" w:rsidRPr="006D6727">
        <w:rPr>
          <w:rStyle w:val="ECCParagraph"/>
          <w:noProof/>
        </w:rPr>
        <w:t xml:space="preserve"> and </w:t>
      </w:r>
      <m:oMath>
        <m:sSub>
          <m:sSubPr>
            <m:ctrlPr>
              <w:rPr>
                <w:rStyle w:val="ECCParagraph"/>
                <w:rFonts w:ascii="Cambria Math" w:hAnsi="Cambria Math"/>
                <w:i/>
                <w:noProof/>
              </w:rPr>
            </m:ctrlPr>
          </m:sSubPr>
          <m:e>
            <m:r>
              <w:rPr>
                <w:rStyle w:val="ECCParagraph"/>
                <w:rFonts w:ascii="Cambria Math" w:hAnsi="Cambria Math"/>
                <w:noProof/>
              </w:rPr>
              <m:t>f</m:t>
            </m:r>
          </m:e>
          <m:sub>
            <m:r>
              <w:rPr>
                <w:rStyle w:val="ECCParagraph"/>
                <w:rFonts w:ascii="Cambria Math" w:hAnsi="Cambria Math"/>
                <w:noProof/>
              </w:rPr>
              <m:t>H</m:t>
            </m:r>
          </m:sub>
        </m:sSub>
      </m:oMath>
      <w:r w:rsidR="00265735" w:rsidRPr="006D6727">
        <w:rPr>
          <w:rStyle w:val="ECCParagraph"/>
          <w:noProof/>
        </w:rPr>
        <w:t xml:space="preserve">. </w:t>
      </w:r>
      <w:r w:rsidR="00F45755" w:rsidRPr="006D6727">
        <w:rPr>
          <w:rStyle w:val="ECCParagraph"/>
          <w:noProof/>
        </w:rPr>
        <w:t>The used modulation bandwidth is</w:t>
      </w:r>
      <w:r w:rsidR="00F27C72" w:rsidRPr="006D6727">
        <w:rPr>
          <w:rStyle w:val="ECCParagraph"/>
          <w:noProof/>
        </w:rPr>
        <w:t xml:space="preserve"> consequently</w:t>
      </w:r>
      <w:r w:rsidR="00F45755" w:rsidRPr="006D6727">
        <w:rPr>
          <w:rStyle w:val="ECCParagraph"/>
          <w:noProof/>
        </w:rPr>
        <w:t xml:space="preserve">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H</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L</m:t>
            </m:r>
          </m:sub>
        </m:sSub>
      </m:oMath>
      <w:r w:rsidR="00F45755" w:rsidRPr="006D6727">
        <w:rPr>
          <w:rStyle w:val="ECCParagraph"/>
          <w:noProof/>
        </w:rPr>
        <w:t>.</w:t>
      </w:r>
      <w:r w:rsidR="009502C9" w:rsidRPr="006D6727">
        <w:rPr>
          <w:rStyle w:val="ECCParagraph"/>
          <w:noProof/>
        </w:rPr>
        <w:t xml:space="preserve"> </w:t>
      </w:r>
      <w:r w:rsidR="00CE1F8E" w:rsidRPr="006D6727">
        <w:rPr>
          <w:rStyle w:val="ECCParagraph"/>
          <w:noProof/>
        </w:rPr>
        <w:t>Between individual measurement bursts</w:t>
      </w:r>
      <w:r w:rsidR="00C6792F" w:rsidRPr="006D6727">
        <w:rPr>
          <w:rStyle w:val="ECCParagraph"/>
          <w:noProof/>
        </w:rPr>
        <w:t>,</w:t>
      </w:r>
      <w:r w:rsidR="00CE1F8E" w:rsidRPr="006D6727">
        <w:rPr>
          <w:rStyle w:val="ECCParagraph"/>
          <w:noProof/>
        </w:rPr>
        <w:t xml:space="preserve"> during the time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off</m:t>
            </m:r>
          </m:sub>
        </m:sSub>
      </m:oMath>
      <w:r w:rsidR="00C6792F" w:rsidRPr="006D6727">
        <w:rPr>
          <w:rStyle w:val="ECCParagraph"/>
          <w:noProof/>
        </w:rPr>
        <w:t>,</w:t>
      </w:r>
      <w:r w:rsidR="00CE1F8E" w:rsidRPr="006D6727">
        <w:rPr>
          <w:rStyle w:val="ECCParagraph"/>
          <w:noProof/>
        </w:rPr>
        <w:t xml:space="preserve"> the transmitter is switched off and no transmission occurs.</w:t>
      </w:r>
      <w:r w:rsidR="00BB0F1B" w:rsidRPr="006D6727">
        <w:rPr>
          <w:rStyle w:val="ECCParagraph"/>
          <w:noProof/>
        </w:rPr>
        <w:t xml:space="preserve"> The overall measurement cycle is denoted </w:t>
      </w:r>
      <w:r w:rsidR="00BA4434" w:rsidRPr="006D6727">
        <w:rPr>
          <w:rStyle w:val="ECCParagraph"/>
          <w:noProof/>
        </w:rPr>
        <w:t xml:space="preserve">with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oMath>
      <w:r w:rsidR="00BA4434" w:rsidRPr="006D6727">
        <w:rPr>
          <w:rStyle w:val="ECCParagraph"/>
          <w:noProof/>
        </w:rPr>
        <w:t>.</w:t>
      </w:r>
    </w:p>
    <w:p w14:paraId="1BB769FE" w14:textId="77777777" w:rsidR="00941453" w:rsidRPr="006D6727" w:rsidRDefault="00BA4434" w:rsidP="00A256BC">
      <w:pPr>
        <w:rPr>
          <w:rStyle w:val="ECCParagraph"/>
          <w:noProof/>
        </w:rPr>
      </w:pPr>
      <w:r w:rsidRPr="006D6727">
        <w:rPr>
          <w:rStyle w:val="ECCParagraph"/>
          <w:noProof/>
        </w:rPr>
        <w:t xml:space="preserve">The duty cycle </w:t>
      </w:r>
      <w:r w:rsidR="00410D02" w:rsidRPr="006D6727">
        <w:rPr>
          <w:rStyle w:val="ECCParagraph"/>
          <w:noProof/>
        </w:rPr>
        <w:t>is the ratio of active measurement periods (bursts, sweeps, scans) within the overall repetitive measurement cycle</w:t>
      </w:r>
      <w:r w:rsidR="005E4C52" w:rsidRPr="006D6727">
        <w:rPr>
          <w:rStyle w:val="ECCParagraph"/>
          <w:noProof/>
        </w:rPr>
        <w:t>,</w:t>
      </w:r>
      <w:r w:rsidR="00410D02" w:rsidRPr="006D6727">
        <w:rPr>
          <w:rStyle w:val="ECCParagraph"/>
          <w:noProof/>
        </w:rPr>
        <w:t xml:space="preserve"> </w:t>
      </w:r>
      <w:r w:rsidR="007D73D0" w:rsidRPr="006D6727">
        <w:rPr>
          <w:rStyle w:val="ECCParagraph"/>
          <w:noProof/>
        </w:rPr>
        <w:t>i.e.</w:t>
      </w:r>
      <w:r w:rsidR="005E4C52" w:rsidRPr="006D6727">
        <w:rPr>
          <w:rStyle w:val="ECCParagraph"/>
          <w:noProof/>
        </w:rPr>
        <w:t xml:space="preserve"> </w:t>
      </w:r>
      <m:oMath>
        <m:f>
          <m:fPr>
            <m:type m:val="lin"/>
            <m:ctrlPr>
              <w:rPr>
                <w:rStyle w:val="ECCParagraph"/>
                <w:rFonts w:ascii="Cambria Math" w:hAnsi="Cambria Math"/>
                <w:i/>
                <w:noProof/>
              </w:rPr>
            </m:ctrlPr>
          </m:fPr>
          <m:num>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meas</m:t>
                </m:r>
              </m:sub>
            </m:sSub>
          </m:num>
          <m:den>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den>
        </m:f>
      </m:oMath>
      <w:r w:rsidR="00F807E5" w:rsidRPr="006D6727">
        <w:rPr>
          <w:rStyle w:val="ECCParagraph"/>
          <w:noProof/>
        </w:rPr>
        <w:t>,</w:t>
      </w:r>
      <w:r w:rsidR="009943E0" w:rsidRPr="006D6727">
        <w:rPr>
          <w:rStyle w:val="ECCParagraph"/>
          <w:noProof/>
        </w:rPr>
        <w:t xml:space="preserve"> provided that the</w:t>
      </w:r>
      <w:r w:rsidR="003473B7" w:rsidRPr="006D6727">
        <w:rPr>
          <w:rStyle w:val="ECCParagraph"/>
          <w:noProof/>
        </w:rPr>
        <w:t>se</w:t>
      </w:r>
      <w:r w:rsidR="009943E0" w:rsidRPr="006D6727">
        <w:rPr>
          <w:rStyle w:val="ECCParagraph"/>
          <w:noProof/>
        </w:rPr>
        <w:t xml:space="preserve"> time durations are constant during the </w:t>
      </w:r>
      <w:r w:rsidR="00317D96" w:rsidRPr="006D6727">
        <w:rPr>
          <w:rStyle w:val="ECCParagraph"/>
          <w:noProof/>
        </w:rPr>
        <w:t xml:space="preserve">designated </w:t>
      </w:r>
      <w:r w:rsidR="009943E0" w:rsidRPr="006D6727">
        <w:rPr>
          <w:rStyle w:val="ECCParagraph"/>
          <w:noProof/>
        </w:rPr>
        <w:t xml:space="preserve">observation </w:t>
      </w:r>
      <w:r w:rsidR="00317D96" w:rsidRPr="006D6727">
        <w:rPr>
          <w:rStyle w:val="ECCParagraph"/>
          <w:noProof/>
        </w:rPr>
        <w:t xml:space="preserve">period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obs</m:t>
            </m:r>
          </m:sub>
        </m:sSub>
      </m:oMath>
      <w:r w:rsidR="003473B7" w:rsidRPr="006D6727">
        <w:rPr>
          <w:rStyle w:val="ECCParagraph"/>
          <w:noProof/>
        </w:rPr>
        <w:t>.</w:t>
      </w:r>
      <w:r w:rsidR="00317D96" w:rsidRPr="006D6727">
        <w:rPr>
          <w:rStyle w:val="ECCParagraph"/>
          <w:noProof/>
        </w:rPr>
        <w:t xml:space="preserve"> </w:t>
      </w:r>
    </w:p>
    <w:p w14:paraId="6669F8DB" w14:textId="77777777" w:rsidR="00AE0944" w:rsidRPr="006D6727" w:rsidRDefault="00486DD0" w:rsidP="00A256BC">
      <w:pPr>
        <w:rPr>
          <w:rStyle w:val="ECCParagraph"/>
          <w:noProof/>
        </w:rPr>
      </w:pPr>
      <w:r w:rsidRPr="006D6727">
        <w:rPr>
          <w:rStyle w:val="ECCParagraph"/>
          <w:noProof/>
        </w:rPr>
        <w:t xml:space="preserve">The time duration of a single frequency ramp over the </w:t>
      </w:r>
      <w:r w:rsidR="00E30111" w:rsidRPr="006D6727">
        <w:rPr>
          <w:rStyle w:val="ECCParagraph"/>
          <w:noProof/>
        </w:rPr>
        <w:t xml:space="preserve">entire </w:t>
      </w:r>
      <w:r w:rsidRPr="006D6727">
        <w:rPr>
          <w:rStyle w:val="ECCParagraph"/>
          <w:noProof/>
        </w:rPr>
        <w:t>used modulation bandwidth depends on several technical aspects and considerations.</w:t>
      </w:r>
      <w:r w:rsidR="003876FE" w:rsidRPr="006D6727">
        <w:rPr>
          <w:rStyle w:val="ECCParagraph"/>
          <w:noProof/>
        </w:rPr>
        <w:t xml:space="preserve"> </w:t>
      </w:r>
      <w:r w:rsidRPr="006D6727">
        <w:rPr>
          <w:rStyle w:val="ECCParagraph"/>
          <w:noProof/>
        </w:rPr>
        <w:t xml:space="preserve">This time </w:t>
      </w:r>
      <w:r w:rsidR="00E30111" w:rsidRPr="006D6727">
        <w:rPr>
          <w:rStyle w:val="ECCParagraph"/>
          <w:noProof/>
        </w:rPr>
        <w:t xml:space="preserve">span </w:t>
      </w:r>
      <w:r w:rsidRPr="006D6727">
        <w:rPr>
          <w:rStyle w:val="ECCParagraph"/>
          <w:noProof/>
        </w:rPr>
        <w:t xml:space="preserve">is expected </w:t>
      </w:r>
      <w:r w:rsidR="00E30111" w:rsidRPr="006D6727">
        <w:rPr>
          <w:rStyle w:val="ECCParagraph"/>
          <w:noProof/>
        </w:rPr>
        <w:t xml:space="preserve">to </w:t>
      </w:r>
      <w:r w:rsidRPr="006D6727">
        <w:rPr>
          <w:rStyle w:val="ECCParagraph"/>
          <w:noProof/>
        </w:rPr>
        <w:t>take values between 500 </w:t>
      </w:r>
      <w:r w:rsidRPr="006D6727">
        <w:rPr>
          <w:rStyle w:val="ECCParagraph"/>
          <w:rFonts w:cs="Arial"/>
          <w:noProof/>
        </w:rPr>
        <w:t>µ</w:t>
      </w:r>
      <w:r w:rsidRPr="006D6727">
        <w:rPr>
          <w:rStyle w:val="ECCParagraph"/>
          <w:noProof/>
        </w:rPr>
        <w:t>s and 5 ms.</w:t>
      </w:r>
    </w:p>
    <w:p w14:paraId="0A7CE39F" w14:textId="77777777" w:rsidR="00F45755" w:rsidRPr="006D6727" w:rsidRDefault="0098743E" w:rsidP="00A256BC">
      <w:pPr>
        <w:rPr>
          <w:rStyle w:val="ECCParagraph"/>
          <w:noProof/>
        </w:rPr>
      </w:pPr>
      <w:r w:rsidRPr="006D6727">
        <w:rPr>
          <w:rStyle w:val="ECCParagraph"/>
          <w:noProof/>
        </w:rPr>
        <w:t xml:space="preserve">In order to achieve </w:t>
      </w:r>
      <w:r w:rsidR="00BD622A" w:rsidRPr="006D6727">
        <w:rPr>
          <w:rStyle w:val="ECCParagraph"/>
          <w:noProof/>
        </w:rPr>
        <w:t xml:space="preserve">an outstanding </w:t>
      </w:r>
      <w:r w:rsidR="00C41236" w:rsidRPr="006D6727">
        <w:rPr>
          <w:rStyle w:val="ECCParagraph"/>
          <w:noProof/>
        </w:rPr>
        <w:t>R</w:t>
      </w:r>
      <w:r w:rsidR="00BD622A" w:rsidRPr="006D6727">
        <w:rPr>
          <w:rStyle w:val="ECCParagraph"/>
          <w:noProof/>
        </w:rPr>
        <w:t xml:space="preserve">adar resolution compared to LPR devices </w:t>
      </w:r>
      <w:r w:rsidR="005F2DD3" w:rsidRPr="006D6727">
        <w:rPr>
          <w:rStyle w:val="ECCParagraph"/>
          <w:noProof/>
        </w:rPr>
        <w:t xml:space="preserve">operating </w:t>
      </w:r>
      <w:r w:rsidR="000118CC" w:rsidRPr="006D6727">
        <w:rPr>
          <w:rStyle w:val="ECCParagraph"/>
          <w:noProof/>
        </w:rPr>
        <w:t>in</w:t>
      </w:r>
      <w:r w:rsidR="00BD622A" w:rsidRPr="006D6727">
        <w:rPr>
          <w:rStyle w:val="ECCParagraph"/>
          <w:noProof/>
        </w:rPr>
        <w:t xml:space="preserve"> lower frequenc</w:t>
      </w:r>
      <w:r w:rsidR="000118CC" w:rsidRPr="006D6727">
        <w:rPr>
          <w:rStyle w:val="ECCParagraph"/>
          <w:noProof/>
        </w:rPr>
        <w:t>y bands</w:t>
      </w:r>
      <w:r w:rsidR="00BD622A" w:rsidRPr="006D6727">
        <w:rPr>
          <w:rStyle w:val="ECCParagraph"/>
          <w:noProof/>
        </w:rPr>
        <w:t>, a modulation bandwidth of no</w:t>
      </w:r>
      <w:r w:rsidR="00706A9A" w:rsidRPr="006D6727">
        <w:rPr>
          <w:rStyle w:val="ECCParagraph"/>
          <w:noProof/>
        </w:rPr>
        <w:t>t</w:t>
      </w:r>
      <w:r w:rsidR="00BD622A" w:rsidRPr="006D6727">
        <w:rPr>
          <w:rStyle w:val="ECCParagraph"/>
          <w:noProof/>
        </w:rPr>
        <w:t xml:space="preserve"> less than 10 GHz is required. </w:t>
      </w:r>
      <w:r w:rsidR="000118CC" w:rsidRPr="006D6727">
        <w:rPr>
          <w:rStyle w:val="ECCParagraph"/>
          <w:noProof/>
        </w:rPr>
        <w:t xml:space="preserve">The upper boundaries of </w:t>
      </w:r>
      <w:r w:rsidR="00EB46D0" w:rsidRPr="006D6727">
        <w:rPr>
          <w:rStyle w:val="ECCParagraph"/>
          <w:noProof/>
        </w:rPr>
        <w:t xml:space="preserve">a </w:t>
      </w:r>
      <w:r w:rsidR="000118CC" w:rsidRPr="006D6727">
        <w:rPr>
          <w:rStyle w:val="ECCParagraph"/>
          <w:noProof/>
        </w:rPr>
        <w:t>conti</w:t>
      </w:r>
      <w:r w:rsidR="00DD63EE" w:rsidRPr="006D6727">
        <w:rPr>
          <w:rStyle w:val="ECCParagraph"/>
          <w:noProof/>
        </w:rPr>
        <w:t>guous</w:t>
      </w:r>
      <w:r w:rsidR="000118CC" w:rsidRPr="006D6727">
        <w:rPr>
          <w:rStyle w:val="ECCParagraph"/>
          <w:noProof/>
        </w:rPr>
        <w:t xml:space="preserve"> modulation bandwidth are equal to the available bandwidths in the individual requested frequency ranges which are 15 GHz and 18</w:t>
      </w:r>
      <w:r w:rsidR="00CF4994">
        <w:rPr>
          <w:rStyle w:val="ECCParagraph"/>
          <w:noProof/>
        </w:rPr>
        <w:t>.5</w:t>
      </w:r>
      <w:r w:rsidR="000118CC" w:rsidRPr="006D6727">
        <w:rPr>
          <w:rStyle w:val="ECCParagraph"/>
          <w:noProof/>
        </w:rPr>
        <w:t> GHz, respectively.</w:t>
      </w:r>
    </w:p>
    <w:p w14:paraId="7434FA1D" w14:textId="77777777" w:rsidR="00265735" w:rsidRPr="006D6727" w:rsidRDefault="00491490" w:rsidP="00265735">
      <w:pPr>
        <w:pStyle w:val="ECCFiguregraphcentered"/>
        <w:rPr>
          <w:rStyle w:val="ECCParagraph"/>
          <w:noProof/>
        </w:rPr>
      </w:pPr>
      <w:r w:rsidRPr="006D6727">
        <w:drawing>
          <wp:inline distT="0" distB="0" distL="0" distR="0" wp14:anchorId="5A4BA591" wp14:editId="782CFF83">
            <wp:extent cx="5954258" cy="4190036"/>
            <wp:effectExtent l="0" t="0" r="889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34866" cy="4246760"/>
                    </a:xfrm>
                    <a:prstGeom prst="rect">
                      <a:avLst/>
                    </a:prstGeom>
                  </pic:spPr>
                </pic:pic>
              </a:graphicData>
            </a:graphic>
          </wp:inline>
        </w:drawing>
      </w:r>
    </w:p>
    <w:p w14:paraId="2F6C22F2" w14:textId="3ED6575A" w:rsidR="006A7B22" w:rsidRPr="006D6727" w:rsidRDefault="006A7B22" w:rsidP="006A7B22">
      <w:pPr>
        <w:pStyle w:val="Caption"/>
        <w:rPr>
          <w:noProof/>
          <w:lang w:val="en-GB"/>
        </w:rPr>
      </w:pPr>
      <w:bookmarkStart w:id="229" w:name="_Ref8900572"/>
      <w:r w:rsidRPr="006D6727">
        <w:rPr>
          <w:noProof/>
          <w:lang w:val="en-GB"/>
        </w:rPr>
        <w:t>Figure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36</w:t>
      </w:r>
      <w:r w:rsidR="00616942" w:rsidRPr="006D6727">
        <w:rPr>
          <w:noProof/>
          <w:lang w:val="en-GB"/>
        </w:rPr>
        <w:fldChar w:fldCharType="end"/>
      </w:r>
      <w:bookmarkEnd w:id="229"/>
      <w:r w:rsidRPr="006D6727">
        <w:rPr>
          <w:noProof/>
          <w:lang w:val="en-GB"/>
        </w:rPr>
        <w:t>: Typical modulation scheme of LPR</w:t>
      </w:r>
      <w:r w:rsidR="005B7EDF" w:rsidRPr="006D6727">
        <w:rPr>
          <w:noProof/>
          <w:lang w:val="en-GB"/>
        </w:rPr>
        <w:t>s</w:t>
      </w:r>
    </w:p>
    <w:p w14:paraId="628573DB" w14:textId="6EE94157" w:rsidR="00D00688" w:rsidRPr="006D6727" w:rsidRDefault="00D00688" w:rsidP="00A256BC">
      <w:pPr>
        <w:rPr>
          <w:rStyle w:val="ECCParagraph"/>
          <w:noProof/>
        </w:rPr>
      </w:pPr>
      <w:r w:rsidRPr="006D6727">
        <w:rPr>
          <w:rStyle w:val="ECCParagraph"/>
          <w:noProof/>
        </w:rPr>
        <w:t>The available saturated output power depends strongly on the used semiconductor technology and decreases with increasing frequency and is physically limited by Johnson's limit.</w:t>
      </w:r>
      <w:r w:rsidR="00B53AE8" w:rsidRPr="006D6727">
        <w:rPr>
          <w:rStyle w:val="ECCParagraph"/>
          <w:noProof/>
        </w:rPr>
        <w:t xml:space="preserve"> </w:t>
      </w:r>
      <w:r w:rsidR="006623BB" w:rsidRPr="006D6727">
        <w:rPr>
          <w:rStyle w:val="ECCParagraph"/>
          <w:noProof/>
        </w:rPr>
        <w:t>A power amplifier survey</w:t>
      </w:r>
      <w:r w:rsidR="00544304">
        <w:rPr>
          <w:rStyle w:val="ECCParagraph"/>
          <w:noProof/>
        </w:rPr>
        <w:t xml:space="preserve"> </w:t>
      </w:r>
      <w:r w:rsidR="00D87039" w:rsidRPr="006D6727">
        <w:rPr>
          <w:rStyle w:val="ECCParagraph"/>
          <w:noProof/>
        </w:rPr>
        <w:fldChar w:fldCharType="begin"/>
      </w:r>
      <w:r w:rsidR="00D87039" w:rsidRPr="006D6727">
        <w:rPr>
          <w:rStyle w:val="ECCParagraph"/>
          <w:noProof/>
        </w:rPr>
        <w:instrText xml:space="preserve"> REF  PAsurvey \h \w  \* MERGEFORMAT </w:instrText>
      </w:r>
      <w:r w:rsidR="00D87039" w:rsidRPr="006D6727">
        <w:rPr>
          <w:rStyle w:val="ECCParagraph"/>
          <w:noProof/>
        </w:rPr>
      </w:r>
      <w:r w:rsidR="00D87039" w:rsidRPr="006D6727">
        <w:rPr>
          <w:rStyle w:val="ECCParagraph"/>
          <w:noProof/>
        </w:rPr>
        <w:fldChar w:fldCharType="separate"/>
      </w:r>
      <w:r w:rsidR="004F49F9">
        <w:rPr>
          <w:rStyle w:val="ECCParagraph"/>
          <w:noProof/>
        </w:rPr>
        <w:t>[6]</w:t>
      </w:r>
      <w:r w:rsidR="00D87039" w:rsidRPr="006D6727">
        <w:rPr>
          <w:rStyle w:val="ECCParagraph"/>
          <w:noProof/>
        </w:rPr>
        <w:fldChar w:fldCharType="end"/>
      </w:r>
      <w:r w:rsidR="006623BB" w:rsidRPr="006D6727">
        <w:rPr>
          <w:rStyle w:val="ECCParagraph"/>
          <w:noProof/>
        </w:rPr>
        <w:t xml:space="preserve">, initiated in 2000 </w:t>
      </w:r>
      <w:r w:rsidR="00DB7764" w:rsidRPr="006D6727">
        <w:rPr>
          <w:rStyle w:val="ECCParagraph"/>
          <w:noProof/>
        </w:rPr>
        <w:t>by</w:t>
      </w:r>
      <w:r w:rsidR="006623BB" w:rsidRPr="006D6727">
        <w:rPr>
          <w:rStyle w:val="ECCParagraph"/>
          <w:noProof/>
        </w:rPr>
        <w:t xml:space="preserve"> the Georgia Tech Electronics and Micro-System Lab (GEMS)</w:t>
      </w:r>
      <w:r w:rsidR="00DB7764" w:rsidRPr="006D6727">
        <w:rPr>
          <w:rStyle w:val="ECCParagraph"/>
          <w:noProof/>
        </w:rPr>
        <w:t xml:space="preserve"> </w:t>
      </w:r>
      <w:r w:rsidR="006623BB" w:rsidRPr="006D6727">
        <w:rPr>
          <w:rStyle w:val="ECCParagraph"/>
          <w:noProof/>
        </w:rPr>
        <w:t>has shown that with conventio</w:t>
      </w:r>
      <w:r w:rsidR="00DB7764" w:rsidRPr="006D6727">
        <w:rPr>
          <w:rStyle w:val="ECCParagraph"/>
          <w:noProof/>
        </w:rPr>
        <w:t>na</w:t>
      </w:r>
      <w:r w:rsidR="006623BB" w:rsidRPr="006D6727">
        <w:rPr>
          <w:rStyle w:val="ECCParagraph"/>
          <w:noProof/>
        </w:rPr>
        <w:t xml:space="preserve">l semiconductor </w:t>
      </w:r>
      <w:r w:rsidR="00DB7764" w:rsidRPr="006D6727">
        <w:rPr>
          <w:rStyle w:val="ECCParagraph"/>
          <w:noProof/>
        </w:rPr>
        <w:t xml:space="preserve">technologies like CMOS, SiGe, GaAs, GaN, which can be envisaged to be used for LPR applications, a saturated output power of 10 dBm at frequencies </w:t>
      </w:r>
      <w:r w:rsidR="001429D5" w:rsidRPr="006D6727">
        <w:rPr>
          <w:rStyle w:val="ECCParagraph"/>
          <w:noProof/>
        </w:rPr>
        <w:t>around</w:t>
      </w:r>
      <w:r w:rsidR="00DB7764" w:rsidRPr="006D6727">
        <w:rPr>
          <w:rStyle w:val="ECCParagraph"/>
          <w:noProof/>
        </w:rPr>
        <w:t xml:space="preserve"> 200 GHz </w:t>
      </w:r>
      <w:r w:rsidR="0011412E" w:rsidRPr="006D6727">
        <w:rPr>
          <w:rStyle w:val="ECCParagraph"/>
          <w:noProof/>
        </w:rPr>
        <w:t>has prove</w:t>
      </w:r>
      <w:r w:rsidR="00036FBC" w:rsidRPr="006D6727">
        <w:rPr>
          <w:rStyle w:val="ECCParagraph"/>
          <w:noProof/>
        </w:rPr>
        <w:t>n</w:t>
      </w:r>
      <w:r w:rsidR="0011412E" w:rsidRPr="006D6727">
        <w:rPr>
          <w:rStyle w:val="ECCParagraph"/>
          <w:noProof/>
        </w:rPr>
        <w:t xml:space="preserve"> possible</w:t>
      </w:r>
      <w:r w:rsidR="00036FBC" w:rsidRPr="006D6727">
        <w:rPr>
          <w:rStyle w:val="ECCParagraph"/>
          <w:noProof/>
        </w:rPr>
        <w:t xml:space="preserve"> also for cost-sensitive commercial applications in future</w:t>
      </w:r>
      <w:r w:rsidR="00DB7764" w:rsidRPr="006D6727">
        <w:rPr>
          <w:rStyle w:val="ECCParagraph"/>
          <w:noProof/>
        </w:rPr>
        <w:t xml:space="preserve">. </w:t>
      </w:r>
      <w:r w:rsidR="00036FBC" w:rsidRPr="006D6727">
        <w:rPr>
          <w:rStyle w:val="ECCParagraph"/>
          <w:noProof/>
        </w:rPr>
        <w:t xml:space="preserve">Taking into account </w:t>
      </w:r>
      <w:r w:rsidR="004D678C" w:rsidRPr="006D6727">
        <w:rPr>
          <w:rStyle w:val="ECCParagraph"/>
          <w:noProof/>
        </w:rPr>
        <w:t>inevitable losses from the individual RF output on</w:t>
      </w:r>
      <w:r w:rsidR="00277285" w:rsidRPr="006D6727">
        <w:rPr>
          <w:rStyle w:val="ECCParagraph"/>
          <w:noProof/>
        </w:rPr>
        <w:t>-</w:t>
      </w:r>
      <w:r w:rsidR="004D678C" w:rsidRPr="006D6727">
        <w:rPr>
          <w:rStyle w:val="ECCParagraph"/>
          <w:noProof/>
        </w:rPr>
        <w:t>chip to the antenna feeding point, it can be assumed that a maximum saturated output power of 5 dBm will be available.</w:t>
      </w:r>
    </w:p>
    <w:p w14:paraId="34BA7F83" w14:textId="77777777" w:rsidR="009E5161" w:rsidRPr="006D6727" w:rsidRDefault="009E5161" w:rsidP="004E36C2">
      <w:pPr>
        <w:pStyle w:val="Heading4"/>
        <w:rPr>
          <w:noProof/>
        </w:rPr>
      </w:pPr>
      <w:bookmarkStart w:id="230" w:name="_Ref20470811"/>
      <w:bookmarkStart w:id="231" w:name="_Toc84325273"/>
      <w:r w:rsidRPr="006D6727">
        <w:rPr>
          <w:noProof/>
        </w:rPr>
        <w:t>Antenna data</w:t>
      </w:r>
      <w:bookmarkEnd w:id="230"/>
      <w:bookmarkEnd w:id="231"/>
    </w:p>
    <w:p w14:paraId="71BA8E17" w14:textId="0D8A927C" w:rsidR="004A5560" w:rsidRPr="006D6727" w:rsidRDefault="004A5560" w:rsidP="004A5560">
      <w:pPr>
        <w:pStyle w:val="Caption"/>
        <w:rPr>
          <w:rStyle w:val="ECCParagraph"/>
          <w:rFonts w:eastAsia="Calibri"/>
          <w:noProof/>
        </w:rPr>
      </w:pPr>
      <w:r w:rsidRPr="006D6727">
        <w:rPr>
          <w:noProof/>
          <w:lang w:val="en-GB"/>
        </w:rPr>
        <w:t>Table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23</w:t>
      </w:r>
      <w:r w:rsidR="00616942" w:rsidRPr="006D6727">
        <w:rPr>
          <w:noProof/>
          <w:lang w:val="en-GB"/>
        </w:rPr>
        <w:fldChar w:fldCharType="end"/>
      </w:r>
      <w:r w:rsidRPr="006D6727">
        <w:rPr>
          <w:noProof/>
          <w:lang w:val="en-GB"/>
        </w:rPr>
        <w:t xml:space="preserve">: </w:t>
      </w:r>
      <w:r w:rsidRPr="006D6727">
        <w:rPr>
          <w:rStyle w:val="ECCParagraph"/>
          <w:rFonts w:eastAsia="Calibri"/>
          <w:noProof/>
        </w:rPr>
        <w:t>Antenna parameters of LPR equipment</w:t>
      </w:r>
    </w:p>
    <w:tbl>
      <w:tblPr>
        <w:tblStyle w:val="ECCTable-redheader"/>
        <w:tblW w:w="5000" w:type="pct"/>
        <w:tblInd w:w="0" w:type="dxa"/>
        <w:tblLook w:val="04A0" w:firstRow="1" w:lastRow="0" w:firstColumn="1" w:lastColumn="0" w:noHBand="0" w:noVBand="1"/>
      </w:tblPr>
      <w:tblGrid>
        <w:gridCol w:w="3964"/>
        <w:gridCol w:w="2453"/>
        <w:gridCol w:w="3212"/>
      </w:tblGrid>
      <w:tr w:rsidR="00B77126" w:rsidRPr="006D6727" w14:paraId="3F368210" w14:textId="77777777" w:rsidTr="00EA11B9">
        <w:trPr>
          <w:cnfStyle w:val="100000000000" w:firstRow="1" w:lastRow="0" w:firstColumn="0" w:lastColumn="0" w:oddVBand="0" w:evenVBand="0" w:oddHBand="0" w:evenHBand="0" w:firstRowFirstColumn="0" w:firstRowLastColumn="0" w:lastRowFirstColumn="0" w:lastRowLastColumn="0"/>
          <w:trHeight w:val="265"/>
        </w:trPr>
        <w:tc>
          <w:tcPr>
            <w:tcW w:w="2058" w:type="pct"/>
          </w:tcPr>
          <w:p w14:paraId="1CEA0FD4" w14:textId="77777777" w:rsidR="00B77126" w:rsidRPr="006D6727" w:rsidRDefault="00B77126" w:rsidP="004B4C8B">
            <w:pPr>
              <w:pStyle w:val="ECCTabletext"/>
              <w:jc w:val="left"/>
              <w:rPr>
                <w:rStyle w:val="ECCParagraph"/>
                <w:noProof/>
              </w:rPr>
            </w:pPr>
            <w:r w:rsidRPr="006D6727">
              <w:rPr>
                <w:rStyle w:val="ECCParagraph"/>
                <w:noProof/>
              </w:rPr>
              <w:t>Parameter</w:t>
            </w:r>
          </w:p>
        </w:tc>
        <w:tc>
          <w:tcPr>
            <w:tcW w:w="1274" w:type="pct"/>
          </w:tcPr>
          <w:p w14:paraId="5A6DFB13" w14:textId="77777777" w:rsidR="00B77126" w:rsidRPr="006D6727" w:rsidRDefault="00B77126" w:rsidP="004B4C8B">
            <w:pPr>
              <w:pStyle w:val="ECCTabletext"/>
              <w:jc w:val="left"/>
              <w:rPr>
                <w:rStyle w:val="ECCParagraph"/>
                <w:noProof/>
              </w:rPr>
            </w:pPr>
            <w:r w:rsidRPr="006D6727">
              <w:rPr>
                <w:rStyle w:val="ECCParagraph"/>
                <w:noProof/>
              </w:rPr>
              <w:t>Value</w:t>
            </w:r>
          </w:p>
        </w:tc>
        <w:tc>
          <w:tcPr>
            <w:tcW w:w="1668" w:type="pct"/>
          </w:tcPr>
          <w:p w14:paraId="4845F78C" w14:textId="77777777" w:rsidR="00B77126" w:rsidRPr="006D6727" w:rsidRDefault="00B77126" w:rsidP="004B4C8B">
            <w:pPr>
              <w:pStyle w:val="ECCTabletext"/>
              <w:jc w:val="left"/>
              <w:rPr>
                <w:rStyle w:val="ECCParagraph"/>
                <w:noProof/>
              </w:rPr>
            </w:pPr>
            <w:r w:rsidRPr="006D6727">
              <w:rPr>
                <w:rStyle w:val="ECCParagraph"/>
                <w:noProof/>
              </w:rPr>
              <w:t>Notes</w:t>
            </w:r>
          </w:p>
        </w:tc>
      </w:tr>
      <w:tr w:rsidR="00B77126" w:rsidRPr="006D6727" w14:paraId="113787AE" w14:textId="77777777" w:rsidTr="00EA11B9">
        <w:trPr>
          <w:trHeight w:val="265"/>
        </w:trPr>
        <w:tc>
          <w:tcPr>
            <w:tcW w:w="2058" w:type="pct"/>
          </w:tcPr>
          <w:p w14:paraId="29286F3D" w14:textId="77777777" w:rsidR="00B77126" w:rsidRPr="006D6727" w:rsidRDefault="00B77126" w:rsidP="004B4C8B">
            <w:pPr>
              <w:pStyle w:val="ECCTabletext"/>
              <w:jc w:val="left"/>
              <w:rPr>
                <w:rStyle w:val="ECCParagraph"/>
                <w:noProof/>
              </w:rPr>
            </w:pPr>
            <w:r w:rsidRPr="006D6727">
              <w:rPr>
                <w:rStyle w:val="ECCParagraph"/>
                <w:noProof/>
              </w:rPr>
              <w:t>Antenna type</w:t>
            </w:r>
          </w:p>
        </w:tc>
        <w:tc>
          <w:tcPr>
            <w:tcW w:w="1274" w:type="pct"/>
          </w:tcPr>
          <w:p w14:paraId="0F403F52" w14:textId="5057B286" w:rsidR="00B77126" w:rsidRPr="006D6727" w:rsidRDefault="00111B5C" w:rsidP="004B4C8B">
            <w:pPr>
              <w:pStyle w:val="ECCTabletext"/>
              <w:jc w:val="left"/>
              <w:rPr>
                <w:rStyle w:val="ECCParagraph"/>
                <w:noProof/>
              </w:rPr>
            </w:pPr>
            <w:r>
              <w:rPr>
                <w:rStyle w:val="ECCParagraph"/>
                <w:noProof/>
              </w:rPr>
              <w:t>H</w:t>
            </w:r>
            <w:r w:rsidR="00B77126" w:rsidRPr="006D6727">
              <w:rPr>
                <w:rStyle w:val="ECCParagraph"/>
                <w:noProof/>
              </w:rPr>
              <w:t>orn- and lens-horn antennas, planar antenna arrays</w:t>
            </w:r>
          </w:p>
        </w:tc>
        <w:tc>
          <w:tcPr>
            <w:tcW w:w="1668" w:type="pct"/>
          </w:tcPr>
          <w:p w14:paraId="2EC9DD32" w14:textId="4F68A149" w:rsidR="00B77126" w:rsidRPr="006D6727" w:rsidRDefault="00111B5C" w:rsidP="004B4C8B">
            <w:pPr>
              <w:pStyle w:val="ECCTabletext"/>
              <w:jc w:val="left"/>
              <w:rPr>
                <w:rStyle w:val="ECCParagraph"/>
                <w:noProof/>
              </w:rPr>
            </w:pPr>
            <w:r>
              <w:rPr>
                <w:rStyle w:val="ECCParagraph"/>
                <w:noProof/>
              </w:rPr>
              <w:t>A</w:t>
            </w:r>
            <w:r w:rsidR="00B77126" w:rsidRPr="006D6727">
              <w:rPr>
                <w:rStyle w:val="ECCParagraph"/>
                <w:noProof/>
              </w:rPr>
              <w:t>pplication dependent</w:t>
            </w:r>
          </w:p>
        </w:tc>
      </w:tr>
      <w:tr w:rsidR="00B77126" w:rsidRPr="006D6727" w14:paraId="08C9CCF2" w14:textId="77777777" w:rsidTr="00EA11B9">
        <w:trPr>
          <w:trHeight w:val="265"/>
        </w:trPr>
        <w:tc>
          <w:tcPr>
            <w:tcW w:w="2058" w:type="pct"/>
          </w:tcPr>
          <w:p w14:paraId="1A5CE0C0" w14:textId="77777777" w:rsidR="00B77126" w:rsidRPr="006D6727" w:rsidRDefault="00B77126" w:rsidP="004B4C8B">
            <w:pPr>
              <w:pStyle w:val="ECCTabletext"/>
              <w:jc w:val="left"/>
              <w:rPr>
                <w:rStyle w:val="ECCParagraph"/>
                <w:noProof/>
              </w:rPr>
            </w:pPr>
            <w:r w:rsidRPr="006D6727">
              <w:rPr>
                <w:rStyle w:val="ECCParagraph"/>
                <w:noProof/>
              </w:rPr>
              <w:t xml:space="preserve">Antenna half power beamwidth </w:t>
            </w:r>
          </w:p>
        </w:tc>
        <w:tc>
          <w:tcPr>
            <w:tcW w:w="1274" w:type="pct"/>
          </w:tcPr>
          <w:p w14:paraId="7826E49D" w14:textId="77777777" w:rsidR="00B77126" w:rsidRPr="006D6727" w:rsidRDefault="00B77126" w:rsidP="00B77126">
            <w:pPr>
              <w:rPr>
                <w:rStyle w:val="ECCParagraph"/>
                <w:noProof/>
              </w:rPr>
            </w:pPr>
            <w:r w:rsidRPr="006D6727">
              <w:rPr>
                <w:rStyle w:val="ECCParagraph"/>
                <w:noProof/>
              </w:rPr>
              <w:t>4</w:t>
            </w:r>
            <w:r w:rsidR="00CF4994">
              <w:rPr>
                <w:rStyle w:val="ECCParagraph"/>
                <w:noProof/>
              </w:rPr>
              <w:t>.3</w:t>
            </w:r>
            <w:r w:rsidRPr="006D6727">
              <w:rPr>
                <w:rStyle w:val="ECCParagraph"/>
                <w:noProof/>
              </w:rPr>
              <w:t xml:space="preserve"> to 5°</w:t>
            </w:r>
          </w:p>
        </w:tc>
        <w:tc>
          <w:tcPr>
            <w:tcW w:w="1668" w:type="pct"/>
            <w:vMerge w:val="restart"/>
          </w:tcPr>
          <w:p w14:paraId="071D4417" w14:textId="06A5F6C4" w:rsidR="00B77126" w:rsidRPr="006D6727" w:rsidRDefault="00111B5C" w:rsidP="004B4C8B">
            <w:pPr>
              <w:pStyle w:val="ECCTabletext"/>
              <w:jc w:val="left"/>
              <w:rPr>
                <w:rStyle w:val="ECCParagraph"/>
                <w:noProof/>
              </w:rPr>
            </w:pPr>
            <w:r>
              <w:rPr>
                <w:rStyle w:val="ECCParagraph"/>
                <w:noProof/>
              </w:rPr>
              <w:t>D</w:t>
            </w:r>
            <w:r w:rsidR="00B77126" w:rsidRPr="006D6727">
              <w:rPr>
                <w:rStyle w:val="ECCParagraph"/>
                <w:noProof/>
              </w:rPr>
              <w:t xml:space="preserve">epends on individual antenna type (see </w:t>
            </w:r>
            <w:r w:rsidR="00B77126" w:rsidRPr="006D6727">
              <w:rPr>
                <w:rStyle w:val="ECCParagraph"/>
                <w:noProof/>
              </w:rPr>
              <w:fldChar w:fldCharType="begin"/>
            </w:r>
            <w:r w:rsidR="00B77126" w:rsidRPr="006D6727">
              <w:rPr>
                <w:rStyle w:val="ECCParagraph"/>
                <w:noProof/>
              </w:rPr>
              <w:instrText xml:space="preserve"> REF _Ref27493566 \r \h </w:instrText>
            </w:r>
            <w:r w:rsidR="00B77126" w:rsidRPr="006D6727">
              <w:rPr>
                <w:rStyle w:val="ECCParagraph"/>
                <w:noProof/>
              </w:rPr>
            </w:r>
            <w:r w:rsidR="00B77126" w:rsidRPr="006D6727">
              <w:rPr>
                <w:rStyle w:val="ECCParagraph"/>
                <w:noProof/>
              </w:rPr>
              <w:fldChar w:fldCharType="separate"/>
            </w:r>
            <w:r w:rsidR="0041125F">
              <w:rPr>
                <w:rStyle w:val="ECCParagraph"/>
                <w:noProof/>
              </w:rPr>
              <w:t>A</w:t>
            </w:r>
            <w:r w:rsidR="00A76B4B">
              <w:rPr>
                <w:rStyle w:val="ECCParagraph"/>
                <w:noProof/>
              </w:rPr>
              <w:t>nnex</w:t>
            </w:r>
            <w:r w:rsidR="0041125F">
              <w:rPr>
                <w:rStyle w:val="ECCParagraph"/>
                <w:noProof/>
              </w:rPr>
              <w:t xml:space="preserve"> 4</w:t>
            </w:r>
            <w:r w:rsidR="00B77126" w:rsidRPr="006D6727">
              <w:rPr>
                <w:rStyle w:val="ECCParagraph"/>
                <w:noProof/>
              </w:rPr>
              <w:fldChar w:fldCharType="end"/>
            </w:r>
            <w:r w:rsidR="00B77126" w:rsidRPr="006D6727">
              <w:rPr>
                <w:rStyle w:val="ECCParagraph"/>
                <w:noProof/>
              </w:rPr>
              <w:t>)</w:t>
            </w:r>
          </w:p>
        </w:tc>
      </w:tr>
      <w:tr w:rsidR="00B77126" w:rsidRPr="006D6727" w14:paraId="2CD32520" w14:textId="77777777" w:rsidTr="00EA11B9">
        <w:trPr>
          <w:trHeight w:val="265"/>
        </w:trPr>
        <w:tc>
          <w:tcPr>
            <w:tcW w:w="2058" w:type="pct"/>
          </w:tcPr>
          <w:p w14:paraId="40C8284C" w14:textId="77777777" w:rsidR="00B77126" w:rsidRPr="006D6727" w:rsidRDefault="00B77126" w:rsidP="004B4C8B">
            <w:pPr>
              <w:pStyle w:val="ECCTabletext"/>
              <w:jc w:val="left"/>
              <w:rPr>
                <w:rStyle w:val="ECCParagraph"/>
                <w:noProof/>
              </w:rPr>
            </w:pPr>
            <w:r w:rsidRPr="006D6727">
              <w:rPr>
                <w:rStyle w:val="ECCParagraph"/>
                <w:noProof/>
              </w:rPr>
              <w:t>Antenna gain</w:t>
            </w:r>
          </w:p>
        </w:tc>
        <w:tc>
          <w:tcPr>
            <w:tcW w:w="1274" w:type="pct"/>
          </w:tcPr>
          <w:p w14:paraId="59BEB0EB" w14:textId="31F7E382" w:rsidR="00B77126" w:rsidRPr="006D6727" w:rsidRDefault="00111B5C" w:rsidP="004B4C8B">
            <w:pPr>
              <w:pStyle w:val="ECCTabletext"/>
              <w:jc w:val="left"/>
              <w:rPr>
                <w:rStyle w:val="ECCParagraph"/>
                <w:noProof/>
              </w:rPr>
            </w:pPr>
            <w:r>
              <w:rPr>
                <w:rStyle w:val="ECCParagraph"/>
              </w:rPr>
              <w:t>T</w:t>
            </w:r>
            <w:r w:rsidR="00D979C5">
              <w:rPr>
                <w:rStyle w:val="ECCParagraph"/>
              </w:rPr>
              <w:t>ypically</w:t>
            </w:r>
            <w:r w:rsidR="0026220A">
              <w:rPr>
                <w:rStyle w:val="ECCParagraph"/>
              </w:rPr>
              <w:t xml:space="preserve"> up</w:t>
            </w:r>
            <w:r w:rsidR="0026220A" w:rsidRPr="006D6727">
              <w:rPr>
                <w:rStyle w:val="ECCParagraph"/>
                <w:noProof/>
              </w:rPr>
              <w:t xml:space="preserve"> </w:t>
            </w:r>
            <w:r w:rsidR="00B77126" w:rsidRPr="006D6727">
              <w:rPr>
                <w:rStyle w:val="ECCParagraph"/>
                <w:noProof/>
              </w:rPr>
              <w:t>to 32 dBi</w:t>
            </w:r>
          </w:p>
        </w:tc>
        <w:tc>
          <w:tcPr>
            <w:tcW w:w="1668" w:type="pct"/>
            <w:vMerge/>
          </w:tcPr>
          <w:p w14:paraId="039601E3" w14:textId="77777777" w:rsidR="00B77126" w:rsidRPr="006D6727" w:rsidRDefault="00B77126" w:rsidP="00B77126">
            <w:pPr>
              <w:pStyle w:val="ECCTabletext"/>
              <w:rPr>
                <w:rStyle w:val="ECCHLyellow"/>
                <w:noProof/>
              </w:rPr>
            </w:pPr>
          </w:p>
        </w:tc>
      </w:tr>
      <w:tr w:rsidR="00B77126" w:rsidRPr="006D6727" w14:paraId="6C6B1627" w14:textId="77777777" w:rsidTr="00EA11B9">
        <w:trPr>
          <w:trHeight w:val="265"/>
        </w:trPr>
        <w:tc>
          <w:tcPr>
            <w:tcW w:w="2058" w:type="pct"/>
          </w:tcPr>
          <w:p w14:paraId="3B44174A" w14:textId="77777777" w:rsidR="00B77126" w:rsidRPr="006D6727" w:rsidRDefault="00B77126" w:rsidP="004B4C8B">
            <w:pPr>
              <w:pStyle w:val="ECCTabletext"/>
              <w:jc w:val="left"/>
              <w:rPr>
                <w:rStyle w:val="ECCParagraph"/>
                <w:noProof/>
              </w:rPr>
            </w:pPr>
            <w:r w:rsidRPr="006D6727">
              <w:rPr>
                <w:rStyle w:val="ECCParagraph"/>
                <w:noProof/>
              </w:rPr>
              <w:t>Maximum antenna gain in angles &gt;60°</w:t>
            </w:r>
          </w:p>
        </w:tc>
        <w:tc>
          <w:tcPr>
            <w:tcW w:w="1274" w:type="pct"/>
          </w:tcPr>
          <w:p w14:paraId="3E3E437B" w14:textId="77777777" w:rsidR="00B77126" w:rsidRPr="006D6727" w:rsidRDefault="007D1195" w:rsidP="004B4C8B">
            <w:pPr>
              <w:pStyle w:val="ECCTabletext"/>
              <w:jc w:val="left"/>
              <w:rPr>
                <w:rStyle w:val="ECCParagraph"/>
                <w:noProof/>
              </w:rPr>
            </w:pPr>
            <w:r w:rsidRPr="006D6727">
              <w:rPr>
                <w:rStyle w:val="ECCParagraph"/>
                <w:rFonts w:cs="Arial"/>
                <w:noProof/>
              </w:rPr>
              <w:t>−</w:t>
            </w:r>
            <w:r w:rsidR="00B77126" w:rsidRPr="006D6727">
              <w:rPr>
                <w:rStyle w:val="ECCParagraph"/>
                <w:noProof/>
              </w:rPr>
              <w:t>5 to 0 dBi</w:t>
            </w:r>
          </w:p>
        </w:tc>
        <w:tc>
          <w:tcPr>
            <w:tcW w:w="1668" w:type="pct"/>
            <w:vMerge/>
          </w:tcPr>
          <w:p w14:paraId="75AF981A" w14:textId="77777777" w:rsidR="00B77126" w:rsidRPr="006D6727" w:rsidRDefault="00B77126" w:rsidP="00B77126">
            <w:pPr>
              <w:pStyle w:val="ECCTabletext"/>
              <w:rPr>
                <w:rStyle w:val="ECCHLyellow"/>
                <w:noProof/>
              </w:rPr>
            </w:pPr>
          </w:p>
        </w:tc>
      </w:tr>
      <w:tr w:rsidR="00B77126" w:rsidRPr="006D6727" w14:paraId="2F33E66B" w14:textId="77777777" w:rsidTr="00EA11B9">
        <w:trPr>
          <w:trHeight w:val="265"/>
        </w:trPr>
        <w:tc>
          <w:tcPr>
            <w:tcW w:w="2058" w:type="pct"/>
          </w:tcPr>
          <w:p w14:paraId="633DC7FB" w14:textId="77777777" w:rsidR="00B77126" w:rsidRPr="006D6727" w:rsidRDefault="00B77126" w:rsidP="004B4C8B">
            <w:pPr>
              <w:pStyle w:val="ECCTabletext"/>
              <w:jc w:val="left"/>
              <w:rPr>
                <w:rStyle w:val="ECCParagraph"/>
                <w:noProof/>
              </w:rPr>
            </w:pPr>
            <w:r w:rsidRPr="006D6727">
              <w:rPr>
                <w:rStyle w:val="ECCParagraph"/>
                <w:noProof/>
              </w:rPr>
              <w:t>Maximum antenna gain in angles 20°-30°</w:t>
            </w:r>
          </w:p>
        </w:tc>
        <w:tc>
          <w:tcPr>
            <w:tcW w:w="1274" w:type="pct"/>
          </w:tcPr>
          <w:p w14:paraId="542DE517" w14:textId="77777777" w:rsidR="00B77126" w:rsidRPr="006D6727" w:rsidRDefault="007D1195" w:rsidP="004B4C8B">
            <w:pPr>
              <w:pStyle w:val="ECCTabletext"/>
              <w:jc w:val="left"/>
              <w:rPr>
                <w:rStyle w:val="ECCParagraph"/>
                <w:noProof/>
              </w:rPr>
            </w:pPr>
            <w:r w:rsidRPr="006D6727">
              <w:rPr>
                <w:rStyle w:val="ECCParagraph"/>
                <w:rFonts w:cs="Arial"/>
                <w:noProof/>
              </w:rPr>
              <w:t>−</w:t>
            </w:r>
            <w:r w:rsidR="00B77126" w:rsidRPr="006D6727">
              <w:rPr>
                <w:rStyle w:val="ECCParagraph"/>
                <w:noProof/>
              </w:rPr>
              <w:t>3 to 4 dBi</w:t>
            </w:r>
          </w:p>
        </w:tc>
        <w:tc>
          <w:tcPr>
            <w:tcW w:w="1668" w:type="pct"/>
            <w:vMerge/>
          </w:tcPr>
          <w:p w14:paraId="7FBA7553" w14:textId="77777777" w:rsidR="00B77126" w:rsidRPr="006D6727" w:rsidRDefault="00B77126" w:rsidP="00B77126">
            <w:pPr>
              <w:pStyle w:val="ECCTabletext"/>
              <w:rPr>
                <w:rStyle w:val="ECCHLyellow"/>
                <w:noProof/>
              </w:rPr>
            </w:pPr>
          </w:p>
        </w:tc>
      </w:tr>
      <w:tr w:rsidR="00B77126" w:rsidRPr="006D6727" w14:paraId="2C497352" w14:textId="77777777" w:rsidTr="00EA11B9">
        <w:trPr>
          <w:trHeight w:val="265"/>
        </w:trPr>
        <w:tc>
          <w:tcPr>
            <w:tcW w:w="2058" w:type="pct"/>
          </w:tcPr>
          <w:p w14:paraId="751B54AF" w14:textId="77777777" w:rsidR="00B77126" w:rsidRPr="006D6727" w:rsidRDefault="00B77126" w:rsidP="004B4C8B">
            <w:pPr>
              <w:pStyle w:val="ECCTabletext"/>
              <w:jc w:val="left"/>
              <w:rPr>
                <w:rStyle w:val="ECCParagraph"/>
                <w:noProof/>
              </w:rPr>
            </w:pPr>
            <w:r w:rsidRPr="006D6727">
              <w:rPr>
                <w:rStyle w:val="ECCParagraph"/>
                <w:noProof/>
              </w:rPr>
              <w:t>Antenna polarisation</w:t>
            </w:r>
          </w:p>
        </w:tc>
        <w:tc>
          <w:tcPr>
            <w:tcW w:w="1274" w:type="pct"/>
          </w:tcPr>
          <w:p w14:paraId="348CB828" w14:textId="77777777" w:rsidR="00B77126" w:rsidRPr="006D6727" w:rsidRDefault="00B77126" w:rsidP="004B4C8B">
            <w:pPr>
              <w:pStyle w:val="ECCTabletext"/>
              <w:jc w:val="left"/>
              <w:rPr>
                <w:rStyle w:val="ECCParagraph"/>
                <w:noProof/>
              </w:rPr>
            </w:pPr>
            <w:r w:rsidRPr="006D6727">
              <w:rPr>
                <w:rStyle w:val="ECCParagraph"/>
                <w:noProof/>
              </w:rPr>
              <w:t>Linear or circular</w:t>
            </w:r>
          </w:p>
        </w:tc>
        <w:tc>
          <w:tcPr>
            <w:tcW w:w="1668" w:type="pct"/>
            <w:vMerge/>
          </w:tcPr>
          <w:p w14:paraId="1581B6AB" w14:textId="77777777" w:rsidR="00B77126" w:rsidRPr="006D6727" w:rsidRDefault="00B77126" w:rsidP="00B77126">
            <w:pPr>
              <w:pStyle w:val="ECCTabletext"/>
              <w:rPr>
                <w:rStyle w:val="ECCHLyellow"/>
                <w:noProof/>
              </w:rPr>
            </w:pPr>
          </w:p>
        </w:tc>
      </w:tr>
    </w:tbl>
    <w:p w14:paraId="18D9E948" w14:textId="5EB0CCB6" w:rsidR="00B77126" w:rsidRPr="006D6727" w:rsidRDefault="00B77126" w:rsidP="00B77126">
      <w:pPr>
        <w:rPr>
          <w:noProof/>
        </w:rPr>
      </w:pPr>
      <w:r w:rsidRPr="006D6727">
        <w:rPr>
          <w:noProof/>
        </w:rPr>
        <w:t xml:space="preserve">More information on typical antenna parameters for LPR equipment is given in </w:t>
      </w:r>
      <w:r w:rsidRPr="006D6727">
        <w:rPr>
          <w:rStyle w:val="ECCParagraph"/>
          <w:noProof/>
        </w:rPr>
        <w:fldChar w:fldCharType="begin"/>
      </w:r>
      <w:r w:rsidRPr="006D6727">
        <w:rPr>
          <w:rStyle w:val="ECCParagraph"/>
          <w:noProof/>
        </w:rPr>
        <w:instrText xml:space="preserve"> REF _Ref27493566 \r \h </w:instrText>
      </w:r>
      <w:r w:rsidRPr="006D6727">
        <w:rPr>
          <w:rStyle w:val="ECCParagraph"/>
          <w:noProof/>
        </w:rPr>
      </w:r>
      <w:r w:rsidRPr="006D6727">
        <w:rPr>
          <w:rStyle w:val="ECCParagraph"/>
          <w:noProof/>
        </w:rPr>
        <w:fldChar w:fldCharType="separate"/>
      </w:r>
      <w:r w:rsidR="0041125F">
        <w:rPr>
          <w:rStyle w:val="ECCParagraph"/>
          <w:noProof/>
        </w:rPr>
        <w:t>A</w:t>
      </w:r>
      <w:r w:rsidR="00A76B4B">
        <w:rPr>
          <w:rStyle w:val="ECCParagraph"/>
          <w:noProof/>
        </w:rPr>
        <w:t>nnex</w:t>
      </w:r>
      <w:r w:rsidR="0041125F">
        <w:rPr>
          <w:rStyle w:val="ECCParagraph"/>
          <w:noProof/>
        </w:rPr>
        <w:t xml:space="preserve"> 4</w:t>
      </w:r>
      <w:r w:rsidRPr="006D6727">
        <w:rPr>
          <w:rStyle w:val="ECCParagraph"/>
          <w:noProof/>
        </w:rPr>
        <w:fldChar w:fldCharType="end"/>
      </w:r>
      <w:r w:rsidRPr="006D6727">
        <w:rPr>
          <w:rStyle w:val="ECCParagraph"/>
          <w:noProof/>
        </w:rPr>
        <w:t>.</w:t>
      </w:r>
    </w:p>
    <w:p w14:paraId="7AD7367C" w14:textId="77777777" w:rsidR="004D00D6" w:rsidRPr="006D6727" w:rsidRDefault="004D00D6" w:rsidP="004E36C2">
      <w:pPr>
        <w:pStyle w:val="Heading4"/>
        <w:rPr>
          <w:noProof/>
        </w:rPr>
      </w:pPr>
      <w:bookmarkStart w:id="232" w:name="_Ref9950079"/>
      <w:bookmarkStart w:id="233" w:name="_Toc84325274"/>
      <w:r w:rsidRPr="006D6727">
        <w:rPr>
          <w:noProof/>
        </w:rPr>
        <w:t>Market size</w:t>
      </w:r>
      <w:bookmarkEnd w:id="232"/>
      <w:bookmarkEnd w:id="233"/>
    </w:p>
    <w:p w14:paraId="2D523041" w14:textId="0AA9340F" w:rsidR="00936BC7" w:rsidRPr="006D6727" w:rsidRDefault="00F32F0D" w:rsidP="004D00D6">
      <w:pPr>
        <w:rPr>
          <w:rStyle w:val="ECCHLyellow"/>
          <w:noProof/>
        </w:rPr>
      </w:pPr>
      <w:r w:rsidRPr="006D6727">
        <w:rPr>
          <w:rStyle w:val="ECCParagraph"/>
          <w:noProof/>
        </w:rPr>
        <w:t xml:space="preserve">ETSI TR 103 498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F49F9">
        <w:rPr>
          <w:rStyle w:val="ECCParagraph"/>
          <w:noProof/>
        </w:rPr>
        <w:t>[1]</w:t>
      </w:r>
      <w:r w:rsidRPr="006D6727">
        <w:rPr>
          <w:rStyle w:val="ECCParagraph"/>
          <w:noProof/>
        </w:rPr>
        <w:fldChar w:fldCharType="end"/>
      </w:r>
      <w:r w:rsidRPr="006D6727">
        <w:rPr>
          <w:rStyle w:val="ECCParagraph"/>
          <w:noProof/>
        </w:rPr>
        <w:t xml:space="preserve"> does not give any figures for the market size </w:t>
      </w:r>
      <w:r w:rsidR="00AE0944" w:rsidRPr="006D6727">
        <w:rPr>
          <w:rStyle w:val="ECCParagraph"/>
          <w:noProof/>
        </w:rPr>
        <w:t>for LPRs</w:t>
      </w:r>
      <w:r w:rsidRPr="006D6727">
        <w:rPr>
          <w:rStyle w:val="ECCParagraph"/>
          <w:noProof/>
        </w:rPr>
        <w:t xml:space="preserve">. However, a recently conducted assessment among </w:t>
      </w:r>
      <w:r w:rsidR="00EB7A69" w:rsidRPr="006D6727">
        <w:rPr>
          <w:rStyle w:val="ECCParagraph"/>
          <w:noProof/>
        </w:rPr>
        <w:t>several</w:t>
      </w:r>
      <w:r w:rsidR="004D1BED" w:rsidRPr="006D6727">
        <w:rPr>
          <w:rStyle w:val="ECCParagraph"/>
          <w:noProof/>
        </w:rPr>
        <w:t xml:space="preserve"> </w:t>
      </w:r>
      <w:r w:rsidR="004A10D6" w:rsidRPr="006D6727">
        <w:rPr>
          <w:rStyle w:val="ECCParagraph"/>
          <w:noProof/>
        </w:rPr>
        <w:t>(T)</w:t>
      </w:r>
      <w:r w:rsidR="00EB5E6C" w:rsidRPr="006D6727">
        <w:rPr>
          <w:rStyle w:val="ECCParagraph"/>
          <w:noProof/>
        </w:rPr>
        <w:t xml:space="preserve">LPR manufacturers </w:t>
      </w:r>
      <w:r w:rsidR="004D1BED" w:rsidRPr="006D6727">
        <w:rPr>
          <w:rStyle w:val="ECCParagraph"/>
          <w:noProof/>
        </w:rPr>
        <w:t xml:space="preserve">yielded </w:t>
      </w:r>
      <w:r w:rsidR="00B55D52" w:rsidRPr="006D6727">
        <w:rPr>
          <w:rStyle w:val="ECCParagraph"/>
          <w:noProof/>
        </w:rPr>
        <w:t>the</w:t>
      </w:r>
      <w:r w:rsidR="003B75E0" w:rsidRPr="006D6727">
        <w:rPr>
          <w:rStyle w:val="ECCParagraph"/>
          <w:noProof/>
        </w:rPr>
        <w:t xml:space="preserve"> expected </w:t>
      </w:r>
      <w:r w:rsidR="00F81EFB" w:rsidRPr="006D6727">
        <w:rPr>
          <w:rStyle w:val="ECCParagraph"/>
          <w:noProof/>
        </w:rPr>
        <w:t xml:space="preserve">sales figures </w:t>
      </w:r>
      <w:r w:rsidR="00183356" w:rsidRPr="006D6727">
        <w:rPr>
          <w:rStyle w:val="ECCParagraph"/>
          <w:noProof/>
        </w:rPr>
        <w:t>given</w:t>
      </w:r>
      <w:r w:rsidR="00304639" w:rsidRPr="006D6727">
        <w:rPr>
          <w:rStyle w:val="ECCParagraph"/>
          <w:noProof/>
        </w:rPr>
        <w:t xml:space="preserve"> in </w:t>
      </w:r>
      <w:r w:rsidR="00304639" w:rsidRPr="006D6727">
        <w:rPr>
          <w:rStyle w:val="ECCParagraph"/>
          <w:noProof/>
        </w:rPr>
        <w:fldChar w:fldCharType="begin"/>
      </w:r>
      <w:r w:rsidR="00304639" w:rsidRPr="006D6727">
        <w:rPr>
          <w:rStyle w:val="ECCParagraph"/>
          <w:noProof/>
        </w:rPr>
        <w:instrText xml:space="preserve"> REF _Ref9259190 \h </w:instrText>
      </w:r>
      <w:r w:rsidR="00304639" w:rsidRPr="006D6727">
        <w:rPr>
          <w:rStyle w:val="ECCParagraph"/>
          <w:noProof/>
        </w:rPr>
      </w:r>
      <w:r w:rsidR="00304639" w:rsidRPr="006D6727">
        <w:rPr>
          <w:rStyle w:val="ECCParagraph"/>
          <w:noProof/>
        </w:rPr>
        <w:fldChar w:fldCharType="separate"/>
      </w:r>
      <w:r w:rsidR="0041125F" w:rsidRPr="006D6727">
        <w:rPr>
          <w:noProof/>
        </w:rPr>
        <w:t>Table </w:t>
      </w:r>
      <w:r w:rsidR="0041125F">
        <w:rPr>
          <w:noProof/>
        </w:rPr>
        <w:t>24</w:t>
      </w:r>
      <w:r w:rsidR="00304639" w:rsidRPr="006D6727">
        <w:rPr>
          <w:rStyle w:val="ECCParagraph"/>
          <w:noProof/>
        </w:rPr>
        <w:fldChar w:fldCharType="end"/>
      </w:r>
      <w:r w:rsidR="00BD5DB7" w:rsidRPr="006D6727">
        <w:rPr>
          <w:rStyle w:val="ECCParagraph"/>
          <w:noProof/>
        </w:rPr>
        <w:t xml:space="preserve"> for the whole LPR market</w:t>
      </w:r>
      <w:r w:rsidR="00304639" w:rsidRPr="006D6727">
        <w:rPr>
          <w:rStyle w:val="ECCParagraph"/>
          <w:noProof/>
        </w:rPr>
        <w:t>.</w:t>
      </w:r>
      <w:r w:rsidR="00EB7A69" w:rsidRPr="006D6727">
        <w:rPr>
          <w:rStyle w:val="ECCParagraph"/>
          <w:noProof/>
        </w:rPr>
        <w:t xml:space="preserve"> This </w:t>
      </w:r>
      <w:r w:rsidR="00183356" w:rsidRPr="006D6727">
        <w:rPr>
          <w:rStyle w:val="ECCParagraph"/>
          <w:noProof/>
        </w:rPr>
        <w:t xml:space="preserve">rather rough </w:t>
      </w:r>
      <w:r w:rsidR="00EB7A69" w:rsidRPr="006D6727">
        <w:rPr>
          <w:rStyle w:val="ECCParagraph"/>
          <w:noProof/>
        </w:rPr>
        <w:t>estimation also considers a considerable growth within the first five years after market launch</w:t>
      </w:r>
      <w:r w:rsidR="001A5DD3" w:rsidRPr="006D6727">
        <w:rPr>
          <w:rStyle w:val="ECCParagraph"/>
          <w:noProof/>
        </w:rPr>
        <w:t xml:space="preserve">. </w:t>
      </w:r>
      <w:r w:rsidR="007F5237" w:rsidRPr="006D6727">
        <w:rPr>
          <w:noProof/>
        </w:rPr>
        <w:t>Given the European land area of 10</w:t>
      </w:r>
      <w:r w:rsidR="00CF4994">
        <w:t>5</w:t>
      </w:r>
      <w:r w:rsidR="00723300" w:rsidRPr="006D6727">
        <w:rPr>
          <w:noProof/>
        </w:rPr>
        <w:t>23</w:t>
      </w:r>
      <w:r w:rsidR="00CF4994">
        <w:rPr>
          <w:noProof/>
        </w:rPr>
        <w:t>000</w:t>
      </w:r>
      <w:r w:rsidR="007F5237" w:rsidRPr="006D6727">
        <w:rPr>
          <w:noProof/>
        </w:rPr>
        <w:t xml:space="preserve"> km</w:t>
      </w:r>
      <w:r w:rsidR="00B53578" w:rsidRPr="006D6727">
        <w:rPr>
          <w:noProof/>
        </w:rPr>
        <w:t>²</w:t>
      </w:r>
      <w:r w:rsidR="007F5237" w:rsidRPr="006D6727">
        <w:rPr>
          <w:noProof/>
        </w:rPr>
        <w:t xml:space="preserve">, </w:t>
      </w:r>
      <w:r w:rsidR="007F5237" w:rsidRPr="006D6727">
        <w:rPr>
          <w:rStyle w:val="ECCParagraph"/>
          <w:noProof/>
        </w:rPr>
        <w:t>this translates to the average density</w:t>
      </w:r>
      <w:r w:rsidR="000E1581" w:rsidRPr="006D6727">
        <w:rPr>
          <w:rStyle w:val="ECCParagraph"/>
          <w:noProof/>
        </w:rPr>
        <w:t xml:space="preserve"> of 0</w:t>
      </w:r>
      <w:r w:rsidR="00CF4994">
        <w:rPr>
          <w:rStyle w:val="ECCParagraph"/>
          <w:noProof/>
        </w:rPr>
        <w:t>.0</w:t>
      </w:r>
      <w:r w:rsidR="000E1581" w:rsidRPr="006D6727">
        <w:rPr>
          <w:rStyle w:val="ECCParagraph"/>
          <w:noProof/>
        </w:rPr>
        <w:t>0</w:t>
      </w:r>
      <w:r w:rsidR="006F183F" w:rsidRPr="006D6727">
        <w:rPr>
          <w:rStyle w:val="ECCParagraph"/>
          <w:noProof/>
        </w:rPr>
        <w:t>38</w:t>
      </w:r>
      <w:r w:rsidR="000E1581" w:rsidRPr="006D6727">
        <w:rPr>
          <w:rStyle w:val="ECCParagraph"/>
          <w:noProof/>
        </w:rPr>
        <w:t> LPR devices/km² in the band 1</w:t>
      </w:r>
      <w:r w:rsidR="006F183F" w:rsidRPr="006D6727">
        <w:rPr>
          <w:rStyle w:val="ECCParagraph"/>
          <w:noProof/>
        </w:rPr>
        <w:t>16</w:t>
      </w:r>
      <w:r w:rsidR="000E1581" w:rsidRPr="006D6727">
        <w:rPr>
          <w:rStyle w:val="ECCParagraph"/>
          <w:noProof/>
        </w:rPr>
        <w:t>-1</w:t>
      </w:r>
      <w:r w:rsidR="006F183F" w:rsidRPr="006D6727">
        <w:rPr>
          <w:rStyle w:val="ECCParagraph"/>
          <w:noProof/>
        </w:rPr>
        <w:t>48</w:t>
      </w:r>
      <w:r w:rsidR="00CF4994">
        <w:rPr>
          <w:rStyle w:val="ECCParagraph"/>
          <w:noProof/>
        </w:rPr>
        <w:t>.5</w:t>
      </w:r>
      <w:r w:rsidR="000E1581" w:rsidRPr="006D6727">
        <w:rPr>
          <w:rStyle w:val="ECCParagraph"/>
          <w:noProof/>
        </w:rPr>
        <w:t> GHz</w:t>
      </w:r>
      <w:r w:rsidR="006F183F" w:rsidRPr="006D6727">
        <w:rPr>
          <w:rStyle w:val="ECCParagraph"/>
          <w:noProof/>
        </w:rPr>
        <w:t>,</w:t>
      </w:r>
      <w:r w:rsidR="000E1581" w:rsidRPr="006D6727">
        <w:rPr>
          <w:rStyle w:val="ECCParagraph"/>
          <w:noProof/>
        </w:rPr>
        <w:t xml:space="preserve"> </w:t>
      </w:r>
      <w:r w:rsidR="00B53578" w:rsidRPr="006D6727">
        <w:rPr>
          <w:rStyle w:val="ECCParagraph"/>
          <w:noProof/>
        </w:rPr>
        <w:t>0</w:t>
      </w:r>
      <w:r w:rsidR="00CF4994">
        <w:rPr>
          <w:rStyle w:val="ECCParagraph"/>
          <w:noProof/>
        </w:rPr>
        <w:t>.0</w:t>
      </w:r>
      <w:r w:rsidR="00B53578" w:rsidRPr="006D6727">
        <w:rPr>
          <w:rStyle w:val="ECCParagraph"/>
          <w:noProof/>
        </w:rPr>
        <w:t>0</w:t>
      </w:r>
      <w:r w:rsidR="006F183F" w:rsidRPr="006D6727">
        <w:rPr>
          <w:rStyle w:val="ECCParagraph"/>
          <w:noProof/>
        </w:rPr>
        <w:t>23</w:t>
      </w:r>
      <w:r w:rsidR="00313222" w:rsidRPr="006D6727">
        <w:rPr>
          <w:rStyle w:val="ECCParagraph"/>
          <w:noProof/>
        </w:rPr>
        <w:t> </w:t>
      </w:r>
      <w:r w:rsidR="007F5237" w:rsidRPr="006D6727">
        <w:rPr>
          <w:rStyle w:val="ECCParagraph"/>
          <w:noProof/>
        </w:rPr>
        <w:t>LPR devices/km</w:t>
      </w:r>
      <w:r w:rsidR="00B53578" w:rsidRPr="006D6727">
        <w:rPr>
          <w:rStyle w:val="ECCParagraph"/>
          <w:noProof/>
        </w:rPr>
        <w:t>² in the band 167-182 GHz and 0</w:t>
      </w:r>
      <w:r w:rsidR="00CF4994">
        <w:rPr>
          <w:rStyle w:val="ECCParagraph"/>
          <w:noProof/>
        </w:rPr>
        <w:t>.0</w:t>
      </w:r>
      <w:r w:rsidR="00B53578" w:rsidRPr="006D6727">
        <w:rPr>
          <w:rStyle w:val="ECCParagraph"/>
          <w:noProof/>
        </w:rPr>
        <w:t>0</w:t>
      </w:r>
      <w:r w:rsidR="006F183F" w:rsidRPr="006D6727">
        <w:rPr>
          <w:rStyle w:val="ECCParagraph"/>
          <w:noProof/>
        </w:rPr>
        <w:t>15</w:t>
      </w:r>
      <w:r w:rsidR="00313222" w:rsidRPr="006D6727">
        <w:rPr>
          <w:rStyle w:val="ECCParagraph"/>
          <w:noProof/>
        </w:rPr>
        <w:t> </w:t>
      </w:r>
      <w:r w:rsidR="00B53578" w:rsidRPr="006D6727">
        <w:rPr>
          <w:rStyle w:val="ECCParagraph"/>
          <w:noProof/>
        </w:rPr>
        <w:t>LPR devices/km² in the band 231</w:t>
      </w:r>
      <w:r w:rsidR="00CF4994">
        <w:rPr>
          <w:rStyle w:val="ECCParagraph"/>
          <w:noProof/>
        </w:rPr>
        <w:t>.5</w:t>
      </w:r>
      <w:r w:rsidR="00B53578" w:rsidRPr="006D6727">
        <w:rPr>
          <w:rStyle w:val="ECCParagraph"/>
          <w:noProof/>
        </w:rPr>
        <w:t>-250 GHz.</w:t>
      </w:r>
    </w:p>
    <w:p w14:paraId="4511F52B" w14:textId="56618501" w:rsidR="00222C6B" w:rsidRPr="006D6727" w:rsidRDefault="000249B4" w:rsidP="000249B4">
      <w:pPr>
        <w:pStyle w:val="Caption"/>
        <w:rPr>
          <w:rStyle w:val="ECCParagraph"/>
          <w:rFonts w:eastAsia="Calibri"/>
          <w:noProof/>
          <w:szCs w:val="22"/>
          <w:shd w:val="solid" w:color="FFFF00" w:fill="auto"/>
        </w:rPr>
      </w:pPr>
      <w:bookmarkStart w:id="234" w:name="_Ref9259190"/>
      <w:r w:rsidRPr="006D6727">
        <w:rPr>
          <w:noProof/>
          <w:lang w:val="en-GB"/>
        </w:rPr>
        <w:t>Table</w:t>
      </w:r>
      <w:r w:rsidR="00774A58" w:rsidRPr="006D6727">
        <w:rPr>
          <w:noProof/>
          <w:lang w:val="en-GB"/>
        </w:rPr>
        <w:t> </w:t>
      </w:r>
      <w:r w:rsidR="00DD1CCF" w:rsidRPr="006D6727">
        <w:rPr>
          <w:noProof/>
          <w:lang w:val="en-GB"/>
        </w:rPr>
        <w:fldChar w:fldCharType="begin"/>
      </w:r>
      <w:r w:rsidR="00DD1CCF" w:rsidRPr="006D6727">
        <w:rPr>
          <w:noProof/>
          <w:lang w:val="en-GB"/>
        </w:rPr>
        <w:instrText xml:space="preserve"> SEQ Table \* ARABIC </w:instrText>
      </w:r>
      <w:r w:rsidR="00DD1CCF" w:rsidRPr="006D6727">
        <w:rPr>
          <w:noProof/>
          <w:lang w:val="en-GB"/>
        </w:rPr>
        <w:fldChar w:fldCharType="separate"/>
      </w:r>
      <w:r w:rsidR="004F49F9">
        <w:rPr>
          <w:noProof/>
          <w:lang w:val="en-GB"/>
        </w:rPr>
        <w:t>24</w:t>
      </w:r>
      <w:r w:rsidR="00DD1CCF" w:rsidRPr="006D6727">
        <w:rPr>
          <w:noProof/>
          <w:lang w:val="en-GB"/>
        </w:rPr>
        <w:fldChar w:fldCharType="end"/>
      </w:r>
      <w:bookmarkEnd w:id="234"/>
      <w:r w:rsidRPr="006D6727">
        <w:rPr>
          <w:noProof/>
          <w:lang w:val="en-GB"/>
        </w:rPr>
        <w:t xml:space="preserve">: </w:t>
      </w:r>
      <w:r w:rsidR="008F2337" w:rsidRPr="006D6727">
        <w:rPr>
          <w:rStyle w:val="ECCParagraph"/>
          <w:rFonts w:eastAsia="Calibri"/>
          <w:noProof/>
        </w:rPr>
        <w:t xml:space="preserve">Estimated sales figures </w:t>
      </w:r>
      <w:r w:rsidR="003D1B8A" w:rsidRPr="006D6727">
        <w:rPr>
          <w:rStyle w:val="ECCParagraph"/>
          <w:rFonts w:eastAsia="Calibri"/>
          <w:noProof/>
        </w:rPr>
        <w:t xml:space="preserve">and </w:t>
      </w:r>
      <w:r w:rsidR="00956565" w:rsidRPr="006D6727">
        <w:rPr>
          <w:rStyle w:val="ECCParagraph"/>
          <w:rFonts w:eastAsia="Calibri"/>
          <w:noProof/>
        </w:rPr>
        <w:t xml:space="preserve">device densities </w:t>
      </w:r>
      <w:r w:rsidR="008F2337" w:rsidRPr="006D6727">
        <w:rPr>
          <w:rStyle w:val="ECCParagraph"/>
          <w:rFonts w:eastAsia="Calibri"/>
          <w:noProof/>
        </w:rPr>
        <w:t>of LPR devices</w:t>
      </w:r>
    </w:p>
    <w:tbl>
      <w:tblPr>
        <w:tblStyle w:val="ECCTable-redheader"/>
        <w:tblW w:w="5000" w:type="pct"/>
        <w:tblInd w:w="0" w:type="dxa"/>
        <w:tblLook w:val="04A0" w:firstRow="1" w:lastRow="0" w:firstColumn="1" w:lastColumn="0" w:noHBand="0" w:noVBand="1"/>
      </w:tblPr>
      <w:tblGrid>
        <w:gridCol w:w="6657"/>
        <w:gridCol w:w="2972"/>
      </w:tblGrid>
      <w:tr w:rsidR="00F81EFB" w:rsidRPr="006D6727" w14:paraId="35398F64" w14:textId="77777777" w:rsidTr="00D03905">
        <w:trPr>
          <w:cnfStyle w:val="100000000000" w:firstRow="1" w:lastRow="0" w:firstColumn="0" w:lastColumn="0" w:oddVBand="0" w:evenVBand="0" w:oddHBand="0" w:evenHBand="0" w:firstRowFirstColumn="0" w:firstRowLastColumn="0" w:lastRowFirstColumn="0" w:lastRowLastColumn="0"/>
        </w:trPr>
        <w:tc>
          <w:tcPr>
            <w:tcW w:w="3457" w:type="pct"/>
          </w:tcPr>
          <w:p w14:paraId="5CF75E5E" w14:textId="77777777" w:rsidR="00F81EFB" w:rsidRPr="006D6727" w:rsidRDefault="004F3A87" w:rsidP="00031A36">
            <w:pPr>
              <w:pStyle w:val="ECCTableHeaderwhitefont"/>
              <w:rPr>
                <w:noProof/>
              </w:rPr>
            </w:pPr>
            <w:r w:rsidRPr="006D6727">
              <w:rPr>
                <w:noProof/>
              </w:rPr>
              <w:t>Parameter</w:t>
            </w:r>
          </w:p>
        </w:tc>
        <w:tc>
          <w:tcPr>
            <w:tcW w:w="1543" w:type="pct"/>
          </w:tcPr>
          <w:p w14:paraId="18EC1DA2" w14:textId="77777777" w:rsidR="00F81EFB" w:rsidRPr="006D6727" w:rsidRDefault="00F81EFB" w:rsidP="004B4C8B">
            <w:pPr>
              <w:pStyle w:val="ECCTableHeaderwhitefont"/>
              <w:rPr>
                <w:noProof/>
              </w:rPr>
            </w:pPr>
            <w:r w:rsidRPr="006D6727">
              <w:rPr>
                <w:noProof/>
              </w:rPr>
              <w:t>Value</w:t>
            </w:r>
          </w:p>
        </w:tc>
      </w:tr>
      <w:tr w:rsidR="00F81EFB" w:rsidRPr="006D6727" w14:paraId="1020DD0A" w14:textId="77777777" w:rsidTr="00D03905">
        <w:trPr>
          <w:trHeight w:val="265"/>
        </w:trPr>
        <w:tc>
          <w:tcPr>
            <w:tcW w:w="3457" w:type="pct"/>
          </w:tcPr>
          <w:p w14:paraId="7C3ECA5D" w14:textId="77777777" w:rsidR="00F81EFB" w:rsidRPr="006D6727" w:rsidRDefault="00F81EFB" w:rsidP="004B4C8B">
            <w:pPr>
              <w:pStyle w:val="ECCTabletext"/>
              <w:jc w:val="left"/>
              <w:rPr>
                <w:noProof/>
              </w:rPr>
            </w:pPr>
            <w:r w:rsidRPr="006D6727">
              <w:rPr>
                <w:noProof/>
              </w:rPr>
              <w:t xml:space="preserve">Worldwide accumulated number of LPR devices in the field 5 years after launch in </w:t>
            </w:r>
            <w:r w:rsidR="00EF40D0">
              <w:t>all</w:t>
            </w:r>
            <w:r w:rsidRPr="006D6727">
              <w:rPr>
                <w:noProof/>
              </w:rPr>
              <w:t xml:space="preserve"> </w:t>
            </w:r>
            <w:r w:rsidR="00EF40D0">
              <w:t xml:space="preserve">proposed </w:t>
            </w:r>
            <w:r w:rsidRPr="006D6727">
              <w:rPr>
                <w:noProof/>
              </w:rPr>
              <w:t>frequency ranges</w:t>
            </w:r>
          </w:p>
        </w:tc>
        <w:tc>
          <w:tcPr>
            <w:tcW w:w="1543" w:type="pct"/>
          </w:tcPr>
          <w:p w14:paraId="0FE6463A" w14:textId="59DF2007" w:rsidR="00F81EFB" w:rsidRPr="006D6727" w:rsidRDefault="00604190" w:rsidP="004B4C8B">
            <w:pPr>
              <w:pStyle w:val="ECCTabletext"/>
              <w:jc w:val="left"/>
              <w:rPr>
                <w:noProof/>
              </w:rPr>
            </w:pPr>
            <w:r w:rsidRPr="006D6727">
              <w:rPr>
                <w:noProof/>
              </w:rPr>
              <w:t>200</w:t>
            </w:r>
            <w:r w:rsidR="00CF4994">
              <w:rPr>
                <w:noProof/>
              </w:rPr>
              <w:t>000</w:t>
            </w:r>
          </w:p>
        </w:tc>
      </w:tr>
      <w:tr w:rsidR="00103D12" w:rsidRPr="006D6727" w14:paraId="326E94B9" w14:textId="77777777" w:rsidTr="00D03905">
        <w:trPr>
          <w:trHeight w:val="265"/>
        </w:trPr>
        <w:tc>
          <w:tcPr>
            <w:tcW w:w="3457" w:type="pct"/>
          </w:tcPr>
          <w:p w14:paraId="57CC846D" w14:textId="77777777" w:rsidR="00103D12" w:rsidRPr="006D6727" w:rsidRDefault="00103D12" w:rsidP="004B4C8B">
            <w:pPr>
              <w:pStyle w:val="ECCTabletext"/>
              <w:jc w:val="left"/>
              <w:rPr>
                <w:noProof/>
              </w:rPr>
            </w:pPr>
            <w:r w:rsidRPr="006D6727">
              <w:rPr>
                <w:noProof/>
              </w:rPr>
              <w:t xml:space="preserve">Fraction of devices sold for the European market in </w:t>
            </w:r>
            <w:r w:rsidR="00AC113E" w:rsidRPr="006D6727">
              <w:rPr>
                <w:noProof/>
              </w:rPr>
              <w:t xml:space="preserve">all </w:t>
            </w:r>
            <w:r w:rsidRPr="006D6727">
              <w:rPr>
                <w:noProof/>
              </w:rPr>
              <w:t>bands</w:t>
            </w:r>
          </w:p>
        </w:tc>
        <w:tc>
          <w:tcPr>
            <w:tcW w:w="1543" w:type="pct"/>
          </w:tcPr>
          <w:p w14:paraId="5C01217D" w14:textId="5FDC833C" w:rsidR="00103D12" w:rsidRPr="006D6727" w:rsidRDefault="00103D12" w:rsidP="004B4C8B">
            <w:pPr>
              <w:pStyle w:val="ECCTabletext"/>
              <w:jc w:val="left"/>
              <w:rPr>
                <w:noProof/>
              </w:rPr>
            </w:pPr>
            <w:r w:rsidRPr="006D6727">
              <w:rPr>
                <w:noProof/>
              </w:rPr>
              <w:t>40</w:t>
            </w:r>
            <w:r w:rsidR="00F800A2">
              <w:rPr>
                <w:noProof/>
              </w:rPr>
              <w:t>%</w:t>
            </w:r>
          </w:p>
        </w:tc>
      </w:tr>
      <w:tr w:rsidR="00AC113E" w:rsidRPr="006D6727" w14:paraId="2C2E6D8B" w14:textId="77777777" w:rsidTr="00D03905">
        <w:trPr>
          <w:trHeight w:val="265"/>
        </w:trPr>
        <w:tc>
          <w:tcPr>
            <w:tcW w:w="3457" w:type="pct"/>
          </w:tcPr>
          <w:p w14:paraId="574C4EA7" w14:textId="77777777" w:rsidR="00AC113E" w:rsidRPr="006D6727" w:rsidRDefault="00AC113E" w:rsidP="004B4C8B">
            <w:pPr>
              <w:pStyle w:val="ECCTabletext"/>
              <w:jc w:val="left"/>
              <w:rPr>
                <w:noProof/>
              </w:rPr>
            </w:pPr>
            <w:r w:rsidRPr="006D6727">
              <w:rPr>
                <w:noProof/>
              </w:rPr>
              <w:t>Fraction of LPR devices sold in the band 116-148</w:t>
            </w:r>
            <w:r w:rsidR="00CF4994">
              <w:rPr>
                <w:noProof/>
              </w:rPr>
              <w:t>.5</w:t>
            </w:r>
            <w:r w:rsidRPr="006D6727">
              <w:rPr>
                <w:noProof/>
              </w:rPr>
              <w:t> GHz</w:t>
            </w:r>
          </w:p>
        </w:tc>
        <w:tc>
          <w:tcPr>
            <w:tcW w:w="1543" w:type="pct"/>
          </w:tcPr>
          <w:p w14:paraId="25724785" w14:textId="7EC10A68" w:rsidR="00AC113E" w:rsidRPr="006D6727" w:rsidRDefault="00D723DF" w:rsidP="004B4C8B">
            <w:pPr>
              <w:pStyle w:val="ECCTabletext"/>
              <w:jc w:val="left"/>
              <w:rPr>
                <w:noProof/>
              </w:rPr>
            </w:pPr>
            <w:r w:rsidRPr="006D6727">
              <w:rPr>
                <w:noProof/>
              </w:rPr>
              <w:t>50</w:t>
            </w:r>
            <w:r w:rsidR="00F800A2">
              <w:rPr>
                <w:noProof/>
              </w:rPr>
              <w:t>%</w:t>
            </w:r>
          </w:p>
        </w:tc>
      </w:tr>
      <w:tr w:rsidR="00103D12" w:rsidRPr="006D6727" w14:paraId="48601598" w14:textId="77777777" w:rsidTr="00D03905">
        <w:trPr>
          <w:trHeight w:val="265"/>
        </w:trPr>
        <w:tc>
          <w:tcPr>
            <w:tcW w:w="3457" w:type="pct"/>
          </w:tcPr>
          <w:p w14:paraId="0C2D3821" w14:textId="77777777" w:rsidR="00103D12" w:rsidRPr="006D6727" w:rsidRDefault="00103D12" w:rsidP="004B4C8B">
            <w:pPr>
              <w:pStyle w:val="ECCTabletext"/>
              <w:jc w:val="left"/>
              <w:rPr>
                <w:noProof/>
              </w:rPr>
            </w:pPr>
            <w:r w:rsidRPr="006D6727">
              <w:rPr>
                <w:noProof/>
              </w:rPr>
              <w:t>Fraction of LPR devices sold in the band 167-182 GHz</w:t>
            </w:r>
          </w:p>
        </w:tc>
        <w:tc>
          <w:tcPr>
            <w:tcW w:w="1543" w:type="pct"/>
          </w:tcPr>
          <w:p w14:paraId="3DCEFA2B" w14:textId="344C1D5C" w:rsidR="00103D12" w:rsidRPr="006D6727" w:rsidRDefault="00D723DF" w:rsidP="004B4C8B">
            <w:pPr>
              <w:pStyle w:val="ECCTabletext"/>
              <w:jc w:val="left"/>
              <w:rPr>
                <w:noProof/>
              </w:rPr>
            </w:pPr>
            <w:r w:rsidRPr="006D6727">
              <w:rPr>
                <w:noProof/>
              </w:rPr>
              <w:t>30</w:t>
            </w:r>
            <w:r w:rsidR="00F800A2">
              <w:rPr>
                <w:noProof/>
              </w:rPr>
              <w:t>%</w:t>
            </w:r>
          </w:p>
        </w:tc>
      </w:tr>
      <w:tr w:rsidR="00103D12" w:rsidRPr="006D6727" w14:paraId="4D07199D" w14:textId="77777777" w:rsidTr="00D03905">
        <w:trPr>
          <w:trHeight w:val="265"/>
        </w:trPr>
        <w:tc>
          <w:tcPr>
            <w:tcW w:w="3457" w:type="pct"/>
          </w:tcPr>
          <w:p w14:paraId="2929371F" w14:textId="77777777" w:rsidR="00103D12" w:rsidRPr="006D6727" w:rsidRDefault="00103D12" w:rsidP="004B4C8B">
            <w:pPr>
              <w:pStyle w:val="ECCTabletext"/>
              <w:jc w:val="left"/>
              <w:rPr>
                <w:noProof/>
              </w:rPr>
            </w:pPr>
            <w:r w:rsidRPr="006D6727">
              <w:rPr>
                <w:noProof/>
              </w:rPr>
              <w:t>Fraction of LPR devices sold in the band 231</w:t>
            </w:r>
            <w:r w:rsidR="00CF4994">
              <w:rPr>
                <w:noProof/>
              </w:rPr>
              <w:t>.5</w:t>
            </w:r>
            <w:r w:rsidRPr="006D6727">
              <w:rPr>
                <w:noProof/>
              </w:rPr>
              <w:t>-250 GHz</w:t>
            </w:r>
          </w:p>
        </w:tc>
        <w:tc>
          <w:tcPr>
            <w:tcW w:w="1543" w:type="pct"/>
          </w:tcPr>
          <w:p w14:paraId="2D345E01" w14:textId="499B151C" w:rsidR="00103D12" w:rsidRPr="006D6727" w:rsidRDefault="00D723DF" w:rsidP="004B4C8B">
            <w:pPr>
              <w:pStyle w:val="ECCTabletext"/>
              <w:jc w:val="left"/>
              <w:rPr>
                <w:noProof/>
              </w:rPr>
            </w:pPr>
            <w:r w:rsidRPr="006D6727">
              <w:rPr>
                <w:noProof/>
              </w:rPr>
              <w:t>20</w:t>
            </w:r>
            <w:r w:rsidR="00F800A2">
              <w:rPr>
                <w:noProof/>
              </w:rPr>
              <w:t>%</w:t>
            </w:r>
          </w:p>
        </w:tc>
      </w:tr>
      <w:tr w:rsidR="00D723DF" w:rsidRPr="006D6727" w14:paraId="2FF0F88D" w14:textId="77777777" w:rsidTr="00D03905">
        <w:trPr>
          <w:trHeight w:val="265"/>
        </w:trPr>
        <w:tc>
          <w:tcPr>
            <w:tcW w:w="3457" w:type="pct"/>
          </w:tcPr>
          <w:p w14:paraId="246E804B" w14:textId="77777777" w:rsidR="00D723DF" w:rsidRPr="006D6727" w:rsidRDefault="00D723DF" w:rsidP="004B4C8B">
            <w:pPr>
              <w:pStyle w:val="ECCTabletext"/>
              <w:jc w:val="left"/>
              <w:rPr>
                <w:noProof/>
              </w:rPr>
            </w:pPr>
            <w:r w:rsidRPr="006D6727">
              <w:rPr>
                <w:noProof/>
              </w:rPr>
              <w:t>Accumulated number of LPR devices in the field in Europe 5 years after launch in the band 116-148</w:t>
            </w:r>
            <w:r w:rsidR="00CF4994">
              <w:rPr>
                <w:noProof/>
              </w:rPr>
              <w:t>.5</w:t>
            </w:r>
            <w:r w:rsidRPr="006D6727">
              <w:rPr>
                <w:noProof/>
              </w:rPr>
              <w:t> GHz</w:t>
            </w:r>
          </w:p>
        </w:tc>
        <w:tc>
          <w:tcPr>
            <w:tcW w:w="1543" w:type="pct"/>
          </w:tcPr>
          <w:p w14:paraId="3E3C7212" w14:textId="5D85B314" w:rsidR="00D723DF" w:rsidRPr="006D6727" w:rsidDel="00D723DF" w:rsidRDefault="00D723DF" w:rsidP="004B4C8B">
            <w:pPr>
              <w:pStyle w:val="ECCTabletext"/>
              <w:jc w:val="left"/>
              <w:rPr>
                <w:noProof/>
              </w:rPr>
            </w:pPr>
            <w:r w:rsidRPr="006D6727">
              <w:rPr>
                <w:noProof/>
              </w:rPr>
              <w:t>40</w:t>
            </w:r>
            <w:r w:rsidR="00CF4994">
              <w:rPr>
                <w:noProof/>
              </w:rPr>
              <w:t>000</w:t>
            </w:r>
          </w:p>
        </w:tc>
      </w:tr>
      <w:tr w:rsidR="00103D12" w:rsidRPr="006D6727" w14:paraId="03F5E961" w14:textId="77777777" w:rsidTr="00D03905">
        <w:trPr>
          <w:trHeight w:val="265"/>
        </w:trPr>
        <w:tc>
          <w:tcPr>
            <w:tcW w:w="3457" w:type="pct"/>
          </w:tcPr>
          <w:p w14:paraId="4A7C1529" w14:textId="77777777" w:rsidR="00103D12" w:rsidRPr="006D6727" w:rsidRDefault="00103D12" w:rsidP="004B4C8B">
            <w:pPr>
              <w:pStyle w:val="ECCTabletext"/>
              <w:jc w:val="left"/>
              <w:rPr>
                <w:noProof/>
              </w:rPr>
            </w:pPr>
            <w:r w:rsidRPr="006D6727">
              <w:rPr>
                <w:noProof/>
              </w:rPr>
              <w:t>Accumulated number of LPR devices in the field in Europe 5 years after launch in the band 167-182 GHz</w:t>
            </w:r>
          </w:p>
        </w:tc>
        <w:tc>
          <w:tcPr>
            <w:tcW w:w="1543" w:type="pct"/>
          </w:tcPr>
          <w:p w14:paraId="15449ADE" w14:textId="6D33F349" w:rsidR="00103D12" w:rsidRPr="006D6727" w:rsidRDefault="00D723DF" w:rsidP="004B4C8B">
            <w:pPr>
              <w:pStyle w:val="ECCTabletext"/>
              <w:jc w:val="left"/>
              <w:rPr>
                <w:noProof/>
              </w:rPr>
            </w:pPr>
            <w:r w:rsidRPr="006D6727">
              <w:rPr>
                <w:noProof/>
              </w:rPr>
              <w:t>24</w:t>
            </w:r>
            <w:r w:rsidR="00CF4994">
              <w:rPr>
                <w:noProof/>
              </w:rPr>
              <w:t>000</w:t>
            </w:r>
          </w:p>
        </w:tc>
      </w:tr>
      <w:tr w:rsidR="00103D12" w:rsidRPr="006D6727" w14:paraId="6048AC32" w14:textId="77777777" w:rsidTr="00D03905">
        <w:trPr>
          <w:trHeight w:val="265"/>
        </w:trPr>
        <w:tc>
          <w:tcPr>
            <w:tcW w:w="3457" w:type="pct"/>
          </w:tcPr>
          <w:p w14:paraId="0C06E098" w14:textId="77777777" w:rsidR="00103D12" w:rsidRPr="006D6727" w:rsidRDefault="00103D12" w:rsidP="004B4C8B">
            <w:pPr>
              <w:pStyle w:val="ECCTabletext"/>
              <w:jc w:val="left"/>
              <w:rPr>
                <w:noProof/>
              </w:rPr>
            </w:pPr>
            <w:r w:rsidRPr="006D6727">
              <w:rPr>
                <w:noProof/>
              </w:rPr>
              <w:t>Accumulated number of LPR devices in the field in Europe 5 years after launch in the band 231</w:t>
            </w:r>
            <w:r w:rsidR="00CF4994">
              <w:rPr>
                <w:noProof/>
              </w:rPr>
              <w:t>.5</w:t>
            </w:r>
            <w:r w:rsidRPr="006D6727">
              <w:rPr>
                <w:noProof/>
              </w:rPr>
              <w:t>-250 GHz</w:t>
            </w:r>
          </w:p>
        </w:tc>
        <w:tc>
          <w:tcPr>
            <w:tcW w:w="1543" w:type="pct"/>
          </w:tcPr>
          <w:p w14:paraId="7EE2DD17" w14:textId="7D091C5F" w:rsidR="00103D12" w:rsidRPr="006D6727" w:rsidRDefault="00D723DF" w:rsidP="004B4C8B">
            <w:pPr>
              <w:pStyle w:val="ECCTabletext"/>
              <w:jc w:val="left"/>
              <w:rPr>
                <w:noProof/>
              </w:rPr>
            </w:pPr>
            <w:r w:rsidRPr="006D6727">
              <w:rPr>
                <w:noProof/>
              </w:rPr>
              <w:t>16</w:t>
            </w:r>
            <w:r w:rsidR="00CF4994">
              <w:rPr>
                <w:noProof/>
              </w:rPr>
              <w:t>000</w:t>
            </w:r>
          </w:p>
        </w:tc>
      </w:tr>
      <w:tr w:rsidR="00103D12" w:rsidRPr="006D6727" w14:paraId="0D6E379C" w14:textId="77777777" w:rsidTr="00D03905">
        <w:trPr>
          <w:trHeight w:val="265"/>
        </w:trPr>
        <w:tc>
          <w:tcPr>
            <w:tcW w:w="3457" w:type="pct"/>
          </w:tcPr>
          <w:p w14:paraId="5F02E948" w14:textId="77777777" w:rsidR="00103D12" w:rsidRPr="006D6727" w:rsidRDefault="00103D12" w:rsidP="004B4C8B">
            <w:pPr>
              <w:pStyle w:val="ECCTabletext"/>
              <w:jc w:val="left"/>
              <w:rPr>
                <w:noProof/>
              </w:rPr>
            </w:pPr>
            <w:r w:rsidRPr="006D6727">
              <w:rPr>
                <w:noProof/>
              </w:rPr>
              <w:t>European land area</w:t>
            </w:r>
          </w:p>
        </w:tc>
        <w:tc>
          <w:tcPr>
            <w:tcW w:w="1543" w:type="pct"/>
          </w:tcPr>
          <w:p w14:paraId="0DBC574F" w14:textId="45DCA7DA" w:rsidR="00103D12" w:rsidRPr="006D6727" w:rsidRDefault="00103D12" w:rsidP="004B4C8B">
            <w:pPr>
              <w:pStyle w:val="ECCTabletext"/>
              <w:jc w:val="left"/>
              <w:rPr>
                <w:noProof/>
              </w:rPr>
            </w:pPr>
            <w:r w:rsidRPr="006D6727">
              <w:rPr>
                <w:noProof/>
              </w:rPr>
              <w:t>10</w:t>
            </w:r>
            <w:r w:rsidR="00CF4994">
              <w:t>5</w:t>
            </w:r>
            <w:r w:rsidRPr="006D6727">
              <w:rPr>
                <w:noProof/>
              </w:rPr>
              <w:t>23</w:t>
            </w:r>
            <w:r w:rsidR="00CF4994">
              <w:rPr>
                <w:noProof/>
              </w:rPr>
              <w:t>000</w:t>
            </w:r>
            <w:r w:rsidRPr="006D6727">
              <w:rPr>
                <w:noProof/>
              </w:rPr>
              <w:t> km²</w:t>
            </w:r>
          </w:p>
        </w:tc>
      </w:tr>
      <w:tr w:rsidR="00D723DF" w:rsidRPr="006D6727" w14:paraId="11CB2F5D" w14:textId="77777777" w:rsidTr="00D03905">
        <w:trPr>
          <w:trHeight w:val="265"/>
        </w:trPr>
        <w:tc>
          <w:tcPr>
            <w:tcW w:w="3457" w:type="pct"/>
          </w:tcPr>
          <w:p w14:paraId="58582134" w14:textId="77777777" w:rsidR="00D723DF" w:rsidRPr="006D6727" w:rsidRDefault="00D723DF" w:rsidP="004B4C8B">
            <w:pPr>
              <w:pStyle w:val="ECCTabletext"/>
              <w:jc w:val="left"/>
              <w:rPr>
                <w:noProof/>
              </w:rPr>
            </w:pPr>
            <w:r w:rsidRPr="006D6727">
              <w:rPr>
                <w:noProof/>
              </w:rPr>
              <w:t>Average density of LPR devices in Europe in the band 116-148</w:t>
            </w:r>
            <w:r w:rsidR="00CF4994">
              <w:rPr>
                <w:noProof/>
              </w:rPr>
              <w:t>.5</w:t>
            </w:r>
            <w:r w:rsidRPr="006D6727">
              <w:rPr>
                <w:noProof/>
              </w:rPr>
              <w:t> GHz</w:t>
            </w:r>
          </w:p>
        </w:tc>
        <w:tc>
          <w:tcPr>
            <w:tcW w:w="1543" w:type="pct"/>
          </w:tcPr>
          <w:p w14:paraId="47FEB74F" w14:textId="77777777" w:rsidR="00D723DF" w:rsidRPr="006D6727" w:rsidRDefault="00F83BE6" w:rsidP="004B4C8B">
            <w:pPr>
              <w:pStyle w:val="ECCTabletext"/>
              <w:jc w:val="left"/>
              <w:rPr>
                <w:noProof/>
              </w:rPr>
            </w:pPr>
            <w:r w:rsidRPr="006D6727">
              <w:rPr>
                <w:noProof/>
              </w:rPr>
              <w:t>0</w:t>
            </w:r>
            <w:r w:rsidR="00CF4994">
              <w:rPr>
                <w:noProof/>
              </w:rPr>
              <w:t>.0</w:t>
            </w:r>
            <w:r w:rsidRPr="006D6727">
              <w:rPr>
                <w:noProof/>
              </w:rPr>
              <w:t>038</w:t>
            </w:r>
            <w:r w:rsidR="006E653D" w:rsidRPr="006D6727">
              <w:rPr>
                <w:noProof/>
              </w:rPr>
              <w:t> </w:t>
            </w:r>
            <w:r w:rsidR="00D723DF" w:rsidRPr="006D6727">
              <w:rPr>
                <w:noProof/>
              </w:rPr>
              <w:t>devices/km²</w:t>
            </w:r>
          </w:p>
        </w:tc>
      </w:tr>
      <w:tr w:rsidR="00D723DF" w:rsidRPr="006D6727" w14:paraId="6C1ADFA2" w14:textId="77777777" w:rsidTr="00D03905">
        <w:trPr>
          <w:trHeight w:val="265"/>
        </w:trPr>
        <w:tc>
          <w:tcPr>
            <w:tcW w:w="3457" w:type="pct"/>
          </w:tcPr>
          <w:p w14:paraId="3AE4B836" w14:textId="77777777" w:rsidR="00D723DF" w:rsidRPr="006D6727" w:rsidRDefault="00D723DF" w:rsidP="004B4C8B">
            <w:pPr>
              <w:pStyle w:val="ECCTabletext"/>
              <w:jc w:val="left"/>
              <w:rPr>
                <w:noProof/>
              </w:rPr>
            </w:pPr>
            <w:r w:rsidRPr="006D6727">
              <w:rPr>
                <w:noProof/>
              </w:rPr>
              <w:t>Average density of LPR devices in Europe in the band 167-182 GHz</w:t>
            </w:r>
          </w:p>
        </w:tc>
        <w:tc>
          <w:tcPr>
            <w:tcW w:w="1543" w:type="pct"/>
          </w:tcPr>
          <w:p w14:paraId="737BB6A5" w14:textId="77777777" w:rsidR="00D723DF" w:rsidRPr="006D6727" w:rsidRDefault="006E653D" w:rsidP="004B4C8B">
            <w:pPr>
              <w:pStyle w:val="ECCTabletext"/>
              <w:jc w:val="left"/>
              <w:rPr>
                <w:noProof/>
              </w:rPr>
            </w:pPr>
            <w:r w:rsidRPr="006D6727">
              <w:rPr>
                <w:noProof/>
              </w:rPr>
              <w:t>0</w:t>
            </w:r>
            <w:r w:rsidR="00CF4994">
              <w:rPr>
                <w:noProof/>
              </w:rPr>
              <w:t>.0</w:t>
            </w:r>
            <w:r w:rsidRPr="006D6727">
              <w:rPr>
                <w:noProof/>
              </w:rPr>
              <w:t>023 </w:t>
            </w:r>
            <w:r w:rsidR="00D723DF" w:rsidRPr="006D6727">
              <w:rPr>
                <w:noProof/>
              </w:rPr>
              <w:t>devices/km²</w:t>
            </w:r>
          </w:p>
        </w:tc>
      </w:tr>
      <w:tr w:rsidR="00D723DF" w:rsidRPr="006D6727" w14:paraId="0627FA5D" w14:textId="77777777" w:rsidTr="00D03905">
        <w:trPr>
          <w:trHeight w:val="265"/>
        </w:trPr>
        <w:tc>
          <w:tcPr>
            <w:tcW w:w="3457" w:type="pct"/>
          </w:tcPr>
          <w:p w14:paraId="5E024841" w14:textId="77777777" w:rsidR="00D723DF" w:rsidRPr="006D6727" w:rsidRDefault="00D723DF" w:rsidP="004B4C8B">
            <w:pPr>
              <w:pStyle w:val="ECCTabletext"/>
              <w:jc w:val="left"/>
              <w:rPr>
                <w:noProof/>
              </w:rPr>
            </w:pPr>
            <w:r w:rsidRPr="006D6727">
              <w:rPr>
                <w:noProof/>
              </w:rPr>
              <w:t>Average density of LPR devices in Europe in the band 231</w:t>
            </w:r>
            <w:r w:rsidR="00CF4994">
              <w:rPr>
                <w:noProof/>
              </w:rPr>
              <w:t>.5</w:t>
            </w:r>
            <w:r w:rsidRPr="006D6727">
              <w:rPr>
                <w:noProof/>
              </w:rPr>
              <w:t>-250 GHz</w:t>
            </w:r>
          </w:p>
        </w:tc>
        <w:tc>
          <w:tcPr>
            <w:tcW w:w="1543" w:type="pct"/>
          </w:tcPr>
          <w:p w14:paraId="189ACFF0" w14:textId="77777777" w:rsidR="00D723DF" w:rsidRPr="006D6727" w:rsidRDefault="006E653D" w:rsidP="004B4C8B">
            <w:pPr>
              <w:pStyle w:val="ECCTabletext"/>
              <w:jc w:val="left"/>
              <w:rPr>
                <w:noProof/>
              </w:rPr>
            </w:pPr>
            <w:r w:rsidRPr="006D6727">
              <w:rPr>
                <w:noProof/>
              </w:rPr>
              <w:t>0</w:t>
            </w:r>
            <w:r w:rsidR="00CF4994">
              <w:rPr>
                <w:noProof/>
              </w:rPr>
              <w:t>.0</w:t>
            </w:r>
            <w:r w:rsidRPr="006D6727">
              <w:rPr>
                <w:noProof/>
              </w:rPr>
              <w:t>015 </w:t>
            </w:r>
            <w:r w:rsidR="00D723DF" w:rsidRPr="006D6727">
              <w:rPr>
                <w:noProof/>
              </w:rPr>
              <w:t>devices/km²</w:t>
            </w:r>
          </w:p>
        </w:tc>
      </w:tr>
    </w:tbl>
    <w:p w14:paraId="46BC82E6" w14:textId="77777777" w:rsidR="00BB6EA2" w:rsidRPr="006D6727" w:rsidRDefault="00EB7A69" w:rsidP="004D00D6">
      <w:pPr>
        <w:rPr>
          <w:noProof/>
        </w:rPr>
      </w:pPr>
      <w:r w:rsidRPr="006D6727">
        <w:rPr>
          <w:noProof/>
        </w:rPr>
        <w:t xml:space="preserve">An additional re-assurance to the credibility of </w:t>
      </w:r>
      <w:r w:rsidR="00AA6915" w:rsidRPr="006D6727">
        <w:rPr>
          <w:noProof/>
        </w:rPr>
        <w:t xml:space="preserve">the </w:t>
      </w:r>
      <w:r w:rsidRPr="006D6727">
        <w:rPr>
          <w:noProof/>
        </w:rPr>
        <w:t>provided estimates can be</w:t>
      </w:r>
      <w:r w:rsidR="00D03C7B" w:rsidRPr="006D6727">
        <w:rPr>
          <w:noProof/>
        </w:rPr>
        <w:t xml:space="preserve"> </w:t>
      </w:r>
      <w:r w:rsidR="00387974" w:rsidRPr="006D6727">
        <w:rPr>
          <w:noProof/>
        </w:rPr>
        <w:t>implemented by doubling the estimated mean device densities in Europe for the MCL calculations.</w:t>
      </w:r>
      <w:r w:rsidR="00E945C4" w:rsidRPr="006D6727">
        <w:rPr>
          <w:noProof/>
        </w:rPr>
        <w:t xml:space="preserve"> This conservative overestimation emphasizes the worst-case </w:t>
      </w:r>
      <w:r w:rsidR="008428EC" w:rsidRPr="006D6727">
        <w:rPr>
          <w:noProof/>
        </w:rPr>
        <w:t>approach</w:t>
      </w:r>
      <w:r w:rsidR="004843B6" w:rsidRPr="006D6727">
        <w:rPr>
          <w:noProof/>
        </w:rPr>
        <w:t xml:space="preserve"> of the</w:t>
      </w:r>
      <w:r w:rsidR="008428EC" w:rsidRPr="006D6727">
        <w:rPr>
          <w:noProof/>
        </w:rPr>
        <w:t xml:space="preserve"> compatibility</w:t>
      </w:r>
      <w:r w:rsidR="004843B6" w:rsidRPr="006D6727">
        <w:rPr>
          <w:noProof/>
        </w:rPr>
        <w:t xml:space="preserve"> </w:t>
      </w:r>
      <w:r w:rsidR="008428EC" w:rsidRPr="006D6727">
        <w:rPr>
          <w:noProof/>
        </w:rPr>
        <w:t>stud</w:t>
      </w:r>
      <w:r w:rsidR="00975C9A" w:rsidRPr="006D6727">
        <w:rPr>
          <w:noProof/>
        </w:rPr>
        <w:t>ies</w:t>
      </w:r>
      <w:r w:rsidR="008428EC" w:rsidRPr="006D6727">
        <w:rPr>
          <w:noProof/>
        </w:rPr>
        <w:t>.</w:t>
      </w:r>
    </w:p>
    <w:p w14:paraId="48F68579" w14:textId="77777777" w:rsidR="000215C5" w:rsidRPr="006D6727" w:rsidRDefault="000215C5" w:rsidP="000215C5">
      <w:pPr>
        <w:rPr>
          <w:noProof/>
        </w:rPr>
      </w:pPr>
      <w:r w:rsidRPr="006D6727">
        <w:rPr>
          <w:noProof/>
        </w:rPr>
        <w:t>It may be seen from the numbers given above, that the projected average density of LPR devices will be extremely low, as provided</w:t>
      </w:r>
      <w:r w:rsidR="00C95BFB" w:rsidRPr="006D6727">
        <w:rPr>
          <w:noProof/>
        </w:rPr>
        <w:t xml:space="preserve"> for</w:t>
      </w:r>
      <w:r w:rsidRPr="006D6727">
        <w:rPr>
          <w:noProof/>
        </w:rPr>
        <w:t xml:space="preserve"> by their industrial type of use and specific nature of applications. This however does not exclude </w:t>
      </w:r>
      <w:r w:rsidR="00241987" w:rsidRPr="006D6727">
        <w:rPr>
          <w:noProof/>
        </w:rPr>
        <w:t xml:space="preserve">certain </w:t>
      </w:r>
      <w:r w:rsidRPr="006D6727">
        <w:rPr>
          <w:noProof/>
        </w:rPr>
        <w:t xml:space="preserve">cases, where multiple LPR devices could be used in </w:t>
      </w:r>
      <w:r w:rsidR="0094776A" w:rsidRPr="006D6727">
        <w:rPr>
          <w:noProof/>
        </w:rPr>
        <w:t xml:space="preserve">very </w:t>
      </w:r>
      <w:r w:rsidRPr="006D6727">
        <w:rPr>
          <w:noProof/>
        </w:rPr>
        <w:t>near proximity</w:t>
      </w:r>
      <w:r w:rsidR="00F415FE" w:rsidRPr="006D6727">
        <w:rPr>
          <w:noProof/>
        </w:rPr>
        <w:t xml:space="preserve"> in an industrial plant f</w:t>
      </w:r>
      <w:r w:rsidR="008963CD" w:rsidRPr="006D6727">
        <w:rPr>
          <w:noProof/>
        </w:rPr>
        <w:t>or</w:t>
      </w:r>
      <w:r w:rsidR="00F415FE" w:rsidRPr="006D6727">
        <w:rPr>
          <w:noProof/>
        </w:rPr>
        <w:t xml:space="preserve"> instance</w:t>
      </w:r>
      <w:r w:rsidRPr="006D6727">
        <w:rPr>
          <w:noProof/>
        </w:rPr>
        <w:t>. But given their very low duty cycles</w:t>
      </w:r>
      <w:r w:rsidR="009566DC" w:rsidRPr="006D6727">
        <w:rPr>
          <w:noProof/>
        </w:rPr>
        <w:t xml:space="preserve"> and in addition to that </w:t>
      </w:r>
      <w:r w:rsidR="0055302F" w:rsidRPr="006D6727">
        <w:rPr>
          <w:noProof/>
        </w:rPr>
        <w:t>the nevertheless unsynchronised nature of LPR devices</w:t>
      </w:r>
      <w:r w:rsidRPr="006D6727">
        <w:rPr>
          <w:noProof/>
        </w:rPr>
        <w:t>, even in such cases</w:t>
      </w:r>
      <w:r w:rsidR="00C95BFB" w:rsidRPr="006D6727">
        <w:rPr>
          <w:noProof/>
        </w:rPr>
        <w:t>,</w:t>
      </w:r>
      <w:r w:rsidRPr="006D6727">
        <w:rPr>
          <w:noProof/>
        </w:rPr>
        <w:t xml:space="preserve"> </w:t>
      </w:r>
      <w:r w:rsidR="00C95BFB" w:rsidRPr="006D6727">
        <w:rPr>
          <w:noProof/>
        </w:rPr>
        <w:t xml:space="preserve">adverse </w:t>
      </w:r>
      <w:r w:rsidRPr="006D6727">
        <w:rPr>
          <w:noProof/>
        </w:rPr>
        <w:t>aggregation effects may be considered unrealistic.</w:t>
      </w:r>
    </w:p>
    <w:p w14:paraId="346B5D95" w14:textId="77777777" w:rsidR="000215C5" w:rsidRPr="006D6727" w:rsidRDefault="000215C5" w:rsidP="000215C5">
      <w:pPr>
        <w:rPr>
          <w:rStyle w:val="ECCHLyellow"/>
          <w:noProof/>
        </w:rPr>
      </w:pPr>
      <w:r w:rsidRPr="006D6727">
        <w:rPr>
          <w:noProof/>
        </w:rPr>
        <w:t xml:space="preserve">It should be further noted that it is expected that the majority proportion of LPRs will </w:t>
      </w:r>
      <w:r w:rsidR="008021CA" w:rsidRPr="006D6727">
        <w:rPr>
          <w:noProof/>
        </w:rPr>
        <w:t xml:space="preserve">actually </w:t>
      </w:r>
      <w:r w:rsidRPr="006D6727">
        <w:rPr>
          <w:noProof/>
        </w:rPr>
        <w:t xml:space="preserve">be installed </w:t>
      </w:r>
      <w:r w:rsidR="006935C5" w:rsidRPr="006D6727">
        <w:rPr>
          <w:noProof/>
        </w:rPr>
        <w:t xml:space="preserve">indoors or </w:t>
      </w:r>
      <w:r w:rsidR="00C1207D" w:rsidRPr="006D6727">
        <w:rPr>
          <w:noProof/>
        </w:rPr>
        <w:t xml:space="preserve">at least </w:t>
      </w:r>
      <w:r w:rsidRPr="006D6727">
        <w:rPr>
          <w:noProof/>
        </w:rPr>
        <w:t>inside roofed industrial areas</w:t>
      </w:r>
      <w:r w:rsidR="006935C5" w:rsidRPr="006D6727">
        <w:rPr>
          <w:noProof/>
        </w:rPr>
        <w:t xml:space="preserve"> </w:t>
      </w:r>
      <w:r w:rsidRPr="006D6727">
        <w:rPr>
          <w:noProof/>
        </w:rPr>
        <w:t xml:space="preserve">or will have similar </w:t>
      </w:r>
      <w:r w:rsidR="006935C5" w:rsidRPr="006D6727">
        <w:rPr>
          <w:noProof/>
        </w:rPr>
        <w:t>overhead structures</w:t>
      </w:r>
      <w:r w:rsidRPr="006D6727">
        <w:rPr>
          <w:noProof/>
        </w:rPr>
        <w:t xml:space="preserve"> reducing </w:t>
      </w:r>
      <w:r w:rsidR="006935C5" w:rsidRPr="006D6727">
        <w:rPr>
          <w:noProof/>
        </w:rPr>
        <w:t xml:space="preserve">the </w:t>
      </w:r>
      <w:r w:rsidRPr="006D6727">
        <w:rPr>
          <w:noProof/>
        </w:rPr>
        <w:t>level of emissions outside the installation</w:t>
      </w:r>
      <w:r w:rsidR="006935C5" w:rsidRPr="006D6727">
        <w:rPr>
          <w:noProof/>
        </w:rPr>
        <w:t>.</w:t>
      </w:r>
    </w:p>
    <w:p w14:paraId="15F1E2D1" w14:textId="1EDCB222" w:rsidR="006617C0" w:rsidRPr="006D6727" w:rsidRDefault="006617C0" w:rsidP="006617C0">
      <w:pPr>
        <w:rPr>
          <w:rStyle w:val="ECCParagraph"/>
          <w:noProof/>
        </w:rPr>
      </w:pPr>
      <w:r w:rsidRPr="006D6727">
        <w:rPr>
          <w:rStyle w:val="ECCParagraph"/>
          <w:noProof/>
        </w:rPr>
        <w:t>Less than</w:t>
      </w:r>
      <w:r w:rsidR="00DB7C44" w:rsidRPr="006D6727">
        <w:rPr>
          <w:rStyle w:val="ECCParagraph"/>
          <w:noProof/>
        </w:rPr>
        <w:t xml:space="preserve"> </w:t>
      </w:r>
      <w:r w:rsidRPr="006D6727">
        <w:rPr>
          <w:rStyle w:val="ECCParagraph"/>
          <w:noProof/>
        </w:rPr>
        <w:t>10</w:t>
      </w:r>
      <w:r w:rsidR="00F800A2">
        <w:rPr>
          <w:rStyle w:val="ECCParagraph"/>
          <w:noProof/>
        </w:rPr>
        <w:t>%</w:t>
      </w:r>
      <w:r w:rsidRPr="006D6727">
        <w:rPr>
          <w:rStyle w:val="ECCParagraph"/>
          <w:noProof/>
        </w:rPr>
        <w:t xml:space="preserve"> of all LPR Installations are expected to be </w:t>
      </w:r>
      <w:r w:rsidR="00D03C7B" w:rsidRPr="006D6727">
        <w:rPr>
          <w:rStyle w:val="ECCParagraph"/>
          <w:noProof/>
        </w:rPr>
        <w:t xml:space="preserve">installed </w:t>
      </w:r>
      <w:r w:rsidR="00C1207D" w:rsidRPr="006D6727">
        <w:rPr>
          <w:rStyle w:val="ECCParagraph"/>
          <w:noProof/>
        </w:rPr>
        <w:t>in an outdoor environment</w:t>
      </w:r>
      <w:r w:rsidRPr="006D6727">
        <w:rPr>
          <w:rStyle w:val="ECCParagraph"/>
          <w:noProof/>
        </w:rPr>
        <w:t xml:space="preserve">. In most cases the LPR equipment </w:t>
      </w:r>
      <w:r w:rsidR="005414E8" w:rsidRPr="006D6727">
        <w:rPr>
          <w:rStyle w:val="ECCParagraph"/>
          <w:noProof/>
        </w:rPr>
        <w:t>is</w:t>
      </w:r>
      <w:r w:rsidRPr="006D6727">
        <w:rPr>
          <w:rStyle w:val="ECCParagraph"/>
          <w:noProof/>
        </w:rPr>
        <w:t xml:space="preserve"> used in</w:t>
      </w:r>
      <w:r w:rsidR="00D03C7B" w:rsidRPr="006D6727">
        <w:rPr>
          <w:rStyle w:val="ECCParagraph"/>
          <w:noProof/>
        </w:rPr>
        <w:t>side</w:t>
      </w:r>
      <w:r w:rsidRPr="006D6727">
        <w:rPr>
          <w:rStyle w:val="ECCParagraph"/>
          <w:noProof/>
        </w:rPr>
        <w:t xml:space="preserve"> storage halls, </w:t>
      </w:r>
      <w:r w:rsidR="00C1207D" w:rsidRPr="006D6727">
        <w:rPr>
          <w:rStyle w:val="ECCParagraph"/>
          <w:noProof/>
        </w:rPr>
        <w:t xml:space="preserve">roofed </w:t>
      </w:r>
      <w:r w:rsidRPr="006D6727">
        <w:rPr>
          <w:rStyle w:val="ECCParagraph"/>
          <w:noProof/>
        </w:rPr>
        <w:t>bunkers</w:t>
      </w:r>
      <w:r w:rsidR="007877D6" w:rsidRPr="006D6727">
        <w:rPr>
          <w:rStyle w:val="ECCParagraph"/>
          <w:noProof/>
        </w:rPr>
        <w:t xml:space="preserve">, </w:t>
      </w:r>
      <w:r w:rsidR="00314369" w:rsidRPr="006D6727">
        <w:rPr>
          <w:rStyle w:val="ECCParagraph"/>
          <w:noProof/>
        </w:rPr>
        <w:t>silos</w:t>
      </w:r>
      <w:r w:rsidRPr="006D6727">
        <w:rPr>
          <w:rStyle w:val="ECCParagraph"/>
          <w:noProof/>
        </w:rPr>
        <w:t xml:space="preserve"> and buildings.</w:t>
      </w:r>
      <w:r w:rsidR="00DB7C44" w:rsidRPr="006D6727">
        <w:rPr>
          <w:rStyle w:val="ECCParagraph"/>
          <w:noProof/>
        </w:rPr>
        <w:t xml:space="preserve"> Th</w:t>
      </w:r>
      <w:r w:rsidR="00C1207D" w:rsidRPr="006D6727">
        <w:rPr>
          <w:rStyle w:val="ECCParagraph"/>
          <w:noProof/>
        </w:rPr>
        <w:t>ese</w:t>
      </w:r>
      <w:r w:rsidR="00DB7C44" w:rsidRPr="006D6727">
        <w:rPr>
          <w:rStyle w:val="ECCParagraph"/>
          <w:noProof/>
        </w:rPr>
        <w:t xml:space="preserve"> </w:t>
      </w:r>
      <w:r w:rsidR="00C1207D" w:rsidRPr="006D6727">
        <w:rPr>
          <w:rStyle w:val="ECCParagraph"/>
          <w:noProof/>
        </w:rPr>
        <w:t xml:space="preserve">fraction </w:t>
      </w:r>
      <w:r w:rsidR="00DB7C44" w:rsidRPr="006D6727">
        <w:rPr>
          <w:rStyle w:val="ECCParagraph"/>
          <w:noProof/>
        </w:rPr>
        <w:t>number</w:t>
      </w:r>
      <w:r w:rsidR="00C1207D" w:rsidRPr="006D6727">
        <w:rPr>
          <w:rStyle w:val="ECCParagraph"/>
          <w:noProof/>
        </w:rPr>
        <w:t>s</w:t>
      </w:r>
      <w:r w:rsidR="00DB7C44" w:rsidRPr="006D6727">
        <w:rPr>
          <w:rStyle w:val="ECCParagraph"/>
          <w:noProof/>
        </w:rPr>
        <w:t xml:space="preserve"> w</w:t>
      </w:r>
      <w:r w:rsidR="00C1207D" w:rsidRPr="006D6727">
        <w:rPr>
          <w:rStyle w:val="ECCParagraph"/>
          <w:noProof/>
        </w:rPr>
        <w:t>ere</w:t>
      </w:r>
      <w:r w:rsidR="00DB7C44" w:rsidRPr="006D6727">
        <w:rPr>
          <w:rStyle w:val="ECCParagraph"/>
          <w:noProof/>
        </w:rPr>
        <w:t xml:space="preserve"> also used in ECC</w:t>
      </w:r>
      <w:r w:rsidR="008029B0">
        <w:rPr>
          <w:rStyle w:val="ECCParagraph"/>
          <w:noProof/>
        </w:rPr>
        <w:t xml:space="preserve"> </w:t>
      </w:r>
      <w:r w:rsidR="00DB7C44" w:rsidRPr="006D6727">
        <w:rPr>
          <w:rStyle w:val="ECCParagraph"/>
          <w:noProof/>
        </w:rPr>
        <w:t xml:space="preserve">Report 139 </w:t>
      </w:r>
      <w:r w:rsidR="00DB7C44" w:rsidRPr="006D6727">
        <w:rPr>
          <w:rStyle w:val="ECCParagraph"/>
          <w:noProof/>
        </w:rPr>
        <w:fldChar w:fldCharType="begin"/>
      </w:r>
      <w:r w:rsidR="00DB7C44" w:rsidRPr="006D6727">
        <w:rPr>
          <w:rStyle w:val="ECCParagraph"/>
          <w:noProof/>
        </w:rPr>
        <w:instrText xml:space="preserve"> REF  ECCRep139 \h \w  \* MERGEFORMAT </w:instrText>
      </w:r>
      <w:r w:rsidR="00DB7C44" w:rsidRPr="006D6727">
        <w:rPr>
          <w:rStyle w:val="ECCParagraph"/>
          <w:noProof/>
        </w:rPr>
      </w:r>
      <w:r w:rsidR="00DB7C44" w:rsidRPr="006D6727">
        <w:rPr>
          <w:rStyle w:val="ECCParagraph"/>
          <w:noProof/>
        </w:rPr>
        <w:fldChar w:fldCharType="separate"/>
      </w:r>
      <w:r w:rsidR="004F49F9">
        <w:rPr>
          <w:rStyle w:val="ECCParagraph"/>
          <w:noProof/>
        </w:rPr>
        <w:t>[4]</w:t>
      </w:r>
      <w:r w:rsidR="00DB7C44" w:rsidRPr="006D6727">
        <w:rPr>
          <w:rStyle w:val="ECCParagraph"/>
          <w:noProof/>
        </w:rPr>
        <w:fldChar w:fldCharType="end"/>
      </w:r>
      <w:r w:rsidR="00DB7C44" w:rsidRPr="006D6727">
        <w:rPr>
          <w:rStyle w:val="ECCParagraph"/>
          <w:noProof/>
        </w:rPr>
        <w:t xml:space="preserve"> and </w:t>
      </w:r>
      <w:r w:rsidR="001A6FA4" w:rsidRPr="006D6727">
        <w:rPr>
          <w:rStyle w:val="ECCParagraph"/>
          <w:noProof/>
        </w:rPr>
        <w:t>h</w:t>
      </w:r>
      <w:r w:rsidR="00C1207D" w:rsidRPr="006D6727">
        <w:rPr>
          <w:rStyle w:val="ECCParagraph"/>
          <w:noProof/>
        </w:rPr>
        <w:t>aven</w:t>
      </w:r>
      <w:r w:rsidR="001A6FA4" w:rsidRPr="006D6727">
        <w:rPr>
          <w:rStyle w:val="ECCParagraph"/>
          <w:noProof/>
        </w:rPr>
        <w:t xml:space="preserve">'t changed </w:t>
      </w:r>
      <w:r w:rsidR="00DD04D9" w:rsidRPr="006D6727">
        <w:rPr>
          <w:rStyle w:val="ECCParagraph"/>
          <w:noProof/>
        </w:rPr>
        <w:t>considerably</w:t>
      </w:r>
      <w:r w:rsidR="001A6FA4" w:rsidRPr="006D6727">
        <w:rPr>
          <w:rStyle w:val="ECCParagraph"/>
          <w:noProof/>
        </w:rPr>
        <w:t xml:space="preserve"> since then.</w:t>
      </w:r>
    </w:p>
    <w:p w14:paraId="7B971C8D" w14:textId="70CE5100" w:rsidR="006617C0" w:rsidRPr="006D6727" w:rsidRDefault="006617C0" w:rsidP="006617C0">
      <w:pPr>
        <w:rPr>
          <w:rStyle w:val="ECCParagraph"/>
          <w:noProof/>
        </w:rPr>
      </w:pPr>
      <w:r w:rsidRPr="006D6727">
        <w:rPr>
          <w:rStyle w:val="ECCParagraph"/>
          <w:noProof/>
        </w:rPr>
        <w:t xml:space="preserve">The proposal for aggregated scenarios is </w:t>
      </w:r>
      <w:r w:rsidR="001A6FA4" w:rsidRPr="006D6727">
        <w:rPr>
          <w:rStyle w:val="ECCParagraph"/>
          <w:noProof/>
        </w:rPr>
        <w:t xml:space="preserve">thus </w:t>
      </w:r>
      <w:r w:rsidRPr="006D6727">
        <w:rPr>
          <w:rStyle w:val="ECCParagraph"/>
          <w:noProof/>
        </w:rPr>
        <w:t>as follows: 10</w:t>
      </w:r>
      <w:r w:rsidR="00F800A2">
        <w:rPr>
          <w:rStyle w:val="ECCParagraph"/>
          <w:noProof/>
        </w:rPr>
        <w:t>%</w:t>
      </w:r>
      <w:r w:rsidRPr="006D6727">
        <w:rPr>
          <w:rStyle w:val="ECCParagraph"/>
          <w:noProof/>
        </w:rPr>
        <w:t xml:space="preserve"> outdoor</w:t>
      </w:r>
      <w:r w:rsidR="001A6FA4" w:rsidRPr="006D6727">
        <w:rPr>
          <w:rStyle w:val="ECCParagraph"/>
          <w:noProof/>
        </w:rPr>
        <w:t xml:space="preserve"> and</w:t>
      </w:r>
      <w:r w:rsidRPr="006D6727">
        <w:rPr>
          <w:rStyle w:val="ECCParagraph"/>
          <w:noProof/>
        </w:rPr>
        <w:t xml:space="preserve"> 90</w:t>
      </w:r>
      <w:r w:rsidR="00F800A2">
        <w:rPr>
          <w:rStyle w:val="ECCParagraph"/>
          <w:noProof/>
        </w:rPr>
        <w:t>%</w:t>
      </w:r>
      <w:r w:rsidRPr="006D6727">
        <w:rPr>
          <w:rStyle w:val="ECCParagraph"/>
          <w:noProof/>
        </w:rPr>
        <w:t xml:space="preserve"> indoor</w:t>
      </w:r>
      <w:r w:rsidR="001A6FA4" w:rsidRPr="006D6727">
        <w:rPr>
          <w:rStyle w:val="ECCParagraph"/>
          <w:noProof/>
        </w:rPr>
        <w:t xml:space="preserve"> use</w:t>
      </w:r>
      <w:r w:rsidRPr="006D6727">
        <w:rPr>
          <w:rStyle w:val="ECCParagraph"/>
          <w:noProof/>
        </w:rPr>
        <w:t xml:space="preserve"> with an additional </w:t>
      </w:r>
      <w:r w:rsidR="00E10CDA" w:rsidRPr="006D6727">
        <w:rPr>
          <w:rStyle w:val="ECCParagraph"/>
          <w:noProof/>
        </w:rPr>
        <w:t>building attenuation</w:t>
      </w:r>
      <w:r w:rsidR="001A6FA4" w:rsidRPr="006D6727">
        <w:rPr>
          <w:rStyle w:val="ECCParagraph"/>
          <w:noProof/>
        </w:rPr>
        <w:t>.</w:t>
      </w:r>
      <w:r w:rsidR="00CD125E" w:rsidRPr="006D6727">
        <w:rPr>
          <w:rStyle w:val="ECCParagraph"/>
          <w:noProof/>
        </w:rPr>
        <w:t xml:space="preserve"> </w:t>
      </w:r>
      <w:r w:rsidRPr="006D6727">
        <w:rPr>
          <w:rStyle w:val="ECCParagraph"/>
          <w:noProof/>
        </w:rPr>
        <w:t xml:space="preserve">This </w:t>
      </w:r>
      <w:r w:rsidR="00CD125E" w:rsidRPr="006D6727">
        <w:rPr>
          <w:rStyle w:val="ECCParagraph"/>
          <w:noProof/>
        </w:rPr>
        <w:t>shall</w:t>
      </w:r>
      <w:r w:rsidRPr="006D6727">
        <w:rPr>
          <w:rStyle w:val="ECCParagraph"/>
          <w:noProof/>
        </w:rPr>
        <w:t xml:space="preserve"> be taken into account when performing </w:t>
      </w:r>
      <w:r w:rsidR="00CD125E" w:rsidRPr="006D6727">
        <w:rPr>
          <w:rStyle w:val="ECCParagraph"/>
          <w:noProof/>
        </w:rPr>
        <w:t>a</w:t>
      </w:r>
      <w:r w:rsidRPr="006D6727">
        <w:rPr>
          <w:rStyle w:val="ECCParagraph"/>
          <w:noProof/>
        </w:rPr>
        <w:t xml:space="preserve"> probabilistic analysis and aggregation effects.</w:t>
      </w:r>
    </w:p>
    <w:p w14:paraId="6F2F4900" w14:textId="0E1250B5" w:rsidR="006617C0" w:rsidRPr="006D6727" w:rsidRDefault="006617C0" w:rsidP="006617C0">
      <w:pPr>
        <w:rPr>
          <w:rStyle w:val="ECCHLyellow"/>
          <w:noProof/>
        </w:rPr>
      </w:pPr>
      <w:r w:rsidRPr="006D6727">
        <w:rPr>
          <w:rStyle w:val="ECCParagraph"/>
          <w:noProof/>
        </w:rPr>
        <w:t>However, in order to implement the philosophy of worst-case simulations of LPR interference, no additional natural shielding</w:t>
      </w:r>
      <w:r w:rsidR="003903A5" w:rsidRPr="006D6727">
        <w:rPr>
          <w:rStyle w:val="ECCParagraph"/>
          <w:noProof/>
        </w:rPr>
        <w:t xml:space="preserve">, e.g. treated in </w:t>
      </w:r>
      <w:r w:rsidR="00E4494E" w:rsidRPr="006D6727">
        <w:rPr>
          <w:rStyle w:val="ECCParagraph"/>
          <w:noProof/>
        </w:rPr>
        <w:t xml:space="preserve">Recommendation ITU-R P.2108-0 </w:t>
      </w:r>
      <w:r w:rsidR="003C63E5" w:rsidRPr="006D6727">
        <w:rPr>
          <w:rStyle w:val="ECCParagraph"/>
          <w:noProof/>
        </w:rPr>
        <w:fldChar w:fldCharType="begin"/>
      </w:r>
      <w:r w:rsidR="003C63E5" w:rsidRPr="006D6727">
        <w:rPr>
          <w:rStyle w:val="ECCParagraph"/>
          <w:noProof/>
        </w:rPr>
        <w:instrText xml:space="preserve"> REF  ITU_R_P_2108_0 \h \w  \* MERGEFORMAT </w:instrText>
      </w:r>
      <w:r w:rsidR="003C63E5" w:rsidRPr="006D6727">
        <w:rPr>
          <w:rStyle w:val="ECCParagraph"/>
          <w:noProof/>
        </w:rPr>
      </w:r>
      <w:r w:rsidR="003C63E5" w:rsidRPr="006D6727">
        <w:rPr>
          <w:rStyle w:val="ECCParagraph"/>
          <w:noProof/>
        </w:rPr>
        <w:fldChar w:fldCharType="separate"/>
      </w:r>
      <w:r w:rsidR="004F49F9">
        <w:rPr>
          <w:rStyle w:val="ECCParagraph"/>
          <w:noProof/>
        </w:rPr>
        <w:t>[25]</w:t>
      </w:r>
      <w:r w:rsidR="003C63E5" w:rsidRPr="006D6727">
        <w:rPr>
          <w:rStyle w:val="ECCParagraph"/>
          <w:noProof/>
        </w:rPr>
        <w:fldChar w:fldCharType="end"/>
      </w:r>
      <w:r w:rsidR="003903A5" w:rsidRPr="006D6727">
        <w:rPr>
          <w:rStyle w:val="ECCParagraph"/>
          <w:noProof/>
        </w:rPr>
        <w:t>,</w:t>
      </w:r>
      <w:r w:rsidRPr="006D6727">
        <w:rPr>
          <w:rStyle w:val="ECCParagraph"/>
          <w:noProof/>
        </w:rPr>
        <w:t xml:space="preserve"> </w:t>
      </w:r>
      <w:r w:rsidR="008D5823" w:rsidRPr="006D6727">
        <w:rPr>
          <w:rStyle w:val="ECCParagraph"/>
          <w:noProof/>
        </w:rPr>
        <w:t>should be</w:t>
      </w:r>
      <w:r w:rsidRPr="006D6727">
        <w:rPr>
          <w:rStyle w:val="ECCParagraph"/>
          <w:noProof/>
        </w:rPr>
        <w:t xml:space="preserve"> considered in </w:t>
      </w:r>
      <w:r w:rsidR="00172538" w:rsidRPr="006D6727">
        <w:rPr>
          <w:rStyle w:val="ECCParagraph"/>
          <w:noProof/>
        </w:rPr>
        <w:t xml:space="preserve">the </w:t>
      </w:r>
      <w:r w:rsidRPr="006D6727">
        <w:rPr>
          <w:rStyle w:val="ECCParagraph"/>
          <w:noProof/>
        </w:rPr>
        <w:t xml:space="preserve">MCL calculations of this Report, i.e. all MCL </w:t>
      </w:r>
      <w:r w:rsidR="008D5823" w:rsidRPr="006D6727">
        <w:rPr>
          <w:rStyle w:val="ECCParagraph"/>
          <w:noProof/>
        </w:rPr>
        <w:t>calculations</w:t>
      </w:r>
      <w:r w:rsidRPr="006D6727">
        <w:rPr>
          <w:rStyle w:val="ECCParagraph"/>
          <w:noProof/>
        </w:rPr>
        <w:t xml:space="preserve"> </w:t>
      </w:r>
      <w:r w:rsidR="00A9221A" w:rsidRPr="006D6727">
        <w:rPr>
          <w:rStyle w:val="ECCParagraph"/>
          <w:noProof/>
        </w:rPr>
        <w:t>shall be</w:t>
      </w:r>
      <w:r w:rsidRPr="006D6727">
        <w:rPr>
          <w:rStyle w:val="ECCParagraph"/>
          <w:noProof/>
        </w:rPr>
        <w:t xml:space="preserve"> performed for the worst</w:t>
      </w:r>
      <w:r w:rsidR="00DB32E6" w:rsidRPr="006D6727">
        <w:rPr>
          <w:rStyle w:val="ECCParagraph"/>
          <w:noProof/>
        </w:rPr>
        <w:t>-</w:t>
      </w:r>
      <w:r w:rsidRPr="006D6727">
        <w:rPr>
          <w:rStyle w:val="ECCParagraph"/>
          <w:noProof/>
        </w:rPr>
        <w:t>case of LPR being placed outdoor</w:t>
      </w:r>
      <w:r w:rsidR="00193576" w:rsidRPr="006D6727">
        <w:rPr>
          <w:rStyle w:val="ECCParagraph"/>
          <w:noProof/>
        </w:rPr>
        <w:t>s</w:t>
      </w:r>
      <w:r w:rsidR="001E0203" w:rsidRPr="006D6727">
        <w:rPr>
          <w:rStyle w:val="ECCParagraph"/>
          <w:noProof/>
        </w:rPr>
        <w:t xml:space="preserve">, with line-of-sight (LOS) conditions </w:t>
      </w:r>
      <w:r w:rsidRPr="006D6727">
        <w:rPr>
          <w:rStyle w:val="ECCParagraph"/>
          <w:noProof/>
        </w:rPr>
        <w:t>and without any natural shielding.</w:t>
      </w:r>
      <w:r w:rsidR="00193576" w:rsidRPr="006D6727">
        <w:rPr>
          <w:rStyle w:val="ECCParagraph"/>
          <w:noProof/>
        </w:rPr>
        <w:t xml:space="preserve"> </w:t>
      </w:r>
      <w:r w:rsidRPr="006D6727">
        <w:rPr>
          <w:rStyle w:val="ECCParagraph"/>
          <w:noProof/>
        </w:rPr>
        <w:t xml:space="preserve">As a result, all calculated interference impacts represent the most conservative estimates, which in many </w:t>
      </w:r>
      <w:r w:rsidR="00193576" w:rsidRPr="006D6727">
        <w:rPr>
          <w:rStyle w:val="ECCParagraph"/>
          <w:noProof/>
        </w:rPr>
        <w:t>real-life</w:t>
      </w:r>
      <w:r w:rsidRPr="006D6727">
        <w:rPr>
          <w:rStyle w:val="ECCParagraph"/>
          <w:noProof/>
        </w:rPr>
        <w:t xml:space="preserve"> </w:t>
      </w:r>
      <w:r w:rsidR="00193576" w:rsidRPr="006D6727">
        <w:rPr>
          <w:rStyle w:val="ECCParagraph"/>
          <w:noProof/>
        </w:rPr>
        <w:t>scenarios</w:t>
      </w:r>
      <w:r w:rsidRPr="006D6727">
        <w:rPr>
          <w:rStyle w:val="ECCParagraph"/>
          <w:noProof/>
        </w:rPr>
        <w:t xml:space="preserve"> will be further reduced due to aforementioned natural shielding.</w:t>
      </w:r>
    </w:p>
    <w:p w14:paraId="041087E7" w14:textId="77777777" w:rsidR="00602AA2" w:rsidRPr="006D6727" w:rsidRDefault="008A62D1" w:rsidP="004E36C2">
      <w:pPr>
        <w:pStyle w:val="Heading4"/>
        <w:rPr>
          <w:noProof/>
        </w:rPr>
      </w:pPr>
      <w:bookmarkStart w:id="235" w:name="_Ref36548155"/>
      <w:bookmarkStart w:id="236" w:name="_Ref36548256"/>
      <w:bookmarkStart w:id="237" w:name="_Ref36548437"/>
      <w:bookmarkStart w:id="238" w:name="_Ref36548860"/>
      <w:bookmarkStart w:id="239" w:name="_Toc84325275"/>
      <w:r w:rsidRPr="006D6727">
        <w:rPr>
          <w:noProof/>
        </w:rPr>
        <w:t>Interference scenarios</w:t>
      </w:r>
      <w:bookmarkEnd w:id="235"/>
      <w:bookmarkEnd w:id="236"/>
      <w:bookmarkEnd w:id="237"/>
      <w:bookmarkEnd w:id="238"/>
      <w:bookmarkEnd w:id="239"/>
    </w:p>
    <w:p w14:paraId="093A68FC" w14:textId="246413B1" w:rsidR="00E02C62" w:rsidRPr="006D6727" w:rsidRDefault="00E02C62" w:rsidP="00E02C62">
      <w:pPr>
        <w:rPr>
          <w:noProof/>
        </w:rPr>
      </w:pPr>
      <w:r w:rsidRPr="006D6727">
        <w:rPr>
          <w:noProof/>
        </w:rPr>
        <w:t xml:space="preserve">When considering the range of identified victim services (see </w:t>
      </w:r>
      <w:r w:rsidR="009D5FA2">
        <w:rPr>
          <w:noProof/>
        </w:rPr>
        <w:t>section</w:t>
      </w:r>
      <w:r w:rsidRPr="006D6727">
        <w:rPr>
          <w:noProof/>
        </w:rPr>
        <w:t xml:space="preserve"> </w:t>
      </w:r>
      <w:r w:rsidRPr="006D6727">
        <w:rPr>
          <w:noProof/>
        </w:rPr>
        <w:fldChar w:fldCharType="begin"/>
      </w:r>
      <w:r w:rsidRPr="006D6727">
        <w:rPr>
          <w:noProof/>
        </w:rPr>
        <w:instrText xml:space="preserve"> REF _Ref9857612 \r \h </w:instrText>
      </w:r>
      <w:r w:rsidRPr="006D6727">
        <w:rPr>
          <w:noProof/>
        </w:rPr>
      </w:r>
      <w:r w:rsidRPr="006D6727">
        <w:rPr>
          <w:noProof/>
        </w:rPr>
        <w:fldChar w:fldCharType="separate"/>
      </w:r>
      <w:r w:rsidR="004F49F9">
        <w:rPr>
          <w:noProof/>
        </w:rPr>
        <w:t>3</w:t>
      </w:r>
      <w:r w:rsidRPr="006D6727">
        <w:rPr>
          <w:noProof/>
        </w:rPr>
        <w:fldChar w:fldCharType="end"/>
      </w:r>
      <w:r w:rsidRPr="006D6727">
        <w:rPr>
          <w:noProof/>
        </w:rPr>
        <w:t>), it may be suggested to divide the possible interference scenarios into two broad categories:</w:t>
      </w:r>
    </w:p>
    <w:p w14:paraId="20DA4AA4" w14:textId="15B8E0A6" w:rsidR="00E02C62" w:rsidRPr="006D6727" w:rsidRDefault="00E02C62" w:rsidP="00E02C62">
      <w:pPr>
        <w:pStyle w:val="ECCBulletsLv1"/>
        <w:rPr>
          <w:rStyle w:val="ECCParagraph"/>
          <w:noProof/>
        </w:rPr>
      </w:pPr>
      <w:r w:rsidRPr="006D6727">
        <w:rPr>
          <w:rStyle w:val="ECCParagraph"/>
          <w:noProof/>
        </w:rPr>
        <w:t>Interference over terrestrial paths</w:t>
      </w:r>
      <w:r w:rsidR="00361E7C">
        <w:rPr>
          <w:rStyle w:val="ECCParagraph"/>
          <w:noProof/>
        </w:rPr>
        <w:t>;</w:t>
      </w:r>
    </w:p>
    <w:p w14:paraId="716E26CE" w14:textId="7C3F317F" w:rsidR="00E02C62" w:rsidRPr="006D6727" w:rsidRDefault="00E02C62" w:rsidP="00E02C62">
      <w:pPr>
        <w:pStyle w:val="ECCBulletsLv1"/>
        <w:rPr>
          <w:rStyle w:val="ECCParagraph"/>
          <w:noProof/>
        </w:rPr>
      </w:pPr>
      <w:r w:rsidRPr="006D6727">
        <w:rPr>
          <w:rStyle w:val="ECCParagraph"/>
          <w:noProof/>
        </w:rPr>
        <w:t>Interference to EESS (passive) satellite receivers</w:t>
      </w:r>
      <w:r w:rsidR="00361E7C">
        <w:rPr>
          <w:rStyle w:val="ECCParagraph"/>
          <w:noProof/>
        </w:rPr>
        <w:t>.</w:t>
      </w:r>
    </w:p>
    <w:p w14:paraId="29D393A4" w14:textId="706296F5" w:rsidR="00063434" w:rsidRPr="006D6727" w:rsidRDefault="00E02C62" w:rsidP="00E02C62">
      <w:pPr>
        <w:rPr>
          <w:rStyle w:val="ECCParagraph"/>
          <w:noProof/>
        </w:rPr>
      </w:pPr>
      <w:r w:rsidRPr="006D6727">
        <w:rPr>
          <w:rStyle w:val="ECCParagraph"/>
          <w:noProof/>
        </w:rPr>
        <w:t xml:space="preserve">This approach has also been applied </w:t>
      </w:r>
      <w:r w:rsidR="0059762F" w:rsidRPr="006D6727">
        <w:rPr>
          <w:rStyle w:val="ECCParagraph"/>
          <w:noProof/>
        </w:rPr>
        <w:t xml:space="preserve">successfully </w:t>
      </w:r>
      <w:r w:rsidRPr="006D6727">
        <w:rPr>
          <w:rStyle w:val="ECCParagraph"/>
          <w:noProof/>
        </w:rPr>
        <w:t xml:space="preserve">in ECC Report 139 </w:t>
      </w:r>
      <w:r w:rsidRPr="006D6727">
        <w:rPr>
          <w:rStyle w:val="ECCParagraph"/>
          <w:noProof/>
        </w:rPr>
        <w:fldChar w:fldCharType="begin"/>
      </w:r>
      <w:r w:rsidRPr="006D6727">
        <w:rPr>
          <w:rStyle w:val="ECCParagraph"/>
          <w:noProof/>
        </w:rPr>
        <w:instrText xml:space="preserve"> REF  ECCRep139 \h \w  \* MERGEFORMAT </w:instrText>
      </w:r>
      <w:r w:rsidRPr="006D6727">
        <w:rPr>
          <w:rStyle w:val="ECCParagraph"/>
          <w:noProof/>
        </w:rPr>
      </w:r>
      <w:r w:rsidRPr="006D6727">
        <w:rPr>
          <w:rStyle w:val="ECCParagraph"/>
          <w:noProof/>
        </w:rPr>
        <w:fldChar w:fldCharType="separate"/>
      </w:r>
      <w:r w:rsidR="004F49F9">
        <w:rPr>
          <w:rStyle w:val="ECCParagraph"/>
          <w:noProof/>
        </w:rPr>
        <w:t>[4]</w:t>
      </w:r>
      <w:r w:rsidRPr="006D6727">
        <w:rPr>
          <w:rStyle w:val="ECCParagraph"/>
          <w:noProof/>
        </w:rPr>
        <w:fldChar w:fldCharType="end"/>
      </w:r>
      <w:r w:rsidRPr="006D6727">
        <w:rPr>
          <w:rStyle w:val="ECCParagraph"/>
          <w:noProof/>
        </w:rPr>
        <w:t xml:space="preserve"> </w:t>
      </w:r>
      <w:r w:rsidR="002C7681" w:rsidRPr="006D6727">
        <w:rPr>
          <w:rStyle w:val="ECCParagraph"/>
          <w:noProof/>
        </w:rPr>
        <w:t>for MCL calculations on terrestrial interference paths and space-based paths.</w:t>
      </w:r>
      <w:r w:rsidRPr="006D6727">
        <w:rPr>
          <w:rStyle w:val="ECCParagraph"/>
          <w:noProof/>
        </w:rPr>
        <w:t xml:space="preserve"> </w:t>
      </w:r>
      <w:r w:rsidR="002C7681" w:rsidRPr="006D6727">
        <w:rPr>
          <w:rStyle w:val="ECCParagraph"/>
          <w:noProof/>
        </w:rPr>
        <w:t>In the present case</w:t>
      </w:r>
      <w:r w:rsidR="00800A1B" w:rsidRPr="006D6727">
        <w:rPr>
          <w:rStyle w:val="ECCParagraph"/>
          <w:noProof/>
        </w:rPr>
        <w:t xml:space="preserve"> of higher frequency bands there is no need to deviate from this approach.</w:t>
      </w:r>
    </w:p>
    <w:p w14:paraId="34D3B626" w14:textId="77777777" w:rsidR="00AF0F6E" w:rsidRPr="006D6727" w:rsidRDefault="000A347D" w:rsidP="00E02C62">
      <w:pPr>
        <w:rPr>
          <w:rStyle w:val="ECCHLbold"/>
          <w:noProof/>
        </w:rPr>
      </w:pPr>
      <w:r w:rsidRPr="006D6727">
        <w:rPr>
          <w:rStyle w:val="ECCHLbold"/>
          <w:noProof/>
        </w:rPr>
        <w:t>Interference over terrestrial paths</w:t>
      </w:r>
    </w:p>
    <w:p w14:paraId="38FF92CB" w14:textId="604ABD2F" w:rsidR="00154F0A" w:rsidRPr="006D6727" w:rsidRDefault="00284277" w:rsidP="00154F0A">
      <w:pPr>
        <w:rPr>
          <w:noProof/>
        </w:rPr>
      </w:pPr>
      <w:r w:rsidRPr="006D6727">
        <w:rPr>
          <w:noProof/>
        </w:rPr>
        <w:t>The s</w:t>
      </w:r>
      <w:r w:rsidR="00154F0A" w:rsidRPr="006D6727">
        <w:rPr>
          <w:noProof/>
        </w:rPr>
        <w:t xml:space="preserve">cenario </w:t>
      </w:r>
      <w:r w:rsidR="00F3721C" w:rsidRPr="006D6727">
        <w:rPr>
          <w:noProof/>
        </w:rPr>
        <w:t>in which</w:t>
      </w:r>
      <w:r w:rsidR="00154F0A" w:rsidRPr="006D6727">
        <w:rPr>
          <w:noProof/>
        </w:rPr>
        <w:t xml:space="preserve"> </w:t>
      </w:r>
      <w:r w:rsidRPr="006D6727">
        <w:rPr>
          <w:noProof/>
        </w:rPr>
        <w:t xml:space="preserve">an </w:t>
      </w:r>
      <w:r w:rsidR="00154F0A" w:rsidRPr="006D6727">
        <w:rPr>
          <w:noProof/>
        </w:rPr>
        <w:t>interference signal</w:t>
      </w:r>
      <w:r w:rsidR="00F3721C" w:rsidRPr="006D6727">
        <w:rPr>
          <w:noProof/>
        </w:rPr>
        <w:t>,</w:t>
      </w:r>
      <w:r w:rsidR="00154F0A" w:rsidRPr="006D6727">
        <w:rPr>
          <w:noProof/>
        </w:rPr>
        <w:t xml:space="preserve"> </w:t>
      </w:r>
      <w:r w:rsidR="00C521B0" w:rsidRPr="006D6727">
        <w:rPr>
          <w:noProof/>
        </w:rPr>
        <w:t xml:space="preserve">originating from an </w:t>
      </w:r>
      <w:r w:rsidR="006A1CE5" w:rsidRPr="006D6727">
        <w:rPr>
          <w:noProof/>
        </w:rPr>
        <w:t>LPR sensor</w:t>
      </w:r>
      <w:r w:rsidR="00F3721C" w:rsidRPr="006D6727">
        <w:rPr>
          <w:noProof/>
        </w:rPr>
        <w:t>,</w:t>
      </w:r>
      <w:r w:rsidR="006A1CE5" w:rsidRPr="006D6727">
        <w:rPr>
          <w:noProof/>
        </w:rPr>
        <w:t xml:space="preserve"> </w:t>
      </w:r>
      <w:r w:rsidR="00154F0A" w:rsidRPr="006D6727">
        <w:rPr>
          <w:noProof/>
        </w:rPr>
        <w:t xml:space="preserve">propagates along </w:t>
      </w:r>
      <w:r w:rsidR="00F3721C" w:rsidRPr="006D6727">
        <w:rPr>
          <w:noProof/>
        </w:rPr>
        <w:t xml:space="preserve">a </w:t>
      </w:r>
      <w:r w:rsidR="00154F0A" w:rsidRPr="006D6727">
        <w:rPr>
          <w:noProof/>
        </w:rPr>
        <w:t xml:space="preserve">terrestrial path </w:t>
      </w:r>
      <w:r w:rsidR="00F3721C" w:rsidRPr="006D6727">
        <w:rPr>
          <w:noProof/>
        </w:rPr>
        <w:t>is</w:t>
      </w:r>
      <w:r w:rsidR="00154F0A" w:rsidRPr="006D6727">
        <w:rPr>
          <w:noProof/>
        </w:rPr>
        <w:t xml:space="preserve"> </w:t>
      </w:r>
      <w:r w:rsidR="00F3721C" w:rsidRPr="006D6727">
        <w:rPr>
          <w:noProof/>
        </w:rPr>
        <w:t xml:space="preserve">the </w:t>
      </w:r>
      <w:r w:rsidR="00154F0A" w:rsidRPr="006D6727">
        <w:rPr>
          <w:noProof/>
        </w:rPr>
        <w:t xml:space="preserve">most typical </w:t>
      </w:r>
      <w:r w:rsidR="00F3721C" w:rsidRPr="006D6727">
        <w:rPr>
          <w:noProof/>
        </w:rPr>
        <w:t>one</w:t>
      </w:r>
      <w:r w:rsidR="00154F0A" w:rsidRPr="006D6727">
        <w:rPr>
          <w:noProof/>
        </w:rPr>
        <w:t xml:space="preserve">. It will be relevant when evaluating </w:t>
      </w:r>
      <w:r w:rsidR="009D5FA2">
        <w:rPr>
          <w:noProof/>
        </w:rPr>
        <w:t>coexistence</w:t>
      </w:r>
      <w:r w:rsidR="00154F0A" w:rsidRPr="006D6727">
        <w:rPr>
          <w:noProof/>
        </w:rPr>
        <w:t xml:space="preserve"> of LPR devices with the following victim services:</w:t>
      </w:r>
    </w:p>
    <w:p w14:paraId="3FAF380F" w14:textId="18C0C67D" w:rsidR="00154F0A" w:rsidRPr="006D6727" w:rsidRDefault="00154F0A" w:rsidP="00154F0A">
      <w:pPr>
        <w:pStyle w:val="ECCBulletsLv1"/>
        <w:rPr>
          <w:noProof/>
        </w:rPr>
      </w:pPr>
      <w:r w:rsidRPr="006D6727">
        <w:rPr>
          <w:noProof/>
        </w:rPr>
        <w:t>Fixed Service (FS) links (PP and BWA)</w:t>
      </w:r>
      <w:r w:rsidR="00FC4DF7">
        <w:rPr>
          <w:noProof/>
        </w:rPr>
        <w:t>;</w:t>
      </w:r>
    </w:p>
    <w:p w14:paraId="400667C6" w14:textId="368B7457" w:rsidR="00154F0A" w:rsidRPr="006D6727" w:rsidRDefault="00154F0A" w:rsidP="00154F0A">
      <w:pPr>
        <w:pStyle w:val="ECCBulletsLv1"/>
        <w:rPr>
          <w:noProof/>
        </w:rPr>
      </w:pPr>
      <w:r w:rsidRPr="006D6727">
        <w:rPr>
          <w:noProof/>
        </w:rPr>
        <w:t>Fixed Satellite Service (FSS) earth station receivers</w:t>
      </w:r>
      <w:r w:rsidR="00EC1921">
        <w:rPr>
          <w:noProof/>
        </w:rPr>
        <w:t>;</w:t>
      </w:r>
    </w:p>
    <w:p w14:paraId="50C7E5FA" w14:textId="1EFAF9A9" w:rsidR="00154F0A" w:rsidRDefault="00F3721C" w:rsidP="00154F0A">
      <w:pPr>
        <w:pStyle w:val="ECCBulletsLv1"/>
        <w:rPr>
          <w:noProof/>
        </w:rPr>
      </w:pPr>
      <w:r w:rsidRPr="006D6727">
        <w:rPr>
          <w:noProof/>
        </w:rPr>
        <w:t xml:space="preserve">Terrestrial </w:t>
      </w:r>
      <w:r w:rsidR="00154F0A" w:rsidRPr="006D6727">
        <w:rPr>
          <w:noProof/>
        </w:rPr>
        <w:t>Radio Astronomy Service (RAS)</w:t>
      </w:r>
      <w:r w:rsidR="00EC1921">
        <w:rPr>
          <w:noProof/>
        </w:rPr>
        <w:t>;</w:t>
      </w:r>
    </w:p>
    <w:p w14:paraId="1FCE99DD" w14:textId="77777777" w:rsidR="00B76403" w:rsidRPr="00B76403" w:rsidRDefault="00B76403" w:rsidP="00B76403">
      <w:pPr>
        <w:pStyle w:val="ECCBulletsLv1"/>
      </w:pPr>
      <w:r w:rsidRPr="00B76403">
        <w:t>Amateur Service receivers.</w:t>
      </w:r>
    </w:p>
    <w:p w14:paraId="53F1784B" w14:textId="3CC45A53" w:rsidR="00657C16" w:rsidRPr="006D6727" w:rsidRDefault="00D7314F" w:rsidP="00D7314F">
      <w:pPr>
        <w:rPr>
          <w:rStyle w:val="ECCParagraph"/>
          <w:noProof/>
        </w:rPr>
      </w:pPr>
      <w:r w:rsidRPr="006D6727">
        <w:rPr>
          <w:rStyle w:val="ECCParagraph"/>
          <w:noProof/>
        </w:rPr>
        <w:t xml:space="preserve">In </w:t>
      </w:r>
      <w:r w:rsidR="00DE4AE2" w:rsidRPr="006D6727">
        <w:rPr>
          <w:rStyle w:val="ECCParagraph"/>
          <w:noProof/>
        </w:rPr>
        <w:t>this</w:t>
      </w:r>
      <w:r w:rsidRPr="006D6727">
        <w:rPr>
          <w:rStyle w:val="ECCParagraph"/>
          <w:noProof/>
        </w:rPr>
        <w:t xml:space="preserve"> case, LPR installation</w:t>
      </w:r>
      <w:r w:rsidR="00DE4AE2" w:rsidRPr="006D6727">
        <w:rPr>
          <w:rStyle w:val="ECCParagraph"/>
          <w:noProof/>
        </w:rPr>
        <w:t>s</w:t>
      </w:r>
      <w:r w:rsidRPr="006D6727">
        <w:rPr>
          <w:rStyle w:val="ECCParagraph"/>
          <w:noProof/>
        </w:rPr>
        <w:t xml:space="preserve"> might </w:t>
      </w:r>
      <w:r w:rsidR="00DE4AE2" w:rsidRPr="006D6727">
        <w:rPr>
          <w:rStyle w:val="ECCParagraph"/>
          <w:noProof/>
        </w:rPr>
        <w:t xml:space="preserve">have an </w:t>
      </w:r>
      <w:r w:rsidRPr="006D6727">
        <w:rPr>
          <w:rStyle w:val="ECCParagraph"/>
          <w:noProof/>
        </w:rPr>
        <w:t>impact on the victim stations through emissions em</w:t>
      </w:r>
      <w:r w:rsidR="00DE4AE2" w:rsidRPr="006D6727">
        <w:rPr>
          <w:rStyle w:val="ECCParagraph"/>
          <w:noProof/>
        </w:rPr>
        <w:t>itting</w:t>
      </w:r>
      <w:r w:rsidRPr="006D6727">
        <w:rPr>
          <w:rStyle w:val="ECCParagraph"/>
          <w:noProof/>
        </w:rPr>
        <w:t xml:space="preserve"> in horizontal </w:t>
      </w:r>
      <w:r w:rsidR="00DE4AE2" w:rsidRPr="006D6727">
        <w:rPr>
          <w:rStyle w:val="ECCParagraph"/>
          <w:noProof/>
        </w:rPr>
        <w:t>direction</w:t>
      </w:r>
      <w:r w:rsidRPr="006D6727">
        <w:rPr>
          <w:rStyle w:val="ECCParagraph"/>
          <w:noProof/>
        </w:rPr>
        <w:t xml:space="preserve"> along the </w:t>
      </w:r>
      <w:r w:rsidR="00DE4AE2" w:rsidRPr="006D6727">
        <w:rPr>
          <w:rStyle w:val="ECCParagraph"/>
          <w:noProof/>
        </w:rPr>
        <w:t>earth's</w:t>
      </w:r>
      <w:r w:rsidRPr="006D6727">
        <w:rPr>
          <w:rStyle w:val="ECCParagraph"/>
          <w:noProof/>
        </w:rPr>
        <w:t xml:space="preserve"> surface. The </w:t>
      </w:r>
      <w:r w:rsidR="00DE4AE2" w:rsidRPr="006D6727">
        <w:rPr>
          <w:rStyle w:val="ECCParagraph"/>
          <w:noProof/>
        </w:rPr>
        <w:t xml:space="preserve">compatibility </w:t>
      </w:r>
      <w:r w:rsidRPr="006D6727">
        <w:rPr>
          <w:rStyle w:val="ECCParagraph"/>
          <w:noProof/>
        </w:rPr>
        <w:t xml:space="preserve">studies in this Report have considered two equally important components of such </w:t>
      </w:r>
      <w:r w:rsidR="00DE4AE2" w:rsidRPr="006D6727">
        <w:rPr>
          <w:rStyle w:val="ECCParagraph"/>
          <w:noProof/>
        </w:rPr>
        <w:t>interference</w:t>
      </w:r>
      <w:r w:rsidRPr="006D6727">
        <w:rPr>
          <w:rStyle w:val="ECCParagraph"/>
          <w:noProof/>
        </w:rPr>
        <w:t xml:space="preserve"> – emissions from </w:t>
      </w:r>
      <w:r w:rsidR="00DE4AE2" w:rsidRPr="006D6727">
        <w:rPr>
          <w:rStyle w:val="ECCParagraph"/>
          <w:noProof/>
        </w:rPr>
        <w:t xml:space="preserve">the </w:t>
      </w:r>
      <w:r w:rsidRPr="006D6727">
        <w:rPr>
          <w:rStyle w:val="ECCParagraph"/>
          <w:noProof/>
        </w:rPr>
        <w:t xml:space="preserve">LPR antenna side lobes as well as </w:t>
      </w:r>
      <w:r w:rsidR="00DE4AE2" w:rsidRPr="006D6727">
        <w:rPr>
          <w:rStyle w:val="ECCParagraph"/>
          <w:noProof/>
        </w:rPr>
        <w:t xml:space="preserve">the reflected signal power from the measured surface. The resulting interfering signal is </w:t>
      </w:r>
      <w:r w:rsidR="00657C16" w:rsidRPr="006D6727">
        <w:rPr>
          <w:rStyle w:val="ECCParagraph"/>
          <w:noProof/>
        </w:rPr>
        <w:t xml:space="preserve">then </w:t>
      </w:r>
      <w:r w:rsidR="00DE4AE2" w:rsidRPr="006D6727">
        <w:rPr>
          <w:rStyle w:val="ECCParagraph"/>
          <w:noProof/>
        </w:rPr>
        <w:t>obtained by power summation of these two components</w:t>
      </w:r>
      <w:r w:rsidR="00657C16" w:rsidRPr="006D6727">
        <w:rPr>
          <w:rStyle w:val="ECCParagraph"/>
          <w:noProof/>
        </w:rPr>
        <w:t xml:space="preserve"> </w:t>
      </w:r>
      <w:r w:rsidR="00EC1921">
        <w:rPr>
          <w:rStyle w:val="ECCParagraph"/>
          <w:noProof/>
        </w:rPr>
        <w:t>(</w:t>
      </w:r>
      <w:r w:rsidR="00DE4AE2" w:rsidRPr="006D6727">
        <w:rPr>
          <w:rStyle w:val="ECCParagraph"/>
          <w:noProof/>
        </w:rPr>
        <w:t>see</w:t>
      </w:r>
      <w:r w:rsidR="001642A7" w:rsidRPr="006D6727">
        <w:rPr>
          <w:rStyle w:val="ECCParagraph"/>
          <w:noProof/>
        </w:rPr>
        <w:t xml:space="preserve"> </w:t>
      </w:r>
      <w:r w:rsidR="001642A7" w:rsidRPr="006D6727">
        <w:rPr>
          <w:rStyle w:val="ECCParagraph"/>
          <w:noProof/>
        </w:rPr>
        <w:fldChar w:fldCharType="begin"/>
      </w:r>
      <w:r w:rsidR="001642A7" w:rsidRPr="006D6727">
        <w:rPr>
          <w:rStyle w:val="ECCParagraph"/>
          <w:noProof/>
        </w:rPr>
        <w:instrText xml:space="preserve"> REF _Ref9865611 \h </w:instrText>
      </w:r>
      <w:r w:rsidR="001642A7" w:rsidRPr="006D6727">
        <w:rPr>
          <w:rStyle w:val="ECCParagraph"/>
          <w:noProof/>
        </w:rPr>
      </w:r>
      <w:r w:rsidR="001642A7" w:rsidRPr="006D6727">
        <w:rPr>
          <w:rStyle w:val="ECCParagraph"/>
          <w:noProof/>
        </w:rPr>
        <w:fldChar w:fldCharType="separate"/>
      </w:r>
      <w:r w:rsidR="0041125F" w:rsidRPr="006D6727">
        <w:rPr>
          <w:noProof/>
        </w:rPr>
        <w:t>Figure </w:t>
      </w:r>
      <w:r w:rsidR="0041125F">
        <w:rPr>
          <w:noProof/>
        </w:rPr>
        <w:t>37</w:t>
      </w:r>
      <w:r w:rsidR="001642A7" w:rsidRPr="006D6727">
        <w:rPr>
          <w:rStyle w:val="ECCParagraph"/>
          <w:noProof/>
        </w:rPr>
        <w:fldChar w:fldCharType="end"/>
      </w:r>
      <w:r w:rsidR="00EC1921">
        <w:rPr>
          <w:rStyle w:val="ECCParagraph"/>
          <w:noProof/>
        </w:rPr>
        <w:t>)</w:t>
      </w:r>
      <w:r w:rsidR="00DE4AE2" w:rsidRPr="006D6727">
        <w:rPr>
          <w:rStyle w:val="ECCParagraph"/>
          <w:noProof/>
        </w:rPr>
        <w:t xml:space="preserve">. </w:t>
      </w:r>
      <w:r w:rsidR="00657C16" w:rsidRPr="006D6727">
        <w:rPr>
          <w:rStyle w:val="ECCParagraph"/>
          <w:noProof/>
        </w:rPr>
        <w:t xml:space="preserve">Due to this worst-case approach, it is important that both components are also individually deduced from worst-case </w:t>
      </w:r>
      <w:r w:rsidR="00143A47" w:rsidRPr="006D6727">
        <w:rPr>
          <w:rStyle w:val="ECCParagraph"/>
          <w:noProof/>
        </w:rPr>
        <w:t>estimates</w:t>
      </w:r>
      <w:r w:rsidR="00657C16" w:rsidRPr="006D6727">
        <w:rPr>
          <w:rStyle w:val="ECCParagraph"/>
          <w:noProof/>
        </w:rPr>
        <w:t>.</w:t>
      </w:r>
    </w:p>
    <w:p w14:paraId="71A0BA3F" w14:textId="5262BCE7" w:rsidR="00D7314F" w:rsidRPr="006D6727" w:rsidRDefault="00BB2805" w:rsidP="00D7314F">
      <w:pPr>
        <w:rPr>
          <w:rStyle w:val="ECCParagraph"/>
          <w:noProof/>
        </w:rPr>
      </w:pPr>
      <w:r w:rsidRPr="006D6727">
        <w:rPr>
          <w:rStyle w:val="ECCParagraph"/>
          <w:noProof/>
        </w:rPr>
        <w:t>As outlined in ECC Report 139</w:t>
      </w:r>
      <w:r w:rsidR="00586CFC" w:rsidRPr="006D6727">
        <w:rPr>
          <w:rStyle w:val="ECCParagraph"/>
          <w:noProof/>
        </w:rPr>
        <w:t xml:space="preserve"> </w:t>
      </w:r>
      <w:r w:rsidR="00586CFC" w:rsidRPr="006D6727">
        <w:rPr>
          <w:rStyle w:val="ECCParagraph"/>
          <w:noProof/>
        </w:rPr>
        <w:fldChar w:fldCharType="begin"/>
      </w:r>
      <w:r w:rsidR="00586CFC" w:rsidRPr="006D6727">
        <w:rPr>
          <w:rStyle w:val="ECCParagraph"/>
          <w:noProof/>
        </w:rPr>
        <w:instrText xml:space="preserve"> REF  ECCRep139 \h \w  \* MERGEFORMAT </w:instrText>
      </w:r>
      <w:r w:rsidR="00586CFC" w:rsidRPr="006D6727">
        <w:rPr>
          <w:rStyle w:val="ECCParagraph"/>
          <w:noProof/>
        </w:rPr>
      </w:r>
      <w:r w:rsidR="00586CFC" w:rsidRPr="006D6727">
        <w:rPr>
          <w:rStyle w:val="ECCParagraph"/>
          <w:noProof/>
        </w:rPr>
        <w:fldChar w:fldCharType="separate"/>
      </w:r>
      <w:r w:rsidR="004F49F9">
        <w:rPr>
          <w:rStyle w:val="ECCParagraph"/>
          <w:noProof/>
        </w:rPr>
        <w:t>[4]</w:t>
      </w:r>
      <w:r w:rsidR="00586CFC" w:rsidRPr="006D6727">
        <w:rPr>
          <w:rStyle w:val="ECCParagraph"/>
          <w:noProof/>
        </w:rPr>
        <w:fldChar w:fldCharType="end"/>
      </w:r>
      <w:r w:rsidRPr="006D6727">
        <w:rPr>
          <w:rStyle w:val="ECCParagraph"/>
          <w:noProof/>
        </w:rPr>
        <w:t>, i</w:t>
      </w:r>
      <w:r w:rsidR="00D7314F" w:rsidRPr="006D6727">
        <w:rPr>
          <w:rStyle w:val="ECCParagraph"/>
          <w:noProof/>
        </w:rPr>
        <w:t xml:space="preserve">t may </w:t>
      </w:r>
      <w:r w:rsidRPr="006D6727">
        <w:rPr>
          <w:rStyle w:val="ECCParagraph"/>
          <w:noProof/>
        </w:rPr>
        <w:t xml:space="preserve">also </w:t>
      </w:r>
      <w:r w:rsidR="00D7314F" w:rsidRPr="006D6727">
        <w:rPr>
          <w:rStyle w:val="ECCParagraph"/>
          <w:noProof/>
        </w:rPr>
        <w:t xml:space="preserve">be </w:t>
      </w:r>
      <w:r w:rsidRPr="006D6727">
        <w:rPr>
          <w:rStyle w:val="ECCParagraph"/>
          <w:noProof/>
        </w:rPr>
        <w:t>in this case</w:t>
      </w:r>
      <w:r w:rsidR="00D7314F" w:rsidRPr="006D6727">
        <w:rPr>
          <w:rStyle w:val="ECCParagraph"/>
          <w:noProof/>
        </w:rPr>
        <w:t xml:space="preserve"> suggested that the reasonable worst</w:t>
      </w:r>
      <w:r w:rsidR="00143A47" w:rsidRPr="006D6727">
        <w:rPr>
          <w:rStyle w:val="ECCParagraph"/>
          <w:noProof/>
        </w:rPr>
        <w:t>-</w:t>
      </w:r>
      <w:r w:rsidR="00D7314F" w:rsidRPr="006D6727">
        <w:rPr>
          <w:rStyle w:val="ECCParagraph"/>
          <w:noProof/>
        </w:rPr>
        <w:t xml:space="preserve">case interference scenario might be described as </w:t>
      </w:r>
      <w:r w:rsidRPr="006D6727">
        <w:rPr>
          <w:rStyle w:val="ECCParagraph"/>
          <w:noProof/>
        </w:rPr>
        <w:t xml:space="preserve">an </w:t>
      </w:r>
      <w:r w:rsidR="00D7314F" w:rsidRPr="006D6727">
        <w:rPr>
          <w:rStyle w:val="ECCParagraph"/>
          <w:noProof/>
        </w:rPr>
        <w:t xml:space="preserve">LPR installed in </w:t>
      </w:r>
      <w:r w:rsidRPr="006D6727">
        <w:rPr>
          <w:rStyle w:val="ECCParagraph"/>
          <w:noProof/>
        </w:rPr>
        <w:t xml:space="preserve">an </w:t>
      </w:r>
      <w:r w:rsidR="00D7314F" w:rsidRPr="006D6727">
        <w:rPr>
          <w:rStyle w:val="ECCParagraph"/>
          <w:noProof/>
        </w:rPr>
        <w:t>open</w:t>
      </w:r>
      <w:r w:rsidRPr="006D6727">
        <w:rPr>
          <w:rStyle w:val="ECCParagraph"/>
          <w:noProof/>
        </w:rPr>
        <w:t>-</w:t>
      </w:r>
      <w:r w:rsidR="00D7314F" w:rsidRPr="006D6727">
        <w:rPr>
          <w:rStyle w:val="ECCParagraph"/>
          <w:noProof/>
        </w:rPr>
        <w:t xml:space="preserve">air environment over a slope </w:t>
      </w:r>
      <w:r w:rsidRPr="006D6727">
        <w:rPr>
          <w:rStyle w:val="ECCParagraph"/>
          <w:noProof/>
        </w:rPr>
        <w:t>o</w:t>
      </w:r>
      <w:r w:rsidR="00D7314F" w:rsidRPr="006D6727">
        <w:rPr>
          <w:rStyle w:val="ECCParagraph"/>
          <w:noProof/>
        </w:rPr>
        <w:t>f solid bulk material, such as sand.</w:t>
      </w:r>
    </w:p>
    <w:p w14:paraId="3E15FD65" w14:textId="77777777" w:rsidR="00D7314F" w:rsidRPr="006D6727" w:rsidRDefault="00D7314F" w:rsidP="004A6EA1">
      <w:pPr>
        <w:rPr>
          <w:rStyle w:val="ECCParagraph"/>
          <w:noProof/>
        </w:rPr>
      </w:pPr>
      <w:r w:rsidRPr="006D6727">
        <w:rPr>
          <w:rStyle w:val="ECCParagraph"/>
          <w:noProof/>
        </w:rPr>
        <w:t xml:space="preserve">There is a wide variety of bulk materials but only a few of them could be normally stored outdoors for the reasons of needing to protect from weather </w:t>
      </w:r>
      <w:r w:rsidR="004A6EA1" w:rsidRPr="006D6727">
        <w:rPr>
          <w:rStyle w:val="ECCParagraph"/>
          <w:noProof/>
        </w:rPr>
        <w:t>conditions</w:t>
      </w:r>
      <w:r w:rsidRPr="006D6727">
        <w:rPr>
          <w:rStyle w:val="ECCParagraph"/>
          <w:noProof/>
        </w:rPr>
        <w:t>, i.e. to prevent d</w:t>
      </w:r>
      <w:r w:rsidR="004A6EA1" w:rsidRPr="006D6727">
        <w:rPr>
          <w:rStyle w:val="ECCParagraph"/>
          <w:noProof/>
        </w:rPr>
        <w:t>egradation</w:t>
      </w:r>
      <w:r w:rsidRPr="006D6727">
        <w:rPr>
          <w:rStyle w:val="ECCParagraph"/>
          <w:noProof/>
        </w:rPr>
        <w:t xml:space="preserve"> on </w:t>
      </w:r>
      <w:r w:rsidR="004A6EA1" w:rsidRPr="006D6727">
        <w:rPr>
          <w:rStyle w:val="ECCParagraph"/>
          <w:noProof/>
        </w:rPr>
        <w:t xml:space="preserve">quality, </w:t>
      </w:r>
      <w:r w:rsidRPr="006D6727">
        <w:rPr>
          <w:rStyle w:val="ECCParagraph"/>
          <w:noProof/>
        </w:rPr>
        <w:t>purity and dryness.</w:t>
      </w:r>
    </w:p>
    <w:p w14:paraId="6CA6E4EE" w14:textId="77777777" w:rsidR="00BA77E8" w:rsidRPr="006D6727" w:rsidRDefault="00D7314F" w:rsidP="00D7314F">
      <w:pPr>
        <w:rPr>
          <w:rStyle w:val="ECCParagraph"/>
          <w:noProof/>
        </w:rPr>
      </w:pPr>
      <w:r w:rsidRPr="006D6727">
        <w:rPr>
          <w:rStyle w:val="ECCParagraph"/>
          <w:noProof/>
        </w:rPr>
        <w:t>Another important factor to consider here is the granularity of the solid bulk material. When the material is sufficiently fine to form a flat and smooth reflective surface (compared to the wavelength of radar</w:t>
      </w:r>
      <w:r w:rsidR="00007943" w:rsidRPr="006D6727">
        <w:rPr>
          <w:rStyle w:val="ECCParagraph"/>
          <w:noProof/>
        </w:rPr>
        <w:t xml:space="preserve"> signal</w:t>
      </w:r>
      <w:r w:rsidRPr="006D6727">
        <w:rPr>
          <w:rStyle w:val="ECCParagraph"/>
          <w:noProof/>
        </w:rPr>
        <w:t xml:space="preserve">), then </w:t>
      </w:r>
      <w:r w:rsidR="00566E91" w:rsidRPr="006D6727">
        <w:rPr>
          <w:rStyle w:val="ECCParagraph"/>
          <w:noProof/>
        </w:rPr>
        <w:t xml:space="preserve">the </w:t>
      </w:r>
      <w:r w:rsidRPr="006D6727">
        <w:rPr>
          <w:rStyle w:val="ECCParagraph"/>
          <w:noProof/>
        </w:rPr>
        <w:t xml:space="preserve">LPR’s antenna beam is reflected without scattering and will retain its original </w:t>
      </w:r>
      <w:r w:rsidR="00BA77E8" w:rsidRPr="006D6727">
        <w:rPr>
          <w:rStyle w:val="ECCParagraph"/>
          <w:noProof/>
        </w:rPr>
        <w:t>directive</w:t>
      </w:r>
      <w:r w:rsidRPr="006D6727">
        <w:rPr>
          <w:rStyle w:val="ECCParagraph"/>
          <w:noProof/>
        </w:rPr>
        <w:t xml:space="preserve"> shape.</w:t>
      </w:r>
      <w:r w:rsidR="00BA77E8" w:rsidRPr="006D6727">
        <w:rPr>
          <w:rStyle w:val="ECCParagraph"/>
          <w:noProof/>
        </w:rPr>
        <w:t xml:space="preserve"> </w:t>
      </w:r>
      <w:r w:rsidRPr="006D6727">
        <w:rPr>
          <w:rStyle w:val="ECCParagraph"/>
          <w:noProof/>
        </w:rPr>
        <w:t xml:space="preserve">When the material is coarser and forms </w:t>
      </w:r>
      <w:r w:rsidR="00BA77E8" w:rsidRPr="006D6727">
        <w:rPr>
          <w:rStyle w:val="ECCParagraph"/>
          <w:noProof/>
        </w:rPr>
        <w:t xml:space="preserve">an </w:t>
      </w:r>
      <w:r w:rsidRPr="006D6727">
        <w:rPr>
          <w:rStyle w:val="ECCParagraph"/>
          <w:noProof/>
        </w:rPr>
        <w:t xml:space="preserve">uneven surface (on the scale of the radar wavelength), the reflection will </w:t>
      </w:r>
      <w:r w:rsidR="00BA77E8" w:rsidRPr="006D6727">
        <w:rPr>
          <w:rStyle w:val="ECCParagraph"/>
          <w:noProof/>
        </w:rPr>
        <w:t xml:space="preserve">be diffuse and largely </w:t>
      </w:r>
      <w:r w:rsidRPr="006D6727">
        <w:rPr>
          <w:rStyle w:val="ECCParagraph"/>
          <w:noProof/>
        </w:rPr>
        <w:t xml:space="preserve">be scattered </w:t>
      </w:r>
      <w:r w:rsidR="003668E9" w:rsidRPr="006D6727">
        <w:rPr>
          <w:rStyle w:val="ECCParagraph"/>
          <w:noProof/>
        </w:rPr>
        <w:t xml:space="preserve">in all directions </w:t>
      </w:r>
      <w:r w:rsidRPr="006D6727">
        <w:rPr>
          <w:rStyle w:val="ECCParagraph"/>
          <w:noProof/>
        </w:rPr>
        <w:t xml:space="preserve">resulting in </w:t>
      </w:r>
      <w:r w:rsidR="00BA77E8" w:rsidRPr="006D6727">
        <w:rPr>
          <w:rStyle w:val="ECCParagraph"/>
          <w:noProof/>
        </w:rPr>
        <w:t>a</w:t>
      </w:r>
      <w:r w:rsidRPr="006D6727">
        <w:rPr>
          <w:rStyle w:val="ECCParagraph"/>
          <w:noProof/>
        </w:rPr>
        <w:t xml:space="preserve"> dispersed signal </w:t>
      </w:r>
      <w:r w:rsidR="003668E9" w:rsidRPr="006D6727">
        <w:rPr>
          <w:rStyle w:val="ECCParagraph"/>
          <w:noProof/>
        </w:rPr>
        <w:t>rather than a selective reflection in just one direction.</w:t>
      </w:r>
    </w:p>
    <w:p w14:paraId="59A9651D" w14:textId="77777777" w:rsidR="00D7314F" w:rsidRPr="006D6727" w:rsidRDefault="003668E9" w:rsidP="00D7314F">
      <w:pPr>
        <w:rPr>
          <w:rStyle w:val="ECCParagraph"/>
          <w:noProof/>
        </w:rPr>
      </w:pPr>
      <w:r w:rsidRPr="006D6727">
        <w:rPr>
          <w:rStyle w:val="ECCParagraph"/>
          <w:noProof/>
        </w:rPr>
        <w:t>In addition to that, the reflectivity</w:t>
      </w:r>
      <w:r w:rsidR="00D7314F" w:rsidRPr="006D6727">
        <w:rPr>
          <w:rStyle w:val="ECCParagraph"/>
          <w:noProof/>
        </w:rPr>
        <w:t xml:space="preserve"> of </w:t>
      </w:r>
      <w:r w:rsidRPr="006D6727">
        <w:rPr>
          <w:rStyle w:val="ECCParagraph"/>
          <w:noProof/>
        </w:rPr>
        <w:t xml:space="preserve">a </w:t>
      </w:r>
      <w:r w:rsidR="00D7314F" w:rsidRPr="006D6727">
        <w:rPr>
          <w:rStyle w:val="ECCParagraph"/>
          <w:noProof/>
        </w:rPr>
        <w:t xml:space="preserve">radar signal is dependent on </w:t>
      </w:r>
      <w:r w:rsidRPr="006D6727">
        <w:rPr>
          <w:rStyle w:val="ECCParagraph"/>
          <w:noProof/>
        </w:rPr>
        <w:t xml:space="preserve">the </w:t>
      </w:r>
      <w:r w:rsidR="00D7314F" w:rsidRPr="006D6727">
        <w:rPr>
          <w:rStyle w:val="ECCParagraph"/>
          <w:noProof/>
        </w:rPr>
        <w:t>dielectric constant and electromagnetic conductivity</w:t>
      </w:r>
      <w:r w:rsidRPr="006D6727">
        <w:rPr>
          <w:rStyle w:val="ECCParagraph"/>
          <w:noProof/>
        </w:rPr>
        <w:t xml:space="preserve"> of the respective material</w:t>
      </w:r>
      <w:r w:rsidR="00D7314F" w:rsidRPr="006D6727">
        <w:rPr>
          <w:rStyle w:val="ECCParagraph"/>
          <w:noProof/>
        </w:rPr>
        <w:t>.</w:t>
      </w:r>
    </w:p>
    <w:p w14:paraId="5298DDAE" w14:textId="77777777" w:rsidR="003668E9" w:rsidRPr="006D6727" w:rsidRDefault="00D7314F" w:rsidP="00D7314F">
      <w:pPr>
        <w:rPr>
          <w:rStyle w:val="ECCParagraph"/>
          <w:noProof/>
        </w:rPr>
      </w:pPr>
      <w:r w:rsidRPr="006D6727">
        <w:rPr>
          <w:rStyle w:val="ECCParagraph"/>
          <w:noProof/>
        </w:rPr>
        <w:t>A close</w:t>
      </w:r>
      <w:r w:rsidR="003668E9" w:rsidRPr="006D6727">
        <w:rPr>
          <w:rStyle w:val="ECCParagraph"/>
          <w:noProof/>
        </w:rPr>
        <w:t>r</w:t>
      </w:r>
      <w:r w:rsidRPr="006D6727">
        <w:rPr>
          <w:rStyle w:val="ECCParagraph"/>
          <w:noProof/>
        </w:rPr>
        <w:t xml:space="preserve"> look at a wide range of outdoor bulk products leads to the conclusion that dry fine sand could be the worst</w:t>
      </w:r>
      <w:r w:rsidR="003668E9" w:rsidRPr="006D6727">
        <w:rPr>
          <w:rStyle w:val="ECCParagraph"/>
          <w:noProof/>
        </w:rPr>
        <w:t>-</w:t>
      </w:r>
      <w:r w:rsidRPr="006D6727">
        <w:rPr>
          <w:rStyle w:val="ECCParagraph"/>
          <w:noProof/>
        </w:rPr>
        <w:t xml:space="preserve">case material for the applications. It has a fine granular structure </w:t>
      </w:r>
      <w:r w:rsidR="003668E9" w:rsidRPr="006D6727">
        <w:rPr>
          <w:rStyle w:val="ECCParagraph"/>
          <w:noProof/>
        </w:rPr>
        <w:t>with particles</w:t>
      </w:r>
      <w:r w:rsidR="004C6CE2" w:rsidRPr="006D6727">
        <w:rPr>
          <w:rStyle w:val="ECCParagraph"/>
          <w:noProof/>
        </w:rPr>
        <w:t>'</w:t>
      </w:r>
      <w:r w:rsidR="003668E9" w:rsidRPr="006D6727">
        <w:rPr>
          <w:rStyle w:val="ECCParagraph"/>
          <w:noProof/>
        </w:rPr>
        <w:t xml:space="preserve"> size</w:t>
      </w:r>
      <w:r w:rsidR="004C6CE2" w:rsidRPr="006D6727">
        <w:rPr>
          <w:rStyle w:val="ECCParagraph"/>
          <w:noProof/>
        </w:rPr>
        <w:t>s</w:t>
      </w:r>
      <w:r w:rsidR="003668E9" w:rsidRPr="006D6727">
        <w:rPr>
          <w:rStyle w:val="ECCParagraph"/>
          <w:noProof/>
        </w:rPr>
        <w:t xml:space="preserve"> from 0</w:t>
      </w:r>
      <w:r w:rsidR="00CF4994">
        <w:rPr>
          <w:rStyle w:val="ECCParagraph"/>
          <w:noProof/>
        </w:rPr>
        <w:t>.1</w:t>
      </w:r>
      <w:r w:rsidR="003668E9" w:rsidRPr="006D6727">
        <w:rPr>
          <w:rStyle w:val="ECCParagraph"/>
          <w:noProof/>
        </w:rPr>
        <w:t xml:space="preserve"> to 0</w:t>
      </w:r>
      <w:r w:rsidR="00CF4994">
        <w:rPr>
          <w:rStyle w:val="ECCParagraph"/>
          <w:noProof/>
        </w:rPr>
        <w:t>.5</w:t>
      </w:r>
      <w:r w:rsidR="003668E9" w:rsidRPr="006D6727">
        <w:rPr>
          <w:rStyle w:val="ECCParagraph"/>
          <w:noProof/>
        </w:rPr>
        <w:t xml:space="preserve"> mm </w:t>
      </w:r>
      <w:r w:rsidRPr="006D6727">
        <w:rPr>
          <w:rStyle w:val="ECCParagraph"/>
          <w:noProof/>
        </w:rPr>
        <w:t>and</w:t>
      </w:r>
      <w:r w:rsidR="00712060" w:rsidRPr="006D6727">
        <w:rPr>
          <w:rStyle w:val="ECCParagraph"/>
          <w:noProof/>
        </w:rPr>
        <w:t>,</w:t>
      </w:r>
      <w:r w:rsidRPr="006D6727">
        <w:rPr>
          <w:rStyle w:val="ECCParagraph"/>
          <w:noProof/>
        </w:rPr>
        <w:t xml:space="preserve"> being in effect </w:t>
      </w:r>
      <w:r w:rsidR="004C6CE2" w:rsidRPr="006D6727">
        <w:rPr>
          <w:rStyle w:val="ECCParagraph"/>
          <w:noProof/>
        </w:rPr>
        <w:t>a</w:t>
      </w:r>
      <w:r w:rsidRPr="006D6727">
        <w:rPr>
          <w:rStyle w:val="ECCParagraph"/>
          <w:noProof/>
        </w:rPr>
        <w:t xml:space="preserve"> mixture of sand granules and air, the effective composite </w:t>
      </w:r>
      <w:r w:rsidR="00712060" w:rsidRPr="006D6727">
        <w:rPr>
          <w:rStyle w:val="ECCParagraph"/>
          <w:noProof/>
        </w:rPr>
        <w:t>relative permittivity</w:t>
      </w:r>
      <w:r w:rsidRPr="006D6727">
        <w:rPr>
          <w:rStyle w:val="ECCParagraph"/>
          <w:noProof/>
        </w:rPr>
        <w:t xml:space="preserve"> </w:t>
      </w:r>
      <w:r w:rsidR="004C6CE2" w:rsidRPr="006D6727">
        <w:rPr>
          <w:rStyle w:val="ECCParagraph"/>
          <w:noProof/>
        </w:rPr>
        <w:t>is</w:t>
      </w:r>
      <w:r w:rsidRPr="006D6727">
        <w:rPr>
          <w:rStyle w:val="ECCParagraph"/>
          <w:noProof/>
        </w:rPr>
        <w:t xml:space="preserve"> </w:t>
      </w:r>
      <w:r w:rsidR="004C6CE2" w:rsidRPr="006D6727">
        <w:rPr>
          <w:rStyle w:val="ECCParagraph"/>
          <w:noProof/>
        </w:rPr>
        <w:t xml:space="preserve">around </w:t>
      </w:r>
      <w:r w:rsidRPr="006D6727">
        <w:rPr>
          <w:rStyle w:val="ECCParagraph"/>
          <w:noProof/>
        </w:rPr>
        <w:t>2</w:t>
      </w:r>
      <w:r w:rsidR="00CF4994">
        <w:rPr>
          <w:rStyle w:val="ECCParagraph"/>
          <w:noProof/>
        </w:rPr>
        <w:t>.3</w:t>
      </w:r>
      <w:r w:rsidRPr="006D6727">
        <w:rPr>
          <w:rStyle w:val="ECCParagraph"/>
          <w:noProof/>
        </w:rPr>
        <w:t>8.</w:t>
      </w:r>
    </w:p>
    <w:p w14:paraId="4D7D3560" w14:textId="77777777" w:rsidR="00D7314F" w:rsidRPr="006D6727" w:rsidRDefault="00712060" w:rsidP="00D7314F">
      <w:pPr>
        <w:rPr>
          <w:rStyle w:val="ECCParagraph"/>
          <w:noProof/>
        </w:rPr>
      </w:pPr>
      <w:r w:rsidRPr="006D6727">
        <w:rPr>
          <w:rStyle w:val="ECCParagraph"/>
          <w:noProof/>
        </w:rPr>
        <w:t>In fact, m</w:t>
      </w:r>
      <w:r w:rsidR="00D7314F" w:rsidRPr="006D6727">
        <w:rPr>
          <w:rStyle w:val="ECCParagraph"/>
          <w:noProof/>
        </w:rPr>
        <w:t xml:space="preserve">aterials with better reflectivity have much coarser granularity, leading to </w:t>
      </w:r>
      <w:r w:rsidR="00CE6371" w:rsidRPr="006D6727">
        <w:rPr>
          <w:rStyle w:val="ECCParagraph"/>
          <w:noProof/>
        </w:rPr>
        <w:t xml:space="preserve">the </w:t>
      </w:r>
      <w:r w:rsidR="00D7314F" w:rsidRPr="006D6727">
        <w:rPr>
          <w:rStyle w:val="ECCParagraph"/>
          <w:noProof/>
        </w:rPr>
        <w:t>aforementioned case of uneven reflective surfaces.</w:t>
      </w:r>
    </w:p>
    <w:p w14:paraId="5775838F" w14:textId="0CCD333B" w:rsidR="00D7314F" w:rsidRPr="006D6727" w:rsidRDefault="00D7314F" w:rsidP="00D7314F">
      <w:pPr>
        <w:rPr>
          <w:rStyle w:val="ECCHLyellow"/>
          <w:noProof/>
        </w:rPr>
      </w:pPr>
      <w:r w:rsidRPr="006D6727">
        <w:rPr>
          <w:rStyle w:val="ECCParagraph"/>
          <w:noProof/>
        </w:rPr>
        <w:t xml:space="preserve">An important characteristic </w:t>
      </w:r>
      <w:r w:rsidR="00CE6371" w:rsidRPr="006D6727">
        <w:rPr>
          <w:rStyle w:val="ECCParagraph"/>
          <w:noProof/>
        </w:rPr>
        <w:t xml:space="preserve">of </w:t>
      </w:r>
      <w:r w:rsidRPr="006D6727">
        <w:rPr>
          <w:rStyle w:val="ECCParagraph"/>
          <w:noProof/>
        </w:rPr>
        <w:t xml:space="preserve">heaps </w:t>
      </w:r>
      <w:r w:rsidR="00CE6371" w:rsidRPr="006D6727">
        <w:rPr>
          <w:rStyle w:val="ECCParagraph"/>
          <w:noProof/>
        </w:rPr>
        <w:t xml:space="preserve">consisting of fine solid bulk material </w:t>
      </w:r>
      <w:r w:rsidRPr="006D6727">
        <w:rPr>
          <w:rStyle w:val="ECCParagraph"/>
          <w:noProof/>
        </w:rPr>
        <w:t>is</w:t>
      </w:r>
      <w:r w:rsidR="00CE6371" w:rsidRPr="006D6727">
        <w:rPr>
          <w:rStyle w:val="ECCParagraph"/>
          <w:noProof/>
        </w:rPr>
        <w:t>,</w:t>
      </w:r>
      <w:r w:rsidRPr="006D6727">
        <w:rPr>
          <w:rStyle w:val="ECCParagraph"/>
          <w:noProof/>
        </w:rPr>
        <w:t xml:space="preserve"> that they all have a certain maximum angle of repose. For fine dry sand t</w:t>
      </w:r>
      <w:r w:rsidR="00CE6371" w:rsidRPr="006D6727">
        <w:rPr>
          <w:rStyle w:val="ECCParagraph"/>
          <w:noProof/>
        </w:rPr>
        <w:t>his characteristic angle</w:t>
      </w:r>
      <w:r w:rsidRPr="006D6727">
        <w:rPr>
          <w:rStyle w:val="ECCParagraph"/>
          <w:noProof/>
        </w:rPr>
        <w:t xml:space="preserve"> is 3</w:t>
      </w:r>
      <w:r w:rsidR="00CE6371" w:rsidRPr="006D6727">
        <w:rPr>
          <w:rStyle w:val="ECCParagraph"/>
          <w:noProof/>
        </w:rPr>
        <w:t>3</w:t>
      </w:r>
      <w:r w:rsidR="00113DBB" w:rsidRPr="006D6727">
        <w:rPr>
          <w:rStyle w:val="ECCParagraph"/>
          <w:noProof/>
        </w:rPr>
        <w:t>°</w:t>
      </w:r>
      <w:r w:rsidRPr="006D6727">
        <w:rPr>
          <w:rStyle w:val="ECCParagraph"/>
          <w:noProof/>
        </w:rPr>
        <w:t xml:space="preserve">. When wet sand is heaped, it could show larger angles of repose but also the shape gets </w:t>
      </w:r>
      <w:r w:rsidR="00997CAA" w:rsidRPr="006D6727">
        <w:rPr>
          <w:rStyle w:val="ECCParagraph"/>
          <w:noProof/>
        </w:rPr>
        <w:t xml:space="preserve">usually </w:t>
      </w:r>
      <w:r w:rsidRPr="006D6727">
        <w:rPr>
          <w:rStyle w:val="ECCParagraph"/>
          <w:noProof/>
        </w:rPr>
        <w:t>much coarser which leads to scattering and lower e.i.r.p. of the reflec</w:t>
      </w:r>
      <w:r w:rsidR="00997CAA" w:rsidRPr="006D6727">
        <w:rPr>
          <w:rStyle w:val="ECCParagraph"/>
          <w:noProof/>
        </w:rPr>
        <w:t>ted components</w:t>
      </w:r>
      <w:r w:rsidRPr="006D6727">
        <w:rPr>
          <w:rStyle w:val="ECCParagraph"/>
          <w:noProof/>
        </w:rPr>
        <w:t>.</w:t>
      </w:r>
      <w:r w:rsidR="00997CAA" w:rsidRPr="006D6727">
        <w:rPr>
          <w:rStyle w:val="ECCParagraph"/>
          <w:noProof/>
        </w:rPr>
        <w:t xml:space="preserve"> </w:t>
      </w:r>
      <w:r w:rsidR="00471691" w:rsidRPr="006D6727">
        <w:rPr>
          <w:rStyle w:val="ECCParagraph"/>
          <w:noProof/>
        </w:rPr>
        <w:t>Reflection m</w:t>
      </w:r>
      <w:r w:rsidRPr="006D6727">
        <w:rPr>
          <w:rStyle w:val="ECCParagraph"/>
          <w:noProof/>
        </w:rPr>
        <w:t xml:space="preserve">easurements on fine dry sand </w:t>
      </w:r>
      <w:r w:rsidR="00471691" w:rsidRPr="006D6727">
        <w:rPr>
          <w:rStyle w:val="ECCParagraph"/>
          <w:noProof/>
        </w:rPr>
        <w:t xml:space="preserve">have been conducted in the frequency range from 140 GHz to 330 GHz for different angles of incidence. The results of this measurement campaign are shown in </w:t>
      </w:r>
      <w:r w:rsidR="00471691" w:rsidRPr="006D6727">
        <w:rPr>
          <w:rStyle w:val="ECCParagraph"/>
          <w:noProof/>
        </w:rPr>
        <w:fldChar w:fldCharType="begin"/>
      </w:r>
      <w:r w:rsidR="00471691" w:rsidRPr="006D6727">
        <w:rPr>
          <w:rStyle w:val="ECCParagraph"/>
          <w:noProof/>
        </w:rPr>
        <w:instrText xml:space="preserve"> REF _Ref36028853 \r \h </w:instrText>
      </w:r>
      <w:r w:rsidR="00471691" w:rsidRPr="006D6727">
        <w:rPr>
          <w:rStyle w:val="ECCParagraph"/>
          <w:noProof/>
        </w:rPr>
      </w:r>
      <w:r w:rsidR="00471691" w:rsidRPr="006D6727">
        <w:rPr>
          <w:rStyle w:val="ECCParagraph"/>
          <w:noProof/>
        </w:rPr>
        <w:fldChar w:fldCharType="separate"/>
      </w:r>
      <w:r w:rsidR="0041125F">
        <w:rPr>
          <w:rStyle w:val="ECCParagraph"/>
          <w:noProof/>
        </w:rPr>
        <w:t>A</w:t>
      </w:r>
      <w:r w:rsidR="00A76B4B">
        <w:rPr>
          <w:rStyle w:val="ECCParagraph"/>
          <w:noProof/>
        </w:rPr>
        <w:t>nnex</w:t>
      </w:r>
      <w:r w:rsidR="0041125F">
        <w:rPr>
          <w:rStyle w:val="ECCParagraph"/>
          <w:noProof/>
        </w:rPr>
        <w:t xml:space="preserve"> 3</w:t>
      </w:r>
      <w:r w:rsidR="00471691" w:rsidRPr="006D6727">
        <w:rPr>
          <w:rStyle w:val="ECCParagraph"/>
          <w:noProof/>
        </w:rPr>
        <w:fldChar w:fldCharType="end"/>
      </w:r>
      <w:r w:rsidR="00471691" w:rsidRPr="006D6727">
        <w:rPr>
          <w:rStyle w:val="ECCParagraph"/>
          <w:noProof/>
        </w:rPr>
        <w:t xml:space="preserve">. Further information on this topic can be found </w:t>
      </w:r>
      <w:r w:rsidRPr="006D6727">
        <w:rPr>
          <w:rStyle w:val="ECCParagraph"/>
          <w:noProof/>
        </w:rPr>
        <w:t xml:space="preserve">in </w:t>
      </w:r>
      <w:r w:rsidR="00F345AE" w:rsidRPr="006D6727">
        <w:rPr>
          <w:rStyle w:val="ECCParagraph"/>
          <w:noProof/>
        </w:rPr>
        <w:t xml:space="preserve">ECC Report 139 </w:t>
      </w:r>
      <w:r w:rsidR="00D0283F">
        <w:rPr>
          <w:rStyle w:val="ECCParagraph"/>
          <w:noProof/>
        </w:rPr>
        <w:t>,a</w:t>
      </w:r>
      <w:r w:rsidRPr="006D6727">
        <w:rPr>
          <w:rStyle w:val="ECCParagraph"/>
          <w:noProof/>
        </w:rPr>
        <w:t>nnex 2</w:t>
      </w:r>
      <w:r w:rsidR="00D0283F">
        <w:rPr>
          <w:rStyle w:val="ECCParagraph"/>
          <w:noProof/>
        </w:rPr>
        <w:t xml:space="preserve"> </w:t>
      </w:r>
      <w:r w:rsidR="00D0283F" w:rsidRPr="006D6727">
        <w:rPr>
          <w:rStyle w:val="ECCParagraph"/>
          <w:noProof/>
        </w:rPr>
        <w:fldChar w:fldCharType="begin"/>
      </w:r>
      <w:r w:rsidR="00D0283F" w:rsidRPr="006D6727">
        <w:rPr>
          <w:rStyle w:val="ECCParagraph"/>
          <w:noProof/>
        </w:rPr>
        <w:instrText xml:space="preserve"> REF  ECCRep139 \h \w  \* MERGEFORMAT </w:instrText>
      </w:r>
      <w:r w:rsidR="00D0283F" w:rsidRPr="006D6727">
        <w:rPr>
          <w:rStyle w:val="ECCParagraph"/>
          <w:noProof/>
        </w:rPr>
      </w:r>
      <w:r w:rsidR="00D0283F" w:rsidRPr="006D6727">
        <w:rPr>
          <w:rStyle w:val="ECCParagraph"/>
          <w:noProof/>
        </w:rPr>
        <w:fldChar w:fldCharType="separate"/>
      </w:r>
      <w:r w:rsidR="004F49F9">
        <w:rPr>
          <w:rStyle w:val="ECCParagraph"/>
          <w:noProof/>
        </w:rPr>
        <w:t>[4]</w:t>
      </w:r>
      <w:r w:rsidR="00D0283F" w:rsidRPr="006D6727">
        <w:rPr>
          <w:rStyle w:val="ECCParagraph"/>
          <w:noProof/>
        </w:rPr>
        <w:fldChar w:fldCharType="end"/>
      </w:r>
      <w:r w:rsidR="00D0283F">
        <w:rPr>
          <w:rStyle w:val="ECCParagraph"/>
          <w:noProof/>
        </w:rPr>
        <w:t>.</w:t>
      </w:r>
    </w:p>
    <w:p w14:paraId="5244DD10" w14:textId="0C761612" w:rsidR="00D7314F" w:rsidRPr="006D6727" w:rsidRDefault="00635C0B" w:rsidP="00AA5483">
      <w:pPr>
        <w:rPr>
          <w:rStyle w:val="ECCParagraph"/>
          <w:noProof/>
        </w:rPr>
      </w:pPr>
      <w:r w:rsidRPr="006D6727">
        <w:rPr>
          <w:rStyle w:val="ECCParagraph"/>
          <w:noProof/>
        </w:rPr>
        <w:t>Hence, t</w:t>
      </w:r>
      <w:r w:rsidR="00D7314F" w:rsidRPr="006D6727">
        <w:rPr>
          <w:rStyle w:val="ECCParagraph"/>
          <w:noProof/>
        </w:rPr>
        <w:t>h</w:t>
      </w:r>
      <w:r w:rsidR="00702174" w:rsidRPr="006D6727">
        <w:rPr>
          <w:rStyle w:val="ECCParagraph"/>
          <w:noProof/>
        </w:rPr>
        <w:t xml:space="preserve">e </w:t>
      </w:r>
      <w:r w:rsidR="00D7314F" w:rsidRPr="006D6727">
        <w:rPr>
          <w:rStyle w:val="ECCParagraph"/>
          <w:noProof/>
        </w:rPr>
        <w:t>worst</w:t>
      </w:r>
      <w:r w:rsidR="00AA5483" w:rsidRPr="006D6727">
        <w:rPr>
          <w:rStyle w:val="ECCParagraph"/>
          <w:noProof/>
        </w:rPr>
        <w:t>-</w:t>
      </w:r>
      <w:r w:rsidR="00D7314F" w:rsidRPr="006D6727">
        <w:rPr>
          <w:rStyle w:val="ECCParagraph"/>
          <w:noProof/>
        </w:rPr>
        <w:t xml:space="preserve">case </w:t>
      </w:r>
      <w:r w:rsidR="00AA5483" w:rsidRPr="006D6727">
        <w:rPr>
          <w:rStyle w:val="ECCParagraph"/>
          <w:noProof/>
        </w:rPr>
        <w:t xml:space="preserve">interference scenario </w:t>
      </w:r>
      <w:r w:rsidR="00D7314F" w:rsidRPr="006D6727">
        <w:rPr>
          <w:rStyle w:val="ECCParagraph"/>
          <w:noProof/>
        </w:rPr>
        <w:t xml:space="preserve">along </w:t>
      </w:r>
      <w:r w:rsidR="00652A7B" w:rsidRPr="006D6727">
        <w:rPr>
          <w:rStyle w:val="ECCParagraph"/>
          <w:noProof/>
        </w:rPr>
        <w:t xml:space="preserve">horizontal </w:t>
      </w:r>
      <w:r w:rsidR="00D7314F" w:rsidRPr="006D6727">
        <w:rPr>
          <w:rStyle w:val="ECCParagraph"/>
          <w:noProof/>
        </w:rPr>
        <w:t>terrestrial path</w:t>
      </w:r>
      <w:r w:rsidR="00AA5483" w:rsidRPr="006D6727">
        <w:rPr>
          <w:rStyle w:val="ECCParagraph"/>
          <w:noProof/>
        </w:rPr>
        <w:t>s</w:t>
      </w:r>
      <w:r w:rsidR="00D7314F" w:rsidRPr="006D6727">
        <w:rPr>
          <w:rStyle w:val="ECCParagraph"/>
          <w:noProof/>
        </w:rPr>
        <w:t xml:space="preserve"> </w:t>
      </w:r>
      <w:r w:rsidRPr="006D6727">
        <w:rPr>
          <w:rStyle w:val="ECCParagraph"/>
          <w:noProof/>
        </w:rPr>
        <w:t xml:space="preserve">utilised for the compatibility study </w:t>
      </w:r>
      <w:r w:rsidR="00B76403">
        <w:rPr>
          <w:rStyle w:val="ECCParagraph"/>
        </w:rPr>
        <w:t>for RAS and Amateur Service</w:t>
      </w:r>
      <w:r w:rsidR="00455EAE">
        <w:rPr>
          <w:rStyle w:val="ECCParagraph"/>
        </w:rPr>
        <w:t xml:space="preserve"> </w:t>
      </w:r>
      <w:r w:rsidR="00D7314F" w:rsidRPr="006D6727">
        <w:rPr>
          <w:rStyle w:val="ECCParagraph"/>
          <w:noProof/>
        </w:rPr>
        <w:t xml:space="preserve">is illustrated in </w:t>
      </w:r>
      <w:r w:rsidR="00D00F8E" w:rsidRPr="006D6727">
        <w:rPr>
          <w:rStyle w:val="ECCParagraph"/>
          <w:noProof/>
        </w:rPr>
        <w:fldChar w:fldCharType="begin"/>
      </w:r>
      <w:r w:rsidR="00D00F8E" w:rsidRPr="006D6727">
        <w:rPr>
          <w:rStyle w:val="ECCParagraph"/>
          <w:noProof/>
        </w:rPr>
        <w:instrText xml:space="preserve"> REF _Ref9865611 \h </w:instrText>
      </w:r>
      <w:r w:rsidR="00D00F8E" w:rsidRPr="006D6727">
        <w:rPr>
          <w:rStyle w:val="ECCParagraph"/>
          <w:noProof/>
        </w:rPr>
      </w:r>
      <w:r w:rsidR="00D00F8E" w:rsidRPr="006D6727">
        <w:rPr>
          <w:rStyle w:val="ECCParagraph"/>
          <w:noProof/>
        </w:rPr>
        <w:fldChar w:fldCharType="separate"/>
      </w:r>
      <w:r w:rsidR="0041125F" w:rsidRPr="006D6727">
        <w:rPr>
          <w:noProof/>
        </w:rPr>
        <w:t>Figure </w:t>
      </w:r>
      <w:r w:rsidR="0041125F">
        <w:rPr>
          <w:noProof/>
        </w:rPr>
        <w:t>37</w:t>
      </w:r>
      <w:r w:rsidR="00D00F8E" w:rsidRPr="006D6727">
        <w:rPr>
          <w:rStyle w:val="ECCParagraph"/>
          <w:noProof/>
        </w:rPr>
        <w:fldChar w:fldCharType="end"/>
      </w:r>
      <w:r w:rsidR="00AA5483" w:rsidRPr="006D6727">
        <w:rPr>
          <w:rStyle w:val="ECCParagraph"/>
          <w:noProof/>
        </w:rPr>
        <w:t>.</w:t>
      </w:r>
      <w:r w:rsidR="00D7314F" w:rsidRPr="006D6727" w:rsidDel="007641CD">
        <w:rPr>
          <w:rStyle w:val="ECCParagraph"/>
          <w:noProof/>
        </w:rPr>
        <w:t xml:space="preserve"> </w:t>
      </w:r>
      <w:r w:rsidR="00D7314F" w:rsidRPr="006D6727">
        <w:rPr>
          <w:rStyle w:val="ECCParagraph"/>
          <w:noProof/>
        </w:rPr>
        <w:t>It shows that both</w:t>
      </w:r>
      <w:r w:rsidR="00AA5483" w:rsidRPr="006D6727">
        <w:rPr>
          <w:rStyle w:val="ECCParagraph"/>
          <w:noProof/>
        </w:rPr>
        <w:t>,</w:t>
      </w:r>
      <w:r w:rsidR="00D7314F" w:rsidRPr="006D6727">
        <w:rPr>
          <w:rStyle w:val="ECCParagraph"/>
          <w:noProof/>
        </w:rPr>
        <w:t xml:space="preserve"> the reflected </w:t>
      </w:r>
      <w:r w:rsidR="00AA5483" w:rsidRPr="006D6727">
        <w:rPr>
          <w:rStyle w:val="ECCParagraph"/>
          <w:noProof/>
        </w:rPr>
        <w:t xml:space="preserve">component </w:t>
      </w:r>
      <w:r w:rsidR="00D7314F" w:rsidRPr="006D6727">
        <w:rPr>
          <w:rStyle w:val="ECCParagraph"/>
          <w:noProof/>
        </w:rPr>
        <w:t xml:space="preserve">and </w:t>
      </w:r>
      <w:r w:rsidR="00AA5483" w:rsidRPr="006D6727">
        <w:rPr>
          <w:rStyle w:val="ECCParagraph"/>
          <w:noProof/>
        </w:rPr>
        <w:t xml:space="preserve">the </w:t>
      </w:r>
      <w:r w:rsidR="00D7314F" w:rsidRPr="006D6727">
        <w:rPr>
          <w:rStyle w:val="ECCParagraph"/>
          <w:noProof/>
        </w:rPr>
        <w:t xml:space="preserve">side-lobe component </w:t>
      </w:r>
      <w:r w:rsidR="00AA5483" w:rsidRPr="006D6727">
        <w:rPr>
          <w:rStyle w:val="ECCParagraph"/>
          <w:noProof/>
        </w:rPr>
        <w:t>emitted by the</w:t>
      </w:r>
      <w:r w:rsidR="00D7314F" w:rsidRPr="006D6727">
        <w:rPr>
          <w:rStyle w:val="ECCParagraph"/>
          <w:noProof/>
        </w:rPr>
        <w:t xml:space="preserve"> LPR</w:t>
      </w:r>
      <w:r w:rsidR="00AA5483" w:rsidRPr="006D6727">
        <w:rPr>
          <w:rStyle w:val="ECCParagraph"/>
          <w:noProof/>
        </w:rPr>
        <w:t xml:space="preserve"> antenna directly,</w:t>
      </w:r>
      <w:r w:rsidR="00D7314F" w:rsidRPr="006D6727">
        <w:rPr>
          <w:rStyle w:val="ECCParagraph"/>
          <w:noProof/>
        </w:rPr>
        <w:t xml:space="preserve"> are taken into account by first calculating them separately and then performing </w:t>
      </w:r>
      <w:r w:rsidR="0044499A" w:rsidRPr="006D6727">
        <w:rPr>
          <w:rStyle w:val="ECCParagraph"/>
          <w:noProof/>
        </w:rPr>
        <w:t xml:space="preserve">an ideal </w:t>
      </w:r>
      <w:r w:rsidR="00A2220E" w:rsidRPr="006D6727">
        <w:rPr>
          <w:rStyle w:val="ECCParagraph"/>
          <w:noProof/>
        </w:rPr>
        <w:t xml:space="preserve">mean </w:t>
      </w:r>
      <w:r w:rsidR="00D7314F" w:rsidRPr="006D6727">
        <w:rPr>
          <w:rStyle w:val="ECCParagraph"/>
          <w:noProof/>
        </w:rPr>
        <w:t>power</w:t>
      </w:r>
      <w:r w:rsidR="0044499A" w:rsidRPr="006D6727">
        <w:rPr>
          <w:rStyle w:val="ECCParagraph"/>
          <w:noProof/>
        </w:rPr>
        <w:t xml:space="preserve"> </w:t>
      </w:r>
      <w:r w:rsidR="00D7314F" w:rsidRPr="006D6727">
        <w:rPr>
          <w:rStyle w:val="ECCParagraph"/>
          <w:noProof/>
        </w:rPr>
        <w:t>summation.</w:t>
      </w:r>
    </w:p>
    <w:p w14:paraId="36E1A008" w14:textId="77777777" w:rsidR="00154F0A" w:rsidRPr="006D6727" w:rsidRDefault="00491490" w:rsidP="00E5022F">
      <w:pPr>
        <w:pStyle w:val="ECCFiguregraphcentered"/>
        <w:rPr>
          <w:lang w:val="en-GB"/>
        </w:rPr>
      </w:pPr>
      <w:r w:rsidRPr="006D6727">
        <w:drawing>
          <wp:inline distT="0" distB="0" distL="0" distR="0" wp14:anchorId="7644B7ED" wp14:editId="7B6753DB">
            <wp:extent cx="6001718" cy="279009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20731" cy="2798931"/>
                    </a:xfrm>
                    <a:prstGeom prst="rect">
                      <a:avLst/>
                    </a:prstGeom>
                  </pic:spPr>
                </pic:pic>
              </a:graphicData>
            </a:graphic>
          </wp:inline>
        </w:drawing>
      </w:r>
    </w:p>
    <w:p w14:paraId="08C517FE" w14:textId="30DBCE92" w:rsidR="0045522F" w:rsidRPr="006D6727" w:rsidRDefault="0045522F" w:rsidP="0045522F">
      <w:pPr>
        <w:pStyle w:val="Caption"/>
        <w:rPr>
          <w:noProof/>
          <w:lang w:val="en-GB"/>
        </w:rPr>
      </w:pPr>
      <w:bookmarkStart w:id="240" w:name="_Ref9865611"/>
      <w:r w:rsidRPr="006D6727">
        <w:rPr>
          <w:noProof/>
          <w:lang w:val="en-GB"/>
        </w:rPr>
        <w:t>Figure</w:t>
      </w:r>
      <w:r w:rsidR="00D051AF" w:rsidRPr="006D6727">
        <w:rPr>
          <w:noProof/>
          <w:lang w:val="en-GB"/>
        </w:rPr>
        <w:t> </w:t>
      </w:r>
      <w:r w:rsidR="00F45550" w:rsidRPr="006D6727">
        <w:rPr>
          <w:noProof/>
          <w:lang w:val="en-GB"/>
        </w:rPr>
        <w:fldChar w:fldCharType="begin"/>
      </w:r>
      <w:r w:rsidR="00F45550" w:rsidRPr="006D6727">
        <w:rPr>
          <w:noProof/>
          <w:lang w:val="en-GB"/>
        </w:rPr>
        <w:instrText xml:space="preserve"> SEQ Figure \* ARABIC </w:instrText>
      </w:r>
      <w:r w:rsidR="00F45550" w:rsidRPr="006D6727">
        <w:rPr>
          <w:noProof/>
          <w:lang w:val="en-GB"/>
        </w:rPr>
        <w:fldChar w:fldCharType="separate"/>
      </w:r>
      <w:r w:rsidR="004F49F9">
        <w:rPr>
          <w:noProof/>
          <w:lang w:val="en-GB"/>
        </w:rPr>
        <w:t>37</w:t>
      </w:r>
      <w:r w:rsidR="00F45550" w:rsidRPr="006D6727">
        <w:rPr>
          <w:noProof/>
          <w:lang w:val="en-GB"/>
        </w:rPr>
        <w:fldChar w:fldCharType="end"/>
      </w:r>
      <w:bookmarkEnd w:id="240"/>
      <w:r w:rsidRPr="006D6727">
        <w:rPr>
          <w:noProof/>
          <w:lang w:val="en-GB"/>
        </w:rPr>
        <w:t xml:space="preserve">: Worst-case interference scenario along </w:t>
      </w:r>
      <w:r w:rsidR="00652A7B" w:rsidRPr="006D6727">
        <w:rPr>
          <w:noProof/>
          <w:lang w:val="en-GB"/>
        </w:rPr>
        <w:t xml:space="preserve">horizontal </w:t>
      </w:r>
      <w:r w:rsidRPr="006D6727">
        <w:rPr>
          <w:noProof/>
          <w:lang w:val="en-GB"/>
        </w:rPr>
        <w:t>terrestrial paths</w:t>
      </w:r>
    </w:p>
    <w:p w14:paraId="0C3630E3" w14:textId="77777777" w:rsidR="002234F3" w:rsidRPr="006D6727" w:rsidRDefault="00C55E19" w:rsidP="002234F3">
      <w:pPr>
        <w:rPr>
          <w:noProof/>
        </w:rPr>
      </w:pPr>
      <w:r w:rsidRPr="006D6727">
        <w:rPr>
          <w:noProof/>
        </w:rPr>
        <w:t>It should also be mentioned</w:t>
      </w:r>
      <w:r w:rsidR="002234F3" w:rsidRPr="006D6727">
        <w:rPr>
          <w:noProof/>
        </w:rPr>
        <w:t xml:space="preserve"> that for initial worst</w:t>
      </w:r>
      <w:r w:rsidRPr="006D6727">
        <w:rPr>
          <w:noProof/>
        </w:rPr>
        <w:t>-</w:t>
      </w:r>
      <w:r w:rsidR="002234F3" w:rsidRPr="006D6727">
        <w:rPr>
          <w:noProof/>
        </w:rPr>
        <w:t xml:space="preserve">case simulations it would be reasonable to assume direct </w:t>
      </w:r>
      <w:r w:rsidR="00A8613D" w:rsidRPr="006D6727">
        <w:rPr>
          <w:noProof/>
        </w:rPr>
        <w:t>l</w:t>
      </w:r>
      <w:r w:rsidR="002234F3" w:rsidRPr="006D6727">
        <w:rPr>
          <w:noProof/>
        </w:rPr>
        <w:t>ine-of-</w:t>
      </w:r>
      <w:r w:rsidR="00A8613D" w:rsidRPr="006D6727">
        <w:rPr>
          <w:noProof/>
        </w:rPr>
        <w:t>s</w:t>
      </w:r>
      <w:r w:rsidR="002234F3" w:rsidRPr="006D6727">
        <w:rPr>
          <w:noProof/>
        </w:rPr>
        <w:t xml:space="preserve">ight (LOS) coupling </w:t>
      </w:r>
      <w:r w:rsidRPr="006D6727">
        <w:rPr>
          <w:noProof/>
        </w:rPr>
        <w:t>for</w:t>
      </w:r>
      <w:r w:rsidR="00A21F2E" w:rsidRPr="006D6727">
        <w:rPr>
          <w:noProof/>
        </w:rPr>
        <w:t xml:space="preserve"> both,</w:t>
      </w:r>
      <w:r w:rsidR="002234F3" w:rsidRPr="006D6727">
        <w:rPr>
          <w:noProof/>
        </w:rPr>
        <w:t xml:space="preserve"> </w:t>
      </w:r>
      <w:r w:rsidRPr="006D6727">
        <w:rPr>
          <w:noProof/>
        </w:rPr>
        <w:t xml:space="preserve">the </w:t>
      </w:r>
      <w:r w:rsidR="002234F3" w:rsidRPr="006D6727">
        <w:rPr>
          <w:noProof/>
        </w:rPr>
        <w:t xml:space="preserve">LPR reflected </w:t>
      </w:r>
      <w:r w:rsidRPr="006D6727">
        <w:rPr>
          <w:noProof/>
        </w:rPr>
        <w:t>component</w:t>
      </w:r>
      <w:r w:rsidR="002234F3" w:rsidRPr="006D6727">
        <w:rPr>
          <w:noProof/>
        </w:rPr>
        <w:t xml:space="preserve"> </w:t>
      </w:r>
      <w:r w:rsidRPr="006D6727">
        <w:rPr>
          <w:noProof/>
        </w:rPr>
        <w:t>and the side-lobe component towards the</w:t>
      </w:r>
      <w:r w:rsidR="002234F3" w:rsidRPr="006D6727">
        <w:rPr>
          <w:noProof/>
        </w:rPr>
        <w:t xml:space="preserve"> victim </w:t>
      </w:r>
      <w:r w:rsidRPr="006D6727">
        <w:rPr>
          <w:noProof/>
        </w:rPr>
        <w:t>receiver</w:t>
      </w:r>
      <w:r w:rsidR="002234F3" w:rsidRPr="006D6727">
        <w:rPr>
          <w:noProof/>
        </w:rPr>
        <w:t>.</w:t>
      </w:r>
      <w:r w:rsidR="003B1140" w:rsidRPr="006D6727">
        <w:rPr>
          <w:noProof/>
        </w:rPr>
        <w:t xml:space="preserve"> </w:t>
      </w:r>
      <w:r w:rsidR="002234F3" w:rsidRPr="006D6727">
        <w:rPr>
          <w:rStyle w:val="ECCParagraph"/>
          <w:noProof/>
        </w:rPr>
        <w:t xml:space="preserve">This means that </w:t>
      </w:r>
      <w:r w:rsidR="00B25581" w:rsidRPr="006D6727">
        <w:rPr>
          <w:rStyle w:val="ECCParagraph"/>
          <w:noProof/>
        </w:rPr>
        <w:t xml:space="preserve">the </w:t>
      </w:r>
      <w:r w:rsidR="001A36BB" w:rsidRPr="006D6727">
        <w:rPr>
          <w:rStyle w:val="ECCParagraph"/>
          <w:noProof/>
        </w:rPr>
        <w:t>f</w:t>
      </w:r>
      <w:r w:rsidR="002234F3" w:rsidRPr="006D6727">
        <w:rPr>
          <w:rStyle w:val="ECCParagraph"/>
          <w:noProof/>
        </w:rPr>
        <w:t>ree</w:t>
      </w:r>
      <w:r w:rsidR="00B25581" w:rsidRPr="006D6727">
        <w:rPr>
          <w:rStyle w:val="ECCParagraph"/>
          <w:noProof/>
        </w:rPr>
        <w:t>-</w:t>
      </w:r>
      <w:r w:rsidR="001A36BB" w:rsidRPr="006D6727">
        <w:rPr>
          <w:rStyle w:val="ECCParagraph"/>
          <w:noProof/>
        </w:rPr>
        <w:t>s</w:t>
      </w:r>
      <w:r w:rsidR="002234F3" w:rsidRPr="006D6727">
        <w:rPr>
          <w:rStyle w:val="ECCParagraph"/>
          <w:noProof/>
        </w:rPr>
        <w:t>pace</w:t>
      </w:r>
      <w:r w:rsidR="001A36BB" w:rsidRPr="006D6727">
        <w:rPr>
          <w:rStyle w:val="ECCParagraph"/>
          <w:noProof/>
        </w:rPr>
        <w:t xml:space="preserve"> </w:t>
      </w:r>
      <w:r w:rsidR="00B25581" w:rsidRPr="006D6727">
        <w:rPr>
          <w:rStyle w:val="ECCParagraph"/>
          <w:noProof/>
        </w:rPr>
        <w:t xml:space="preserve">propagation </w:t>
      </w:r>
      <w:r w:rsidR="002234F3" w:rsidRPr="006D6727">
        <w:rPr>
          <w:rStyle w:val="ECCParagraph"/>
          <w:noProof/>
        </w:rPr>
        <w:t xml:space="preserve">model could be applied to model </w:t>
      </w:r>
      <w:r w:rsidR="001A36BB" w:rsidRPr="006D6727">
        <w:rPr>
          <w:rStyle w:val="ECCParagraph"/>
          <w:noProof/>
        </w:rPr>
        <w:t xml:space="preserve">the </w:t>
      </w:r>
      <w:r w:rsidR="002234F3" w:rsidRPr="006D6727">
        <w:rPr>
          <w:rStyle w:val="ECCParagraph"/>
          <w:noProof/>
        </w:rPr>
        <w:t xml:space="preserve">propagation of </w:t>
      </w:r>
      <w:r w:rsidR="00B422F6" w:rsidRPr="006D6727">
        <w:rPr>
          <w:rStyle w:val="ECCParagraph"/>
          <w:noProof/>
        </w:rPr>
        <w:t xml:space="preserve">the </w:t>
      </w:r>
      <w:r w:rsidR="002234F3" w:rsidRPr="006D6727">
        <w:rPr>
          <w:rStyle w:val="ECCParagraph"/>
          <w:noProof/>
        </w:rPr>
        <w:t xml:space="preserve">interfering signal over </w:t>
      </w:r>
      <w:r w:rsidR="00B422F6" w:rsidRPr="006D6727">
        <w:rPr>
          <w:rStyle w:val="ECCParagraph"/>
          <w:noProof/>
        </w:rPr>
        <w:t xml:space="preserve">a </w:t>
      </w:r>
      <w:r w:rsidR="002234F3" w:rsidRPr="006D6727">
        <w:rPr>
          <w:rStyle w:val="ECCParagraph"/>
          <w:noProof/>
        </w:rPr>
        <w:t>flat path</w:t>
      </w:r>
      <w:r w:rsidR="00B422F6" w:rsidRPr="006D6727">
        <w:rPr>
          <w:rStyle w:val="ECCParagraph"/>
          <w:noProof/>
        </w:rPr>
        <w:t xml:space="preserve"> over the earth's surface</w:t>
      </w:r>
      <w:r w:rsidR="001A36BB" w:rsidRPr="006D6727">
        <w:rPr>
          <w:rStyle w:val="ECCParagraph"/>
          <w:noProof/>
        </w:rPr>
        <w:t xml:space="preserve"> without the presence of obstacles</w:t>
      </w:r>
      <w:r w:rsidR="002234F3" w:rsidRPr="006D6727">
        <w:rPr>
          <w:rStyle w:val="ECCParagraph"/>
          <w:noProof/>
        </w:rPr>
        <w:t>.</w:t>
      </w:r>
      <w:r w:rsidR="002234F3" w:rsidRPr="006D6727">
        <w:rPr>
          <w:noProof/>
        </w:rPr>
        <w:t xml:space="preserve"> This, in turn, makes it unnecessary to consider </w:t>
      </w:r>
      <w:r w:rsidR="001A36BB" w:rsidRPr="006D6727">
        <w:rPr>
          <w:noProof/>
        </w:rPr>
        <w:t xml:space="preserve">the </w:t>
      </w:r>
      <w:r w:rsidR="002234F3" w:rsidRPr="006D6727">
        <w:rPr>
          <w:noProof/>
        </w:rPr>
        <w:t xml:space="preserve">heights of </w:t>
      </w:r>
      <w:r w:rsidR="001A36BB" w:rsidRPr="006D6727">
        <w:rPr>
          <w:noProof/>
        </w:rPr>
        <w:t>the LPR antenna, the reflec</w:t>
      </w:r>
      <w:r w:rsidR="00F03D1E" w:rsidRPr="006D6727">
        <w:rPr>
          <w:noProof/>
        </w:rPr>
        <w:t>ting point</w:t>
      </w:r>
      <w:r w:rsidR="002234F3" w:rsidRPr="006D6727">
        <w:rPr>
          <w:noProof/>
        </w:rPr>
        <w:t xml:space="preserve"> and </w:t>
      </w:r>
      <w:r w:rsidR="00F03D1E" w:rsidRPr="006D6727">
        <w:rPr>
          <w:noProof/>
        </w:rPr>
        <w:t xml:space="preserve">the </w:t>
      </w:r>
      <w:r w:rsidR="002234F3" w:rsidRPr="006D6727">
        <w:rPr>
          <w:noProof/>
        </w:rPr>
        <w:t xml:space="preserve">victim station’s antenna. However, this initial simplification </w:t>
      </w:r>
      <w:r w:rsidR="001A36BB" w:rsidRPr="006D6727">
        <w:rPr>
          <w:noProof/>
        </w:rPr>
        <w:t>could</w:t>
      </w:r>
      <w:r w:rsidR="002234F3" w:rsidRPr="006D6727">
        <w:rPr>
          <w:noProof/>
        </w:rPr>
        <w:t xml:space="preserve"> later </w:t>
      </w:r>
      <w:r w:rsidR="001A36BB" w:rsidRPr="006D6727">
        <w:rPr>
          <w:noProof/>
        </w:rPr>
        <w:t>be refined</w:t>
      </w:r>
      <w:r w:rsidR="002234F3" w:rsidRPr="006D6727">
        <w:rPr>
          <w:noProof/>
        </w:rPr>
        <w:t xml:space="preserve"> in the light of </w:t>
      </w:r>
      <w:r w:rsidR="001A36BB" w:rsidRPr="006D6727">
        <w:rPr>
          <w:noProof/>
        </w:rPr>
        <w:t xml:space="preserve">the </w:t>
      </w:r>
      <w:r w:rsidR="002234F3" w:rsidRPr="006D6727">
        <w:rPr>
          <w:noProof/>
        </w:rPr>
        <w:t>calculated interference range.</w:t>
      </w:r>
    </w:p>
    <w:p w14:paraId="15FE1E21" w14:textId="1823B801" w:rsidR="002234F3" w:rsidRPr="006D6727" w:rsidRDefault="002234F3" w:rsidP="00FC7A0F">
      <w:pPr>
        <w:rPr>
          <w:rStyle w:val="ECCParagraph"/>
          <w:noProof/>
        </w:rPr>
      </w:pPr>
      <w:r w:rsidRPr="006D6727">
        <w:rPr>
          <w:rStyle w:val="ECCParagraph"/>
          <w:noProof/>
        </w:rPr>
        <w:t xml:space="preserve">For example, if </w:t>
      </w:r>
      <w:r w:rsidR="00170E1E" w:rsidRPr="006D6727">
        <w:rPr>
          <w:rStyle w:val="ECCParagraph"/>
          <w:noProof/>
        </w:rPr>
        <w:t xml:space="preserve">the </w:t>
      </w:r>
      <w:r w:rsidRPr="006D6727">
        <w:rPr>
          <w:rStyle w:val="ECCParagraph"/>
          <w:noProof/>
        </w:rPr>
        <w:t xml:space="preserve">calculated interference distance for a given </w:t>
      </w:r>
      <w:r w:rsidR="009D5FA2">
        <w:rPr>
          <w:rStyle w:val="ECCParagraph"/>
          <w:noProof/>
        </w:rPr>
        <w:t>coexistence</w:t>
      </w:r>
      <w:r w:rsidRPr="006D6727">
        <w:rPr>
          <w:rStyle w:val="ECCParagraph"/>
          <w:noProof/>
        </w:rPr>
        <w:t xml:space="preserve"> case clearly excee</w:t>
      </w:r>
      <w:r w:rsidR="00A64DFF" w:rsidRPr="006D6727">
        <w:rPr>
          <w:rStyle w:val="ECCParagraph"/>
          <w:noProof/>
        </w:rPr>
        <w:t>ded</w:t>
      </w:r>
      <w:r w:rsidRPr="006D6727">
        <w:rPr>
          <w:rStyle w:val="ECCParagraph"/>
          <w:noProof/>
        </w:rPr>
        <w:t xml:space="preserve"> </w:t>
      </w:r>
      <w:r w:rsidR="00170E1E" w:rsidRPr="006D6727">
        <w:rPr>
          <w:rStyle w:val="ECCParagraph"/>
          <w:noProof/>
        </w:rPr>
        <w:t xml:space="preserve">the </w:t>
      </w:r>
      <w:r w:rsidRPr="006D6727">
        <w:rPr>
          <w:rStyle w:val="ECCParagraph"/>
          <w:noProof/>
        </w:rPr>
        <w:t xml:space="preserve">estimated radio horizon, this would mean </w:t>
      </w:r>
      <w:r w:rsidR="00A64DFF" w:rsidRPr="006D6727">
        <w:rPr>
          <w:rStyle w:val="ECCParagraph"/>
          <w:noProof/>
        </w:rPr>
        <w:t xml:space="preserve">that </w:t>
      </w:r>
      <w:r w:rsidR="00170E1E" w:rsidRPr="006D6727">
        <w:rPr>
          <w:rStyle w:val="ECCParagraph"/>
          <w:noProof/>
        </w:rPr>
        <w:t>n</w:t>
      </w:r>
      <w:r w:rsidRPr="006D6727">
        <w:rPr>
          <w:rStyle w:val="ECCParagraph"/>
          <w:noProof/>
        </w:rPr>
        <w:t xml:space="preserve">on-LOS propagation conditions </w:t>
      </w:r>
      <w:r w:rsidR="00A64DFF" w:rsidRPr="006D6727">
        <w:rPr>
          <w:rStyle w:val="ECCParagraph"/>
          <w:noProof/>
        </w:rPr>
        <w:t>predominate. This in turn would lead to the</w:t>
      </w:r>
      <w:r w:rsidRPr="006D6727">
        <w:rPr>
          <w:rStyle w:val="ECCParagraph"/>
          <w:noProof/>
        </w:rPr>
        <w:t xml:space="preserve"> requirement to apply different propagation model</w:t>
      </w:r>
      <w:r w:rsidR="00A64DFF" w:rsidRPr="006D6727">
        <w:rPr>
          <w:rStyle w:val="ECCParagraph"/>
          <w:noProof/>
        </w:rPr>
        <w:t>s</w:t>
      </w:r>
      <w:r w:rsidRPr="006D6727">
        <w:rPr>
          <w:rStyle w:val="ECCParagraph"/>
          <w:noProof/>
        </w:rPr>
        <w:t xml:space="preserve"> and </w:t>
      </w:r>
      <w:r w:rsidR="00A64DFF" w:rsidRPr="006D6727">
        <w:rPr>
          <w:rStyle w:val="ECCParagraph"/>
          <w:noProof/>
        </w:rPr>
        <w:t xml:space="preserve">potentially an </w:t>
      </w:r>
      <w:r w:rsidRPr="006D6727">
        <w:rPr>
          <w:rStyle w:val="ECCParagraph"/>
          <w:noProof/>
        </w:rPr>
        <w:t xml:space="preserve">unavoidable reduction of </w:t>
      </w:r>
      <w:r w:rsidR="001B2889" w:rsidRPr="006D6727">
        <w:rPr>
          <w:rStyle w:val="ECCParagraph"/>
          <w:noProof/>
        </w:rPr>
        <w:t xml:space="preserve">the </w:t>
      </w:r>
      <w:r w:rsidRPr="006D6727">
        <w:rPr>
          <w:rStyle w:val="ECCParagraph"/>
          <w:noProof/>
        </w:rPr>
        <w:t>actual interference range.</w:t>
      </w:r>
    </w:p>
    <w:p w14:paraId="50D68B2A" w14:textId="515EE46F" w:rsidR="000232FF" w:rsidRDefault="000232FF" w:rsidP="000232FF">
      <w:pPr>
        <w:rPr>
          <w:rStyle w:val="ECCParagraph"/>
          <w:noProof/>
        </w:rPr>
      </w:pPr>
      <w:r w:rsidRPr="006D6727">
        <w:rPr>
          <w:rStyle w:val="ECCParagraph"/>
          <w:noProof/>
        </w:rPr>
        <w:t xml:space="preserve">In this scenario it is very important whether LPR installations are located indoors or have any other similar roofed construction which attenuate both horizontal paths towards the victim receiver. As outlined in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_Ref9950079 \r \h  \* MERGEFORMAT </w:instrText>
      </w:r>
      <w:r w:rsidRPr="006D6727">
        <w:rPr>
          <w:rStyle w:val="ECCParagraph"/>
          <w:noProof/>
        </w:rPr>
      </w:r>
      <w:r w:rsidRPr="006D6727">
        <w:rPr>
          <w:rStyle w:val="ECCParagraph"/>
          <w:noProof/>
        </w:rPr>
        <w:fldChar w:fldCharType="separate"/>
      </w:r>
      <w:r w:rsidR="004F49F9">
        <w:rPr>
          <w:rStyle w:val="ECCParagraph"/>
          <w:noProof/>
        </w:rPr>
        <w:t>2.2.5.5</w:t>
      </w:r>
      <w:r w:rsidRPr="006D6727">
        <w:rPr>
          <w:rStyle w:val="ECCParagraph"/>
          <w:noProof/>
        </w:rPr>
        <w:fldChar w:fldCharType="end"/>
      </w:r>
      <w:r w:rsidRPr="006D6727">
        <w:rPr>
          <w:rStyle w:val="ECCParagraph"/>
          <w:noProof/>
        </w:rPr>
        <w:t xml:space="preserve"> calculations shall assume that 90</w:t>
      </w:r>
      <w:r w:rsidR="00F800A2">
        <w:rPr>
          <w:rStyle w:val="ECCParagraph"/>
          <w:noProof/>
        </w:rPr>
        <w:t>%</w:t>
      </w:r>
      <w:r w:rsidRPr="006D6727">
        <w:rPr>
          <w:rStyle w:val="ECCParagraph"/>
          <w:noProof/>
        </w:rPr>
        <w:t xml:space="preserve"> of all LPRs are actually installed indoors. When performing a probabilistic analysis and aggregation effects an appropriate </w:t>
      </w:r>
      <w:r w:rsidR="0073228B" w:rsidRPr="006D6727">
        <w:rPr>
          <w:rStyle w:val="ECCParagraph"/>
          <w:noProof/>
        </w:rPr>
        <w:t>building</w:t>
      </w:r>
      <w:r w:rsidRPr="006D6727">
        <w:rPr>
          <w:rStyle w:val="ECCParagraph"/>
          <w:noProof/>
        </w:rPr>
        <w:t xml:space="preserve"> attenuation shall be taken into account.</w:t>
      </w:r>
    </w:p>
    <w:p w14:paraId="51A5A66B" w14:textId="035AA553" w:rsidR="00B76403" w:rsidRDefault="00B76403" w:rsidP="00B76403">
      <w:pPr>
        <w:rPr>
          <w:rStyle w:val="ECCParagraph"/>
        </w:rPr>
      </w:pPr>
      <w:r>
        <w:rPr>
          <w:rStyle w:val="ECCParagraph"/>
        </w:rPr>
        <w:t xml:space="preserve">For Fixed Service links, dedicated interference scenarios have been developed describing a typical situation where a Fixed Service transmitter attached to a light pole is linked </w:t>
      </w:r>
      <w:r w:rsidR="00F47F8E">
        <w:rPr>
          <w:rStyle w:val="ECCParagraph"/>
        </w:rPr>
        <w:t xml:space="preserve">to </w:t>
      </w:r>
      <w:r>
        <w:rPr>
          <w:rStyle w:val="ECCParagraph"/>
        </w:rPr>
        <w:t xml:space="preserve">a receiver located on top of a building and vice versa (see </w:t>
      </w:r>
      <w:r w:rsidR="003A1F1B">
        <w:rPr>
          <w:rStyle w:val="ECCParagraph"/>
        </w:rPr>
        <w:fldChar w:fldCharType="begin"/>
      </w:r>
      <w:r w:rsidR="003A1F1B">
        <w:rPr>
          <w:rStyle w:val="ECCParagraph"/>
        </w:rPr>
        <w:instrText xml:space="preserve"> REF _Ref44407438 \h </w:instrText>
      </w:r>
      <w:r w:rsidR="003A1F1B">
        <w:rPr>
          <w:rStyle w:val="ECCParagraph"/>
        </w:rPr>
      </w:r>
      <w:r w:rsidR="003A1F1B">
        <w:rPr>
          <w:rStyle w:val="ECCParagraph"/>
        </w:rPr>
        <w:fldChar w:fldCharType="separate"/>
      </w:r>
      <w:r w:rsidR="004F49F9">
        <w:t xml:space="preserve">Figure </w:t>
      </w:r>
      <w:r w:rsidR="004F49F9">
        <w:rPr>
          <w:noProof/>
        </w:rPr>
        <w:t>38</w:t>
      </w:r>
      <w:r w:rsidR="003A1F1B">
        <w:rPr>
          <w:rStyle w:val="ECCParagraph"/>
        </w:rPr>
        <w:fldChar w:fldCharType="end"/>
      </w:r>
      <w:r>
        <w:rPr>
          <w:rStyle w:val="ECCParagraph"/>
        </w:rPr>
        <w:t xml:space="preserve"> and </w:t>
      </w:r>
      <w:r w:rsidR="003A1F1B">
        <w:rPr>
          <w:rStyle w:val="ECCParagraph"/>
        </w:rPr>
        <w:fldChar w:fldCharType="begin"/>
      </w:r>
      <w:r w:rsidR="003A1F1B">
        <w:rPr>
          <w:rStyle w:val="ECCParagraph"/>
        </w:rPr>
        <w:instrText xml:space="preserve"> REF _Ref44407491 \h </w:instrText>
      </w:r>
      <w:r w:rsidR="003A1F1B">
        <w:rPr>
          <w:rStyle w:val="ECCParagraph"/>
        </w:rPr>
      </w:r>
      <w:r w:rsidR="003A1F1B">
        <w:rPr>
          <w:rStyle w:val="ECCParagraph"/>
        </w:rPr>
        <w:fldChar w:fldCharType="separate"/>
      </w:r>
      <w:r w:rsidR="004F49F9">
        <w:t xml:space="preserve">Figure </w:t>
      </w:r>
      <w:r w:rsidR="004F49F9">
        <w:rPr>
          <w:noProof/>
        </w:rPr>
        <w:t>39</w:t>
      </w:r>
      <w:r w:rsidR="003A1F1B">
        <w:rPr>
          <w:rStyle w:val="ECCParagraph"/>
        </w:rPr>
        <w:fldChar w:fldCharType="end"/>
      </w:r>
      <w:r>
        <w:rPr>
          <w:rStyle w:val="ECCParagraph"/>
        </w:rPr>
        <w:t>).</w:t>
      </w:r>
    </w:p>
    <w:p w14:paraId="5AEE40BE" w14:textId="77777777" w:rsidR="00FC471D" w:rsidRPr="00FC471D" w:rsidRDefault="009855D4" w:rsidP="00DE33C1">
      <w:pPr>
        <w:jc w:val="center"/>
      </w:pPr>
      <w:r w:rsidRPr="009855D4">
        <w:rPr>
          <w:noProof/>
          <w:lang w:val="de-DE" w:eastAsia="de-DE"/>
        </w:rPr>
        <w:drawing>
          <wp:inline distT="0" distB="0" distL="0" distR="0" wp14:anchorId="4EACC6BD" wp14:editId="56FDBF8E">
            <wp:extent cx="5873262" cy="19882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95589" cy="1995778"/>
                    </a:xfrm>
                    <a:prstGeom prst="rect">
                      <a:avLst/>
                    </a:prstGeom>
                  </pic:spPr>
                </pic:pic>
              </a:graphicData>
            </a:graphic>
          </wp:inline>
        </w:drawing>
      </w:r>
    </w:p>
    <w:p w14:paraId="0136AC1E" w14:textId="4EBC4B76" w:rsidR="00FC471D" w:rsidRPr="00FC471D" w:rsidRDefault="00FC471D" w:rsidP="00FC471D">
      <w:pPr>
        <w:pStyle w:val="Caption"/>
        <w:rPr>
          <w:rStyle w:val="ECCParagraph"/>
        </w:rPr>
      </w:pPr>
      <w:bookmarkStart w:id="241" w:name="_Ref44407438"/>
      <w:r>
        <w:t xml:space="preserve">Figure </w:t>
      </w:r>
      <w:r w:rsidR="00E55534">
        <w:fldChar w:fldCharType="begin"/>
      </w:r>
      <w:r w:rsidR="00E55534">
        <w:instrText>SEQ Figure \* ARABIC  \* MERGEFORMAT</w:instrText>
      </w:r>
      <w:r w:rsidR="00E55534">
        <w:fldChar w:fldCharType="separate"/>
      </w:r>
      <w:r w:rsidR="004F49F9">
        <w:rPr>
          <w:noProof/>
        </w:rPr>
        <w:t>38</w:t>
      </w:r>
      <w:r w:rsidR="00E55534">
        <w:rPr>
          <w:noProof/>
        </w:rPr>
        <w:fldChar w:fldCharType="end"/>
      </w:r>
      <w:bookmarkEnd w:id="241"/>
      <w:r w:rsidRPr="00FC471D">
        <w:t xml:space="preserve">: </w:t>
      </w:r>
      <w:r w:rsidR="009A2BB1">
        <w:t>LPR secenario</w:t>
      </w:r>
      <w:r w:rsidR="001A1868">
        <w:t> </w:t>
      </w:r>
      <w:r w:rsidR="009A2BB1">
        <w:t xml:space="preserve">1: </w:t>
      </w:r>
      <w:r>
        <w:rPr>
          <w:rStyle w:val="ECCParagraph"/>
        </w:rPr>
        <w:t>Light pole</w:t>
      </w:r>
      <w:r w:rsidRPr="00FC471D">
        <w:rPr>
          <w:rStyle w:val="ECCParagraph"/>
        </w:rPr>
        <w:t xml:space="preserve"> connected to a building by means of a</w:t>
      </w:r>
      <w:r w:rsidR="00227F57">
        <w:rPr>
          <w:rStyle w:val="ECCParagraph"/>
        </w:rPr>
        <w:t>n</w:t>
      </w:r>
      <w:r w:rsidRPr="00FC471D">
        <w:rPr>
          <w:rStyle w:val="ECCParagraph"/>
        </w:rPr>
        <w:t xml:space="preserve"> FS link – FS Rx on building</w:t>
      </w:r>
    </w:p>
    <w:p w14:paraId="2975AE60" w14:textId="56759382" w:rsidR="00D26849" w:rsidRDefault="00FC471D" w:rsidP="00FC471D">
      <w:r w:rsidRPr="00FC471D">
        <w:t xml:space="preserve">In </w:t>
      </w:r>
      <w:r>
        <w:t xml:space="preserve">the first </w:t>
      </w:r>
      <w:r w:rsidRPr="00FC471D">
        <w:t>scenario (</w:t>
      </w:r>
      <w:r>
        <w:t xml:space="preserve">see </w:t>
      </w:r>
      <w:r>
        <w:fldChar w:fldCharType="begin"/>
      </w:r>
      <w:r>
        <w:instrText xml:space="preserve"> REF _Ref44407438 \h </w:instrText>
      </w:r>
      <w:r>
        <w:fldChar w:fldCharType="separate"/>
      </w:r>
      <w:r w:rsidR="004F49F9">
        <w:t xml:space="preserve">Figure </w:t>
      </w:r>
      <w:r w:rsidR="004F49F9">
        <w:rPr>
          <w:noProof/>
        </w:rPr>
        <w:t>38</w:t>
      </w:r>
      <w:r>
        <w:fldChar w:fldCharType="end"/>
      </w:r>
      <w:r w:rsidRPr="00FC471D">
        <w:t>) the LPR device is placed at the location of the FS Tx, thus in 300 m distance from the FS Rx. The height of the LPR device above ground shall be 5 m. This means in fact that the LPR is located exactly 1 m below the FS Tx antenna.</w:t>
      </w:r>
    </w:p>
    <w:p w14:paraId="22AF6A8D" w14:textId="77777777" w:rsidR="00D26849" w:rsidRPr="00253B01" w:rsidRDefault="00D26849" w:rsidP="00D26849">
      <w:r w:rsidRPr="00253B01">
        <w:t>In this scenario two interference components can be distinguished:</w:t>
      </w:r>
    </w:p>
    <w:p w14:paraId="3E9761C0" w14:textId="77777777" w:rsidR="00D26849" w:rsidRPr="00253B01" w:rsidRDefault="00D26849" w:rsidP="00D26849">
      <w:pPr>
        <w:pStyle w:val="ECCBulletsLv1"/>
      </w:pPr>
      <w:r w:rsidRPr="00253B01">
        <w:t>Direct interference through emission over a sidelobe of the LPR antenna (angle ξ = 93</w:t>
      </w:r>
      <w:r w:rsidR="00CF4994">
        <w:t>.8</w:t>
      </w:r>
      <w:r w:rsidRPr="00253B01">
        <w:t>1°).</w:t>
      </w:r>
    </w:p>
    <w:p w14:paraId="508DDF9F" w14:textId="77777777" w:rsidR="00D26849" w:rsidRDefault="00D26849" w:rsidP="00D26849">
      <w:pPr>
        <w:pStyle w:val="ECCBulletsLv1"/>
      </w:pPr>
      <w:r w:rsidRPr="00253B01">
        <w:t>Interference through emission over the reflected sidelobe of the LPR antenna (angle ζ = 19</w:t>
      </w:r>
      <w:r w:rsidR="00CF4994">
        <w:t>.7</w:t>
      </w:r>
      <w:r w:rsidRPr="00253B01">
        <w:t>1°) at the sand surface.</w:t>
      </w:r>
    </w:p>
    <w:p w14:paraId="6DC8C940" w14:textId="1EFEACF4" w:rsidR="001846F5" w:rsidRDefault="00FC471D" w:rsidP="00FE4024">
      <w:r w:rsidRPr="00FC471D">
        <w:t xml:space="preserve">The reflection at the sand surface </w:t>
      </w:r>
      <w:r w:rsidR="00253B01">
        <w:t xml:space="preserve">caused by a sidelobe of the LPR </w:t>
      </w:r>
      <w:r w:rsidRPr="00FC471D">
        <w:t>shall occur in 2</w:t>
      </w:r>
      <w:r w:rsidR="00CF4994">
        <w:t>.5</w:t>
      </w:r>
      <w:r w:rsidRPr="00FC471D">
        <w:t> m height</w:t>
      </w:r>
      <w:r w:rsidR="00253B01">
        <w:t xml:space="preserve"> and under </w:t>
      </w:r>
      <w:r w:rsidR="00D26849">
        <w:t>an</w:t>
      </w:r>
      <w:r w:rsidR="00253B01">
        <w:t xml:space="preserve"> angle </w:t>
      </w:r>
      <w:r w:rsidR="00253B01">
        <w:rPr>
          <w:rFonts w:cs="Arial"/>
        </w:rPr>
        <w:t>ζ</w:t>
      </w:r>
      <w:r w:rsidR="00253B01">
        <w:t xml:space="preserve"> so that the reflected component is directly aligned towards the FS receiver</w:t>
      </w:r>
      <w:r w:rsidR="00485D77">
        <w:t xml:space="preserve"> on top of the building</w:t>
      </w:r>
      <w:r w:rsidRPr="00FC471D">
        <w:t>. All LPR devices are expected to be placed between 0</w:t>
      </w:r>
      <w:r w:rsidR="00CF4994">
        <w:t>.5</w:t>
      </w:r>
      <w:r w:rsidRPr="00FC471D">
        <w:t xml:space="preserve"> and 10 m above ground whereas the majority (90</w:t>
      </w:r>
      <w:r w:rsidR="00F800A2">
        <w:t>%</w:t>
      </w:r>
      <w:r w:rsidRPr="00FC471D">
        <w:t>) is expected to be placed in heights from 0</w:t>
      </w:r>
      <w:r w:rsidR="00CF4994">
        <w:t>.5</w:t>
      </w:r>
      <w:r w:rsidRPr="00FC471D">
        <w:t xml:space="preserve"> to 5 m (see </w:t>
      </w:r>
      <w:r w:rsidR="009D5FA2">
        <w:t>section</w:t>
      </w:r>
      <w:r w:rsidRPr="00FC471D">
        <w:t xml:space="preserve"> </w:t>
      </w:r>
      <w:r w:rsidR="00EB2E12">
        <w:fldChar w:fldCharType="begin"/>
      </w:r>
      <w:r w:rsidR="00EB2E12">
        <w:instrText xml:space="preserve"> REF _Ref45619348 \r \h </w:instrText>
      </w:r>
      <w:r w:rsidR="00EB2E12">
        <w:fldChar w:fldCharType="separate"/>
      </w:r>
      <w:r w:rsidR="004F49F9">
        <w:t>2.2.5.1</w:t>
      </w:r>
      <w:r w:rsidR="00EB2E12">
        <w:fldChar w:fldCharType="end"/>
      </w:r>
      <w:r w:rsidRPr="00FC471D">
        <w:t>).</w:t>
      </w:r>
    </w:p>
    <w:p w14:paraId="4ADD8B12" w14:textId="77777777" w:rsidR="001846F5" w:rsidRPr="001846F5" w:rsidRDefault="001846F5" w:rsidP="00F713F7">
      <w:pPr>
        <w:pStyle w:val="ECCBulletsLv1"/>
        <w:numPr>
          <w:ilvl w:val="0"/>
          <w:numId w:val="0"/>
        </w:numPr>
        <w:spacing w:before="240" w:after="60"/>
      </w:pPr>
      <w:r w:rsidRPr="001846F5">
        <w:t>The two interference components are first calculated separately and then an ideal power summation is performed.</w:t>
      </w:r>
    </w:p>
    <w:p w14:paraId="302CFDE4" w14:textId="73EB9359" w:rsidR="00924959" w:rsidRDefault="00924959" w:rsidP="00924959">
      <w:r w:rsidRPr="00924959">
        <w:t xml:space="preserve">In contrast to </w:t>
      </w:r>
      <w:r>
        <w:t xml:space="preserve">the first </w:t>
      </w:r>
      <w:r w:rsidRPr="00924959">
        <w:t xml:space="preserve">scenario the locations of FS Rx and Tx are exchanged in </w:t>
      </w:r>
      <w:r>
        <w:t xml:space="preserve">the second </w:t>
      </w:r>
      <w:r w:rsidRPr="00924959">
        <w:t>scenario (</w:t>
      </w:r>
      <w:r>
        <w:t xml:space="preserve">see </w:t>
      </w:r>
      <w:r>
        <w:fldChar w:fldCharType="begin"/>
      </w:r>
      <w:r>
        <w:instrText xml:space="preserve"> REF _Ref44407491 \h </w:instrText>
      </w:r>
      <w:r>
        <w:fldChar w:fldCharType="separate"/>
      </w:r>
      <w:r w:rsidR="004F49F9">
        <w:t xml:space="preserve">Figure </w:t>
      </w:r>
      <w:r w:rsidR="004F49F9">
        <w:rPr>
          <w:noProof/>
        </w:rPr>
        <w:t>39</w:t>
      </w:r>
      <w:r>
        <w:fldChar w:fldCharType="end"/>
      </w:r>
      <w:r w:rsidRPr="00924959">
        <w:t xml:space="preserve">) and the LPR sensor shall be installed this time in the same height (6 m) as the FS Rx. The distance between FS Rx and FS Tx is again 300 m and also the separation distance between the LPR device and the FS Rx is again 300 m resulting in the lowest angle β, which </w:t>
      </w:r>
      <w:r>
        <w:t>yields</w:t>
      </w:r>
      <w:r w:rsidRPr="00924959">
        <w:t xml:space="preserve"> in this example 0</w:t>
      </w:r>
      <w:r w:rsidR="00CF4994">
        <w:t>.6</w:t>
      </w:r>
      <w:r w:rsidRPr="00924959">
        <w:t>7°.</w:t>
      </w:r>
    </w:p>
    <w:p w14:paraId="4914F130" w14:textId="77777777" w:rsidR="00D26849" w:rsidRPr="00D26849" w:rsidRDefault="00D26849" w:rsidP="00D26849">
      <w:r w:rsidRPr="00D26849">
        <w:t>In this scenario again the following two interference components can be distinguished:</w:t>
      </w:r>
    </w:p>
    <w:p w14:paraId="4375A4B7" w14:textId="77777777" w:rsidR="00D26849" w:rsidRPr="00D26849" w:rsidRDefault="00D26849" w:rsidP="00D26849">
      <w:pPr>
        <w:pStyle w:val="ECCBulletsLv1"/>
      </w:pPr>
      <w:r w:rsidRPr="00D26849">
        <w:t>Direct interference through emission over a sidelobe of the LPR antenna (angle 90°).</w:t>
      </w:r>
    </w:p>
    <w:p w14:paraId="133CD800" w14:textId="77777777" w:rsidR="00D26849" w:rsidRPr="00D26849" w:rsidRDefault="00D26849" w:rsidP="00D26849">
      <w:pPr>
        <w:pStyle w:val="ECCBulletsLv1"/>
      </w:pPr>
      <w:r w:rsidRPr="00D26849">
        <w:t>Interference through emission over the reflected sidelobe of the LPR antenna (angle ζ = 23</w:t>
      </w:r>
      <w:r w:rsidR="00CF4994">
        <w:t>.3</w:t>
      </w:r>
      <w:r w:rsidRPr="00D26849">
        <w:t>3°) at the sand surface.</w:t>
      </w:r>
    </w:p>
    <w:p w14:paraId="20373179" w14:textId="77777777" w:rsidR="00D26849" w:rsidRDefault="00D26849" w:rsidP="00924959">
      <w:r w:rsidRPr="00FC471D">
        <w:t xml:space="preserve">The reflection at the sand surface </w:t>
      </w:r>
      <w:r>
        <w:t xml:space="preserve">caused by a sidelobe of the LPR </w:t>
      </w:r>
      <w:r w:rsidRPr="00FC471D">
        <w:t>shall occur</w:t>
      </w:r>
      <w:r>
        <w:t xml:space="preserve"> again</w:t>
      </w:r>
      <w:r w:rsidRPr="00FC471D">
        <w:t xml:space="preserve"> in 2</w:t>
      </w:r>
      <w:r w:rsidR="00CF4994">
        <w:t>.5</w:t>
      </w:r>
      <w:r w:rsidRPr="00FC471D">
        <w:t> m height</w:t>
      </w:r>
      <w:r>
        <w:t xml:space="preserve"> and under an angle </w:t>
      </w:r>
      <w:r w:rsidRPr="00D26849">
        <w:t>ζ</w:t>
      </w:r>
      <w:r>
        <w:t xml:space="preserve"> so that the reflected component is directly aligned towards the FS receiver attached to the light pole</w:t>
      </w:r>
      <w:r w:rsidRPr="00FC471D">
        <w:t>.</w:t>
      </w:r>
    </w:p>
    <w:p w14:paraId="0071AEA6" w14:textId="77777777" w:rsidR="009855D4" w:rsidRPr="00924959" w:rsidRDefault="001709B9" w:rsidP="00924959">
      <w:r w:rsidRPr="001709B9">
        <w:rPr>
          <w:noProof/>
          <w:lang w:val="de-DE" w:eastAsia="de-DE"/>
        </w:rPr>
        <w:drawing>
          <wp:inline distT="0" distB="0" distL="0" distR="0" wp14:anchorId="22785D6D" wp14:editId="7EA4DEE2">
            <wp:extent cx="6120765" cy="19075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765" cy="1907540"/>
                    </a:xfrm>
                    <a:prstGeom prst="rect">
                      <a:avLst/>
                    </a:prstGeom>
                  </pic:spPr>
                </pic:pic>
              </a:graphicData>
            </a:graphic>
          </wp:inline>
        </w:drawing>
      </w:r>
    </w:p>
    <w:p w14:paraId="2445D8EB" w14:textId="5C56E013" w:rsidR="00924959" w:rsidRPr="00924959" w:rsidRDefault="00924959" w:rsidP="00924959">
      <w:pPr>
        <w:pStyle w:val="Caption"/>
        <w:rPr>
          <w:rStyle w:val="ECCParagraph"/>
        </w:rPr>
      </w:pPr>
      <w:bookmarkStart w:id="242" w:name="_Ref44407491"/>
      <w:r>
        <w:t xml:space="preserve">Figure </w:t>
      </w:r>
      <w:r w:rsidR="00E55534">
        <w:fldChar w:fldCharType="begin"/>
      </w:r>
      <w:r w:rsidR="00E55534">
        <w:instrText>SEQ Figure \* ARABIC  \* MERGEFORMAT</w:instrText>
      </w:r>
      <w:r w:rsidR="00E55534">
        <w:fldChar w:fldCharType="separate"/>
      </w:r>
      <w:r w:rsidR="004F49F9">
        <w:rPr>
          <w:noProof/>
        </w:rPr>
        <w:t>39</w:t>
      </w:r>
      <w:r w:rsidR="00E55534">
        <w:rPr>
          <w:noProof/>
        </w:rPr>
        <w:fldChar w:fldCharType="end"/>
      </w:r>
      <w:bookmarkEnd w:id="242"/>
      <w:r w:rsidRPr="00924959">
        <w:t xml:space="preserve">: </w:t>
      </w:r>
      <w:r w:rsidR="009A2BB1">
        <w:t>LPR scenario</w:t>
      </w:r>
      <w:r w:rsidR="001A1868">
        <w:t> </w:t>
      </w:r>
      <w:r w:rsidR="009A2BB1">
        <w:t xml:space="preserve">2: </w:t>
      </w:r>
      <w:r w:rsidR="00BB6BCC">
        <w:rPr>
          <w:rStyle w:val="ECCParagraph"/>
        </w:rPr>
        <w:t>Light pole</w:t>
      </w:r>
      <w:r w:rsidRPr="00924959">
        <w:rPr>
          <w:rStyle w:val="ECCParagraph"/>
        </w:rPr>
        <w:t xml:space="preserve"> connected to a building by means of a</w:t>
      </w:r>
      <w:r w:rsidR="00227F57">
        <w:rPr>
          <w:rStyle w:val="ECCParagraph"/>
        </w:rPr>
        <w:t>n</w:t>
      </w:r>
      <w:r w:rsidRPr="00924959">
        <w:rPr>
          <w:rStyle w:val="ECCParagraph"/>
        </w:rPr>
        <w:t xml:space="preserve"> FS link – FS Rx </w:t>
      </w:r>
      <w:r w:rsidR="00016831">
        <w:rPr>
          <w:rStyle w:val="ECCParagraph"/>
        </w:rPr>
        <w:t>at light pole</w:t>
      </w:r>
    </w:p>
    <w:p w14:paraId="269F7535" w14:textId="77777777" w:rsidR="00D26849" w:rsidRPr="00E61B4B" w:rsidRDefault="00BB6BCC" w:rsidP="00BB6BCC">
      <w:r w:rsidRPr="00E61B4B">
        <w:t xml:space="preserve">The two interference components are </w:t>
      </w:r>
      <w:r w:rsidR="00D26849">
        <w:t xml:space="preserve">again </w:t>
      </w:r>
      <w:r w:rsidRPr="00E61B4B">
        <w:t>calculated separately and then an ideal power summation is performed.</w:t>
      </w:r>
    </w:p>
    <w:p w14:paraId="4E603C52" w14:textId="77777777" w:rsidR="00247B20" w:rsidRPr="006D6727" w:rsidRDefault="00247B20" w:rsidP="00FC7A0F">
      <w:pPr>
        <w:rPr>
          <w:rStyle w:val="ECCHLbold"/>
          <w:noProof/>
        </w:rPr>
      </w:pPr>
      <w:r w:rsidRPr="006D6727">
        <w:rPr>
          <w:rStyle w:val="ECCHLbold"/>
          <w:noProof/>
        </w:rPr>
        <w:t>Interference to EESS (passive) satellite receivers</w:t>
      </w:r>
    </w:p>
    <w:p w14:paraId="5CF6F19D" w14:textId="77777777" w:rsidR="00992D41" w:rsidRPr="006D6727" w:rsidRDefault="00A266C9" w:rsidP="00A266C9">
      <w:pPr>
        <w:rPr>
          <w:rStyle w:val="ECCHLyellow"/>
          <w:noProof/>
        </w:rPr>
      </w:pPr>
      <w:r w:rsidRPr="006D6727">
        <w:rPr>
          <w:rStyle w:val="ECCParagraph"/>
          <w:noProof/>
        </w:rPr>
        <w:t xml:space="preserve">In case of interference to satellite receivers, the relevant radiation direction would be in vertical plane above </w:t>
      </w:r>
      <w:r w:rsidR="00D224E9" w:rsidRPr="006D6727">
        <w:rPr>
          <w:rStyle w:val="ECCParagraph"/>
          <w:noProof/>
        </w:rPr>
        <w:t xml:space="preserve">the </w:t>
      </w:r>
      <w:r w:rsidRPr="006D6727">
        <w:rPr>
          <w:rStyle w:val="ECCParagraph"/>
          <w:noProof/>
        </w:rPr>
        <w:t>LPR</w:t>
      </w:r>
      <w:r w:rsidR="00D224E9" w:rsidRPr="006D6727">
        <w:rPr>
          <w:rStyle w:val="ECCParagraph"/>
          <w:noProof/>
        </w:rPr>
        <w:t xml:space="preserve"> installation</w:t>
      </w:r>
      <w:r w:rsidR="00992D41" w:rsidRPr="006D6727">
        <w:rPr>
          <w:rStyle w:val="ECCParagraph"/>
          <w:noProof/>
        </w:rPr>
        <w:t xml:space="preserve"> and the worst-case scenario could be described as an open-air LPR installation over a calm (ripple-free) water surface. A c</w:t>
      </w:r>
      <w:r w:rsidRPr="006D6727">
        <w:rPr>
          <w:rStyle w:val="ECCParagraph"/>
          <w:noProof/>
        </w:rPr>
        <w:t xml:space="preserve">alm water surface would produce </w:t>
      </w:r>
      <w:r w:rsidR="00992D41" w:rsidRPr="006D6727">
        <w:rPr>
          <w:rStyle w:val="ECCParagraph"/>
          <w:noProof/>
        </w:rPr>
        <w:t xml:space="preserve">a </w:t>
      </w:r>
      <w:r w:rsidRPr="006D6727">
        <w:rPr>
          <w:rStyle w:val="ECCParagraph"/>
          <w:noProof/>
        </w:rPr>
        <w:t>non-scattered reflection with a low reflection loss</w:t>
      </w:r>
      <w:r w:rsidR="00992D41" w:rsidRPr="006D6727">
        <w:rPr>
          <w:rStyle w:val="ECCParagraph"/>
          <w:noProof/>
        </w:rPr>
        <w:t xml:space="preserve"> due to the high relative permittivity of water even in the higher frequency range </w:t>
      </w:r>
      <w:r w:rsidR="001C7617" w:rsidRPr="006D6727">
        <w:rPr>
          <w:rStyle w:val="ECCParagraph"/>
          <w:noProof/>
        </w:rPr>
        <w:t xml:space="preserve">above </w:t>
      </w:r>
      <w:r w:rsidR="00992D41" w:rsidRPr="006D6727">
        <w:rPr>
          <w:rStyle w:val="ECCParagraph"/>
          <w:noProof/>
        </w:rPr>
        <w:t>116</w:t>
      </w:r>
      <w:r w:rsidR="001C7617" w:rsidRPr="006D6727">
        <w:rPr>
          <w:rStyle w:val="ECCParagraph"/>
          <w:noProof/>
        </w:rPr>
        <w:t> </w:t>
      </w:r>
      <w:r w:rsidR="00992D41" w:rsidRPr="006D6727">
        <w:rPr>
          <w:rStyle w:val="ECCParagraph"/>
          <w:noProof/>
        </w:rPr>
        <w:t>GHz</w:t>
      </w:r>
      <w:r w:rsidRPr="006D6727">
        <w:rPr>
          <w:rStyle w:val="ECCParagraph"/>
          <w:noProof/>
        </w:rPr>
        <w:t>.</w:t>
      </w:r>
    </w:p>
    <w:p w14:paraId="089FF1B3" w14:textId="62CF5EC8" w:rsidR="0066400A" w:rsidRPr="006D6727" w:rsidRDefault="00686983" w:rsidP="00FC7A0F">
      <w:pPr>
        <w:rPr>
          <w:rStyle w:val="ECCHLbold"/>
          <w:noProof/>
        </w:rPr>
      </w:pPr>
      <w:r w:rsidRPr="006D6727">
        <w:rPr>
          <w:rStyle w:val="ECCParagraph"/>
          <w:noProof/>
        </w:rPr>
        <w:t>The</w:t>
      </w:r>
      <w:r w:rsidR="00A266C9" w:rsidRPr="006D6727">
        <w:rPr>
          <w:rStyle w:val="ECCParagraph"/>
          <w:noProof/>
        </w:rPr>
        <w:t xml:space="preserve"> studies in this Report </w:t>
      </w:r>
      <w:r w:rsidR="00623BC3" w:rsidRPr="006D6727">
        <w:rPr>
          <w:rStyle w:val="ECCParagraph"/>
          <w:noProof/>
        </w:rPr>
        <w:t>should</w:t>
      </w:r>
      <w:r w:rsidR="00A266C9" w:rsidRPr="006D6727">
        <w:rPr>
          <w:rStyle w:val="ECCParagraph"/>
          <w:noProof/>
        </w:rPr>
        <w:t xml:space="preserve"> consider both</w:t>
      </w:r>
      <w:r w:rsidR="00623BC3" w:rsidRPr="006D6727">
        <w:rPr>
          <w:rStyle w:val="ECCParagraph"/>
          <w:noProof/>
        </w:rPr>
        <w:t>,</w:t>
      </w:r>
      <w:r w:rsidR="00A266C9" w:rsidRPr="006D6727">
        <w:rPr>
          <w:rStyle w:val="ECCParagraph"/>
          <w:noProof/>
        </w:rPr>
        <w:t xml:space="preserve"> the direct radiation component from </w:t>
      </w:r>
      <w:r w:rsidR="00623BC3" w:rsidRPr="006D6727">
        <w:rPr>
          <w:rStyle w:val="ECCParagraph"/>
          <w:noProof/>
        </w:rPr>
        <w:t xml:space="preserve">the </w:t>
      </w:r>
      <w:r w:rsidR="00A266C9" w:rsidRPr="006D6727">
        <w:rPr>
          <w:rStyle w:val="ECCParagraph"/>
          <w:noProof/>
        </w:rPr>
        <w:t xml:space="preserve">LPR antenna’s back-lobe as well as </w:t>
      </w:r>
      <w:r w:rsidR="00623BC3" w:rsidRPr="006D6727">
        <w:rPr>
          <w:rStyle w:val="ECCParagraph"/>
          <w:noProof/>
        </w:rPr>
        <w:t>the</w:t>
      </w:r>
      <w:r w:rsidR="00A266C9" w:rsidRPr="006D6727">
        <w:rPr>
          <w:rStyle w:val="ECCParagraph"/>
          <w:noProof/>
        </w:rPr>
        <w:t xml:space="preserve"> reflected </w:t>
      </w:r>
      <w:r w:rsidR="00623BC3" w:rsidRPr="006D6727">
        <w:rPr>
          <w:rStyle w:val="ECCParagraph"/>
          <w:noProof/>
        </w:rPr>
        <w:t xml:space="preserve">signal </w:t>
      </w:r>
      <w:r w:rsidR="00A266C9" w:rsidRPr="006D6727">
        <w:rPr>
          <w:rStyle w:val="ECCParagraph"/>
          <w:noProof/>
        </w:rPr>
        <w:t xml:space="preserve">from </w:t>
      </w:r>
      <w:r w:rsidR="00623BC3" w:rsidRPr="006D6727">
        <w:rPr>
          <w:rStyle w:val="ECCParagraph"/>
          <w:noProof/>
        </w:rPr>
        <w:t xml:space="preserve">the </w:t>
      </w:r>
      <w:r w:rsidR="00A266C9" w:rsidRPr="006D6727">
        <w:rPr>
          <w:rStyle w:val="ECCParagraph"/>
          <w:noProof/>
        </w:rPr>
        <w:t xml:space="preserve">illuminated </w:t>
      </w:r>
      <w:r w:rsidR="00623BC3" w:rsidRPr="006D6727">
        <w:rPr>
          <w:rStyle w:val="ECCParagraph"/>
          <w:noProof/>
        </w:rPr>
        <w:t xml:space="preserve">water </w:t>
      </w:r>
      <w:r w:rsidR="00A266C9" w:rsidRPr="006D6727">
        <w:rPr>
          <w:rStyle w:val="ECCParagraph"/>
          <w:noProof/>
        </w:rPr>
        <w:t xml:space="preserve">surface in </w:t>
      </w:r>
      <w:r w:rsidR="00623BC3" w:rsidRPr="006D6727">
        <w:rPr>
          <w:rStyle w:val="ECCParagraph"/>
          <w:noProof/>
        </w:rPr>
        <w:t xml:space="preserve">the </w:t>
      </w:r>
      <w:r w:rsidR="00A266C9" w:rsidRPr="006D6727">
        <w:rPr>
          <w:rStyle w:val="ECCParagraph"/>
          <w:noProof/>
        </w:rPr>
        <w:t xml:space="preserve">vertical plane towards zenith, </w:t>
      </w:r>
      <w:r w:rsidR="00A533B4">
        <w:rPr>
          <w:rStyle w:val="ECCParagraph"/>
          <w:noProof/>
        </w:rPr>
        <w:t>(</w:t>
      </w:r>
      <w:r w:rsidR="00A266C9" w:rsidRPr="006D6727">
        <w:rPr>
          <w:rStyle w:val="ECCParagraph"/>
          <w:noProof/>
        </w:rPr>
        <w:t xml:space="preserve">see </w:t>
      </w:r>
      <w:r w:rsidR="00623BC3" w:rsidRPr="006D6727">
        <w:rPr>
          <w:rStyle w:val="ECCParagraph"/>
          <w:noProof/>
        </w:rPr>
        <w:fldChar w:fldCharType="begin"/>
      </w:r>
      <w:r w:rsidR="00623BC3" w:rsidRPr="006D6727">
        <w:rPr>
          <w:rStyle w:val="ECCParagraph"/>
          <w:noProof/>
        </w:rPr>
        <w:instrText xml:space="preserve"> REF _Ref9947443 \h  \* MERGEFORMAT </w:instrText>
      </w:r>
      <w:r w:rsidR="00623BC3" w:rsidRPr="006D6727">
        <w:rPr>
          <w:rStyle w:val="ECCParagraph"/>
          <w:noProof/>
        </w:rPr>
      </w:r>
      <w:r w:rsidR="00623BC3" w:rsidRPr="006D6727">
        <w:rPr>
          <w:rStyle w:val="ECCParagraph"/>
          <w:noProof/>
        </w:rPr>
        <w:fldChar w:fldCharType="separate"/>
      </w:r>
      <w:r w:rsidR="0041125F" w:rsidRPr="0041125F">
        <w:rPr>
          <w:rStyle w:val="ECCParagraph"/>
          <w:noProof/>
        </w:rPr>
        <w:t>Figure 40</w:t>
      </w:r>
      <w:r w:rsidR="00623BC3" w:rsidRPr="006D6727">
        <w:rPr>
          <w:rStyle w:val="ECCParagraph"/>
          <w:noProof/>
        </w:rPr>
        <w:fldChar w:fldCharType="end"/>
      </w:r>
      <w:r w:rsidR="00A533B4">
        <w:rPr>
          <w:rStyle w:val="ECCParagraph"/>
          <w:noProof/>
        </w:rPr>
        <w:t>)</w:t>
      </w:r>
      <w:r w:rsidR="00A266C9" w:rsidRPr="006D6727">
        <w:rPr>
          <w:rStyle w:val="ECCParagraph"/>
          <w:noProof/>
        </w:rPr>
        <w:t>.</w:t>
      </w:r>
      <w:r w:rsidR="00D51277" w:rsidRPr="006D6727">
        <w:rPr>
          <w:rStyle w:val="ECCParagraph"/>
          <w:noProof/>
        </w:rPr>
        <w:t xml:space="preserve"> Like for the interference over terrestrial paths, both components are calculated separately and afterwards an ideal </w:t>
      </w:r>
      <w:r w:rsidR="002F65CA" w:rsidRPr="006D6727">
        <w:rPr>
          <w:rStyle w:val="ECCParagraph"/>
          <w:noProof/>
        </w:rPr>
        <w:t xml:space="preserve">mean </w:t>
      </w:r>
      <w:r w:rsidR="00D51277" w:rsidRPr="006D6727">
        <w:rPr>
          <w:rStyle w:val="ECCParagraph"/>
          <w:noProof/>
        </w:rPr>
        <w:t>power summation is conducted to work out the total interference.</w:t>
      </w:r>
    </w:p>
    <w:p w14:paraId="7B081573" w14:textId="77777777" w:rsidR="00482A12" w:rsidRPr="006D6727" w:rsidRDefault="00491490" w:rsidP="00482A12">
      <w:pPr>
        <w:pStyle w:val="ECCFiguregraphcentered"/>
        <w:rPr>
          <w:lang w:val="en-GB"/>
        </w:rPr>
      </w:pPr>
      <w:r w:rsidRPr="006D6727">
        <w:drawing>
          <wp:inline distT="0" distB="0" distL="0" distR="0" wp14:anchorId="16077E76" wp14:editId="65556BF2">
            <wp:extent cx="4198921" cy="505264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39858" cy="5101906"/>
                    </a:xfrm>
                    <a:prstGeom prst="rect">
                      <a:avLst/>
                    </a:prstGeom>
                  </pic:spPr>
                </pic:pic>
              </a:graphicData>
            </a:graphic>
          </wp:inline>
        </w:drawing>
      </w:r>
    </w:p>
    <w:p w14:paraId="002BCA2D" w14:textId="3977C23B" w:rsidR="00695280" w:rsidRPr="006D6727" w:rsidRDefault="00695280" w:rsidP="003E417C">
      <w:pPr>
        <w:pStyle w:val="Caption"/>
        <w:rPr>
          <w:rStyle w:val="ECCHLbold"/>
          <w:b/>
          <w:noProof/>
          <w:lang w:val="en-GB"/>
        </w:rPr>
      </w:pPr>
      <w:bookmarkStart w:id="243" w:name="_Ref9947443"/>
      <w:r w:rsidRPr="006D6727">
        <w:rPr>
          <w:noProof/>
          <w:lang w:val="en-GB"/>
        </w:rPr>
        <w:t>Figure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40</w:t>
      </w:r>
      <w:r w:rsidR="00616942" w:rsidRPr="006D6727">
        <w:rPr>
          <w:noProof/>
          <w:lang w:val="en-GB"/>
        </w:rPr>
        <w:fldChar w:fldCharType="end"/>
      </w:r>
      <w:bookmarkEnd w:id="243"/>
      <w:r w:rsidRPr="006D6727">
        <w:rPr>
          <w:noProof/>
          <w:lang w:val="en-GB"/>
        </w:rPr>
        <w:t xml:space="preserve">: Worst-case interference scenario </w:t>
      </w:r>
      <w:r w:rsidR="003E417C" w:rsidRPr="006D6727">
        <w:rPr>
          <w:noProof/>
          <w:lang w:val="en-GB"/>
        </w:rPr>
        <w:t xml:space="preserve">against </w:t>
      </w:r>
      <w:r w:rsidR="003E417C" w:rsidRPr="006D6727">
        <w:rPr>
          <w:rStyle w:val="ECCHLbold"/>
          <w:b/>
          <w:noProof/>
          <w:lang w:val="en-GB"/>
        </w:rPr>
        <w:t>EESS (passive) satellite receivers</w:t>
      </w:r>
    </w:p>
    <w:p w14:paraId="2AF7DB51" w14:textId="5B2C5319" w:rsidR="00E93A67" w:rsidRPr="006D6727" w:rsidRDefault="000232FF" w:rsidP="00A12108">
      <w:pPr>
        <w:rPr>
          <w:rStyle w:val="ECCParagraph"/>
          <w:noProof/>
        </w:rPr>
      </w:pPr>
      <w:r w:rsidRPr="006D6727">
        <w:rPr>
          <w:rStyle w:val="ECCParagraph"/>
          <w:noProof/>
        </w:rPr>
        <w:t>In this scenario i</w:t>
      </w:r>
      <w:r w:rsidR="00A12108" w:rsidRPr="006D6727">
        <w:rPr>
          <w:rStyle w:val="ECCParagraph"/>
          <w:noProof/>
        </w:rPr>
        <w:t>t is</w:t>
      </w:r>
      <w:r w:rsidRPr="006D6727">
        <w:rPr>
          <w:rStyle w:val="ECCParagraph"/>
          <w:noProof/>
        </w:rPr>
        <w:t xml:space="preserve"> also</w:t>
      </w:r>
      <w:r w:rsidR="00A12108" w:rsidRPr="006D6727">
        <w:rPr>
          <w:rStyle w:val="ECCParagraph"/>
          <w:noProof/>
        </w:rPr>
        <w:t xml:space="preserve"> </w:t>
      </w:r>
      <w:r w:rsidR="005B5003" w:rsidRPr="006D6727">
        <w:rPr>
          <w:rStyle w:val="ECCParagraph"/>
          <w:noProof/>
        </w:rPr>
        <w:t xml:space="preserve">very </w:t>
      </w:r>
      <w:r w:rsidR="00A12108" w:rsidRPr="006D6727">
        <w:rPr>
          <w:rStyle w:val="ECCParagraph"/>
          <w:noProof/>
        </w:rPr>
        <w:t xml:space="preserve">important whether LPR installations are located indoors or have any other similar roofed </w:t>
      </w:r>
      <w:r w:rsidR="005B5003" w:rsidRPr="006D6727">
        <w:rPr>
          <w:rStyle w:val="ECCParagraph"/>
          <w:noProof/>
        </w:rPr>
        <w:t>construction</w:t>
      </w:r>
      <w:r w:rsidR="00A12108" w:rsidRPr="006D6727">
        <w:rPr>
          <w:rStyle w:val="ECCParagraph"/>
          <w:noProof/>
        </w:rPr>
        <w:t xml:space="preserve"> which attenuate the path</w:t>
      </w:r>
      <w:r w:rsidR="00432B38" w:rsidRPr="006D6727">
        <w:rPr>
          <w:rStyle w:val="ECCParagraph"/>
          <w:noProof/>
        </w:rPr>
        <w:t>s</w:t>
      </w:r>
      <w:r w:rsidR="00A12108" w:rsidRPr="006D6727">
        <w:rPr>
          <w:rStyle w:val="ECCParagraph"/>
          <w:noProof/>
        </w:rPr>
        <w:t xml:space="preserve"> towards the sky</w:t>
      </w:r>
      <w:r w:rsidR="005B5003" w:rsidRPr="006D6727">
        <w:rPr>
          <w:rStyle w:val="ECCParagraph"/>
          <w:noProof/>
        </w:rPr>
        <w:t>.</w:t>
      </w:r>
      <w:r w:rsidR="00E93A67" w:rsidRPr="006D6727">
        <w:rPr>
          <w:rStyle w:val="ECCParagraph"/>
          <w:noProof/>
        </w:rPr>
        <w:t xml:space="preserve"> </w:t>
      </w:r>
      <w:r w:rsidR="005B5003" w:rsidRPr="006D6727">
        <w:rPr>
          <w:rStyle w:val="ECCParagraph"/>
          <w:noProof/>
        </w:rPr>
        <w:t xml:space="preserve">As outlined in </w:t>
      </w:r>
      <w:r w:rsidR="009D5FA2">
        <w:rPr>
          <w:rStyle w:val="ECCParagraph"/>
          <w:noProof/>
        </w:rPr>
        <w:t>section</w:t>
      </w:r>
      <w:r w:rsidR="005B5003" w:rsidRPr="006D6727">
        <w:rPr>
          <w:rStyle w:val="ECCParagraph"/>
          <w:noProof/>
        </w:rPr>
        <w:t xml:space="preserve"> </w:t>
      </w:r>
      <w:r w:rsidR="005B5003" w:rsidRPr="006D6727">
        <w:rPr>
          <w:rStyle w:val="ECCParagraph"/>
          <w:noProof/>
        </w:rPr>
        <w:fldChar w:fldCharType="begin"/>
      </w:r>
      <w:r w:rsidR="005B5003" w:rsidRPr="006D6727">
        <w:rPr>
          <w:rStyle w:val="ECCParagraph"/>
          <w:noProof/>
        </w:rPr>
        <w:instrText xml:space="preserve"> REF _Ref9950079 \r \h </w:instrText>
      </w:r>
      <w:r w:rsidR="000758BD" w:rsidRPr="006D6727">
        <w:rPr>
          <w:rStyle w:val="ECCParagraph"/>
          <w:noProof/>
        </w:rPr>
        <w:instrText xml:space="preserve"> \* MERGEFORMAT </w:instrText>
      </w:r>
      <w:r w:rsidR="005B5003" w:rsidRPr="006D6727">
        <w:rPr>
          <w:rStyle w:val="ECCParagraph"/>
          <w:noProof/>
        </w:rPr>
      </w:r>
      <w:r w:rsidR="005B5003" w:rsidRPr="006D6727">
        <w:rPr>
          <w:rStyle w:val="ECCParagraph"/>
          <w:noProof/>
        </w:rPr>
        <w:fldChar w:fldCharType="separate"/>
      </w:r>
      <w:r w:rsidR="004F49F9">
        <w:rPr>
          <w:rStyle w:val="ECCParagraph"/>
          <w:noProof/>
        </w:rPr>
        <w:t>2.2.5.5</w:t>
      </w:r>
      <w:r w:rsidR="005B5003" w:rsidRPr="006D6727">
        <w:rPr>
          <w:rStyle w:val="ECCParagraph"/>
          <w:noProof/>
        </w:rPr>
        <w:fldChar w:fldCharType="end"/>
      </w:r>
      <w:r w:rsidR="005B5003" w:rsidRPr="006D6727">
        <w:rPr>
          <w:rStyle w:val="ECCParagraph"/>
          <w:noProof/>
        </w:rPr>
        <w:t xml:space="preserve"> </w:t>
      </w:r>
      <w:r w:rsidR="00A12108" w:rsidRPr="006D6727">
        <w:rPr>
          <w:rStyle w:val="ECCParagraph"/>
          <w:noProof/>
        </w:rPr>
        <w:t>calculations shall assume that 90</w:t>
      </w:r>
      <w:r w:rsidR="00F800A2">
        <w:rPr>
          <w:rStyle w:val="ECCParagraph"/>
          <w:noProof/>
        </w:rPr>
        <w:t>%</w:t>
      </w:r>
      <w:r w:rsidR="00A12108" w:rsidRPr="006D6727">
        <w:rPr>
          <w:rStyle w:val="ECCParagraph"/>
          <w:noProof/>
        </w:rPr>
        <w:t xml:space="preserve"> of all LPRs are actually installed indoors</w:t>
      </w:r>
      <w:r w:rsidR="00E93A67" w:rsidRPr="006D6727">
        <w:rPr>
          <w:rStyle w:val="ECCParagraph"/>
          <w:noProof/>
        </w:rPr>
        <w:t xml:space="preserve">. When performing </w:t>
      </w:r>
      <w:r w:rsidR="00664382" w:rsidRPr="006D6727">
        <w:rPr>
          <w:rStyle w:val="ECCParagraph"/>
          <w:noProof/>
        </w:rPr>
        <w:t xml:space="preserve">a </w:t>
      </w:r>
      <w:r w:rsidR="00E93A67" w:rsidRPr="006D6727">
        <w:rPr>
          <w:rStyle w:val="ECCParagraph"/>
          <w:noProof/>
        </w:rPr>
        <w:t xml:space="preserve">probabilistic analysis and aggregation effects an appropriate </w:t>
      </w:r>
      <w:r w:rsidR="000C4D2C" w:rsidRPr="006D6727">
        <w:rPr>
          <w:rStyle w:val="ECCParagraph"/>
          <w:noProof/>
        </w:rPr>
        <w:t>building</w:t>
      </w:r>
      <w:r w:rsidR="00E93A67" w:rsidRPr="006D6727">
        <w:rPr>
          <w:rStyle w:val="ECCParagraph"/>
          <w:noProof/>
        </w:rPr>
        <w:t xml:space="preserve"> attenuation shall be taken into account.</w:t>
      </w:r>
    </w:p>
    <w:p w14:paraId="01A58A66" w14:textId="77777777" w:rsidR="00383820" w:rsidRPr="006D6727" w:rsidRDefault="00383820" w:rsidP="00160CD4">
      <w:pPr>
        <w:pStyle w:val="Heading3"/>
        <w:rPr>
          <w:noProof/>
          <w:lang w:val="en-GB"/>
        </w:rPr>
      </w:pPr>
      <w:bookmarkStart w:id="244" w:name="_Ref67041474"/>
      <w:bookmarkStart w:id="245" w:name="_Toc84325276"/>
      <w:bookmarkStart w:id="246" w:name="_Toc127346231"/>
      <w:r w:rsidRPr="006D6727">
        <w:rPr>
          <w:rStyle w:val="ECCParagraph"/>
          <w:noProof/>
        </w:rPr>
        <w:t xml:space="preserve">Contour determination and </w:t>
      </w:r>
      <w:r w:rsidRPr="006D6727">
        <w:rPr>
          <w:noProof/>
          <w:lang w:val="en-GB"/>
        </w:rPr>
        <w:t>acquisition</w:t>
      </w:r>
      <w:bookmarkEnd w:id="244"/>
      <w:bookmarkEnd w:id="245"/>
      <w:bookmarkEnd w:id="246"/>
    </w:p>
    <w:p w14:paraId="46BB0FFF" w14:textId="77777777" w:rsidR="003E4BC1" w:rsidRPr="006D6727" w:rsidRDefault="003E4BC1" w:rsidP="004E36C2">
      <w:pPr>
        <w:pStyle w:val="Heading4"/>
        <w:rPr>
          <w:noProof/>
        </w:rPr>
      </w:pPr>
      <w:bookmarkStart w:id="247" w:name="_Ref66452466"/>
      <w:bookmarkStart w:id="248" w:name="_Toc84325277"/>
      <w:r w:rsidRPr="006D6727">
        <w:rPr>
          <w:noProof/>
        </w:rPr>
        <w:t>Application scenario</w:t>
      </w:r>
      <w:bookmarkEnd w:id="247"/>
      <w:bookmarkEnd w:id="248"/>
    </w:p>
    <w:p w14:paraId="1161722C" w14:textId="2C355E55" w:rsidR="00CB1A7C" w:rsidRPr="006D6727" w:rsidRDefault="00CB1A7C" w:rsidP="00CB1A7C">
      <w:pPr>
        <w:rPr>
          <w:noProof/>
        </w:rPr>
      </w:pPr>
      <w:r w:rsidRPr="006D6727">
        <w:rPr>
          <w:noProof/>
        </w:rPr>
        <w:t xml:space="preserve">Contour determination and acquisition radar sensors (CDR) are the most advanced sensors in the emerging field of bulk level measurement. Level Probing Radar (LPR) sensors as shown in </w:t>
      </w:r>
      <w:r w:rsidR="00577A6D" w:rsidRPr="006D6727">
        <w:rPr>
          <w:noProof/>
        </w:rPr>
        <w:fldChar w:fldCharType="begin"/>
      </w:r>
      <w:r w:rsidR="00577A6D" w:rsidRPr="006D6727">
        <w:rPr>
          <w:noProof/>
        </w:rPr>
        <w:instrText xml:space="preserve"> REF _Ref2010926 \h </w:instrText>
      </w:r>
      <w:r w:rsidR="00577A6D" w:rsidRPr="006D6727">
        <w:rPr>
          <w:noProof/>
        </w:rPr>
      </w:r>
      <w:r w:rsidR="00577A6D" w:rsidRPr="006D6727">
        <w:rPr>
          <w:noProof/>
        </w:rPr>
        <w:fldChar w:fldCharType="separate"/>
      </w:r>
      <w:r w:rsidR="0041125F" w:rsidRPr="006D6727">
        <w:rPr>
          <w:noProof/>
        </w:rPr>
        <w:t>Figure</w:t>
      </w:r>
      <w:r w:rsidR="0041125F">
        <w:t> </w:t>
      </w:r>
      <w:r w:rsidR="0041125F">
        <w:rPr>
          <w:noProof/>
        </w:rPr>
        <w:t>34</w:t>
      </w:r>
      <w:r w:rsidR="00577A6D" w:rsidRPr="006D6727">
        <w:rPr>
          <w:noProof/>
        </w:rPr>
        <w:fldChar w:fldCharType="end"/>
      </w:r>
      <w:r w:rsidR="00577A6D" w:rsidRPr="006D6727">
        <w:rPr>
          <w:noProof/>
        </w:rPr>
        <w:t xml:space="preserve"> </w:t>
      </w:r>
      <w:r w:rsidRPr="006D6727">
        <w:rPr>
          <w:noProof/>
        </w:rPr>
        <w:t xml:space="preserve">are equipped to measure a one-dimensional single distance to the uppermost position of a bulk level contour. Typically, this measured value does not represent a meaningful indication of the amount of material substantially available in the measurement application. In contrast, contour determination and acquisition sensors are equipped to gather a plurality of distance values to different points located on the surface of the bulk material. These values can be used to form a digital representation of the bulk material surface as illustrated in </w:t>
      </w:r>
      <w:r w:rsidR="00577A6D" w:rsidRPr="006D6727">
        <w:rPr>
          <w:noProof/>
        </w:rPr>
        <w:fldChar w:fldCharType="begin"/>
      </w:r>
      <w:r w:rsidR="00577A6D" w:rsidRPr="006D6727">
        <w:rPr>
          <w:noProof/>
        </w:rPr>
        <w:instrText xml:space="preserve"> REF _Ref36125974 \h </w:instrText>
      </w:r>
      <w:r w:rsidR="00577A6D" w:rsidRPr="006D6727">
        <w:rPr>
          <w:noProof/>
        </w:rPr>
      </w:r>
      <w:r w:rsidR="00577A6D" w:rsidRPr="006D6727">
        <w:rPr>
          <w:noProof/>
        </w:rPr>
        <w:fldChar w:fldCharType="separate"/>
      </w:r>
      <w:r w:rsidR="0041125F" w:rsidRPr="006D6727">
        <w:rPr>
          <w:noProof/>
        </w:rPr>
        <w:t>Figure </w:t>
      </w:r>
      <w:r w:rsidR="0041125F">
        <w:rPr>
          <w:noProof/>
        </w:rPr>
        <w:t>41</w:t>
      </w:r>
      <w:r w:rsidR="00577A6D" w:rsidRPr="006D6727">
        <w:rPr>
          <w:noProof/>
        </w:rPr>
        <w:fldChar w:fldCharType="end"/>
      </w:r>
      <w:r w:rsidRPr="006D6727">
        <w:rPr>
          <w:noProof/>
        </w:rPr>
        <w:t>. In addition, by means of digital calculation, dependent values based on the measured contour values can be calculated and provided by CDR sensors, e.g. volume or mass of material available in the current measurement scenario. In other applications it might also be of interest to identify dangerous conditions to protect humans, animals, the environment or material assets.</w:t>
      </w:r>
    </w:p>
    <w:p w14:paraId="6265BA54" w14:textId="77777777" w:rsidR="00867FAF" w:rsidRPr="006D6727" w:rsidRDefault="00867FAF" w:rsidP="00867FAF">
      <w:pPr>
        <w:pStyle w:val="ECCFiguregraphcentered"/>
        <w:rPr>
          <w:lang w:val="en-GB"/>
        </w:rPr>
      </w:pPr>
      <w:r w:rsidRPr="006D6727">
        <w:drawing>
          <wp:inline distT="0" distB="0" distL="0" distR="0" wp14:anchorId="5129A084" wp14:editId="716CC1C5">
            <wp:extent cx="2048736" cy="2098261"/>
            <wp:effectExtent l="0" t="0" r="8890" b="0"/>
            <wp:docPr id="41" name="Picture 2" descr="C:\Users\WelleR\Desktop\Bilder\IMG_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WelleR\Desktop\Bilder\IMG_3376.JPG"/>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2066609" cy="2116566"/>
                    </a:xfrm>
                    <a:prstGeom prst="rect">
                      <a:avLst/>
                    </a:prstGeom>
                    <a:noFill/>
                    <a:ln>
                      <a:noFill/>
                    </a:ln>
                    <a:extLst>
                      <a:ext uri="{53640926-AAD7-44D8-BBD7-CCE9431645EC}">
                        <a14:shadowObscured xmlns:a14="http://schemas.microsoft.com/office/drawing/2010/main"/>
                      </a:ext>
                    </a:extLst>
                  </pic:spPr>
                </pic:pic>
              </a:graphicData>
            </a:graphic>
          </wp:inline>
        </w:drawing>
      </w:r>
      <w:r w:rsidRPr="006D6727">
        <w:rPr>
          <w:lang w:val="en-GB"/>
        </w:rPr>
        <w:t xml:space="preserve">    </w:t>
      </w:r>
      <w:r w:rsidRPr="006D6727">
        <w:drawing>
          <wp:inline distT="0" distB="0" distL="0" distR="0" wp14:anchorId="21BD65CD" wp14:editId="67B35668">
            <wp:extent cx="3223846" cy="2038982"/>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257983" cy="2060573"/>
                    </a:xfrm>
                    <a:prstGeom prst="rect">
                      <a:avLst/>
                    </a:prstGeom>
                    <a:noFill/>
                    <a:ln>
                      <a:noFill/>
                    </a:ln>
                  </pic:spPr>
                </pic:pic>
              </a:graphicData>
            </a:graphic>
          </wp:inline>
        </w:drawing>
      </w:r>
    </w:p>
    <w:p w14:paraId="73AA1921" w14:textId="009D6818" w:rsidR="00867FAF" w:rsidRPr="006D6727" w:rsidRDefault="00867FAF" w:rsidP="00867FAF">
      <w:pPr>
        <w:pStyle w:val="Caption"/>
        <w:rPr>
          <w:noProof/>
          <w:lang w:val="en-GB"/>
        </w:rPr>
      </w:pPr>
      <w:bookmarkStart w:id="249" w:name="_Ref36125974"/>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F49F9">
        <w:rPr>
          <w:noProof/>
          <w:lang w:val="en-GB"/>
        </w:rPr>
        <w:t>41</w:t>
      </w:r>
      <w:r w:rsidR="00945A7C" w:rsidRPr="006D6727">
        <w:rPr>
          <w:noProof/>
          <w:lang w:val="en-GB"/>
        </w:rPr>
        <w:fldChar w:fldCharType="end"/>
      </w:r>
      <w:bookmarkEnd w:id="249"/>
      <w:r w:rsidRPr="006D6727">
        <w:rPr>
          <w:noProof/>
          <w:lang w:val="en-GB"/>
        </w:rPr>
        <w:t>: Imaging Radar systems for 3D visualising of arbitrary ground surfaces (contour determination)</w:t>
      </w:r>
    </w:p>
    <w:p w14:paraId="5F93076A" w14:textId="5586ABBE" w:rsidR="00DB4333" w:rsidRPr="006D6727" w:rsidRDefault="00DB4333" w:rsidP="00DB4333">
      <w:pPr>
        <w:rPr>
          <w:noProof/>
        </w:rPr>
      </w:pPr>
      <w:r w:rsidRPr="006D6727">
        <w:rPr>
          <w:noProof/>
        </w:rPr>
        <w:t xml:space="preserve">The basic measurement principle of CDR sensors is a time-of-flight method by for example using an FMCW modulated radar signal like used for LPR radars (see </w:t>
      </w:r>
      <w:r w:rsidR="009D5FA2">
        <w:rPr>
          <w:noProof/>
        </w:rPr>
        <w:t>section</w:t>
      </w:r>
      <w:r w:rsidRPr="006D6727">
        <w:rPr>
          <w:noProof/>
        </w:rPr>
        <w:t xml:space="preserve"> </w:t>
      </w:r>
      <w:r w:rsidRPr="006D6727">
        <w:rPr>
          <w:noProof/>
        </w:rPr>
        <w:fldChar w:fldCharType="begin"/>
      </w:r>
      <w:r w:rsidRPr="006D6727">
        <w:rPr>
          <w:noProof/>
        </w:rPr>
        <w:instrText xml:space="preserve"> REF _Ref20319451 \r \h </w:instrText>
      </w:r>
      <w:r w:rsidRPr="006D6727">
        <w:rPr>
          <w:noProof/>
        </w:rPr>
      </w:r>
      <w:r w:rsidRPr="006D6727">
        <w:rPr>
          <w:noProof/>
        </w:rPr>
        <w:fldChar w:fldCharType="separate"/>
      </w:r>
      <w:r w:rsidR="004F49F9">
        <w:rPr>
          <w:noProof/>
        </w:rPr>
        <w:t>2.2.5.3</w:t>
      </w:r>
      <w:r w:rsidRPr="006D6727">
        <w:rPr>
          <w:noProof/>
        </w:rPr>
        <w:fldChar w:fldCharType="end"/>
      </w:r>
      <w:r w:rsidRPr="006D6727">
        <w:rPr>
          <w:noProof/>
        </w:rPr>
        <w:t>). In this case a frequency sweep over a defined bandwidth in a certain time is sent from the CDR-antenna towards the material whose contour values have to be measured. In addition</w:t>
      </w:r>
      <w:r w:rsidR="001D7996">
        <w:rPr>
          <w:noProof/>
        </w:rPr>
        <w:t>-</w:t>
      </w:r>
      <w:r w:rsidRPr="006D6727">
        <w:rPr>
          <w:noProof/>
        </w:rPr>
        <w:t>and in contrast to LPR or TLPR sensors</w:t>
      </w:r>
      <w:r w:rsidR="001D7996">
        <w:rPr>
          <w:noProof/>
        </w:rPr>
        <w:t>-</w:t>
      </w:r>
      <w:r w:rsidRPr="006D6727">
        <w:rPr>
          <w:noProof/>
        </w:rPr>
        <w:t>a CDR sensor is equipped to vary, control and register transmit and/or receive directions of the main lobe of the sensor antenna in order to get additional angular information regarding the location of an origin of a received signal. This variation of angular directions can be reali</w:t>
      </w:r>
      <w:r w:rsidR="00EF3E55">
        <w:rPr>
          <w:noProof/>
        </w:rPr>
        <w:t>s</w:t>
      </w:r>
      <w:r w:rsidRPr="006D6727">
        <w:rPr>
          <w:noProof/>
        </w:rPr>
        <w:t>ed by mechanical tilting of a single antenna (M-CDR) and/or by electronic beam steering of multiple antenna elements forming a MIMO (multiple in multiple out) antenna. In case of electronic beam steering, as well time multiplexed operation of the multiple transmit antenna elements (DBF-CDR) as parallel operation of the transmit antenna elements (PA-CDR) will be feasible.</w:t>
      </w:r>
    </w:p>
    <w:p w14:paraId="2690543D" w14:textId="77777777" w:rsidR="00DB4333" w:rsidRPr="006D6727" w:rsidRDefault="00DB4333" w:rsidP="00DB4333">
      <w:pPr>
        <w:rPr>
          <w:rStyle w:val="ECCParagraph"/>
          <w:noProof/>
        </w:rPr>
      </w:pPr>
      <w:r w:rsidRPr="006D6727">
        <w:rPr>
          <w:noProof/>
        </w:rPr>
        <w:t xml:space="preserve">The emitted signal from the CDR sensor is reflected at the surface of the bulk material and received from the CDR antenna again. </w:t>
      </w:r>
      <w:r w:rsidRPr="006D6727">
        <w:rPr>
          <w:rStyle w:val="ECCParagraph"/>
          <w:noProof/>
        </w:rPr>
        <w:t xml:space="preserve">The instantaneous frequency shift between the transmit signal and the received signal is proportional to the distance between the sensor and the surface and is evaluated for multiple reflections. Taking additionally registered transmit and/or receive directions of the sensor antenna into account, a CDR can measure both distance to a reflection point of a bulk solid material's surface and elevation and azimuthal angle of a surface reflection point. Using multiple iterations, a CDR can measure multiple distance and angular positions of a plurality of different surface points a bulk material contour provides in an application. </w:t>
      </w:r>
    </w:p>
    <w:p w14:paraId="09FC5CC3" w14:textId="77777777" w:rsidR="00DB4333" w:rsidRPr="006D6727" w:rsidRDefault="00DB4333" w:rsidP="00DB4333">
      <w:pPr>
        <w:rPr>
          <w:noProof/>
        </w:rPr>
      </w:pPr>
      <w:r w:rsidRPr="006D6727">
        <w:rPr>
          <w:rStyle w:val="ECCParagraph"/>
          <w:noProof/>
        </w:rPr>
        <w:t>As the used RF signal is nearly independent of ambient temperature, pressure and humidity and other adverse environmental conditions, robust and reliable measurement of bulk material surfaces and reliable calculation of volume and mass values can be achieved by using advanced CDR sensor technology.</w:t>
      </w:r>
    </w:p>
    <w:p w14:paraId="317F6BF3" w14:textId="77777777" w:rsidR="003A1CBD" w:rsidRPr="006D6727" w:rsidRDefault="007B3580" w:rsidP="004E36C2">
      <w:pPr>
        <w:pStyle w:val="Heading4"/>
        <w:rPr>
          <w:noProof/>
        </w:rPr>
      </w:pPr>
      <w:bookmarkStart w:id="250" w:name="_Ref66452422"/>
      <w:bookmarkStart w:id="251" w:name="_Toc84325278"/>
      <w:r w:rsidRPr="006D6727">
        <w:rPr>
          <w:noProof/>
        </w:rPr>
        <w:t>Frequency ranges and application types</w:t>
      </w:r>
      <w:bookmarkEnd w:id="250"/>
      <w:bookmarkEnd w:id="251"/>
    </w:p>
    <w:p w14:paraId="005D0B38" w14:textId="7FCA8A6C" w:rsidR="007B3580" w:rsidRPr="006D6727" w:rsidRDefault="007B3580" w:rsidP="007B3580">
      <w:pPr>
        <w:rPr>
          <w:rStyle w:val="ECCParagraph"/>
          <w:noProof/>
        </w:rPr>
      </w:pPr>
      <w:r w:rsidRPr="006D6727">
        <w:rPr>
          <w:rStyle w:val="ECCParagraph"/>
          <w:noProof/>
        </w:rPr>
        <w:t xml:space="preserve">Systems for contour determination and acquisition have been categorised as type B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F49F9">
        <w:rPr>
          <w:rStyle w:val="ECCParagraph"/>
          <w:noProof/>
        </w:rPr>
        <w:t>2.1</w:t>
      </w:r>
      <w:r w:rsidRPr="006D6727">
        <w:rPr>
          <w:rStyle w:val="ECCParagraph"/>
          <w:noProof/>
        </w:rPr>
        <w:fldChar w:fldCharType="end"/>
      </w:r>
      <w:r w:rsidRPr="006D6727">
        <w:rPr>
          <w:rStyle w:val="ECCParagraph"/>
          <w:noProof/>
        </w:rPr>
        <w:t xml:space="preserve">). The following frequency ranges are proposed to be considered for this type of application (see </w:t>
      </w:r>
      <w:r w:rsidR="003E396C" w:rsidRPr="006D6727">
        <w:rPr>
          <w:rStyle w:val="ECCParagraph"/>
          <w:noProof/>
        </w:rPr>
        <w:fldChar w:fldCharType="begin"/>
      </w:r>
      <w:r w:rsidR="003E396C" w:rsidRPr="006D6727">
        <w:rPr>
          <w:rStyle w:val="ECCParagraph"/>
          <w:noProof/>
        </w:rPr>
        <w:instrText xml:space="preserve"> REF _Ref15636825 \h </w:instrText>
      </w:r>
      <w:r w:rsidR="003E396C" w:rsidRPr="006D6727">
        <w:rPr>
          <w:rStyle w:val="ECCParagraph"/>
          <w:noProof/>
        </w:rPr>
      </w:r>
      <w:r w:rsidR="003E396C" w:rsidRPr="006D6727">
        <w:rPr>
          <w:rStyle w:val="ECCParagraph"/>
          <w:noProof/>
        </w:rPr>
        <w:fldChar w:fldCharType="separate"/>
      </w:r>
      <w:r w:rsidR="0041125F" w:rsidRPr="006D6727">
        <w:rPr>
          <w:noProof/>
        </w:rPr>
        <w:t>Table </w:t>
      </w:r>
      <w:r w:rsidR="0041125F">
        <w:rPr>
          <w:noProof/>
        </w:rPr>
        <w:t>33</w:t>
      </w:r>
      <w:r w:rsidR="003E396C" w:rsidRPr="006D6727">
        <w:rPr>
          <w:rStyle w:val="ECCParagraph"/>
          <w:noProof/>
        </w:rPr>
        <w:fldChar w:fldCharType="end"/>
      </w:r>
      <w:r w:rsidRPr="006D6727">
        <w:rPr>
          <w:rStyle w:val="ECCParagraph"/>
          <w:noProof/>
        </w:rPr>
        <w:t>):</w:t>
      </w:r>
    </w:p>
    <w:p w14:paraId="0C8410D4" w14:textId="77777777" w:rsidR="00527100" w:rsidRPr="006D6727" w:rsidRDefault="007B3580" w:rsidP="007B3580">
      <w:pPr>
        <w:pStyle w:val="ECCBulletsLv1"/>
        <w:rPr>
          <w:rStyle w:val="ECCParagraph"/>
          <w:noProof/>
        </w:rPr>
      </w:pPr>
      <w:r w:rsidRPr="006D6727">
        <w:rPr>
          <w:rStyle w:val="ECCParagraph"/>
          <w:noProof/>
        </w:rPr>
        <w:t>116 GHz to 148</w:t>
      </w:r>
      <w:r w:rsidR="00CF4994">
        <w:rPr>
          <w:rStyle w:val="ECCParagraph"/>
          <w:noProof/>
        </w:rPr>
        <w:t>.5</w:t>
      </w:r>
      <w:r w:rsidRPr="006D6727">
        <w:rPr>
          <w:rStyle w:val="ECCParagraph"/>
          <w:noProof/>
        </w:rPr>
        <w:t> GHz;</w:t>
      </w:r>
    </w:p>
    <w:p w14:paraId="4186524F" w14:textId="77777777" w:rsidR="007B3580" w:rsidRPr="006D6727" w:rsidRDefault="007B3580" w:rsidP="007B3580">
      <w:pPr>
        <w:pStyle w:val="ECCBulletsLv1"/>
        <w:rPr>
          <w:rStyle w:val="ECCParagraph"/>
          <w:noProof/>
        </w:rPr>
      </w:pPr>
      <w:r w:rsidRPr="006D6727">
        <w:rPr>
          <w:rStyle w:val="ECCParagraph"/>
          <w:noProof/>
        </w:rPr>
        <w:t>167 GHz to 182 GHz;</w:t>
      </w:r>
    </w:p>
    <w:p w14:paraId="591078E1" w14:textId="77777777" w:rsidR="007B3580" w:rsidRPr="006D6727" w:rsidRDefault="007B3580" w:rsidP="007B3580">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p>
    <w:p w14:paraId="67FA38A3" w14:textId="77777777" w:rsidR="00995788" w:rsidRPr="006D6727" w:rsidRDefault="00995788" w:rsidP="004E36C2">
      <w:pPr>
        <w:pStyle w:val="Heading4"/>
        <w:rPr>
          <w:noProof/>
        </w:rPr>
      </w:pPr>
      <w:bookmarkStart w:id="252" w:name="_Ref66452445"/>
      <w:bookmarkStart w:id="253" w:name="_Ref66452453"/>
      <w:bookmarkStart w:id="254" w:name="_Toc84325279"/>
      <w:r w:rsidRPr="006D6727">
        <w:rPr>
          <w:noProof/>
        </w:rPr>
        <w:t>Technical parameters</w:t>
      </w:r>
      <w:bookmarkEnd w:id="252"/>
      <w:bookmarkEnd w:id="253"/>
      <w:bookmarkEnd w:id="254"/>
    </w:p>
    <w:p w14:paraId="055BAA72" w14:textId="6A55F0A4" w:rsidR="00DB4333" w:rsidRPr="006D6727" w:rsidRDefault="00211F2A" w:rsidP="00EA11B9">
      <w:pPr>
        <w:pStyle w:val="ECCTabletext"/>
        <w:rPr>
          <w:rStyle w:val="ECCParagraph"/>
          <w:noProof/>
        </w:rPr>
      </w:pPr>
      <w:r>
        <w:rPr>
          <w:rStyle w:val="ECCParagraph"/>
          <w:noProof/>
        </w:rPr>
        <w:fldChar w:fldCharType="begin"/>
      </w:r>
      <w:r>
        <w:rPr>
          <w:rStyle w:val="ECCParagraph"/>
          <w:noProof/>
        </w:rPr>
        <w:instrText xml:space="preserve"> REF _Ref36126102 \h </w:instrText>
      </w:r>
      <w:r>
        <w:rPr>
          <w:rStyle w:val="ECCParagraph"/>
          <w:noProof/>
        </w:rPr>
      </w:r>
      <w:r>
        <w:rPr>
          <w:rStyle w:val="ECCParagraph"/>
          <w:noProof/>
        </w:rPr>
        <w:fldChar w:fldCharType="separate"/>
      </w:r>
      <w:r w:rsidR="0041125F" w:rsidRPr="006D6727">
        <w:rPr>
          <w:noProof/>
        </w:rPr>
        <w:t>Table </w:t>
      </w:r>
      <w:r w:rsidR="0041125F">
        <w:rPr>
          <w:noProof/>
        </w:rPr>
        <w:t>25</w:t>
      </w:r>
      <w:r>
        <w:rPr>
          <w:rStyle w:val="ECCParagraph"/>
          <w:noProof/>
        </w:rPr>
        <w:fldChar w:fldCharType="end"/>
      </w:r>
      <w:r>
        <w:rPr>
          <w:rStyle w:val="ECCParagraph"/>
          <w:noProof/>
        </w:rPr>
        <w:t xml:space="preserve"> </w:t>
      </w:r>
      <w:r w:rsidR="00DB4333" w:rsidRPr="006D6727">
        <w:rPr>
          <w:rStyle w:val="ECCParagraph"/>
          <w:noProof/>
        </w:rPr>
        <w:t>gives an overview of the technical parameters of CDR devices which may be relevant for conducting the compatibility studies.</w:t>
      </w:r>
    </w:p>
    <w:p w14:paraId="28A69A1A" w14:textId="0A06A13B" w:rsidR="00DB4333" w:rsidRPr="006D6727" w:rsidRDefault="00DB4333" w:rsidP="00AF7758">
      <w:pPr>
        <w:pStyle w:val="Caption"/>
        <w:keepNext/>
        <w:rPr>
          <w:rStyle w:val="ECCHLyellow"/>
          <w:noProof/>
        </w:rPr>
      </w:pPr>
      <w:bookmarkStart w:id="255" w:name="_Ref36126102"/>
      <w:r w:rsidRPr="006D6727">
        <w:rPr>
          <w:noProof/>
          <w:lang w:val="en-GB"/>
        </w:rPr>
        <w:t>Table </w:t>
      </w:r>
      <w:r w:rsidRPr="006D6727">
        <w:rPr>
          <w:noProof/>
          <w:lang w:val="en-GB"/>
        </w:rPr>
        <w:fldChar w:fldCharType="begin"/>
      </w:r>
      <w:r w:rsidRPr="006D6727">
        <w:rPr>
          <w:noProof/>
          <w:lang w:val="en-GB"/>
        </w:rPr>
        <w:instrText xml:space="preserve"> SEQ Table \* ARABIC </w:instrText>
      </w:r>
      <w:r w:rsidRPr="006D6727">
        <w:rPr>
          <w:noProof/>
          <w:lang w:val="en-GB"/>
        </w:rPr>
        <w:fldChar w:fldCharType="separate"/>
      </w:r>
      <w:r w:rsidR="004F49F9">
        <w:rPr>
          <w:noProof/>
          <w:lang w:val="en-GB"/>
        </w:rPr>
        <w:t>25</w:t>
      </w:r>
      <w:r w:rsidRPr="006D6727">
        <w:rPr>
          <w:noProof/>
          <w:lang w:val="en-GB"/>
        </w:rPr>
        <w:fldChar w:fldCharType="end"/>
      </w:r>
      <w:bookmarkEnd w:id="255"/>
      <w:r w:rsidRPr="006D6727">
        <w:rPr>
          <w:noProof/>
          <w:lang w:val="en-GB"/>
        </w:rPr>
        <w:t xml:space="preserve">: </w:t>
      </w:r>
      <w:r w:rsidRPr="006D6727">
        <w:rPr>
          <w:rStyle w:val="ECCParagraph"/>
          <w:rFonts w:eastAsia="Calibri"/>
          <w:noProof/>
        </w:rPr>
        <w:t>Technical parameters of CDR equipment</w:t>
      </w:r>
    </w:p>
    <w:tbl>
      <w:tblPr>
        <w:tblStyle w:val="ECCTable-redheader"/>
        <w:tblW w:w="5000" w:type="pct"/>
        <w:tblInd w:w="0" w:type="dxa"/>
        <w:tblLook w:val="04A0" w:firstRow="1" w:lastRow="0" w:firstColumn="1" w:lastColumn="0" w:noHBand="0" w:noVBand="1"/>
      </w:tblPr>
      <w:tblGrid>
        <w:gridCol w:w="2548"/>
        <w:gridCol w:w="3543"/>
        <w:gridCol w:w="3538"/>
      </w:tblGrid>
      <w:tr w:rsidR="00DB4333" w:rsidRPr="006D6727" w14:paraId="423836BF" w14:textId="77777777" w:rsidTr="007D7B0D">
        <w:trPr>
          <w:cnfStyle w:val="100000000000" w:firstRow="1" w:lastRow="0" w:firstColumn="0" w:lastColumn="0" w:oddVBand="0" w:evenVBand="0" w:oddHBand="0" w:evenHBand="0" w:firstRowFirstColumn="0" w:firstRowLastColumn="0" w:lastRowFirstColumn="0" w:lastRowLastColumn="0"/>
        </w:trPr>
        <w:tc>
          <w:tcPr>
            <w:tcW w:w="1323" w:type="pct"/>
          </w:tcPr>
          <w:p w14:paraId="1A72A440" w14:textId="77777777" w:rsidR="00DB4333" w:rsidRPr="006D6727" w:rsidRDefault="00DB4333" w:rsidP="00AB6939">
            <w:pPr>
              <w:pStyle w:val="ECCTabletext"/>
              <w:keepNext/>
              <w:spacing w:before="120"/>
              <w:rPr>
                <w:rStyle w:val="ECCParagraph"/>
                <w:bCs/>
                <w:noProof/>
                <w:color w:val="D2232A"/>
                <w:szCs w:val="20"/>
                <w:lang w:eastAsia="en-US" w:bidi="ar-SA"/>
              </w:rPr>
            </w:pPr>
            <w:r w:rsidRPr="006D6727">
              <w:rPr>
                <w:rStyle w:val="ECCParagraph"/>
                <w:noProof/>
              </w:rPr>
              <w:t>Parameter</w:t>
            </w:r>
          </w:p>
        </w:tc>
        <w:tc>
          <w:tcPr>
            <w:tcW w:w="1840" w:type="pct"/>
          </w:tcPr>
          <w:p w14:paraId="3B13E5B2" w14:textId="77777777" w:rsidR="00DB4333" w:rsidRPr="006D6727" w:rsidRDefault="00DB4333" w:rsidP="00AB6939">
            <w:pPr>
              <w:pStyle w:val="ECCTabletext"/>
              <w:keepNext/>
              <w:spacing w:before="120"/>
              <w:rPr>
                <w:rStyle w:val="ECCParagraph"/>
                <w:b w:val="0"/>
                <w:noProof/>
                <w:color w:val="auto"/>
                <w:lang w:eastAsia="en-US" w:bidi="ar-SA"/>
              </w:rPr>
            </w:pPr>
            <w:r w:rsidRPr="006D6727">
              <w:rPr>
                <w:rStyle w:val="ECCParagraph"/>
                <w:noProof/>
              </w:rPr>
              <w:t>Value</w:t>
            </w:r>
          </w:p>
        </w:tc>
        <w:tc>
          <w:tcPr>
            <w:tcW w:w="1837" w:type="pct"/>
          </w:tcPr>
          <w:p w14:paraId="055FAB38" w14:textId="77777777" w:rsidR="00DB4333" w:rsidRPr="006D6727" w:rsidRDefault="00DB4333" w:rsidP="00AB6939">
            <w:pPr>
              <w:pStyle w:val="ECCTabletext"/>
              <w:keepNext/>
              <w:spacing w:before="120"/>
              <w:rPr>
                <w:rStyle w:val="ECCParagraph"/>
                <w:b w:val="0"/>
                <w:noProof/>
                <w:color w:val="auto"/>
                <w:lang w:eastAsia="en-US" w:bidi="ar-SA"/>
              </w:rPr>
            </w:pPr>
            <w:r w:rsidRPr="006D6727">
              <w:rPr>
                <w:rStyle w:val="ECCParagraph"/>
                <w:noProof/>
              </w:rPr>
              <w:t>Notes</w:t>
            </w:r>
          </w:p>
        </w:tc>
      </w:tr>
      <w:tr w:rsidR="00DB4333" w:rsidRPr="006D6727" w14:paraId="3AE6C23D" w14:textId="77777777" w:rsidTr="007D7B0D">
        <w:trPr>
          <w:trHeight w:val="265"/>
        </w:trPr>
        <w:tc>
          <w:tcPr>
            <w:tcW w:w="1323" w:type="pct"/>
          </w:tcPr>
          <w:p w14:paraId="01990818" w14:textId="77777777" w:rsidR="00DB4333" w:rsidRPr="006D6727" w:rsidRDefault="00DB4333" w:rsidP="00AF7758">
            <w:pPr>
              <w:pStyle w:val="ECCTabletext"/>
              <w:keepNext/>
              <w:jc w:val="left"/>
              <w:rPr>
                <w:rStyle w:val="ECCParagraph"/>
                <w:noProof/>
              </w:rPr>
            </w:pPr>
            <w:r w:rsidRPr="006D6727">
              <w:rPr>
                <w:rStyle w:val="ECCParagraph"/>
                <w:noProof/>
              </w:rPr>
              <w:t>Modulation scheme</w:t>
            </w:r>
          </w:p>
        </w:tc>
        <w:tc>
          <w:tcPr>
            <w:tcW w:w="1840" w:type="pct"/>
          </w:tcPr>
          <w:p w14:paraId="66D837DD" w14:textId="77777777" w:rsidR="00DB4333" w:rsidRPr="006D6727" w:rsidRDefault="00DB4333" w:rsidP="00AF7758">
            <w:pPr>
              <w:pStyle w:val="ECCTabletext"/>
              <w:keepNext/>
              <w:jc w:val="left"/>
              <w:rPr>
                <w:rStyle w:val="ECCParagraph"/>
                <w:noProof/>
              </w:rPr>
            </w:pPr>
            <w:r w:rsidRPr="006D6727">
              <w:rPr>
                <w:rStyle w:val="ECCParagraph"/>
                <w:noProof/>
              </w:rPr>
              <w:t>Frequency Modulated Continuous Wave (FMCW)</w:t>
            </w:r>
          </w:p>
        </w:tc>
        <w:tc>
          <w:tcPr>
            <w:tcW w:w="1837" w:type="pct"/>
          </w:tcPr>
          <w:p w14:paraId="0FE40D81" w14:textId="77777777" w:rsidR="00DB4333" w:rsidRPr="006D6727" w:rsidRDefault="00DB4333" w:rsidP="00AF7758">
            <w:pPr>
              <w:pStyle w:val="ECCTabletext"/>
              <w:keepNext/>
              <w:rPr>
                <w:rStyle w:val="ECCParagraph"/>
                <w:noProof/>
              </w:rPr>
            </w:pPr>
          </w:p>
        </w:tc>
      </w:tr>
      <w:tr w:rsidR="00DB4333" w:rsidRPr="006D6727" w14:paraId="749E9B98" w14:textId="77777777" w:rsidTr="007D7B0D">
        <w:trPr>
          <w:trHeight w:val="265"/>
        </w:trPr>
        <w:tc>
          <w:tcPr>
            <w:tcW w:w="1323" w:type="pct"/>
          </w:tcPr>
          <w:p w14:paraId="41B676BA" w14:textId="77777777" w:rsidR="00DB4333" w:rsidRPr="006D6727" w:rsidRDefault="00DB4333" w:rsidP="00AF7758">
            <w:pPr>
              <w:pStyle w:val="ECCTabletext"/>
              <w:keepNext/>
              <w:jc w:val="left"/>
              <w:rPr>
                <w:rStyle w:val="ECCParagraph"/>
                <w:noProof/>
              </w:rPr>
            </w:pPr>
            <w:r w:rsidRPr="006D6727">
              <w:rPr>
                <w:rStyle w:val="ECCParagraph"/>
                <w:noProof/>
              </w:rPr>
              <w:t>Operating frequency range (OFR)</w:t>
            </w:r>
          </w:p>
        </w:tc>
        <w:tc>
          <w:tcPr>
            <w:tcW w:w="1840" w:type="pct"/>
          </w:tcPr>
          <w:p w14:paraId="0FF58BE0" w14:textId="77777777" w:rsidR="0025282B" w:rsidRDefault="0025282B" w:rsidP="00AF7758">
            <w:pPr>
              <w:pStyle w:val="ECCTabletext"/>
              <w:keepNext/>
              <w:jc w:val="left"/>
              <w:rPr>
                <w:rStyle w:val="ECCParagraph"/>
                <w:noProof/>
              </w:rPr>
            </w:pPr>
            <w:r>
              <w:rPr>
                <w:rStyle w:val="ECCParagraph"/>
              </w:rPr>
              <w:t>116-148</w:t>
            </w:r>
            <w:r w:rsidR="00CF4994">
              <w:rPr>
                <w:rStyle w:val="ECCParagraph"/>
              </w:rPr>
              <w:t>.5</w:t>
            </w:r>
            <w:r>
              <w:rPr>
                <w:rStyle w:val="ECCParagraph"/>
              </w:rPr>
              <w:t> GHz</w:t>
            </w:r>
          </w:p>
          <w:p w14:paraId="5A03BCBB" w14:textId="77777777" w:rsidR="00DB4333" w:rsidRPr="006D6727" w:rsidRDefault="00DB4333" w:rsidP="00AF7758">
            <w:pPr>
              <w:pStyle w:val="ECCTabletext"/>
              <w:keepNext/>
              <w:jc w:val="left"/>
              <w:rPr>
                <w:rStyle w:val="ECCParagraph"/>
                <w:noProof/>
              </w:rPr>
            </w:pPr>
            <w:r w:rsidRPr="006D6727">
              <w:rPr>
                <w:rStyle w:val="ECCParagraph"/>
                <w:noProof/>
              </w:rPr>
              <w:t>167−182 GHz</w:t>
            </w:r>
          </w:p>
          <w:p w14:paraId="5C6C4027" w14:textId="77777777" w:rsidR="00DB4333" w:rsidRPr="006D6727" w:rsidRDefault="00DB4333" w:rsidP="00AF7758">
            <w:pPr>
              <w:pStyle w:val="ECCTabletext"/>
              <w:keepNext/>
              <w:jc w:val="left"/>
              <w:rPr>
                <w:rStyle w:val="ECCParagraph"/>
                <w:noProof/>
              </w:rPr>
            </w:pPr>
            <w:r w:rsidRPr="006D6727">
              <w:rPr>
                <w:rStyle w:val="ECCParagraph"/>
                <w:noProof/>
              </w:rPr>
              <w:t>231</w:t>
            </w:r>
            <w:r w:rsidR="00CF4994">
              <w:rPr>
                <w:rStyle w:val="ECCParagraph"/>
                <w:noProof/>
              </w:rPr>
              <w:t>.5</w:t>
            </w:r>
            <w:r w:rsidRPr="006D6727">
              <w:rPr>
                <w:rStyle w:val="ECCParagraph"/>
                <w:noProof/>
              </w:rPr>
              <w:t>−250 GHz</w:t>
            </w:r>
          </w:p>
        </w:tc>
        <w:tc>
          <w:tcPr>
            <w:tcW w:w="1837" w:type="pct"/>
          </w:tcPr>
          <w:p w14:paraId="3FE5F96D" w14:textId="77777777" w:rsidR="00DB4333" w:rsidRPr="006D6727" w:rsidRDefault="00DB4333" w:rsidP="00AF7758">
            <w:pPr>
              <w:pStyle w:val="ECCTabletext"/>
              <w:keepNext/>
              <w:rPr>
                <w:rStyle w:val="ECCParagraph"/>
                <w:noProof/>
              </w:rPr>
            </w:pPr>
          </w:p>
        </w:tc>
      </w:tr>
      <w:tr w:rsidR="00DB4333" w:rsidRPr="006D6727" w14:paraId="61DE5898" w14:textId="77777777" w:rsidTr="007D7B0D">
        <w:trPr>
          <w:trHeight w:val="265"/>
        </w:trPr>
        <w:tc>
          <w:tcPr>
            <w:tcW w:w="1323" w:type="pct"/>
          </w:tcPr>
          <w:p w14:paraId="03C3FDA0" w14:textId="77777777" w:rsidR="00DB4333" w:rsidRPr="006D6727" w:rsidRDefault="00DB4333" w:rsidP="00AF7758">
            <w:pPr>
              <w:pStyle w:val="ECCTabletext"/>
              <w:keepNext/>
              <w:jc w:val="left"/>
              <w:rPr>
                <w:rStyle w:val="ECCParagraph"/>
                <w:noProof/>
              </w:rPr>
            </w:pPr>
            <w:r w:rsidRPr="006D6727">
              <w:rPr>
                <w:rStyle w:val="ECCParagraph"/>
                <w:noProof/>
              </w:rPr>
              <w:t>Available modulation bandwidth</w:t>
            </w:r>
          </w:p>
        </w:tc>
        <w:tc>
          <w:tcPr>
            <w:tcW w:w="1840" w:type="pct"/>
          </w:tcPr>
          <w:p w14:paraId="10E589B7" w14:textId="77777777" w:rsidR="00DB4333" w:rsidRPr="006D6727" w:rsidRDefault="00062ABB" w:rsidP="00AF7758">
            <w:pPr>
              <w:pStyle w:val="ECCTabletext"/>
              <w:keepNext/>
              <w:jc w:val="left"/>
              <w:rPr>
                <w:rStyle w:val="ECCParagraph"/>
                <w:noProof/>
              </w:rPr>
            </w:pPr>
            <w:r w:rsidRPr="00062ABB">
              <w:rPr>
                <w:rStyle w:val="ECCParagraph"/>
              </w:rPr>
              <w:t>32</w:t>
            </w:r>
            <w:r w:rsidR="00CF4994">
              <w:rPr>
                <w:rStyle w:val="ECCParagraph"/>
              </w:rPr>
              <w:t>.5</w:t>
            </w:r>
            <w:r w:rsidRPr="00062ABB">
              <w:rPr>
                <w:rStyle w:val="ECCParagraph"/>
              </w:rPr>
              <w:t> GHz, 15 GHz and 18</w:t>
            </w:r>
            <w:r w:rsidR="00CF4994">
              <w:rPr>
                <w:rStyle w:val="ECCParagraph"/>
              </w:rPr>
              <w:t>.5</w:t>
            </w:r>
            <w:r w:rsidRPr="00062ABB">
              <w:rPr>
                <w:rStyle w:val="ECCParagraph"/>
              </w:rPr>
              <w:t> GHz</w:t>
            </w:r>
          </w:p>
        </w:tc>
        <w:tc>
          <w:tcPr>
            <w:tcW w:w="1837" w:type="pct"/>
          </w:tcPr>
          <w:p w14:paraId="50E0F9DC" w14:textId="77777777" w:rsidR="00DB4333" w:rsidRPr="006D6727" w:rsidRDefault="00DB4333" w:rsidP="00AF7758">
            <w:pPr>
              <w:pStyle w:val="ECCTabletext"/>
              <w:keepNext/>
              <w:rPr>
                <w:rStyle w:val="ECCParagraph"/>
                <w:noProof/>
              </w:rPr>
            </w:pPr>
          </w:p>
        </w:tc>
      </w:tr>
      <w:tr w:rsidR="00DB4333" w:rsidRPr="006D6727" w14:paraId="68A2E5EB" w14:textId="77777777" w:rsidTr="007D7B0D">
        <w:trPr>
          <w:trHeight w:val="265"/>
        </w:trPr>
        <w:tc>
          <w:tcPr>
            <w:tcW w:w="1323" w:type="pct"/>
          </w:tcPr>
          <w:p w14:paraId="29F999BC" w14:textId="77777777" w:rsidR="00DB4333" w:rsidRPr="006D6727" w:rsidRDefault="00DB4333" w:rsidP="00AF7758">
            <w:pPr>
              <w:pStyle w:val="ECCTabletext"/>
              <w:keepNext/>
              <w:jc w:val="left"/>
              <w:rPr>
                <w:rStyle w:val="ECCParagraph"/>
                <w:noProof/>
              </w:rPr>
            </w:pPr>
            <w:r w:rsidRPr="006D6727">
              <w:rPr>
                <w:rStyle w:val="ECCParagraph"/>
                <w:noProof/>
              </w:rPr>
              <w:t>Used modulation bandwidth</w:t>
            </w:r>
          </w:p>
        </w:tc>
        <w:tc>
          <w:tcPr>
            <w:tcW w:w="1840" w:type="pct"/>
          </w:tcPr>
          <w:p w14:paraId="678B84F4" w14:textId="77777777" w:rsidR="00062ABB" w:rsidRPr="00062ABB" w:rsidRDefault="002B1C11" w:rsidP="00AF7758">
            <w:pPr>
              <w:pStyle w:val="ECCTabletext"/>
              <w:keepNext/>
              <w:jc w:val="left"/>
              <w:rPr>
                <w:rStyle w:val="ECCParagraph"/>
              </w:rPr>
            </w:pPr>
            <w:r>
              <w:rPr>
                <w:rStyle w:val="ECCParagraph"/>
              </w:rPr>
              <w:t xml:space="preserve">up to </w:t>
            </w:r>
            <w:r w:rsidR="00062ABB" w:rsidRPr="00062ABB">
              <w:rPr>
                <w:rStyle w:val="ECCParagraph"/>
              </w:rPr>
              <w:t>32</w:t>
            </w:r>
            <w:r w:rsidR="00CF4994">
              <w:rPr>
                <w:rStyle w:val="ECCParagraph"/>
              </w:rPr>
              <w:t>.5</w:t>
            </w:r>
            <w:r w:rsidR="00062ABB" w:rsidRPr="00062ABB">
              <w:rPr>
                <w:rStyle w:val="ECCParagraph"/>
              </w:rPr>
              <w:t> GHz</w:t>
            </w:r>
          </w:p>
          <w:p w14:paraId="6E7885AA" w14:textId="77777777" w:rsidR="00062ABB" w:rsidRPr="00062ABB" w:rsidRDefault="002B1C11" w:rsidP="00AF7758">
            <w:pPr>
              <w:pStyle w:val="ECCTabletext"/>
              <w:keepNext/>
              <w:jc w:val="left"/>
              <w:rPr>
                <w:rStyle w:val="ECCParagraph"/>
              </w:rPr>
            </w:pPr>
            <w:r>
              <w:rPr>
                <w:rStyle w:val="ECCParagraph"/>
              </w:rPr>
              <w:t xml:space="preserve">up to </w:t>
            </w:r>
            <w:r w:rsidR="00062ABB" w:rsidRPr="00062ABB">
              <w:rPr>
                <w:rStyle w:val="ECCParagraph"/>
              </w:rPr>
              <w:t>15 GHz</w:t>
            </w:r>
          </w:p>
          <w:p w14:paraId="20ACC2B8" w14:textId="77777777" w:rsidR="00DB4333" w:rsidRPr="006D6727" w:rsidRDefault="002B1C11" w:rsidP="00AF7758">
            <w:pPr>
              <w:pStyle w:val="ECCTabletext"/>
              <w:keepNext/>
              <w:jc w:val="left"/>
              <w:rPr>
                <w:rStyle w:val="ECCParagraph"/>
                <w:noProof/>
              </w:rPr>
            </w:pPr>
            <w:r>
              <w:rPr>
                <w:rStyle w:val="ECCParagraph"/>
              </w:rPr>
              <w:t xml:space="preserve">up to </w:t>
            </w:r>
            <w:r w:rsidR="00062ABB">
              <w:rPr>
                <w:rStyle w:val="ECCParagraph"/>
              </w:rPr>
              <w:t>18</w:t>
            </w:r>
            <w:r w:rsidR="00CF4994">
              <w:rPr>
                <w:rStyle w:val="ECCParagraph"/>
              </w:rPr>
              <w:t>.5</w:t>
            </w:r>
            <w:r w:rsidR="00062ABB">
              <w:rPr>
                <w:rStyle w:val="ECCParagraph"/>
              </w:rPr>
              <w:t> GHz</w:t>
            </w:r>
          </w:p>
        </w:tc>
        <w:tc>
          <w:tcPr>
            <w:tcW w:w="1837" w:type="pct"/>
          </w:tcPr>
          <w:p w14:paraId="1EB6DF58" w14:textId="77777777" w:rsidR="00DB4333" w:rsidRPr="006D6727" w:rsidRDefault="00DB4333" w:rsidP="00AF7758">
            <w:pPr>
              <w:pStyle w:val="ECCTabletext"/>
              <w:keepNext/>
              <w:jc w:val="left"/>
              <w:rPr>
                <w:rStyle w:val="ECCParagraph"/>
                <w:noProof/>
              </w:rPr>
            </w:pPr>
            <w:r w:rsidRPr="006D6727">
              <w:rPr>
                <w:rStyle w:val="ECCParagraph"/>
                <w:noProof/>
              </w:rPr>
              <w:t>-</w:t>
            </w:r>
            <w:r w:rsidR="002B1C11">
              <w:rPr>
                <w:rStyle w:val="ECCParagraph"/>
              </w:rPr>
              <w:t>2</w:t>
            </w:r>
            <w:r w:rsidR="002B1C11" w:rsidRPr="006D6727">
              <w:rPr>
                <w:rStyle w:val="ECCParagraph"/>
                <w:noProof/>
              </w:rPr>
              <w:t>0 </w:t>
            </w:r>
            <w:r w:rsidRPr="006D6727">
              <w:rPr>
                <w:rStyle w:val="ECCParagraph"/>
                <w:noProof/>
              </w:rPr>
              <w:t>dB bandwidth</w:t>
            </w:r>
          </w:p>
        </w:tc>
      </w:tr>
      <w:tr w:rsidR="00DB4333" w:rsidRPr="006D6727" w14:paraId="20E46C30" w14:textId="77777777" w:rsidTr="007D7B0D">
        <w:trPr>
          <w:trHeight w:val="265"/>
        </w:trPr>
        <w:tc>
          <w:tcPr>
            <w:tcW w:w="1323" w:type="pct"/>
          </w:tcPr>
          <w:p w14:paraId="4C5B55FE" w14:textId="77777777" w:rsidR="00DB4333" w:rsidRPr="006D6727" w:rsidRDefault="00DB4333" w:rsidP="00AF7758">
            <w:pPr>
              <w:pStyle w:val="ECCTabletext"/>
              <w:keepNext/>
              <w:jc w:val="left"/>
              <w:rPr>
                <w:rStyle w:val="ECCParagraph"/>
                <w:noProof/>
              </w:rPr>
            </w:pPr>
            <w:r w:rsidRPr="006D6727">
              <w:rPr>
                <w:rStyle w:val="ECCParagraph"/>
                <w:noProof/>
              </w:rPr>
              <w:t>Sweeptime</w:t>
            </w:r>
          </w:p>
        </w:tc>
        <w:tc>
          <w:tcPr>
            <w:tcW w:w="1840" w:type="pct"/>
          </w:tcPr>
          <w:p w14:paraId="66FEC125" w14:textId="77777777" w:rsidR="00DB4333" w:rsidRPr="006D6727" w:rsidRDefault="00DB4333" w:rsidP="00AF7758">
            <w:pPr>
              <w:pStyle w:val="ECCTabletext"/>
              <w:keepNext/>
              <w:jc w:val="left"/>
              <w:rPr>
                <w:rStyle w:val="ECCParagraph"/>
                <w:noProof/>
              </w:rPr>
            </w:pPr>
            <w:r w:rsidRPr="006D6727">
              <w:rPr>
                <w:rStyle w:val="ECCParagraph"/>
                <w:noProof/>
              </w:rPr>
              <w:t>50 µs to 5 ms</w:t>
            </w:r>
          </w:p>
        </w:tc>
        <w:tc>
          <w:tcPr>
            <w:tcW w:w="1837" w:type="pct"/>
          </w:tcPr>
          <w:p w14:paraId="56449A68" w14:textId="77777777" w:rsidR="00DB4333" w:rsidRPr="006D6727" w:rsidRDefault="00DB4333" w:rsidP="00AF7758">
            <w:pPr>
              <w:pStyle w:val="ECCTabletext"/>
              <w:keepNext/>
              <w:jc w:val="left"/>
              <w:rPr>
                <w:rStyle w:val="ECCParagraph"/>
                <w:noProof/>
              </w:rPr>
            </w:pPr>
            <w:r w:rsidRPr="006D6727">
              <w:rPr>
                <w:rStyle w:val="ECCParagraph"/>
                <w:noProof/>
              </w:rPr>
              <w:t>for a single frequency sweep over entire modulation bandwidth</w:t>
            </w:r>
          </w:p>
        </w:tc>
      </w:tr>
      <w:tr w:rsidR="00DB4333" w:rsidRPr="006D6727" w14:paraId="700B5959" w14:textId="77777777" w:rsidTr="007D7B0D">
        <w:trPr>
          <w:trHeight w:val="265"/>
        </w:trPr>
        <w:tc>
          <w:tcPr>
            <w:tcW w:w="1323" w:type="pct"/>
          </w:tcPr>
          <w:p w14:paraId="76173032" w14:textId="77777777" w:rsidR="00DB4333" w:rsidRPr="006D6727" w:rsidRDefault="00DB4333" w:rsidP="00AF7758">
            <w:pPr>
              <w:pStyle w:val="ECCTabletext"/>
              <w:keepNext/>
              <w:jc w:val="left"/>
              <w:rPr>
                <w:rStyle w:val="ECCParagraph"/>
                <w:noProof/>
              </w:rPr>
            </w:pPr>
            <w:r w:rsidRPr="006D6727">
              <w:rPr>
                <w:rStyle w:val="ECCParagraph"/>
                <w:noProof/>
              </w:rPr>
              <w:t>Duty cycle</w:t>
            </w:r>
          </w:p>
        </w:tc>
        <w:tc>
          <w:tcPr>
            <w:tcW w:w="1840" w:type="pct"/>
          </w:tcPr>
          <w:p w14:paraId="72A0E84B" w14:textId="77777777" w:rsidR="00DB4333" w:rsidRPr="006D6727" w:rsidRDefault="00DB4333" w:rsidP="00AF7758">
            <w:pPr>
              <w:pStyle w:val="ECCTabletext"/>
              <w:keepNext/>
              <w:jc w:val="left"/>
              <w:rPr>
                <w:rStyle w:val="ECCParagraph"/>
                <w:noProof/>
              </w:rPr>
            </w:pPr>
            <w:r w:rsidRPr="006D6727">
              <w:rPr>
                <w:rStyle w:val="ECCParagraph"/>
                <w:noProof/>
              </w:rPr>
              <w:t>≤ 10%</w:t>
            </w:r>
          </w:p>
        </w:tc>
        <w:tc>
          <w:tcPr>
            <w:tcW w:w="1837" w:type="pct"/>
          </w:tcPr>
          <w:p w14:paraId="21FC8873" w14:textId="77777777" w:rsidR="00DB4333" w:rsidRPr="006D6727" w:rsidRDefault="00DB4333" w:rsidP="00AF7758">
            <w:pPr>
              <w:pStyle w:val="ECCTabletext"/>
              <w:keepNext/>
              <w:rPr>
                <w:rStyle w:val="ECCParagraph"/>
                <w:noProof/>
              </w:rPr>
            </w:pPr>
          </w:p>
        </w:tc>
      </w:tr>
      <w:tr w:rsidR="00DB4333" w:rsidRPr="006D6727" w14:paraId="6078F3BF" w14:textId="77777777" w:rsidTr="007D7B0D">
        <w:trPr>
          <w:trHeight w:val="265"/>
        </w:trPr>
        <w:tc>
          <w:tcPr>
            <w:tcW w:w="1323" w:type="pct"/>
          </w:tcPr>
          <w:p w14:paraId="7E6FA6A9" w14:textId="77777777" w:rsidR="00DB4333" w:rsidRPr="006D6727" w:rsidRDefault="00DB4333" w:rsidP="00AF7758">
            <w:pPr>
              <w:pStyle w:val="ECCTabletext"/>
              <w:keepNext/>
              <w:jc w:val="left"/>
              <w:rPr>
                <w:rStyle w:val="ECCParagraph"/>
                <w:noProof/>
              </w:rPr>
            </w:pPr>
            <w:r w:rsidRPr="006D6727">
              <w:rPr>
                <w:rStyle w:val="ECCParagraph"/>
                <w:noProof/>
              </w:rPr>
              <w:t>Conducted peak carrier power</w:t>
            </w:r>
          </w:p>
        </w:tc>
        <w:tc>
          <w:tcPr>
            <w:tcW w:w="1840" w:type="pct"/>
          </w:tcPr>
          <w:p w14:paraId="1C59A100" w14:textId="77777777" w:rsidR="00DB4333" w:rsidRPr="006D6727" w:rsidRDefault="00DB4333" w:rsidP="00AF7758">
            <w:pPr>
              <w:pStyle w:val="ECCTabletext"/>
              <w:keepNext/>
              <w:jc w:val="left"/>
              <w:rPr>
                <w:rStyle w:val="ECCParagraph"/>
                <w:noProof/>
              </w:rPr>
            </w:pPr>
            <w:r w:rsidRPr="006D6727">
              <w:rPr>
                <w:rStyle w:val="ECCParagraph"/>
                <w:noProof/>
              </w:rPr>
              <w:t>up to +5 dBm</w:t>
            </w:r>
          </w:p>
        </w:tc>
        <w:tc>
          <w:tcPr>
            <w:tcW w:w="1837" w:type="pct"/>
          </w:tcPr>
          <w:p w14:paraId="35823D5D" w14:textId="77777777" w:rsidR="00DB4333" w:rsidRPr="006D6727" w:rsidRDefault="00DB4333" w:rsidP="00AF7758">
            <w:pPr>
              <w:pStyle w:val="ECCTabletext"/>
              <w:keepNext/>
              <w:jc w:val="left"/>
              <w:rPr>
                <w:rStyle w:val="ECCParagraph"/>
                <w:noProof/>
              </w:rPr>
            </w:pPr>
            <w:r w:rsidRPr="006D6727">
              <w:rPr>
                <w:rStyle w:val="ECCParagraph"/>
                <w:noProof/>
              </w:rPr>
              <w:t>Maximum saturated output power at antenna feeding point</w:t>
            </w:r>
          </w:p>
        </w:tc>
      </w:tr>
      <w:tr w:rsidR="00DB4333" w:rsidRPr="006D6727" w14:paraId="141D61F0" w14:textId="77777777" w:rsidTr="007D7B0D">
        <w:trPr>
          <w:trHeight w:val="265"/>
        </w:trPr>
        <w:tc>
          <w:tcPr>
            <w:tcW w:w="1323" w:type="pct"/>
          </w:tcPr>
          <w:p w14:paraId="1B2BD3DC" w14:textId="77777777" w:rsidR="00DB4333" w:rsidRPr="006D6727" w:rsidRDefault="00DB4333" w:rsidP="00AF7758">
            <w:pPr>
              <w:pStyle w:val="ECCTabletext"/>
              <w:keepNext/>
              <w:jc w:val="left"/>
              <w:rPr>
                <w:rStyle w:val="ECCParagraph"/>
                <w:noProof/>
              </w:rPr>
            </w:pPr>
            <w:r w:rsidRPr="006D6727">
              <w:rPr>
                <w:rStyle w:val="ECCParagraph"/>
                <w:noProof/>
              </w:rPr>
              <w:t>Conducted mean power</w:t>
            </w:r>
          </w:p>
        </w:tc>
        <w:tc>
          <w:tcPr>
            <w:tcW w:w="1840" w:type="pct"/>
          </w:tcPr>
          <w:p w14:paraId="7B6B60DB" w14:textId="77777777" w:rsidR="00DB4333" w:rsidRPr="006D6727" w:rsidRDefault="00DB4333" w:rsidP="00AF7758">
            <w:pPr>
              <w:pStyle w:val="ECCTabletext"/>
              <w:keepNext/>
              <w:jc w:val="left"/>
              <w:rPr>
                <w:rStyle w:val="ECCParagraph"/>
                <w:noProof/>
              </w:rPr>
            </w:pPr>
            <w:r w:rsidRPr="006D6727">
              <w:rPr>
                <w:rStyle w:val="ECCParagraph"/>
                <w:noProof/>
              </w:rPr>
              <w:t>-5 dBm</w:t>
            </w:r>
          </w:p>
        </w:tc>
        <w:tc>
          <w:tcPr>
            <w:tcW w:w="1837" w:type="pct"/>
          </w:tcPr>
          <w:p w14:paraId="616FABC4" w14:textId="77777777" w:rsidR="00DB4333" w:rsidRPr="006D6727" w:rsidRDefault="00DB4333" w:rsidP="00AF7758">
            <w:pPr>
              <w:pStyle w:val="ECCTabletext"/>
              <w:keepNext/>
              <w:jc w:val="left"/>
              <w:rPr>
                <w:rStyle w:val="ECCParagraph"/>
                <w:noProof/>
              </w:rPr>
            </w:pPr>
            <w:r w:rsidRPr="006D6727">
              <w:rPr>
                <w:rStyle w:val="ECCParagraph"/>
                <w:noProof/>
              </w:rPr>
              <w:t>with 10% duty cycle and +5 dBm peak carrier power</w:t>
            </w:r>
          </w:p>
        </w:tc>
      </w:tr>
      <w:tr w:rsidR="00DB4333" w:rsidRPr="006D6727" w14:paraId="5484A963" w14:textId="77777777" w:rsidTr="007D7B0D">
        <w:trPr>
          <w:trHeight w:val="265"/>
        </w:trPr>
        <w:tc>
          <w:tcPr>
            <w:tcW w:w="1323" w:type="pct"/>
          </w:tcPr>
          <w:p w14:paraId="4642DE99" w14:textId="77777777" w:rsidR="00DB4333" w:rsidRPr="006D6727" w:rsidRDefault="00DB4333" w:rsidP="00AF7758">
            <w:pPr>
              <w:pStyle w:val="ECCTabletext"/>
              <w:keepNext/>
              <w:jc w:val="left"/>
              <w:rPr>
                <w:rStyle w:val="ECCParagraph"/>
                <w:noProof/>
              </w:rPr>
            </w:pPr>
            <w:r w:rsidRPr="006D6727">
              <w:rPr>
                <w:rStyle w:val="ECCParagraph"/>
                <w:noProof/>
              </w:rPr>
              <w:t xml:space="preserve">Conducted mean power spectral density </w:t>
            </w:r>
          </w:p>
        </w:tc>
        <w:tc>
          <w:tcPr>
            <w:tcW w:w="1840" w:type="pct"/>
          </w:tcPr>
          <w:p w14:paraId="0E626615" w14:textId="77777777" w:rsidR="00DB4333" w:rsidRPr="006D6727" w:rsidRDefault="00DB4333" w:rsidP="00AF7758">
            <w:pPr>
              <w:pStyle w:val="ECCTabletext"/>
              <w:keepNext/>
              <w:jc w:val="left"/>
              <w:rPr>
                <w:rStyle w:val="ECCParagraph"/>
                <w:noProof/>
              </w:rPr>
            </w:pPr>
            <w:r w:rsidRPr="006D6727">
              <w:rPr>
                <w:rStyle w:val="ECCParagraph"/>
                <w:noProof/>
              </w:rPr>
              <w:t>-46</w:t>
            </w:r>
            <w:r w:rsidR="00CF4994">
              <w:rPr>
                <w:rStyle w:val="ECCParagraph"/>
                <w:noProof/>
              </w:rPr>
              <w:t>.8</w:t>
            </w:r>
            <w:r w:rsidRPr="006D6727">
              <w:rPr>
                <w:rStyle w:val="ECCParagraph"/>
                <w:noProof/>
              </w:rPr>
              <w:t> dBm/MHz</w:t>
            </w:r>
          </w:p>
        </w:tc>
        <w:tc>
          <w:tcPr>
            <w:tcW w:w="1837" w:type="pct"/>
          </w:tcPr>
          <w:p w14:paraId="6FF2E694" w14:textId="77777777" w:rsidR="00DB4333" w:rsidRPr="006D6727" w:rsidRDefault="00DB4333" w:rsidP="00AF7758">
            <w:pPr>
              <w:pStyle w:val="ECCTabletext"/>
              <w:keepNext/>
              <w:jc w:val="left"/>
              <w:rPr>
                <w:rStyle w:val="ECCParagraph"/>
                <w:noProof/>
              </w:rPr>
            </w:pPr>
            <w:r w:rsidRPr="006D6727">
              <w:rPr>
                <w:rStyle w:val="ECCParagraph"/>
                <w:noProof/>
              </w:rPr>
              <w:t>with 15 GHz modulation bandwidth and -5 dBm mean power</w:t>
            </w:r>
          </w:p>
        </w:tc>
      </w:tr>
      <w:tr w:rsidR="00DB4333" w:rsidRPr="006D6727" w14:paraId="5ACE4751" w14:textId="77777777" w:rsidTr="007D7B0D">
        <w:trPr>
          <w:trHeight w:val="265"/>
        </w:trPr>
        <w:tc>
          <w:tcPr>
            <w:tcW w:w="1323" w:type="pct"/>
          </w:tcPr>
          <w:p w14:paraId="00630AEB" w14:textId="77777777" w:rsidR="00DB4333" w:rsidRPr="006D6727" w:rsidRDefault="00DB4333" w:rsidP="00AF7758">
            <w:pPr>
              <w:pStyle w:val="ECCTabletext"/>
              <w:keepN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840" w:type="pct"/>
          </w:tcPr>
          <w:p w14:paraId="72A68593" w14:textId="77777777" w:rsidR="00DB4333" w:rsidRPr="006D6727" w:rsidRDefault="00DB4333" w:rsidP="00AF7758">
            <w:pPr>
              <w:pStyle w:val="ECCTabletext"/>
              <w:keepNext/>
              <w:jc w:val="left"/>
              <w:rPr>
                <w:rStyle w:val="ECCParagraph"/>
                <w:noProof/>
              </w:rPr>
            </w:pPr>
            <w:r w:rsidRPr="006D6727">
              <w:rPr>
                <w:rStyle w:val="ECCParagraph"/>
                <w:noProof/>
              </w:rPr>
              <w:t>-14</w:t>
            </w:r>
            <w:r w:rsidR="00CF4994">
              <w:rPr>
                <w:rStyle w:val="ECCParagraph"/>
                <w:noProof/>
              </w:rPr>
              <w:t>.8</w:t>
            </w:r>
            <w:r w:rsidRPr="006D6727">
              <w:rPr>
                <w:rStyle w:val="ECCParagraph"/>
                <w:noProof/>
              </w:rPr>
              <w:t> dBm/MHz</w:t>
            </w:r>
          </w:p>
        </w:tc>
        <w:tc>
          <w:tcPr>
            <w:tcW w:w="1837" w:type="pct"/>
          </w:tcPr>
          <w:p w14:paraId="795F5F0C" w14:textId="77777777" w:rsidR="00DB4333" w:rsidRPr="006D6727" w:rsidRDefault="00527100" w:rsidP="00AF7758">
            <w:pPr>
              <w:pStyle w:val="ECCTabletext"/>
              <w:keepNext/>
              <w:jc w:val="left"/>
              <w:rPr>
                <w:rStyle w:val="ECCParagraph"/>
                <w:noProof/>
              </w:rPr>
            </w:pPr>
            <w:r w:rsidRPr="006D6727">
              <w:rPr>
                <w:rStyle w:val="ECCParagraph"/>
                <w:noProof/>
              </w:rPr>
              <w:t>calculated with 32 dBi antenna gain</w:t>
            </w:r>
          </w:p>
        </w:tc>
      </w:tr>
    </w:tbl>
    <w:p w14:paraId="3692E749" w14:textId="77777777" w:rsidR="00FB1DAD" w:rsidRPr="006D6727" w:rsidRDefault="00FB1DAD" w:rsidP="004E36C2">
      <w:pPr>
        <w:pStyle w:val="Heading4"/>
        <w:rPr>
          <w:noProof/>
        </w:rPr>
      </w:pPr>
      <w:bookmarkStart w:id="256" w:name="_Ref53992426"/>
      <w:bookmarkStart w:id="257" w:name="_Toc84325280"/>
      <w:r w:rsidRPr="006D6727">
        <w:rPr>
          <w:noProof/>
        </w:rPr>
        <w:t>Antenna data</w:t>
      </w:r>
      <w:bookmarkEnd w:id="256"/>
      <w:bookmarkEnd w:id="257"/>
    </w:p>
    <w:p w14:paraId="3CBFB4D6" w14:textId="7D3C04CA" w:rsidR="00577A6D" w:rsidRPr="006D6727" w:rsidRDefault="00A27874" w:rsidP="00EA11B9">
      <w:pPr>
        <w:pStyle w:val="ECCTabletext"/>
        <w:jc w:val="left"/>
        <w:rPr>
          <w:rStyle w:val="ECCParagraph"/>
          <w:noProof/>
        </w:rPr>
      </w:pPr>
      <w:r>
        <w:rPr>
          <w:rStyle w:val="ECCParagraph"/>
          <w:noProof/>
        </w:rPr>
        <w:fldChar w:fldCharType="begin"/>
      </w:r>
      <w:r>
        <w:rPr>
          <w:rStyle w:val="ECCParagraph"/>
          <w:noProof/>
        </w:rPr>
        <w:instrText xml:space="preserve"> REF _Ref36548487 \h </w:instrText>
      </w:r>
      <w:r>
        <w:rPr>
          <w:rStyle w:val="ECCParagraph"/>
          <w:noProof/>
        </w:rPr>
      </w:r>
      <w:r>
        <w:rPr>
          <w:rStyle w:val="ECCParagraph"/>
          <w:noProof/>
        </w:rPr>
        <w:fldChar w:fldCharType="separate"/>
      </w:r>
      <w:r w:rsidR="0041125F" w:rsidRPr="006D6727">
        <w:rPr>
          <w:noProof/>
        </w:rPr>
        <w:t>Table </w:t>
      </w:r>
      <w:r w:rsidR="0041125F">
        <w:rPr>
          <w:noProof/>
        </w:rPr>
        <w:t>26</w:t>
      </w:r>
      <w:r>
        <w:rPr>
          <w:rStyle w:val="ECCParagraph"/>
          <w:noProof/>
        </w:rPr>
        <w:fldChar w:fldCharType="end"/>
      </w:r>
      <w:r w:rsidR="00577A6D" w:rsidRPr="006D6727">
        <w:rPr>
          <w:rStyle w:val="ECCParagraph"/>
          <w:noProof/>
        </w:rPr>
        <w:t xml:space="preserve"> and </w:t>
      </w:r>
      <w:r>
        <w:rPr>
          <w:rStyle w:val="ECCParagraph"/>
          <w:noProof/>
        </w:rPr>
        <w:fldChar w:fldCharType="begin"/>
      </w:r>
      <w:r>
        <w:rPr>
          <w:rStyle w:val="ECCParagraph"/>
          <w:noProof/>
        </w:rPr>
        <w:instrText xml:space="preserve"> REF _Ref36548493 \h </w:instrText>
      </w:r>
      <w:r>
        <w:rPr>
          <w:rStyle w:val="ECCParagraph"/>
          <w:noProof/>
        </w:rPr>
      </w:r>
      <w:r>
        <w:rPr>
          <w:rStyle w:val="ECCParagraph"/>
          <w:noProof/>
        </w:rPr>
        <w:fldChar w:fldCharType="separate"/>
      </w:r>
      <w:r w:rsidR="0041125F" w:rsidRPr="006D6727">
        <w:rPr>
          <w:noProof/>
        </w:rPr>
        <w:t>Table </w:t>
      </w:r>
      <w:r w:rsidR="0041125F">
        <w:rPr>
          <w:noProof/>
        </w:rPr>
        <w:t>27</w:t>
      </w:r>
      <w:r>
        <w:rPr>
          <w:rStyle w:val="ECCParagraph"/>
          <w:noProof/>
        </w:rPr>
        <w:fldChar w:fldCharType="end"/>
      </w:r>
      <w:r w:rsidR="00577A6D" w:rsidRPr="006D6727">
        <w:rPr>
          <w:rStyle w:val="ECCParagraph"/>
          <w:noProof/>
        </w:rPr>
        <w:t xml:space="preserve"> show the antenna parameters of CDR devices subdivided into the</w:t>
      </w:r>
      <w:r w:rsidR="002A2C9B" w:rsidRPr="006D6727">
        <w:rPr>
          <w:rStyle w:val="ECCParagraph"/>
          <w:noProof/>
        </w:rPr>
        <w:t xml:space="preserve"> three</w:t>
      </w:r>
      <w:r w:rsidR="00577A6D" w:rsidRPr="006D6727">
        <w:rPr>
          <w:rStyle w:val="ECCParagraph"/>
          <w:noProof/>
        </w:rPr>
        <w:t xml:space="preserve"> categories </w:t>
      </w:r>
      <w:r w:rsidR="002A2C9B" w:rsidRPr="006D6727">
        <w:rPr>
          <w:rStyle w:val="ECCParagraph"/>
          <w:noProof/>
        </w:rPr>
        <w:t>M</w:t>
      </w:r>
      <w:r w:rsidR="002A2C9B" w:rsidRPr="006D6727">
        <w:rPr>
          <w:rStyle w:val="ECCParagraph"/>
          <w:rFonts w:cs="Arial"/>
          <w:noProof/>
        </w:rPr>
        <w:t>−</w:t>
      </w:r>
      <w:r w:rsidR="002A2C9B" w:rsidRPr="006D6727">
        <w:rPr>
          <w:rStyle w:val="ECCParagraph"/>
          <w:noProof/>
        </w:rPr>
        <w:t>, PA</w:t>
      </w:r>
      <w:r w:rsidR="002A2C9B" w:rsidRPr="006D6727">
        <w:rPr>
          <w:rStyle w:val="ECCParagraph"/>
          <w:rFonts w:cs="Arial"/>
          <w:noProof/>
        </w:rPr>
        <w:t>−</w:t>
      </w:r>
      <w:r w:rsidR="002A2C9B" w:rsidRPr="006D6727">
        <w:rPr>
          <w:rStyle w:val="ECCParagraph"/>
          <w:noProof/>
        </w:rPr>
        <w:t xml:space="preserve"> and DBF</w:t>
      </w:r>
      <w:r w:rsidR="00A71F6E" w:rsidRPr="006D6727">
        <w:rPr>
          <w:rStyle w:val="ECCParagraph"/>
          <w:noProof/>
        </w:rPr>
        <w:t>-CDRs</w:t>
      </w:r>
      <w:r w:rsidR="00577A6D" w:rsidRPr="006D6727">
        <w:rPr>
          <w:rStyle w:val="ECCParagraph"/>
          <w:noProof/>
        </w:rPr>
        <w:t>.</w:t>
      </w:r>
    </w:p>
    <w:p w14:paraId="21893D00" w14:textId="18249CF2" w:rsidR="00DB4333" w:rsidRPr="006D6727" w:rsidRDefault="00DB4333" w:rsidP="00DB4333">
      <w:pPr>
        <w:pStyle w:val="Caption"/>
        <w:rPr>
          <w:rStyle w:val="ECCParagraph"/>
          <w:rFonts w:eastAsia="Calibri"/>
          <w:noProof/>
        </w:rPr>
      </w:pPr>
      <w:bookmarkStart w:id="258" w:name="_Ref36548487"/>
      <w:r w:rsidRPr="006D6727">
        <w:rPr>
          <w:noProof/>
          <w:lang w:val="en-GB"/>
        </w:rPr>
        <w:t>Table </w:t>
      </w:r>
      <w:r w:rsidR="0029546E" w:rsidRPr="006D6727">
        <w:rPr>
          <w:noProof/>
          <w:lang w:val="en-GB"/>
        </w:rPr>
        <w:fldChar w:fldCharType="begin"/>
      </w:r>
      <w:r w:rsidR="0029546E" w:rsidRPr="006D6727">
        <w:rPr>
          <w:noProof/>
          <w:lang w:val="en-GB"/>
        </w:rPr>
        <w:instrText xml:space="preserve"> SEQ Table \* ARABIC </w:instrText>
      </w:r>
      <w:r w:rsidR="0029546E" w:rsidRPr="006D6727">
        <w:rPr>
          <w:noProof/>
          <w:lang w:val="en-GB"/>
        </w:rPr>
        <w:fldChar w:fldCharType="separate"/>
      </w:r>
      <w:r w:rsidR="004F49F9">
        <w:rPr>
          <w:noProof/>
          <w:lang w:val="en-GB"/>
        </w:rPr>
        <w:t>26</w:t>
      </w:r>
      <w:r w:rsidR="0029546E" w:rsidRPr="006D6727">
        <w:rPr>
          <w:noProof/>
          <w:lang w:val="en-GB"/>
        </w:rPr>
        <w:fldChar w:fldCharType="end"/>
      </w:r>
      <w:bookmarkEnd w:id="258"/>
      <w:r w:rsidRPr="006D6727">
        <w:rPr>
          <w:noProof/>
          <w:lang w:val="en-GB"/>
        </w:rPr>
        <w:t xml:space="preserve">: </w:t>
      </w:r>
      <w:r w:rsidRPr="006D6727">
        <w:rPr>
          <w:rStyle w:val="ECCParagraph"/>
          <w:rFonts w:eastAsia="Calibri"/>
          <w:noProof/>
        </w:rPr>
        <w:t>Antenna parameters of M-CDR equipment</w:t>
      </w:r>
    </w:p>
    <w:tbl>
      <w:tblPr>
        <w:tblStyle w:val="ECCTable-redheader"/>
        <w:tblW w:w="5000" w:type="pct"/>
        <w:tblInd w:w="0" w:type="dxa"/>
        <w:tblLook w:val="04A0" w:firstRow="1" w:lastRow="0" w:firstColumn="1" w:lastColumn="0" w:noHBand="0" w:noVBand="1"/>
      </w:tblPr>
      <w:tblGrid>
        <w:gridCol w:w="3282"/>
        <w:gridCol w:w="3135"/>
        <w:gridCol w:w="3212"/>
      </w:tblGrid>
      <w:tr w:rsidR="00DB4333" w:rsidRPr="006D6727" w14:paraId="09C296D6" w14:textId="77777777" w:rsidTr="00981F71">
        <w:trPr>
          <w:cnfStyle w:val="100000000000" w:firstRow="1" w:lastRow="0" w:firstColumn="0" w:lastColumn="0" w:oddVBand="0" w:evenVBand="0" w:oddHBand="0" w:evenHBand="0" w:firstRowFirstColumn="0" w:firstRowLastColumn="0" w:lastRowFirstColumn="0" w:lastRowLastColumn="0"/>
          <w:trHeight w:val="265"/>
        </w:trPr>
        <w:tc>
          <w:tcPr>
            <w:tcW w:w="1704" w:type="pct"/>
          </w:tcPr>
          <w:p w14:paraId="28F5F8E0" w14:textId="77777777" w:rsidR="00DB4333" w:rsidRPr="006D6727" w:rsidRDefault="00DB4333" w:rsidP="00C61139">
            <w:pPr>
              <w:pStyle w:val="ECCTabletext"/>
              <w:spacing w:before="120"/>
              <w:rPr>
                <w:rStyle w:val="ECCParagraph"/>
                <w:bCs/>
                <w:noProof/>
                <w:color w:val="D2232A"/>
                <w:szCs w:val="20"/>
                <w:lang w:eastAsia="en-US" w:bidi="ar-SA"/>
              </w:rPr>
            </w:pPr>
            <w:r w:rsidRPr="006D6727">
              <w:rPr>
                <w:rStyle w:val="ECCParagraph"/>
                <w:noProof/>
              </w:rPr>
              <w:t>Parameter</w:t>
            </w:r>
          </w:p>
        </w:tc>
        <w:tc>
          <w:tcPr>
            <w:tcW w:w="1628" w:type="pct"/>
          </w:tcPr>
          <w:p w14:paraId="7F5974F9" w14:textId="77777777" w:rsidR="00DB4333" w:rsidRPr="006D6727" w:rsidRDefault="00DB4333" w:rsidP="00C61139">
            <w:pPr>
              <w:pStyle w:val="ECCTabletext"/>
              <w:spacing w:before="120"/>
              <w:rPr>
                <w:rStyle w:val="ECCParagraph"/>
                <w:b w:val="0"/>
                <w:noProof/>
                <w:color w:val="auto"/>
                <w:lang w:eastAsia="en-US" w:bidi="ar-SA"/>
              </w:rPr>
            </w:pPr>
            <w:r w:rsidRPr="006D6727">
              <w:rPr>
                <w:rStyle w:val="ECCParagraph"/>
                <w:noProof/>
              </w:rPr>
              <w:t>Value</w:t>
            </w:r>
          </w:p>
        </w:tc>
        <w:tc>
          <w:tcPr>
            <w:tcW w:w="1668" w:type="pct"/>
          </w:tcPr>
          <w:p w14:paraId="25E97F3A" w14:textId="77777777" w:rsidR="00DB4333" w:rsidRPr="006D6727" w:rsidRDefault="00DB4333" w:rsidP="00C61139">
            <w:pPr>
              <w:pStyle w:val="ECCTabletext"/>
              <w:spacing w:before="120"/>
              <w:rPr>
                <w:rStyle w:val="ECCParagraph"/>
                <w:b w:val="0"/>
                <w:noProof/>
                <w:color w:val="auto"/>
                <w:lang w:eastAsia="en-US" w:bidi="ar-SA"/>
              </w:rPr>
            </w:pPr>
            <w:r w:rsidRPr="006D6727">
              <w:rPr>
                <w:rStyle w:val="ECCParagraph"/>
                <w:noProof/>
              </w:rPr>
              <w:t>Notes</w:t>
            </w:r>
          </w:p>
        </w:tc>
      </w:tr>
      <w:tr w:rsidR="00DB4333" w:rsidRPr="006D6727" w14:paraId="7C59EB44" w14:textId="77777777" w:rsidTr="00981F71">
        <w:trPr>
          <w:trHeight w:val="265"/>
        </w:trPr>
        <w:tc>
          <w:tcPr>
            <w:tcW w:w="1704" w:type="pct"/>
          </w:tcPr>
          <w:p w14:paraId="09213D27" w14:textId="77777777" w:rsidR="00DB4333" w:rsidRPr="006D6727" w:rsidRDefault="00DB4333" w:rsidP="00EA11B9">
            <w:pPr>
              <w:pStyle w:val="ECCTabletext"/>
              <w:jc w:val="left"/>
              <w:rPr>
                <w:rStyle w:val="ECCParagraph"/>
                <w:noProof/>
              </w:rPr>
            </w:pPr>
            <w:r w:rsidRPr="006D6727">
              <w:rPr>
                <w:rStyle w:val="ECCParagraph"/>
                <w:noProof/>
              </w:rPr>
              <w:t>Antenna type</w:t>
            </w:r>
          </w:p>
        </w:tc>
        <w:tc>
          <w:tcPr>
            <w:tcW w:w="1628" w:type="pct"/>
          </w:tcPr>
          <w:p w14:paraId="5B33B77D" w14:textId="77777777" w:rsidR="00DB4333" w:rsidRPr="006D6727" w:rsidRDefault="00DB4333" w:rsidP="00EA11B9">
            <w:pPr>
              <w:pStyle w:val="ECCTabletext"/>
              <w:jc w:val="left"/>
              <w:rPr>
                <w:rStyle w:val="ECCParagraph"/>
                <w:noProof/>
              </w:rPr>
            </w:pPr>
            <w:r w:rsidRPr="006D6727">
              <w:rPr>
                <w:rStyle w:val="ECCParagraph"/>
                <w:noProof/>
              </w:rPr>
              <w:t>mechanically tilted horn- and lens-horn antennas, planar antenna arrays, mechanically fixed horn- and lens-horn antennas, planar antenna arrays with electromagnetic deflection unit</w:t>
            </w:r>
          </w:p>
        </w:tc>
        <w:tc>
          <w:tcPr>
            <w:tcW w:w="1668" w:type="pct"/>
          </w:tcPr>
          <w:p w14:paraId="6A132AB2" w14:textId="77777777" w:rsidR="00DB4333" w:rsidRPr="006D6727" w:rsidRDefault="00DB4333" w:rsidP="00EA11B9">
            <w:pPr>
              <w:pStyle w:val="ECCTabletext"/>
              <w:jc w:val="left"/>
              <w:rPr>
                <w:rStyle w:val="ECCParagraph"/>
                <w:noProof/>
              </w:rPr>
            </w:pPr>
            <w:r w:rsidRPr="006D6727">
              <w:rPr>
                <w:rStyle w:val="ECCParagraph"/>
                <w:noProof/>
              </w:rPr>
              <w:t>application dependent</w:t>
            </w:r>
          </w:p>
        </w:tc>
      </w:tr>
      <w:tr w:rsidR="00DB4333" w:rsidRPr="006D6727" w14:paraId="0E001603" w14:textId="77777777" w:rsidTr="00981F71">
        <w:trPr>
          <w:trHeight w:val="265"/>
        </w:trPr>
        <w:tc>
          <w:tcPr>
            <w:tcW w:w="1704" w:type="pct"/>
          </w:tcPr>
          <w:p w14:paraId="20A39288" w14:textId="77777777" w:rsidR="00DB4333" w:rsidRPr="006D6727" w:rsidRDefault="00DB4333" w:rsidP="00EA11B9">
            <w:pPr>
              <w:pStyle w:val="ECCTabletext"/>
              <w:jc w:val="left"/>
              <w:rPr>
                <w:rStyle w:val="ECCParagraph"/>
                <w:noProof/>
              </w:rPr>
            </w:pPr>
            <w:r w:rsidRPr="006D6727">
              <w:rPr>
                <w:rStyle w:val="ECCParagraph"/>
                <w:noProof/>
              </w:rPr>
              <w:t xml:space="preserve">Antenna half power beamwidth </w:t>
            </w:r>
          </w:p>
        </w:tc>
        <w:tc>
          <w:tcPr>
            <w:tcW w:w="1628" w:type="pct"/>
          </w:tcPr>
          <w:p w14:paraId="3E392494" w14:textId="77777777" w:rsidR="00DB4333" w:rsidRPr="006D6727" w:rsidRDefault="00DB4333" w:rsidP="00DB4333">
            <w:pPr>
              <w:rPr>
                <w:rStyle w:val="ECCParagraph"/>
                <w:noProof/>
              </w:rPr>
            </w:pPr>
            <w:r w:rsidRPr="006D6727">
              <w:rPr>
                <w:rStyle w:val="ECCParagraph"/>
                <w:noProof/>
              </w:rPr>
              <w:t>3° to 5°</w:t>
            </w:r>
          </w:p>
        </w:tc>
        <w:tc>
          <w:tcPr>
            <w:tcW w:w="1668" w:type="pct"/>
            <w:vMerge w:val="restart"/>
          </w:tcPr>
          <w:p w14:paraId="313D0BF2" w14:textId="0290A9DB" w:rsidR="00DB4333" w:rsidRPr="006D6727" w:rsidRDefault="00DB4333" w:rsidP="00EA11B9">
            <w:pPr>
              <w:pStyle w:val="ECCTabletext"/>
              <w:jc w:val="left"/>
              <w:rPr>
                <w:rStyle w:val="ECCParagraph"/>
                <w:noProof/>
              </w:rPr>
            </w:pPr>
            <w:r w:rsidRPr="006D6727">
              <w:rPr>
                <w:rStyle w:val="ECCParagraph"/>
                <w:noProof/>
              </w:rPr>
              <w:t xml:space="preserve">depends on individual antenna type (see </w:t>
            </w:r>
            <w:r w:rsidRPr="006D6727">
              <w:rPr>
                <w:rStyle w:val="ECCParagraph"/>
                <w:noProof/>
              </w:rPr>
              <w:fldChar w:fldCharType="begin"/>
            </w:r>
            <w:r w:rsidRPr="006D6727">
              <w:rPr>
                <w:rStyle w:val="ECCParagraph"/>
                <w:noProof/>
              </w:rPr>
              <w:instrText xml:space="preserve"> REF _Ref27493566 \r \h </w:instrText>
            </w:r>
            <w:r w:rsidRPr="006D6727">
              <w:rPr>
                <w:rStyle w:val="ECCParagraph"/>
                <w:noProof/>
              </w:rPr>
            </w:r>
            <w:r w:rsidRPr="006D6727">
              <w:rPr>
                <w:rStyle w:val="ECCParagraph"/>
                <w:noProof/>
              </w:rPr>
              <w:fldChar w:fldCharType="separate"/>
            </w:r>
            <w:r w:rsidR="0041125F">
              <w:rPr>
                <w:rStyle w:val="ECCParagraph"/>
                <w:noProof/>
              </w:rPr>
              <w:t>A</w:t>
            </w:r>
            <w:r w:rsidR="00D0283F">
              <w:rPr>
                <w:rStyle w:val="ECCParagraph"/>
                <w:noProof/>
              </w:rPr>
              <w:t>nnex</w:t>
            </w:r>
            <w:r w:rsidR="0041125F">
              <w:rPr>
                <w:rStyle w:val="ECCParagraph"/>
                <w:noProof/>
              </w:rPr>
              <w:t xml:space="preserve"> 4</w:t>
            </w:r>
            <w:r w:rsidRPr="006D6727">
              <w:rPr>
                <w:rStyle w:val="ECCParagraph"/>
                <w:noProof/>
              </w:rPr>
              <w:fldChar w:fldCharType="end"/>
            </w:r>
            <w:r w:rsidRPr="006D6727">
              <w:rPr>
                <w:rStyle w:val="ECCParagraph"/>
                <w:noProof/>
              </w:rPr>
              <w:t>)</w:t>
            </w:r>
          </w:p>
        </w:tc>
      </w:tr>
      <w:tr w:rsidR="00DB4333" w:rsidRPr="006D6727" w14:paraId="5611B80E" w14:textId="77777777" w:rsidTr="00981F71">
        <w:trPr>
          <w:trHeight w:val="265"/>
        </w:trPr>
        <w:tc>
          <w:tcPr>
            <w:tcW w:w="1704" w:type="pct"/>
          </w:tcPr>
          <w:p w14:paraId="3459356D" w14:textId="77777777" w:rsidR="00DB4333" w:rsidRPr="006D6727" w:rsidRDefault="00DB4333" w:rsidP="00EA11B9">
            <w:pPr>
              <w:pStyle w:val="ECCTabletext"/>
              <w:jc w:val="left"/>
              <w:rPr>
                <w:rStyle w:val="ECCParagraph"/>
                <w:noProof/>
              </w:rPr>
            </w:pPr>
            <w:r w:rsidRPr="006D6727">
              <w:rPr>
                <w:rStyle w:val="ECCParagraph"/>
                <w:noProof/>
              </w:rPr>
              <w:t>Antenna gain</w:t>
            </w:r>
          </w:p>
        </w:tc>
        <w:tc>
          <w:tcPr>
            <w:tcW w:w="1628" w:type="pct"/>
          </w:tcPr>
          <w:p w14:paraId="5D63633F" w14:textId="77777777" w:rsidR="00DB4333" w:rsidRPr="006D6727" w:rsidRDefault="005965E1" w:rsidP="00EA11B9">
            <w:pPr>
              <w:pStyle w:val="ECCTabletext"/>
              <w:jc w:val="left"/>
              <w:rPr>
                <w:rStyle w:val="ECCParagraph"/>
                <w:noProof/>
              </w:rPr>
            </w:pPr>
            <w:r>
              <w:rPr>
                <w:rStyle w:val="ECCParagraph"/>
              </w:rPr>
              <w:t xml:space="preserve">typically </w:t>
            </w:r>
            <w:r w:rsidR="000141B2">
              <w:rPr>
                <w:rStyle w:val="ECCParagraph"/>
              </w:rPr>
              <w:t>up to</w:t>
            </w:r>
            <w:r w:rsidR="000141B2" w:rsidRPr="006D6727">
              <w:rPr>
                <w:rStyle w:val="ECCParagraph"/>
                <w:noProof/>
              </w:rPr>
              <w:t xml:space="preserve"> </w:t>
            </w:r>
            <w:r w:rsidR="00DB4333" w:rsidRPr="006D6727">
              <w:rPr>
                <w:rStyle w:val="ECCParagraph"/>
                <w:noProof/>
              </w:rPr>
              <w:t>to 32 dBi</w:t>
            </w:r>
          </w:p>
        </w:tc>
        <w:tc>
          <w:tcPr>
            <w:tcW w:w="1668" w:type="pct"/>
            <w:vMerge/>
          </w:tcPr>
          <w:p w14:paraId="48E3611F" w14:textId="77777777" w:rsidR="00DB4333" w:rsidRPr="006D6727" w:rsidRDefault="00DB4333" w:rsidP="00DB4333">
            <w:pPr>
              <w:pStyle w:val="ECCTabletext"/>
              <w:rPr>
                <w:rStyle w:val="ECCHLyellow"/>
                <w:noProof/>
              </w:rPr>
            </w:pPr>
          </w:p>
        </w:tc>
      </w:tr>
      <w:tr w:rsidR="00DB4333" w:rsidRPr="006D6727" w14:paraId="21CFF381" w14:textId="77777777" w:rsidTr="00981F71">
        <w:trPr>
          <w:trHeight w:val="265"/>
        </w:trPr>
        <w:tc>
          <w:tcPr>
            <w:tcW w:w="1704" w:type="pct"/>
          </w:tcPr>
          <w:p w14:paraId="00CECA1B" w14:textId="77777777" w:rsidR="00DB4333" w:rsidRPr="006D6727" w:rsidRDefault="00DB4333" w:rsidP="00EA11B9">
            <w:pPr>
              <w:pStyle w:val="ECCTabletext"/>
              <w:jc w:val="left"/>
              <w:rPr>
                <w:rStyle w:val="ECCParagraph"/>
                <w:noProof/>
              </w:rPr>
            </w:pPr>
            <w:r w:rsidRPr="006D6727">
              <w:rPr>
                <w:rStyle w:val="ECCParagraph"/>
                <w:noProof/>
              </w:rPr>
              <w:t>Maximum antenna gain in angles &gt;60°</w:t>
            </w:r>
          </w:p>
        </w:tc>
        <w:tc>
          <w:tcPr>
            <w:tcW w:w="1628" w:type="pct"/>
          </w:tcPr>
          <w:p w14:paraId="182C1932" w14:textId="77777777" w:rsidR="00DB4333" w:rsidRPr="006D6727" w:rsidRDefault="00DB4333" w:rsidP="00EA11B9">
            <w:pPr>
              <w:pStyle w:val="ECCTabletext"/>
              <w:jc w:val="left"/>
              <w:rPr>
                <w:rStyle w:val="ECCParagraph"/>
                <w:noProof/>
              </w:rPr>
            </w:pPr>
            <w:r w:rsidRPr="006D6727">
              <w:rPr>
                <w:rStyle w:val="ECCParagraph"/>
                <w:noProof/>
              </w:rPr>
              <w:t>−5 to 0 dBi</w:t>
            </w:r>
          </w:p>
        </w:tc>
        <w:tc>
          <w:tcPr>
            <w:tcW w:w="1668" w:type="pct"/>
            <w:vMerge/>
          </w:tcPr>
          <w:p w14:paraId="6ECF4D28" w14:textId="77777777" w:rsidR="00DB4333" w:rsidRPr="006D6727" w:rsidRDefault="00DB4333" w:rsidP="00DB4333">
            <w:pPr>
              <w:pStyle w:val="ECCTabletext"/>
              <w:rPr>
                <w:rStyle w:val="ECCHLyellow"/>
                <w:noProof/>
              </w:rPr>
            </w:pPr>
          </w:p>
        </w:tc>
      </w:tr>
      <w:tr w:rsidR="00DB4333" w:rsidRPr="006D6727" w14:paraId="2BBD2324" w14:textId="77777777" w:rsidTr="00981F71">
        <w:trPr>
          <w:trHeight w:val="265"/>
        </w:trPr>
        <w:tc>
          <w:tcPr>
            <w:tcW w:w="1704" w:type="pct"/>
          </w:tcPr>
          <w:p w14:paraId="41BD5063" w14:textId="77777777" w:rsidR="00DB4333" w:rsidRPr="006D6727" w:rsidRDefault="00DB4333" w:rsidP="00EA11B9">
            <w:pPr>
              <w:pStyle w:val="ECCTabletext"/>
              <w:jc w:val="left"/>
              <w:rPr>
                <w:rStyle w:val="ECCParagraph"/>
                <w:noProof/>
              </w:rPr>
            </w:pPr>
            <w:r w:rsidRPr="006D6727">
              <w:rPr>
                <w:rStyle w:val="ECCParagraph"/>
                <w:noProof/>
              </w:rPr>
              <w:t>Maximum antenna gain in angles 20°-30°</w:t>
            </w:r>
          </w:p>
        </w:tc>
        <w:tc>
          <w:tcPr>
            <w:tcW w:w="1628" w:type="pct"/>
          </w:tcPr>
          <w:p w14:paraId="16C1CC78" w14:textId="77777777" w:rsidR="00DB4333" w:rsidRPr="006D6727" w:rsidRDefault="00DB4333" w:rsidP="00EA11B9">
            <w:pPr>
              <w:pStyle w:val="ECCTabletext"/>
              <w:jc w:val="left"/>
              <w:rPr>
                <w:rStyle w:val="ECCParagraph"/>
                <w:noProof/>
              </w:rPr>
            </w:pPr>
            <w:r w:rsidRPr="006D6727">
              <w:rPr>
                <w:rStyle w:val="ECCParagraph"/>
                <w:noProof/>
              </w:rPr>
              <w:t>−3 to 4 dBi</w:t>
            </w:r>
          </w:p>
        </w:tc>
        <w:tc>
          <w:tcPr>
            <w:tcW w:w="1668" w:type="pct"/>
            <w:vMerge/>
          </w:tcPr>
          <w:p w14:paraId="23CDDDA7" w14:textId="77777777" w:rsidR="00DB4333" w:rsidRPr="006D6727" w:rsidRDefault="00DB4333" w:rsidP="00DB4333">
            <w:pPr>
              <w:pStyle w:val="ECCTabletext"/>
              <w:rPr>
                <w:rStyle w:val="ECCHLyellow"/>
                <w:noProof/>
              </w:rPr>
            </w:pPr>
          </w:p>
        </w:tc>
      </w:tr>
      <w:tr w:rsidR="00DB4333" w:rsidRPr="006D6727" w14:paraId="5F4EFD77" w14:textId="77777777" w:rsidTr="00981F71">
        <w:trPr>
          <w:trHeight w:val="265"/>
        </w:trPr>
        <w:tc>
          <w:tcPr>
            <w:tcW w:w="1704" w:type="pct"/>
          </w:tcPr>
          <w:p w14:paraId="11F9DCE5" w14:textId="77777777" w:rsidR="00DB4333" w:rsidRPr="006D6727" w:rsidRDefault="00DB4333" w:rsidP="00EA11B9">
            <w:pPr>
              <w:pStyle w:val="ECCTabletext"/>
              <w:jc w:val="left"/>
              <w:rPr>
                <w:rStyle w:val="ECCParagraph"/>
                <w:noProof/>
              </w:rPr>
            </w:pPr>
            <w:r w:rsidRPr="006D6727">
              <w:rPr>
                <w:rStyle w:val="ECCParagraph"/>
                <w:noProof/>
              </w:rPr>
              <w:t>Antenna polarisation</w:t>
            </w:r>
          </w:p>
        </w:tc>
        <w:tc>
          <w:tcPr>
            <w:tcW w:w="1628" w:type="pct"/>
          </w:tcPr>
          <w:p w14:paraId="399BF53D" w14:textId="77777777" w:rsidR="00DB4333" w:rsidRPr="006D6727" w:rsidRDefault="00DB4333" w:rsidP="00EA11B9">
            <w:pPr>
              <w:pStyle w:val="ECCTabletext"/>
              <w:jc w:val="left"/>
              <w:rPr>
                <w:rStyle w:val="ECCParagraph"/>
                <w:noProof/>
              </w:rPr>
            </w:pPr>
            <w:r w:rsidRPr="006D6727">
              <w:rPr>
                <w:rStyle w:val="ECCParagraph"/>
                <w:noProof/>
              </w:rPr>
              <w:t>Linear or circular</w:t>
            </w:r>
          </w:p>
        </w:tc>
        <w:tc>
          <w:tcPr>
            <w:tcW w:w="1668" w:type="pct"/>
            <w:vMerge/>
          </w:tcPr>
          <w:p w14:paraId="2F1BF9E8" w14:textId="77777777" w:rsidR="00DB4333" w:rsidRPr="006D6727" w:rsidRDefault="00DB4333" w:rsidP="00DB4333">
            <w:pPr>
              <w:pStyle w:val="ECCTabletext"/>
              <w:rPr>
                <w:rStyle w:val="ECCHLyellow"/>
                <w:noProof/>
              </w:rPr>
            </w:pPr>
          </w:p>
        </w:tc>
      </w:tr>
    </w:tbl>
    <w:p w14:paraId="745EA34E" w14:textId="0A381B24" w:rsidR="00DB4333" w:rsidRPr="006D6727" w:rsidRDefault="00DB4333" w:rsidP="00DB4333">
      <w:pPr>
        <w:pStyle w:val="Caption"/>
        <w:rPr>
          <w:rFonts w:eastAsia="Calibri"/>
          <w:noProof/>
          <w:lang w:val="en-GB"/>
        </w:rPr>
      </w:pPr>
      <w:bookmarkStart w:id="259" w:name="_Ref36548493"/>
      <w:r w:rsidRPr="006D6727">
        <w:rPr>
          <w:noProof/>
          <w:lang w:val="en-GB"/>
        </w:rPr>
        <w:t>Table </w:t>
      </w:r>
      <w:r w:rsidR="0029546E" w:rsidRPr="006D6727">
        <w:rPr>
          <w:noProof/>
          <w:lang w:val="en-GB"/>
        </w:rPr>
        <w:fldChar w:fldCharType="begin"/>
      </w:r>
      <w:r w:rsidR="0029546E" w:rsidRPr="006D6727">
        <w:rPr>
          <w:noProof/>
          <w:lang w:val="en-GB"/>
        </w:rPr>
        <w:instrText xml:space="preserve"> SEQ Table \* ARABIC </w:instrText>
      </w:r>
      <w:r w:rsidR="0029546E" w:rsidRPr="006D6727">
        <w:rPr>
          <w:noProof/>
          <w:lang w:val="en-GB"/>
        </w:rPr>
        <w:fldChar w:fldCharType="separate"/>
      </w:r>
      <w:r w:rsidR="004F49F9">
        <w:rPr>
          <w:noProof/>
          <w:lang w:val="en-GB"/>
        </w:rPr>
        <w:t>27</w:t>
      </w:r>
      <w:r w:rsidR="0029546E" w:rsidRPr="006D6727">
        <w:rPr>
          <w:noProof/>
          <w:lang w:val="en-GB"/>
        </w:rPr>
        <w:fldChar w:fldCharType="end"/>
      </w:r>
      <w:bookmarkEnd w:id="259"/>
      <w:r w:rsidRPr="006D6727">
        <w:rPr>
          <w:noProof/>
          <w:lang w:val="en-GB"/>
        </w:rPr>
        <w:t xml:space="preserve">: </w:t>
      </w:r>
      <w:r w:rsidRPr="006D6727">
        <w:rPr>
          <w:rStyle w:val="ECCParagraph"/>
          <w:rFonts w:eastAsia="Calibri"/>
          <w:noProof/>
        </w:rPr>
        <w:t>Antenna parameters of PA-CDR and DBF-CDR equipment</w:t>
      </w:r>
    </w:p>
    <w:tbl>
      <w:tblPr>
        <w:tblStyle w:val="ECCTable-redheader"/>
        <w:tblW w:w="5000" w:type="pct"/>
        <w:tblInd w:w="0" w:type="dxa"/>
        <w:tblLook w:val="04A0" w:firstRow="1" w:lastRow="0" w:firstColumn="1" w:lastColumn="0" w:noHBand="0" w:noVBand="1"/>
      </w:tblPr>
      <w:tblGrid>
        <w:gridCol w:w="3282"/>
        <w:gridCol w:w="3135"/>
        <w:gridCol w:w="3212"/>
      </w:tblGrid>
      <w:tr w:rsidR="00DB4333" w:rsidRPr="006D6727" w14:paraId="4E3EC4B0" w14:textId="77777777" w:rsidTr="00981F71">
        <w:trPr>
          <w:cnfStyle w:val="100000000000" w:firstRow="1" w:lastRow="0" w:firstColumn="0" w:lastColumn="0" w:oddVBand="0" w:evenVBand="0" w:oddHBand="0" w:evenHBand="0" w:firstRowFirstColumn="0" w:firstRowLastColumn="0" w:lastRowFirstColumn="0" w:lastRowLastColumn="0"/>
          <w:trHeight w:val="265"/>
        </w:trPr>
        <w:tc>
          <w:tcPr>
            <w:tcW w:w="1704" w:type="pct"/>
          </w:tcPr>
          <w:p w14:paraId="6DABE8CF" w14:textId="77777777" w:rsidR="00DB4333" w:rsidRPr="006D6727" w:rsidRDefault="00DB4333" w:rsidP="00C61139">
            <w:pPr>
              <w:pStyle w:val="ECCTabletext"/>
              <w:spacing w:before="120"/>
              <w:rPr>
                <w:rStyle w:val="ECCParagraph"/>
                <w:bCs/>
                <w:noProof/>
                <w:color w:val="D2232A"/>
                <w:szCs w:val="20"/>
                <w:lang w:eastAsia="en-US" w:bidi="ar-SA"/>
              </w:rPr>
            </w:pPr>
            <w:r w:rsidRPr="006D6727">
              <w:rPr>
                <w:rStyle w:val="ECCParagraph"/>
                <w:noProof/>
              </w:rPr>
              <w:t>Parameter</w:t>
            </w:r>
          </w:p>
        </w:tc>
        <w:tc>
          <w:tcPr>
            <w:tcW w:w="1628" w:type="pct"/>
          </w:tcPr>
          <w:p w14:paraId="770F489A" w14:textId="77777777" w:rsidR="00DB4333" w:rsidRPr="006D6727" w:rsidRDefault="00DB4333" w:rsidP="00C61139">
            <w:pPr>
              <w:pStyle w:val="ECCTabletext"/>
              <w:spacing w:before="120"/>
              <w:rPr>
                <w:rStyle w:val="ECCParagraph"/>
                <w:b w:val="0"/>
                <w:noProof/>
                <w:color w:val="auto"/>
                <w:lang w:eastAsia="en-US" w:bidi="ar-SA"/>
              </w:rPr>
            </w:pPr>
            <w:r w:rsidRPr="006D6727">
              <w:rPr>
                <w:rStyle w:val="ECCParagraph"/>
                <w:noProof/>
              </w:rPr>
              <w:t>Value</w:t>
            </w:r>
          </w:p>
        </w:tc>
        <w:tc>
          <w:tcPr>
            <w:tcW w:w="1668" w:type="pct"/>
          </w:tcPr>
          <w:p w14:paraId="20614272" w14:textId="77777777" w:rsidR="00DB4333" w:rsidRPr="006D6727" w:rsidRDefault="00DB4333" w:rsidP="00C61139">
            <w:pPr>
              <w:pStyle w:val="ECCTabletext"/>
              <w:spacing w:before="120"/>
              <w:rPr>
                <w:rStyle w:val="ECCParagraph"/>
                <w:b w:val="0"/>
                <w:noProof/>
                <w:color w:val="auto"/>
                <w:lang w:eastAsia="en-US" w:bidi="ar-SA"/>
              </w:rPr>
            </w:pPr>
            <w:r w:rsidRPr="006D6727">
              <w:rPr>
                <w:rStyle w:val="ECCParagraph"/>
                <w:noProof/>
              </w:rPr>
              <w:t>Notes</w:t>
            </w:r>
          </w:p>
        </w:tc>
      </w:tr>
      <w:tr w:rsidR="00DB4333" w:rsidRPr="006D6727" w14:paraId="0F8F57B3" w14:textId="77777777" w:rsidTr="00981F71">
        <w:trPr>
          <w:trHeight w:val="265"/>
        </w:trPr>
        <w:tc>
          <w:tcPr>
            <w:tcW w:w="1704" w:type="pct"/>
          </w:tcPr>
          <w:p w14:paraId="590C7365" w14:textId="77777777" w:rsidR="00DB4333" w:rsidRPr="006D6727" w:rsidRDefault="00DB4333" w:rsidP="00EA11B9">
            <w:pPr>
              <w:pStyle w:val="ECCTabletext"/>
              <w:jc w:val="left"/>
              <w:rPr>
                <w:rStyle w:val="ECCParagraph"/>
                <w:noProof/>
              </w:rPr>
            </w:pPr>
            <w:r w:rsidRPr="006D6727">
              <w:rPr>
                <w:rStyle w:val="ECCParagraph"/>
                <w:noProof/>
              </w:rPr>
              <w:t>Antenna type</w:t>
            </w:r>
          </w:p>
        </w:tc>
        <w:tc>
          <w:tcPr>
            <w:tcW w:w="1628" w:type="pct"/>
          </w:tcPr>
          <w:p w14:paraId="4DB3D344" w14:textId="64DA8F1A" w:rsidR="00DB4333" w:rsidRPr="006D6727" w:rsidRDefault="00DB4333" w:rsidP="00EA11B9">
            <w:pPr>
              <w:pStyle w:val="ECCTabletext"/>
              <w:jc w:val="left"/>
              <w:rPr>
                <w:rStyle w:val="ECCParagraph"/>
                <w:noProof/>
              </w:rPr>
            </w:pPr>
            <w:r w:rsidRPr="006D6727">
              <w:rPr>
                <w:rStyle w:val="ECCParagraph"/>
                <w:noProof/>
              </w:rPr>
              <w:t>Antenna system (AS) consisting of multiple single antenna elements (SAE), reali</w:t>
            </w:r>
            <w:r w:rsidR="00EF3E55">
              <w:rPr>
                <w:rStyle w:val="ECCParagraph"/>
                <w:noProof/>
              </w:rPr>
              <w:t>s</w:t>
            </w:r>
            <w:r w:rsidRPr="006D6727">
              <w:rPr>
                <w:rStyle w:val="ECCParagraph"/>
                <w:noProof/>
              </w:rPr>
              <w:t>ed by waveguide output arrays, filled waveguide output arrays, horn- and lens-horn arrays, planar antenna arrays</w:t>
            </w:r>
          </w:p>
        </w:tc>
        <w:tc>
          <w:tcPr>
            <w:tcW w:w="1668" w:type="pct"/>
          </w:tcPr>
          <w:p w14:paraId="06BCAEEC" w14:textId="77777777" w:rsidR="00DB4333" w:rsidRPr="006D6727" w:rsidRDefault="00DB4333" w:rsidP="00EA11B9">
            <w:pPr>
              <w:pStyle w:val="ECCTabletext"/>
              <w:jc w:val="left"/>
              <w:rPr>
                <w:rStyle w:val="ECCParagraph"/>
                <w:noProof/>
              </w:rPr>
            </w:pPr>
            <w:r w:rsidRPr="006D6727">
              <w:rPr>
                <w:rStyle w:val="ECCParagraph"/>
                <w:noProof/>
              </w:rPr>
              <w:t>application dependent</w:t>
            </w:r>
          </w:p>
        </w:tc>
      </w:tr>
      <w:tr w:rsidR="00DB4333" w:rsidRPr="006D6727" w14:paraId="3DED40F7" w14:textId="77777777" w:rsidTr="00981F71">
        <w:trPr>
          <w:trHeight w:val="265"/>
        </w:trPr>
        <w:tc>
          <w:tcPr>
            <w:tcW w:w="1704" w:type="pct"/>
          </w:tcPr>
          <w:p w14:paraId="092417D7" w14:textId="77777777" w:rsidR="00DB4333" w:rsidRPr="006D6727" w:rsidRDefault="00DB4333" w:rsidP="00EA11B9">
            <w:pPr>
              <w:pStyle w:val="ECCTabletext"/>
              <w:jc w:val="left"/>
              <w:rPr>
                <w:rStyle w:val="ECCParagraph"/>
                <w:noProof/>
              </w:rPr>
            </w:pPr>
            <w:r w:rsidRPr="006D6727">
              <w:rPr>
                <w:rStyle w:val="ECCParagraph"/>
                <w:noProof/>
              </w:rPr>
              <w:t>PA-CDR:</w:t>
            </w:r>
            <w:r w:rsidRPr="006D6727">
              <w:rPr>
                <w:rStyle w:val="ECCParagraph"/>
                <w:noProof/>
              </w:rPr>
              <w:br/>
              <w:t xml:space="preserve">Antenna (AS) half power beamwidth </w:t>
            </w:r>
          </w:p>
        </w:tc>
        <w:tc>
          <w:tcPr>
            <w:tcW w:w="1628" w:type="pct"/>
          </w:tcPr>
          <w:p w14:paraId="48B35438" w14:textId="77777777" w:rsidR="00DB4333" w:rsidRPr="006D6727" w:rsidRDefault="00DB4333" w:rsidP="00EA11B9">
            <w:pPr>
              <w:pStyle w:val="ECCTabletext"/>
              <w:jc w:val="left"/>
              <w:rPr>
                <w:rStyle w:val="ECCParagraph"/>
                <w:noProof/>
              </w:rPr>
            </w:pPr>
            <w:r w:rsidRPr="006D6727">
              <w:rPr>
                <w:rStyle w:val="ECCParagraph"/>
                <w:noProof/>
              </w:rPr>
              <w:t>5° (no main lobe deviation)</w:t>
            </w:r>
            <w:r w:rsidRPr="006D6727">
              <w:rPr>
                <w:rStyle w:val="ECCParagraph"/>
                <w:noProof/>
              </w:rPr>
              <w:br/>
              <w:t>11° (main lobe deviation of 60°)</w:t>
            </w:r>
          </w:p>
        </w:tc>
        <w:tc>
          <w:tcPr>
            <w:tcW w:w="1668" w:type="pct"/>
          </w:tcPr>
          <w:p w14:paraId="22B2BC44" w14:textId="77777777" w:rsidR="00DB4333" w:rsidRPr="006D6727" w:rsidRDefault="00DB4333" w:rsidP="00EA11B9">
            <w:pPr>
              <w:pStyle w:val="ECCTabletext"/>
              <w:jc w:val="left"/>
              <w:rPr>
                <w:rStyle w:val="ECCParagraph"/>
                <w:noProof/>
              </w:rPr>
            </w:pPr>
            <w:r w:rsidRPr="006D6727">
              <w:rPr>
                <w:rStyle w:val="ECCParagraph"/>
                <w:noProof/>
              </w:rPr>
              <w:t>Half power beamwidth of SAE not relevant as all elements are in parallel operation active</w:t>
            </w:r>
          </w:p>
        </w:tc>
      </w:tr>
      <w:tr w:rsidR="00DB4333" w:rsidRPr="006D6727" w14:paraId="56D798E8" w14:textId="77777777" w:rsidTr="00981F71">
        <w:trPr>
          <w:trHeight w:val="265"/>
        </w:trPr>
        <w:tc>
          <w:tcPr>
            <w:tcW w:w="1704" w:type="pct"/>
          </w:tcPr>
          <w:p w14:paraId="51E2096A" w14:textId="77777777" w:rsidR="00DB4333" w:rsidRPr="006D6727" w:rsidRDefault="00DB4333" w:rsidP="00EA11B9">
            <w:pPr>
              <w:pStyle w:val="ECCTabletext"/>
              <w:jc w:val="left"/>
              <w:rPr>
                <w:rStyle w:val="ECCParagraph"/>
                <w:noProof/>
              </w:rPr>
            </w:pPr>
            <w:r w:rsidRPr="006D6727">
              <w:rPr>
                <w:rStyle w:val="ECCParagraph"/>
                <w:noProof/>
              </w:rPr>
              <w:t>PA-CDR:</w:t>
            </w:r>
            <w:r w:rsidRPr="006D6727">
              <w:rPr>
                <w:rStyle w:val="ECCParagraph"/>
                <w:noProof/>
              </w:rPr>
              <w:br/>
              <w:t>Antenna gain of complete antenna system (AS)</w:t>
            </w:r>
          </w:p>
        </w:tc>
        <w:tc>
          <w:tcPr>
            <w:tcW w:w="1628" w:type="pct"/>
          </w:tcPr>
          <w:p w14:paraId="678FFE7F" w14:textId="77777777" w:rsidR="00DB4333" w:rsidRPr="006D6727" w:rsidRDefault="005965E1" w:rsidP="00EA11B9">
            <w:pPr>
              <w:pStyle w:val="ECCTabletext"/>
              <w:jc w:val="left"/>
              <w:rPr>
                <w:rStyle w:val="ECCParagraph"/>
                <w:noProof/>
              </w:rPr>
            </w:pPr>
            <w:r>
              <w:rPr>
                <w:rStyle w:val="ECCParagraph"/>
              </w:rPr>
              <w:t xml:space="preserve">typically </w:t>
            </w:r>
            <w:r w:rsidR="005D08B5">
              <w:rPr>
                <w:rStyle w:val="ECCParagraph"/>
              </w:rPr>
              <w:t xml:space="preserve">up to </w:t>
            </w:r>
            <w:r w:rsidR="00DB4333" w:rsidRPr="006D6727">
              <w:rPr>
                <w:rStyle w:val="ECCParagraph"/>
                <w:noProof/>
              </w:rPr>
              <w:t>32</w:t>
            </w:r>
            <w:r w:rsidR="000141B2">
              <w:rPr>
                <w:rStyle w:val="ECCParagraph"/>
              </w:rPr>
              <w:t> </w:t>
            </w:r>
            <w:r w:rsidR="00DB4333" w:rsidRPr="006D6727">
              <w:rPr>
                <w:rStyle w:val="ECCParagraph"/>
                <w:noProof/>
              </w:rPr>
              <w:t>dBi</w:t>
            </w:r>
          </w:p>
        </w:tc>
        <w:tc>
          <w:tcPr>
            <w:tcW w:w="1668" w:type="pct"/>
          </w:tcPr>
          <w:p w14:paraId="1A2349EC" w14:textId="77777777" w:rsidR="00DB4333" w:rsidRPr="006D6727" w:rsidRDefault="00DB4333" w:rsidP="00EA11B9">
            <w:pPr>
              <w:pStyle w:val="ECCTabletext"/>
              <w:jc w:val="left"/>
              <w:rPr>
                <w:rStyle w:val="ECCHLyellow"/>
                <w:noProof/>
              </w:rPr>
            </w:pPr>
            <w:r w:rsidRPr="006D6727">
              <w:rPr>
                <w:rStyle w:val="ECCParagraph"/>
                <w:noProof/>
              </w:rPr>
              <w:t>Antenna gain of SAE not relevant as all elements are in parallel operation active</w:t>
            </w:r>
          </w:p>
        </w:tc>
      </w:tr>
      <w:tr w:rsidR="00DB4333" w:rsidRPr="006D6727" w14:paraId="2423F412" w14:textId="77777777" w:rsidTr="00981F71">
        <w:trPr>
          <w:trHeight w:val="265"/>
        </w:trPr>
        <w:tc>
          <w:tcPr>
            <w:tcW w:w="1704" w:type="pct"/>
          </w:tcPr>
          <w:p w14:paraId="2811E2A3" w14:textId="77777777" w:rsidR="00DB4333" w:rsidRPr="006D6727" w:rsidRDefault="00DB4333" w:rsidP="00EA11B9">
            <w:pPr>
              <w:pStyle w:val="ECCTabletext"/>
              <w:jc w:val="left"/>
              <w:rPr>
                <w:rStyle w:val="ECCParagraph"/>
                <w:noProof/>
              </w:rPr>
            </w:pPr>
            <w:r w:rsidRPr="006D6727">
              <w:rPr>
                <w:rStyle w:val="ECCParagraph"/>
                <w:noProof/>
              </w:rPr>
              <w:t>DBF-CDR:</w:t>
            </w:r>
            <w:r w:rsidRPr="006D6727">
              <w:rPr>
                <w:rStyle w:val="ECCParagraph"/>
                <w:noProof/>
              </w:rPr>
              <w:br/>
              <w:t>Antenna element (SAE) half power beamwidth</w:t>
            </w:r>
          </w:p>
        </w:tc>
        <w:tc>
          <w:tcPr>
            <w:tcW w:w="1628" w:type="pct"/>
          </w:tcPr>
          <w:p w14:paraId="51303F56" w14:textId="77777777" w:rsidR="00DB4333" w:rsidRPr="006D6727" w:rsidRDefault="00DB4333" w:rsidP="00EA11B9">
            <w:pPr>
              <w:pStyle w:val="ECCTabletext"/>
              <w:jc w:val="left"/>
              <w:rPr>
                <w:rStyle w:val="ECCParagraph"/>
                <w:noProof/>
              </w:rPr>
            </w:pPr>
            <w:r w:rsidRPr="006D6727">
              <w:rPr>
                <w:rStyle w:val="ECCParagraph"/>
                <w:noProof/>
              </w:rPr>
              <w:t>120°</w:t>
            </w:r>
          </w:p>
        </w:tc>
        <w:tc>
          <w:tcPr>
            <w:tcW w:w="1668" w:type="pct"/>
          </w:tcPr>
          <w:p w14:paraId="42FAA1F4" w14:textId="77777777" w:rsidR="00DB4333" w:rsidRPr="006D6727" w:rsidRDefault="00DB4333" w:rsidP="00EA11B9">
            <w:pPr>
              <w:pStyle w:val="ECCTabletext"/>
              <w:jc w:val="left"/>
              <w:rPr>
                <w:rStyle w:val="ECCParagraph"/>
                <w:noProof/>
              </w:rPr>
            </w:pPr>
            <w:r w:rsidRPr="006D6727">
              <w:rPr>
                <w:rStyle w:val="ECCParagraph"/>
                <w:noProof/>
              </w:rPr>
              <w:t>Half power beamwidth of AS not relevant as SAE's are activated one by one in TDMA mode</w:t>
            </w:r>
          </w:p>
        </w:tc>
      </w:tr>
      <w:tr w:rsidR="00DB4333" w:rsidRPr="006D6727" w14:paraId="22341D1C" w14:textId="77777777" w:rsidTr="00981F71">
        <w:trPr>
          <w:trHeight w:val="265"/>
        </w:trPr>
        <w:tc>
          <w:tcPr>
            <w:tcW w:w="1704" w:type="pct"/>
          </w:tcPr>
          <w:p w14:paraId="125715A2" w14:textId="77777777" w:rsidR="00DB4333" w:rsidRPr="006D6727" w:rsidRDefault="00F91E20" w:rsidP="00EA11B9">
            <w:pPr>
              <w:pStyle w:val="ECCTabletext"/>
              <w:jc w:val="left"/>
              <w:rPr>
                <w:rStyle w:val="ECCParagraph"/>
                <w:noProof/>
              </w:rPr>
            </w:pPr>
            <w:r w:rsidRPr="006D6727">
              <w:rPr>
                <w:rStyle w:val="ECCParagraph"/>
                <w:noProof/>
              </w:rPr>
              <w:t>D</w:t>
            </w:r>
            <w:r w:rsidR="00DB4333" w:rsidRPr="006D6727">
              <w:rPr>
                <w:rStyle w:val="ECCParagraph"/>
                <w:noProof/>
              </w:rPr>
              <w:t>BF-CDR:</w:t>
            </w:r>
            <w:r w:rsidR="00DB4333" w:rsidRPr="006D6727">
              <w:rPr>
                <w:rStyle w:val="ECCParagraph"/>
                <w:noProof/>
              </w:rPr>
              <w:br/>
              <w:t>Antenna gain of single antenna element (SAE)</w:t>
            </w:r>
          </w:p>
        </w:tc>
        <w:tc>
          <w:tcPr>
            <w:tcW w:w="1628" w:type="pct"/>
          </w:tcPr>
          <w:p w14:paraId="31E59915" w14:textId="77777777" w:rsidR="00DB4333" w:rsidRPr="006D6727" w:rsidRDefault="005965E1" w:rsidP="00EA11B9">
            <w:pPr>
              <w:pStyle w:val="ECCTabletext"/>
              <w:jc w:val="left"/>
              <w:rPr>
                <w:rStyle w:val="ECCParagraph"/>
                <w:noProof/>
              </w:rPr>
            </w:pPr>
            <w:r>
              <w:rPr>
                <w:rStyle w:val="ECCParagraph"/>
              </w:rPr>
              <w:t xml:space="preserve">typically </w:t>
            </w:r>
            <w:r w:rsidR="005D08B5">
              <w:rPr>
                <w:rStyle w:val="ECCParagraph"/>
              </w:rPr>
              <w:t xml:space="preserve">up to </w:t>
            </w:r>
            <w:r w:rsidR="00DB4333" w:rsidRPr="006D6727">
              <w:rPr>
                <w:rStyle w:val="ECCParagraph"/>
                <w:noProof/>
              </w:rPr>
              <w:t>10 dBi</w:t>
            </w:r>
          </w:p>
        </w:tc>
        <w:tc>
          <w:tcPr>
            <w:tcW w:w="1668" w:type="pct"/>
          </w:tcPr>
          <w:p w14:paraId="502E7B11" w14:textId="77777777" w:rsidR="00DB4333" w:rsidRPr="006D6727" w:rsidRDefault="00DB4333" w:rsidP="00EA11B9">
            <w:pPr>
              <w:pStyle w:val="ECCTabletext"/>
              <w:jc w:val="left"/>
              <w:rPr>
                <w:rStyle w:val="ECCHLyellow"/>
                <w:noProof/>
              </w:rPr>
            </w:pPr>
            <w:r w:rsidRPr="006D6727">
              <w:rPr>
                <w:rStyle w:val="ECCParagraph"/>
                <w:noProof/>
              </w:rPr>
              <w:t>Antenna gain of AS not relevant as SAE's are activated one by one in TDMA mode</w:t>
            </w:r>
          </w:p>
        </w:tc>
      </w:tr>
      <w:tr w:rsidR="00DB4333" w:rsidRPr="006D6727" w14:paraId="4FA8EED0" w14:textId="77777777" w:rsidTr="00981F71">
        <w:trPr>
          <w:trHeight w:val="265"/>
        </w:trPr>
        <w:tc>
          <w:tcPr>
            <w:tcW w:w="1704" w:type="pct"/>
          </w:tcPr>
          <w:p w14:paraId="444D7E28" w14:textId="77777777" w:rsidR="00DB4333" w:rsidRPr="006D6727" w:rsidRDefault="00DB4333" w:rsidP="00EA11B9">
            <w:pPr>
              <w:pStyle w:val="ECCTabletext"/>
              <w:jc w:val="left"/>
              <w:rPr>
                <w:rStyle w:val="ECCParagraph"/>
                <w:noProof/>
              </w:rPr>
            </w:pPr>
            <w:r w:rsidRPr="006D6727">
              <w:rPr>
                <w:rStyle w:val="ECCParagraph"/>
                <w:noProof/>
              </w:rPr>
              <w:t>Antenna polarisation</w:t>
            </w:r>
          </w:p>
        </w:tc>
        <w:tc>
          <w:tcPr>
            <w:tcW w:w="1628" w:type="pct"/>
          </w:tcPr>
          <w:p w14:paraId="6BEDAD34" w14:textId="77777777" w:rsidR="00DB4333" w:rsidRPr="006D6727" w:rsidRDefault="00DB4333" w:rsidP="00EA11B9">
            <w:pPr>
              <w:pStyle w:val="ECCTabletext"/>
              <w:jc w:val="left"/>
              <w:rPr>
                <w:rStyle w:val="ECCParagraph"/>
                <w:noProof/>
              </w:rPr>
            </w:pPr>
            <w:r w:rsidRPr="006D6727">
              <w:rPr>
                <w:rStyle w:val="ECCParagraph"/>
                <w:noProof/>
              </w:rPr>
              <w:t>Linear or circular</w:t>
            </w:r>
          </w:p>
        </w:tc>
        <w:tc>
          <w:tcPr>
            <w:tcW w:w="1668" w:type="pct"/>
          </w:tcPr>
          <w:p w14:paraId="181A9A94" w14:textId="77777777" w:rsidR="00DB4333" w:rsidRPr="006D6727" w:rsidRDefault="00DB4333" w:rsidP="00DB4333">
            <w:pPr>
              <w:pStyle w:val="ECCTabletext"/>
              <w:rPr>
                <w:rStyle w:val="ECCHLyellow"/>
                <w:noProof/>
              </w:rPr>
            </w:pPr>
          </w:p>
        </w:tc>
      </w:tr>
    </w:tbl>
    <w:p w14:paraId="1EDE939B" w14:textId="77777777" w:rsidR="00995788" w:rsidRPr="006D6727" w:rsidRDefault="00995788" w:rsidP="004E36C2">
      <w:pPr>
        <w:pStyle w:val="Heading4"/>
        <w:rPr>
          <w:noProof/>
        </w:rPr>
      </w:pPr>
      <w:bookmarkStart w:id="260" w:name="_Ref36548956"/>
      <w:bookmarkStart w:id="261" w:name="_Toc84325281"/>
      <w:r w:rsidRPr="006D6727">
        <w:rPr>
          <w:noProof/>
        </w:rPr>
        <w:t>Market size</w:t>
      </w:r>
      <w:bookmarkEnd w:id="260"/>
      <w:bookmarkEnd w:id="261"/>
    </w:p>
    <w:p w14:paraId="5BD16651" w14:textId="5BF1FF7E" w:rsidR="00DB4333" w:rsidRPr="006D6727" w:rsidRDefault="00DB4333" w:rsidP="00DB4333">
      <w:pPr>
        <w:rPr>
          <w:rStyle w:val="ECCHLyellow"/>
          <w:noProof/>
        </w:rPr>
      </w:pPr>
      <w:r w:rsidRPr="000926DB">
        <w:rPr>
          <w:rStyle w:val="ECCParagraph"/>
          <w:noProof/>
        </w:rPr>
        <w:t>ETSI TR 103 498</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F49F9">
        <w:rPr>
          <w:rStyle w:val="ECCParagraph"/>
          <w:noProof/>
        </w:rPr>
        <w:t>[1]</w:t>
      </w:r>
      <w:r w:rsidRPr="006D6727">
        <w:rPr>
          <w:rStyle w:val="ECCParagraph"/>
          <w:noProof/>
        </w:rPr>
        <w:fldChar w:fldCharType="end"/>
      </w:r>
      <w:r w:rsidRPr="006D6727">
        <w:rPr>
          <w:rStyle w:val="ECCParagraph"/>
          <w:noProof/>
        </w:rPr>
        <w:t xml:space="preserve"> does not give any figures for the market size </w:t>
      </w:r>
      <w:r w:rsidR="0077243A" w:rsidRPr="006D6727">
        <w:rPr>
          <w:rStyle w:val="ECCParagraph"/>
          <w:noProof/>
        </w:rPr>
        <w:t>of</w:t>
      </w:r>
      <w:r w:rsidRPr="006D6727">
        <w:rPr>
          <w:rStyle w:val="ECCParagraph"/>
          <w:noProof/>
        </w:rPr>
        <w:t xml:space="preserve"> CDRs. However, the results of a rough market prediction yielded the expected sales figures given in</w:t>
      </w:r>
      <w:r w:rsidR="00A45A5A" w:rsidRPr="006D6727">
        <w:rPr>
          <w:rStyle w:val="ECCParagraph"/>
          <w:noProof/>
        </w:rPr>
        <w:t xml:space="preserve"> </w:t>
      </w:r>
      <w:r w:rsidR="00A27874">
        <w:rPr>
          <w:rStyle w:val="ECCParagraph"/>
          <w:noProof/>
        </w:rPr>
        <w:fldChar w:fldCharType="begin"/>
      </w:r>
      <w:r w:rsidR="00A27874">
        <w:rPr>
          <w:rStyle w:val="ECCParagraph"/>
          <w:noProof/>
        </w:rPr>
        <w:instrText xml:space="preserve"> REF _Ref49789570 \h </w:instrText>
      </w:r>
      <w:r w:rsidR="00A27874">
        <w:rPr>
          <w:rStyle w:val="ECCParagraph"/>
          <w:noProof/>
        </w:rPr>
      </w:r>
      <w:r w:rsidR="00A27874">
        <w:rPr>
          <w:rStyle w:val="ECCParagraph"/>
          <w:noProof/>
        </w:rPr>
        <w:fldChar w:fldCharType="separate"/>
      </w:r>
      <w:r w:rsidR="0041125F" w:rsidRPr="006D6727">
        <w:rPr>
          <w:rStyle w:val="ECCParagraph"/>
          <w:noProof/>
        </w:rPr>
        <w:t>Table </w:t>
      </w:r>
      <w:r w:rsidR="0041125F">
        <w:rPr>
          <w:noProof/>
        </w:rPr>
        <w:t>28</w:t>
      </w:r>
      <w:r w:rsidR="00A27874">
        <w:rPr>
          <w:rStyle w:val="ECCParagraph"/>
          <w:noProof/>
        </w:rPr>
        <w:fldChar w:fldCharType="end"/>
      </w:r>
      <w:r w:rsidRPr="006D6727">
        <w:rPr>
          <w:rStyle w:val="ECCParagraph"/>
          <w:noProof/>
        </w:rPr>
        <w:t xml:space="preserve">. This estimation also considers a market growth within the first five years after the first launch of the technology. </w:t>
      </w:r>
      <w:r w:rsidRPr="006D6727">
        <w:rPr>
          <w:noProof/>
        </w:rPr>
        <w:t>Given the European land area of 1</w:t>
      </w:r>
      <w:r w:rsidRPr="000926DB">
        <w:rPr>
          <w:noProof/>
        </w:rPr>
        <w:t>0</w:t>
      </w:r>
      <w:r w:rsidR="00CF4994" w:rsidRPr="000926DB">
        <w:t>5</w:t>
      </w:r>
      <w:r w:rsidRPr="000926DB">
        <w:rPr>
          <w:noProof/>
        </w:rPr>
        <w:t>23</w:t>
      </w:r>
      <w:r w:rsidR="00CF4994" w:rsidRPr="000926DB">
        <w:rPr>
          <w:noProof/>
        </w:rPr>
        <w:t>000</w:t>
      </w:r>
      <w:r w:rsidRPr="000926DB">
        <w:rPr>
          <w:noProof/>
        </w:rPr>
        <w:t> km²</w:t>
      </w:r>
      <w:r w:rsidRPr="006D6727">
        <w:rPr>
          <w:noProof/>
        </w:rPr>
        <w:t xml:space="preserve">, </w:t>
      </w:r>
      <w:r w:rsidRPr="006D6727">
        <w:rPr>
          <w:rStyle w:val="ECCParagraph"/>
          <w:noProof/>
        </w:rPr>
        <w:t xml:space="preserve">this translates to the average density of </w:t>
      </w:r>
      <w:r w:rsidR="00DC7D40">
        <w:rPr>
          <w:rStyle w:val="ECCParagraph"/>
        </w:rPr>
        <w:t>0</w:t>
      </w:r>
      <w:r w:rsidR="00CF4994">
        <w:rPr>
          <w:rStyle w:val="ECCParagraph"/>
        </w:rPr>
        <w:t>.0</w:t>
      </w:r>
      <w:r w:rsidR="00DC7D40">
        <w:rPr>
          <w:rStyle w:val="ECCParagraph"/>
        </w:rPr>
        <w:t>0019</w:t>
      </w:r>
      <w:r w:rsidRPr="006D6727">
        <w:rPr>
          <w:rStyle w:val="ECCParagraph"/>
          <w:noProof/>
        </w:rPr>
        <w:t xml:space="preserve"> CDR devices/km² in the band </w:t>
      </w:r>
      <w:r w:rsidR="00DC7D40">
        <w:rPr>
          <w:rStyle w:val="ECCParagraph"/>
        </w:rPr>
        <w:t>116-148</w:t>
      </w:r>
      <w:r w:rsidR="00CF4994">
        <w:rPr>
          <w:rStyle w:val="ECCParagraph"/>
        </w:rPr>
        <w:t>.5</w:t>
      </w:r>
      <w:r w:rsidR="00DC7D40">
        <w:rPr>
          <w:rStyle w:val="ECCParagraph"/>
        </w:rPr>
        <w:t> GHz, 0</w:t>
      </w:r>
      <w:r w:rsidR="00CF4994">
        <w:rPr>
          <w:rStyle w:val="ECCParagraph"/>
        </w:rPr>
        <w:t>.0</w:t>
      </w:r>
      <w:r w:rsidR="00DC7D40">
        <w:rPr>
          <w:rStyle w:val="ECCParagraph"/>
        </w:rPr>
        <w:t>0011 CDR devices/</w:t>
      </w:r>
      <w:r w:rsidR="00DC7D40" w:rsidRPr="00DC7D40">
        <w:rPr>
          <w:rStyle w:val="ECCParagraph"/>
        </w:rPr>
        <w:t xml:space="preserve">km² </w:t>
      </w:r>
      <w:r w:rsidR="00DC7D40">
        <w:rPr>
          <w:rStyle w:val="ECCParagraph"/>
        </w:rPr>
        <w:t xml:space="preserve">in the band </w:t>
      </w:r>
      <w:r w:rsidRPr="006D6727">
        <w:rPr>
          <w:rStyle w:val="ECCParagraph"/>
          <w:noProof/>
        </w:rPr>
        <w:t xml:space="preserve">167-182 GHz and </w:t>
      </w:r>
      <w:r w:rsidR="00DC7D40">
        <w:rPr>
          <w:rStyle w:val="ECCParagraph"/>
        </w:rPr>
        <w:t>0</w:t>
      </w:r>
      <w:r w:rsidR="00CF4994">
        <w:rPr>
          <w:rStyle w:val="ECCParagraph"/>
        </w:rPr>
        <w:t>.0</w:t>
      </w:r>
      <w:r w:rsidR="00DC7D40">
        <w:rPr>
          <w:rStyle w:val="ECCParagraph"/>
        </w:rPr>
        <w:t>0008</w:t>
      </w:r>
      <w:r w:rsidRPr="006D6727">
        <w:rPr>
          <w:rStyle w:val="ECCParagraph"/>
          <w:noProof/>
        </w:rPr>
        <w:t> CDR devices/km² in the band 231</w:t>
      </w:r>
      <w:r w:rsidR="00CF4994">
        <w:rPr>
          <w:rStyle w:val="ECCParagraph"/>
          <w:noProof/>
        </w:rPr>
        <w:t>.5</w:t>
      </w:r>
      <w:r w:rsidRPr="006D6727">
        <w:rPr>
          <w:rStyle w:val="ECCParagraph"/>
          <w:noProof/>
        </w:rPr>
        <w:t>-250 GHz.</w:t>
      </w:r>
    </w:p>
    <w:p w14:paraId="0B4F166F" w14:textId="79A57A3B" w:rsidR="00DB4333" w:rsidRPr="006D6727" w:rsidRDefault="00DB4333" w:rsidP="00DB4333">
      <w:pPr>
        <w:pStyle w:val="Caption"/>
        <w:rPr>
          <w:rStyle w:val="ECCParagraph"/>
          <w:rFonts w:eastAsia="Calibri"/>
          <w:noProof/>
        </w:rPr>
      </w:pPr>
      <w:bookmarkStart w:id="262" w:name="_Ref49789570"/>
      <w:r w:rsidRPr="006D6727">
        <w:rPr>
          <w:rStyle w:val="ECCParagraph"/>
          <w:rFonts w:eastAsia="Calibri"/>
          <w:noProof/>
        </w:rPr>
        <w:t>Table </w:t>
      </w:r>
      <w:r w:rsidR="0029546E" w:rsidRPr="006D6727">
        <w:rPr>
          <w:noProof/>
          <w:lang w:val="en-GB"/>
        </w:rPr>
        <w:fldChar w:fldCharType="begin"/>
      </w:r>
      <w:r w:rsidR="0029546E" w:rsidRPr="006D6727">
        <w:rPr>
          <w:noProof/>
          <w:lang w:val="en-GB"/>
        </w:rPr>
        <w:instrText xml:space="preserve"> SEQ Table \* ARABIC </w:instrText>
      </w:r>
      <w:r w:rsidR="0029546E" w:rsidRPr="006D6727">
        <w:rPr>
          <w:noProof/>
          <w:lang w:val="en-GB"/>
        </w:rPr>
        <w:fldChar w:fldCharType="separate"/>
      </w:r>
      <w:r w:rsidR="004F49F9">
        <w:rPr>
          <w:noProof/>
          <w:lang w:val="en-GB"/>
        </w:rPr>
        <w:t>28</w:t>
      </w:r>
      <w:r w:rsidR="0029546E" w:rsidRPr="006D6727">
        <w:rPr>
          <w:noProof/>
          <w:lang w:val="en-GB"/>
        </w:rPr>
        <w:fldChar w:fldCharType="end"/>
      </w:r>
      <w:bookmarkEnd w:id="262"/>
      <w:r w:rsidRPr="006D6727">
        <w:rPr>
          <w:rStyle w:val="ECCParagraph"/>
          <w:rFonts w:eastAsia="Calibri"/>
          <w:noProof/>
        </w:rPr>
        <w:t>: Estimated sales figures and device densities of CDR devices</w:t>
      </w:r>
    </w:p>
    <w:tbl>
      <w:tblPr>
        <w:tblStyle w:val="ECCTable-redheader"/>
        <w:tblW w:w="5000" w:type="pct"/>
        <w:tblInd w:w="0" w:type="dxa"/>
        <w:tblLook w:val="04A0" w:firstRow="1" w:lastRow="0" w:firstColumn="1" w:lastColumn="0" w:noHBand="0" w:noVBand="1"/>
      </w:tblPr>
      <w:tblGrid>
        <w:gridCol w:w="6657"/>
        <w:gridCol w:w="2972"/>
      </w:tblGrid>
      <w:tr w:rsidR="00DB4333" w:rsidRPr="006D6727" w14:paraId="33FC424B" w14:textId="77777777" w:rsidTr="00981F71">
        <w:trPr>
          <w:cnfStyle w:val="100000000000" w:firstRow="1" w:lastRow="0" w:firstColumn="0" w:lastColumn="0" w:oddVBand="0" w:evenVBand="0" w:oddHBand="0" w:evenHBand="0" w:firstRowFirstColumn="0" w:firstRowLastColumn="0" w:lastRowFirstColumn="0" w:lastRowLastColumn="0"/>
        </w:trPr>
        <w:tc>
          <w:tcPr>
            <w:tcW w:w="3457" w:type="pct"/>
          </w:tcPr>
          <w:p w14:paraId="741C4E1A" w14:textId="77777777" w:rsidR="00DB4333" w:rsidRPr="006D6727" w:rsidRDefault="00DB4333" w:rsidP="00876039">
            <w:pPr>
              <w:pStyle w:val="ECCTableHeaderwhitefont"/>
              <w:rPr>
                <w:noProof/>
              </w:rPr>
            </w:pPr>
            <w:r w:rsidRPr="006D6727">
              <w:rPr>
                <w:noProof/>
              </w:rPr>
              <w:t>Parameter</w:t>
            </w:r>
          </w:p>
        </w:tc>
        <w:tc>
          <w:tcPr>
            <w:tcW w:w="1543" w:type="pct"/>
          </w:tcPr>
          <w:p w14:paraId="7CED3AF8" w14:textId="77777777" w:rsidR="00DB4333" w:rsidRPr="006D6727" w:rsidRDefault="00DB4333" w:rsidP="00EA11B9">
            <w:pPr>
              <w:pStyle w:val="ECCTableHeaderwhitefont"/>
              <w:rPr>
                <w:noProof/>
              </w:rPr>
            </w:pPr>
            <w:r w:rsidRPr="006D6727">
              <w:rPr>
                <w:noProof/>
              </w:rPr>
              <w:t>Value</w:t>
            </w:r>
          </w:p>
        </w:tc>
      </w:tr>
      <w:tr w:rsidR="00DB4333" w:rsidRPr="006D6727" w14:paraId="21F94359" w14:textId="77777777" w:rsidTr="00981F71">
        <w:trPr>
          <w:trHeight w:val="265"/>
        </w:trPr>
        <w:tc>
          <w:tcPr>
            <w:tcW w:w="3457" w:type="pct"/>
          </w:tcPr>
          <w:p w14:paraId="6F87F702" w14:textId="77777777" w:rsidR="00DB4333" w:rsidRPr="006D6727" w:rsidRDefault="00DB4333" w:rsidP="00C61139">
            <w:pPr>
              <w:pStyle w:val="ECCTabletext"/>
              <w:spacing w:before="60"/>
              <w:jc w:val="left"/>
              <w:rPr>
                <w:noProof/>
              </w:rPr>
            </w:pPr>
            <w:r w:rsidRPr="006D6727">
              <w:rPr>
                <w:noProof/>
              </w:rPr>
              <w:t xml:space="preserve">Worldwide accumulated number of CDR devices in the field 5 years after launch in </w:t>
            </w:r>
            <w:r w:rsidR="00EF40D0">
              <w:t>all</w:t>
            </w:r>
            <w:r w:rsidRPr="006D6727">
              <w:rPr>
                <w:noProof/>
              </w:rPr>
              <w:t xml:space="preserve"> </w:t>
            </w:r>
            <w:r w:rsidR="00EF40D0">
              <w:t xml:space="preserve">proposed </w:t>
            </w:r>
            <w:r w:rsidRPr="006D6727">
              <w:rPr>
                <w:noProof/>
              </w:rPr>
              <w:t>frequency ranges</w:t>
            </w:r>
          </w:p>
        </w:tc>
        <w:tc>
          <w:tcPr>
            <w:tcW w:w="1543" w:type="pct"/>
          </w:tcPr>
          <w:p w14:paraId="4E1BF7AB" w14:textId="3F6CEE84" w:rsidR="00DB4333" w:rsidRPr="006D6727" w:rsidRDefault="00DB4333" w:rsidP="00C61139">
            <w:pPr>
              <w:pStyle w:val="ECCTabletext"/>
              <w:spacing w:before="60"/>
              <w:jc w:val="left"/>
              <w:rPr>
                <w:noProof/>
              </w:rPr>
            </w:pPr>
            <w:r w:rsidRPr="006D6727">
              <w:rPr>
                <w:noProof/>
              </w:rPr>
              <w:t>10</w:t>
            </w:r>
            <w:r w:rsidR="00CF4994">
              <w:rPr>
                <w:noProof/>
              </w:rPr>
              <w:t>000</w:t>
            </w:r>
          </w:p>
        </w:tc>
      </w:tr>
      <w:tr w:rsidR="00DB4333" w:rsidRPr="006D6727" w14:paraId="59699B69" w14:textId="77777777" w:rsidTr="00981F71">
        <w:trPr>
          <w:trHeight w:val="265"/>
        </w:trPr>
        <w:tc>
          <w:tcPr>
            <w:tcW w:w="3457" w:type="pct"/>
          </w:tcPr>
          <w:p w14:paraId="72997A35" w14:textId="77777777" w:rsidR="00DB4333" w:rsidRPr="006D6727" w:rsidRDefault="00DB4333" w:rsidP="00C61139">
            <w:pPr>
              <w:pStyle w:val="ECCTabletext"/>
              <w:spacing w:before="60"/>
              <w:jc w:val="left"/>
              <w:rPr>
                <w:noProof/>
              </w:rPr>
            </w:pPr>
            <w:r w:rsidRPr="006D6727">
              <w:rPr>
                <w:noProof/>
              </w:rPr>
              <w:t>Fraction of devices sold for the European market in all bands</w:t>
            </w:r>
          </w:p>
        </w:tc>
        <w:tc>
          <w:tcPr>
            <w:tcW w:w="1543" w:type="pct"/>
          </w:tcPr>
          <w:p w14:paraId="04F22B09" w14:textId="51071B63" w:rsidR="00DB4333" w:rsidRPr="006D6727" w:rsidRDefault="00DB4333" w:rsidP="00C61139">
            <w:pPr>
              <w:pStyle w:val="ECCTabletext"/>
              <w:spacing w:before="60"/>
              <w:jc w:val="left"/>
              <w:rPr>
                <w:noProof/>
              </w:rPr>
            </w:pPr>
            <w:r w:rsidRPr="006D6727">
              <w:rPr>
                <w:noProof/>
              </w:rPr>
              <w:t>40</w:t>
            </w:r>
            <w:r w:rsidR="00F800A2">
              <w:rPr>
                <w:noProof/>
              </w:rPr>
              <w:t>%</w:t>
            </w:r>
          </w:p>
        </w:tc>
      </w:tr>
      <w:tr w:rsidR="00035820" w:rsidRPr="006D6727" w14:paraId="56DB8220" w14:textId="77777777" w:rsidTr="00981F71">
        <w:trPr>
          <w:trHeight w:val="265"/>
        </w:trPr>
        <w:tc>
          <w:tcPr>
            <w:tcW w:w="3457" w:type="pct"/>
          </w:tcPr>
          <w:p w14:paraId="437BEC40" w14:textId="77777777" w:rsidR="00035820" w:rsidRPr="006D6727" w:rsidRDefault="00035820" w:rsidP="00C61139">
            <w:pPr>
              <w:pStyle w:val="ECCTabletext"/>
              <w:spacing w:before="60"/>
              <w:jc w:val="left"/>
              <w:rPr>
                <w:noProof/>
              </w:rPr>
            </w:pPr>
            <w:r w:rsidRPr="00035820">
              <w:t>Fraction of CDR devices sold in the band 1</w:t>
            </w:r>
            <w:r>
              <w:t>16</w:t>
            </w:r>
            <w:r w:rsidRPr="00035820">
              <w:t>-1</w:t>
            </w:r>
            <w:r>
              <w:t>48</w:t>
            </w:r>
            <w:r w:rsidR="00CF4994">
              <w:t>.5</w:t>
            </w:r>
            <w:r w:rsidRPr="00035820">
              <w:t> GHz</w:t>
            </w:r>
          </w:p>
        </w:tc>
        <w:tc>
          <w:tcPr>
            <w:tcW w:w="1543" w:type="pct"/>
          </w:tcPr>
          <w:p w14:paraId="04233CAE" w14:textId="18B29237" w:rsidR="00035820" w:rsidRPr="006D6727" w:rsidRDefault="009E04C3" w:rsidP="00C61139">
            <w:pPr>
              <w:pStyle w:val="ECCTabletext"/>
              <w:spacing w:before="60"/>
              <w:jc w:val="left"/>
              <w:rPr>
                <w:noProof/>
              </w:rPr>
            </w:pPr>
            <w:r>
              <w:t>50</w:t>
            </w:r>
            <w:r w:rsidR="00F800A2">
              <w:t>%</w:t>
            </w:r>
          </w:p>
        </w:tc>
      </w:tr>
      <w:tr w:rsidR="00DB4333" w:rsidRPr="006D6727" w14:paraId="613F5C39" w14:textId="77777777" w:rsidTr="00981F71">
        <w:trPr>
          <w:trHeight w:val="265"/>
        </w:trPr>
        <w:tc>
          <w:tcPr>
            <w:tcW w:w="3457" w:type="pct"/>
          </w:tcPr>
          <w:p w14:paraId="3E1BF831" w14:textId="77777777" w:rsidR="00DB4333" w:rsidRPr="006D6727" w:rsidRDefault="00DB4333" w:rsidP="00C61139">
            <w:pPr>
              <w:pStyle w:val="ECCTabletext"/>
              <w:spacing w:before="60"/>
              <w:jc w:val="left"/>
              <w:rPr>
                <w:noProof/>
              </w:rPr>
            </w:pPr>
            <w:r w:rsidRPr="006D6727">
              <w:rPr>
                <w:noProof/>
              </w:rPr>
              <w:t xml:space="preserve">Fraction of </w:t>
            </w:r>
            <w:r w:rsidR="005C0ED8">
              <w:t>CDR</w:t>
            </w:r>
            <w:r w:rsidRPr="006D6727">
              <w:rPr>
                <w:noProof/>
              </w:rPr>
              <w:t xml:space="preserve"> devices sold in the band 167-182 GHz</w:t>
            </w:r>
          </w:p>
        </w:tc>
        <w:tc>
          <w:tcPr>
            <w:tcW w:w="1543" w:type="pct"/>
          </w:tcPr>
          <w:p w14:paraId="520D3F39" w14:textId="159FF504" w:rsidR="00DB4333" w:rsidRPr="006D6727" w:rsidRDefault="009E04C3" w:rsidP="00C61139">
            <w:pPr>
              <w:pStyle w:val="ECCTabletext"/>
              <w:spacing w:before="60"/>
              <w:jc w:val="left"/>
              <w:rPr>
                <w:noProof/>
              </w:rPr>
            </w:pPr>
            <w:r>
              <w:t>30</w:t>
            </w:r>
            <w:r w:rsidR="00F800A2">
              <w:t>%</w:t>
            </w:r>
          </w:p>
        </w:tc>
      </w:tr>
      <w:tr w:rsidR="00DB4333" w:rsidRPr="006D6727" w14:paraId="42F9794C" w14:textId="77777777" w:rsidTr="00981F71">
        <w:trPr>
          <w:trHeight w:val="265"/>
        </w:trPr>
        <w:tc>
          <w:tcPr>
            <w:tcW w:w="3457" w:type="pct"/>
          </w:tcPr>
          <w:p w14:paraId="56C1F3D6" w14:textId="77777777" w:rsidR="00DB4333" w:rsidRPr="006D6727" w:rsidRDefault="00DB4333" w:rsidP="00C61139">
            <w:pPr>
              <w:pStyle w:val="ECCTabletext"/>
              <w:spacing w:before="60"/>
              <w:jc w:val="left"/>
              <w:rPr>
                <w:noProof/>
              </w:rPr>
            </w:pPr>
            <w:r w:rsidRPr="006D6727">
              <w:rPr>
                <w:noProof/>
              </w:rPr>
              <w:t xml:space="preserve">Fraction of </w:t>
            </w:r>
            <w:r w:rsidR="005C0ED8">
              <w:t>CDR</w:t>
            </w:r>
            <w:r w:rsidR="005C0ED8" w:rsidRPr="006D6727">
              <w:rPr>
                <w:noProof/>
              </w:rPr>
              <w:t xml:space="preserve"> </w:t>
            </w:r>
            <w:r w:rsidRPr="006D6727">
              <w:rPr>
                <w:noProof/>
              </w:rPr>
              <w:t>devices sold in the band 231</w:t>
            </w:r>
            <w:r w:rsidR="00CF4994">
              <w:rPr>
                <w:noProof/>
              </w:rPr>
              <w:t>.5</w:t>
            </w:r>
            <w:r w:rsidRPr="006D6727">
              <w:rPr>
                <w:noProof/>
              </w:rPr>
              <w:t>-250 GHz</w:t>
            </w:r>
          </w:p>
        </w:tc>
        <w:tc>
          <w:tcPr>
            <w:tcW w:w="1543" w:type="pct"/>
          </w:tcPr>
          <w:p w14:paraId="69B43F9E" w14:textId="3487544C" w:rsidR="00DB4333" w:rsidRPr="006D6727" w:rsidRDefault="009E04C3" w:rsidP="00C61139">
            <w:pPr>
              <w:pStyle w:val="ECCTabletext"/>
              <w:spacing w:before="60"/>
              <w:jc w:val="left"/>
              <w:rPr>
                <w:noProof/>
              </w:rPr>
            </w:pPr>
            <w:r>
              <w:t>20</w:t>
            </w:r>
            <w:r w:rsidR="00F800A2">
              <w:t>%</w:t>
            </w:r>
          </w:p>
        </w:tc>
      </w:tr>
      <w:tr w:rsidR="00035820" w:rsidRPr="006D6727" w14:paraId="033DEFB4" w14:textId="77777777" w:rsidTr="00981F71">
        <w:trPr>
          <w:trHeight w:val="265"/>
        </w:trPr>
        <w:tc>
          <w:tcPr>
            <w:tcW w:w="3457" w:type="pct"/>
          </w:tcPr>
          <w:p w14:paraId="77AF3DD6" w14:textId="77777777" w:rsidR="00035820" w:rsidRPr="006D6727" w:rsidRDefault="00035820" w:rsidP="00C61139">
            <w:pPr>
              <w:pStyle w:val="ECCTabletext"/>
              <w:spacing w:before="60"/>
              <w:jc w:val="left"/>
              <w:rPr>
                <w:noProof/>
              </w:rPr>
            </w:pPr>
            <w:r w:rsidRPr="00035820">
              <w:t xml:space="preserve">Accumulated number of CDR devices in the field in Europe 5 years after launch in the band </w:t>
            </w:r>
            <w:r>
              <w:t>116</w:t>
            </w:r>
            <w:r w:rsidRPr="00035820">
              <w:t>-1</w:t>
            </w:r>
            <w:r>
              <w:t>48</w:t>
            </w:r>
            <w:r w:rsidR="00CF4994">
              <w:t>.5</w:t>
            </w:r>
            <w:r w:rsidRPr="00035820">
              <w:t> GHz</w:t>
            </w:r>
          </w:p>
        </w:tc>
        <w:tc>
          <w:tcPr>
            <w:tcW w:w="1543" w:type="pct"/>
          </w:tcPr>
          <w:p w14:paraId="18E423CB" w14:textId="77777777" w:rsidR="00035820" w:rsidRPr="006D6727" w:rsidRDefault="009E04C3" w:rsidP="00C61139">
            <w:pPr>
              <w:pStyle w:val="ECCTabletext"/>
              <w:spacing w:before="60"/>
              <w:jc w:val="left"/>
              <w:rPr>
                <w:noProof/>
              </w:rPr>
            </w:pPr>
            <w:r>
              <w:t>2000</w:t>
            </w:r>
          </w:p>
        </w:tc>
      </w:tr>
      <w:tr w:rsidR="00DB4333" w:rsidRPr="006D6727" w14:paraId="54148EA8" w14:textId="77777777" w:rsidTr="00981F71">
        <w:trPr>
          <w:trHeight w:val="265"/>
        </w:trPr>
        <w:tc>
          <w:tcPr>
            <w:tcW w:w="3457" w:type="pct"/>
          </w:tcPr>
          <w:p w14:paraId="7A216E68" w14:textId="77777777" w:rsidR="00DB4333" w:rsidRPr="006D6727" w:rsidRDefault="00DB4333" w:rsidP="00C61139">
            <w:pPr>
              <w:pStyle w:val="ECCTabletext"/>
              <w:spacing w:before="60"/>
              <w:jc w:val="left"/>
              <w:rPr>
                <w:noProof/>
              </w:rPr>
            </w:pPr>
            <w:r w:rsidRPr="006D6727">
              <w:rPr>
                <w:noProof/>
              </w:rPr>
              <w:t xml:space="preserve">Accumulated number of </w:t>
            </w:r>
            <w:r w:rsidR="005C0ED8">
              <w:t>CDR</w:t>
            </w:r>
            <w:r w:rsidRPr="006D6727">
              <w:rPr>
                <w:noProof/>
              </w:rPr>
              <w:t xml:space="preserve"> devices in the field in Europe 5 years after launch in the band 167-182 GHz</w:t>
            </w:r>
          </w:p>
        </w:tc>
        <w:tc>
          <w:tcPr>
            <w:tcW w:w="1543" w:type="pct"/>
          </w:tcPr>
          <w:p w14:paraId="6F957774" w14:textId="77777777" w:rsidR="00DB4333" w:rsidRPr="006D6727" w:rsidRDefault="009E04C3" w:rsidP="00C61139">
            <w:pPr>
              <w:pStyle w:val="ECCTabletext"/>
              <w:spacing w:before="60"/>
              <w:jc w:val="left"/>
              <w:rPr>
                <w:noProof/>
              </w:rPr>
            </w:pPr>
            <w:r>
              <w:t>1200</w:t>
            </w:r>
          </w:p>
        </w:tc>
      </w:tr>
      <w:tr w:rsidR="00DB4333" w:rsidRPr="006D6727" w14:paraId="4CE21078" w14:textId="77777777" w:rsidTr="00981F71">
        <w:trPr>
          <w:trHeight w:val="265"/>
        </w:trPr>
        <w:tc>
          <w:tcPr>
            <w:tcW w:w="3457" w:type="pct"/>
          </w:tcPr>
          <w:p w14:paraId="33B1A411" w14:textId="77777777" w:rsidR="00DB4333" w:rsidRPr="006D6727" w:rsidRDefault="00DB4333" w:rsidP="00C61139">
            <w:pPr>
              <w:pStyle w:val="ECCTabletext"/>
              <w:spacing w:before="60"/>
              <w:jc w:val="left"/>
              <w:rPr>
                <w:noProof/>
              </w:rPr>
            </w:pPr>
            <w:r w:rsidRPr="006D6727">
              <w:rPr>
                <w:noProof/>
              </w:rPr>
              <w:t xml:space="preserve">Accumulated number of </w:t>
            </w:r>
            <w:r w:rsidR="005C0ED8">
              <w:t>CDR</w:t>
            </w:r>
            <w:r w:rsidRPr="006D6727">
              <w:rPr>
                <w:noProof/>
              </w:rPr>
              <w:t xml:space="preserve"> devices in the field in Europe 5 years after launch in the band 231</w:t>
            </w:r>
            <w:r w:rsidR="00CF4994">
              <w:rPr>
                <w:noProof/>
              </w:rPr>
              <w:t>.5</w:t>
            </w:r>
            <w:r w:rsidRPr="006D6727">
              <w:rPr>
                <w:noProof/>
              </w:rPr>
              <w:t>-250 GHz</w:t>
            </w:r>
          </w:p>
        </w:tc>
        <w:tc>
          <w:tcPr>
            <w:tcW w:w="1543" w:type="pct"/>
          </w:tcPr>
          <w:p w14:paraId="40EFDC45" w14:textId="77777777" w:rsidR="00DB4333" w:rsidRPr="006D6727" w:rsidRDefault="009E04C3" w:rsidP="00C61139">
            <w:pPr>
              <w:pStyle w:val="ECCTabletext"/>
              <w:spacing w:before="60"/>
              <w:jc w:val="left"/>
              <w:rPr>
                <w:noProof/>
              </w:rPr>
            </w:pPr>
            <w:r>
              <w:t>800</w:t>
            </w:r>
          </w:p>
        </w:tc>
      </w:tr>
      <w:tr w:rsidR="00DB4333" w:rsidRPr="006D6727" w14:paraId="0CE90A7A" w14:textId="77777777" w:rsidTr="00981F71">
        <w:trPr>
          <w:trHeight w:val="265"/>
        </w:trPr>
        <w:tc>
          <w:tcPr>
            <w:tcW w:w="3457" w:type="pct"/>
          </w:tcPr>
          <w:p w14:paraId="179E976D" w14:textId="77777777" w:rsidR="00DB4333" w:rsidRPr="006D6727" w:rsidRDefault="00DB4333" w:rsidP="00C61139">
            <w:pPr>
              <w:pStyle w:val="ECCTabletext"/>
              <w:spacing w:before="60"/>
              <w:jc w:val="left"/>
              <w:rPr>
                <w:noProof/>
              </w:rPr>
            </w:pPr>
            <w:r w:rsidRPr="006D6727">
              <w:rPr>
                <w:noProof/>
              </w:rPr>
              <w:t>European land area</w:t>
            </w:r>
          </w:p>
        </w:tc>
        <w:tc>
          <w:tcPr>
            <w:tcW w:w="1543" w:type="pct"/>
          </w:tcPr>
          <w:p w14:paraId="3A23DD2E" w14:textId="608C9B72" w:rsidR="00DB4333" w:rsidRPr="006D6727" w:rsidRDefault="00DB4333" w:rsidP="00C61139">
            <w:pPr>
              <w:pStyle w:val="ECCTabletext"/>
              <w:spacing w:before="60"/>
              <w:jc w:val="left"/>
              <w:rPr>
                <w:noProof/>
              </w:rPr>
            </w:pPr>
            <w:r w:rsidRPr="006D6727">
              <w:rPr>
                <w:noProof/>
              </w:rPr>
              <w:t>10</w:t>
            </w:r>
            <w:r w:rsidR="00CF4994">
              <w:t>5</w:t>
            </w:r>
            <w:r w:rsidRPr="006D6727">
              <w:rPr>
                <w:noProof/>
              </w:rPr>
              <w:t>23</w:t>
            </w:r>
            <w:r w:rsidR="00CF4994">
              <w:rPr>
                <w:noProof/>
              </w:rPr>
              <w:t>000</w:t>
            </w:r>
            <w:r w:rsidRPr="006D6727">
              <w:rPr>
                <w:noProof/>
              </w:rPr>
              <w:t> km²</w:t>
            </w:r>
          </w:p>
        </w:tc>
      </w:tr>
      <w:tr w:rsidR="00035820" w:rsidRPr="006D6727" w14:paraId="7A77C142" w14:textId="77777777" w:rsidTr="00981F71">
        <w:trPr>
          <w:trHeight w:val="265"/>
        </w:trPr>
        <w:tc>
          <w:tcPr>
            <w:tcW w:w="3457" w:type="pct"/>
          </w:tcPr>
          <w:p w14:paraId="634398D9" w14:textId="77777777" w:rsidR="00035820" w:rsidRPr="006D6727" w:rsidRDefault="00035820" w:rsidP="00C61139">
            <w:pPr>
              <w:pStyle w:val="ECCTabletext"/>
              <w:spacing w:before="60"/>
              <w:jc w:val="left"/>
              <w:rPr>
                <w:noProof/>
              </w:rPr>
            </w:pPr>
            <w:r w:rsidRPr="00035820">
              <w:t xml:space="preserve">Average density of CDR devices in Europe in the band </w:t>
            </w:r>
            <w:r>
              <w:t>116</w:t>
            </w:r>
            <w:r w:rsidRPr="00035820">
              <w:t>-1</w:t>
            </w:r>
            <w:r>
              <w:t>48</w:t>
            </w:r>
            <w:r w:rsidR="00CF4994">
              <w:t>.5</w:t>
            </w:r>
            <w:r w:rsidRPr="00035820">
              <w:t> GHz</w:t>
            </w:r>
          </w:p>
        </w:tc>
        <w:tc>
          <w:tcPr>
            <w:tcW w:w="1543" w:type="pct"/>
          </w:tcPr>
          <w:p w14:paraId="334BB551" w14:textId="77777777" w:rsidR="00035820" w:rsidRPr="006D6727" w:rsidRDefault="009E04C3" w:rsidP="00C61139">
            <w:pPr>
              <w:pStyle w:val="ECCTabletext"/>
              <w:spacing w:before="60"/>
              <w:jc w:val="left"/>
              <w:rPr>
                <w:noProof/>
              </w:rPr>
            </w:pPr>
            <w:r>
              <w:t>0</w:t>
            </w:r>
            <w:r w:rsidR="00CF4994">
              <w:t>.0</w:t>
            </w:r>
            <w:r>
              <w:t>0019</w:t>
            </w:r>
            <w:r w:rsidRPr="009E04C3">
              <w:t> devices/km²</w:t>
            </w:r>
          </w:p>
        </w:tc>
      </w:tr>
      <w:tr w:rsidR="00DB4333" w:rsidRPr="006D6727" w14:paraId="4D275AC8" w14:textId="77777777" w:rsidTr="00981F71">
        <w:trPr>
          <w:trHeight w:val="265"/>
        </w:trPr>
        <w:tc>
          <w:tcPr>
            <w:tcW w:w="3457" w:type="pct"/>
          </w:tcPr>
          <w:p w14:paraId="5F3E0333" w14:textId="77777777" w:rsidR="00DB4333" w:rsidRPr="006D6727" w:rsidRDefault="00DB4333" w:rsidP="00C61139">
            <w:pPr>
              <w:pStyle w:val="ECCTabletext"/>
              <w:spacing w:before="60"/>
              <w:jc w:val="left"/>
              <w:rPr>
                <w:noProof/>
              </w:rPr>
            </w:pPr>
            <w:r w:rsidRPr="006D6727">
              <w:rPr>
                <w:noProof/>
              </w:rPr>
              <w:t xml:space="preserve">Average density of </w:t>
            </w:r>
            <w:r w:rsidR="005C0ED8">
              <w:t>CDR</w:t>
            </w:r>
            <w:r w:rsidRPr="006D6727">
              <w:rPr>
                <w:noProof/>
              </w:rPr>
              <w:t xml:space="preserve"> devices in Europe in the band 167-182 GHz</w:t>
            </w:r>
          </w:p>
        </w:tc>
        <w:tc>
          <w:tcPr>
            <w:tcW w:w="1543" w:type="pct"/>
          </w:tcPr>
          <w:p w14:paraId="690DB00A" w14:textId="77777777" w:rsidR="00DB4333" w:rsidRPr="006D6727" w:rsidRDefault="009E04C3" w:rsidP="00C61139">
            <w:pPr>
              <w:pStyle w:val="ECCTabletext"/>
              <w:spacing w:before="60"/>
              <w:jc w:val="left"/>
              <w:rPr>
                <w:noProof/>
              </w:rPr>
            </w:pPr>
            <w:r>
              <w:t>0</w:t>
            </w:r>
            <w:r w:rsidR="00CF4994">
              <w:t>.0</w:t>
            </w:r>
            <w:r>
              <w:t>0011</w:t>
            </w:r>
            <w:r w:rsidR="00DB4333" w:rsidRPr="006D6727">
              <w:rPr>
                <w:noProof/>
              </w:rPr>
              <w:t> devices/km²</w:t>
            </w:r>
          </w:p>
        </w:tc>
      </w:tr>
      <w:tr w:rsidR="00DB4333" w:rsidRPr="006D6727" w14:paraId="3DEF91CE" w14:textId="77777777" w:rsidTr="00981F71">
        <w:trPr>
          <w:trHeight w:val="265"/>
        </w:trPr>
        <w:tc>
          <w:tcPr>
            <w:tcW w:w="3457" w:type="pct"/>
          </w:tcPr>
          <w:p w14:paraId="79D27AC0" w14:textId="77777777" w:rsidR="00DB4333" w:rsidRPr="006D6727" w:rsidRDefault="00DB4333" w:rsidP="00C61139">
            <w:pPr>
              <w:pStyle w:val="ECCTabletext"/>
              <w:spacing w:before="60"/>
              <w:jc w:val="left"/>
              <w:rPr>
                <w:noProof/>
              </w:rPr>
            </w:pPr>
            <w:r w:rsidRPr="006D6727">
              <w:rPr>
                <w:noProof/>
              </w:rPr>
              <w:t xml:space="preserve">Average density of </w:t>
            </w:r>
            <w:r w:rsidR="005C0ED8">
              <w:t>CDR</w:t>
            </w:r>
            <w:r w:rsidRPr="006D6727">
              <w:rPr>
                <w:noProof/>
              </w:rPr>
              <w:t xml:space="preserve"> devices in Europe in the band 231</w:t>
            </w:r>
            <w:r w:rsidR="00CF4994">
              <w:rPr>
                <w:noProof/>
              </w:rPr>
              <w:t>.5</w:t>
            </w:r>
            <w:r w:rsidRPr="006D6727">
              <w:rPr>
                <w:noProof/>
              </w:rPr>
              <w:t>-250 GHz</w:t>
            </w:r>
          </w:p>
        </w:tc>
        <w:tc>
          <w:tcPr>
            <w:tcW w:w="1543" w:type="pct"/>
          </w:tcPr>
          <w:p w14:paraId="1ABC1EA0" w14:textId="77777777" w:rsidR="00DB4333" w:rsidRPr="006D6727" w:rsidRDefault="009E04C3" w:rsidP="00C61139">
            <w:pPr>
              <w:pStyle w:val="ECCTabletext"/>
              <w:spacing w:before="60"/>
              <w:jc w:val="left"/>
              <w:rPr>
                <w:noProof/>
              </w:rPr>
            </w:pPr>
            <w:r>
              <w:t>0</w:t>
            </w:r>
            <w:r w:rsidR="00CF4994">
              <w:t>.0</w:t>
            </w:r>
            <w:r>
              <w:t>0008</w:t>
            </w:r>
            <w:r w:rsidR="00DB4333" w:rsidRPr="006D6727">
              <w:rPr>
                <w:noProof/>
              </w:rPr>
              <w:t> devices/km²</w:t>
            </w:r>
          </w:p>
        </w:tc>
      </w:tr>
    </w:tbl>
    <w:p w14:paraId="2AB94FB9" w14:textId="77777777" w:rsidR="00DB4333" w:rsidRPr="006D6727" w:rsidRDefault="00DB4333" w:rsidP="00DB4333">
      <w:pPr>
        <w:rPr>
          <w:noProof/>
        </w:rPr>
      </w:pPr>
      <w:r w:rsidRPr="006D6727">
        <w:rPr>
          <w:noProof/>
        </w:rPr>
        <w:t>It may be seen from the numbers given above, that the projected average density of CDR devices will be extremely low, as provided for by their industrial type of use and specific nature of applications. This however does not exclude certain cases, where multiple CDR devices could be used in very near proximity in an industrial plant for instance. But given their very low duty cycles and in addition to that the nevertheless unsynchronised nature of CDR devices, even in such cases, adverse aggregation effects may be considered unrealistic.</w:t>
      </w:r>
    </w:p>
    <w:p w14:paraId="2234356A" w14:textId="77777777" w:rsidR="00DB4333" w:rsidRPr="006D6727" w:rsidRDefault="00DB4333" w:rsidP="00DB4333">
      <w:pPr>
        <w:rPr>
          <w:rStyle w:val="ECCParagraph"/>
          <w:noProof/>
        </w:rPr>
      </w:pPr>
      <w:r w:rsidRPr="006D6727">
        <w:rPr>
          <w:noProof/>
        </w:rPr>
        <w:t xml:space="preserve">It should be further noted that it is expected that the majority proportion of CDRs will actually be installed in some kind of roofed industrial areas or will have similar overhead structures reducing the level of emissions outside the installation. </w:t>
      </w:r>
      <w:r w:rsidRPr="006D6727">
        <w:rPr>
          <w:rStyle w:val="ECCParagraph"/>
          <w:noProof/>
        </w:rPr>
        <w:t>Thus, in most cases the CDR equipment is used inside storage halls, roofed bunkers, silos and buildings.</w:t>
      </w:r>
    </w:p>
    <w:p w14:paraId="47F1E8BE" w14:textId="611D3894" w:rsidR="00DB4333" w:rsidRPr="006D6727" w:rsidRDefault="00DB4333" w:rsidP="00DB4333">
      <w:pPr>
        <w:rPr>
          <w:rStyle w:val="ECCParagraph"/>
          <w:noProof/>
        </w:rPr>
      </w:pPr>
      <w:r w:rsidRPr="006D6727">
        <w:rPr>
          <w:rStyle w:val="ECCParagraph"/>
          <w:noProof/>
        </w:rPr>
        <w:t xml:space="preserve">Like for level probing radars, in order to implement the philosophy of worst-case simulations of CDR interference, no additional natural shielding, e.g. treated in Recommendation ITU-R P.2108-0 </w:t>
      </w:r>
      <w:r w:rsidRPr="006D6727">
        <w:rPr>
          <w:rStyle w:val="ECCParagraph"/>
          <w:noProof/>
        </w:rPr>
        <w:fldChar w:fldCharType="begin"/>
      </w:r>
      <w:r w:rsidRPr="006D6727">
        <w:rPr>
          <w:rStyle w:val="ECCParagraph"/>
          <w:noProof/>
        </w:rPr>
        <w:instrText xml:space="preserve"> REF  ITU_R_P_2108_0 \h \w  \* MERGEFORMAT </w:instrText>
      </w:r>
      <w:r w:rsidRPr="006D6727">
        <w:rPr>
          <w:rStyle w:val="ECCParagraph"/>
          <w:noProof/>
        </w:rPr>
      </w:r>
      <w:r w:rsidRPr="006D6727">
        <w:rPr>
          <w:rStyle w:val="ECCParagraph"/>
          <w:noProof/>
        </w:rPr>
        <w:fldChar w:fldCharType="separate"/>
      </w:r>
      <w:r w:rsidR="004F49F9">
        <w:rPr>
          <w:rStyle w:val="ECCParagraph"/>
          <w:noProof/>
        </w:rPr>
        <w:t>[25]</w:t>
      </w:r>
      <w:r w:rsidRPr="006D6727">
        <w:rPr>
          <w:rStyle w:val="ECCParagraph"/>
          <w:noProof/>
        </w:rPr>
        <w:fldChar w:fldCharType="end"/>
      </w:r>
      <w:r w:rsidRPr="006D6727">
        <w:rPr>
          <w:rStyle w:val="ECCParagraph"/>
          <w:noProof/>
        </w:rPr>
        <w:t>, should be considered in the MCL calculations of this ECCReport, i.e. all MCL calculations shall be performed for the worst-case of CDR being placed outdoors, with line-of-sight (LOS) conditions and without any natural shielding. As a result, all calculated interference impacts represent the most conservative estimates, which in many real-life scenarios will be further reduced due to aforementioned natural shielding.</w:t>
      </w:r>
    </w:p>
    <w:p w14:paraId="267A9492" w14:textId="77777777" w:rsidR="001773C2" w:rsidRPr="006D6727" w:rsidRDefault="001773C2" w:rsidP="004E36C2">
      <w:pPr>
        <w:pStyle w:val="Heading4"/>
        <w:rPr>
          <w:noProof/>
        </w:rPr>
      </w:pPr>
      <w:bookmarkStart w:id="263" w:name="_Ref66452431"/>
      <w:bookmarkStart w:id="264" w:name="_Toc84325282"/>
      <w:r w:rsidRPr="006D6727">
        <w:rPr>
          <w:noProof/>
        </w:rPr>
        <w:t>Interference scenarios</w:t>
      </w:r>
      <w:bookmarkEnd w:id="263"/>
      <w:bookmarkEnd w:id="264"/>
    </w:p>
    <w:p w14:paraId="47A26CD2" w14:textId="77777777" w:rsidR="00CD381B" w:rsidRPr="006D6727" w:rsidRDefault="00CD381B" w:rsidP="00CD381B">
      <w:pPr>
        <w:rPr>
          <w:noProof/>
        </w:rPr>
      </w:pPr>
      <w:r w:rsidRPr="006D6727">
        <w:rPr>
          <w:noProof/>
        </w:rPr>
        <w:t>The possible interference scenarios for contour detection and acquisition systems could be divided in the known two broad categories:</w:t>
      </w:r>
    </w:p>
    <w:p w14:paraId="3D358E94" w14:textId="77777777" w:rsidR="00CD381B" w:rsidRPr="006D6727" w:rsidRDefault="00CD381B" w:rsidP="00CD381B">
      <w:pPr>
        <w:pStyle w:val="ECCBulletsLv1"/>
        <w:rPr>
          <w:rStyle w:val="ECCParagraph"/>
          <w:noProof/>
        </w:rPr>
      </w:pPr>
      <w:r w:rsidRPr="006D6727">
        <w:rPr>
          <w:rStyle w:val="ECCParagraph"/>
          <w:noProof/>
        </w:rPr>
        <w:t>Interference over terrestrial paths</w:t>
      </w:r>
    </w:p>
    <w:p w14:paraId="4AAB98E2" w14:textId="77777777" w:rsidR="00CD381B" w:rsidRPr="006D6727" w:rsidRDefault="00CD381B" w:rsidP="00CD381B">
      <w:pPr>
        <w:pStyle w:val="ECCBulletsLv1"/>
        <w:rPr>
          <w:rStyle w:val="ECCParagraph"/>
          <w:noProof/>
        </w:rPr>
      </w:pPr>
      <w:r w:rsidRPr="006D6727">
        <w:rPr>
          <w:rStyle w:val="ECCParagraph"/>
          <w:noProof/>
        </w:rPr>
        <w:t>Interference to EESS (passive) satellite receivers.</w:t>
      </w:r>
    </w:p>
    <w:p w14:paraId="3414FD21" w14:textId="4721AD19" w:rsidR="00CD381B" w:rsidRPr="006D6727" w:rsidRDefault="00CD381B" w:rsidP="00CD381B">
      <w:pPr>
        <w:pStyle w:val="ECCBulletsLv1"/>
        <w:rPr>
          <w:noProof/>
        </w:rPr>
      </w:pPr>
      <w:r w:rsidRPr="006D6727">
        <w:rPr>
          <w:noProof/>
        </w:rPr>
        <w:t xml:space="preserve">This approach is similarly used for example for level probing radars (see </w:t>
      </w:r>
      <w:r w:rsidR="009D5FA2">
        <w:rPr>
          <w:noProof/>
        </w:rPr>
        <w:t>section</w:t>
      </w:r>
      <w:r w:rsidRPr="006D6727">
        <w:rPr>
          <w:noProof/>
        </w:rPr>
        <w:t xml:space="preserve"> </w:t>
      </w:r>
      <w:r w:rsidRPr="006D6727">
        <w:rPr>
          <w:noProof/>
          <w:highlight w:val="yellow"/>
        </w:rPr>
        <w:fldChar w:fldCharType="begin"/>
      </w:r>
      <w:r w:rsidRPr="006D6727">
        <w:rPr>
          <w:noProof/>
        </w:rPr>
        <w:instrText xml:space="preserve"> REF _Ref36548155 \r \h </w:instrText>
      </w:r>
      <w:r w:rsidRPr="006D6727">
        <w:rPr>
          <w:noProof/>
          <w:highlight w:val="yellow"/>
        </w:rPr>
      </w:r>
      <w:r w:rsidRPr="006D6727">
        <w:rPr>
          <w:noProof/>
          <w:highlight w:val="yellow"/>
        </w:rPr>
        <w:fldChar w:fldCharType="separate"/>
      </w:r>
      <w:r w:rsidR="004F49F9">
        <w:rPr>
          <w:noProof/>
        </w:rPr>
        <w:t>2.2.5.6</w:t>
      </w:r>
      <w:r w:rsidRPr="006D6727">
        <w:rPr>
          <w:noProof/>
          <w:highlight w:val="yellow"/>
        </w:rPr>
        <w:fldChar w:fldCharType="end"/>
      </w:r>
      <w:r w:rsidRPr="006D6727">
        <w:rPr>
          <w:noProof/>
        </w:rPr>
        <w:t>).</w:t>
      </w:r>
    </w:p>
    <w:p w14:paraId="243FAB77" w14:textId="77777777" w:rsidR="00CD381B" w:rsidRPr="006D6727" w:rsidRDefault="00CD381B" w:rsidP="00CD381B">
      <w:pPr>
        <w:rPr>
          <w:rStyle w:val="ECCHLbold"/>
          <w:noProof/>
        </w:rPr>
      </w:pPr>
      <w:r w:rsidRPr="006D6727">
        <w:rPr>
          <w:rStyle w:val="ECCHLbold"/>
          <w:noProof/>
        </w:rPr>
        <w:t>Interference over terrestrial paths</w:t>
      </w:r>
    </w:p>
    <w:p w14:paraId="39A1AADB" w14:textId="4B921963" w:rsidR="00CD381B" w:rsidRPr="006D6727" w:rsidRDefault="00CD381B" w:rsidP="00CD381B">
      <w:pPr>
        <w:rPr>
          <w:noProof/>
        </w:rPr>
      </w:pPr>
      <w:r w:rsidRPr="006D6727">
        <w:rPr>
          <w:noProof/>
        </w:rPr>
        <w:t xml:space="preserve">The scenario in which an interference signal, originating from a contour detection radar (CDR) sensor, propagates along a terrestrial path is the most typical one. It will be relevant when evaluating </w:t>
      </w:r>
      <w:r w:rsidR="009D5FA2">
        <w:rPr>
          <w:noProof/>
        </w:rPr>
        <w:t>coexistence</w:t>
      </w:r>
      <w:r w:rsidRPr="006D6727">
        <w:rPr>
          <w:noProof/>
        </w:rPr>
        <w:t xml:space="preserve"> of CDR devices with the following victim services:</w:t>
      </w:r>
    </w:p>
    <w:p w14:paraId="0A2456FF" w14:textId="77777777" w:rsidR="00CD381B" w:rsidRPr="006D6727" w:rsidRDefault="00CD381B" w:rsidP="00CD381B">
      <w:pPr>
        <w:pStyle w:val="ECCBulletsLv1"/>
        <w:rPr>
          <w:noProof/>
        </w:rPr>
      </w:pPr>
      <w:r w:rsidRPr="006D6727">
        <w:rPr>
          <w:noProof/>
        </w:rPr>
        <w:t>Fixed Service (FS) links (PP and BWA),</w:t>
      </w:r>
    </w:p>
    <w:p w14:paraId="2F2A3A65" w14:textId="77777777" w:rsidR="00CD381B" w:rsidRPr="006D6727" w:rsidRDefault="00CD381B" w:rsidP="00CD381B">
      <w:pPr>
        <w:pStyle w:val="ECCBulletsLv1"/>
        <w:rPr>
          <w:noProof/>
        </w:rPr>
      </w:pPr>
      <w:r w:rsidRPr="006D6727">
        <w:rPr>
          <w:noProof/>
        </w:rPr>
        <w:t>Fixed Satellite Service (FSS) earth station receivers,</w:t>
      </w:r>
    </w:p>
    <w:p w14:paraId="020F12A8" w14:textId="77777777" w:rsidR="00CD381B" w:rsidRPr="006D6727" w:rsidRDefault="00CD381B" w:rsidP="00CD381B">
      <w:pPr>
        <w:pStyle w:val="ECCBulletsLv1"/>
        <w:rPr>
          <w:noProof/>
        </w:rPr>
      </w:pPr>
      <w:r w:rsidRPr="006D6727">
        <w:rPr>
          <w:noProof/>
        </w:rPr>
        <w:t>Terrestrial Radio Astronomy Service (RAS).</w:t>
      </w:r>
    </w:p>
    <w:p w14:paraId="174B61F8" w14:textId="77777777" w:rsidR="00CD381B" w:rsidRPr="006D6727" w:rsidRDefault="00CD381B" w:rsidP="00CD381B">
      <w:pPr>
        <w:pStyle w:val="ECCBulletsLv1"/>
        <w:rPr>
          <w:noProof/>
        </w:rPr>
      </w:pPr>
      <w:r w:rsidRPr="006D6727">
        <w:rPr>
          <w:noProof/>
        </w:rPr>
        <w:t>Amateur Radio Service receivers</w:t>
      </w:r>
    </w:p>
    <w:p w14:paraId="41FA1DA5" w14:textId="77777777" w:rsidR="00D034D1" w:rsidRPr="006D6727" w:rsidRDefault="00CD381B" w:rsidP="00CD381B">
      <w:pPr>
        <w:rPr>
          <w:rStyle w:val="ECCParagraph"/>
          <w:noProof/>
        </w:rPr>
      </w:pPr>
      <w:r w:rsidRPr="006D6727">
        <w:rPr>
          <w:rStyle w:val="ECCParagraph"/>
          <w:noProof/>
        </w:rPr>
        <w:t>CDR installations might have an impact on the victim stations through emissions emitting in horizontal direction along the earth's surface. Altogether three different components of such interference could be identified for contour detection radars – emissions radiated over the antenna main beam, emissions from side lobes as well as the reflected signal from the measured surface. For M- and PA-CDR systems all three interference components apply as the direction of main radiation of the antenna is varied over time in order to consecutively sample the surface.</w:t>
      </w:r>
    </w:p>
    <w:p w14:paraId="3350166A" w14:textId="77777777" w:rsidR="00CD381B" w:rsidRPr="006D6727" w:rsidRDefault="00CD381B" w:rsidP="00CD381B">
      <w:pPr>
        <w:rPr>
          <w:rStyle w:val="ECCParagraph"/>
          <w:noProof/>
        </w:rPr>
      </w:pPr>
      <w:r w:rsidRPr="006D6727">
        <w:rPr>
          <w:rStyle w:val="ECCParagraph"/>
          <w:noProof/>
        </w:rPr>
        <w:t>For DBF-CDR the direct path over the antenna main beam is no source of interference as the antenna is permanently aligned vertically downwards towards the surface whose contour is to be determined and the main beam direction doesn’t change over time.</w:t>
      </w:r>
    </w:p>
    <w:p w14:paraId="2278A153" w14:textId="1B9E8A51" w:rsidR="00CD381B" w:rsidRPr="006D6727" w:rsidRDefault="00CD381B" w:rsidP="00CD381B">
      <w:pPr>
        <w:rPr>
          <w:rStyle w:val="ECCParagraph"/>
          <w:noProof/>
        </w:rPr>
      </w:pPr>
      <w:r w:rsidRPr="006D6727">
        <w:rPr>
          <w:rStyle w:val="ECCParagraph"/>
          <w:noProof/>
        </w:rPr>
        <w:t>The resulting interfering signal is then obtained by power summation of the relevant components</w:t>
      </w:r>
      <w:r w:rsidR="00A533B4">
        <w:rPr>
          <w:rStyle w:val="ECCParagraph"/>
          <w:noProof/>
        </w:rPr>
        <w:t xml:space="preserve"> (</w:t>
      </w:r>
      <w:r w:rsidRPr="006D6727">
        <w:rPr>
          <w:rStyle w:val="ECCParagraph"/>
          <w:noProof/>
        </w:rPr>
        <w:t xml:space="preserve">see </w:t>
      </w:r>
      <w:r w:rsidR="00923C0F">
        <w:rPr>
          <w:rStyle w:val="ECCParagraph"/>
          <w:noProof/>
          <w:highlight w:val="yellow"/>
        </w:rPr>
        <w:fldChar w:fldCharType="begin"/>
      </w:r>
      <w:r w:rsidR="00923C0F">
        <w:rPr>
          <w:rStyle w:val="ECCParagraph"/>
          <w:noProof/>
        </w:rPr>
        <w:instrText xml:space="preserve"> REF _Ref44425793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42</w:t>
      </w:r>
      <w:r w:rsidR="00923C0F">
        <w:rPr>
          <w:rStyle w:val="ECCParagraph"/>
          <w:noProof/>
          <w:highlight w:val="yellow"/>
        </w:rPr>
        <w:fldChar w:fldCharType="end"/>
      </w:r>
      <w:r w:rsidR="00923C0F">
        <w:rPr>
          <w:rStyle w:val="ECCParagraph"/>
        </w:rPr>
        <w:t xml:space="preserve"> </w:t>
      </w:r>
      <w:r w:rsidRPr="006D6727">
        <w:rPr>
          <w:rStyle w:val="ECCParagraph"/>
          <w:noProof/>
        </w:rPr>
        <w:t xml:space="preserve">and </w:t>
      </w:r>
      <w:r w:rsidR="00923C0F">
        <w:rPr>
          <w:rStyle w:val="ECCParagraph"/>
          <w:noProof/>
          <w:highlight w:val="yellow"/>
        </w:rPr>
        <w:fldChar w:fldCharType="begin"/>
      </w:r>
      <w:r w:rsidR="00923C0F">
        <w:rPr>
          <w:rStyle w:val="ECCParagraph"/>
          <w:noProof/>
        </w:rPr>
        <w:instrText xml:space="preserve"> REF _Ref44425883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43</w:t>
      </w:r>
      <w:r w:rsidR="00923C0F">
        <w:rPr>
          <w:rStyle w:val="ECCParagraph"/>
          <w:noProof/>
          <w:highlight w:val="yellow"/>
        </w:rPr>
        <w:fldChar w:fldCharType="end"/>
      </w:r>
      <w:r w:rsidR="00A533B4">
        <w:rPr>
          <w:rStyle w:val="ECCParagraph"/>
          <w:noProof/>
        </w:rPr>
        <w:t>)</w:t>
      </w:r>
      <w:r w:rsidRPr="006D6727">
        <w:rPr>
          <w:rStyle w:val="ECCParagraph"/>
          <w:noProof/>
        </w:rPr>
        <w:t>. Due to this approach, it is important that all components are also individually deduced from worst-case estimates.</w:t>
      </w:r>
    </w:p>
    <w:p w14:paraId="08D1A534" w14:textId="574A18E3" w:rsidR="00CD381B" w:rsidRPr="006D6727" w:rsidRDefault="00CD381B" w:rsidP="00CD381B">
      <w:pPr>
        <w:rPr>
          <w:rStyle w:val="ECCParagraph"/>
          <w:noProof/>
        </w:rPr>
      </w:pPr>
      <w:r w:rsidRPr="006D6727">
        <w:rPr>
          <w:rStyle w:val="ECCParagraph"/>
          <w:noProof/>
        </w:rPr>
        <w:t xml:space="preserve">As outlined in ECC Report 139 </w:t>
      </w:r>
      <w:r w:rsidRPr="006D6727">
        <w:rPr>
          <w:rStyle w:val="ECCParagraph"/>
          <w:noProof/>
        </w:rPr>
        <w:fldChar w:fldCharType="begin"/>
      </w:r>
      <w:r w:rsidRPr="006D6727">
        <w:rPr>
          <w:rStyle w:val="ECCParagraph"/>
          <w:noProof/>
        </w:rPr>
        <w:instrText xml:space="preserve"> REF  ECCRep139 \h \w  \* MERGEFORMAT </w:instrText>
      </w:r>
      <w:r w:rsidRPr="006D6727">
        <w:rPr>
          <w:rStyle w:val="ECCParagraph"/>
          <w:noProof/>
        </w:rPr>
      </w:r>
      <w:r w:rsidRPr="006D6727">
        <w:rPr>
          <w:rStyle w:val="ECCParagraph"/>
          <w:noProof/>
        </w:rPr>
        <w:fldChar w:fldCharType="separate"/>
      </w:r>
      <w:r w:rsidR="004F49F9">
        <w:rPr>
          <w:rStyle w:val="ECCParagraph"/>
          <w:noProof/>
        </w:rPr>
        <w:t>[4]</w:t>
      </w:r>
      <w:r w:rsidRPr="006D6727">
        <w:rPr>
          <w:rStyle w:val="ECCParagraph"/>
          <w:noProof/>
        </w:rPr>
        <w:fldChar w:fldCharType="end"/>
      </w:r>
      <w:r w:rsidRPr="006D6727">
        <w:rPr>
          <w:rStyle w:val="ECCParagraph"/>
          <w:noProof/>
        </w:rPr>
        <w:t xml:space="preserve">, it may also be in this case suggested that the reasonable worst-case interference scenario might be described as a CDR installed in an open-air environment over a heap of solid bulk material of fine and dry sand. The reasons why sand is chosen as a representative worst-case material are the same as for level probing radar and can be found ich </w:t>
      </w:r>
      <w:r w:rsidR="009D5FA2">
        <w:rPr>
          <w:rStyle w:val="ECCParagraph"/>
          <w:noProof/>
        </w:rPr>
        <w:t>section</w:t>
      </w:r>
      <w:r w:rsidRPr="006D6727">
        <w:rPr>
          <w:rStyle w:val="ECCParagraph"/>
          <w:noProof/>
        </w:rPr>
        <w:t xml:space="preserve"> </w:t>
      </w:r>
      <w:r w:rsidRPr="006D6727">
        <w:rPr>
          <w:rStyle w:val="ECCParagraph"/>
          <w:noProof/>
          <w:highlight w:val="yellow"/>
        </w:rPr>
        <w:fldChar w:fldCharType="begin"/>
      </w:r>
      <w:r w:rsidRPr="006D6727">
        <w:rPr>
          <w:rStyle w:val="ECCParagraph"/>
          <w:noProof/>
        </w:rPr>
        <w:instrText xml:space="preserve"> REF _Ref36548256 \r \h </w:instrText>
      </w:r>
      <w:r w:rsidRPr="006D6727">
        <w:rPr>
          <w:rStyle w:val="ECCParagraph"/>
          <w:noProof/>
          <w:highlight w:val="yellow"/>
        </w:rPr>
      </w:r>
      <w:r w:rsidRPr="006D6727">
        <w:rPr>
          <w:rStyle w:val="ECCParagraph"/>
          <w:noProof/>
          <w:highlight w:val="yellow"/>
        </w:rPr>
        <w:fldChar w:fldCharType="separate"/>
      </w:r>
      <w:r w:rsidR="004F49F9">
        <w:rPr>
          <w:rStyle w:val="ECCParagraph"/>
          <w:noProof/>
        </w:rPr>
        <w:t>2.2.5.6</w:t>
      </w:r>
      <w:r w:rsidRPr="006D6727">
        <w:rPr>
          <w:rStyle w:val="ECCParagraph"/>
          <w:noProof/>
          <w:highlight w:val="yellow"/>
        </w:rPr>
        <w:fldChar w:fldCharType="end"/>
      </w:r>
      <w:r w:rsidRPr="006D6727">
        <w:rPr>
          <w:rStyle w:val="ECCParagraph"/>
          <w:noProof/>
        </w:rPr>
        <w:t>.</w:t>
      </w:r>
    </w:p>
    <w:p w14:paraId="6DBB6A45" w14:textId="5507BF92" w:rsidR="00CD381B" w:rsidRPr="006D6727" w:rsidRDefault="00CD381B" w:rsidP="00CD381B">
      <w:pPr>
        <w:rPr>
          <w:rStyle w:val="ECCParagraph"/>
          <w:noProof/>
        </w:rPr>
      </w:pPr>
      <w:r w:rsidRPr="006D6727">
        <w:rPr>
          <w:rStyle w:val="ECCParagraph"/>
          <w:noProof/>
        </w:rPr>
        <w:t xml:space="preserve">Hence, the worst-case interference scenario along horizontal terrestrial paths utilised for this compatibility study is illustrated in </w:t>
      </w:r>
      <w:r w:rsidR="00923C0F" w:rsidRPr="00923C0F">
        <w:rPr>
          <w:rStyle w:val="ECCParagraph"/>
          <w:highlight w:val="yellow"/>
        </w:rPr>
        <w:fldChar w:fldCharType="begin"/>
      </w:r>
      <w:r w:rsidR="00923C0F" w:rsidRPr="00923C0F">
        <w:rPr>
          <w:rStyle w:val="ECCParagraph"/>
        </w:rPr>
        <w:instrText xml:space="preserve"> REF _Ref44425793 \h </w:instrText>
      </w:r>
      <w:r w:rsidR="00923C0F" w:rsidRPr="00923C0F">
        <w:rPr>
          <w:rStyle w:val="ECCParagraph"/>
          <w:highlight w:val="yellow"/>
        </w:rPr>
      </w:r>
      <w:r w:rsidR="00923C0F" w:rsidRPr="00923C0F">
        <w:rPr>
          <w:rStyle w:val="ECCParagraph"/>
          <w:highlight w:val="yellow"/>
        </w:rPr>
        <w:fldChar w:fldCharType="separate"/>
      </w:r>
      <w:r w:rsidR="0041125F" w:rsidRPr="00923C0F">
        <w:t>Figure </w:t>
      </w:r>
      <w:r w:rsidR="0041125F">
        <w:rPr>
          <w:noProof/>
        </w:rPr>
        <w:t>42</w:t>
      </w:r>
      <w:r w:rsidR="00923C0F" w:rsidRPr="00923C0F">
        <w:rPr>
          <w:rStyle w:val="ECCParagraph"/>
          <w:highlight w:val="yellow"/>
        </w:rPr>
        <w:fldChar w:fldCharType="end"/>
      </w:r>
      <w:r w:rsidRPr="006D6727">
        <w:rPr>
          <w:rStyle w:val="ECCParagraph"/>
          <w:noProof/>
        </w:rPr>
        <w:t>.</w:t>
      </w:r>
      <w:r w:rsidRPr="006D6727" w:rsidDel="007641CD">
        <w:rPr>
          <w:rStyle w:val="ECCParagraph"/>
          <w:noProof/>
        </w:rPr>
        <w:t xml:space="preserve"> </w:t>
      </w:r>
      <w:r w:rsidRPr="006D6727">
        <w:rPr>
          <w:rStyle w:val="ECCParagraph"/>
          <w:noProof/>
        </w:rPr>
        <w:t xml:space="preserve">It shows that all three paths, the direct component, the side-lobe component and the reflected component emitted by </w:t>
      </w:r>
      <w:r w:rsidR="00F800A2">
        <w:rPr>
          <w:rStyle w:val="ECCParagraph"/>
          <w:noProof/>
        </w:rPr>
        <w:t>M-CDRs and PA-CDRs</w:t>
      </w:r>
      <w:r w:rsidRPr="006D6727">
        <w:rPr>
          <w:rStyle w:val="ECCParagraph"/>
          <w:noProof/>
        </w:rPr>
        <w:t>, are taken into account by first calculating them separately and then performing an ideal power summation.</w:t>
      </w:r>
    </w:p>
    <w:p w14:paraId="49E8C39D" w14:textId="77777777" w:rsidR="00CD381B" w:rsidRPr="006D6727" w:rsidRDefault="00CD381B" w:rsidP="00B767D3">
      <w:pPr>
        <w:pStyle w:val="Caption"/>
        <w:rPr>
          <w:rStyle w:val="ECCParagraph"/>
          <w:noProof/>
        </w:rPr>
      </w:pPr>
      <w:r w:rsidRPr="006D6727">
        <w:rPr>
          <w:noProof/>
          <w:lang w:val="de-DE" w:eastAsia="de-DE"/>
        </w:rPr>
        <w:drawing>
          <wp:inline distT="0" distB="0" distL="0" distR="0" wp14:anchorId="1AA80AB9" wp14:editId="3BB029F5">
            <wp:extent cx="6120765" cy="22256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6120765" cy="2225675"/>
                    </a:xfrm>
                    <a:prstGeom prst="rect">
                      <a:avLst/>
                    </a:prstGeom>
                  </pic:spPr>
                </pic:pic>
              </a:graphicData>
            </a:graphic>
          </wp:inline>
        </w:drawing>
      </w:r>
    </w:p>
    <w:p w14:paraId="01A54344" w14:textId="26C284BB" w:rsidR="00CD381B" w:rsidRPr="006D6727" w:rsidRDefault="00923C0F" w:rsidP="00B767D3">
      <w:pPr>
        <w:pStyle w:val="Caption"/>
        <w:rPr>
          <w:rStyle w:val="ECCParagraph"/>
          <w:noProof/>
        </w:rPr>
      </w:pPr>
      <w:bookmarkStart w:id="265" w:name="_Ref44425793"/>
      <w:r w:rsidRPr="00923C0F">
        <w:t>Figure </w:t>
      </w:r>
      <w:r w:rsidR="00E55534">
        <w:fldChar w:fldCharType="begin"/>
      </w:r>
      <w:r w:rsidR="00E55534">
        <w:instrText>SEQ Figure \*ARABIC \* MERGEFORMAT  \* MERGEFORMAT</w:instrText>
      </w:r>
      <w:r w:rsidR="00E55534">
        <w:fldChar w:fldCharType="separate"/>
      </w:r>
      <w:r w:rsidR="004F49F9">
        <w:rPr>
          <w:noProof/>
        </w:rPr>
        <w:t>42</w:t>
      </w:r>
      <w:r w:rsidR="00E55534">
        <w:rPr>
          <w:noProof/>
        </w:rPr>
        <w:fldChar w:fldCharType="end"/>
      </w:r>
      <w:bookmarkEnd w:id="265"/>
      <w:r w:rsidR="00CD381B" w:rsidRPr="006D6727">
        <w:rPr>
          <w:noProof/>
          <w:lang w:val="en-GB"/>
        </w:rPr>
        <w:t>: Worst-case interference scenario along horizontal terrestrial paths for PA- and M-CDR equipment</w:t>
      </w:r>
    </w:p>
    <w:p w14:paraId="3C124A64" w14:textId="77777777" w:rsidR="003D00FF" w:rsidRPr="006D6727" w:rsidRDefault="003D00FF" w:rsidP="003D00FF">
      <w:pPr>
        <w:rPr>
          <w:rStyle w:val="ECCParagraph"/>
          <w:noProof/>
        </w:rPr>
      </w:pPr>
      <w:r w:rsidRPr="006D6727">
        <w:rPr>
          <w:rStyle w:val="ECCParagraph"/>
          <w:noProof/>
        </w:rPr>
        <w:t>In this scenario it is assumed that the CDR is sampling the surface in 3° steps according to the assumed 3°-HPBW of the antenna in the whole half sphere from θ = 0° to +90° and Φ = 0° to 360°. Thus, altogether 3601 directions of the antenna main beam can be distinguished and are supposed to be measured in this scenario. In order to simplify this model and to follow the worst</w:t>
      </w:r>
      <w:r w:rsidR="00F44788">
        <w:rPr>
          <w:rStyle w:val="ECCParagraph"/>
        </w:rPr>
        <w:t>-</w:t>
      </w:r>
      <w:r w:rsidRPr="006D6727">
        <w:rPr>
          <w:rStyle w:val="ECCParagraph"/>
          <w:noProof/>
        </w:rPr>
        <w:t>case approach, it is assumed that in every direction a side lobe component and a reflected component reach the victim receiver, whereas the direct interference component is only relevant within a relatively small solid angle where the respective Rx-antenna of the victim receiver can be reached. This solid angle is estimated to be equivalent to approximately five directions of the CDR antenna main beam during a measurement cycle. This has to be taken into account when performing the single-entry mean power summation.</w:t>
      </w:r>
    </w:p>
    <w:p w14:paraId="24BCAB22" w14:textId="09A39CCB" w:rsidR="003D00FF" w:rsidRPr="006D6727" w:rsidRDefault="003D00FF" w:rsidP="003D00FF">
      <w:pPr>
        <w:rPr>
          <w:rStyle w:val="ECCParagraph"/>
          <w:noProof/>
        </w:rPr>
      </w:pPr>
      <w:r w:rsidRPr="006D6727">
        <w:rPr>
          <w:rStyle w:val="ECCParagraph"/>
          <w:noProof/>
        </w:rPr>
        <w:t xml:space="preserve">For the DBF-CDR the same terrestrial interference scenario as for level probing radars (see </w:t>
      </w:r>
      <w:r w:rsidR="009D5FA2">
        <w:rPr>
          <w:rStyle w:val="ECCParagraph"/>
          <w:noProof/>
        </w:rPr>
        <w:t>section</w:t>
      </w:r>
      <w:r w:rsidRPr="006D6727">
        <w:rPr>
          <w:rStyle w:val="ECCParagraph"/>
          <w:noProof/>
        </w:rPr>
        <w:t xml:space="preserve"> </w:t>
      </w:r>
      <w:r w:rsidRPr="006D6727">
        <w:rPr>
          <w:rStyle w:val="ECCParagraph"/>
          <w:noProof/>
          <w:highlight w:val="yellow"/>
        </w:rPr>
        <w:fldChar w:fldCharType="begin"/>
      </w:r>
      <w:r w:rsidRPr="006D6727">
        <w:rPr>
          <w:rStyle w:val="ECCParagraph"/>
          <w:noProof/>
        </w:rPr>
        <w:instrText xml:space="preserve"> REF _Ref36548437 \r \h </w:instrText>
      </w:r>
      <w:r w:rsidRPr="006D6727">
        <w:rPr>
          <w:rStyle w:val="ECCParagraph"/>
          <w:noProof/>
          <w:highlight w:val="yellow"/>
        </w:rPr>
      </w:r>
      <w:r w:rsidRPr="006D6727">
        <w:rPr>
          <w:rStyle w:val="ECCParagraph"/>
          <w:noProof/>
          <w:highlight w:val="yellow"/>
        </w:rPr>
        <w:fldChar w:fldCharType="separate"/>
      </w:r>
      <w:r w:rsidR="004F49F9">
        <w:rPr>
          <w:rStyle w:val="ECCParagraph"/>
          <w:noProof/>
        </w:rPr>
        <w:t>2.2.5.6</w:t>
      </w:r>
      <w:r w:rsidRPr="006D6727">
        <w:rPr>
          <w:rStyle w:val="ECCParagraph"/>
          <w:noProof/>
          <w:highlight w:val="yellow"/>
        </w:rPr>
        <w:fldChar w:fldCharType="end"/>
      </w:r>
      <w:r w:rsidRPr="006D6727">
        <w:rPr>
          <w:rStyle w:val="ECCParagraph"/>
          <w:noProof/>
        </w:rPr>
        <w:t xml:space="preserve"> and </w:t>
      </w:r>
      <w:r w:rsidR="00923C0F">
        <w:rPr>
          <w:rStyle w:val="ECCParagraph"/>
          <w:noProof/>
          <w:highlight w:val="yellow"/>
        </w:rPr>
        <w:fldChar w:fldCharType="begin"/>
      </w:r>
      <w:r w:rsidR="00923C0F">
        <w:rPr>
          <w:rStyle w:val="ECCParagraph"/>
          <w:noProof/>
        </w:rPr>
        <w:instrText xml:space="preserve"> REF _Ref44425883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43</w:t>
      </w:r>
      <w:r w:rsidR="00923C0F">
        <w:rPr>
          <w:rStyle w:val="ECCParagraph"/>
          <w:noProof/>
          <w:highlight w:val="yellow"/>
        </w:rPr>
        <w:fldChar w:fldCharType="end"/>
      </w:r>
      <w:r w:rsidRPr="006D6727">
        <w:rPr>
          <w:rStyle w:val="ECCParagraph"/>
          <w:noProof/>
        </w:rPr>
        <w:t xml:space="preserve">) with two interference components is used. This approach is valid, as in contrast to the M- and PA-CDR devices, the radiation pattern of the DBF-CDR system remains stationary while pointing in a downwards direction towards the surface to be sampled. However, the antenna properties, especially gain and HPBW, are different compared to the M- and PA-CDR as indicated in </w:t>
      </w:r>
      <w:r w:rsidRPr="006D6727">
        <w:rPr>
          <w:rStyle w:val="ECCParagraph"/>
          <w:noProof/>
          <w:highlight w:val="yellow"/>
        </w:rPr>
        <w:fldChar w:fldCharType="begin"/>
      </w:r>
      <w:r w:rsidRPr="006D6727">
        <w:rPr>
          <w:rStyle w:val="ECCParagraph"/>
          <w:noProof/>
        </w:rPr>
        <w:instrText xml:space="preserve"> REF _Ref36548487 \h </w:instrText>
      </w:r>
      <w:r w:rsidRPr="006D6727">
        <w:rPr>
          <w:rStyle w:val="ECCParagraph"/>
          <w:noProof/>
          <w:highlight w:val="yellow"/>
        </w:rPr>
      </w:r>
      <w:r w:rsidRPr="006D6727">
        <w:rPr>
          <w:rStyle w:val="ECCParagraph"/>
          <w:noProof/>
          <w:highlight w:val="yellow"/>
        </w:rPr>
        <w:fldChar w:fldCharType="separate"/>
      </w:r>
      <w:r w:rsidR="0041125F" w:rsidRPr="006D6727">
        <w:rPr>
          <w:noProof/>
        </w:rPr>
        <w:t>Table </w:t>
      </w:r>
      <w:r w:rsidR="0041125F">
        <w:rPr>
          <w:noProof/>
        </w:rPr>
        <w:t>26</w:t>
      </w:r>
      <w:r w:rsidRPr="006D6727">
        <w:rPr>
          <w:rStyle w:val="ECCParagraph"/>
          <w:noProof/>
          <w:highlight w:val="yellow"/>
        </w:rPr>
        <w:fldChar w:fldCharType="end"/>
      </w:r>
      <w:r w:rsidRPr="006D6727">
        <w:rPr>
          <w:rStyle w:val="ECCParagraph"/>
          <w:noProof/>
        </w:rPr>
        <w:t xml:space="preserve"> and </w:t>
      </w:r>
      <w:r w:rsidRPr="006D6727">
        <w:rPr>
          <w:rStyle w:val="ECCParagraph"/>
          <w:noProof/>
          <w:highlight w:val="yellow"/>
        </w:rPr>
        <w:fldChar w:fldCharType="begin"/>
      </w:r>
      <w:r w:rsidRPr="006D6727">
        <w:rPr>
          <w:rStyle w:val="ECCParagraph"/>
          <w:noProof/>
        </w:rPr>
        <w:instrText xml:space="preserve"> REF _Ref36548493 \h </w:instrText>
      </w:r>
      <w:r w:rsidRPr="006D6727">
        <w:rPr>
          <w:rStyle w:val="ECCParagraph"/>
          <w:noProof/>
          <w:highlight w:val="yellow"/>
        </w:rPr>
      </w:r>
      <w:r w:rsidRPr="006D6727">
        <w:rPr>
          <w:rStyle w:val="ECCParagraph"/>
          <w:noProof/>
          <w:highlight w:val="yellow"/>
        </w:rPr>
        <w:fldChar w:fldCharType="separate"/>
      </w:r>
      <w:r w:rsidR="0041125F" w:rsidRPr="006D6727">
        <w:rPr>
          <w:noProof/>
        </w:rPr>
        <w:t>Table </w:t>
      </w:r>
      <w:r w:rsidR="0041125F">
        <w:rPr>
          <w:noProof/>
        </w:rPr>
        <w:t>27</w:t>
      </w:r>
      <w:r w:rsidRPr="006D6727">
        <w:rPr>
          <w:rStyle w:val="ECCParagraph"/>
          <w:noProof/>
          <w:highlight w:val="yellow"/>
        </w:rPr>
        <w:fldChar w:fldCharType="end"/>
      </w:r>
      <w:r w:rsidRPr="006D6727">
        <w:rPr>
          <w:rStyle w:val="ECCParagraph"/>
          <w:noProof/>
        </w:rPr>
        <w:t>.</w:t>
      </w:r>
    </w:p>
    <w:p w14:paraId="74FDFD42" w14:textId="77777777" w:rsidR="003D00FF" w:rsidRPr="006D6727" w:rsidRDefault="003D00FF" w:rsidP="00B767D3">
      <w:pPr>
        <w:pStyle w:val="Caption"/>
        <w:rPr>
          <w:rStyle w:val="ECCParagraph"/>
          <w:noProof/>
        </w:rPr>
      </w:pPr>
      <w:r w:rsidRPr="006D6727">
        <w:rPr>
          <w:noProof/>
          <w:lang w:val="de-DE" w:eastAsia="de-DE"/>
        </w:rPr>
        <w:drawing>
          <wp:inline distT="0" distB="0" distL="0" distR="0" wp14:anchorId="7046722B" wp14:editId="5996D77A">
            <wp:extent cx="6120765" cy="2082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6120765" cy="2082800"/>
                    </a:xfrm>
                    <a:prstGeom prst="rect">
                      <a:avLst/>
                    </a:prstGeom>
                  </pic:spPr>
                </pic:pic>
              </a:graphicData>
            </a:graphic>
          </wp:inline>
        </w:drawing>
      </w:r>
    </w:p>
    <w:p w14:paraId="4EE9B8DF" w14:textId="4079809D" w:rsidR="003D00FF" w:rsidRDefault="00923C0F" w:rsidP="00B767D3">
      <w:pPr>
        <w:pStyle w:val="Caption"/>
        <w:rPr>
          <w:noProof/>
          <w:lang w:val="en-GB"/>
        </w:rPr>
      </w:pPr>
      <w:bookmarkStart w:id="266" w:name="_Ref44425883"/>
      <w:r w:rsidRPr="00923C0F">
        <w:t>Figure </w:t>
      </w:r>
      <w:r w:rsidR="00E55534">
        <w:fldChar w:fldCharType="begin"/>
      </w:r>
      <w:r w:rsidR="00E55534">
        <w:instrText>SEQ Figure \*ARABIC \* MERGEFORMAT  \* MERGEFORMAT</w:instrText>
      </w:r>
      <w:r w:rsidR="00E55534">
        <w:fldChar w:fldCharType="separate"/>
      </w:r>
      <w:r w:rsidR="004F49F9">
        <w:rPr>
          <w:noProof/>
        </w:rPr>
        <w:t>43</w:t>
      </w:r>
      <w:r w:rsidR="00E55534">
        <w:rPr>
          <w:noProof/>
        </w:rPr>
        <w:fldChar w:fldCharType="end"/>
      </w:r>
      <w:bookmarkEnd w:id="266"/>
      <w:r w:rsidR="003D00FF" w:rsidRPr="006D6727">
        <w:rPr>
          <w:noProof/>
          <w:lang w:val="en-GB"/>
        </w:rPr>
        <w:t>: Worst-case interference scenario along horizontal terrestrial paths for DBF-CDR equipment</w:t>
      </w:r>
    </w:p>
    <w:p w14:paraId="7766326D" w14:textId="249D6725" w:rsidR="00D034D1" w:rsidRDefault="00D034D1" w:rsidP="00D034D1">
      <w:pPr>
        <w:rPr>
          <w:rStyle w:val="ECCParagraph"/>
        </w:rPr>
      </w:pPr>
      <w:r>
        <w:rPr>
          <w:rStyle w:val="ECCParagraph"/>
        </w:rPr>
        <w:t xml:space="preserve">For Fixed Service links, </w:t>
      </w:r>
      <w:r w:rsidR="00234415">
        <w:rPr>
          <w:rStyle w:val="ECCParagraph"/>
        </w:rPr>
        <w:t xml:space="preserve">altogether four </w:t>
      </w:r>
      <w:r>
        <w:rPr>
          <w:rStyle w:val="ECCParagraph"/>
        </w:rPr>
        <w:t xml:space="preserve">dedicated interference scenarios have been developed where a Fixed Service transmitter attached to a light pole is linked to a receiver located on top of a building and vice versa (see </w:t>
      </w:r>
      <w:r w:rsidR="00766BFA">
        <w:rPr>
          <w:rStyle w:val="ECCParagraph"/>
        </w:rPr>
        <w:fldChar w:fldCharType="begin"/>
      </w:r>
      <w:r w:rsidR="00766BFA">
        <w:rPr>
          <w:rStyle w:val="ECCParagraph"/>
        </w:rPr>
        <w:instrText xml:space="preserve"> REF _Ref51920880 \h </w:instrText>
      </w:r>
      <w:r w:rsidR="00766BFA">
        <w:rPr>
          <w:rStyle w:val="ECCParagraph"/>
        </w:rPr>
      </w:r>
      <w:r w:rsidR="00766BFA">
        <w:rPr>
          <w:rStyle w:val="ECCParagraph"/>
        </w:rPr>
        <w:fldChar w:fldCharType="separate"/>
      </w:r>
      <w:r w:rsidR="004F49F9">
        <w:t>Figure </w:t>
      </w:r>
      <w:r w:rsidR="004F49F9">
        <w:rPr>
          <w:noProof/>
        </w:rPr>
        <w:t>44</w:t>
      </w:r>
      <w:r w:rsidR="00766BFA">
        <w:rPr>
          <w:rStyle w:val="ECCParagraph"/>
        </w:rPr>
        <w:fldChar w:fldCharType="end"/>
      </w:r>
      <w:r w:rsidR="00766BFA">
        <w:rPr>
          <w:rStyle w:val="ECCParagraph"/>
        </w:rPr>
        <w:t xml:space="preserve"> to</w:t>
      </w:r>
      <w:r>
        <w:rPr>
          <w:rStyle w:val="ECCParagraph"/>
        </w:rPr>
        <w:t xml:space="preserve"> </w:t>
      </w:r>
      <w:r w:rsidR="00766BFA">
        <w:rPr>
          <w:rStyle w:val="ECCParagraph"/>
        </w:rPr>
        <w:fldChar w:fldCharType="begin"/>
      </w:r>
      <w:r w:rsidR="00766BFA">
        <w:rPr>
          <w:rStyle w:val="ECCParagraph"/>
        </w:rPr>
        <w:instrText xml:space="preserve"> REF _Ref51920958 \h </w:instrText>
      </w:r>
      <w:r w:rsidR="00766BFA">
        <w:rPr>
          <w:rStyle w:val="ECCParagraph"/>
        </w:rPr>
      </w:r>
      <w:r w:rsidR="00766BFA">
        <w:rPr>
          <w:rStyle w:val="ECCParagraph"/>
        </w:rPr>
        <w:fldChar w:fldCharType="separate"/>
      </w:r>
      <w:r w:rsidR="004F49F9">
        <w:t>Figure </w:t>
      </w:r>
      <w:r w:rsidR="004F49F9">
        <w:rPr>
          <w:noProof/>
        </w:rPr>
        <w:t>47</w:t>
      </w:r>
      <w:r w:rsidR="00766BFA">
        <w:rPr>
          <w:rStyle w:val="ECCParagraph"/>
        </w:rPr>
        <w:fldChar w:fldCharType="end"/>
      </w:r>
      <w:r w:rsidR="00766BFA">
        <w:rPr>
          <w:rStyle w:val="ECCParagraph"/>
        </w:rPr>
        <w:t xml:space="preserve"> </w:t>
      </w:r>
      <w:r w:rsidR="006201EF">
        <w:rPr>
          <w:rStyle w:val="ECCParagraph"/>
        </w:rPr>
        <w:t xml:space="preserve">and </w:t>
      </w:r>
      <w:r w:rsidR="006201EF">
        <w:rPr>
          <w:rStyle w:val="ECCParagraph"/>
        </w:rPr>
        <w:fldChar w:fldCharType="begin"/>
      </w:r>
      <w:r w:rsidR="006201EF">
        <w:rPr>
          <w:rStyle w:val="ECCParagraph"/>
        </w:rPr>
        <w:instrText xml:space="preserve"> REF _Ref53582262 \h </w:instrText>
      </w:r>
      <w:r w:rsidR="006201EF">
        <w:rPr>
          <w:rStyle w:val="ECCParagraph"/>
        </w:rPr>
      </w:r>
      <w:r w:rsidR="006201EF">
        <w:rPr>
          <w:rStyle w:val="ECCParagraph"/>
        </w:rPr>
        <w:fldChar w:fldCharType="separate"/>
      </w:r>
      <w:r w:rsidR="0041125F" w:rsidRPr="006D6727">
        <w:rPr>
          <w:noProof/>
        </w:rPr>
        <w:t>Table </w:t>
      </w:r>
      <w:r w:rsidR="0041125F">
        <w:rPr>
          <w:noProof/>
        </w:rPr>
        <w:t>40</w:t>
      </w:r>
      <w:r w:rsidR="006201EF">
        <w:rPr>
          <w:rStyle w:val="ECCParagraph"/>
        </w:rPr>
        <w:fldChar w:fldCharType="end"/>
      </w:r>
      <w:r>
        <w:rPr>
          <w:rStyle w:val="ECCParagraph"/>
        </w:rPr>
        <w:t>).</w:t>
      </w:r>
    </w:p>
    <w:p w14:paraId="26A983A0" w14:textId="6735437D" w:rsidR="009D54E0" w:rsidRDefault="009D54E0" w:rsidP="009D54E0">
      <w:r>
        <w:t xml:space="preserve">For the DBF-CDR category the same interference scenarios as for LPR shall be used. The only difference are the antenna characteristics of both systems (see </w:t>
      </w:r>
      <w:r w:rsidR="009D5FA2">
        <w:t>section</w:t>
      </w:r>
      <w:r>
        <w:t xml:space="preserve">s </w:t>
      </w:r>
      <w:r w:rsidR="00766BFA">
        <w:fldChar w:fldCharType="begin"/>
      </w:r>
      <w:r w:rsidR="00766BFA">
        <w:instrText xml:space="preserve"> REF _Ref20470811 \r \h </w:instrText>
      </w:r>
      <w:r w:rsidR="00766BFA">
        <w:fldChar w:fldCharType="separate"/>
      </w:r>
      <w:r w:rsidR="004F49F9">
        <w:t>2.2.5.4</w:t>
      </w:r>
      <w:r w:rsidR="00766BFA">
        <w:fldChar w:fldCharType="end"/>
      </w:r>
      <w:r w:rsidR="00766BFA">
        <w:t xml:space="preserve"> </w:t>
      </w:r>
      <w:r>
        <w:t xml:space="preserve">and </w:t>
      </w:r>
      <w:r w:rsidR="00766BFA">
        <w:fldChar w:fldCharType="begin"/>
      </w:r>
      <w:r w:rsidR="00766BFA">
        <w:instrText xml:space="preserve"> REF _Ref53992426 \r \h </w:instrText>
      </w:r>
      <w:r w:rsidR="00766BFA">
        <w:fldChar w:fldCharType="separate"/>
      </w:r>
      <w:r w:rsidR="004F49F9">
        <w:t>2.2.6.4</w:t>
      </w:r>
      <w:r w:rsidR="00766BFA">
        <w:fldChar w:fldCharType="end"/>
      </w:r>
      <w:r>
        <w:t>).</w:t>
      </w:r>
    </w:p>
    <w:p w14:paraId="502B46B3" w14:textId="77777777" w:rsidR="009D54E0" w:rsidRPr="00D17824" w:rsidRDefault="009D54E0" w:rsidP="009D54E0">
      <w:r>
        <w:t xml:space="preserve">For the M-CDR and PA-CDR categories the scanning nature of the antenna has to be taken into account. For both categories the main beam direction is constantly changing and thus scanning the contour of the observed surface. For this study it is assumed that the whole half-space from -180° to 180° in azimuth and -90° to 0° in elevation is being scanned. Thus, the power of the M-/PA-CDR is spread or distributed over the large area of a half-space and most of the radiated power of the CDR device will never reach the victim receiver in a single-entry scenario. The spatial scanning function of the M- and PA-CDR devices can be interpreted for example as an additional duty cycle from the victim receiver’s point of view. Alternatively, it could also be </w:t>
      </w:r>
      <w:r w:rsidRPr="00EC464E">
        <w:t>included</w:t>
      </w:r>
      <w:r>
        <w:t xml:space="preserve"> in an average antenna gain when calculating the average interference power towards a potential victim in a long-term protection consideration.</w:t>
      </w:r>
    </w:p>
    <w:p w14:paraId="274415FF" w14:textId="0137BF6C" w:rsidR="009D54E0" w:rsidRPr="006C3CD9" w:rsidRDefault="009D54E0" w:rsidP="009D54E0">
      <w:r w:rsidRPr="006C3CD9">
        <w:t xml:space="preserve">Due to the mentioned circumstances above the long-term protection criteria is therefore not seen as the critical case concerning a FS victim receiver. In contrast to that it is expected that the time instants during the scan where either the main beam direction of the M-/PA-CDR is pointing horizontally towards the FS Rx or where the reflected interference component </w:t>
      </w:r>
      <w:r>
        <w:t xml:space="preserve">in main beam direction </w:t>
      </w:r>
      <w:r w:rsidRPr="006C3CD9">
        <w:t xml:space="preserve">of the CDR device points exactly towards the FS Rx is much more critical. Those scenarios however </w:t>
      </w:r>
      <w:r>
        <w:t>should</w:t>
      </w:r>
      <w:r w:rsidRPr="006C3CD9">
        <w:t xml:space="preserve"> be estimated against the peak power criterion (see </w:t>
      </w:r>
      <w:r w:rsidR="009D5FA2">
        <w:t>section</w:t>
      </w:r>
      <w:r w:rsidRPr="006C3CD9">
        <w:t xml:space="preserve"> </w:t>
      </w:r>
      <w:r w:rsidR="00766BFA">
        <w:fldChar w:fldCharType="begin"/>
      </w:r>
      <w:r w:rsidR="00766BFA">
        <w:instrText xml:space="preserve"> REF _Ref27660472 \r \h </w:instrText>
      </w:r>
      <w:r w:rsidR="00766BFA">
        <w:fldChar w:fldCharType="separate"/>
      </w:r>
      <w:r w:rsidR="004F49F9">
        <w:t>3.5.3.1</w:t>
      </w:r>
      <w:r w:rsidR="00766BFA">
        <w:fldChar w:fldCharType="end"/>
      </w:r>
      <w:r w:rsidR="00766BFA">
        <w:t xml:space="preserve"> </w:t>
      </w:r>
      <w:r w:rsidRPr="006C3CD9">
        <w:t>in the Report) because they occur only during a short period of the measurement cycle</w:t>
      </w:r>
      <w:r>
        <w:t>. For completeness however, both criteria, the long-term protection objective and the peak-power objective are considered.</w:t>
      </w:r>
    </w:p>
    <w:p w14:paraId="7A0CB0B9" w14:textId="24F52F39" w:rsidR="009D54E0" w:rsidRDefault="009D54E0" w:rsidP="009D54E0">
      <w:r>
        <w:t xml:space="preserve">In scenario 1 (see </w:t>
      </w:r>
      <w:r>
        <w:rPr>
          <w:highlight w:val="yellow"/>
        </w:rPr>
        <w:fldChar w:fldCharType="begin"/>
      </w:r>
      <w:r>
        <w:instrText xml:space="preserve"> REF _Ref51920880 \h </w:instrText>
      </w:r>
      <w:r>
        <w:rPr>
          <w:highlight w:val="yellow"/>
        </w:rPr>
      </w:r>
      <w:r>
        <w:rPr>
          <w:highlight w:val="yellow"/>
        </w:rPr>
        <w:fldChar w:fldCharType="separate"/>
      </w:r>
      <w:r w:rsidR="004F49F9">
        <w:t>Figure </w:t>
      </w:r>
      <w:r w:rsidR="004F49F9">
        <w:rPr>
          <w:noProof/>
        </w:rPr>
        <w:t>44</w:t>
      </w:r>
      <w:r>
        <w:rPr>
          <w:highlight w:val="yellow"/>
        </w:rPr>
        <w:fldChar w:fldCharType="end"/>
      </w:r>
      <w:r>
        <w:t>) is assumed that the M-/PA-CDR device is tilted in the fashion that the reflected interference component exactly points towards the FS Rx and t</w:t>
      </w:r>
      <w:r w:rsidRPr="00A706D7">
        <w:t xml:space="preserve">he </w:t>
      </w:r>
      <w:r>
        <w:t>M-/PA-CDR</w:t>
      </w:r>
      <w:r w:rsidRPr="00A706D7">
        <w:t xml:space="preserve"> device is placed </w:t>
      </w:r>
      <w:r>
        <w:t>at</w:t>
      </w:r>
      <w:r w:rsidRPr="00A706D7">
        <w:t xml:space="preserve"> the location of the FS Tx, thus in 300 m distance from the FS Rx.</w:t>
      </w:r>
      <w:r>
        <w:t xml:space="preserve"> </w:t>
      </w:r>
      <w:r w:rsidRPr="00A706D7">
        <w:t xml:space="preserve">The height of the </w:t>
      </w:r>
      <w:r>
        <w:t>CDR</w:t>
      </w:r>
      <w:r w:rsidRPr="00A706D7">
        <w:t xml:space="preserve"> device above ground shall be </w:t>
      </w:r>
      <w:r>
        <w:t>5</w:t>
      </w:r>
      <w:r w:rsidRPr="00A706D7">
        <w:t> m</w:t>
      </w:r>
      <w:r>
        <w:t xml:space="preserve"> which is identical compared to the LPR application (see </w:t>
      </w:r>
      <w:r w:rsidR="009D5FA2">
        <w:t>section</w:t>
      </w:r>
      <w:r>
        <w:t xml:space="preserve"> </w:t>
      </w:r>
      <w:r w:rsidRPr="00ED6358">
        <w:t>3.2.6.6</w:t>
      </w:r>
      <w:r>
        <w:t>)</w:t>
      </w:r>
      <w:r w:rsidRPr="00A706D7">
        <w:t xml:space="preserve">. </w:t>
      </w:r>
      <w:r>
        <w:t xml:space="preserve">The relevant angles under which both interference components are seen from the FS receiver are </w:t>
      </w:r>
      <w:r w:rsidRPr="009D54E0">
        <w:t>δ = 0</w:t>
      </w:r>
      <w:r w:rsidR="00CF4994">
        <w:t>.6</w:t>
      </w:r>
      <w:r w:rsidRPr="009D54E0">
        <w:t>7°</w:t>
      </w:r>
      <w:r>
        <w:t xml:space="preserve"> for the reflected component </w:t>
      </w:r>
      <w:r w:rsidRPr="009D54E0">
        <w:t>and ε-α = 0</w:t>
      </w:r>
      <w:r w:rsidR="00CF4994">
        <w:t>.1</w:t>
      </w:r>
      <w:r w:rsidRPr="009D54E0">
        <w:t>9°</w:t>
      </w:r>
      <w:r>
        <w:t xml:space="preserve"> for the direct component over a sidelobe.</w:t>
      </w:r>
    </w:p>
    <w:p w14:paraId="53E4A849" w14:textId="77777777" w:rsidR="009D54E0" w:rsidRPr="009D54E0" w:rsidRDefault="009D54E0" w:rsidP="009D54E0">
      <w:pPr>
        <w:rPr>
          <w:rStyle w:val="ECCParagraph"/>
        </w:rPr>
      </w:pPr>
      <w:r w:rsidRPr="009D54E0">
        <w:rPr>
          <w:noProof/>
          <w:lang w:val="de-DE" w:eastAsia="de-DE"/>
        </w:rPr>
        <w:drawing>
          <wp:inline distT="0" distB="0" distL="0" distR="0" wp14:anchorId="0AD546E7" wp14:editId="330DCEC1">
            <wp:extent cx="6120765" cy="202374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765" cy="2023745"/>
                    </a:xfrm>
                    <a:prstGeom prst="rect">
                      <a:avLst/>
                    </a:prstGeom>
                  </pic:spPr>
                </pic:pic>
              </a:graphicData>
            </a:graphic>
          </wp:inline>
        </w:drawing>
      </w:r>
    </w:p>
    <w:p w14:paraId="0618D4C3" w14:textId="217F76A5" w:rsidR="009D54E0" w:rsidRPr="009D54E0" w:rsidRDefault="009D54E0" w:rsidP="009D54E0">
      <w:pPr>
        <w:pStyle w:val="Caption"/>
        <w:rPr>
          <w:rStyle w:val="ECCParagraph"/>
        </w:rPr>
      </w:pPr>
      <w:bookmarkStart w:id="267" w:name="_Ref51920880"/>
      <w:r>
        <w:t>Figure </w:t>
      </w:r>
      <w:r w:rsidR="00E55534">
        <w:fldChar w:fldCharType="begin"/>
      </w:r>
      <w:r w:rsidR="00E55534">
        <w:instrText>SEQ Figure \* ARABIC  \* MERGEFORMAT</w:instrText>
      </w:r>
      <w:r w:rsidR="00E55534">
        <w:fldChar w:fldCharType="separate"/>
      </w:r>
      <w:r w:rsidR="004F49F9">
        <w:rPr>
          <w:noProof/>
        </w:rPr>
        <w:t>44</w:t>
      </w:r>
      <w:r w:rsidR="00E55534">
        <w:rPr>
          <w:noProof/>
        </w:rPr>
        <w:fldChar w:fldCharType="end"/>
      </w:r>
      <w:bookmarkEnd w:id="267"/>
      <w:r w:rsidRPr="009D54E0">
        <w:t xml:space="preserve">: M-/PA-CDR scenario 1: </w:t>
      </w:r>
      <w:r w:rsidRPr="009D54E0">
        <w:rPr>
          <w:rStyle w:val="ECCParagraph"/>
        </w:rPr>
        <w:t>Streetlamp post connected to a building by means of an FS link – FS Rx on building. Reflected interference component points directly to FS Rx.</w:t>
      </w:r>
    </w:p>
    <w:p w14:paraId="01A6E0F6" w14:textId="71201225" w:rsidR="009D54E0" w:rsidRDefault="009D54E0" w:rsidP="009D54E0">
      <w:r>
        <w:t xml:space="preserve">In scenario 2 (see </w:t>
      </w:r>
      <w:r>
        <w:rPr>
          <w:highlight w:val="yellow"/>
        </w:rPr>
        <w:fldChar w:fldCharType="begin"/>
      </w:r>
      <w:r>
        <w:instrText xml:space="preserve"> REF _Ref51942012 \h </w:instrText>
      </w:r>
      <w:r>
        <w:rPr>
          <w:highlight w:val="yellow"/>
        </w:rPr>
      </w:r>
      <w:r>
        <w:rPr>
          <w:highlight w:val="yellow"/>
        </w:rPr>
        <w:fldChar w:fldCharType="separate"/>
      </w:r>
      <w:r w:rsidR="004F49F9">
        <w:t>Figure </w:t>
      </w:r>
      <w:r w:rsidR="004F49F9">
        <w:rPr>
          <w:noProof/>
        </w:rPr>
        <w:t>45</w:t>
      </w:r>
      <w:r>
        <w:rPr>
          <w:highlight w:val="yellow"/>
        </w:rPr>
        <w:fldChar w:fldCharType="end"/>
      </w:r>
      <w:r>
        <w:t xml:space="preserve">) </w:t>
      </w:r>
      <w:r w:rsidRPr="009D54E0">
        <w:rPr>
          <w:rStyle w:val="ECCParagraph"/>
        </w:rPr>
        <w:t>the locations of FS Rx and FS Tx are exchanged</w:t>
      </w:r>
      <w:r>
        <w:t>. Also in this scenario it is assumed that the M-/PA-CDR device is tilted in the fashion that the reflected interference component exactly points towards the FS Rx and t</w:t>
      </w:r>
      <w:r w:rsidRPr="00A706D7">
        <w:t xml:space="preserve">he </w:t>
      </w:r>
      <w:r>
        <w:t>M-/PA-CDR</w:t>
      </w:r>
      <w:r w:rsidRPr="00A706D7">
        <w:t xml:space="preserve"> device is placed </w:t>
      </w:r>
      <w:r>
        <w:t>at</w:t>
      </w:r>
      <w:r w:rsidRPr="00A706D7">
        <w:t xml:space="preserve"> the location of the FS Tx, thus in 300 m distance from the FS Rx.</w:t>
      </w:r>
      <w:r>
        <w:t xml:space="preserve"> </w:t>
      </w:r>
      <w:r w:rsidRPr="00A706D7">
        <w:t xml:space="preserve">The height of the </w:t>
      </w:r>
      <w:r>
        <w:t>CDR</w:t>
      </w:r>
      <w:r w:rsidRPr="00A706D7">
        <w:t xml:space="preserve"> device above ground shall be </w:t>
      </w:r>
      <w:r>
        <w:t>6</w:t>
      </w:r>
      <w:r w:rsidRPr="00A706D7">
        <w:t> m</w:t>
      </w:r>
      <w:r>
        <w:t xml:space="preserve"> and the reflection at the sand surface shall occur in 2</w:t>
      </w:r>
      <w:r w:rsidR="00CF4994">
        <w:t>.5</w:t>
      </w:r>
      <w:r>
        <w:t> m height.</w:t>
      </w:r>
    </w:p>
    <w:p w14:paraId="7A10DF9B" w14:textId="77777777" w:rsidR="009D54E0" w:rsidRPr="009D54E0" w:rsidRDefault="009D54E0" w:rsidP="009D54E0">
      <w:pPr>
        <w:rPr>
          <w:rStyle w:val="ECCParagraph"/>
        </w:rPr>
      </w:pPr>
      <w:r w:rsidRPr="009D54E0">
        <w:rPr>
          <w:noProof/>
          <w:lang w:val="de-DE" w:eastAsia="de-DE"/>
        </w:rPr>
        <w:drawing>
          <wp:inline distT="0" distB="0" distL="0" distR="0" wp14:anchorId="33C19CDA" wp14:editId="25AB2FC3">
            <wp:extent cx="6120765" cy="2259965"/>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765" cy="2259965"/>
                    </a:xfrm>
                    <a:prstGeom prst="rect">
                      <a:avLst/>
                    </a:prstGeom>
                  </pic:spPr>
                </pic:pic>
              </a:graphicData>
            </a:graphic>
          </wp:inline>
        </w:drawing>
      </w:r>
    </w:p>
    <w:p w14:paraId="745F3DE2" w14:textId="320D9A4B" w:rsidR="009D54E0" w:rsidRDefault="009D54E0" w:rsidP="00076E53">
      <w:pPr>
        <w:pStyle w:val="Caption"/>
        <w:rPr>
          <w:rStyle w:val="ECCParagraph"/>
        </w:rPr>
      </w:pPr>
      <w:bookmarkStart w:id="268" w:name="_Ref51942012"/>
      <w:r>
        <w:t>Figure </w:t>
      </w:r>
      <w:r w:rsidR="00E55534">
        <w:fldChar w:fldCharType="begin"/>
      </w:r>
      <w:r w:rsidR="00E55534">
        <w:instrText>SEQ Figure \* ARABIC  \* MERGEFORMAT</w:instrText>
      </w:r>
      <w:r w:rsidR="00E55534">
        <w:fldChar w:fldCharType="separate"/>
      </w:r>
      <w:r w:rsidR="004F49F9">
        <w:rPr>
          <w:noProof/>
        </w:rPr>
        <w:t>45</w:t>
      </w:r>
      <w:r w:rsidR="00E55534">
        <w:rPr>
          <w:noProof/>
        </w:rPr>
        <w:fldChar w:fldCharType="end"/>
      </w:r>
      <w:bookmarkEnd w:id="268"/>
      <w:r>
        <w:t xml:space="preserve">: M-/PA-CDR scenario 2: </w:t>
      </w:r>
      <w:r>
        <w:rPr>
          <w:rStyle w:val="ECCParagraph"/>
        </w:rPr>
        <w:t>Streetlamp post connected to a building by means of an FS link – FS Rx on light pole. R</w:t>
      </w:r>
      <w:r w:rsidRPr="008A11D4">
        <w:rPr>
          <w:rStyle w:val="ECCParagraph"/>
        </w:rPr>
        <w:t>eflected interference component points directly to FS Rx</w:t>
      </w:r>
      <w:r>
        <w:rPr>
          <w:rStyle w:val="ECCParagraph"/>
        </w:rPr>
        <w:t>.</w:t>
      </w:r>
    </w:p>
    <w:p w14:paraId="04D60728" w14:textId="4E541270" w:rsidR="00076E53" w:rsidRPr="00076E53" w:rsidRDefault="00076E53" w:rsidP="00076E53">
      <w:pPr>
        <w:rPr>
          <w:rStyle w:val="ECCParagraph"/>
        </w:rPr>
      </w:pPr>
      <w:r w:rsidRPr="00076E53">
        <w:rPr>
          <w:rStyle w:val="ECCParagraph"/>
        </w:rPr>
        <w:t xml:space="preserve">In scenario 3 (see </w:t>
      </w:r>
      <w:r w:rsidRPr="00076E53">
        <w:rPr>
          <w:rStyle w:val="ECCParagraph"/>
        </w:rPr>
        <w:fldChar w:fldCharType="begin"/>
      </w:r>
      <w:r w:rsidRPr="00076E53">
        <w:rPr>
          <w:rStyle w:val="ECCParagraph"/>
        </w:rPr>
        <w:instrText xml:space="preserve"> REF _Ref51920924 \h </w:instrText>
      </w:r>
      <w:r w:rsidRPr="00076E53">
        <w:rPr>
          <w:rStyle w:val="ECCParagraph"/>
        </w:rPr>
      </w:r>
      <w:r w:rsidRPr="00076E53">
        <w:rPr>
          <w:rStyle w:val="ECCParagraph"/>
        </w:rPr>
        <w:fldChar w:fldCharType="separate"/>
      </w:r>
      <w:r w:rsidR="004F49F9">
        <w:t>Figure </w:t>
      </w:r>
      <w:r w:rsidR="004F49F9">
        <w:rPr>
          <w:noProof/>
        </w:rPr>
        <w:t>46</w:t>
      </w:r>
      <w:r w:rsidRPr="00076E53">
        <w:rPr>
          <w:rStyle w:val="ECCParagraph"/>
        </w:rPr>
        <w:fldChar w:fldCharType="end"/>
      </w:r>
      <w:r w:rsidRPr="00076E53">
        <w:rPr>
          <w:rStyle w:val="ECCParagraph"/>
        </w:rPr>
        <w:t>) the CDR device is tilted to 90° so that the main beam direction points towards the FS Rx and not anymore to the sand surface. In this scenario only the direct component over the main beam direction is considered as there is no reflected component from the sand heap. There could be of course also in this scenario a reflected component from the flat ground. This component however is expected to be very weak due to the lower CDR antenna gain in this direction and due to the larger incidence angle off the FS Rx main beam direction and therefore neglected.</w:t>
      </w:r>
    </w:p>
    <w:p w14:paraId="21DD4D58" w14:textId="77777777" w:rsidR="00076E53" w:rsidRPr="00076E53" w:rsidRDefault="00076E53" w:rsidP="00076E53">
      <w:pPr>
        <w:rPr>
          <w:rStyle w:val="ECCParagraph"/>
        </w:rPr>
      </w:pPr>
      <w:r w:rsidRPr="00076E53">
        <w:rPr>
          <w:noProof/>
          <w:lang w:val="de-DE" w:eastAsia="de-DE"/>
        </w:rPr>
        <w:drawing>
          <wp:inline distT="0" distB="0" distL="0" distR="0" wp14:anchorId="33541A24" wp14:editId="3C7BA9CD">
            <wp:extent cx="6120765" cy="202057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765" cy="2020570"/>
                    </a:xfrm>
                    <a:prstGeom prst="rect">
                      <a:avLst/>
                    </a:prstGeom>
                  </pic:spPr>
                </pic:pic>
              </a:graphicData>
            </a:graphic>
          </wp:inline>
        </w:drawing>
      </w:r>
    </w:p>
    <w:p w14:paraId="41ECEB35" w14:textId="4816D4AE" w:rsidR="00076E53" w:rsidRPr="00076E53" w:rsidRDefault="00076E53" w:rsidP="00076E53">
      <w:pPr>
        <w:pStyle w:val="Caption"/>
        <w:rPr>
          <w:rStyle w:val="ECCParagraph"/>
        </w:rPr>
      </w:pPr>
      <w:bookmarkStart w:id="269" w:name="_Ref51920924"/>
      <w:r>
        <w:t>Figure </w:t>
      </w:r>
      <w:r w:rsidR="00E55534">
        <w:fldChar w:fldCharType="begin"/>
      </w:r>
      <w:r w:rsidR="00E55534">
        <w:instrText>SEQ Figure \* ARABIC  \* MERGEFORMAT</w:instrText>
      </w:r>
      <w:r w:rsidR="00E55534">
        <w:fldChar w:fldCharType="separate"/>
      </w:r>
      <w:r w:rsidR="004F49F9">
        <w:rPr>
          <w:noProof/>
        </w:rPr>
        <w:t>46</w:t>
      </w:r>
      <w:r w:rsidR="00E55534">
        <w:rPr>
          <w:noProof/>
        </w:rPr>
        <w:fldChar w:fldCharType="end"/>
      </w:r>
      <w:bookmarkEnd w:id="269"/>
      <w:r w:rsidRPr="00076E53">
        <w:t xml:space="preserve">: M-/PA-CDR scenario 3: </w:t>
      </w:r>
      <w:r w:rsidRPr="00076E53">
        <w:rPr>
          <w:rStyle w:val="ECCParagraph"/>
        </w:rPr>
        <w:t>Streetlamp post connected to a building by means of an FS link – FS Rx on building. Horizontal emission.</w:t>
      </w:r>
    </w:p>
    <w:p w14:paraId="3908199C" w14:textId="497A4235" w:rsidR="00076E53" w:rsidRPr="00076E53" w:rsidRDefault="00076E53" w:rsidP="00076E53">
      <w:pPr>
        <w:rPr>
          <w:rStyle w:val="ECCParagraph"/>
        </w:rPr>
      </w:pPr>
      <w:r w:rsidRPr="00076E53">
        <w:rPr>
          <w:rStyle w:val="ECCParagraph"/>
        </w:rPr>
        <w:t xml:space="preserve">In scenario 4 (see </w:t>
      </w:r>
      <w:r w:rsidRPr="00076E53">
        <w:rPr>
          <w:rStyle w:val="ECCParagraph"/>
        </w:rPr>
        <w:fldChar w:fldCharType="begin"/>
      </w:r>
      <w:r w:rsidRPr="00076E53">
        <w:rPr>
          <w:rStyle w:val="ECCParagraph"/>
        </w:rPr>
        <w:instrText xml:space="preserve"> REF _Ref51920958 \h </w:instrText>
      </w:r>
      <w:r w:rsidRPr="00076E53">
        <w:rPr>
          <w:rStyle w:val="ECCParagraph"/>
        </w:rPr>
      </w:r>
      <w:r w:rsidRPr="00076E53">
        <w:rPr>
          <w:rStyle w:val="ECCParagraph"/>
        </w:rPr>
        <w:fldChar w:fldCharType="separate"/>
      </w:r>
      <w:r w:rsidR="004F49F9">
        <w:t>Figure </w:t>
      </w:r>
      <w:r w:rsidR="004F49F9">
        <w:rPr>
          <w:noProof/>
        </w:rPr>
        <w:t>47</w:t>
      </w:r>
      <w:r w:rsidRPr="00076E53">
        <w:rPr>
          <w:rStyle w:val="ECCParagraph"/>
        </w:rPr>
        <w:fldChar w:fldCharType="end"/>
      </w:r>
      <w:r w:rsidRPr="00076E53">
        <w:rPr>
          <w:rStyle w:val="ECCParagraph"/>
        </w:rPr>
        <w:t>) the locations of FS Rx and FS Tx are exchanged again, and the CDR device is tilted again to 90° and mounted in 6 m height so that the main beam direction points towards the FS Rx attached to the light pole. Also in this scenario, only the direct component over the main beam direction is considered as there is no reflected component from the sand heap.</w:t>
      </w:r>
    </w:p>
    <w:p w14:paraId="06CB48D9" w14:textId="77777777" w:rsidR="00076E53" w:rsidRPr="00076E53" w:rsidRDefault="00076E53" w:rsidP="00076E53">
      <w:pPr>
        <w:rPr>
          <w:rStyle w:val="ECCParagraph"/>
        </w:rPr>
      </w:pPr>
      <w:r w:rsidRPr="00076E53">
        <w:rPr>
          <w:noProof/>
          <w:lang w:val="de-DE" w:eastAsia="de-DE"/>
        </w:rPr>
        <w:drawing>
          <wp:inline distT="0" distB="0" distL="0" distR="0" wp14:anchorId="6F2DE554" wp14:editId="4EC3A8C6">
            <wp:extent cx="6120765" cy="204724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765" cy="2047240"/>
                    </a:xfrm>
                    <a:prstGeom prst="rect">
                      <a:avLst/>
                    </a:prstGeom>
                  </pic:spPr>
                </pic:pic>
              </a:graphicData>
            </a:graphic>
          </wp:inline>
        </w:drawing>
      </w:r>
    </w:p>
    <w:p w14:paraId="3FB651C6" w14:textId="115810BD" w:rsidR="00076E53" w:rsidRPr="00076E53" w:rsidRDefault="00076E53" w:rsidP="00076E53">
      <w:pPr>
        <w:pStyle w:val="Caption"/>
        <w:rPr>
          <w:rStyle w:val="ECCParagraph"/>
        </w:rPr>
      </w:pPr>
      <w:bookmarkStart w:id="270" w:name="_Ref51920958"/>
      <w:r>
        <w:t>Figure </w:t>
      </w:r>
      <w:r w:rsidR="00E55534">
        <w:fldChar w:fldCharType="begin"/>
      </w:r>
      <w:r w:rsidR="00E55534">
        <w:instrText>SEQ Figure \* ARABIC  \* MERGEFORMAT</w:instrText>
      </w:r>
      <w:r w:rsidR="00E55534">
        <w:fldChar w:fldCharType="separate"/>
      </w:r>
      <w:r w:rsidR="004F49F9">
        <w:rPr>
          <w:noProof/>
        </w:rPr>
        <w:t>47</w:t>
      </w:r>
      <w:r w:rsidR="00E55534">
        <w:rPr>
          <w:noProof/>
        </w:rPr>
        <w:fldChar w:fldCharType="end"/>
      </w:r>
      <w:bookmarkEnd w:id="270"/>
      <w:r w:rsidRPr="00076E53">
        <w:t xml:space="preserve">: M-/PA-CDR scenario 4: </w:t>
      </w:r>
      <w:r w:rsidRPr="00076E53">
        <w:rPr>
          <w:rStyle w:val="ECCParagraph"/>
        </w:rPr>
        <w:t>Streetlamp post connected to a building by means of an FS link – FS Rx on light pole. Horizontal emission.</w:t>
      </w:r>
    </w:p>
    <w:p w14:paraId="506BE176" w14:textId="77777777" w:rsidR="006D6727" w:rsidRPr="006D6727" w:rsidRDefault="006D6727" w:rsidP="006D6727">
      <w:pPr>
        <w:rPr>
          <w:rStyle w:val="ECCHLbold"/>
          <w:noProof/>
        </w:rPr>
      </w:pPr>
      <w:r w:rsidRPr="006D6727">
        <w:rPr>
          <w:rStyle w:val="ECCHLbold"/>
          <w:noProof/>
        </w:rPr>
        <w:t>Interference to EESS (passive) satellite receivers</w:t>
      </w:r>
    </w:p>
    <w:p w14:paraId="55B53F1D" w14:textId="77777777" w:rsidR="006D6727" w:rsidRPr="006D6727" w:rsidRDefault="006D6727" w:rsidP="006D6727">
      <w:pPr>
        <w:rPr>
          <w:rStyle w:val="ECCHLyellow"/>
          <w:noProof/>
        </w:rPr>
      </w:pPr>
      <w:r w:rsidRPr="006D6727">
        <w:rPr>
          <w:rStyle w:val="ECCParagraph"/>
          <w:noProof/>
        </w:rPr>
        <w:t>In case of interference to satellite receivers, the relevant radiation direction would be in vertical plane above the CDR installation (like for the level probing radar case) and the worst-case scenario could be described as an open-air CDR installation over a wet and flat sand surface. In contrast to level probing radars the measurement of a flat liquid surface is not a realistic use case for a contour detection radar. Despite the fact, that a flat surface is generally a very unlikely scenario for a CDR, it is not entirely impossible, however. At the planar sand surface there would also be a non-scattered reflection with a certain reflection loss. A conservative estimation of the relative permittivity of wet sand ranges between 6</w:t>
      </w:r>
      <w:r w:rsidR="00CF4994">
        <w:rPr>
          <w:rStyle w:val="ECCParagraph"/>
          <w:noProof/>
        </w:rPr>
        <w:t>.5</w:t>
      </w:r>
      <w:r w:rsidRPr="006D6727">
        <w:rPr>
          <w:rStyle w:val="ECCParagraph"/>
          <w:noProof/>
        </w:rPr>
        <w:t xml:space="preserve"> and 9 for the frequency range between 300 MHz and 5 GHz. However, for frequencies above 116 GHz these figures are expected to be much lower. For the estimation of the reflected interference components a relative permittivity of εr = 8 for the wet sand surface for frequencies beyond 116 GHz is assumed. This is equivalent to a reflection loss of 6</w:t>
      </w:r>
      <w:r w:rsidR="00CF4994">
        <w:rPr>
          <w:rStyle w:val="ECCParagraph"/>
          <w:noProof/>
        </w:rPr>
        <w:t>.4</w:t>
      </w:r>
      <w:r w:rsidRPr="006D6727">
        <w:rPr>
          <w:rStyle w:val="ECCParagraph"/>
          <w:noProof/>
        </w:rPr>
        <w:t>2 dB and is comparable to the reflection loss of a pure water surface at those high frequencies.</w:t>
      </w:r>
    </w:p>
    <w:p w14:paraId="25430DCF" w14:textId="76B90A9B" w:rsidR="006D6727" w:rsidRPr="006D6727" w:rsidRDefault="006D6727" w:rsidP="006D6727">
      <w:pPr>
        <w:rPr>
          <w:rStyle w:val="ECCParagraph"/>
          <w:noProof/>
        </w:rPr>
      </w:pPr>
      <w:r w:rsidRPr="006D6727">
        <w:rPr>
          <w:rStyle w:val="ECCParagraph"/>
          <w:noProof/>
        </w:rPr>
        <w:t>For M- and PA-CDR equipment the studies should consider both, the direct radiation component from the CDR antenna’s back lobe and side lobes, as well as the reflected signal from the illuminated sand surface in the vertical plane towards zenith</w:t>
      </w:r>
      <w:r w:rsidR="00154D17">
        <w:rPr>
          <w:rStyle w:val="ECCParagraph"/>
          <w:noProof/>
        </w:rPr>
        <w:t xml:space="preserve"> (</w:t>
      </w:r>
      <w:r w:rsidRPr="006D6727">
        <w:rPr>
          <w:rStyle w:val="ECCParagraph"/>
          <w:noProof/>
        </w:rPr>
        <w:t xml:space="preserve">see </w:t>
      </w:r>
      <w:r w:rsidR="00923C0F">
        <w:rPr>
          <w:rStyle w:val="ECCParagraph"/>
          <w:noProof/>
          <w:highlight w:val="yellow"/>
        </w:rPr>
        <w:fldChar w:fldCharType="begin"/>
      </w:r>
      <w:r w:rsidR="00923C0F">
        <w:rPr>
          <w:rStyle w:val="ECCParagraph"/>
          <w:noProof/>
        </w:rPr>
        <w:instrText xml:space="preserve"> REF _Ref44425959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48</w:t>
      </w:r>
      <w:r w:rsidR="00923C0F">
        <w:rPr>
          <w:rStyle w:val="ECCParagraph"/>
          <w:noProof/>
          <w:highlight w:val="yellow"/>
        </w:rPr>
        <w:fldChar w:fldCharType="end"/>
      </w:r>
      <w:r w:rsidR="00154D17">
        <w:rPr>
          <w:rStyle w:val="ECCParagraph"/>
          <w:noProof/>
        </w:rPr>
        <w:t>)</w:t>
      </w:r>
      <w:r w:rsidRPr="006D6727">
        <w:rPr>
          <w:rStyle w:val="ECCParagraph"/>
          <w:noProof/>
        </w:rPr>
        <w:t>. Provided that the CDR is again sampling the surface in 3° steps according to the 3°-HPBW of the antenna in the whole half sphere from θ = 0° to +90° and Φ = 0° to 360°, it is assumed that always a side lobe or the back lobe component reaches the victim receiver, no matter in which direction the main beam of the CDR antenna is actually pointing. On the contrary, the reflected interference component over the main beam of the antenna is only relevant within a relatively small solid angle. This solid angle is again estimated to be equivalent to approximately five directions of the CDR antenna main beam during one measurement cycle where the half sphere is sampled. This procedure is similar to the aforementioned approach used in the terrestrial interference case.</w:t>
      </w:r>
    </w:p>
    <w:p w14:paraId="1875829D" w14:textId="77777777" w:rsidR="006D6727" w:rsidRPr="006D6727" w:rsidRDefault="006D6727" w:rsidP="006D6727">
      <w:pPr>
        <w:pStyle w:val="Caption"/>
        <w:rPr>
          <w:rStyle w:val="ECCHLbold"/>
          <w:rFonts w:eastAsia="Calibri"/>
          <w:noProof/>
          <w:lang w:val="en-GB"/>
        </w:rPr>
      </w:pPr>
      <w:r w:rsidRPr="006D6727">
        <w:rPr>
          <w:noProof/>
          <w:lang w:val="de-DE" w:eastAsia="de-DE"/>
        </w:rPr>
        <w:drawing>
          <wp:inline distT="0" distB="0" distL="0" distR="0" wp14:anchorId="432E8514" wp14:editId="62F35327">
            <wp:extent cx="5664228" cy="60022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5691484" cy="6031097"/>
                    </a:xfrm>
                    <a:prstGeom prst="rect">
                      <a:avLst/>
                    </a:prstGeom>
                  </pic:spPr>
                </pic:pic>
              </a:graphicData>
            </a:graphic>
          </wp:inline>
        </w:drawing>
      </w:r>
    </w:p>
    <w:p w14:paraId="6F206E4A" w14:textId="5ECDC9C0" w:rsidR="006D6727" w:rsidRDefault="00923C0F" w:rsidP="006D6727">
      <w:pPr>
        <w:pStyle w:val="Caption"/>
        <w:rPr>
          <w:noProof/>
          <w:lang w:val="en-GB"/>
        </w:rPr>
      </w:pPr>
      <w:bookmarkStart w:id="271" w:name="_Ref44425959"/>
      <w:r w:rsidRPr="00923C0F">
        <w:t>Figure </w:t>
      </w:r>
      <w:r w:rsidR="00E55534">
        <w:fldChar w:fldCharType="begin"/>
      </w:r>
      <w:r w:rsidR="00E55534">
        <w:instrText>SEQ Figure \*ARABIC \* MERGEFORMAT  \* MERGEFORMAT</w:instrText>
      </w:r>
      <w:r w:rsidR="00E55534">
        <w:fldChar w:fldCharType="separate"/>
      </w:r>
      <w:r w:rsidR="004F49F9">
        <w:rPr>
          <w:noProof/>
        </w:rPr>
        <w:t>48</w:t>
      </w:r>
      <w:r w:rsidR="00E55534">
        <w:rPr>
          <w:noProof/>
        </w:rPr>
        <w:fldChar w:fldCharType="end"/>
      </w:r>
      <w:bookmarkEnd w:id="271"/>
      <w:r w:rsidR="006D6727" w:rsidRPr="006D6727">
        <w:rPr>
          <w:noProof/>
          <w:lang w:val="en-GB"/>
        </w:rPr>
        <w:t>: Worst-case interference scenario against EESS (passive) satellite receivers for M- and PA-CDR equipment</w:t>
      </w:r>
    </w:p>
    <w:p w14:paraId="4A3401FF" w14:textId="148BD3FE" w:rsidR="002620A7" w:rsidRDefault="002620A7" w:rsidP="002620A7">
      <w:pPr>
        <w:rPr>
          <w:rStyle w:val="ECCParagraph"/>
        </w:rPr>
      </w:pPr>
      <w:r>
        <w:rPr>
          <w:rStyle w:val="ECCParagraph"/>
        </w:rPr>
        <w:t xml:space="preserve">For the DBF-CDR device the interference scenario to EESS is the same as for level probing radar (see </w:t>
      </w:r>
      <w:r w:rsidR="009D5FA2">
        <w:rPr>
          <w:rStyle w:val="ECCParagraph"/>
        </w:rPr>
        <w:t>section</w:t>
      </w:r>
      <w:r>
        <w:rPr>
          <w:rStyle w:val="ECCParagraph"/>
        </w:rPr>
        <w:t xml:space="preserve"> </w:t>
      </w:r>
      <w:r>
        <w:rPr>
          <w:rStyle w:val="ECCParagraph"/>
          <w:highlight w:val="yellow"/>
        </w:rPr>
        <w:fldChar w:fldCharType="begin"/>
      </w:r>
      <w:r>
        <w:rPr>
          <w:rStyle w:val="ECCParagraph"/>
        </w:rPr>
        <w:instrText xml:space="preserve"> REF _Ref36548860 \r \h </w:instrText>
      </w:r>
      <w:r>
        <w:rPr>
          <w:rStyle w:val="ECCParagraph"/>
          <w:highlight w:val="yellow"/>
        </w:rPr>
      </w:r>
      <w:r>
        <w:rPr>
          <w:rStyle w:val="ECCParagraph"/>
          <w:highlight w:val="yellow"/>
        </w:rPr>
        <w:fldChar w:fldCharType="separate"/>
      </w:r>
      <w:r w:rsidR="004F49F9">
        <w:rPr>
          <w:rStyle w:val="ECCParagraph"/>
        </w:rPr>
        <w:t>2.2.5.6</w:t>
      </w:r>
      <w:r>
        <w:rPr>
          <w:rStyle w:val="ECCParagraph"/>
          <w:highlight w:val="yellow"/>
        </w:rPr>
        <w:fldChar w:fldCharType="end"/>
      </w:r>
      <w:r>
        <w:rPr>
          <w:rStyle w:val="ECCParagraph"/>
        </w:rPr>
        <w:t xml:space="preserve"> and </w:t>
      </w:r>
      <w:r w:rsidR="0023164E">
        <w:rPr>
          <w:rStyle w:val="ECCParagraph"/>
          <w:highlight w:val="yellow"/>
        </w:rPr>
        <w:fldChar w:fldCharType="begin"/>
      </w:r>
      <w:r w:rsidR="0023164E">
        <w:rPr>
          <w:rStyle w:val="ECCParagraph"/>
        </w:rPr>
        <w:instrText xml:space="preserve"> REF _Ref44425995 \h </w:instrText>
      </w:r>
      <w:r w:rsidR="0023164E">
        <w:rPr>
          <w:rStyle w:val="ECCParagraph"/>
          <w:highlight w:val="yellow"/>
        </w:rPr>
      </w:r>
      <w:r w:rsidR="0023164E">
        <w:rPr>
          <w:rStyle w:val="ECCParagraph"/>
          <w:highlight w:val="yellow"/>
        </w:rPr>
        <w:fldChar w:fldCharType="separate"/>
      </w:r>
      <w:r w:rsidR="0041125F" w:rsidRPr="00923C0F">
        <w:t>Figure </w:t>
      </w:r>
      <w:r w:rsidR="0041125F">
        <w:rPr>
          <w:noProof/>
        </w:rPr>
        <w:t>49</w:t>
      </w:r>
      <w:r w:rsidR="0023164E">
        <w:rPr>
          <w:rStyle w:val="ECCParagraph"/>
          <w:highlight w:val="yellow"/>
        </w:rPr>
        <w:fldChar w:fldCharType="end"/>
      </w:r>
      <w:r>
        <w:rPr>
          <w:rStyle w:val="ECCParagraph"/>
        </w:rPr>
        <w:t>) with the only difference that the measurement object is not a water surface but also the mentioned flat surface of fine and wet sand. The reflection loss of both surfaces, however, is assumed to be identical taking a value of 6</w:t>
      </w:r>
      <w:r w:rsidR="00CF4994">
        <w:rPr>
          <w:rStyle w:val="ECCParagraph"/>
        </w:rPr>
        <w:t>.4</w:t>
      </w:r>
      <w:r>
        <w:rPr>
          <w:rStyle w:val="ECCParagraph"/>
        </w:rPr>
        <w:t>2 dB as explained above.</w:t>
      </w:r>
    </w:p>
    <w:p w14:paraId="483D69E1" w14:textId="77777777" w:rsidR="002620A7" w:rsidRDefault="002620A7" w:rsidP="002620A7">
      <w:pPr>
        <w:rPr>
          <w:rStyle w:val="ECCParagraph"/>
        </w:rPr>
      </w:pPr>
      <w:r w:rsidRPr="00DE6DE1">
        <w:rPr>
          <w:rStyle w:val="ECCParagraph"/>
        </w:rPr>
        <w:t>The relevant</w:t>
      </w:r>
      <w:r>
        <w:rPr>
          <w:rStyle w:val="ECCParagraph"/>
        </w:rPr>
        <w:t xml:space="preserve"> </w:t>
      </w:r>
      <w:r w:rsidRPr="00DE6DE1">
        <w:rPr>
          <w:rStyle w:val="ECCParagraph"/>
        </w:rPr>
        <w:t>reflected and back lobe interference components are again calculated separately and afterwards an ideal power summation is conducted to work out the total interference power.</w:t>
      </w:r>
    </w:p>
    <w:p w14:paraId="7713B932" w14:textId="77777777" w:rsidR="002620A7" w:rsidRPr="002620A7" w:rsidRDefault="002620A7" w:rsidP="002620A7">
      <w:pPr>
        <w:pStyle w:val="Caption"/>
        <w:rPr>
          <w:rStyle w:val="ECCParagraph"/>
        </w:rPr>
      </w:pPr>
      <w:r w:rsidRPr="002620A7">
        <w:rPr>
          <w:noProof/>
          <w:lang w:val="de-DE" w:eastAsia="de-DE"/>
        </w:rPr>
        <w:drawing>
          <wp:inline distT="0" distB="0" distL="0" distR="0" wp14:anchorId="1B1F523C" wp14:editId="43AE12B2">
            <wp:extent cx="5228493" cy="5178218"/>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5251224" cy="5200731"/>
                    </a:xfrm>
                    <a:prstGeom prst="rect">
                      <a:avLst/>
                    </a:prstGeom>
                  </pic:spPr>
                </pic:pic>
              </a:graphicData>
            </a:graphic>
          </wp:inline>
        </w:drawing>
      </w:r>
    </w:p>
    <w:p w14:paraId="4AB4B8E9" w14:textId="01B0C98B" w:rsidR="002620A7" w:rsidRPr="00414077" w:rsidRDefault="0023164E" w:rsidP="002620A7">
      <w:pPr>
        <w:pStyle w:val="Caption"/>
        <w:rPr>
          <w:rStyle w:val="ECCHLbold"/>
          <w:rFonts w:eastAsia="Calibri"/>
          <w:lang w:val="en-GB"/>
        </w:rPr>
      </w:pPr>
      <w:bookmarkStart w:id="272" w:name="_Ref44425995"/>
      <w:r w:rsidRPr="00923C0F">
        <w:t>Figure </w:t>
      </w:r>
      <w:r w:rsidR="00E55534">
        <w:fldChar w:fldCharType="begin"/>
      </w:r>
      <w:r w:rsidR="00E55534">
        <w:instrText>SEQ Figure \*ARABIC \* MERGEFORMAT  \* MERGEFORMAT</w:instrText>
      </w:r>
      <w:r w:rsidR="00E55534">
        <w:fldChar w:fldCharType="separate"/>
      </w:r>
      <w:r w:rsidR="004F49F9">
        <w:rPr>
          <w:noProof/>
        </w:rPr>
        <w:t>49</w:t>
      </w:r>
      <w:r w:rsidR="00E55534">
        <w:rPr>
          <w:noProof/>
        </w:rPr>
        <w:fldChar w:fldCharType="end"/>
      </w:r>
      <w:bookmarkEnd w:id="272"/>
      <w:r w:rsidR="002620A7" w:rsidRPr="00414077">
        <w:rPr>
          <w:lang w:val="en-GB"/>
        </w:rPr>
        <w:t>: Worst-case interference scenario against EESS (passive) satellite receivers for DBF-CDR equipment</w:t>
      </w:r>
    </w:p>
    <w:p w14:paraId="1226A554" w14:textId="0195D51D" w:rsidR="002620A7" w:rsidRDefault="002620A7" w:rsidP="002620A7">
      <w:pPr>
        <w:rPr>
          <w:rStyle w:val="ECCParagraph"/>
        </w:rPr>
      </w:pPr>
      <w:r w:rsidRPr="00B7738D">
        <w:rPr>
          <w:rStyle w:val="ECCParagraph"/>
        </w:rPr>
        <w:t xml:space="preserve">In </w:t>
      </w:r>
      <w:r>
        <w:rPr>
          <w:rStyle w:val="ECCParagraph"/>
        </w:rPr>
        <w:t>all</w:t>
      </w:r>
      <w:r w:rsidRPr="00B7738D">
        <w:rPr>
          <w:rStyle w:val="ECCParagraph"/>
        </w:rPr>
        <w:t xml:space="preserve"> </w:t>
      </w:r>
      <w:r>
        <w:rPr>
          <w:rStyle w:val="ECCParagraph"/>
        </w:rPr>
        <w:t xml:space="preserve">preceding interference </w:t>
      </w:r>
      <w:r w:rsidRPr="00B7738D">
        <w:rPr>
          <w:rStyle w:val="ECCParagraph"/>
        </w:rPr>
        <w:t>scenario</w:t>
      </w:r>
      <w:r>
        <w:rPr>
          <w:rStyle w:val="ECCParagraph"/>
        </w:rPr>
        <w:t>s,</w:t>
      </w:r>
      <w:r w:rsidRPr="00B7738D">
        <w:rPr>
          <w:rStyle w:val="ECCParagraph"/>
        </w:rPr>
        <w:t xml:space="preserve"> it is also very important whether CDR installations are located indoors or have any other similar roofed construction which attenuate the paths towards the sky</w:t>
      </w:r>
      <w:r>
        <w:rPr>
          <w:rStyle w:val="ECCParagraph"/>
        </w:rPr>
        <w:t xml:space="preserve"> or the terrestrial victims</w:t>
      </w:r>
      <w:r w:rsidRPr="00B7738D">
        <w:rPr>
          <w:rStyle w:val="ECCParagraph"/>
        </w:rPr>
        <w:t xml:space="preserve">. As outlined in </w:t>
      </w:r>
      <w:r w:rsidR="009D5FA2">
        <w:rPr>
          <w:rStyle w:val="ECCParagraph"/>
        </w:rPr>
        <w:t>section</w:t>
      </w:r>
      <w:r w:rsidRPr="00B7738D">
        <w:rPr>
          <w:rStyle w:val="ECCParagraph"/>
        </w:rPr>
        <w:t xml:space="preserve"> </w:t>
      </w:r>
      <w:r>
        <w:rPr>
          <w:rStyle w:val="ECCParagraph"/>
          <w:highlight w:val="yellow"/>
        </w:rPr>
        <w:fldChar w:fldCharType="begin"/>
      </w:r>
      <w:r>
        <w:rPr>
          <w:rStyle w:val="ECCParagraph"/>
        </w:rPr>
        <w:instrText xml:space="preserve"> REF _Ref36548956 \r \h </w:instrText>
      </w:r>
      <w:r>
        <w:rPr>
          <w:rStyle w:val="ECCParagraph"/>
          <w:highlight w:val="yellow"/>
        </w:rPr>
      </w:r>
      <w:r>
        <w:rPr>
          <w:rStyle w:val="ECCParagraph"/>
          <w:highlight w:val="yellow"/>
        </w:rPr>
        <w:fldChar w:fldCharType="separate"/>
      </w:r>
      <w:r w:rsidR="004F49F9">
        <w:rPr>
          <w:rStyle w:val="ECCParagraph"/>
        </w:rPr>
        <w:t>2.2.6.5</w:t>
      </w:r>
      <w:r>
        <w:rPr>
          <w:rStyle w:val="ECCParagraph"/>
          <w:highlight w:val="yellow"/>
        </w:rPr>
        <w:fldChar w:fldCharType="end"/>
      </w:r>
      <w:r>
        <w:rPr>
          <w:rStyle w:val="ECCParagraph"/>
        </w:rPr>
        <w:t xml:space="preserve"> </w:t>
      </w:r>
      <w:r w:rsidRPr="00B7738D">
        <w:rPr>
          <w:rStyle w:val="ECCParagraph"/>
        </w:rPr>
        <w:t>calculations shall assume that 90</w:t>
      </w:r>
      <w:r w:rsidR="00F800A2">
        <w:rPr>
          <w:rStyle w:val="ECCParagraph"/>
        </w:rPr>
        <w:t>%</w:t>
      </w:r>
      <w:r w:rsidRPr="00B7738D">
        <w:rPr>
          <w:rStyle w:val="ECCParagraph"/>
        </w:rPr>
        <w:t xml:space="preserve"> of all CDRs are actually installed indoors</w:t>
      </w:r>
      <w:r>
        <w:rPr>
          <w:rStyle w:val="ECCParagraph"/>
        </w:rPr>
        <w:t>, inside silos or tanks or below roofed environments</w:t>
      </w:r>
      <w:r w:rsidRPr="00B7738D">
        <w:rPr>
          <w:rStyle w:val="ECCParagraph"/>
        </w:rPr>
        <w:t>. When performing a probabilistic analysis an appropriate building attenuation shall be taken into account.</w:t>
      </w:r>
    </w:p>
    <w:p w14:paraId="6FA14375" w14:textId="77777777" w:rsidR="00481F65" w:rsidRPr="006D6727" w:rsidRDefault="00AD4BBA" w:rsidP="00AD4BBA">
      <w:pPr>
        <w:pStyle w:val="Heading3"/>
        <w:rPr>
          <w:noProof/>
          <w:lang w:val="en-GB"/>
        </w:rPr>
      </w:pPr>
      <w:bookmarkStart w:id="273" w:name="_Ref67041475"/>
      <w:bookmarkStart w:id="274" w:name="_Toc84325283"/>
      <w:bookmarkStart w:id="275" w:name="_Toc127346232"/>
      <w:r w:rsidRPr="006D6727">
        <w:rPr>
          <w:noProof/>
          <w:lang w:val="en-GB"/>
        </w:rPr>
        <w:t>T</w:t>
      </w:r>
      <w:r w:rsidR="00481F65" w:rsidRPr="006D6727">
        <w:rPr>
          <w:noProof/>
          <w:lang w:val="en-GB"/>
        </w:rPr>
        <w:t xml:space="preserve">ank Level </w:t>
      </w:r>
      <w:r w:rsidR="00C46DF9" w:rsidRPr="006D6727">
        <w:rPr>
          <w:noProof/>
          <w:lang w:val="en-GB"/>
        </w:rPr>
        <w:t>P</w:t>
      </w:r>
      <w:r w:rsidR="00481F65" w:rsidRPr="006D6727">
        <w:rPr>
          <w:noProof/>
          <w:lang w:val="en-GB"/>
        </w:rPr>
        <w:t xml:space="preserve">robing </w:t>
      </w:r>
      <w:r w:rsidR="00C46DF9" w:rsidRPr="006D6727">
        <w:rPr>
          <w:noProof/>
          <w:lang w:val="en-GB"/>
        </w:rPr>
        <w:t>R</w:t>
      </w:r>
      <w:r w:rsidR="00481F65" w:rsidRPr="006D6727">
        <w:rPr>
          <w:noProof/>
          <w:lang w:val="en-GB"/>
        </w:rPr>
        <w:t xml:space="preserve">adar </w:t>
      </w:r>
      <w:r w:rsidR="00475E54" w:rsidRPr="006D6727">
        <w:rPr>
          <w:noProof/>
          <w:lang w:val="en-GB"/>
        </w:rPr>
        <w:t>(TLPR)</w:t>
      </w:r>
      <w:bookmarkEnd w:id="273"/>
      <w:bookmarkEnd w:id="274"/>
      <w:bookmarkEnd w:id="275"/>
    </w:p>
    <w:p w14:paraId="18A5C556" w14:textId="77777777" w:rsidR="003E4BC1" w:rsidRPr="00EA69A6" w:rsidRDefault="003E4BC1" w:rsidP="004E36C2">
      <w:pPr>
        <w:pStyle w:val="Heading4"/>
        <w:rPr>
          <w:noProof/>
        </w:rPr>
      </w:pPr>
      <w:bookmarkStart w:id="276" w:name="_Toc84325284"/>
      <w:r w:rsidRPr="00EA69A6">
        <w:rPr>
          <w:noProof/>
        </w:rPr>
        <w:t>Application scenari</w:t>
      </w:r>
      <w:r w:rsidR="00EA69A6" w:rsidRPr="00EA69A6">
        <w:t>o</w:t>
      </w:r>
      <w:bookmarkEnd w:id="276"/>
    </w:p>
    <w:p w14:paraId="2A902206" w14:textId="1044BB70" w:rsidR="002E1B15" w:rsidRPr="006D6727" w:rsidRDefault="006A1C68" w:rsidP="00F12169">
      <w:pPr>
        <w:rPr>
          <w:rStyle w:val="ECCParagraph"/>
          <w:noProof/>
        </w:rPr>
      </w:pPr>
      <w:r w:rsidRPr="006D6727">
        <w:rPr>
          <w:rStyle w:val="ECCParagraph"/>
          <w:noProof/>
        </w:rPr>
        <w:t xml:space="preserve">Tank </w:t>
      </w:r>
      <w:r w:rsidR="00D51B7E" w:rsidRPr="006D6727">
        <w:rPr>
          <w:rStyle w:val="ECCParagraph"/>
          <w:noProof/>
        </w:rPr>
        <w:t>Level Probing Radar (</w:t>
      </w:r>
      <w:r w:rsidRPr="006D6727">
        <w:rPr>
          <w:rStyle w:val="ECCParagraph"/>
          <w:noProof/>
        </w:rPr>
        <w:t>T</w:t>
      </w:r>
      <w:r w:rsidR="00D51B7E" w:rsidRPr="006D6727">
        <w:rPr>
          <w:rStyle w:val="ECCParagraph"/>
          <w:noProof/>
        </w:rPr>
        <w:t xml:space="preserve">LPR) sensors are </w:t>
      </w:r>
      <w:r w:rsidR="003A47A0" w:rsidRPr="006D6727">
        <w:rPr>
          <w:rStyle w:val="ECCParagraph"/>
          <w:noProof/>
        </w:rPr>
        <w:t>almost identical to Level Probing Radar</w:t>
      </w:r>
      <w:r w:rsidR="00E2257A" w:rsidRPr="006D6727">
        <w:rPr>
          <w:rStyle w:val="ECCParagraph"/>
          <w:noProof/>
        </w:rPr>
        <w:t>s</w:t>
      </w:r>
      <w:r w:rsidR="003A47A0" w:rsidRPr="006D6727">
        <w:rPr>
          <w:rStyle w:val="ECCParagraph"/>
          <w:noProof/>
        </w:rPr>
        <w:t xml:space="preserve"> </w:t>
      </w:r>
      <w:r w:rsidR="007525DA" w:rsidRPr="006D6727">
        <w:rPr>
          <w:rStyle w:val="ECCParagraph"/>
          <w:noProof/>
        </w:rPr>
        <w:t xml:space="preserve">(LPR) </w:t>
      </w:r>
      <w:r w:rsidR="003A47A0" w:rsidRPr="006D6727">
        <w:rPr>
          <w:rStyle w:val="ECCParagraph"/>
          <w:noProof/>
        </w:rPr>
        <w:t xml:space="preserve">(see </w:t>
      </w:r>
      <w:r w:rsidR="009D5FA2">
        <w:rPr>
          <w:rStyle w:val="ECCParagraph"/>
          <w:noProof/>
        </w:rPr>
        <w:t>section</w:t>
      </w:r>
      <w:r w:rsidR="003A47A0" w:rsidRPr="006D6727">
        <w:rPr>
          <w:rStyle w:val="ECCParagraph"/>
          <w:noProof/>
        </w:rPr>
        <w:t xml:space="preserve"> </w:t>
      </w:r>
      <w:r w:rsidR="003A47A0" w:rsidRPr="006D6727">
        <w:rPr>
          <w:rStyle w:val="ECCParagraph"/>
          <w:noProof/>
        </w:rPr>
        <w:fldChar w:fldCharType="begin"/>
      </w:r>
      <w:r w:rsidR="003A47A0" w:rsidRPr="006D6727">
        <w:rPr>
          <w:rStyle w:val="ECCParagraph"/>
          <w:noProof/>
        </w:rPr>
        <w:instrText xml:space="preserve"> REF _Ref9430137 \r \h </w:instrText>
      </w:r>
      <w:r w:rsidR="002E1B15" w:rsidRPr="006D6727">
        <w:rPr>
          <w:rStyle w:val="ECCParagraph"/>
          <w:noProof/>
        </w:rPr>
        <w:instrText xml:space="preserve"> \* MERGEFORMAT </w:instrText>
      </w:r>
      <w:r w:rsidR="003A47A0" w:rsidRPr="006D6727">
        <w:rPr>
          <w:rStyle w:val="ECCParagraph"/>
          <w:noProof/>
        </w:rPr>
      </w:r>
      <w:r w:rsidR="003A47A0" w:rsidRPr="006D6727">
        <w:rPr>
          <w:rStyle w:val="ECCParagraph"/>
          <w:noProof/>
        </w:rPr>
        <w:fldChar w:fldCharType="separate"/>
      </w:r>
      <w:r w:rsidR="004F49F9">
        <w:rPr>
          <w:rStyle w:val="ECCParagraph"/>
          <w:noProof/>
        </w:rPr>
        <w:t>2.2.5</w:t>
      </w:r>
      <w:r w:rsidR="003A47A0" w:rsidRPr="006D6727">
        <w:rPr>
          <w:rStyle w:val="ECCParagraph"/>
          <w:noProof/>
        </w:rPr>
        <w:fldChar w:fldCharType="end"/>
      </w:r>
      <w:r w:rsidR="003A47A0" w:rsidRPr="006D6727">
        <w:rPr>
          <w:rStyle w:val="ECCParagraph"/>
          <w:noProof/>
        </w:rPr>
        <w:t xml:space="preserve">) with the </w:t>
      </w:r>
      <w:r w:rsidR="00225548" w:rsidRPr="006D6727">
        <w:rPr>
          <w:rStyle w:val="ECCParagraph"/>
          <w:noProof/>
        </w:rPr>
        <w:t xml:space="preserve">only </w:t>
      </w:r>
      <w:r w:rsidR="003A47A0" w:rsidRPr="006D6727">
        <w:rPr>
          <w:rStyle w:val="ECCParagraph"/>
          <w:noProof/>
        </w:rPr>
        <w:t xml:space="preserve">exception that TLPRs are only allowed </w:t>
      </w:r>
      <w:r w:rsidR="003F723A" w:rsidRPr="006D6727">
        <w:rPr>
          <w:rStyle w:val="ECCParagraph"/>
          <w:noProof/>
        </w:rPr>
        <w:t xml:space="preserve">to be applied and </w:t>
      </w:r>
      <w:r w:rsidR="003A47A0" w:rsidRPr="006D6727">
        <w:rPr>
          <w:rStyle w:val="ECCParagraph"/>
          <w:noProof/>
        </w:rPr>
        <w:t>radiate inside metallic tanks or containers consisting of a comparable attenuating material</w:t>
      </w:r>
      <w:r w:rsidR="00BF6F8C" w:rsidRPr="006D6727">
        <w:rPr>
          <w:rStyle w:val="ECCParagraph"/>
          <w:noProof/>
        </w:rPr>
        <w:t xml:space="preserve">, </w:t>
      </w:r>
      <w:r w:rsidR="003A47A0" w:rsidRPr="006D6727">
        <w:rPr>
          <w:rStyle w:val="ECCParagraph"/>
          <w:noProof/>
        </w:rPr>
        <w:t>e.g. concrete.</w:t>
      </w:r>
      <w:r w:rsidR="00F12169" w:rsidRPr="006D6727">
        <w:rPr>
          <w:rStyle w:val="ECCParagraph"/>
          <w:noProof/>
        </w:rPr>
        <w:t xml:space="preserve"> The measurement principle is also </w:t>
      </w:r>
      <w:r w:rsidR="002E1B15" w:rsidRPr="006D6727">
        <w:rPr>
          <w:rStyle w:val="ECCParagraph"/>
          <w:noProof/>
        </w:rPr>
        <w:t xml:space="preserve">identical to LPRs using a time-of-flight method with an FMCW modulated Radar signal. This principle is explained in more detail in </w:t>
      </w:r>
      <w:r w:rsidR="009D5FA2">
        <w:rPr>
          <w:rStyle w:val="ECCParagraph"/>
          <w:noProof/>
        </w:rPr>
        <w:t>section</w:t>
      </w:r>
      <w:r w:rsidR="002E1B15" w:rsidRPr="006D6727">
        <w:rPr>
          <w:rStyle w:val="ECCParagraph"/>
          <w:noProof/>
        </w:rPr>
        <w:t xml:space="preserve"> </w:t>
      </w:r>
      <w:r w:rsidR="002E1B15" w:rsidRPr="006D6727">
        <w:rPr>
          <w:rStyle w:val="ECCParagraph"/>
          <w:noProof/>
        </w:rPr>
        <w:fldChar w:fldCharType="begin"/>
      </w:r>
      <w:r w:rsidR="002E1B15" w:rsidRPr="006D6727">
        <w:rPr>
          <w:rStyle w:val="ECCParagraph"/>
          <w:noProof/>
        </w:rPr>
        <w:instrText xml:space="preserve"> REF _Ref9500724 \r \h  \* MERGEFORMAT </w:instrText>
      </w:r>
      <w:r w:rsidR="002E1B15" w:rsidRPr="006D6727">
        <w:rPr>
          <w:rStyle w:val="ECCParagraph"/>
          <w:noProof/>
        </w:rPr>
      </w:r>
      <w:r w:rsidR="002E1B15" w:rsidRPr="006D6727">
        <w:rPr>
          <w:rStyle w:val="ECCParagraph"/>
          <w:noProof/>
        </w:rPr>
        <w:fldChar w:fldCharType="separate"/>
      </w:r>
      <w:r w:rsidR="004F49F9">
        <w:rPr>
          <w:rStyle w:val="ECCParagraph"/>
          <w:noProof/>
        </w:rPr>
        <w:t>2.2.5</w:t>
      </w:r>
      <w:r w:rsidR="002E1B15" w:rsidRPr="006D6727">
        <w:rPr>
          <w:rStyle w:val="ECCParagraph"/>
          <w:noProof/>
        </w:rPr>
        <w:fldChar w:fldCharType="end"/>
      </w:r>
      <w:r w:rsidR="002E1B15" w:rsidRPr="006D6727">
        <w:rPr>
          <w:rStyle w:val="ECCParagraph"/>
          <w:noProof/>
        </w:rPr>
        <w:t>.</w:t>
      </w:r>
    </w:p>
    <w:p w14:paraId="76761957" w14:textId="44095F21" w:rsidR="00D51B7E" w:rsidRPr="006D6727" w:rsidRDefault="007525DA" w:rsidP="00D51B7E">
      <w:pPr>
        <w:rPr>
          <w:rStyle w:val="ECCParagraph"/>
          <w:noProof/>
        </w:rPr>
      </w:pPr>
      <w:r w:rsidRPr="006D6727">
        <w:rPr>
          <w:rStyle w:val="ECCParagraph"/>
          <w:noProof/>
        </w:rPr>
        <w:t xml:space="preserve">TLPRs are </w:t>
      </w:r>
      <w:r w:rsidR="00BF6F8C" w:rsidRPr="006D6727">
        <w:rPr>
          <w:rStyle w:val="ECCParagraph"/>
          <w:noProof/>
        </w:rPr>
        <w:t>applied like LPRs</w:t>
      </w:r>
      <w:r w:rsidR="00D51B7E" w:rsidRPr="006D6727">
        <w:rPr>
          <w:rStyle w:val="ECCParagraph"/>
          <w:noProof/>
        </w:rPr>
        <w:t xml:space="preserve"> in many industries to measure the distance to the surface of various materials and substances (mostly liquids and solids) </w:t>
      </w:r>
      <w:r w:rsidRPr="006D6727">
        <w:rPr>
          <w:rStyle w:val="ECCParagraph"/>
          <w:noProof/>
        </w:rPr>
        <w:t xml:space="preserve">inside </w:t>
      </w:r>
      <w:r w:rsidR="00BF6F8C" w:rsidRPr="006D6727">
        <w:rPr>
          <w:rStyle w:val="ECCParagraph"/>
          <w:noProof/>
        </w:rPr>
        <w:t xml:space="preserve">closed </w:t>
      </w:r>
      <w:r w:rsidRPr="006D6727">
        <w:rPr>
          <w:rStyle w:val="ECCParagraph"/>
          <w:noProof/>
        </w:rPr>
        <w:t>container</w:t>
      </w:r>
      <w:r w:rsidR="00BF6F8C" w:rsidRPr="006D6727">
        <w:rPr>
          <w:rStyle w:val="ECCParagraph"/>
          <w:noProof/>
        </w:rPr>
        <w:t>s</w:t>
      </w:r>
      <w:r w:rsidRPr="006D6727">
        <w:rPr>
          <w:rStyle w:val="ECCParagraph"/>
          <w:noProof/>
        </w:rPr>
        <w:t xml:space="preserve"> </w:t>
      </w:r>
      <w:r w:rsidR="00D51B7E" w:rsidRPr="006D6727">
        <w:rPr>
          <w:rStyle w:val="ECCParagraph"/>
          <w:noProof/>
        </w:rPr>
        <w:t>and thus indirectly the amount of th</w:t>
      </w:r>
      <w:r w:rsidR="00BF6F8C" w:rsidRPr="006D6727">
        <w:rPr>
          <w:rStyle w:val="ECCParagraph"/>
          <w:noProof/>
        </w:rPr>
        <w:t>e filling</w:t>
      </w:r>
      <w:r w:rsidR="00D51B7E" w:rsidRPr="006D6727">
        <w:rPr>
          <w:rStyle w:val="ECCParagraph"/>
          <w:noProof/>
        </w:rPr>
        <w:t xml:space="preserve"> </w:t>
      </w:r>
      <w:r w:rsidR="00BF6F8C" w:rsidRPr="006D6727">
        <w:rPr>
          <w:rStyle w:val="ECCParagraph"/>
          <w:noProof/>
        </w:rPr>
        <w:t>product</w:t>
      </w:r>
      <w:r w:rsidR="00D51B7E" w:rsidRPr="006D6727">
        <w:rPr>
          <w:rStyle w:val="ECCParagraph"/>
          <w:noProof/>
        </w:rPr>
        <w:t xml:space="preserve">. A typical conceptional measurement scenario for </w:t>
      </w:r>
      <w:r w:rsidR="003A47A0" w:rsidRPr="006D6727">
        <w:rPr>
          <w:rStyle w:val="ECCParagraph"/>
          <w:noProof/>
        </w:rPr>
        <w:t xml:space="preserve">Tank level Probing Radars </w:t>
      </w:r>
      <w:r w:rsidR="00D51B7E" w:rsidRPr="006D6727">
        <w:rPr>
          <w:rStyle w:val="ECCParagraph"/>
          <w:noProof/>
        </w:rPr>
        <w:t>is illustrated in</w:t>
      </w:r>
      <w:r w:rsidR="003A47A0" w:rsidRPr="006D6727">
        <w:rPr>
          <w:rStyle w:val="ECCParagraph"/>
          <w:noProof/>
        </w:rPr>
        <w:t xml:space="preserve"> </w:t>
      </w:r>
      <w:r w:rsidR="003A47A0" w:rsidRPr="006D6727">
        <w:rPr>
          <w:rStyle w:val="ECCParagraph"/>
          <w:noProof/>
        </w:rPr>
        <w:fldChar w:fldCharType="begin"/>
      </w:r>
      <w:r w:rsidR="003A47A0" w:rsidRPr="006D6727">
        <w:rPr>
          <w:rStyle w:val="ECCParagraph"/>
          <w:noProof/>
        </w:rPr>
        <w:instrText xml:space="preserve"> REF _Ref9430286 \h </w:instrText>
      </w:r>
      <w:r w:rsidR="003A47A0" w:rsidRPr="006D6727">
        <w:rPr>
          <w:rStyle w:val="ECCParagraph"/>
          <w:noProof/>
        </w:rPr>
      </w:r>
      <w:r w:rsidR="003A47A0" w:rsidRPr="006D6727">
        <w:rPr>
          <w:rStyle w:val="ECCParagraph"/>
          <w:noProof/>
        </w:rPr>
        <w:fldChar w:fldCharType="separate"/>
      </w:r>
      <w:r w:rsidR="0041125F" w:rsidRPr="006D6727">
        <w:rPr>
          <w:noProof/>
        </w:rPr>
        <w:t>Figure </w:t>
      </w:r>
      <w:r w:rsidR="0041125F">
        <w:rPr>
          <w:noProof/>
        </w:rPr>
        <w:t>50</w:t>
      </w:r>
      <w:r w:rsidR="003A47A0" w:rsidRPr="006D6727">
        <w:rPr>
          <w:rStyle w:val="ECCParagraph"/>
          <w:noProof/>
        </w:rPr>
        <w:fldChar w:fldCharType="end"/>
      </w:r>
      <w:r w:rsidR="00D51B7E" w:rsidRPr="006D6727">
        <w:rPr>
          <w:rStyle w:val="ECCParagraph"/>
          <w:noProof/>
        </w:rPr>
        <w:t>.</w:t>
      </w:r>
    </w:p>
    <w:p w14:paraId="2BB724A7" w14:textId="77777777" w:rsidR="00F63B3F" w:rsidRPr="006D6727" w:rsidRDefault="00330A8B" w:rsidP="00F63B3F">
      <w:pPr>
        <w:pStyle w:val="ECCFiguregraphcentered"/>
        <w:rPr>
          <w:lang w:val="en-GB"/>
        </w:rPr>
      </w:pPr>
      <w:r w:rsidRPr="00330A8B">
        <w:drawing>
          <wp:inline distT="0" distB="0" distL="0" distR="0" wp14:anchorId="469EB8BA" wp14:editId="5E78C6DE">
            <wp:extent cx="5970892" cy="4372708"/>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6041754" cy="4424603"/>
                    </a:xfrm>
                    <a:prstGeom prst="rect">
                      <a:avLst/>
                    </a:prstGeom>
                    <a:noFill/>
                    <a:ln>
                      <a:noFill/>
                    </a:ln>
                  </pic:spPr>
                </pic:pic>
              </a:graphicData>
            </a:graphic>
          </wp:inline>
        </w:drawing>
      </w:r>
    </w:p>
    <w:p w14:paraId="2C05F2DC" w14:textId="63BE0164" w:rsidR="00F63B3F" w:rsidRPr="006D6727" w:rsidRDefault="00F63B3F" w:rsidP="00F63B3F">
      <w:pPr>
        <w:pStyle w:val="Caption"/>
        <w:rPr>
          <w:noProof/>
          <w:lang w:val="en-GB"/>
        </w:rPr>
      </w:pPr>
      <w:bookmarkStart w:id="277" w:name="_Ref9430286"/>
      <w:r w:rsidRPr="006D6727">
        <w:rPr>
          <w:noProof/>
          <w:lang w:val="en-GB"/>
        </w:rPr>
        <w:t>Figure </w:t>
      </w:r>
      <w:r w:rsidR="00225548" w:rsidRPr="006D6727">
        <w:rPr>
          <w:noProof/>
          <w:lang w:val="en-GB"/>
        </w:rPr>
        <w:fldChar w:fldCharType="begin"/>
      </w:r>
      <w:r w:rsidR="00225548" w:rsidRPr="006D6727">
        <w:rPr>
          <w:noProof/>
          <w:lang w:val="en-GB"/>
        </w:rPr>
        <w:instrText xml:space="preserve"> SEQ Figure \*ARABIC \* MERGEFORMAT  \* MERGEFORMAT </w:instrText>
      </w:r>
      <w:r w:rsidR="00225548" w:rsidRPr="006D6727">
        <w:rPr>
          <w:noProof/>
          <w:lang w:val="en-GB"/>
        </w:rPr>
        <w:fldChar w:fldCharType="separate"/>
      </w:r>
      <w:r w:rsidR="004F49F9">
        <w:rPr>
          <w:noProof/>
          <w:lang w:val="en-GB"/>
        </w:rPr>
        <w:t>50</w:t>
      </w:r>
      <w:r w:rsidR="00225548" w:rsidRPr="006D6727">
        <w:rPr>
          <w:noProof/>
          <w:lang w:val="en-GB"/>
        </w:rPr>
        <w:fldChar w:fldCharType="end"/>
      </w:r>
      <w:bookmarkEnd w:id="277"/>
      <w:r w:rsidRPr="006D6727">
        <w:rPr>
          <w:noProof/>
          <w:lang w:val="en-GB"/>
        </w:rPr>
        <w:t xml:space="preserve">: </w:t>
      </w:r>
      <w:r w:rsidR="00DF23B3" w:rsidRPr="006D6727">
        <w:rPr>
          <w:noProof/>
          <w:lang w:val="en-GB"/>
        </w:rPr>
        <w:t xml:space="preserve">Tank </w:t>
      </w:r>
      <w:r w:rsidRPr="006D6727">
        <w:rPr>
          <w:noProof/>
          <w:lang w:val="en-GB"/>
        </w:rPr>
        <w:t xml:space="preserve">Level </w:t>
      </w:r>
      <w:r w:rsidR="009F5DAF" w:rsidRPr="006D6727">
        <w:rPr>
          <w:noProof/>
          <w:lang w:val="en-GB"/>
        </w:rPr>
        <w:t>P</w:t>
      </w:r>
      <w:r w:rsidRPr="006D6727">
        <w:rPr>
          <w:noProof/>
          <w:lang w:val="en-GB"/>
        </w:rPr>
        <w:t xml:space="preserve">robing </w:t>
      </w:r>
      <w:r w:rsidR="009F5DAF" w:rsidRPr="006D6727">
        <w:rPr>
          <w:noProof/>
          <w:lang w:val="en-GB"/>
        </w:rPr>
        <w:t>R</w:t>
      </w:r>
      <w:r w:rsidRPr="006D6727">
        <w:rPr>
          <w:noProof/>
          <w:lang w:val="en-GB"/>
        </w:rPr>
        <w:t>adar for solids/liquids inside a metallic tank</w:t>
      </w:r>
    </w:p>
    <w:p w14:paraId="7B42B3BE" w14:textId="77777777" w:rsidR="00D51B7E" w:rsidRPr="006D6727" w:rsidRDefault="00D51B7E" w:rsidP="0016205E">
      <w:pPr>
        <w:rPr>
          <w:rStyle w:val="ECCParagraph"/>
          <w:noProof/>
        </w:rPr>
      </w:pPr>
      <w:r w:rsidRPr="006D6727">
        <w:rPr>
          <w:rStyle w:val="ECCParagraph"/>
          <w:noProof/>
        </w:rPr>
        <w:t xml:space="preserve">Due to different physical or chemical properties of different liquids or solids, </w:t>
      </w:r>
      <w:r w:rsidR="0016205E" w:rsidRPr="006D6727">
        <w:rPr>
          <w:rStyle w:val="ECCParagraph"/>
          <w:noProof/>
        </w:rPr>
        <w:t>T</w:t>
      </w:r>
      <w:r w:rsidRPr="006D6727">
        <w:rPr>
          <w:rStyle w:val="ECCParagraph"/>
          <w:noProof/>
        </w:rPr>
        <w:t xml:space="preserve">LPR sensors are installed in a large variety of different storage, processing or transportation </w:t>
      </w:r>
      <w:r w:rsidR="0016205E" w:rsidRPr="006D6727">
        <w:rPr>
          <w:rStyle w:val="ECCParagraph"/>
          <w:noProof/>
        </w:rPr>
        <w:t>tanks</w:t>
      </w:r>
      <w:r w:rsidR="003D46D0" w:rsidRPr="006D6727">
        <w:rPr>
          <w:rStyle w:val="ECCParagraph"/>
          <w:noProof/>
        </w:rPr>
        <w:t>.</w:t>
      </w:r>
    </w:p>
    <w:p w14:paraId="48F66759" w14:textId="77777777" w:rsidR="00D51B7E" w:rsidRPr="006D6727" w:rsidRDefault="00D51B7E" w:rsidP="00D51B7E">
      <w:pPr>
        <w:rPr>
          <w:rStyle w:val="ECCParagraph"/>
          <w:noProof/>
        </w:rPr>
      </w:pPr>
      <w:r w:rsidRPr="006D6727">
        <w:rPr>
          <w:rStyle w:val="ECCParagraph"/>
          <w:noProof/>
        </w:rPr>
        <w:t xml:space="preserve">In many of these installations, </w:t>
      </w:r>
      <w:r w:rsidR="003D46D0" w:rsidRPr="006D6727">
        <w:rPr>
          <w:rStyle w:val="ECCParagraph"/>
          <w:noProof/>
        </w:rPr>
        <w:t>T</w:t>
      </w:r>
      <w:r w:rsidRPr="006D6727">
        <w:rPr>
          <w:rStyle w:val="ECCParagraph"/>
          <w:noProof/>
        </w:rPr>
        <w:t xml:space="preserve">LPR devices provide real-time and safety-critical information in order to protect humans, technical equipment, machinery and the environment. Examples of such safety-critical applications </w:t>
      </w:r>
      <w:r w:rsidR="003D46D0" w:rsidRPr="006D6727">
        <w:rPr>
          <w:rStyle w:val="ECCParagraph"/>
          <w:noProof/>
        </w:rPr>
        <w:t xml:space="preserve">inside closed metallic tanks </w:t>
      </w:r>
      <w:r w:rsidRPr="006D6727">
        <w:rPr>
          <w:rStyle w:val="ECCParagraph"/>
          <w:noProof/>
        </w:rPr>
        <w:t>include:</w:t>
      </w:r>
    </w:p>
    <w:p w14:paraId="2FE7ADC1" w14:textId="5FA7D1E9" w:rsidR="00D51B7E" w:rsidRPr="006D6727" w:rsidRDefault="007561EC" w:rsidP="00D51B7E">
      <w:pPr>
        <w:pStyle w:val="ECCBulletsLv1"/>
        <w:rPr>
          <w:rStyle w:val="ECCParagraph"/>
          <w:noProof/>
        </w:rPr>
      </w:pPr>
      <w:r w:rsidRPr="006D6727">
        <w:rPr>
          <w:rStyle w:val="ECCParagraph"/>
          <w:noProof/>
        </w:rPr>
        <w:t>s</w:t>
      </w:r>
      <w:r w:rsidR="00A83D97" w:rsidRPr="006D6727">
        <w:rPr>
          <w:rStyle w:val="ECCParagraph"/>
          <w:noProof/>
        </w:rPr>
        <w:t xml:space="preserve">toring or processing of </w:t>
      </w:r>
      <w:r w:rsidRPr="006D6727">
        <w:rPr>
          <w:rStyle w:val="ECCParagraph"/>
          <w:noProof/>
        </w:rPr>
        <w:t>materials in very small containers (often used in the pharmaceutical industry)</w:t>
      </w:r>
      <w:r w:rsidR="00337071">
        <w:rPr>
          <w:rStyle w:val="ECCParagraph"/>
          <w:noProof/>
        </w:rPr>
        <w:t>;</w:t>
      </w:r>
    </w:p>
    <w:p w14:paraId="66019895" w14:textId="72A28C4F" w:rsidR="00D51B7E" w:rsidRPr="006D6727" w:rsidRDefault="00D51B7E" w:rsidP="00D51B7E">
      <w:pPr>
        <w:pStyle w:val="ECCBulletsLv1"/>
        <w:rPr>
          <w:rStyle w:val="ECCParagraph"/>
          <w:noProof/>
        </w:rPr>
      </w:pPr>
      <w:r w:rsidRPr="006D6727">
        <w:rPr>
          <w:rStyle w:val="ECCParagraph"/>
          <w:noProof/>
        </w:rPr>
        <w:t>storing or processing of hazardous substances (level measurement of flammable and/or corrosive materials, acids</w:t>
      </w:r>
      <w:r w:rsidR="007814A0" w:rsidRPr="006D6727">
        <w:rPr>
          <w:rStyle w:val="ECCParagraph"/>
          <w:noProof/>
        </w:rPr>
        <w:t xml:space="preserve"> and </w:t>
      </w:r>
      <w:r w:rsidRPr="006D6727">
        <w:rPr>
          <w:rStyle w:val="ECCParagraph"/>
          <w:noProof/>
        </w:rPr>
        <w:t>bases</w:t>
      </w:r>
      <w:r w:rsidR="007814A0" w:rsidRPr="006D6727">
        <w:rPr>
          <w:rStyle w:val="ECCParagraph"/>
          <w:noProof/>
        </w:rPr>
        <w:t xml:space="preserve">, poisonous liquids and other </w:t>
      </w:r>
      <w:r w:rsidR="006358A7" w:rsidRPr="006D6727">
        <w:rPr>
          <w:rStyle w:val="ECCParagraph"/>
          <w:noProof/>
        </w:rPr>
        <w:t xml:space="preserve">substances </w:t>
      </w:r>
      <w:r w:rsidR="007814A0" w:rsidRPr="006D6727">
        <w:rPr>
          <w:rStyle w:val="ECCParagraph"/>
          <w:noProof/>
        </w:rPr>
        <w:t xml:space="preserve">harmful </w:t>
      </w:r>
      <w:r w:rsidR="006358A7" w:rsidRPr="006D6727">
        <w:rPr>
          <w:rStyle w:val="ECCParagraph"/>
          <w:noProof/>
        </w:rPr>
        <w:t xml:space="preserve">to </w:t>
      </w:r>
      <w:r w:rsidR="00541086" w:rsidRPr="006D6727">
        <w:rPr>
          <w:rStyle w:val="ECCParagraph"/>
          <w:noProof/>
        </w:rPr>
        <w:t>human's</w:t>
      </w:r>
      <w:r w:rsidR="006358A7" w:rsidRPr="006D6727">
        <w:rPr>
          <w:rStyle w:val="ECCParagraph"/>
          <w:noProof/>
        </w:rPr>
        <w:t xml:space="preserve"> health)</w:t>
      </w:r>
      <w:r w:rsidR="00337071">
        <w:rPr>
          <w:rStyle w:val="ECCParagraph"/>
          <w:noProof/>
        </w:rPr>
        <w:t>;</w:t>
      </w:r>
    </w:p>
    <w:p w14:paraId="6647734E" w14:textId="77777777" w:rsidR="007561EC" w:rsidRPr="006D6727" w:rsidRDefault="007561EC" w:rsidP="008E0701">
      <w:pPr>
        <w:pStyle w:val="ECCBulletsLv1"/>
        <w:rPr>
          <w:rStyle w:val="ECCHLyellow"/>
          <w:noProof/>
          <w:shd w:val="clear" w:color="auto" w:fill="auto"/>
        </w:rPr>
      </w:pPr>
      <w:r w:rsidRPr="006D6727">
        <w:rPr>
          <w:rStyle w:val="ECCParagraph"/>
          <w:noProof/>
        </w:rPr>
        <w:t xml:space="preserve">processing </w:t>
      </w:r>
      <w:r w:rsidR="00C40949" w:rsidRPr="006D6727">
        <w:rPr>
          <w:rStyle w:val="ECCParagraph"/>
          <w:noProof/>
        </w:rPr>
        <w:t xml:space="preserve">of materials </w:t>
      </w:r>
      <w:r w:rsidR="007814A0" w:rsidRPr="006D6727">
        <w:rPr>
          <w:rStyle w:val="ECCParagraph"/>
          <w:noProof/>
        </w:rPr>
        <w:t xml:space="preserve">under harsh </w:t>
      </w:r>
      <w:r w:rsidR="00960492" w:rsidRPr="006D6727">
        <w:rPr>
          <w:rStyle w:val="ECCParagraph"/>
          <w:noProof/>
        </w:rPr>
        <w:t xml:space="preserve">environmental </w:t>
      </w:r>
      <w:r w:rsidR="007814A0" w:rsidRPr="006D6727">
        <w:rPr>
          <w:rStyle w:val="ECCParagraph"/>
          <w:noProof/>
        </w:rPr>
        <w:t>conditions (</w:t>
      </w:r>
      <w:r w:rsidR="0038057B" w:rsidRPr="006D6727">
        <w:rPr>
          <w:rStyle w:val="ECCParagraph"/>
          <w:noProof/>
        </w:rPr>
        <w:t xml:space="preserve">process </w:t>
      </w:r>
      <w:r w:rsidR="007814A0" w:rsidRPr="006D6727">
        <w:rPr>
          <w:rStyle w:val="ECCParagraph"/>
          <w:noProof/>
        </w:rPr>
        <w:t>pressure up to 400</w:t>
      </w:r>
      <w:r w:rsidR="006358A7" w:rsidRPr="006D6727">
        <w:rPr>
          <w:rStyle w:val="ECCParagraph"/>
          <w:noProof/>
        </w:rPr>
        <w:t> </w:t>
      </w:r>
      <w:r w:rsidR="007814A0" w:rsidRPr="006D6727">
        <w:rPr>
          <w:rStyle w:val="ECCParagraph"/>
          <w:noProof/>
        </w:rPr>
        <w:t>bar</w:t>
      </w:r>
      <w:r w:rsidR="007814A0" w:rsidRPr="006D6727">
        <w:rPr>
          <w:noProof/>
        </w:rPr>
        <w:t xml:space="preserve"> and temperatures up to </w:t>
      </w:r>
      <w:r w:rsidR="003566EC" w:rsidRPr="006D6727">
        <w:rPr>
          <w:noProof/>
        </w:rPr>
        <w:t>250°C</w:t>
      </w:r>
      <w:r w:rsidR="006358A7" w:rsidRPr="006D6727">
        <w:rPr>
          <w:noProof/>
        </w:rPr>
        <w:t xml:space="preserve"> inside the </w:t>
      </w:r>
      <w:r w:rsidR="0038057B" w:rsidRPr="006D6727">
        <w:rPr>
          <w:noProof/>
        </w:rPr>
        <w:t>reaction vessel</w:t>
      </w:r>
      <w:r w:rsidR="003566EC" w:rsidRPr="006D6727">
        <w:rPr>
          <w:noProof/>
        </w:rPr>
        <w:t>)</w:t>
      </w:r>
      <w:r w:rsidR="008E0701" w:rsidRPr="006D6727">
        <w:rPr>
          <w:noProof/>
        </w:rPr>
        <w:t>.</w:t>
      </w:r>
    </w:p>
    <w:p w14:paraId="5E1F55BE" w14:textId="77777777" w:rsidR="00D51B7E" w:rsidRPr="006D6727" w:rsidRDefault="00D51B7E" w:rsidP="00D51B7E">
      <w:pPr>
        <w:rPr>
          <w:rStyle w:val="ECCParagraph"/>
          <w:noProof/>
        </w:rPr>
      </w:pPr>
      <w:r w:rsidRPr="006D6727">
        <w:rPr>
          <w:rStyle w:val="ECCParagraph"/>
          <w:noProof/>
        </w:rPr>
        <w:t>In other applications, an accurate level measurement helps to improve the quality of the end-product, and to conserve the environment by facilitating the efficient use of scarce natural resources. Examples of such applications include:</w:t>
      </w:r>
    </w:p>
    <w:p w14:paraId="73295521" w14:textId="61DBFD45" w:rsidR="00D51B7E" w:rsidRPr="006D6727" w:rsidRDefault="00D51B7E" w:rsidP="00D51B7E">
      <w:pPr>
        <w:pStyle w:val="ECCBulletsLv1"/>
        <w:rPr>
          <w:rStyle w:val="ECCParagraph"/>
          <w:noProof/>
        </w:rPr>
      </w:pPr>
      <w:r w:rsidRPr="006D6727">
        <w:rPr>
          <w:rStyle w:val="ECCParagraph"/>
          <w:noProof/>
        </w:rPr>
        <w:t>exact dosing of liquids</w:t>
      </w:r>
      <w:r w:rsidR="003F645A" w:rsidRPr="006D6727">
        <w:rPr>
          <w:rStyle w:val="ECCParagraph"/>
          <w:noProof/>
        </w:rPr>
        <w:t xml:space="preserve"> and solids</w:t>
      </w:r>
      <w:r w:rsidRPr="006D6727">
        <w:rPr>
          <w:rStyle w:val="ECCParagraph"/>
          <w:noProof/>
        </w:rPr>
        <w:t xml:space="preserve"> in chemical or pharmaceutical plants</w:t>
      </w:r>
      <w:r w:rsidR="00337071">
        <w:rPr>
          <w:rStyle w:val="ECCParagraph"/>
          <w:noProof/>
        </w:rPr>
        <w:t>;</w:t>
      </w:r>
    </w:p>
    <w:p w14:paraId="13B3BD8A" w14:textId="05F08DC0" w:rsidR="00AB3658" w:rsidRPr="006D6727" w:rsidRDefault="004764D2" w:rsidP="00AB3658">
      <w:pPr>
        <w:pStyle w:val="ECCBulletsLv1"/>
        <w:rPr>
          <w:rStyle w:val="ECCParagraph"/>
          <w:noProof/>
        </w:rPr>
      </w:pPr>
      <w:r w:rsidRPr="006D6727">
        <w:rPr>
          <w:rStyle w:val="ECCParagraph"/>
          <w:noProof/>
        </w:rPr>
        <w:t xml:space="preserve">monitoring </w:t>
      </w:r>
      <w:r w:rsidR="009C5D06" w:rsidRPr="006D6727">
        <w:rPr>
          <w:rStyle w:val="ECCParagraph"/>
          <w:noProof/>
        </w:rPr>
        <w:t xml:space="preserve">of </w:t>
      </w:r>
      <w:r w:rsidRPr="006D6727">
        <w:rPr>
          <w:rStyle w:val="ECCParagraph"/>
          <w:noProof/>
        </w:rPr>
        <w:t xml:space="preserve">the exact filling level of custody transfer </w:t>
      </w:r>
      <w:r w:rsidR="00AB3658" w:rsidRPr="006D6727">
        <w:rPr>
          <w:rStyle w:val="ECCParagraph"/>
          <w:noProof/>
        </w:rPr>
        <w:t>commodities</w:t>
      </w:r>
      <w:r w:rsidRPr="006D6727">
        <w:rPr>
          <w:rStyle w:val="ECCParagraph"/>
          <w:noProof/>
        </w:rPr>
        <w:t xml:space="preserve"> in storage tanks </w:t>
      </w:r>
      <w:r w:rsidR="00AB3658" w:rsidRPr="006D6727">
        <w:rPr>
          <w:rStyle w:val="ECCParagraph"/>
          <w:noProof/>
        </w:rPr>
        <w:t xml:space="preserve">during dispatch and billing (e.g. fuel oil and other refined </w:t>
      </w:r>
      <w:r w:rsidR="0013139F" w:rsidRPr="006D6727">
        <w:rPr>
          <w:rStyle w:val="ECCParagraph"/>
          <w:noProof/>
        </w:rPr>
        <w:t>petroleum</w:t>
      </w:r>
      <w:r w:rsidR="009A547B" w:rsidRPr="006D6727">
        <w:rPr>
          <w:rStyle w:val="ECCParagraph"/>
          <w:noProof/>
        </w:rPr>
        <w:t>-based</w:t>
      </w:r>
      <w:r w:rsidR="00AB3658" w:rsidRPr="006D6727">
        <w:rPr>
          <w:rStyle w:val="ECCParagraph"/>
          <w:noProof/>
        </w:rPr>
        <w:t xml:space="preserve"> products)</w:t>
      </w:r>
      <w:r w:rsidR="00337071">
        <w:rPr>
          <w:rStyle w:val="ECCParagraph"/>
          <w:noProof/>
        </w:rPr>
        <w:t>;</w:t>
      </w:r>
    </w:p>
    <w:p w14:paraId="717B15FF" w14:textId="77777777" w:rsidR="004764D2" w:rsidRPr="006D6727" w:rsidRDefault="000F77B8" w:rsidP="00D51B7E">
      <w:pPr>
        <w:pStyle w:val="ECCBulletsLv1"/>
        <w:rPr>
          <w:rStyle w:val="ECCParagraph"/>
          <w:noProof/>
        </w:rPr>
      </w:pPr>
      <w:r w:rsidRPr="006D6727">
        <w:rPr>
          <w:rStyle w:val="ECCParagraph"/>
          <w:noProof/>
        </w:rPr>
        <w:t xml:space="preserve">level </w:t>
      </w:r>
      <w:r w:rsidR="009C5D06" w:rsidRPr="006D6727">
        <w:rPr>
          <w:rStyle w:val="ECCParagraph"/>
          <w:noProof/>
        </w:rPr>
        <w:t xml:space="preserve">monitoring </w:t>
      </w:r>
      <w:r w:rsidRPr="006D6727">
        <w:rPr>
          <w:rStyle w:val="ECCParagraph"/>
          <w:noProof/>
        </w:rPr>
        <w:t xml:space="preserve">in </w:t>
      </w:r>
      <w:r w:rsidR="009C5D06" w:rsidRPr="006D6727">
        <w:rPr>
          <w:rStyle w:val="ECCParagraph"/>
          <w:noProof/>
        </w:rPr>
        <w:t>chemical reaction vessel</w:t>
      </w:r>
      <w:r w:rsidRPr="006D6727">
        <w:rPr>
          <w:rStyle w:val="ECCParagraph"/>
          <w:noProof/>
        </w:rPr>
        <w:t>s</w:t>
      </w:r>
      <w:r w:rsidR="000232DC" w:rsidRPr="006D6727">
        <w:rPr>
          <w:rStyle w:val="ECCParagraph"/>
          <w:noProof/>
        </w:rPr>
        <w:t xml:space="preserve"> where an exact and constant filling level is crucial</w:t>
      </w:r>
      <w:r w:rsidRPr="006D6727">
        <w:rPr>
          <w:rStyle w:val="ECCParagraph"/>
          <w:noProof/>
        </w:rPr>
        <w:t xml:space="preserve"> for the process.</w:t>
      </w:r>
    </w:p>
    <w:p w14:paraId="1A07C0B0" w14:textId="7D85AB55" w:rsidR="00D51B7E" w:rsidRPr="006D6727" w:rsidRDefault="00960492" w:rsidP="000232DC">
      <w:pPr>
        <w:rPr>
          <w:rStyle w:val="ECCParagraph"/>
          <w:noProof/>
        </w:rPr>
      </w:pPr>
      <w:r w:rsidRPr="006D6727">
        <w:rPr>
          <w:rStyle w:val="ECCParagraph"/>
          <w:noProof/>
        </w:rPr>
        <w:t>T</w:t>
      </w:r>
      <w:r w:rsidR="00D51B7E" w:rsidRPr="006D6727">
        <w:rPr>
          <w:rStyle w:val="ECCParagraph"/>
          <w:noProof/>
        </w:rPr>
        <w:t>ypical examples of LPR installations are illustrated in</w:t>
      </w:r>
      <w:r w:rsidR="000232DC" w:rsidRPr="006D6727">
        <w:rPr>
          <w:rStyle w:val="ECCParagraph"/>
          <w:noProof/>
        </w:rPr>
        <w:t xml:space="preserve"> </w:t>
      </w:r>
      <w:r w:rsidR="000232DC" w:rsidRPr="006D6727">
        <w:rPr>
          <w:rStyle w:val="ECCParagraph"/>
          <w:noProof/>
        </w:rPr>
        <w:fldChar w:fldCharType="begin"/>
      </w:r>
      <w:r w:rsidR="000232DC" w:rsidRPr="006D6727">
        <w:rPr>
          <w:rStyle w:val="ECCParagraph"/>
          <w:noProof/>
        </w:rPr>
        <w:instrText xml:space="preserve"> REF _Ref9505165 \h </w:instrText>
      </w:r>
      <w:r w:rsidR="000232DC" w:rsidRPr="006D6727">
        <w:rPr>
          <w:rStyle w:val="ECCParagraph"/>
          <w:noProof/>
        </w:rPr>
      </w:r>
      <w:r w:rsidR="000232DC" w:rsidRPr="006D6727">
        <w:rPr>
          <w:rStyle w:val="ECCParagraph"/>
          <w:noProof/>
        </w:rPr>
        <w:fldChar w:fldCharType="separate"/>
      </w:r>
      <w:r w:rsidR="0041125F" w:rsidRPr="006D6727">
        <w:rPr>
          <w:rStyle w:val="ECCParagraph"/>
          <w:noProof/>
        </w:rPr>
        <w:t>Figure </w:t>
      </w:r>
      <w:r w:rsidR="0041125F">
        <w:rPr>
          <w:rStyle w:val="ECCParagraph"/>
          <w:noProof/>
        </w:rPr>
        <w:t>51</w:t>
      </w:r>
      <w:r w:rsidR="000232DC" w:rsidRPr="006D6727">
        <w:rPr>
          <w:rStyle w:val="ECCParagraph"/>
          <w:noProof/>
        </w:rPr>
        <w:fldChar w:fldCharType="end"/>
      </w:r>
      <w:r w:rsidR="00D51B7E" w:rsidRPr="006D6727">
        <w:rPr>
          <w:rStyle w:val="ECCParagraph"/>
          <w:noProof/>
        </w:rPr>
        <w:t>.</w:t>
      </w:r>
    </w:p>
    <w:p w14:paraId="3677ECE4" w14:textId="77777777" w:rsidR="009208C5" w:rsidRPr="006D6727" w:rsidRDefault="00202419" w:rsidP="00971D0B">
      <w:pPr>
        <w:pStyle w:val="ECCFiguregraphcentered"/>
        <w:rPr>
          <w:rStyle w:val="ECCParagraph"/>
          <w:rFonts w:eastAsia="Calibri"/>
          <w:noProof/>
        </w:rPr>
      </w:pPr>
      <w:r w:rsidRPr="006D6727">
        <w:drawing>
          <wp:inline distT="0" distB="0" distL="0" distR="0" wp14:anchorId="6C80DE90" wp14:editId="26E73E7D">
            <wp:extent cx="1904400" cy="3060000"/>
            <wp:effectExtent l="0" t="0" r="63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904400" cy="3060000"/>
                    </a:xfrm>
                    <a:prstGeom prst="rect">
                      <a:avLst/>
                    </a:prstGeom>
                    <a:noFill/>
                    <a:ln>
                      <a:noFill/>
                    </a:ln>
                  </pic:spPr>
                </pic:pic>
              </a:graphicData>
            </a:graphic>
          </wp:inline>
        </w:drawing>
      </w:r>
      <w:r w:rsidRPr="006D6727">
        <w:rPr>
          <w:rStyle w:val="ECCParagraph"/>
          <w:noProof/>
        </w:rPr>
        <w:t xml:space="preserve"> </w:t>
      </w:r>
      <w:r w:rsidR="009C5D06" w:rsidRPr="006D6727">
        <w:rPr>
          <w:rStyle w:val="ECCParagraph"/>
          <w:noProof/>
          <w:lang w:val="de-DE"/>
        </w:rPr>
        <w:drawing>
          <wp:inline distT="0" distB="0" distL="0" distR="0" wp14:anchorId="105504C6" wp14:editId="28A4DEB9">
            <wp:extent cx="1933200" cy="306000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933200" cy="3060000"/>
                    </a:xfrm>
                    <a:prstGeom prst="rect">
                      <a:avLst/>
                    </a:prstGeom>
                    <a:noFill/>
                    <a:ln>
                      <a:noFill/>
                    </a:ln>
                  </pic:spPr>
                </pic:pic>
              </a:graphicData>
            </a:graphic>
          </wp:inline>
        </w:drawing>
      </w:r>
      <w:r w:rsidR="00971D0B" w:rsidRPr="006D6727">
        <w:rPr>
          <w:rStyle w:val="ECCParagraph"/>
          <w:noProof/>
        </w:rPr>
        <w:t xml:space="preserve"> </w:t>
      </w:r>
      <w:r w:rsidR="00971D0B" w:rsidRPr="006D6727">
        <w:rPr>
          <w:rStyle w:val="ECCParagraph"/>
          <w:noProof/>
          <w:lang w:val="de-DE"/>
        </w:rPr>
        <w:drawing>
          <wp:inline distT="0" distB="0" distL="0" distR="0" wp14:anchorId="58011AEC" wp14:editId="3D72C705">
            <wp:extent cx="1638000" cy="30708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1638000" cy="3070800"/>
                    </a:xfrm>
                    <a:prstGeom prst="rect">
                      <a:avLst/>
                    </a:prstGeom>
                    <a:noFill/>
                    <a:ln>
                      <a:noFill/>
                    </a:ln>
                  </pic:spPr>
                </pic:pic>
              </a:graphicData>
            </a:graphic>
          </wp:inline>
        </w:drawing>
      </w:r>
    </w:p>
    <w:p w14:paraId="31C7AF36" w14:textId="15EE77BC" w:rsidR="009208C5" w:rsidRPr="006D6727" w:rsidRDefault="009208C5" w:rsidP="00971D0B">
      <w:pPr>
        <w:pStyle w:val="Caption"/>
        <w:rPr>
          <w:rStyle w:val="ECCParagraph"/>
          <w:noProof/>
        </w:rPr>
      </w:pPr>
      <w:bookmarkStart w:id="278" w:name="_Ref9505165"/>
      <w:r w:rsidRPr="006D6727">
        <w:rPr>
          <w:rStyle w:val="ECCParagraph"/>
          <w:noProof/>
        </w:rPr>
        <w:t>Figure</w:t>
      </w:r>
      <w:r w:rsidR="00F13B2E" w:rsidRPr="006D6727">
        <w:rPr>
          <w:rStyle w:val="ECCParagraph"/>
          <w:noProof/>
        </w:rPr>
        <w:t> </w:t>
      </w:r>
      <w:r w:rsidRPr="006D6727">
        <w:rPr>
          <w:rStyle w:val="ECCParagraph"/>
          <w:noProof/>
        </w:rPr>
        <w:fldChar w:fldCharType="begin"/>
      </w:r>
      <w:r w:rsidRPr="006D6727">
        <w:rPr>
          <w:rStyle w:val="ECCParagraph"/>
          <w:noProof/>
        </w:rPr>
        <w:instrText xml:space="preserve"> SEQ Figure \* ARABIC </w:instrText>
      </w:r>
      <w:r w:rsidRPr="006D6727">
        <w:rPr>
          <w:rStyle w:val="ECCParagraph"/>
          <w:noProof/>
        </w:rPr>
        <w:fldChar w:fldCharType="separate"/>
      </w:r>
      <w:r w:rsidR="004F49F9">
        <w:rPr>
          <w:rStyle w:val="ECCParagraph"/>
          <w:noProof/>
        </w:rPr>
        <w:t>51</w:t>
      </w:r>
      <w:r w:rsidRPr="006D6727">
        <w:rPr>
          <w:rStyle w:val="ECCParagraph"/>
          <w:noProof/>
        </w:rPr>
        <w:fldChar w:fldCharType="end"/>
      </w:r>
      <w:bookmarkEnd w:id="278"/>
      <w:r w:rsidRPr="006D6727">
        <w:rPr>
          <w:rStyle w:val="ECCParagraph"/>
          <w:noProof/>
        </w:rPr>
        <w:t xml:space="preserve">: Typical examples of </w:t>
      </w:r>
      <w:r w:rsidR="00971D0B" w:rsidRPr="006D6727">
        <w:rPr>
          <w:rStyle w:val="ECCParagraph"/>
          <w:rFonts w:eastAsia="Calibri"/>
          <w:noProof/>
        </w:rPr>
        <w:t>T</w:t>
      </w:r>
      <w:r w:rsidRPr="006D6727">
        <w:rPr>
          <w:rStyle w:val="ECCParagraph"/>
          <w:noProof/>
        </w:rPr>
        <w:t>LPR installations</w:t>
      </w:r>
    </w:p>
    <w:p w14:paraId="54996FED" w14:textId="77777777" w:rsidR="009208C5" w:rsidRPr="006D6727" w:rsidRDefault="009208C5" w:rsidP="00B156B4">
      <w:pPr>
        <w:rPr>
          <w:rStyle w:val="ECCParagraph"/>
          <w:noProof/>
        </w:rPr>
      </w:pPr>
      <w:r w:rsidRPr="006D6727">
        <w:rPr>
          <w:rStyle w:val="ECCParagraph"/>
          <w:noProof/>
        </w:rPr>
        <w:t xml:space="preserve">It is foreseen that </w:t>
      </w:r>
      <w:r w:rsidR="00B156B4" w:rsidRPr="006D6727">
        <w:rPr>
          <w:rStyle w:val="ECCParagraph"/>
          <w:noProof/>
        </w:rPr>
        <w:t>T</w:t>
      </w:r>
      <w:r w:rsidRPr="006D6727">
        <w:rPr>
          <w:rStyle w:val="ECCParagraph"/>
          <w:noProof/>
        </w:rPr>
        <w:t>LPR</w:t>
      </w:r>
      <w:r w:rsidR="009B2A7A" w:rsidRPr="006D6727">
        <w:rPr>
          <w:rStyle w:val="ECCParagraph"/>
          <w:noProof/>
        </w:rPr>
        <w:t xml:space="preserve"> in dedicated frequency bands within the range 116 to 260 GHz</w:t>
      </w:r>
      <w:r w:rsidRPr="006D6727">
        <w:rPr>
          <w:rStyle w:val="ECCParagraph"/>
          <w:noProof/>
        </w:rPr>
        <w:t xml:space="preserve"> is still a strictly professional and industrial application. All </w:t>
      </w:r>
      <w:r w:rsidR="00B156B4" w:rsidRPr="006D6727">
        <w:rPr>
          <w:rStyle w:val="ECCParagraph"/>
          <w:noProof/>
        </w:rPr>
        <w:t>Tank L</w:t>
      </w:r>
      <w:r w:rsidRPr="006D6727">
        <w:rPr>
          <w:rStyle w:val="ECCParagraph"/>
          <w:noProof/>
        </w:rPr>
        <w:t xml:space="preserve">evel </w:t>
      </w:r>
      <w:r w:rsidR="00B156B4" w:rsidRPr="006D6727">
        <w:rPr>
          <w:rStyle w:val="ECCParagraph"/>
          <w:noProof/>
        </w:rPr>
        <w:t>P</w:t>
      </w:r>
      <w:r w:rsidRPr="006D6727">
        <w:rPr>
          <w:rStyle w:val="ECCParagraph"/>
          <w:noProof/>
        </w:rPr>
        <w:t xml:space="preserve">robing </w:t>
      </w:r>
      <w:r w:rsidR="00B156B4" w:rsidRPr="006D6727">
        <w:rPr>
          <w:rStyle w:val="ECCParagraph"/>
          <w:noProof/>
        </w:rPr>
        <w:t>R</w:t>
      </w:r>
      <w:r w:rsidRPr="006D6727">
        <w:rPr>
          <w:rStyle w:val="ECCParagraph"/>
          <w:noProof/>
        </w:rPr>
        <w:t>adars are expected to be installed complying with the following installation requirements:</w:t>
      </w:r>
    </w:p>
    <w:p w14:paraId="1D67B19D" w14:textId="77777777" w:rsidR="009208C5" w:rsidRPr="006D6727" w:rsidRDefault="00204003" w:rsidP="00834406">
      <w:pPr>
        <w:pStyle w:val="ECCBulletsLv1"/>
        <w:rPr>
          <w:rStyle w:val="ECCParagraph"/>
          <w:noProof/>
        </w:rPr>
      </w:pPr>
      <w:r w:rsidRPr="006D6727">
        <w:rPr>
          <w:rStyle w:val="ECCParagraph"/>
          <w:noProof/>
        </w:rPr>
        <w:t>TLPRs</w:t>
      </w:r>
      <w:r w:rsidR="009208C5" w:rsidRPr="006D6727">
        <w:rPr>
          <w:rStyle w:val="ECCParagraph"/>
          <w:noProof/>
        </w:rPr>
        <w:t xml:space="preserve"> are required to be installed at a permanent fixed position </w:t>
      </w:r>
      <w:r w:rsidRPr="006D6727">
        <w:rPr>
          <w:rStyle w:val="ECCParagraph"/>
          <w:noProof/>
        </w:rPr>
        <w:t>at a closed metallic tank or reinforced concrete tank, or similar enclosure structure made of comparable attenuating material</w:t>
      </w:r>
      <w:r w:rsidR="001B12B7" w:rsidRPr="006D6727">
        <w:rPr>
          <w:rStyle w:val="ECCParagraph"/>
          <w:noProof/>
        </w:rPr>
        <w:t>;</w:t>
      </w:r>
    </w:p>
    <w:p w14:paraId="2E1597B2" w14:textId="77777777" w:rsidR="00834406" w:rsidRPr="006D6727" w:rsidRDefault="00834406" w:rsidP="009208C5">
      <w:pPr>
        <w:pStyle w:val="ECCBulletsLv1"/>
        <w:rPr>
          <w:rStyle w:val="ECCHLyellow"/>
          <w:noProof/>
        </w:rPr>
      </w:pPr>
      <w:r w:rsidRPr="006D6727">
        <w:rPr>
          <w:noProof/>
        </w:rPr>
        <w:t>flanges and attachments of the TLPR equipment shall provide the necessary microwave sealing by design</w:t>
      </w:r>
      <w:r w:rsidR="001B12B7" w:rsidRPr="006D6727">
        <w:rPr>
          <w:noProof/>
        </w:rPr>
        <w:t>;</w:t>
      </w:r>
    </w:p>
    <w:p w14:paraId="0D696255" w14:textId="77777777" w:rsidR="00204003" w:rsidRPr="006D6727" w:rsidRDefault="00834406" w:rsidP="009208C5">
      <w:pPr>
        <w:pStyle w:val="ECCBulletsLv1"/>
        <w:rPr>
          <w:noProof/>
          <w:shd w:val="solid" w:color="FFFF00" w:fill="auto"/>
        </w:rPr>
      </w:pPr>
      <w:r w:rsidRPr="006D6727">
        <w:rPr>
          <w:noProof/>
        </w:rPr>
        <w:t>sight glasses shall be coated with a microwave proof coating when necessary (i.e. electrically conductive coating)</w:t>
      </w:r>
      <w:r w:rsidR="001B12B7" w:rsidRPr="006D6727">
        <w:rPr>
          <w:noProof/>
        </w:rPr>
        <w:t>;</w:t>
      </w:r>
    </w:p>
    <w:p w14:paraId="1EEE021D" w14:textId="77777777" w:rsidR="00834406" w:rsidRPr="006D6727" w:rsidRDefault="00834406" w:rsidP="009208C5">
      <w:pPr>
        <w:pStyle w:val="ECCBulletsLv1"/>
        <w:rPr>
          <w:noProof/>
          <w:shd w:val="solid" w:color="FFFF00" w:fill="auto"/>
        </w:rPr>
      </w:pPr>
      <w:r w:rsidRPr="006D6727">
        <w:rPr>
          <w:noProof/>
        </w:rPr>
        <w:t xml:space="preserve">manholes or connection flanges </w:t>
      </w:r>
      <w:r w:rsidR="00DF5DBB" w:rsidRPr="006D6727">
        <w:rPr>
          <w:noProof/>
        </w:rPr>
        <w:t>at</w:t>
      </w:r>
      <w:r w:rsidRPr="006D6727">
        <w:rPr>
          <w:noProof/>
        </w:rPr>
        <w:t xml:space="preserve"> the tank</w:t>
      </w:r>
      <w:r w:rsidR="001B12B7" w:rsidRPr="006D6727">
        <w:rPr>
          <w:noProof/>
        </w:rPr>
        <w:t xml:space="preserve"> </w:t>
      </w:r>
      <w:r w:rsidRPr="006D6727">
        <w:rPr>
          <w:noProof/>
        </w:rPr>
        <w:t>shall be closed to ensure a low-level leakage of the signal into the air outside the tank;</w:t>
      </w:r>
    </w:p>
    <w:p w14:paraId="2BD3E4F5" w14:textId="77777777" w:rsidR="00834406" w:rsidRPr="006D6727" w:rsidRDefault="00834406" w:rsidP="009208C5">
      <w:pPr>
        <w:pStyle w:val="ECCBulletsLv1"/>
        <w:rPr>
          <w:noProof/>
          <w:shd w:val="solid" w:color="FFFF00" w:fill="auto"/>
        </w:rPr>
      </w:pPr>
      <w:r w:rsidRPr="006D6727">
        <w:rPr>
          <w:noProof/>
        </w:rPr>
        <w:t xml:space="preserve">whenever possible, mounting of the TLPR equipment shall be on top of the tank structure with the orientation of the antenna </w:t>
      </w:r>
      <w:r w:rsidR="00DF5DBB" w:rsidRPr="006D6727">
        <w:rPr>
          <w:noProof/>
        </w:rPr>
        <w:t>pointing</w:t>
      </w:r>
      <w:r w:rsidRPr="006D6727">
        <w:rPr>
          <w:noProof/>
        </w:rPr>
        <w:t xml:space="preserve"> in a downward</w:t>
      </w:r>
      <w:r w:rsidR="00DF5DBB" w:rsidRPr="006D6727">
        <w:rPr>
          <w:noProof/>
        </w:rPr>
        <w:t>s</w:t>
      </w:r>
      <w:r w:rsidRPr="006D6727">
        <w:rPr>
          <w:noProof/>
        </w:rPr>
        <w:t xml:space="preserve"> direction;</w:t>
      </w:r>
    </w:p>
    <w:p w14:paraId="7B035D59" w14:textId="77777777" w:rsidR="00834406" w:rsidRPr="006D6727" w:rsidRDefault="00834406" w:rsidP="009208C5">
      <w:pPr>
        <w:pStyle w:val="ECCBulletsLv1"/>
        <w:rPr>
          <w:noProof/>
          <w:shd w:val="solid" w:color="FFFF00" w:fill="auto"/>
        </w:rPr>
      </w:pPr>
      <w:r w:rsidRPr="006D6727">
        <w:rPr>
          <w:noProof/>
        </w:rPr>
        <w:t>installation and maintenance of the TLPR equipment shall be performed by professionally trained individuals only</w:t>
      </w:r>
      <w:r w:rsidR="00DF5DBB" w:rsidRPr="006D6727">
        <w:rPr>
          <w:noProof/>
        </w:rPr>
        <w:t>;</w:t>
      </w:r>
    </w:p>
    <w:p w14:paraId="4B211113" w14:textId="77777777" w:rsidR="00834406" w:rsidRPr="006D6727" w:rsidRDefault="00DF5DBB" w:rsidP="009208C5">
      <w:pPr>
        <w:pStyle w:val="ECCBulletsLv1"/>
        <w:rPr>
          <w:rStyle w:val="ECCHLyellow"/>
          <w:noProof/>
        </w:rPr>
      </w:pPr>
      <w:r w:rsidRPr="006D6727">
        <w:rPr>
          <w:noProof/>
        </w:rPr>
        <w:t>t</w:t>
      </w:r>
      <w:r w:rsidR="00834406" w:rsidRPr="006D6727">
        <w:rPr>
          <w:noProof/>
        </w:rPr>
        <w:t>he provider is required to inform the users and installers of TLPR equipment about the installation requirements and, if applicable, the additional special mounting instructions.</w:t>
      </w:r>
    </w:p>
    <w:p w14:paraId="4E98D58D" w14:textId="3C5B9AF1" w:rsidR="009208C5" w:rsidRPr="006D6727" w:rsidRDefault="009208C5" w:rsidP="00F87B02">
      <w:pPr>
        <w:rPr>
          <w:rStyle w:val="ECCParagraph"/>
          <w:noProof/>
        </w:rPr>
      </w:pPr>
      <w:r w:rsidRPr="006D6727">
        <w:rPr>
          <w:rStyle w:val="ECCParagraph"/>
          <w:noProof/>
        </w:rPr>
        <w:t xml:space="preserve">These installation requirements are well-established for </w:t>
      </w:r>
      <w:r w:rsidR="00DF5DBB" w:rsidRPr="006D6727">
        <w:rPr>
          <w:rStyle w:val="ECCParagraph"/>
          <w:noProof/>
        </w:rPr>
        <w:t>T</w:t>
      </w:r>
      <w:r w:rsidRPr="006D6727">
        <w:rPr>
          <w:rStyle w:val="ECCParagraph"/>
          <w:noProof/>
        </w:rPr>
        <w:t>LPRs already available on the market and operating in lower frequency ranges</w:t>
      </w:r>
      <w:r w:rsidR="00F67BA1" w:rsidRPr="006D6727">
        <w:rPr>
          <w:rStyle w:val="ECCParagraph"/>
          <w:noProof/>
        </w:rPr>
        <w:t xml:space="preserve"> and can be extracted from </w:t>
      </w:r>
      <w:r w:rsidR="00544304" w:rsidRPr="006D6727">
        <w:rPr>
          <w:noProof/>
        </w:rPr>
        <w:t>ETSI EN 302 372 V2.1.1</w:t>
      </w:r>
      <w:r w:rsidR="00544304">
        <w:rPr>
          <w:noProof/>
        </w:rPr>
        <w:t xml:space="preserve">, annex E </w:t>
      </w:r>
      <w:r w:rsidR="004935A0" w:rsidRPr="006D6727">
        <w:rPr>
          <w:rStyle w:val="ECCParagraph"/>
          <w:noProof/>
        </w:rPr>
        <w:fldChar w:fldCharType="begin"/>
      </w:r>
      <w:r w:rsidR="004935A0" w:rsidRPr="006D6727">
        <w:rPr>
          <w:rStyle w:val="ECCParagraph"/>
          <w:noProof/>
        </w:rPr>
        <w:instrText xml:space="preserve"> REF  ETSITR302372 \h \w </w:instrText>
      </w:r>
      <w:r w:rsidR="004935A0" w:rsidRPr="006D6727">
        <w:rPr>
          <w:rStyle w:val="ECCParagraph"/>
          <w:noProof/>
        </w:rPr>
      </w:r>
      <w:r w:rsidR="004935A0" w:rsidRPr="006D6727">
        <w:rPr>
          <w:rStyle w:val="ECCParagraph"/>
          <w:noProof/>
        </w:rPr>
        <w:fldChar w:fldCharType="separate"/>
      </w:r>
      <w:r w:rsidR="004F49F9">
        <w:rPr>
          <w:rStyle w:val="ECCParagraph"/>
          <w:noProof/>
        </w:rPr>
        <w:t>[7]</w:t>
      </w:r>
      <w:r w:rsidR="004935A0" w:rsidRPr="006D6727">
        <w:rPr>
          <w:rStyle w:val="ECCParagraph"/>
          <w:noProof/>
        </w:rPr>
        <w:fldChar w:fldCharType="end"/>
      </w:r>
      <w:r w:rsidR="00544304">
        <w:rPr>
          <w:rStyle w:val="ECCParagraph"/>
          <w:noProof/>
        </w:rPr>
        <w:t>.</w:t>
      </w:r>
    </w:p>
    <w:p w14:paraId="58455F48" w14:textId="77777777" w:rsidR="003A1CBD" w:rsidRPr="006D6727" w:rsidRDefault="00151EE3" w:rsidP="004E36C2">
      <w:pPr>
        <w:pStyle w:val="Heading4"/>
        <w:rPr>
          <w:noProof/>
        </w:rPr>
      </w:pPr>
      <w:bookmarkStart w:id="279" w:name="_Ref66452557"/>
      <w:bookmarkStart w:id="280" w:name="_Toc84325285"/>
      <w:r w:rsidRPr="006D6727">
        <w:rPr>
          <w:noProof/>
        </w:rPr>
        <w:t>Frequency ranges and application types</w:t>
      </w:r>
      <w:bookmarkEnd w:id="279"/>
      <w:bookmarkEnd w:id="280"/>
    </w:p>
    <w:p w14:paraId="78653DEC" w14:textId="4A533FA9" w:rsidR="00181559" w:rsidRPr="006D6727" w:rsidRDefault="00181559" w:rsidP="00181559">
      <w:pPr>
        <w:rPr>
          <w:rStyle w:val="ECCParagraph"/>
          <w:noProof/>
        </w:rPr>
      </w:pPr>
      <w:r w:rsidRPr="006D6727">
        <w:rPr>
          <w:rStyle w:val="ECCParagraph"/>
          <w:noProof/>
        </w:rPr>
        <w:t xml:space="preserve">Tank Level Probing Radars have been categorised as type C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F49F9">
        <w:rPr>
          <w:rStyle w:val="ECCParagraph"/>
          <w:noProof/>
        </w:rPr>
        <w:t>2.1</w:t>
      </w:r>
      <w:r w:rsidRPr="006D6727">
        <w:rPr>
          <w:rStyle w:val="ECCParagraph"/>
          <w:noProof/>
        </w:rPr>
        <w:fldChar w:fldCharType="end"/>
      </w:r>
      <w:r w:rsidRPr="006D6727">
        <w:rPr>
          <w:rStyle w:val="ECCParagraph"/>
          <w:noProof/>
        </w:rPr>
        <w:t xml:space="preserve">). The following frequency ranges have been requested for this type of application (see </w:t>
      </w:r>
      <w:r w:rsidR="002A6111" w:rsidRPr="006D6727">
        <w:rPr>
          <w:rStyle w:val="ECCParagraph"/>
          <w:noProof/>
        </w:rPr>
        <w:fldChar w:fldCharType="begin"/>
      </w:r>
      <w:r w:rsidR="002A6111" w:rsidRPr="006D6727">
        <w:rPr>
          <w:rStyle w:val="ECCParagraph"/>
          <w:noProof/>
        </w:rPr>
        <w:instrText xml:space="preserve"> REF _Ref15636825 \h </w:instrText>
      </w:r>
      <w:r w:rsidR="002A6111" w:rsidRPr="006D6727">
        <w:rPr>
          <w:rStyle w:val="ECCParagraph"/>
          <w:noProof/>
        </w:rPr>
      </w:r>
      <w:r w:rsidR="002A6111" w:rsidRPr="006D6727">
        <w:rPr>
          <w:rStyle w:val="ECCParagraph"/>
          <w:noProof/>
        </w:rPr>
        <w:fldChar w:fldCharType="separate"/>
      </w:r>
      <w:r w:rsidR="0041125F" w:rsidRPr="006D6727">
        <w:rPr>
          <w:noProof/>
        </w:rPr>
        <w:t>Table </w:t>
      </w:r>
      <w:r w:rsidR="0041125F">
        <w:rPr>
          <w:noProof/>
        </w:rPr>
        <w:t>33</w:t>
      </w:r>
      <w:r w:rsidR="002A6111" w:rsidRPr="006D6727">
        <w:rPr>
          <w:rStyle w:val="ECCParagraph"/>
          <w:noProof/>
        </w:rPr>
        <w:fldChar w:fldCharType="end"/>
      </w:r>
      <w:r w:rsidRPr="006D6727">
        <w:rPr>
          <w:rStyle w:val="ECCParagraph"/>
          <w:noProof/>
        </w:rPr>
        <w:t>):</w:t>
      </w:r>
    </w:p>
    <w:p w14:paraId="5F056EBC" w14:textId="77777777" w:rsidR="00181559" w:rsidRPr="006D6727" w:rsidRDefault="00700A67" w:rsidP="00181559">
      <w:pPr>
        <w:pStyle w:val="ECCBulletsLv1"/>
        <w:rPr>
          <w:rStyle w:val="ECCParagraph"/>
          <w:noProof/>
        </w:rPr>
      </w:pPr>
      <w:r w:rsidRPr="006D6727">
        <w:rPr>
          <w:rStyle w:val="ECCParagraph"/>
          <w:noProof/>
        </w:rPr>
        <w:t>116 GHz to 148</w:t>
      </w:r>
      <w:r w:rsidR="00CF4994">
        <w:rPr>
          <w:rStyle w:val="ECCParagraph"/>
          <w:noProof/>
        </w:rPr>
        <w:t>.5</w:t>
      </w:r>
      <w:r w:rsidRPr="006D6727">
        <w:rPr>
          <w:rStyle w:val="ECCParagraph"/>
          <w:noProof/>
        </w:rPr>
        <w:t> GHz</w:t>
      </w:r>
      <w:r w:rsidR="009F21AB" w:rsidRPr="006D6727">
        <w:rPr>
          <w:rStyle w:val="ECCParagraph"/>
          <w:noProof/>
        </w:rPr>
        <w:t>;</w:t>
      </w:r>
    </w:p>
    <w:p w14:paraId="6E7600A1" w14:textId="77777777" w:rsidR="00700A67" w:rsidRPr="006D6727" w:rsidRDefault="00700A67" w:rsidP="00181559">
      <w:pPr>
        <w:pStyle w:val="ECCBulletsLv1"/>
        <w:rPr>
          <w:rStyle w:val="ECCParagraph"/>
          <w:noProof/>
        </w:rPr>
      </w:pPr>
      <w:r w:rsidRPr="006D6727">
        <w:rPr>
          <w:rStyle w:val="ECCParagraph"/>
          <w:noProof/>
        </w:rPr>
        <w:t>167 GHz to 182 GHz</w:t>
      </w:r>
      <w:r w:rsidR="009F21AB" w:rsidRPr="006D6727">
        <w:rPr>
          <w:rStyle w:val="ECCParagraph"/>
          <w:noProof/>
        </w:rPr>
        <w:t>;</w:t>
      </w:r>
    </w:p>
    <w:p w14:paraId="400314A1" w14:textId="77777777" w:rsidR="00181559" w:rsidRPr="006D6727" w:rsidRDefault="00181559" w:rsidP="00181559">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p>
    <w:p w14:paraId="513B2CF1" w14:textId="36EF91FD" w:rsidR="00181559" w:rsidRDefault="00181559" w:rsidP="00181559">
      <w:pPr>
        <w:pStyle w:val="ECCBulletsLv1"/>
        <w:numPr>
          <w:ilvl w:val="0"/>
          <w:numId w:val="0"/>
        </w:numPr>
        <w:rPr>
          <w:noProof/>
        </w:rPr>
      </w:pPr>
      <w:r w:rsidRPr="006D6727">
        <w:rPr>
          <w:rStyle w:val="ECCParagraph"/>
          <w:noProof/>
        </w:rPr>
        <w:t xml:space="preserve">It is worth to mention here that these frequency bands coincide with those requested for Level Probing Radar (LPR) </w:t>
      </w:r>
      <w:r w:rsidRPr="006D6727">
        <w:rPr>
          <w:noProof/>
        </w:rPr>
        <w:t xml:space="preserve">(see </w:t>
      </w:r>
      <w:r w:rsidR="009D5FA2">
        <w:rPr>
          <w:noProof/>
        </w:rPr>
        <w:t>section</w:t>
      </w:r>
      <w:r w:rsidR="002A6111" w:rsidRPr="006D6727">
        <w:rPr>
          <w:noProof/>
        </w:rPr>
        <w:t xml:space="preserve"> </w:t>
      </w:r>
      <w:r w:rsidR="002A6111" w:rsidRPr="006D6727">
        <w:rPr>
          <w:noProof/>
        </w:rPr>
        <w:fldChar w:fldCharType="begin"/>
      </w:r>
      <w:r w:rsidR="002A6111" w:rsidRPr="006D6727">
        <w:rPr>
          <w:noProof/>
        </w:rPr>
        <w:instrText xml:space="preserve"> REF _Ref15643948 \r \h </w:instrText>
      </w:r>
      <w:r w:rsidR="002A6111" w:rsidRPr="006D6727">
        <w:rPr>
          <w:noProof/>
        </w:rPr>
      </w:r>
      <w:r w:rsidR="002A6111" w:rsidRPr="006D6727">
        <w:rPr>
          <w:noProof/>
        </w:rPr>
        <w:fldChar w:fldCharType="separate"/>
      </w:r>
      <w:r w:rsidR="004F49F9">
        <w:rPr>
          <w:noProof/>
        </w:rPr>
        <w:t>2.2.5</w:t>
      </w:r>
      <w:r w:rsidR="002A6111" w:rsidRPr="006D6727">
        <w:rPr>
          <w:noProof/>
        </w:rPr>
        <w:fldChar w:fldCharType="end"/>
      </w:r>
      <w:r w:rsidRPr="006D6727">
        <w:rPr>
          <w:noProof/>
        </w:rPr>
        <w:t>).</w:t>
      </w:r>
    </w:p>
    <w:p w14:paraId="1031CB4E" w14:textId="6151225C" w:rsidR="007B373E" w:rsidRDefault="007B373E" w:rsidP="00181559">
      <w:pPr>
        <w:pStyle w:val="ECCBulletsLv1"/>
        <w:numPr>
          <w:ilvl w:val="0"/>
          <w:numId w:val="0"/>
        </w:numPr>
        <w:rPr>
          <w:noProof/>
        </w:rPr>
      </w:pPr>
    </w:p>
    <w:p w14:paraId="00A01804" w14:textId="77777777" w:rsidR="007B373E" w:rsidRPr="006D6727" w:rsidRDefault="007B373E" w:rsidP="00181559">
      <w:pPr>
        <w:pStyle w:val="ECCBulletsLv1"/>
        <w:numPr>
          <w:ilvl w:val="0"/>
          <w:numId w:val="0"/>
        </w:numPr>
        <w:rPr>
          <w:rStyle w:val="ECCParagraph"/>
          <w:noProof/>
        </w:rPr>
      </w:pPr>
    </w:p>
    <w:p w14:paraId="66380C30" w14:textId="77777777" w:rsidR="00995788" w:rsidRPr="006D6727" w:rsidRDefault="00995788" w:rsidP="004E36C2">
      <w:pPr>
        <w:pStyle w:val="Heading4"/>
        <w:rPr>
          <w:noProof/>
        </w:rPr>
      </w:pPr>
      <w:bookmarkStart w:id="281" w:name="_Ref66452573"/>
      <w:bookmarkStart w:id="282" w:name="_Ref66452579"/>
      <w:bookmarkStart w:id="283" w:name="_Toc84325286"/>
      <w:r w:rsidRPr="006D6727">
        <w:rPr>
          <w:noProof/>
        </w:rPr>
        <w:t>Technical parameters</w:t>
      </w:r>
      <w:bookmarkEnd w:id="281"/>
      <w:bookmarkEnd w:id="282"/>
      <w:bookmarkEnd w:id="283"/>
    </w:p>
    <w:p w14:paraId="0F388A32" w14:textId="360E17C6" w:rsidR="007B5285" w:rsidRPr="006D6727" w:rsidRDefault="00CF249D" w:rsidP="00820760">
      <w:pPr>
        <w:rPr>
          <w:rStyle w:val="ECCParagraph"/>
          <w:noProof/>
        </w:rPr>
      </w:pPr>
      <w:r w:rsidRPr="006D6727">
        <w:rPr>
          <w:rStyle w:val="ECCParagraph"/>
          <w:noProof/>
        </w:rPr>
        <w:t xml:space="preserve">The </w:t>
      </w:r>
      <w:r w:rsidR="000F7147" w:rsidRPr="006D6727">
        <w:rPr>
          <w:rStyle w:val="ECCParagraph"/>
          <w:noProof/>
        </w:rPr>
        <w:t>technical parameters for TLPR equipment</w:t>
      </w:r>
      <w:r w:rsidR="000A6AE4" w:rsidRPr="006D6727">
        <w:rPr>
          <w:rStyle w:val="ECCParagraph"/>
          <w:noProof/>
        </w:rPr>
        <w:t xml:space="preserve"> are</w:t>
      </w:r>
      <w:r w:rsidR="000F7147" w:rsidRPr="006D6727">
        <w:rPr>
          <w:rStyle w:val="ECCParagraph"/>
          <w:noProof/>
        </w:rPr>
        <w:t xml:space="preserve"> identical to those for </w:t>
      </w:r>
      <w:r w:rsidR="00CC4B62" w:rsidRPr="006D6727">
        <w:rPr>
          <w:rStyle w:val="ECCParagraph"/>
          <w:noProof/>
        </w:rPr>
        <w:t>Level Probing Radar</w:t>
      </w:r>
      <w:r w:rsidR="000F7147" w:rsidRPr="006D6727">
        <w:rPr>
          <w:rStyle w:val="ECCParagraph"/>
          <w:noProof/>
        </w:rPr>
        <w:t xml:space="preserve"> </w:t>
      </w:r>
      <w:r w:rsidR="000A6AE4" w:rsidRPr="006D6727">
        <w:rPr>
          <w:rStyle w:val="ECCParagraph"/>
          <w:noProof/>
        </w:rPr>
        <w:t xml:space="preserve">and can be found in </w:t>
      </w:r>
      <w:r w:rsidR="009D5FA2">
        <w:rPr>
          <w:rStyle w:val="ECCParagraph"/>
          <w:noProof/>
        </w:rPr>
        <w:t>section</w:t>
      </w:r>
      <w:r w:rsidR="000A6AE4" w:rsidRPr="006D6727">
        <w:rPr>
          <w:rStyle w:val="ECCParagraph"/>
          <w:noProof/>
        </w:rPr>
        <w:t xml:space="preserve"> </w:t>
      </w:r>
      <w:r w:rsidR="00F22FC9" w:rsidRPr="006D6727">
        <w:rPr>
          <w:rStyle w:val="ECCParagraph"/>
          <w:noProof/>
        </w:rPr>
        <w:fldChar w:fldCharType="begin"/>
      </w:r>
      <w:r w:rsidR="00F22FC9" w:rsidRPr="006D6727">
        <w:rPr>
          <w:rStyle w:val="ECCParagraph"/>
          <w:noProof/>
        </w:rPr>
        <w:instrText xml:space="preserve"> REF _Ref20319451 \r \h </w:instrText>
      </w:r>
      <w:r w:rsidR="00F22FC9" w:rsidRPr="006D6727">
        <w:rPr>
          <w:rStyle w:val="ECCParagraph"/>
          <w:noProof/>
        </w:rPr>
      </w:r>
      <w:r w:rsidR="00F22FC9" w:rsidRPr="006D6727">
        <w:rPr>
          <w:rStyle w:val="ECCParagraph"/>
          <w:noProof/>
        </w:rPr>
        <w:fldChar w:fldCharType="separate"/>
      </w:r>
      <w:r w:rsidR="004F49F9">
        <w:rPr>
          <w:rStyle w:val="ECCParagraph"/>
          <w:noProof/>
        </w:rPr>
        <w:t>2.2.5.3</w:t>
      </w:r>
      <w:r w:rsidR="00F22FC9" w:rsidRPr="006D6727">
        <w:rPr>
          <w:rStyle w:val="ECCParagraph"/>
          <w:noProof/>
        </w:rPr>
        <w:fldChar w:fldCharType="end"/>
      </w:r>
      <w:r w:rsidR="000A6AE4" w:rsidRPr="006D6727">
        <w:rPr>
          <w:rStyle w:val="ECCParagraph"/>
          <w:noProof/>
        </w:rPr>
        <w:t>.</w:t>
      </w:r>
    </w:p>
    <w:p w14:paraId="071A6434" w14:textId="77777777" w:rsidR="00F51FE8" w:rsidRPr="006D6727" w:rsidRDefault="00FB1DAD" w:rsidP="004E36C2">
      <w:pPr>
        <w:pStyle w:val="Heading4"/>
        <w:rPr>
          <w:noProof/>
        </w:rPr>
      </w:pPr>
      <w:bookmarkStart w:id="284" w:name="_Ref66452566"/>
      <w:bookmarkStart w:id="285" w:name="_Toc84325287"/>
      <w:r w:rsidRPr="006D6727">
        <w:rPr>
          <w:noProof/>
        </w:rPr>
        <w:t>Antenna data</w:t>
      </w:r>
      <w:bookmarkEnd w:id="284"/>
      <w:bookmarkEnd w:id="285"/>
    </w:p>
    <w:p w14:paraId="1A82CFAC" w14:textId="77777777" w:rsidR="00F51FE8" w:rsidRPr="006D6727" w:rsidRDefault="00F51FE8" w:rsidP="00F51FE8">
      <w:pPr>
        <w:rPr>
          <w:rStyle w:val="ECCParagraph"/>
          <w:noProof/>
        </w:rPr>
      </w:pPr>
      <w:r w:rsidRPr="006D6727">
        <w:rPr>
          <w:rStyle w:val="ECCParagraph"/>
          <w:noProof/>
        </w:rPr>
        <w:t>The maximum available antenna apertures for TLPR devices used for in-tank applications are usually smaller than for LPR devices. The reason for that is based on the fact that measurement distances in open air applications are often larger and thus the received echoes are smaller. Additionally, the reflection properties of certain products sometimes stored outdoors, e.g. some granules or powders with low relative dielectric constant, result in very weak and small echo signals. In such situations the highest available antenna gain is necessary in order to ensure a reliable measurement. A further reason is the fact that relatively small tank openings are also desired to be utilised for level measurements in certain cases. Therefore, the antenna should fit into the given and sometimes very small tank opening.</w:t>
      </w:r>
    </w:p>
    <w:p w14:paraId="2765B67A" w14:textId="4A5757E2" w:rsidR="00F51FE8" w:rsidRPr="006D6727" w:rsidRDefault="00F51FE8" w:rsidP="00F51FE8">
      <w:pPr>
        <w:rPr>
          <w:rStyle w:val="ECCParagraph"/>
          <w:noProof/>
        </w:rPr>
      </w:pPr>
      <w:r w:rsidRPr="006D6727">
        <w:rPr>
          <w:rStyle w:val="ECCParagraph"/>
          <w:noProof/>
        </w:rPr>
        <w:t>However, for simplicity the same antenna apertures shall be assumed for TLPR as for LPR</w:t>
      </w:r>
      <w:r w:rsidR="00AE47F1" w:rsidRPr="006D6727">
        <w:rPr>
          <w:rStyle w:val="ECCParagraph"/>
          <w:noProof/>
        </w:rPr>
        <w:t xml:space="preserve"> (refer to </w:t>
      </w:r>
      <w:r w:rsidR="009D5FA2">
        <w:rPr>
          <w:rStyle w:val="ECCParagraph"/>
          <w:noProof/>
        </w:rPr>
        <w:t>section</w:t>
      </w:r>
      <w:r w:rsidR="00AE47F1" w:rsidRPr="006D6727">
        <w:rPr>
          <w:rStyle w:val="ECCParagraph"/>
          <w:noProof/>
        </w:rPr>
        <w:t xml:space="preserve"> </w:t>
      </w:r>
      <w:r w:rsidR="00AE47F1" w:rsidRPr="006D6727">
        <w:rPr>
          <w:rStyle w:val="ECCParagraph"/>
          <w:noProof/>
        </w:rPr>
        <w:fldChar w:fldCharType="begin"/>
      </w:r>
      <w:r w:rsidR="00AE47F1" w:rsidRPr="006D6727">
        <w:rPr>
          <w:rStyle w:val="ECCParagraph"/>
          <w:noProof/>
        </w:rPr>
        <w:instrText xml:space="preserve"> REF _Ref20470811 \r \h </w:instrText>
      </w:r>
      <w:r w:rsidR="00AE47F1" w:rsidRPr="006D6727">
        <w:rPr>
          <w:rStyle w:val="ECCParagraph"/>
          <w:noProof/>
        </w:rPr>
      </w:r>
      <w:r w:rsidR="00AE47F1" w:rsidRPr="006D6727">
        <w:rPr>
          <w:rStyle w:val="ECCParagraph"/>
          <w:noProof/>
        </w:rPr>
        <w:fldChar w:fldCharType="separate"/>
      </w:r>
      <w:r w:rsidR="004F49F9">
        <w:rPr>
          <w:rStyle w:val="ECCParagraph"/>
          <w:noProof/>
        </w:rPr>
        <w:t>2.2.5.4</w:t>
      </w:r>
      <w:r w:rsidR="00AE47F1" w:rsidRPr="006D6727">
        <w:rPr>
          <w:rStyle w:val="ECCParagraph"/>
          <w:noProof/>
        </w:rPr>
        <w:fldChar w:fldCharType="end"/>
      </w:r>
      <w:r w:rsidR="00AE47F1" w:rsidRPr="006D6727">
        <w:rPr>
          <w:rStyle w:val="ECCParagraph"/>
          <w:noProof/>
        </w:rPr>
        <w:t>)</w:t>
      </w:r>
      <w:r w:rsidRPr="006D6727">
        <w:rPr>
          <w:rStyle w:val="ECCParagraph"/>
          <w:noProof/>
        </w:rPr>
        <w:t>. This procedural method is accordant to the worst-case approach of this Report.</w:t>
      </w:r>
    </w:p>
    <w:p w14:paraId="04163A9E" w14:textId="77777777" w:rsidR="00995788" w:rsidRPr="006D6727" w:rsidRDefault="00995788" w:rsidP="004E36C2">
      <w:pPr>
        <w:pStyle w:val="Heading4"/>
        <w:rPr>
          <w:noProof/>
        </w:rPr>
      </w:pPr>
      <w:bookmarkStart w:id="286" w:name="_Ref63247465"/>
      <w:bookmarkStart w:id="287" w:name="_Toc84325288"/>
      <w:r w:rsidRPr="006D6727">
        <w:rPr>
          <w:noProof/>
        </w:rPr>
        <w:t>Market size</w:t>
      </w:r>
      <w:bookmarkEnd w:id="286"/>
      <w:bookmarkEnd w:id="287"/>
    </w:p>
    <w:p w14:paraId="63D38022" w14:textId="1A4E0148" w:rsidR="000C6778" w:rsidRPr="006D6727" w:rsidRDefault="000C6778" w:rsidP="000C6778">
      <w:pPr>
        <w:rPr>
          <w:rStyle w:val="ECCParagraph"/>
          <w:noProof/>
        </w:rPr>
      </w:pPr>
      <w:r w:rsidRPr="006D6727">
        <w:rPr>
          <w:rStyle w:val="ECCParagraph"/>
          <w:noProof/>
        </w:rPr>
        <w:t>E</w:t>
      </w:r>
      <w:r w:rsidRPr="000926DB">
        <w:rPr>
          <w:rStyle w:val="ECCParagraph"/>
          <w:noProof/>
        </w:rPr>
        <w:t xml:space="preserve">TSI TR 103 498 </w:t>
      </w:r>
      <w:r w:rsidRPr="000926DB">
        <w:rPr>
          <w:rStyle w:val="ECCParagraph"/>
          <w:noProof/>
        </w:rPr>
        <w:fldChar w:fldCharType="begin"/>
      </w:r>
      <w:r w:rsidRPr="000926DB">
        <w:rPr>
          <w:rStyle w:val="ECCParagraph"/>
          <w:noProof/>
        </w:rPr>
        <w:instrText xml:space="preserve"> REF  ETSITR103498 \h \w  \* MERGEFORMAT </w:instrText>
      </w:r>
      <w:r w:rsidRPr="000926DB">
        <w:rPr>
          <w:rStyle w:val="ECCParagraph"/>
          <w:noProof/>
        </w:rPr>
      </w:r>
      <w:r w:rsidRPr="000926DB">
        <w:rPr>
          <w:rStyle w:val="ECCParagraph"/>
          <w:noProof/>
        </w:rPr>
        <w:fldChar w:fldCharType="separate"/>
      </w:r>
      <w:r w:rsidR="004F49F9">
        <w:rPr>
          <w:rStyle w:val="ECCParagraph"/>
          <w:noProof/>
        </w:rPr>
        <w:t>[1]</w:t>
      </w:r>
      <w:r w:rsidRPr="000926DB">
        <w:rPr>
          <w:rStyle w:val="ECCParagraph"/>
          <w:noProof/>
        </w:rPr>
        <w:fldChar w:fldCharType="end"/>
      </w:r>
      <w:r w:rsidRPr="000926DB">
        <w:rPr>
          <w:rStyle w:val="ECCParagraph"/>
          <w:noProof/>
        </w:rPr>
        <w:t xml:space="preserve"> d</w:t>
      </w:r>
      <w:r w:rsidRPr="006D6727">
        <w:rPr>
          <w:rStyle w:val="ECCParagraph"/>
          <w:noProof/>
        </w:rPr>
        <w:t xml:space="preserve">oes not give any figures for the market size for </w:t>
      </w:r>
      <w:r w:rsidR="00CD3536" w:rsidRPr="006D6727">
        <w:rPr>
          <w:rStyle w:val="ECCParagraph"/>
          <w:noProof/>
        </w:rPr>
        <w:t>T</w:t>
      </w:r>
      <w:r w:rsidRPr="006D6727">
        <w:rPr>
          <w:rStyle w:val="ECCParagraph"/>
          <w:noProof/>
        </w:rPr>
        <w:t xml:space="preserve">LPRs. However, a recently conducted assessment among several </w:t>
      </w:r>
      <w:r w:rsidR="004A10D6" w:rsidRPr="006D6727">
        <w:rPr>
          <w:rStyle w:val="ECCParagraph"/>
          <w:noProof/>
        </w:rPr>
        <w:t>T</w:t>
      </w:r>
      <w:r w:rsidRPr="006D6727">
        <w:rPr>
          <w:rStyle w:val="ECCParagraph"/>
          <w:noProof/>
        </w:rPr>
        <w:t>LPR manufacturers yielded the expected sales figures depicted in</w:t>
      </w:r>
      <w:r w:rsidR="00521BF7" w:rsidRPr="006D6727">
        <w:rPr>
          <w:rStyle w:val="ECCParagraph"/>
          <w:noProof/>
        </w:rPr>
        <w:t xml:space="preserve"> </w:t>
      </w:r>
      <w:r w:rsidR="00521BF7" w:rsidRPr="006D6727">
        <w:rPr>
          <w:rStyle w:val="ECCParagraph"/>
          <w:noProof/>
        </w:rPr>
        <w:fldChar w:fldCharType="begin"/>
      </w:r>
      <w:r w:rsidR="00521BF7" w:rsidRPr="006D6727">
        <w:rPr>
          <w:rStyle w:val="ECCParagraph"/>
          <w:noProof/>
        </w:rPr>
        <w:instrText xml:space="preserve"> REF _Ref36126249 \h </w:instrText>
      </w:r>
      <w:r w:rsidR="00521BF7" w:rsidRPr="006D6727">
        <w:rPr>
          <w:rStyle w:val="ECCParagraph"/>
          <w:noProof/>
        </w:rPr>
      </w:r>
      <w:r w:rsidR="00521BF7" w:rsidRPr="006D6727">
        <w:rPr>
          <w:rStyle w:val="ECCParagraph"/>
          <w:noProof/>
        </w:rPr>
        <w:fldChar w:fldCharType="separate"/>
      </w:r>
      <w:r w:rsidR="0041125F" w:rsidRPr="006D6727">
        <w:rPr>
          <w:noProof/>
        </w:rPr>
        <w:t>Table </w:t>
      </w:r>
      <w:r w:rsidR="0041125F">
        <w:rPr>
          <w:noProof/>
        </w:rPr>
        <w:t>29</w:t>
      </w:r>
      <w:r w:rsidR="00521BF7" w:rsidRPr="006D6727">
        <w:rPr>
          <w:rStyle w:val="ECCParagraph"/>
          <w:noProof/>
        </w:rPr>
        <w:fldChar w:fldCharType="end"/>
      </w:r>
      <w:r w:rsidRPr="006D6727">
        <w:rPr>
          <w:rStyle w:val="ECCParagraph"/>
          <w:noProof/>
        </w:rPr>
        <w:t>. This estimation also considers a considerable growth within the first five years after market launch. Given the European land area of 10</w:t>
      </w:r>
      <w:r w:rsidR="00CF4994">
        <w:rPr>
          <w:rStyle w:val="ECCParagraph"/>
        </w:rPr>
        <w:t>5</w:t>
      </w:r>
      <w:r w:rsidRPr="006D6727">
        <w:rPr>
          <w:rStyle w:val="ECCParagraph"/>
          <w:noProof/>
        </w:rPr>
        <w:t>23</w:t>
      </w:r>
      <w:r w:rsidR="00CF4994">
        <w:rPr>
          <w:rStyle w:val="ECCParagraph"/>
          <w:noProof/>
        </w:rPr>
        <w:t>000</w:t>
      </w:r>
      <w:r w:rsidRPr="006D6727">
        <w:rPr>
          <w:rStyle w:val="ECCParagraph"/>
          <w:noProof/>
        </w:rPr>
        <w:t xml:space="preserve"> km², this translates to the average density of </w:t>
      </w:r>
      <w:r w:rsidR="008B4C72" w:rsidRPr="006D6727">
        <w:rPr>
          <w:rStyle w:val="ECCParagraph"/>
          <w:noProof/>
        </w:rPr>
        <w:t>0</w:t>
      </w:r>
      <w:r w:rsidR="00CF4994">
        <w:rPr>
          <w:rStyle w:val="ECCParagraph"/>
          <w:noProof/>
        </w:rPr>
        <w:t>.0</w:t>
      </w:r>
      <w:r w:rsidR="008B4C72" w:rsidRPr="006D6727">
        <w:rPr>
          <w:rStyle w:val="ECCParagraph"/>
          <w:noProof/>
        </w:rPr>
        <w:t>057 TLPR devices/km² in the band 116-148</w:t>
      </w:r>
      <w:r w:rsidR="00CF4994">
        <w:rPr>
          <w:rStyle w:val="ECCParagraph"/>
          <w:noProof/>
        </w:rPr>
        <w:t>.5</w:t>
      </w:r>
      <w:r w:rsidR="008B4C72" w:rsidRPr="006D6727">
        <w:rPr>
          <w:rStyle w:val="ECCParagraph"/>
          <w:noProof/>
        </w:rPr>
        <w:t xml:space="preserve"> GHz, </w:t>
      </w:r>
      <w:r w:rsidRPr="006D6727">
        <w:rPr>
          <w:rStyle w:val="ECCParagraph"/>
          <w:noProof/>
        </w:rPr>
        <w:t>0</w:t>
      </w:r>
      <w:r w:rsidR="00CF4994">
        <w:rPr>
          <w:rStyle w:val="ECCParagraph"/>
          <w:noProof/>
        </w:rPr>
        <w:t>.0</w:t>
      </w:r>
      <w:r w:rsidRPr="006D6727">
        <w:rPr>
          <w:rStyle w:val="ECCParagraph"/>
          <w:noProof/>
        </w:rPr>
        <w:t>0</w:t>
      </w:r>
      <w:r w:rsidR="008B4C72" w:rsidRPr="006D6727">
        <w:rPr>
          <w:rStyle w:val="ECCParagraph"/>
          <w:noProof/>
        </w:rPr>
        <w:t>34</w:t>
      </w:r>
      <w:r w:rsidR="00D6594A" w:rsidRPr="006D6727">
        <w:rPr>
          <w:rStyle w:val="ECCParagraph"/>
          <w:noProof/>
        </w:rPr>
        <w:t xml:space="preserve"> </w:t>
      </w:r>
      <w:r w:rsidR="00CD3536" w:rsidRPr="006D6727">
        <w:rPr>
          <w:rStyle w:val="ECCParagraph"/>
          <w:noProof/>
        </w:rPr>
        <w:t>T</w:t>
      </w:r>
      <w:r w:rsidRPr="006D6727">
        <w:rPr>
          <w:rStyle w:val="ECCParagraph"/>
          <w:noProof/>
        </w:rPr>
        <w:t>LPR devices/km² in the band 167-182 GHz and 0</w:t>
      </w:r>
      <w:r w:rsidR="00CF4994">
        <w:rPr>
          <w:rStyle w:val="ECCParagraph"/>
          <w:noProof/>
        </w:rPr>
        <w:t>.0</w:t>
      </w:r>
      <w:r w:rsidRPr="006D6727">
        <w:rPr>
          <w:rStyle w:val="ECCParagraph"/>
          <w:noProof/>
        </w:rPr>
        <w:t>0</w:t>
      </w:r>
      <w:r w:rsidR="008B4C72" w:rsidRPr="006D6727">
        <w:rPr>
          <w:rStyle w:val="ECCParagraph"/>
          <w:noProof/>
        </w:rPr>
        <w:t>23</w:t>
      </w:r>
      <w:r w:rsidR="00D6594A" w:rsidRPr="006D6727">
        <w:rPr>
          <w:rStyle w:val="ECCParagraph"/>
          <w:noProof/>
        </w:rPr>
        <w:t xml:space="preserve"> </w:t>
      </w:r>
      <w:r w:rsidR="00CD3536" w:rsidRPr="006D6727">
        <w:rPr>
          <w:rStyle w:val="ECCParagraph"/>
          <w:noProof/>
        </w:rPr>
        <w:t>T</w:t>
      </w:r>
      <w:r w:rsidRPr="006D6727">
        <w:rPr>
          <w:rStyle w:val="ECCParagraph"/>
          <w:noProof/>
        </w:rPr>
        <w:t>LPR devices/km² in the band 231</w:t>
      </w:r>
      <w:r w:rsidR="00CF4994">
        <w:rPr>
          <w:rStyle w:val="ECCParagraph"/>
          <w:noProof/>
        </w:rPr>
        <w:t>.5</w:t>
      </w:r>
      <w:r w:rsidRPr="006D6727">
        <w:rPr>
          <w:rStyle w:val="ECCParagraph"/>
          <w:noProof/>
        </w:rPr>
        <w:t>-250 GHz.</w:t>
      </w:r>
    </w:p>
    <w:p w14:paraId="43E79628" w14:textId="0D2B07F4" w:rsidR="000C6778" w:rsidRPr="006D6727" w:rsidRDefault="000C6778" w:rsidP="000C6778">
      <w:pPr>
        <w:pStyle w:val="Caption"/>
        <w:rPr>
          <w:rStyle w:val="ECCParagraph"/>
          <w:rFonts w:eastAsia="Calibri"/>
          <w:noProof/>
        </w:rPr>
      </w:pPr>
      <w:bookmarkStart w:id="288" w:name="_Ref36126249"/>
      <w:r w:rsidRPr="006D6727">
        <w:rPr>
          <w:noProof/>
          <w:lang w:val="en-GB"/>
        </w:rPr>
        <w:t>Table</w:t>
      </w:r>
      <w:r w:rsidR="0022206F" w:rsidRPr="006D6727">
        <w:rPr>
          <w:noProof/>
          <w:lang w:val="en-GB"/>
        </w:rPr>
        <w:t> </w:t>
      </w:r>
      <w:r w:rsidR="00945A7C" w:rsidRPr="006D6727">
        <w:rPr>
          <w:noProof/>
          <w:lang w:val="en-GB"/>
        </w:rPr>
        <w:fldChar w:fldCharType="begin"/>
      </w:r>
      <w:r w:rsidR="00945A7C" w:rsidRPr="006D6727">
        <w:rPr>
          <w:noProof/>
          <w:lang w:val="en-GB"/>
        </w:rPr>
        <w:instrText xml:space="preserve"> SEQ Table \* ARABIC </w:instrText>
      </w:r>
      <w:r w:rsidR="00945A7C" w:rsidRPr="006D6727">
        <w:rPr>
          <w:noProof/>
          <w:lang w:val="en-GB"/>
        </w:rPr>
        <w:fldChar w:fldCharType="separate"/>
      </w:r>
      <w:r w:rsidR="004F49F9">
        <w:rPr>
          <w:noProof/>
          <w:lang w:val="en-GB"/>
        </w:rPr>
        <w:t>29</w:t>
      </w:r>
      <w:r w:rsidR="00945A7C" w:rsidRPr="006D6727">
        <w:rPr>
          <w:noProof/>
          <w:lang w:val="en-GB"/>
        </w:rPr>
        <w:fldChar w:fldCharType="end"/>
      </w:r>
      <w:bookmarkEnd w:id="288"/>
      <w:r w:rsidRPr="006D6727">
        <w:rPr>
          <w:noProof/>
          <w:lang w:val="en-GB"/>
        </w:rPr>
        <w:t xml:space="preserve">: </w:t>
      </w:r>
      <w:r w:rsidRPr="006D6727">
        <w:rPr>
          <w:rStyle w:val="ECCParagraph"/>
          <w:rFonts w:eastAsia="Calibri"/>
          <w:noProof/>
        </w:rPr>
        <w:t xml:space="preserve">Estimated sales figures and device densities of </w:t>
      </w:r>
      <w:r w:rsidR="003E0160" w:rsidRPr="006D6727">
        <w:rPr>
          <w:rStyle w:val="ECCParagraph"/>
          <w:rFonts w:eastAsia="Calibri"/>
          <w:noProof/>
        </w:rPr>
        <w:t>T</w:t>
      </w:r>
      <w:r w:rsidRPr="006D6727">
        <w:rPr>
          <w:rStyle w:val="ECCParagraph"/>
          <w:rFonts w:eastAsia="Calibri"/>
          <w:noProof/>
        </w:rPr>
        <w:t>LPR devices</w:t>
      </w:r>
    </w:p>
    <w:tbl>
      <w:tblPr>
        <w:tblStyle w:val="ECCTable-redheader"/>
        <w:tblW w:w="5000" w:type="pct"/>
        <w:tblInd w:w="0" w:type="dxa"/>
        <w:tblLook w:val="04A0" w:firstRow="1" w:lastRow="0" w:firstColumn="1" w:lastColumn="0" w:noHBand="0" w:noVBand="1"/>
      </w:tblPr>
      <w:tblGrid>
        <w:gridCol w:w="6657"/>
        <w:gridCol w:w="2972"/>
      </w:tblGrid>
      <w:tr w:rsidR="000C6778" w:rsidRPr="006D6727" w14:paraId="14621FE3" w14:textId="77777777" w:rsidTr="00730CF1">
        <w:trPr>
          <w:cnfStyle w:val="100000000000" w:firstRow="1" w:lastRow="0" w:firstColumn="0" w:lastColumn="0" w:oddVBand="0" w:evenVBand="0" w:oddHBand="0" w:evenHBand="0" w:firstRowFirstColumn="0" w:firstRowLastColumn="0" w:lastRowFirstColumn="0" w:lastRowLastColumn="0"/>
        </w:trPr>
        <w:tc>
          <w:tcPr>
            <w:tcW w:w="3457" w:type="pct"/>
          </w:tcPr>
          <w:p w14:paraId="26785566" w14:textId="77777777" w:rsidR="000C6778" w:rsidRPr="006D6727" w:rsidRDefault="000C6778" w:rsidP="00876039">
            <w:pPr>
              <w:pStyle w:val="ECCTableHeaderwhitefont"/>
              <w:rPr>
                <w:noProof/>
              </w:rPr>
            </w:pPr>
            <w:r w:rsidRPr="006D6727">
              <w:rPr>
                <w:noProof/>
              </w:rPr>
              <w:t>Parameter</w:t>
            </w:r>
          </w:p>
        </w:tc>
        <w:tc>
          <w:tcPr>
            <w:tcW w:w="1543" w:type="pct"/>
          </w:tcPr>
          <w:p w14:paraId="7170EDDD" w14:textId="77777777" w:rsidR="000C6778" w:rsidRPr="006D6727" w:rsidRDefault="000C6778" w:rsidP="00EA11B9">
            <w:pPr>
              <w:pStyle w:val="ECCTableHeaderwhitefont"/>
              <w:rPr>
                <w:noProof/>
              </w:rPr>
            </w:pPr>
            <w:r w:rsidRPr="006D6727">
              <w:rPr>
                <w:noProof/>
              </w:rPr>
              <w:t>Value</w:t>
            </w:r>
          </w:p>
        </w:tc>
      </w:tr>
      <w:tr w:rsidR="000C6778" w:rsidRPr="006D6727" w14:paraId="0092492D" w14:textId="77777777" w:rsidTr="00730CF1">
        <w:trPr>
          <w:trHeight w:val="265"/>
        </w:trPr>
        <w:tc>
          <w:tcPr>
            <w:tcW w:w="3457" w:type="pct"/>
          </w:tcPr>
          <w:p w14:paraId="136E10D3" w14:textId="77777777" w:rsidR="000C6778" w:rsidRPr="006D6727" w:rsidRDefault="000C6778" w:rsidP="00DC3504">
            <w:pPr>
              <w:pStyle w:val="ECCTabletext"/>
              <w:spacing w:before="60"/>
              <w:jc w:val="left"/>
              <w:rPr>
                <w:rStyle w:val="ECCParagraph"/>
                <w:noProof/>
                <w:lang w:eastAsia="en-US" w:bidi="ar-SA"/>
              </w:rPr>
            </w:pPr>
            <w:r w:rsidRPr="006D6727">
              <w:rPr>
                <w:rStyle w:val="ECCParagraph"/>
                <w:noProof/>
              </w:rPr>
              <w:t xml:space="preserve">Worldwide accumulated number of </w:t>
            </w:r>
            <w:r w:rsidR="00525C83">
              <w:rPr>
                <w:rStyle w:val="ECCParagraph"/>
              </w:rPr>
              <w:t>T</w:t>
            </w:r>
            <w:r w:rsidRPr="006D6727">
              <w:rPr>
                <w:rStyle w:val="ECCParagraph"/>
                <w:noProof/>
              </w:rPr>
              <w:t xml:space="preserve">LPR devices in the field 5 years after launch in </w:t>
            </w:r>
            <w:r w:rsidR="00EF40D0">
              <w:rPr>
                <w:rStyle w:val="ECCParagraph"/>
              </w:rPr>
              <w:t>all</w:t>
            </w:r>
            <w:r w:rsidRPr="006D6727">
              <w:rPr>
                <w:rStyle w:val="ECCParagraph"/>
                <w:noProof/>
              </w:rPr>
              <w:t xml:space="preserve"> </w:t>
            </w:r>
            <w:r w:rsidR="00EF40D0">
              <w:rPr>
                <w:rStyle w:val="ECCParagraph"/>
              </w:rPr>
              <w:t xml:space="preserve">proposed </w:t>
            </w:r>
            <w:r w:rsidRPr="006D6727">
              <w:rPr>
                <w:rStyle w:val="ECCParagraph"/>
                <w:noProof/>
              </w:rPr>
              <w:t>frequency ranges</w:t>
            </w:r>
          </w:p>
        </w:tc>
        <w:tc>
          <w:tcPr>
            <w:tcW w:w="1543" w:type="pct"/>
          </w:tcPr>
          <w:p w14:paraId="00881B77" w14:textId="7607338B" w:rsidR="000C6778" w:rsidRPr="006D6727" w:rsidRDefault="000C6778" w:rsidP="00DC3504">
            <w:pPr>
              <w:pStyle w:val="ECCTabletext"/>
              <w:spacing w:before="60"/>
              <w:jc w:val="left"/>
              <w:rPr>
                <w:rStyle w:val="ECCParagraph"/>
                <w:noProof/>
                <w:lang w:eastAsia="en-US" w:bidi="ar-SA"/>
              </w:rPr>
            </w:pPr>
            <w:r w:rsidRPr="006D6727">
              <w:rPr>
                <w:rStyle w:val="ECCParagraph"/>
                <w:noProof/>
              </w:rPr>
              <w:t>300</w:t>
            </w:r>
            <w:r w:rsidR="00CF4994">
              <w:rPr>
                <w:rStyle w:val="ECCParagraph"/>
                <w:noProof/>
              </w:rPr>
              <w:t>000</w:t>
            </w:r>
          </w:p>
        </w:tc>
      </w:tr>
      <w:tr w:rsidR="00574143" w:rsidRPr="006D6727" w14:paraId="75A1B7F3" w14:textId="77777777" w:rsidTr="00730CF1">
        <w:trPr>
          <w:trHeight w:val="265"/>
        </w:trPr>
        <w:tc>
          <w:tcPr>
            <w:tcW w:w="3457" w:type="pct"/>
          </w:tcPr>
          <w:p w14:paraId="070DE585"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 xml:space="preserve">Fraction of devices sold for the European market in </w:t>
            </w:r>
            <w:r w:rsidR="00CB07AD" w:rsidRPr="006D6727">
              <w:rPr>
                <w:rStyle w:val="ECCParagraph"/>
                <w:noProof/>
              </w:rPr>
              <w:t xml:space="preserve">all </w:t>
            </w:r>
            <w:r w:rsidRPr="006D6727">
              <w:rPr>
                <w:rStyle w:val="ECCParagraph"/>
                <w:noProof/>
              </w:rPr>
              <w:t>bands</w:t>
            </w:r>
          </w:p>
        </w:tc>
        <w:tc>
          <w:tcPr>
            <w:tcW w:w="1543" w:type="pct"/>
          </w:tcPr>
          <w:p w14:paraId="3B2AD7B3" w14:textId="0D514646" w:rsidR="00574143" w:rsidRPr="006D6727" w:rsidRDefault="00574143" w:rsidP="00DC3504">
            <w:pPr>
              <w:pStyle w:val="ECCTabletext"/>
              <w:spacing w:before="60"/>
              <w:jc w:val="left"/>
              <w:rPr>
                <w:rStyle w:val="ECCParagraph"/>
                <w:noProof/>
                <w:lang w:eastAsia="en-US" w:bidi="ar-SA"/>
              </w:rPr>
            </w:pPr>
            <w:r w:rsidRPr="006D6727">
              <w:rPr>
                <w:rStyle w:val="ECCParagraph"/>
                <w:noProof/>
              </w:rPr>
              <w:t>40</w:t>
            </w:r>
            <w:r w:rsidR="00F800A2">
              <w:rPr>
                <w:rStyle w:val="ECCParagraph"/>
                <w:noProof/>
              </w:rPr>
              <w:t>%</w:t>
            </w:r>
          </w:p>
        </w:tc>
      </w:tr>
      <w:tr w:rsidR="00CB07AD" w:rsidRPr="006D6727" w14:paraId="70409C81" w14:textId="77777777" w:rsidTr="00730CF1">
        <w:trPr>
          <w:trHeight w:val="265"/>
        </w:trPr>
        <w:tc>
          <w:tcPr>
            <w:tcW w:w="3457" w:type="pct"/>
          </w:tcPr>
          <w:p w14:paraId="581AE8C6" w14:textId="77777777" w:rsidR="00CB07AD" w:rsidRPr="006D6727" w:rsidRDefault="00CB07AD" w:rsidP="00DC3504">
            <w:pPr>
              <w:pStyle w:val="ECCTabletext"/>
              <w:spacing w:before="60"/>
              <w:jc w:val="left"/>
              <w:rPr>
                <w:rStyle w:val="ECCParagraph"/>
                <w:noProof/>
                <w:lang w:eastAsia="en-US" w:bidi="ar-SA"/>
              </w:rPr>
            </w:pPr>
            <w:r w:rsidRPr="006D6727">
              <w:rPr>
                <w:rStyle w:val="ECCParagraph"/>
                <w:noProof/>
              </w:rPr>
              <w:t xml:space="preserve">Fraction of </w:t>
            </w:r>
            <w:r w:rsidR="00525C83">
              <w:rPr>
                <w:rStyle w:val="ECCParagraph"/>
              </w:rPr>
              <w:t>T</w:t>
            </w:r>
            <w:r w:rsidRPr="006D6727">
              <w:rPr>
                <w:rStyle w:val="ECCParagraph"/>
                <w:noProof/>
              </w:rPr>
              <w:t>LPR devices sold in the band 116-148</w:t>
            </w:r>
            <w:r w:rsidR="00CF4994">
              <w:rPr>
                <w:rStyle w:val="ECCParagraph"/>
                <w:noProof/>
              </w:rPr>
              <w:t>.5</w:t>
            </w:r>
            <w:r w:rsidRPr="006D6727">
              <w:rPr>
                <w:rStyle w:val="ECCParagraph"/>
                <w:noProof/>
              </w:rPr>
              <w:t> GHz</w:t>
            </w:r>
          </w:p>
        </w:tc>
        <w:tc>
          <w:tcPr>
            <w:tcW w:w="1543" w:type="pct"/>
          </w:tcPr>
          <w:p w14:paraId="1B60EBBE" w14:textId="020198C4" w:rsidR="00CB07AD" w:rsidRPr="006D6727" w:rsidRDefault="00CB07AD" w:rsidP="00DC3504">
            <w:pPr>
              <w:pStyle w:val="ECCTabletext"/>
              <w:spacing w:before="60"/>
              <w:jc w:val="left"/>
              <w:rPr>
                <w:rStyle w:val="ECCParagraph"/>
                <w:noProof/>
                <w:lang w:eastAsia="en-US" w:bidi="ar-SA"/>
              </w:rPr>
            </w:pPr>
            <w:r w:rsidRPr="006D6727">
              <w:rPr>
                <w:rStyle w:val="ECCParagraph"/>
                <w:noProof/>
              </w:rPr>
              <w:t>50</w:t>
            </w:r>
            <w:r w:rsidR="00F800A2">
              <w:rPr>
                <w:rStyle w:val="ECCParagraph"/>
                <w:noProof/>
              </w:rPr>
              <w:t>%</w:t>
            </w:r>
          </w:p>
        </w:tc>
      </w:tr>
      <w:tr w:rsidR="00574143" w:rsidRPr="006D6727" w14:paraId="5B99F313" w14:textId="77777777" w:rsidTr="00730CF1">
        <w:trPr>
          <w:trHeight w:val="265"/>
        </w:trPr>
        <w:tc>
          <w:tcPr>
            <w:tcW w:w="3457" w:type="pct"/>
          </w:tcPr>
          <w:p w14:paraId="79C101D0"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 xml:space="preserve">Fraction of </w:t>
            </w:r>
            <w:r w:rsidR="00525C83">
              <w:rPr>
                <w:rStyle w:val="ECCParagraph"/>
              </w:rPr>
              <w:t>T</w:t>
            </w:r>
            <w:r w:rsidRPr="006D6727">
              <w:rPr>
                <w:rStyle w:val="ECCParagraph"/>
                <w:noProof/>
              </w:rPr>
              <w:t>LPR devices sold in the band 167-182 GHz</w:t>
            </w:r>
          </w:p>
        </w:tc>
        <w:tc>
          <w:tcPr>
            <w:tcW w:w="1543" w:type="pct"/>
          </w:tcPr>
          <w:p w14:paraId="7C6F79A0" w14:textId="124E4690" w:rsidR="00574143" w:rsidRPr="006D6727" w:rsidRDefault="00CB07AD" w:rsidP="00DC3504">
            <w:pPr>
              <w:pStyle w:val="ECCTabletext"/>
              <w:spacing w:before="60"/>
              <w:jc w:val="left"/>
              <w:rPr>
                <w:rStyle w:val="ECCParagraph"/>
                <w:noProof/>
                <w:lang w:eastAsia="en-US" w:bidi="ar-SA"/>
              </w:rPr>
            </w:pPr>
            <w:r w:rsidRPr="006D6727">
              <w:rPr>
                <w:rStyle w:val="ECCParagraph"/>
                <w:noProof/>
              </w:rPr>
              <w:t>30</w:t>
            </w:r>
            <w:r w:rsidR="00F800A2">
              <w:rPr>
                <w:rStyle w:val="ECCParagraph"/>
                <w:noProof/>
              </w:rPr>
              <w:t>%</w:t>
            </w:r>
          </w:p>
        </w:tc>
      </w:tr>
      <w:tr w:rsidR="00574143" w:rsidRPr="006D6727" w14:paraId="28929C46" w14:textId="77777777" w:rsidTr="00730CF1">
        <w:trPr>
          <w:trHeight w:val="265"/>
        </w:trPr>
        <w:tc>
          <w:tcPr>
            <w:tcW w:w="3457" w:type="pct"/>
          </w:tcPr>
          <w:p w14:paraId="3C0EF4CC"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 xml:space="preserve">Fraction of </w:t>
            </w:r>
            <w:r w:rsidR="00525C83">
              <w:rPr>
                <w:rStyle w:val="ECCParagraph"/>
              </w:rPr>
              <w:t>T</w:t>
            </w:r>
            <w:r w:rsidRPr="006D6727">
              <w:rPr>
                <w:rStyle w:val="ECCParagraph"/>
                <w:noProof/>
              </w:rPr>
              <w:t>LPR devices sold in the band 231</w:t>
            </w:r>
            <w:r w:rsidR="00CF4994">
              <w:rPr>
                <w:rStyle w:val="ECCParagraph"/>
                <w:noProof/>
              </w:rPr>
              <w:t>.5</w:t>
            </w:r>
            <w:r w:rsidRPr="006D6727">
              <w:rPr>
                <w:rStyle w:val="ECCParagraph"/>
                <w:noProof/>
              </w:rPr>
              <w:t>-250 GHz</w:t>
            </w:r>
          </w:p>
        </w:tc>
        <w:tc>
          <w:tcPr>
            <w:tcW w:w="1543" w:type="pct"/>
          </w:tcPr>
          <w:p w14:paraId="24D2083C" w14:textId="5FF5ADFF" w:rsidR="00574143" w:rsidRPr="006D6727" w:rsidRDefault="00CB07AD" w:rsidP="00DC3504">
            <w:pPr>
              <w:pStyle w:val="ECCTabletext"/>
              <w:spacing w:before="60"/>
              <w:jc w:val="left"/>
              <w:rPr>
                <w:rStyle w:val="ECCParagraph"/>
                <w:noProof/>
                <w:lang w:eastAsia="en-US" w:bidi="ar-SA"/>
              </w:rPr>
            </w:pPr>
            <w:r w:rsidRPr="006D6727">
              <w:rPr>
                <w:rStyle w:val="ECCParagraph"/>
                <w:noProof/>
              </w:rPr>
              <w:t>20</w:t>
            </w:r>
            <w:r w:rsidR="00F800A2">
              <w:rPr>
                <w:rStyle w:val="ECCParagraph"/>
                <w:noProof/>
              </w:rPr>
              <w:t>%</w:t>
            </w:r>
          </w:p>
        </w:tc>
      </w:tr>
      <w:tr w:rsidR="00CB07AD" w:rsidRPr="006D6727" w14:paraId="49677214" w14:textId="77777777" w:rsidTr="00730CF1">
        <w:trPr>
          <w:trHeight w:val="265"/>
        </w:trPr>
        <w:tc>
          <w:tcPr>
            <w:tcW w:w="3457" w:type="pct"/>
          </w:tcPr>
          <w:p w14:paraId="1B81DEEE" w14:textId="77777777" w:rsidR="00CB07AD" w:rsidRPr="006D6727" w:rsidRDefault="00CB07AD" w:rsidP="00DC3504">
            <w:pPr>
              <w:pStyle w:val="ECCTabletext"/>
              <w:spacing w:before="60"/>
              <w:jc w:val="left"/>
              <w:rPr>
                <w:rStyle w:val="ECCParagraph"/>
                <w:noProof/>
                <w:lang w:eastAsia="en-US" w:bidi="ar-SA"/>
              </w:rPr>
            </w:pPr>
            <w:r w:rsidRPr="006D6727">
              <w:rPr>
                <w:rStyle w:val="ECCParagraph"/>
                <w:noProof/>
              </w:rPr>
              <w:t xml:space="preserve">Accumulated number of </w:t>
            </w:r>
            <w:r w:rsidR="00525C83">
              <w:rPr>
                <w:rStyle w:val="ECCParagraph"/>
              </w:rPr>
              <w:t>T</w:t>
            </w:r>
            <w:r w:rsidRPr="006D6727">
              <w:rPr>
                <w:rStyle w:val="ECCParagraph"/>
                <w:noProof/>
              </w:rPr>
              <w:t>LPR devices in the field in Europe 5 years after launch in the band 116-148</w:t>
            </w:r>
            <w:r w:rsidR="00CF4994">
              <w:rPr>
                <w:rStyle w:val="ECCParagraph"/>
                <w:noProof/>
              </w:rPr>
              <w:t>.5</w:t>
            </w:r>
            <w:r w:rsidRPr="006D6727">
              <w:rPr>
                <w:rStyle w:val="ECCParagraph"/>
                <w:noProof/>
              </w:rPr>
              <w:t> GHz</w:t>
            </w:r>
          </w:p>
        </w:tc>
        <w:tc>
          <w:tcPr>
            <w:tcW w:w="1543" w:type="pct"/>
          </w:tcPr>
          <w:p w14:paraId="60521E76" w14:textId="6F20FC81" w:rsidR="00CB07AD" w:rsidRPr="006D6727" w:rsidDel="00CB07AD" w:rsidRDefault="00CC547D" w:rsidP="00DC3504">
            <w:pPr>
              <w:pStyle w:val="ECCTabletext"/>
              <w:spacing w:before="60"/>
              <w:jc w:val="left"/>
              <w:rPr>
                <w:rStyle w:val="ECCParagraph"/>
                <w:noProof/>
                <w:lang w:eastAsia="en-US" w:bidi="ar-SA"/>
              </w:rPr>
            </w:pPr>
            <w:r w:rsidRPr="006D6727">
              <w:rPr>
                <w:rStyle w:val="ECCParagraph"/>
                <w:noProof/>
              </w:rPr>
              <w:t>60</w:t>
            </w:r>
            <w:r w:rsidR="00CF4994">
              <w:rPr>
                <w:rStyle w:val="ECCParagraph"/>
                <w:noProof/>
              </w:rPr>
              <w:t>000</w:t>
            </w:r>
          </w:p>
        </w:tc>
      </w:tr>
      <w:tr w:rsidR="00574143" w:rsidRPr="006D6727" w14:paraId="6348E642" w14:textId="77777777" w:rsidTr="00730CF1">
        <w:trPr>
          <w:trHeight w:val="265"/>
        </w:trPr>
        <w:tc>
          <w:tcPr>
            <w:tcW w:w="3457" w:type="pct"/>
          </w:tcPr>
          <w:p w14:paraId="2090419C"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 xml:space="preserve">Accumulated number of </w:t>
            </w:r>
            <w:r w:rsidR="00525C83">
              <w:rPr>
                <w:rStyle w:val="ECCParagraph"/>
              </w:rPr>
              <w:t>T</w:t>
            </w:r>
            <w:r w:rsidRPr="006D6727">
              <w:rPr>
                <w:rStyle w:val="ECCParagraph"/>
                <w:noProof/>
              </w:rPr>
              <w:t>LPR devices in the field in Europe 5 years after launch in the band 167-182 GHz</w:t>
            </w:r>
          </w:p>
        </w:tc>
        <w:tc>
          <w:tcPr>
            <w:tcW w:w="1543" w:type="pct"/>
          </w:tcPr>
          <w:p w14:paraId="5931B711" w14:textId="5F83DE24" w:rsidR="00574143" w:rsidRPr="006D6727" w:rsidRDefault="00CC547D" w:rsidP="00DC3504">
            <w:pPr>
              <w:pStyle w:val="ECCTabletext"/>
              <w:spacing w:before="60"/>
              <w:jc w:val="left"/>
              <w:rPr>
                <w:rStyle w:val="ECCParagraph"/>
                <w:noProof/>
                <w:lang w:eastAsia="en-US" w:bidi="ar-SA"/>
              </w:rPr>
            </w:pPr>
            <w:r w:rsidRPr="006D6727">
              <w:rPr>
                <w:rStyle w:val="ECCParagraph"/>
                <w:noProof/>
              </w:rPr>
              <w:t>36</w:t>
            </w:r>
            <w:r w:rsidR="00CF4994">
              <w:rPr>
                <w:rStyle w:val="ECCParagraph"/>
                <w:noProof/>
              </w:rPr>
              <w:t>000</w:t>
            </w:r>
          </w:p>
        </w:tc>
      </w:tr>
      <w:tr w:rsidR="00574143" w:rsidRPr="006D6727" w14:paraId="438EAEF2" w14:textId="77777777" w:rsidTr="00730CF1">
        <w:trPr>
          <w:trHeight w:val="265"/>
        </w:trPr>
        <w:tc>
          <w:tcPr>
            <w:tcW w:w="3457" w:type="pct"/>
          </w:tcPr>
          <w:p w14:paraId="7EB65F12"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 xml:space="preserve">Accumulated number of </w:t>
            </w:r>
            <w:r w:rsidR="00525C83">
              <w:rPr>
                <w:rStyle w:val="ECCParagraph"/>
              </w:rPr>
              <w:t>T</w:t>
            </w:r>
            <w:r w:rsidRPr="006D6727">
              <w:rPr>
                <w:rStyle w:val="ECCParagraph"/>
                <w:noProof/>
              </w:rPr>
              <w:t>LPR devices in the field in Europe 5 years after launch in the band 231</w:t>
            </w:r>
            <w:r w:rsidR="00CF4994">
              <w:rPr>
                <w:rStyle w:val="ECCParagraph"/>
                <w:noProof/>
              </w:rPr>
              <w:t>.5</w:t>
            </w:r>
            <w:r w:rsidRPr="006D6727">
              <w:rPr>
                <w:rStyle w:val="ECCParagraph"/>
                <w:noProof/>
              </w:rPr>
              <w:t>-250 GHz</w:t>
            </w:r>
          </w:p>
        </w:tc>
        <w:tc>
          <w:tcPr>
            <w:tcW w:w="1543" w:type="pct"/>
          </w:tcPr>
          <w:p w14:paraId="356A215D" w14:textId="60EDFFE4" w:rsidR="00574143" w:rsidRPr="006D6727" w:rsidRDefault="00CC547D" w:rsidP="00DC3504">
            <w:pPr>
              <w:pStyle w:val="ECCTabletext"/>
              <w:spacing w:before="60"/>
              <w:jc w:val="left"/>
              <w:rPr>
                <w:rStyle w:val="ECCParagraph"/>
                <w:noProof/>
                <w:lang w:eastAsia="en-US" w:bidi="ar-SA"/>
              </w:rPr>
            </w:pPr>
            <w:r w:rsidRPr="006D6727">
              <w:rPr>
                <w:rStyle w:val="ECCParagraph"/>
                <w:noProof/>
              </w:rPr>
              <w:t>24</w:t>
            </w:r>
            <w:r w:rsidR="00CF4994">
              <w:rPr>
                <w:rStyle w:val="ECCParagraph"/>
                <w:noProof/>
              </w:rPr>
              <w:t>000</w:t>
            </w:r>
          </w:p>
        </w:tc>
      </w:tr>
      <w:tr w:rsidR="00574143" w:rsidRPr="006D6727" w14:paraId="56D11CA6" w14:textId="77777777" w:rsidTr="00730CF1">
        <w:trPr>
          <w:trHeight w:val="265"/>
        </w:trPr>
        <w:tc>
          <w:tcPr>
            <w:tcW w:w="3457" w:type="pct"/>
          </w:tcPr>
          <w:p w14:paraId="53DA62AA"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European land area</w:t>
            </w:r>
          </w:p>
        </w:tc>
        <w:tc>
          <w:tcPr>
            <w:tcW w:w="1543" w:type="pct"/>
          </w:tcPr>
          <w:p w14:paraId="7C07EB0C" w14:textId="07F8B107" w:rsidR="00574143" w:rsidRPr="006D6727" w:rsidRDefault="00574143" w:rsidP="00DC3504">
            <w:pPr>
              <w:pStyle w:val="ECCTabletext"/>
              <w:spacing w:before="60"/>
              <w:jc w:val="left"/>
              <w:rPr>
                <w:rStyle w:val="ECCParagraph"/>
                <w:noProof/>
                <w:lang w:eastAsia="en-US" w:bidi="ar-SA"/>
              </w:rPr>
            </w:pPr>
            <w:r w:rsidRPr="006D6727">
              <w:rPr>
                <w:rStyle w:val="ECCParagraph"/>
                <w:noProof/>
              </w:rPr>
              <w:t>10</w:t>
            </w:r>
            <w:r w:rsidR="00CF4994">
              <w:rPr>
                <w:rStyle w:val="ECCParagraph"/>
              </w:rPr>
              <w:t>5</w:t>
            </w:r>
            <w:r w:rsidRPr="006D6727">
              <w:rPr>
                <w:rStyle w:val="ECCParagraph"/>
                <w:noProof/>
              </w:rPr>
              <w:t>23</w:t>
            </w:r>
            <w:r w:rsidR="00CF4994">
              <w:rPr>
                <w:rStyle w:val="ECCParagraph"/>
                <w:noProof/>
              </w:rPr>
              <w:t>000</w:t>
            </w:r>
            <w:r w:rsidRPr="006D6727">
              <w:rPr>
                <w:rStyle w:val="ECCParagraph"/>
                <w:noProof/>
              </w:rPr>
              <w:t> km²</w:t>
            </w:r>
          </w:p>
        </w:tc>
      </w:tr>
      <w:tr w:rsidR="00CC547D" w:rsidRPr="006D6727" w14:paraId="09A93D11" w14:textId="77777777" w:rsidTr="00730CF1">
        <w:trPr>
          <w:trHeight w:val="265"/>
        </w:trPr>
        <w:tc>
          <w:tcPr>
            <w:tcW w:w="3457" w:type="pct"/>
          </w:tcPr>
          <w:p w14:paraId="2F44FEB9" w14:textId="77777777" w:rsidR="00CC547D" w:rsidRPr="006D6727" w:rsidRDefault="00CC547D" w:rsidP="00DC3504">
            <w:pPr>
              <w:pStyle w:val="ECCTabletext"/>
              <w:spacing w:before="60"/>
              <w:jc w:val="left"/>
              <w:rPr>
                <w:rStyle w:val="ECCParagraph"/>
                <w:noProof/>
                <w:lang w:eastAsia="en-US" w:bidi="ar-SA"/>
              </w:rPr>
            </w:pPr>
            <w:r w:rsidRPr="006D6727">
              <w:rPr>
                <w:rStyle w:val="ECCParagraph"/>
                <w:noProof/>
              </w:rPr>
              <w:t xml:space="preserve">Average density of </w:t>
            </w:r>
            <w:r w:rsidR="00525C83">
              <w:rPr>
                <w:rStyle w:val="ECCParagraph"/>
              </w:rPr>
              <w:t>T</w:t>
            </w:r>
            <w:r w:rsidRPr="006D6727">
              <w:rPr>
                <w:rStyle w:val="ECCParagraph"/>
                <w:noProof/>
              </w:rPr>
              <w:t>LPR devices in Europe in the band 116-148</w:t>
            </w:r>
            <w:r w:rsidR="00CF4994">
              <w:rPr>
                <w:rStyle w:val="ECCParagraph"/>
                <w:noProof/>
              </w:rPr>
              <w:t>.5</w:t>
            </w:r>
            <w:r w:rsidRPr="006D6727">
              <w:rPr>
                <w:rStyle w:val="ECCParagraph"/>
                <w:noProof/>
              </w:rPr>
              <w:t> GHz</w:t>
            </w:r>
          </w:p>
        </w:tc>
        <w:tc>
          <w:tcPr>
            <w:tcW w:w="1543" w:type="pct"/>
          </w:tcPr>
          <w:p w14:paraId="04ECC0B3" w14:textId="77777777" w:rsidR="00CC547D" w:rsidRPr="006D6727" w:rsidRDefault="00414569" w:rsidP="00DC3504">
            <w:pPr>
              <w:pStyle w:val="ECCTabletext"/>
              <w:spacing w:before="60"/>
              <w:jc w:val="left"/>
              <w:rPr>
                <w:rStyle w:val="ECCParagraph"/>
                <w:noProof/>
                <w:lang w:eastAsia="en-US" w:bidi="ar-SA"/>
              </w:rPr>
            </w:pPr>
            <w:r w:rsidRPr="006D6727">
              <w:rPr>
                <w:rStyle w:val="ECCParagraph"/>
                <w:noProof/>
              </w:rPr>
              <w:t>0</w:t>
            </w:r>
            <w:r w:rsidR="00CF4994">
              <w:rPr>
                <w:rStyle w:val="ECCParagraph"/>
                <w:noProof/>
              </w:rPr>
              <w:t>.0</w:t>
            </w:r>
            <w:r w:rsidRPr="006D6727">
              <w:rPr>
                <w:rStyle w:val="ECCParagraph"/>
                <w:noProof/>
              </w:rPr>
              <w:t>057 devices/km²</w:t>
            </w:r>
          </w:p>
        </w:tc>
      </w:tr>
      <w:tr w:rsidR="00574143" w:rsidRPr="006D6727" w14:paraId="4E53EA92" w14:textId="77777777" w:rsidTr="00730CF1">
        <w:trPr>
          <w:trHeight w:val="265"/>
        </w:trPr>
        <w:tc>
          <w:tcPr>
            <w:tcW w:w="3457" w:type="pct"/>
          </w:tcPr>
          <w:p w14:paraId="3C9864D5"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 xml:space="preserve">Average density of </w:t>
            </w:r>
            <w:r w:rsidR="00525C83">
              <w:rPr>
                <w:rStyle w:val="ECCParagraph"/>
              </w:rPr>
              <w:t>T</w:t>
            </w:r>
            <w:r w:rsidRPr="006D6727">
              <w:rPr>
                <w:rStyle w:val="ECCParagraph"/>
                <w:noProof/>
              </w:rPr>
              <w:t>LPR devices in Europe in the band 167-182 GHz</w:t>
            </w:r>
          </w:p>
        </w:tc>
        <w:tc>
          <w:tcPr>
            <w:tcW w:w="1543" w:type="pct"/>
          </w:tcPr>
          <w:p w14:paraId="3D6106F0" w14:textId="77777777" w:rsidR="00574143" w:rsidRPr="006D6727" w:rsidRDefault="00076F75" w:rsidP="00DC3504">
            <w:pPr>
              <w:pStyle w:val="ECCTabletext"/>
              <w:spacing w:before="60"/>
              <w:jc w:val="left"/>
              <w:rPr>
                <w:rStyle w:val="ECCParagraph"/>
                <w:noProof/>
                <w:lang w:eastAsia="en-US" w:bidi="ar-SA"/>
              </w:rPr>
            </w:pPr>
            <w:r w:rsidRPr="006D6727">
              <w:rPr>
                <w:rStyle w:val="ECCParagraph"/>
                <w:noProof/>
              </w:rPr>
              <w:t>0</w:t>
            </w:r>
            <w:r w:rsidR="00CF4994">
              <w:rPr>
                <w:rStyle w:val="ECCParagraph"/>
                <w:noProof/>
              </w:rPr>
              <w:t>.0</w:t>
            </w:r>
            <w:r w:rsidRPr="006D6727">
              <w:rPr>
                <w:rStyle w:val="ECCParagraph"/>
                <w:noProof/>
              </w:rPr>
              <w:t>034</w:t>
            </w:r>
            <w:r w:rsidR="00746422" w:rsidRPr="006D6727">
              <w:rPr>
                <w:rStyle w:val="ECCParagraph"/>
                <w:noProof/>
              </w:rPr>
              <w:t> </w:t>
            </w:r>
            <w:r w:rsidR="00574143" w:rsidRPr="006D6727">
              <w:rPr>
                <w:rStyle w:val="ECCParagraph"/>
                <w:noProof/>
              </w:rPr>
              <w:t>devices/km²</w:t>
            </w:r>
          </w:p>
        </w:tc>
      </w:tr>
      <w:tr w:rsidR="00574143" w:rsidRPr="006D6727" w14:paraId="7F722761" w14:textId="77777777" w:rsidTr="00730CF1">
        <w:trPr>
          <w:trHeight w:val="265"/>
        </w:trPr>
        <w:tc>
          <w:tcPr>
            <w:tcW w:w="3457" w:type="pct"/>
          </w:tcPr>
          <w:p w14:paraId="045AC486" w14:textId="77777777" w:rsidR="00574143" w:rsidRPr="006D6727" w:rsidRDefault="00574143" w:rsidP="00DC3504">
            <w:pPr>
              <w:pStyle w:val="ECCTabletext"/>
              <w:spacing w:before="60"/>
              <w:jc w:val="left"/>
              <w:rPr>
                <w:rStyle w:val="ECCParagraph"/>
                <w:noProof/>
                <w:lang w:eastAsia="en-US" w:bidi="ar-SA"/>
              </w:rPr>
            </w:pPr>
            <w:r w:rsidRPr="006D6727">
              <w:rPr>
                <w:rStyle w:val="ECCParagraph"/>
                <w:noProof/>
              </w:rPr>
              <w:t xml:space="preserve">Average density of </w:t>
            </w:r>
            <w:r w:rsidR="00525C83">
              <w:rPr>
                <w:rStyle w:val="ECCParagraph"/>
              </w:rPr>
              <w:t>T</w:t>
            </w:r>
            <w:r w:rsidRPr="006D6727">
              <w:rPr>
                <w:rStyle w:val="ECCParagraph"/>
                <w:noProof/>
              </w:rPr>
              <w:t>LPR devices in Europe in the band 231</w:t>
            </w:r>
            <w:r w:rsidR="00CF4994">
              <w:rPr>
                <w:rStyle w:val="ECCParagraph"/>
                <w:noProof/>
              </w:rPr>
              <w:t>.5</w:t>
            </w:r>
            <w:r w:rsidRPr="006D6727">
              <w:rPr>
                <w:rStyle w:val="ECCParagraph"/>
                <w:noProof/>
              </w:rPr>
              <w:t>-250 GHz</w:t>
            </w:r>
          </w:p>
        </w:tc>
        <w:tc>
          <w:tcPr>
            <w:tcW w:w="1543" w:type="pct"/>
          </w:tcPr>
          <w:p w14:paraId="29320838" w14:textId="77777777" w:rsidR="00574143" w:rsidRPr="006D6727" w:rsidRDefault="00076F75" w:rsidP="00DC3504">
            <w:pPr>
              <w:pStyle w:val="ECCTabletext"/>
              <w:spacing w:before="60"/>
              <w:jc w:val="left"/>
              <w:rPr>
                <w:rStyle w:val="ECCParagraph"/>
                <w:noProof/>
                <w:lang w:eastAsia="en-US" w:bidi="ar-SA"/>
              </w:rPr>
            </w:pPr>
            <w:r w:rsidRPr="006D6727">
              <w:rPr>
                <w:rStyle w:val="ECCParagraph"/>
                <w:noProof/>
              </w:rPr>
              <w:t>0</w:t>
            </w:r>
            <w:r w:rsidR="00CF4994">
              <w:rPr>
                <w:rStyle w:val="ECCParagraph"/>
                <w:noProof/>
              </w:rPr>
              <w:t>.0</w:t>
            </w:r>
            <w:r w:rsidRPr="006D6727">
              <w:rPr>
                <w:rStyle w:val="ECCParagraph"/>
                <w:noProof/>
              </w:rPr>
              <w:t>023</w:t>
            </w:r>
            <w:r w:rsidR="00746422" w:rsidRPr="006D6727">
              <w:rPr>
                <w:rStyle w:val="ECCParagraph"/>
                <w:noProof/>
              </w:rPr>
              <w:t> </w:t>
            </w:r>
            <w:r w:rsidR="00574143" w:rsidRPr="006D6727">
              <w:rPr>
                <w:rStyle w:val="ECCParagraph"/>
                <w:noProof/>
              </w:rPr>
              <w:t>devices/km²</w:t>
            </w:r>
          </w:p>
        </w:tc>
      </w:tr>
    </w:tbl>
    <w:p w14:paraId="595DA8AD" w14:textId="77777777" w:rsidR="000C6778" w:rsidRPr="006D6727" w:rsidRDefault="000C6778" w:rsidP="000C6778">
      <w:pPr>
        <w:rPr>
          <w:rStyle w:val="ECCParagraph"/>
          <w:noProof/>
        </w:rPr>
      </w:pPr>
      <w:r w:rsidRPr="006D6727">
        <w:rPr>
          <w:rStyle w:val="ECCParagraph"/>
          <w:noProof/>
        </w:rPr>
        <w:t>An additional re-assurance to the credibility of the provided estimates can be implemented by doubling the estimated mean device densities in Europe for the MCL calculations.</w:t>
      </w:r>
      <w:r w:rsidR="00396361" w:rsidRPr="006D6727">
        <w:rPr>
          <w:rStyle w:val="ECCParagraph"/>
          <w:noProof/>
        </w:rPr>
        <w:t xml:space="preserve"> </w:t>
      </w:r>
      <w:r w:rsidR="00396361" w:rsidRPr="006D6727">
        <w:rPr>
          <w:noProof/>
        </w:rPr>
        <w:t>This conservative overestimation emphasizes the worst-case approach of the compatibility studies.</w:t>
      </w:r>
    </w:p>
    <w:p w14:paraId="791CD92C" w14:textId="77777777" w:rsidR="00711659" w:rsidRPr="006D6727" w:rsidRDefault="00711659" w:rsidP="00711659">
      <w:pPr>
        <w:rPr>
          <w:noProof/>
        </w:rPr>
      </w:pPr>
      <w:r w:rsidRPr="006D6727">
        <w:rPr>
          <w:noProof/>
        </w:rPr>
        <w:t xml:space="preserve">It may be seen from the numbers given above, that the projected average density of </w:t>
      </w:r>
      <w:r w:rsidR="00395309">
        <w:t>T</w:t>
      </w:r>
      <w:r w:rsidRPr="006D6727">
        <w:rPr>
          <w:noProof/>
        </w:rPr>
        <w:t xml:space="preserve">LPR devices will be extremely low, as provided for by their industrial type of use and specific nature of applications. This however does not exclude certain cases, where multiple TLPR devices could be used in very near proximity in an industrial plant for instance. But given their very low duty cycles and in addition to that the nevertheless unsynchronised nature of </w:t>
      </w:r>
      <w:r w:rsidR="00395309">
        <w:t>T</w:t>
      </w:r>
      <w:r w:rsidRPr="006D6727">
        <w:rPr>
          <w:noProof/>
        </w:rPr>
        <w:t>LPR devices, even in such cases, adverse aggregation effects may be considered unrealistic.</w:t>
      </w:r>
    </w:p>
    <w:p w14:paraId="62C47580" w14:textId="6AAC152F" w:rsidR="00F7042A" w:rsidRPr="006D6727" w:rsidRDefault="000C6778" w:rsidP="000C6778">
      <w:pPr>
        <w:rPr>
          <w:rStyle w:val="ECCParagraph"/>
          <w:noProof/>
        </w:rPr>
      </w:pPr>
      <w:r w:rsidRPr="006D6727">
        <w:rPr>
          <w:rStyle w:val="ECCParagraph"/>
          <w:noProof/>
        </w:rPr>
        <w:t xml:space="preserve">It should be further noted that it is expected that the majority proportion of </w:t>
      </w:r>
      <w:r w:rsidR="00A704F6" w:rsidRPr="006D6727">
        <w:rPr>
          <w:rStyle w:val="ECCParagraph"/>
          <w:noProof/>
        </w:rPr>
        <w:t>T</w:t>
      </w:r>
      <w:r w:rsidRPr="006D6727">
        <w:rPr>
          <w:rStyle w:val="ECCParagraph"/>
          <w:noProof/>
        </w:rPr>
        <w:t xml:space="preserve">LPRs will actually be installed </w:t>
      </w:r>
      <w:r w:rsidR="00A704F6" w:rsidRPr="006D6727">
        <w:rPr>
          <w:rStyle w:val="ECCParagraph"/>
          <w:noProof/>
        </w:rPr>
        <w:t>in tanks which are</w:t>
      </w:r>
      <w:r w:rsidRPr="006D6727">
        <w:rPr>
          <w:rStyle w:val="ECCParagraph"/>
          <w:noProof/>
        </w:rPr>
        <w:t xml:space="preserve"> </w:t>
      </w:r>
      <w:r w:rsidR="00A704F6" w:rsidRPr="006D6727">
        <w:rPr>
          <w:rStyle w:val="ECCParagraph"/>
          <w:noProof/>
        </w:rPr>
        <w:t xml:space="preserve">located indoors </w:t>
      </w:r>
      <w:r w:rsidRPr="006D6727">
        <w:rPr>
          <w:rStyle w:val="ECCParagraph"/>
          <w:noProof/>
        </w:rPr>
        <w:t>or at least</w:t>
      </w:r>
      <w:r w:rsidR="00A704F6" w:rsidRPr="006D6727">
        <w:rPr>
          <w:rStyle w:val="ECCParagraph"/>
          <w:noProof/>
        </w:rPr>
        <w:t xml:space="preserve"> in tanks </w:t>
      </w:r>
      <w:r w:rsidR="00316C48" w:rsidRPr="006D6727">
        <w:rPr>
          <w:rStyle w:val="ECCParagraph"/>
          <w:noProof/>
        </w:rPr>
        <w:t xml:space="preserve">located </w:t>
      </w:r>
      <w:r w:rsidRPr="006D6727">
        <w:rPr>
          <w:rStyle w:val="ECCParagraph"/>
          <w:noProof/>
        </w:rPr>
        <w:t>inside roofed industrial areas</w:t>
      </w:r>
      <w:r w:rsidR="00A704F6" w:rsidRPr="006D6727">
        <w:rPr>
          <w:rStyle w:val="ECCParagraph"/>
          <w:noProof/>
        </w:rPr>
        <w:t>.</w:t>
      </w:r>
      <w:r w:rsidR="00F7042A" w:rsidRPr="006D6727">
        <w:rPr>
          <w:rStyle w:val="ECCParagraph"/>
          <w:noProof/>
        </w:rPr>
        <w:t xml:space="preserve"> </w:t>
      </w:r>
      <w:r w:rsidRPr="006D6727">
        <w:rPr>
          <w:rStyle w:val="ECCParagraph"/>
          <w:noProof/>
        </w:rPr>
        <w:t>Less than 10</w:t>
      </w:r>
      <w:r w:rsidR="00F800A2">
        <w:rPr>
          <w:rStyle w:val="ECCParagraph"/>
          <w:noProof/>
        </w:rPr>
        <w:t>%</w:t>
      </w:r>
      <w:r w:rsidRPr="006D6727">
        <w:rPr>
          <w:rStyle w:val="ECCParagraph"/>
          <w:noProof/>
        </w:rPr>
        <w:t xml:space="preserve"> of all </w:t>
      </w:r>
      <w:r w:rsidR="00F7042A" w:rsidRPr="006D6727">
        <w:rPr>
          <w:rStyle w:val="ECCParagraph"/>
          <w:noProof/>
        </w:rPr>
        <w:t>tanks with an installed T</w:t>
      </w:r>
      <w:r w:rsidRPr="006D6727">
        <w:rPr>
          <w:rStyle w:val="ECCParagraph"/>
          <w:noProof/>
        </w:rPr>
        <w:t xml:space="preserve">LPR </w:t>
      </w:r>
      <w:r w:rsidR="00F7042A" w:rsidRPr="006D6727">
        <w:rPr>
          <w:rStyle w:val="ECCParagraph"/>
          <w:noProof/>
        </w:rPr>
        <w:t xml:space="preserve">device </w:t>
      </w:r>
      <w:r w:rsidRPr="006D6727">
        <w:rPr>
          <w:rStyle w:val="ECCParagraph"/>
          <w:noProof/>
        </w:rPr>
        <w:t xml:space="preserve">are </w:t>
      </w:r>
      <w:r w:rsidR="00DD1CCF" w:rsidRPr="006D6727">
        <w:rPr>
          <w:rStyle w:val="ECCParagraph"/>
          <w:noProof/>
        </w:rPr>
        <w:t>reckoned</w:t>
      </w:r>
      <w:r w:rsidRPr="006D6727">
        <w:rPr>
          <w:rStyle w:val="ECCParagraph"/>
          <w:noProof/>
        </w:rPr>
        <w:t xml:space="preserve"> to be</w:t>
      </w:r>
      <w:r w:rsidR="00F7042A" w:rsidRPr="006D6727">
        <w:rPr>
          <w:rStyle w:val="ECCParagraph"/>
          <w:noProof/>
        </w:rPr>
        <w:t xml:space="preserve"> located</w:t>
      </w:r>
      <w:r w:rsidRPr="006D6727">
        <w:rPr>
          <w:rStyle w:val="ECCParagraph"/>
          <w:noProof/>
        </w:rPr>
        <w:t xml:space="preserve"> in an outdoor environment.</w:t>
      </w:r>
    </w:p>
    <w:p w14:paraId="25DCADE8" w14:textId="66B59C64" w:rsidR="00DD1CCF" w:rsidRPr="006D6727" w:rsidRDefault="00DD1CCF" w:rsidP="000C6778">
      <w:pPr>
        <w:rPr>
          <w:rStyle w:val="ECCHLyellow"/>
          <w:noProof/>
        </w:rPr>
      </w:pPr>
      <w:r w:rsidRPr="006D6727">
        <w:rPr>
          <w:rStyle w:val="ECCParagraph"/>
          <w:noProof/>
        </w:rPr>
        <w:t>Therefore, i</w:t>
      </w:r>
      <w:r w:rsidR="00F7042A" w:rsidRPr="006D6727">
        <w:rPr>
          <w:rStyle w:val="ECCParagraph"/>
          <w:noProof/>
        </w:rPr>
        <w:t>n addition to the shielding of the tank environment also the wall attenuation of the surrounding building can be taken into account in approximately 90</w:t>
      </w:r>
      <w:r w:rsidR="00F800A2">
        <w:rPr>
          <w:rStyle w:val="ECCParagraph"/>
          <w:noProof/>
        </w:rPr>
        <w:t>%</w:t>
      </w:r>
      <w:r w:rsidR="00F7042A" w:rsidRPr="006D6727">
        <w:rPr>
          <w:rStyle w:val="ECCParagraph"/>
          <w:noProof/>
        </w:rPr>
        <w:t xml:space="preserve"> of all cases. However, due to the high shielding of the tank structures</w:t>
      </w:r>
      <w:r w:rsidRPr="006D6727">
        <w:rPr>
          <w:rStyle w:val="ECCParagraph"/>
          <w:noProof/>
        </w:rPr>
        <w:t>,</w:t>
      </w:r>
      <w:r w:rsidR="00F7042A" w:rsidRPr="006D6727">
        <w:rPr>
          <w:rStyle w:val="ECCParagraph"/>
          <w:noProof/>
        </w:rPr>
        <w:t xml:space="preserve"> the inclusion </w:t>
      </w:r>
      <w:r w:rsidR="00316C48" w:rsidRPr="006D6727">
        <w:rPr>
          <w:rStyle w:val="ECCParagraph"/>
          <w:noProof/>
        </w:rPr>
        <w:t xml:space="preserve">of an additional wall attenuation </w:t>
      </w:r>
      <w:r w:rsidRPr="006D6727">
        <w:rPr>
          <w:rStyle w:val="ECCParagraph"/>
          <w:noProof/>
        </w:rPr>
        <w:t xml:space="preserve">may be </w:t>
      </w:r>
      <w:r w:rsidR="009225E7" w:rsidRPr="006D6727">
        <w:rPr>
          <w:rStyle w:val="ECCParagraph"/>
          <w:noProof/>
        </w:rPr>
        <w:t xml:space="preserve">only </w:t>
      </w:r>
      <w:r w:rsidRPr="006D6727">
        <w:rPr>
          <w:rStyle w:val="ECCParagraph"/>
          <w:noProof/>
        </w:rPr>
        <w:t>of a minor consequence to the overall interference impact to other radio services. I</w:t>
      </w:r>
      <w:r w:rsidR="000C6778" w:rsidRPr="006D6727">
        <w:rPr>
          <w:rStyle w:val="ECCParagraph"/>
          <w:noProof/>
        </w:rPr>
        <w:t xml:space="preserve">n order to </w:t>
      </w:r>
      <w:r w:rsidRPr="006D6727">
        <w:rPr>
          <w:rStyle w:val="ECCParagraph"/>
          <w:noProof/>
        </w:rPr>
        <w:t>underline</w:t>
      </w:r>
      <w:r w:rsidR="000C6778" w:rsidRPr="006D6727">
        <w:rPr>
          <w:rStyle w:val="ECCParagraph"/>
          <w:noProof/>
        </w:rPr>
        <w:t xml:space="preserve"> the philosophy of worst-case simulations of </w:t>
      </w:r>
      <w:r w:rsidRPr="006D6727">
        <w:rPr>
          <w:rStyle w:val="ECCParagraph"/>
          <w:noProof/>
        </w:rPr>
        <w:t>T</w:t>
      </w:r>
      <w:r w:rsidR="000C6778" w:rsidRPr="006D6727">
        <w:rPr>
          <w:rStyle w:val="ECCParagraph"/>
          <w:noProof/>
        </w:rPr>
        <w:t xml:space="preserve">LPR interference, </w:t>
      </w:r>
      <w:r w:rsidRPr="006D6727">
        <w:rPr>
          <w:rStyle w:val="ECCParagraph"/>
          <w:noProof/>
        </w:rPr>
        <w:t xml:space="preserve">the wall attenuation is proposed </w:t>
      </w:r>
      <w:r w:rsidR="003643D5" w:rsidRPr="006D6727">
        <w:rPr>
          <w:rStyle w:val="ECCParagraph"/>
          <w:noProof/>
        </w:rPr>
        <w:t xml:space="preserve">not </w:t>
      </w:r>
      <w:r w:rsidRPr="006D6727">
        <w:rPr>
          <w:rStyle w:val="ECCParagraph"/>
          <w:noProof/>
        </w:rPr>
        <w:t xml:space="preserve">to be taken into account </w:t>
      </w:r>
      <w:r w:rsidR="003643D5" w:rsidRPr="006D6727">
        <w:rPr>
          <w:rStyle w:val="ECCParagraph"/>
          <w:noProof/>
        </w:rPr>
        <w:t>in the MCL calculations.</w:t>
      </w:r>
    </w:p>
    <w:p w14:paraId="1E08612B" w14:textId="773E6A6E" w:rsidR="000C6778" w:rsidRPr="006D6727" w:rsidRDefault="00886BEB" w:rsidP="000C6778">
      <w:pPr>
        <w:rPr>
          <w:rStyle w:val="ECCParagraph"/>
          <w:noProof/>
        </w:rPr>
      </w:pPr>
      <w:r w:rsidRPr="006D6727">
        <w:rPr>
          <w:rStyle w:val="ECCParagraph"/>
          <w:noProof/>
        </w:rPr>
        <w:t>Likewise,</w:t>
      </w:r>
      <w:r w:rsidR="008B7DD1" w:rsidRPr="006D6727">
        <w:rPr>
          <w:rStyle w:val="ECCParagraph"/>
          <w:noProof/>
        </w:rPr>
        <w:t xml:space="preserve"> </w:t>
      </w:r>
      <w:r w:rsidR="000C6778" w:rsidRPr="006D6727">
        <w:rPr>
          <w:rStyle w:val="ECCParagraph"/>
          <w:noProof/>
        </w:rPr>
        <w:t>no additional natural shielding should be considered in the MCL calculations of this ECCReport, i.e. all MCL calculations shall be performed for the worst</w:t>
      </w:r>
      <w:r w:rsidR="00DB32E6" w:rsidRPr="006D6727">
        <w:rPr>
          <w:rStyle w:val="ECCParagraph"/>
          <w:noProof/>
        </w:rPr>
        <w:t>-</w:t>
      </w:r>
      <w:r w:rsidR="000C6778" w:rsidRPr="006D6727">
        <w:rPr>
          <w:rStyle w:val="ECCParagraph"/>
          <w:noProof/>
        </w:rPr>
        <w:t xml:space="preserve">case of </w:t>
      </w:r>
      <w:r w:rsidR="008B7DD1" w:rsidRPr="006D6727">
        <w:rPr>
          <w:rStyle w:val="ECCParagraph"/>
          <w:noProof/>
        </w:rPr>
        <w:t>T</w:t>
      </w:r>
      <w:r w:rsidR="000C6778" w:rsidRPr="006D6727">
        <w:rPr>
          <w:rStyle w:val="ECCParagraph"/>
          <w:noProof/>
        </w:rPr>
        <w:t xml:space="preserve">LPR </w:t>
      </w:r>
      <w:r w:rsidR="008B7DD1" w:rsidRPr="006D6727">
        <w:rPr>
          <w:rStyle w:val="ECCParagraph"/>
          <w:noProof/>
        </w:rPr>
        <w:t xml:space="preserve">installed in a tank </w:t>
      </w:r>
      <w:r w:rsidR="000C6778" w:rsidRPr="006D6727">
        <w:rPr>
          <w:rStyle w:val="ECCParagraph"/>
          <w:noProof/>
        </w:rPr>
        <w:t xml:space="preserve">being placed outdoors, with line-of-sight (LOS) conditions and without any natural shielding. As a result, all calculated interference impacts represent the most conservative estimates, which in many real-life scenarios will be further reduced due to aforementioned natural </w:t>
      </w:r>
      <w:r w:rsidR="008B7DD1" w:rsidRPr="006D6727">
        <w:rPr>
          <w:rStyle w:val="ECCParagraph"/>
          <w:noProof/>
        </w:rPr>
        <w:t xml:space="preserve">and/or wall </w:t>
      </w:r>
      <w:r w:rsidR="000C6778" w:rsidRPr="006D6727">
        <w:rPr>
          <w:rStyle w:val="ECCParagraph"/>
          <w:noProof/>
        </w:rPr>
        <w:t>shielding.</w:t>
      </w:r>
    </w:p>
    <w:p w14:paraId="428477D4" w14:textId="77777777" w:rsidR="001773C2" w:rsidRPr="006D6727" w:rsidRDefault="001773C2" w:rsidP="004E36C2">
      <w:pPr>
        <w:pStyle w:val="Heading4"/>
        <w:rPr>
          <w:noProof/>
        </w:rPr>
      </w:pPr>
      <w:bookmarkStart w:id="289" w:name="_Ref27486211"/>
      <w:bookmarkStart w:id="290" w:name="_Toc84325289"/>
      <w:r w:rsidRPr="006D6727">
        <w:rPr>
          <w:noProof/>
        </w:rPr>
        <w:t>Interference scenarios</w:t>
      </w:r>
      <w:bookmarkEnd w:id="289"/>
      <w:bookmarkEnd w:id="290"/>
    </w:p>
    <w:p w14:paraId="6EF5C53F" w14:textId="1A72581C" w:rsidR="00DF23B3" w:rsidRPr="006D6727" w:rsidRDefault="00DF23B3" w:rsidP="00E33DB6">
      <w:pPr>
        <w:rPr>
          <w:noProof/>
        </w:rPr>
      </w:pPr>
      <w:r w:rsidRPr="006D6727">
        <w:rPr>
          <w:noProof/>
        </w:rPr>
        <w:t xml:space="preserve">The most common mounting scenario of a TLPR is by means of a flange or a screw-in fitting on a top of a tank with the antenna </w:t>
      </w:r>
      <w:r w:rsidR="00B343B4" w:rsidRPr="006D6727">
        <w:rPr>
          <w:noProof/>
        </w:rPr>
        <w:t xml:space="preserve">located inside the tank and </w:t>
      </w:r>
      <w:r w:rsidRPr="006D6727">
        <w:rPr>
          <w:noProof/>
        </w:rPr>
        <w:t xml:space="preserve">pointing downwards towards the material to be measured (see </w:t>
      </w:r>
      <w:r w:rsidRPr="006D6727">
        <w:rPr>
          <w:noProof/>
        </w:rPr>
        <w:fldChar w:fldCharType="begin"/>
      </w:r>
      <w:r w:rsidRPr="006D6727">
        <w:rPr>
          <w:noProof/>
        </w:rPr>
        <w:instrText xml:space="preserve"> REF _Ref9430286 \h </w:instrText>
      </w:r>
      <w:r w:rsidRPr="006D6727">
        <w:rPr>
          <w:noProof/>
        </w:rPr>
      </w:r>
      <w:r w:rsidRPr="006D6727">
        <w:rPr>
          <w:noProof/>
        </w:rPr>
        <w:fldChar w:fldCharType="separate"/>
      </w:r>
      <w:r w:rsidR="0041125F" w:rsidRPr="006D6727">
        <w:rPr>
          <w:noProof/>
        </w:rPr>
        <w:t>Figure </w:t>
      </w:r>
      <w:r w:rsidR="0041125F">
        <w:rPr>
          <w:noProof/>
        </w:rPr>
        <w:t>50</w:t>
      </w:r>
      <w:r w:rsidRPr="006D6727">
        <w:rPr>
          <w:noProof/>
        </w:rPr>
        <w:fldChar w:fldCharType="end"/>
      </w:r>
      <w:r w:rsidR="00011163" w:rsidRPr="006D6727">
        <w:rPr>
          <w:noProof/>
        </w:rPr>
        <w:t xml:space="preserve"> or </w:t>
      </w:r>
      <w:r w:rsidR="00011163" w:rsidRPr="006D6727">
        <w:rPr>
          <w:noProof/>
        </w:rPr>
        <w:fldChar w:fldCharType="begin"/>
      </w:r>
      <w:r w:rsidR="00011163" w:rsidRPr="006D6727">
        <w:rPr>
          <w:noProof/>
        </w:rPr>
        <w:instrText xml:space="preserve"> REF _Ref9505165 \h </w:instrText>
      </w:r>
      <w:r w:rsidR="00011163" w:rsidRPr="006D6727">
        <w:rPr>
          <w:noProof/>
        </w:rPr>
      </w:r>
      <w:r w:rsidR="00011163" w:rsidRPr="006D6727">
        <w:rPr>
          <w:noProof/>
        </w:rPr>
        <w:fldChar w:fldCharType="separate"/>
      </w:r>
      <w:r w:rsidR="0041125F" w:rsidRPr="006D6727">
        <w:rPr>
          <w:rStyle w:val="ECCParagraph"/>
          <w:noProof/>
        </w:rPr>
        <w:t>Figure </w:t>
      </w:r>
      <w:r w:rsidR="0041125F">
        <w:rPr>
          <w:rStyle w:val="ECCParagraph"/>
          <w:noProof/>
        </w:rPr>
        <w:t>51</w:t>
      </w:r>
      <w:r w:rsidR="00011163" w:rsidRPr="006D6727">
        <w:rPr>
          <w:noProof/>
        </w:rPr>
        <w:fldChar w:fldCharType="end"/>
      </w:r>
      <w:r w:rsidRPr="006D6727">
        <w:rPr>
          <w:noProof/>
        </w:rPr>
        <w:t xml:space="preserve">). </w:t>
      </w:r>
      <w:r w:rsidR="00011163" w:rsidRPr="006D6727">
        <w:rPr>
          <w:noProof/>
        </w:rPr>
        <w:t>Generally</w:t>
      </w:r>
      <w:r w:rsidR="00B343B4" w:rsidRPr="006D6727">
        <w:rPr>
          <w:noProof/>
        </w:rPr>
        <w:t>,</w:t>
      </w:r>
      <w:r w:rsidR="00011163" w:rsidRPr="006D6727">
        <w:rPr>
          <w:noProof/>
        </w:rPr>
        <w:t xml:space="preserve"> there are </w:t>
      </w:r>
      <w:r w:rsidR="00B343B4" w:rsidRPr="006D6727">
        <w:rPr>
          <w:noProof/>
        </w:rPr>
        <w:t>four sources of electromagnetic leakage which can be measured outside the tank</w:t>
      </w:r>
      <w:r w:rsidR="00754860" w:rsidRPr="006D6727">
        <w:rPr>
          <w:noProof/>
        </w:rPr>
        <w:t xml:space="preserve"> (</w:t>
      </w:r>
      <w:r w:rsidR="00CF70DD" w:rsidRPr="006D6727">
        <w:rPr>
          <w:noProof/>
        </w:rPr>
        <w:t xml:space="preserve">see </w:t>
      </w:r>
      <w:bookmarkStart w:id="291" w:name="_Hlk20129157"/>
      <w:r w:rsidR="00544304" w:rsidRPr="006D6727">
        <w:rPr>
          <w:noProof/>
        </w:rPr>
        <w:t>ETSI EN 302 372 V2.1.1</w:t>
      </w:r>
      <w:r w:rsidR="00544304">
        <w:rPr>
          <w:noProof/>
        </w:rPr>
        <w:t xml:space="preserve">, annex G </w:t>
      </w:r>
      <w:r w:rsidR="00CF70DD" w:rsidRPr="006D6727">
        <w:rPr>
          <w:rStyle w:val="ECCParagraph"/>
          <w:noProof/>
        </w:rPr>
        <w:fldChar w:fldCharType="begin"/>
      </w:r>
      <w:r w:rsidR="00CF70DD" w:rsidRPr="006D6727">
        <w:rPr>
          <w:rStyle w:val="ECCParagraph"/>
          <w:noProof/>
        </w:rPr>
        <w:instrText xml:space="preserve"> REF  ETSITR302372 \h \w  \* MERGEFORMAT </w:instrText>
      </w:r>
      <w:r w:rsidR="00CF70DD" w:rsidRPr="006D6727">
        <w:rPr>
          <w:rStyle w:val="ECCParagraph"/>
          <w:noProof/>
        </w:rPr>
      </w:r>
      <w:r w:rsidR="00CF70DD" w:rsidRPr="006D6727">
        <w:rPr>
          <w:rStyle w:val="ECCParagraph"/>
          <w:noProof/>
        </w:rPr>
        <w:fldChar w:fldCharType="separate"/>
      </w:r>
      <w:r w:rsidR="004F49F9">
        <w:rPr>
          <w:rStyle w:val="ECCParagraph"/>
          <w:noProof/>
        </w:rPr>
        <w:t>[7]</w:t>
      </w:r>
      <w:r w:rsidR="00CF70DD" w:rsidRPr="006D6727">
        <w:rPr>
          <w:rStyle w:val="ECCParagraph"/>
          <w:noProof/>
        </w:rPr>
        <w:fldChar w:fldCharType="end"/>
      </w:r>
      <w:bookmarkEnd w:id="291"/>
      <w:r w:rsidR="00CF70DD" w:rsidRPr="006D6727">
        <w:rPr>
          <w:noProof/>
        </w:rPr>
        <w:t>).</w:t>
      </w:r>
    </w:p>
    <w:p w14:paraId="659CFBCB" w14:textId="77777777" w:rsidR="00B343B4" w:rsidRPr="006D6727" w:rsidRDefault="00B343B4" w:rsidP="002B6395">
      <w:pPr>
        <w:pStyle w:val="ECCLetteredList"/>
        <w:ind w:left="340"/>
        <w:rPr>
          <w:noProof/>
          <w:lang w:val="en-GB"/>
        </w:rPr>
      </w:pPr>
      <w:r w:rsidRPr="006D6727">
        <w:rPr>
          <w:noProof/>
          <w:lang w:val="en-GB"/>
        </w:rPr>
        <w:t>Leakage from the TLPR enclosure including cabling and accessories. All leakage signals caused by  this mechanism occur at frequencies well below the Radar frequency. They are usually covered by standard EMC tests.</w:t>
      </w:r>
    </w:p>
    <w:p w14:paraId="527488F7" w14:textId="77777777" w:rsidR="00B343B4" w:rsidRPr="006D6727" w:rsidRDefault="000521AE" w:rsidP="002B6395">
      <w:pPr>
        <w:pStyle w:val="ECCLetteredList"/>
        <w:ind w:left="340"/>
        <w:rPr>
          <w:noProof/>
          <w:lang w:val="en-GB"/>
        </w:rPr>
      </w:pPr>
      <w:r w:rsidRPr="006D6727">
        <w:rPr>
          <w:noProof/>
          <w:lang w:val="en-GB"/>
        </w:rPr>
        <w:t xml:space="preserve">Leakage of the Radar signal from a nonideally sealed mounting flange of the TLPR. Typically, this is the dominating part of the total leakage for the Radar frequency and its harmonics as there can be comparatively strong fields close to the antenna. If the flange gasket is not ideally sealed against electromagnetic radiation </w:t>
      </w:r>
      <w:r w:rsidR="000C44C9" w:rsidRPr="006D6727">
        <w:rPr>
          <w:noProof/>
          <w:lang w:val="en-GB"/>
        </w:rPr>
        <w:t>this</w:t>
      </w:r>
      <w:r w:rsidRPr="006D6727">
        <w:rPr>
          <w:noProof/>
          <w:lang w:val="en-GB"/>
        </w:rPr>
        <w:t xml:space="preserve"> leakage </w:t>
      </w:r>
      <w:r w:rsidR="000C44C9" w:rsidRPr="006D6727">
        <w:rPr>
          <w:noProof/>
          <w:lang w:val="en-GB"/>
        </w:rPr>
        <w:t xml:space="preserve">mechanism </w:t>
      </w:r>
      <w:r w:rsidRPr="006D6727">
        <w:rPr>
          <w:noProof/>
          <w:lang w:val="en-GB"/>
        </w:rPr>
        <w:t>may occur.</w:t>
      </w:r>
    </w:p>
    <w:p w14:paraId="5BB74CFC" w14:textId="77777777" w:rsidR="00896F31" w:rsidRPr="006D6727" w:rsidRDefault="000C44C9" w:rsidP="002B6395">
      <w:pPr>
        <w:pStyle w:val="ECCLetteredList"/>
        <w:ind w:left="340"/>
        <w:rPr>
          <w:noProof/>
          <w:lang w:val="en-GB"/>
        </w:rPr>
      </w:pPr>
      <w:r w:rsidRPr="006D6727">
        <w:rPr>
          <w:rStyle w:val="ECCParagraph"/>
          <w:noProof/>
        </w:rPr>
        <w:t>Leakage through other flanges</w:t>
      </w:r>
      <w:r w:rsidR="00592A58" w:rsidRPr="006D6727">
        <w:rPr>
          <w:rStyle w:val="ECCParagraph"/>
          <w:noProof/>
        </w:rPr>
        <w:t>, sight glasses or screw-in fittings</w:t>
      </w:r>
      <w:r w:rsidRPr="006D6727">
        <w:rPr>
          <w:rStyle w:val="ECCParagraph"/>
          <w:noProof/>
        </w:rPr>
        <w:t xml:space="preserve"> on the tank</w:t>
      </w:r>
      <w:r w:rsidR="00592A58" w:rsidRPr="006D6727">
        <w:rPr>
          <w:rStyle w:val="ECCParagraph"/>
          <w:noProof/>
        </w:rPr>
        <w:t xml:space="preserve"> which are not properly sealed against </w:t>
      </w:r>
      <w:r w:rsidR="00885BAE" w:rsidRPr="006D6727">
        <w:rPr>
          <w:rStyle w:val="ECCParagraph"/>
          <w:noProof/>
        </w:rPr>
        <w:t>electromagnetic</w:t>
      </w:r>
      <w:r w:rsidR="00592A58" w:rsidRPr="006D6727">
        <w:rPr>
          <w:rStyle w:val="ECCParagraph"/>
          <w:noProof/>
        </w:rPr>
        <w:t xml:space="preserve"> leakage</w:t>
      </w:r>
      <w:r w:rsidRPr="006D6727">
        <w:rPr>
          <w:rStyle w:val="ECCParagraph"/>
          <w:noProof/>
        </w:rPr>
        <w:t xml:space="preserve">. The </w:t>
      </w:r>
      <w:r w:rsidR="00CC06E2" w:rsidRPr="006D6727">
        <w:rPr>
          <w:rStyle w:val="ECCParagraph"/>
          <w:noProof/>
        </w:rPr>
        <w:t>R</w:t>
      </w:r>
      <w:r w:rsidRPr="006D6727">
        <w:rPr>
          <w:rStyle w:val="ECCParagraph"/>
          <w:noProof/>
        </w:rPr>
        <w:t xml:space="preserve">adar </w:t>
      </w:r>
      <w:r w:rsidR="00CC06E2" w:rsidRPr="006D6727">
        <w:rPr>
          <w:rStyle w:val="ECCParagraph"/>
          <w:noProof/>
        </w:rPr>
        <w:t>signal</w:t>
      </w:r>
      <w:r w:rsidRPr="006D6727">
        <w:rPr>
          <w:rStyle w:val="ECCParagraph"/>
          <w:noProof/>
        </w:rPr>
        <w:t xml:space="preserve"> will </w:t>
      </w:r>
      <w:r w:rsidR="00592A58" w:rsidRPr="006D6727">
        <w:rPr>
          <w:rStyle w:val="ECCParagraph"/>
          <w:noProof/>
        </w:rPr>
        <w:t>suffer from interreflection</w:t>
      </w:r>
      <w:r w:rsidRPr="006D6727">
        <w:rPr>
          <w:rStyle w:val="ECCParagraph"/>
          <w:noProof/>
        </w:rPr>
        <w:t xml:space="preserve"> inside the tank</w:t>
      </w:r>
      <w:r w:rsidR="00592A58" w:rsidRPr="006D6727">
        <w:rPr>
          <w:rStyle w:val="ECCParagraph"/>
          <w:noProof/>
        </w:rPr>
        <w:t xml:space="preserve"> especially in metallic tanks.</w:t>
      </w:r>
      <w:r w:rsidRPr="006D6727">
        <w:rPr>
          <w:rStyle w:val="ECCParagraph"/>
          <w:noProof/>
        </w:rPr>
        <w:t xml:space="preserve"> </w:t>
      </w:r>
      <w:r w:rsidR="00592A58" w:rsidRPr="006D6727">
        <w:rPr>
          <w:rStyle w:val="ECCParagraph"/>
          <w:noProof/>
        </w:rPr>
        <w:t xml:space="preserve">It will </w:t>
      </w:r>
      <w:r w:rsidR="00885BAE" w:rsidRPr="006D6727">
        <w:rPr>
          <w:rStyle w:val="ECCParagraph"/>
          <w:noProof/>
        </w:rPr>
        <w:t xml:space="preserve">additionally </w:t>
      </w:r>
      <w:r w:rsidRPr="006D6727">
        <w:rPr>
          <w:rStyle w:val="ECCParagraph"/>
          <w:noProof/>
        </w:rPr>
        <w:t xml:space="preserve">be scattered </w:t>
      </w:r>
      <w:r w:rsidR="00592A58" w:rsidRPr="006D6727">
        <w:rPr>
          <w:rStyle w:val="ECCParagraph"/>
          <w:noProof/>
        </w:rPr>
        <w:t xml:space="preserve">and, in the end, </w:t>
      </w:r>
      <w:r w:rsidRPr="006D6727">
        <w:rPr>
          <w:rStyle w:val="ECCParagraph"/>
          <w:noProof/>
        </w:rPr>
        <w:t xml:space="preserve">absorbed by the </w:t>
      </w:r>
      <w:r w:rsidR="00592A58" w:rsidRPr="006D6727">
        <w:rPr>
          <w:rStyle w:val="ECCParagraph"/>
          <w:noProof/>
        </w:rPr>
        <w:t>material inside the tank or the tank</w:t>
      </w:r>
      <w:r w:rsidR="00EC5F4F" w:rsidRPr="006D6727">
        <w:rPr>
          <w:rStyle w:val="ECCParagraph"/>
          <w:noProof/>
        </w:rPr>
        <w:t xml:space="preserve"> </w:t>
      </w:r>
      <w:r w:rsidR="00592A58" w:rsidRPr="006D6727">
        <w:rPr>
          <w:rStyle w:val="ECCParagraph"/>
          <w:noProof/>
        </w:rPr>
        <w:t>shell itself</w:t>
      </w:r>
      <w:r w:rsidRPr="006D6727">
        <w:rPr>
          <w:rStyle w:val="ECCParagraph"/>
          <w:noProof/>
        </w:rPr>
        <w:t xml:space="preserve">. </w:t>
      </w:r>
      <w:r w:rsidR="00EC5F4F" w:rsidRPr="006D6727">
        <w:rPr>
          <w:rStyle w:val="ECCParagraph"/>
          <w:noProof/>
        </w:rPr>
        <w:t>C</w:t>
      </w:r>
      <w:r w:rsidR="00592A58" w:rsidRPr="006D6727">
        <w:rPr>
          <w:rStyle w:val="ECCParagraph"/>
          <w:noProof/>
        </w:rPr>
        <w:t xml:space="preserve">aused by this mechanism it is very likely that other </w:t>
      </w:r>
      <w:r w:rsidR="00885BAE" w:rsidRPr="006D6727">
        <w:rPr>
          <w:rStyle w:val="ECCParagraph"/>
          <w:noProof/>
        </w:rPr>
        <w:t>tank openings</w:t>
      </w:r>
      <w:r w:rsidR="00EC5F4F" w:rsidRPr="006D6727">
        <w:rPr>
          <w:rStyle w:val="ECCParagraph"/>
          <w:noProof/>
        </w:rPr>
        <w:t>, if present,</w:t>
      </w:r>
      <w:r w:rsidR="00592A58" w:rsidRPr="006D6727">
        <w:rPr>
          <w:rStyle w:val="ECCParagraph"/>
          <w:noProof/>
        </w:rPr>
        <w:t xml:space="preserve"> can be a source of leakage. </w:t>
      </w:r>
      <w:r w:rsidR="00EC5F4F" w:rsidRPr="006D6727">
        <w:rPr>
          <w:rStyle w:val="ECCParagraph"/>
          <w:noProof/>
        </w:rPr>
        <w:t xml:space="preserve">However, </w:t>
      </w:r>
      <w:r w:rsidR="00896F31" w:rsidRPr="006D6727">
        <w:rPr>
          <w:noProof/>
          <w:lang w:val="en-GB"/>
        </w:rPr>
        <w:t xml:space="preserve">the bigger the tank the less leakage will </w:t>
      </w:r>
      <w:r w:rsidR="00EC5F4F" w:rsidRPr="006D6727">
        <w:rPr>
          <w:noProof/>
          <w:lang w:val="en-GB"/>
        </w:rPr>
        <w:t xml:space="preserve">in fact </w:t>
      </w:r>
      <w:r w:rsidR="00896F31" w:rsidRPr="006D6727">
        <w:rPr>
          <w:noProof/>
          <w:lang w:val="en-GB"/>
        </w:rPr>
        <w:t xml:space="preserve">occur. This can be understood by a comparison </w:t>
      </w:r>
      <w:r w:rsidR="00EC5F4F" w:rsidRPr="006D6727">
        <w:rPr>
          <w:noProof/>
          <w:lang w:val="en-GB"/>
        </w:rPr>
        <w:t>of</w:t>
      </w:r>
      <w:r w:rsidR="00896F31" w:rsidRPr="006D6727">
        <w:rPr>
          <w:noProof/>
          <w:lang w:val="en-GB"/>
        </w:rPr>
        <w:t xml:space="preserve"> the areas of the flange gasket (as seen from inside the tank) with the total area </w:t>
      </w:r>
      <w:r w:rsidR="00896F31" w:rsidRPr="006D6727">
        <w:rPr>
          <w:rStyle w:val="ECCParagraph"/>
          <w:noProof/>
        </w:rPr>
        <w:t xml:space="preserve">of the </w:t>
      </w:r>
      <w:r w:rsidR="006E10C9" w:rsidRPr="006D6727">
        <w:rPr>
          <w:rStyle w:val="ECCParagraph"/>
          <w:rFonts w:eastAsia="Calibri"/>
          <w:noProof/>
        </w:rPr>
        <w:t>inner tank shell.</w:t>
      </w:r>
    </w:p>
    <w:p w14:paraId="221156E9" w14:textId="77777777" w:rsidR="00B343B4" w:rsidRPr="006D6727" w:rsidRDefault="00754860" w:rsidP="002B6395">
      <w:pPr>
        <w:pStyle w:val="ECCLetteredList"/>
        <w:ind w:left="340"/>
        <w:rPr>
          <w:noProof/>
          <w:lang w:val="en-GB"/>
        </w:rPr>
      </w:pPr>
      <w:r w:rsidRPr="006D6727">
        <w:rPr>
          <w:noProof/>
          <w:lang w:val="en-GB"/>
        </w:rPr>
        <w:t xml:space="preserve">Leakage through the tank wall. For a metal tank this </w:t>
      </w:r>
      <w:r w:rsidR="00587ED6" w:rsidRPr="006D6727">
        <w:rPr>
          <w:noProof/>
          <w:lang w:val="en-GB"/>
        </w:rPr>
        <w:t xml:space="preserve">effect </w:t>
      </w:r>
      <w:r w:rsidRPr="006D6727">
        <w:rPr>
          <w:noProof/>
          <w:lang w:val="en-GB"/>
        </w:rPr>
        <w:t>is negligible as the attenuation through a metal</w:t>
      </w:r>
      <w:r w:rsidR="00FB2159" w:rsidRPr="006D6727">
        <w:rPr>
          <w:noProof/>
          <w:lang w:val="en-GB"/>
        </w:rPr>
        <w:t>lic</w:t>
      </w:r>
      <w:r w:rsidRPr="006D6727">
        <w:rPr>
          <w:noProof/>
          <w:lang w:val="en-GB"/>
        </w:rPr>
        <w:t xml:space="preserve"> </w:t>
      </w:r>
      <w:r w:rsidR="00FB2159" w:rsidRPr="006D6727">
        <w:rPr>
          <w:noProof/>
          <w:lang w:val="en-GB"/>
        </w:rPr>
        <w:t xml:space="preserve">wall </w:t>
      </w:r>
      <w:r w:rsidRPr="006D6727">
        <w:rPr>
          <w:noProof/>
          <w:lang w:val="en-GB"/>
        </w:rPr>
        <w:t xml:space="preserve">is </w:t>
      </w:r>
      <w:r w:rsidR="00FB2159" w:rsidRPr="006D6727">
        <w:rPr>
          <w:noProof/>
          <w:lang w:val="en-GB"/>
        </w:rPr>
        <w:t>nearly infinity</w:t>
      </w:r>
      <w:r w:rsidRPr="006D6727">
        <w:rPr>
          <w:noProof/>
          <w:lang w:val="en-GB"/>
        </w:rPr>
        <w:t>. For a tank made of concrete</w:t>
      </w:r>
      <w:r w:rsidR="00676784" w:rsidRPr="006D6727">
        <w:rPr>
          <w:noProof/>
          <w:lang w:val="en-GB"/>
        </w:rPr>
        <w:t>,</w:t>
      </w:r>
      <w:r w:rsidRPr="006D6727">
        <w:rPr>
          <w:noProof/>
          <w:lang w:val="en-GB"/>
        </w:rPr>
        <w:t xml:space="preserve"> with or without reinforcement</w:t>
      </w:r>
      <w:r w:rsidR="00676784" w:rsidRPr="006D6727">
        <w:rPr>
          <w:noProof/>
          <w:lang w:val="en-GB"/>
        </w:rPr>
        <w:t>,</w:t>
      </w:r>
      <w:r w:rsidRPr="006D6727">
        <w:rPr>
          <w:noProof/>
          <w:lang w:val="en-GB"/>
        </w:rPr>
        <w:t xml:space="preserve"> the attenuation in the wall, according to experience</w:t>
      </w:r>
      <w:r w:rsidRPr="006D6727">
        <w:rPr>
          <w:rStyle w:val="ECCParagraph"/>
          <w:noProof/>
        </w:rPr>
        <w:t xml:space="preserve">, </w:t>
      </w:r>
      <w:r w:rsidR="00676784" w:rsidRPr="006D6727">
        <w:rPr>
          <w:rStyle w:val="ECCParagraph"/>
          <w:rFonts w:eastAsia="Calibri"/>
          <w:noProof/>
        </w:rPr>
        <w:t>is incredibly high.</w:t>
      </w:r>
      <w:r w:rsidRPr="006D6727">
        <w:rPr>
          <w:noProof/>
          <w:lang w:val="en-GB"/>
        </w:rPr>
        <w:t xml:space="preserve"> This is explained by the thickness of the material and </w:t>
      </w:r>
      <w:r w:rsidR="00676784" w:rsidRPr="006D6727">
        <w:rPr>
          <w:noProof/>
          <w:lang w:val="en-GB"/>
        </w:rPr>
        <w:t xml:space="preserve">thus </w:t>
      </w:r>
      <w:r w:rsidRPr="006D6727">
        <w:rPr>
          <w:noProof/>
          <w:lang w:val="en-GB"/>
        </w:rPr>
        <w:t xml:space="preserve">the high attenuation </w:t>
      </w:r>
      <w:r w:rsidR="00676784" w:rsidRPr="006D6727">
        <w:rPr>
          <w:noProof/>
          <w:lang w:val="en-GB"/>
        </w:rPr>
        <w:t xml:space="preserve">and in addition to that </w:t>
      </w:r>
      <w:r w:rsidRPr="006D6727">
        <w:rPr>
          <w:noProof/>
          <w:lang w:val="en-GB"/>
        </w:rPr>
        <w:t>the natural moisture content in</w:t>
      </w:r>
      <w:r w:rsidR="00676784" w:rsidRPr="006D6727">
        <w:rPr>
          <w:noProof/>
          <w:lang w:val="en-GB"/>
        </w:rPr>
        <w:t>side</w:t>
      </w:r>
      <w:r w:rsidRPr="006D6727">
        <w:rPr>
          <w:noProof/>
          <w:lang w:val="en-GB"/>
        </w:rPr>
        <w:t xml:space="preserve"> the concrete.</w:t>
      </w:r>
    </w:p>
    <w:p w14:paraId="0E3FE9B0" w14:textId="1767315F" w:rsidR="0008016D" w:rsidRPr="006D6727" w:rsidRDefault="0008016D" w:rsidP="0008016D">
      <w:pPr>
        <w:rPr>
          <w:rStyle w:val="ECCParagraph"/>
          <w:noProof/>
        </w:rPr>
      </w:pPr>
      <w:r w:rsidRPr="006D6727">
        <w:rPr>
          <w:rStyle w:val="ECCParagraph"/>
          <w:noProof/>
        </w:rPr>
        <w:t>According to experience with TLPR devices, the above-mentioned leakage mechanisms can be summarised in an overall frequency dependent mean tank shell attenuation. In order to conduct MCL calculations where the tank shell is considered as an additional attenuation it is proposed to use the extended building entry loss (BEL) model with probability P=0</w:t>
      </w:r>
      <w:r w:rsidR="00CF4994">
        <w:rPr>
          <w:rStyle w:val="ECCParagraph"/>
          <w:noProof/>
        </w:rPr>
        <w:t>.5</w:t>
      </w:r>
      <w:r w:rsidRPr="006D6727">
        <w:rPr>
          <w:rStyle w:val="ECCParagraph"/>
          <w:noProof/>
        </w:rPr>
        <w:t>, an elevation angle of 0° and 100</w:t>
      </w:r>
      <w:r w:rsidR="00F800A2">
        <w:rPr>
          <w:rStyle w:val="ECCParagraph"/>
          <w:noProof/>
        </w:rPr>
        <w:t>%</w:t>
      </w:r>
      <w:r w:rsidRPr="006D6727">
        <w:rPr>
          <w:rStyle w:val="ECCParagraph"/>
          <w:noProof/>
        </w:rPr>
        <w:t xml:space="preserve"> thermally efficient buildings. This approach is considered to be very conservative having the above-mentioned installation requirements in mind and thus it follows the worst-case nature of MCL calculations.</w:t>
      </w:r>
    </w:p>
    <w:p w14:paraId="44F4AB87" w14:textId="77777777" w:rsidR="00457056" w:rsidRPr="006D6727" w:rsidRDefault="00457056" w:rsidP="00E33DB6">
      <w:pPr>
        <w:rPr>
          <w:rStyle w:val="ECCParagraph"/>
          <w:noProof/>
        </w:rPr>
      </w:pPr>
      <w:r w:rsidRPr="006D6727">
        <w:rPr>
          <w:rStyle w:val="ECCParagraph"/>
          <w:noProof/>
        </w:rPr>
        <w:t xml:space="preserve">The scenario </w:t>
      </w:r>
      <w:r w:rsidR="005B2B2B" w:rsidRPr="006D6727">
        <w:rPr>
          <w:rStyle w:val="ECCParagraph"/>
          <w:noProof/>
        </w:rPr>
        <w:t xml:space="preserve">of a </w:t>
      </w:r>
      <w:r w:rsidRPr="006D6727">
        <w:rPr>
          <w:rStyle w:val="ECCParagraph"/>
          <w:noProof/>
        </w:rPr>
        <w:t xml:space="preserve">tank </w:t>
      </w:r>
      <w:r w:rsidR="00E112A1" w:rsidRPr="006D6727">
        <w:rPr>
          <w:rStyle w:val="ECCParagraph"/>
          <w:noProof/>
        </w:rPr>
        <w:t xml:space="preserve">located </w:t>
      </w:r>
      <w:r w:rsidRPr="006D6727">
        <w:rPr>
          <w:rStyle w:val="ECCParagraph"/>
          <w:noProof/>
        </w:rPr>
        <w:t>inside a building shall not be considered. For worst</w:t>
      </w:r>
      <w:r w:rsidR="00DB32E6" w:rsidRPr="006D6727">
        <w:rPr>
          <w:rStyle w:val="ECCParagraph"/>
          <w:noProof/>
        </w:rPr>
        <w:t>-</w:t>
      </w:r>
      <w:r w:rsidRPr="006D6727">
        <w:rPr>
          <w:rStyle w:val="ECCParagraph"/>
          <w:noProof/>
        </w:rPr>
        <w:t xml:space="preserve">case aggregation and probabilistic effects all tanks shall be located </w:t>
      </w:r>
      <w:r w:rsidR="00680EDF" w:rsidRPr="006D6727">
        <w:rPr>
          <w:rStyle w:val="ECCParagraph"/>
          <w:noProof/>
        </w:rPr>
        <w:t xml:space="preserve">solely </w:t>
      </w:r>
      <w:r w:rsidRPr="006D6727">
        <w:rPr>
          <w:rStyle w:val="ECCParagraph"/>
          <w:noProof/>
        </w:rPr>
        <w:t>outdoors.</w:t>
      </w:r>
    </w:p>
    <w:p w14:paraId="7965226C" w14:textId="77777777" w:rsidR="003A6973" w:rsidRPr="006D6727" w:rsidRDefault="0078591E" w:rsidP="008E11E2">
      <w:pPr>
        <w:pStyle w:val="ECCFiguregraphcentered"/>
        <w:rPr>
          <w:lang w:val="en-GB"/>
        </w:rPr>
      </w:pPr>
      <w:r w:rsidRPr="006D6727">
        <w:drawing>
          <wp:inline distT="0" distB="0" distL="0" distR="0" wp14:anchorId="7749EB3F" wp14:editId="69D2C752">
            <wp:extent cx="6120765" cy="400030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6120765" cy="4000305"/>
                    </a:xfrm>
                    <a:prstGeom prst="rect">
                      <a:avLst/>
                    </a:prstGeom>
                  </pic:spPr>
                </pic:pic>
              </a:graphicData>
            </a:graphic>
          </wp:inline>
        </w:drawing>
      </w:r>
    </w:p>
    <w:p w14:paraId="37E674E8" w14:textId="6976DBD8" w:rsidR="00F159BC" w:rsidRDefault="00F159BC" w:rsidP="00F159BC">
      <w:pPr>
        <w:pStyle w:val="Caption"/>
        <w:rPr>
          <w:noProof/>
          <w:lang w:val="en-GB"/>
        </w:rPr>
      </w:pPr>
      <w:bookmarkStart w:id="292" w:name="_Ref53500934"/>
      <w:r w:rsidRPr="006D6727">
        <w:rPr>
          <w:noProof/>
          <w:lang w:val="en-GB"/>
        </w:rPr>
        <w:t>Figure</w:t>
      </w:r>
      <w:r w:rsidR="00F13B2E" w:rsidRPr="006D6727">
        <w:rPr>
          <w:noProof/>
          <w:lang w:val="en-GB"/>
        </w:rPr>
        <w:t> </w:t>
      </w:r>
      <w:r w:rsidR="008E09A5" w:rsidRPr="006D6727">
        <w:rPr>
          <w:noProof/>
          <w:lang w:val="en-GB"/>
        </w:rPr>
        <w:fldChar w:fldCharType="begin"/>
      </w:r>
      <w:r w:rsidR="008E09A5" w:rsidRPr="006D6727">
        <w:rPr>
          <w:noProof/>
          <w:lang w:val="en-GB"/>
        </w:rPr>
        <w:instrText xml:space="preserve"> SEQ Figure \* ARABIC </w:instrText>
      </w:r>
      <w:r w:rsidR="008E09A5" w:rsidRPr="006D6727">
        <w:rPr>
          <w:noProof/>
          <w:lang w:val="en-GB"/>
        </w:rPr>
        <w:fldChar w:fldCharType="separate"/>
      </w:r>
      <w:r w:rsidR="004F49F9">
        <w:rPr>
          <w:noProof/>
          <w:lang w:val="en-GB"/>
        </w:rPr>
        <w:t>52</w:t>
      </w:r>
      <w:r w:rsidR="008E09A5" w:rsidRPr="006D6727">
        <w:rPr>
          <w:noProof/>
          <w:lang w:val="en-GB"/>
        </w:rPr>
        <w:fldChar w:fldCharType="end"/>
      </w:r>
      <w:bookmarkEnd w:id="292"/>
      <w:r w:rsidRPr="006D6727">
        <w:rPr>
          <w:noProof/>
          <w:lang w:val="en-GB"/>
        </w:rPr>
        <w:t>: Worst-case interference scenarios for TLPR along horizontal terrestrial and space-based paths</w:t>
      </w:r>
    </w:p>
    <w:p w14:paraId="1F1FC2DF" w14:textId="3B9C795E" w:rsidR="00CE066C" w:rsidRPr="00CE066C" w:rsidRDefault="00CE066C" w:rsidP="00CE066C">
      <w:r>
        <w:fldChar w:fldCharType="begin"/>
      </w:r>
      <w:r>
        <w:instrText xml:space="preserve"> REF _Ref53500934 \h </w:instrText>
      </w:r>
      <w:r>
        <w:fldChar w:fldCharType="separate"/>
      </w:r>
      <w:r w:rsidR="0041125F" w:rsidRPr="006D6727">
        <w:rPr>
          <w:noProof/>
        </w:rPr>
        <w:t>Figure </w:t>
      </w:r>
      <w:r w:rsidR="0041125F">
        <w:rPr>
          <w:noProof/>
        </w:rPr>
        <w:t>52</w:t>
      </w:r>
      <w:r>
        <w:fldChar w:fldCharType="end"/>
      </w:r>
      <w:r>
        <w:t xml:space="preserve"> shows the assumed worst-case scenario for tank level probing radars towards space-based and terrestrial victims.</w:t>
      </w:r>
    </w:p>
    <w:p w14:paraId="2083AFA4" w14:textId="1EFCF9BD" w:rsidR="00E53B7C" w:rsidRDefault="00E53B7C" w:rsidP="00E53B7C">
      <w:pPr>
        <w:rPr>
          <w:rStyle w:val="ECCParagraph"/>
        </w:rPr>
      </w:pPr>
      <w:r>
        <w:rPr>
          <w:rStyle w:val="ECCParagraph"/>
        </w:rPr>
        <w:t>For Fixed Service links</w:t>
      </w:r>
      <w:r w:rsidR="00CE066C">
        <w:rPr>
          <w:rStyle w:val="ECCParagraph"/>
        </w:rPr>
        <w:t xml:space="preserve"> however</w:t>
      </w:r>
      <w:r>
        <w:rPr>
          <w:rStyle w:val="ECCParagraph"/>
        </w:rPr>
        <w:t xml:space="preserve">, dedicated interference scenarios have been developed describing a typical </w:t>
      </w:r>
      <w:r w:rsidR="00CE066C">
        <w:rPr>
          <w:rStyle w:val="ECCParagraph"/>
        </w:rPr>
        <w:t>geometry</w:t>
      </w:r>
      <w:r>
        <w:rPr>
          <w:rStyle w:val="ECCParagraph"/>
        </w:rPr>
        <w:t xml:space="preserve"> where </w:t>
      </w:r>
      <w:r w:rsidR="00A46FDC">
        <w:rPr>
          <w:rStyle w:val="ECCParagraph"/>
        </w:rPr>
        <w:t>a</w:t>
      </w:r>
      <w:r>
        <w:rPr>
          <w:rStyle w:val="ECCParagraph"/>
        </w:rPr>
        <w:t xml:space="preserve"> Fixed Service transmitter attached to a light pole is linked to a receiver located on top of a building and vice versa (see </w:t>
      </w:r>
      <w:r w:rsidR="00193400">
        <w:rPr>
          <w:rStyle w:val="ECCParagraph"/>
        </w:rPr>
        <w:fldChar w:fldCharType="begin"/>
      </w:r>
      <w:r w:rsidR="00193400">
        <w:rPr>
          <w:rStyle w:val="ECCParagraph"/>
        </w:rPr>
        <w:instrText xml:space="preserve"> REF _Ref51762001 \h </w:instrText>
      </w:r>
      <w:r w:rsidR="00193400">
        <w:rPr>
          <w:rStyle w:val="ECCParagraph"/>
        </w:rPr>
      </w:r>
      <w:r w:rsidR="00193400">
        <w:rPr>
          <w:rStyle w:val="ECCParagraph"/>
        </w:rPr>
        <w:fldChar w:fldCharType="separate"/>
      </w:r>
      <w:r w:rsidR="004F49F9">
        <w:t>Figure </w:t>
      </w:r>
      <w:r w:rsidR="004F49F9">
        <w:rPr>
          <w:noProof/>
        </w:rPr>
        <w:t>53</w:t>
      </w:r>
      <w:r w:rsidR="00193400">
        <w:rPr>
          <w:rStyle w:val="ECCParagraph"/>
        </w:rPr>
        <w:fldChar w:fldCharType="end"/>
      </w:r>
      <w:r>
        <w:rPr>
          <w:rStyle w:val="ECCParagraph"/>
        </w:rPr>
        <w:t xml:space="preserve"> and </w:t>
      </w:r>
      <w:r w:rsidR="00193400">
        <w:rPr>
          <w:rStyle w:val="ECCParagraph"/>
        </w:rPr>
        <w:fldChar w:fldCharType="begin"/>
      </w:r>
      <w:r w:rsidR="00193400">
        <w:rPr>
          <w:rStyle w:val="ECCParagraph"/>
        </w:rPr>
        <w:instrText xml:space="preserve"> REF _Ref51762011 \h </w:instrText>
      </w:r>
      <w:r w:rsidR="00193400">
        <w:rPr>
          <w:rStyle w:val="ECCParagraph"/>
        </w:rPr>
      </w:r>
      <w:r w:rsidR="00193400">
        <w:rPr>
          <w:rStyle w:val="ECCParagraph"/>
        </w:rPr>
        <w:fldChar w:fldCharType="separate"/>
      </w:r>
      <w:r w:rsidR="004F49F9">
        <w:t>Figure </w:t>
      </w:r>
      <w:r w:rsidR="004F49F9">
        <w:rPr>
          <w:noProof/>
        </w:rPr>
        <w:t>54</w:t>
      </w:r>
      <w:r w:rsidR="00193400">
        <w:rPr>
          <w:rStyle w:val="ECCParagraph"/>
        </w:rPr>
        <w:fldChar w:fldCharType="end"/>
      </w:r>
      <w:r>
        <w:rPr>
          <w:rStyle w:val="ECCParagraph"/>
        </w:rPr>
        <w:t>).</w:t>
      </w:r>
    </w:p>
    <w:p w14:paraId="76F5FD1E" w14:textId="6F7FD451" w:rsidR="00E53B7C" w:rsidRDefault="003256BC" w:rsidP="00E53B7C">
      <w:pPr>
        <w:rPr>
          <w:rStyle w:val="ECCParagraph"/>
        </w:rPr>
      </w:pPr>
      <w:r>
        <w:rPr>
          <w:rStyle w:val="ECCParagraph"/>
        </w:rPr>
        <w:t xml:space="preserve">In both cases it is assumed that the TLPR main beam points exactly towards the individual FS receiver. In these scenarios the interfering TLPR signal has to </w:t>
      </w:r>
      <w:r w:rsidR="00194647">
        <w:rPr>
          <w:rStyle w:val="ECCParagraph"/>
        </w:rPr>
        <w:t xml:space="preserve">virtually </w:t>
      </w:r>
      <w:r>
        <w:rPr>
          <w:rStyle w:val="ECCParagraph"/>
        </w:rPr>
        <w:t xml:space="preserve">penetrate the tank shell once and suffers therefore a particular attenuation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_Ref36119882 \r \h </w:instrText>
      </w:r>
      <w:r>
        <w:rPr>
          <w:rStyle w:val="ECCParagraph"/>
        </w:rPr>
      </w:r>
      <w:r>
        <w:rPr>
          <w:rStyle w:val="ECCParagraph"/>
        </w:rPr>
        <w:fldChar w:fldCharType="separate"/>
      </w:r>
      <w:r w:rsidR="004F49F9">
        <w:rPr>
          <w:rStyle w:val="ECCParagraph"/>
        </w:rPr>
        <w:t>2.3</w:t>
      </w:r>
      <w:r>
        <w:rPr>
          <w:rStyle w:val="ECCParagraph"/>
        </w:rPr>
        <w:fldChar w:fldCharType="end"/>
      </w:r>
      <w:r>
        <w:rPr>
          <w:rStyle w:val="ECCParagraph"/>
        </w:rPr>
        <w:t>).</w:t>
      </w:r>
    </w:p>
    <w:p w14:paraId="55FC603B" w14:textId="77777777" w:rsidR="00A46FDC" w:rsidRPr="00A46FDC" w:rsidRDefault="00A46FDC" w:rsidP="00A46FDC">
      <w:r w:rsidRPr="00A46FDC">
        <w:rPr>
          <w:noProof/>
          <w:lang w:val="de-DE" w:eastAsia="de-DE"/>
        </w:rPr>
        <w:drawing>
          <wp:inline distT="0" distB="0" distL="0" distR="0" wp14:anchorId="5635834F" wp14:editId="5DFB4477">
            <wp:extent cx="5760720" cy="184912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1849120"/>
                    </a:xfrm>
                    <a:prstGeom prst="rect">
                      <a:avLst/>
                    </a:prstGeom>
                  </pic:spPr>
                </pic:pic>
              </a:graphicData>
            </a:graphic>
          </wp:inline>
        </w:drawing>
      </w:r>
    </w:p>
    <w:p w14:paraId="4E04ACD8" w14:textId="149A71E0" w:rsidR="00A46FDC" w:rsidRPr="00A46FDC" w:rsidRDefault="00A46FDC" w:rsidP="00A46FDC">
      <w:pPr>
        <w:pStyle w:val="Caption"/>
        <w:rPr>
          <w:rStyle w:val="ECCParagraph"/>
        </w:rPr>
      </w:pPr>
      <w:bookmarkStart w:id="293" w:name="_Ref51762001"/>
      <w:r>
        <w:t>Figure </w:t>
      </w:r>
      <w:r w:rsidR="00E55534">
        <w:fldChar w:fldCharType="begin"/>
      </w:r>
      <w:r w:rsidR="00E55534">
        <w:instrText>SEQ Figure \* ARABIC  \* MERGEFORMAT</w:instrText>
      </w:r>
      <w:r w:rsidR="00E55534">
        <w:fldChar w:fldCharType="separate"/>
      </w:r>
      <w:r w:rsidR="004F49F9">
        <w:rPr>
          <w:noProof/>
        </w:rPr>
        <w:t>53</w:t>
      </w:r>
      <w:r w:rsidR="00E55534">
        <w:rPr>
          <w:noProof/>
        </w:rPr>
        <w:fldChar w:fldCharType="end"/>
      </w:r>
      <w:bookmarkEnd w:id="293"/>
      <w:r w:rsidRPr="00A46FDC">
        <w:t>: TLPR scenario</w:t>
      </w:r>
      <w:r w:rsidR="001A1868">
        <w:t> </w:t>
      </w:r>
      <w:r w:rsidRPr="00A46FDC">
        <w:t xml:space="preserve">1: </w:t>
      </w:r>
      <w:r w:rsidR="009A2BB1">
        <w:rPr>
          <w:rStyle w:val="ECCParagraph"/>
        </w:rPr>
        <w:t>Light pole</w:t>
      </w:r>
      <w:r w:rsidRPr="00A46FDC">
        <w:rPr>
          <w:rStyle w:val="ECCParagraph"/>
        </w:rPr>
        <w:t xml:space="preserve"> connected to a building by means of an FS link – FS Rx on building.</w:t>
      </w:r>
    </w:p>
    <w:p w14:paraId="2467CC83" w14:textId="34C33256" w:rsidR="00A46FDC" w:rsidRPr="00A706D7" w:rsidRDefault="00A46FDC" w:rsidP="00A46FDC">
      <w:r>
        <w:t>In the first scenario (</w:t>
      </w:r>
      <w:r w:rsidR="0051457B">
        <w:t xml:space="preserve">see </w:t>
      </w:r>
      <w:r w:rsidR="00193400">
        <w:fldChar w:fldCharType="begin"/>
      </w:r>
      <w:r w:rsidR="00193400">
        <w:instrText xml:space="preserve"> REF _Ref51762001 \h </w:instrText>
      </w:r>
      <w:r w:rsidR="00193400">
        <w:fldChar w:fldCharType="separate"/>
      </w:r>
      <w:r w:rsidR="004F49F9">
        <w:t>Figure </w:t>
      </w:r>
      <w:r w:rsidR="004F49F9">
        <w:rPr>
          <w:noProof/>
        </w:rPr>
        <w:t>53</w:t>
      </w:r>
      <w:r w:rsidR="00193400">
        <w:fldChar w:fldCharType="end"/>
      </w:r>
      <w:r>
        <w:t>)</w:t>
      </w:r>
      <w:r w:rsidR="008029B0">
        <w:t>,</w:t>
      </w:r>
      <w:r>
        <w:t xml:space="preserve"> t</w:t>
      </w:r>
      <w:r w:rsidRPr="00A706D7">
        <w:t xml:space="preserve">he </w:t>
      </w:r>
      <w:r>
        <w:t>TLPR</w:t>
      </w:r>
      <w:r w:rsidRPr="00A706D7">
        <w:t xml:space="preserve"> device is placed </w:t>
      </w:r>
      <w:r>
        <w:t>at</w:t>
      </w:r>
      <w:r w:rsidRPr="00A706D7">
        <w:t xml:space="preserve"> the location of the FS Tx, thus in 300 m distance from the FS Rx. This constellation yields the smallest angle δ which describes the misalignment between the FS Rx </w:t>
      </w:r>
      <w:r>
        <w:t xml:space="preserve">main beam direction </w:t>
      </w:r>
      <w:r w:rsidRPr="00A706D7">
        <w:t xml:space="preserve">and the </w:t>
      </w:r>
      <w:r>
        <w:t>location of the TLPR device</w:t>
      </w:r>
      <w:r w:rsidRPr="00A706D7">
        <w:t xml:space="preserve">. The height above ground of the </w:t>
      </w:r>
      <w:r>
        <w:t>TLPR</w:t>
      </w:r>
      <w:r w:rsidRPr="00A706D7">
        <w:t xml:space="preserve"> device </w:t>
      </w:r>
      <w:r>
        <w:t xml:space="preserve">mounted on a tank </w:t>
      </w:r>
      <w:r w:rsidR="00194647">
        <w:t xml:space="preserve">wall </w:t>
      </w:r>
      <w:r w:rsidRPr="00A706D7">
        <w:t xml:space="preserve">shall be </w:t>
      </w:r>
      <w:r>
        <w:t>5</w:t>
      </w:r>
      <w:r w:rsidRPr="00A706D7">
        <w:t xml:space="preserve"> m. The angle δ becomes in the above example </w:t>
      </w:r>
      <w:r w:rsidRPr="00702570">
        <w:t>0</w:t>
      </w:r>
      <w:r w:rsidR="00CF4994">
        <w:t>.1</w:t>
      </w:r>
      <w:r w:rsidRPr="00702570">
        <w:t>9°</w:t>
      </w:r>
      <w:r w:rsidRPr="00A706D7">
        <w:t xml:space="preserve"> which results in </w:t>
      </w:r>
      <w:r>
        <w:t xml:space="preserve">approximately </w:t>
      </w:r>
      <w:r w:rsidRPr="00702570">
        <w:t>43 dBi</w:t>
      </w:r>
      <w:r w:rsidRPr="00A706D7">
        <w:t xml:space="preserve"> antenna gain of the FS Rx </w:t>
      </w:r>
      <w:r>
        <w:t xml:space="preserve">antenna </w:t>
      </w:r>
      <w:r w:rsidRPr="00A706D7">
        <w:t xml:space="preserve">towards the </w:t>
      </w:r>
      <w:r>
        <w:t>TLPR</w:t>
      </w:r>
      <w:r w:rsidRPr="00A706D7">
        <w:t xml:space="preserve"> interferer.</w:t>
      </w:r>
    </w:p>
    <w:p w14:paraId="3D1D8299" w14:textId="77777777" w:rsidR="00194647" w:rsidRPr="00194647" w:rsidRDefault="00194647" w:rsidP="00194647">
      <w:r w:rsidRPr="00194647">
        <w:rPr>
          <w:noProof/>
          <w:lang w:val="de-DE" w:eastAsia="de-DE"/>
        </w:rPr>
        <w:drawing>
          <wp:inline distT="0" distB="0" distL="0" distR="0" wp14:anchorId="0B7E701C" wp14:editId="0C9FA4B6">
            <wp:extent cx="5760720" cy="186880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1868805"/>
                    </a:xfrm>
                    <a:prstGeom prst="rect">
                      <a:avLst/>
                    </a:prstGeom>
                  </pic:spPr>
                </pic:pic>
              </a:graphicData>
            </a:graphic>
          </wp:inline>
        </w:drawing>
      </w:r>
    </w:p>
    <w:p w14:paraId="30280C96" w14:textId="32119ED6" w:rsidR="00194647" w:rsidRPr="00194647" w:rsidRDefault="00194647" w:rsidP="00194647">
      <w:pPr>
        <w:pStyle w:val="Caption"/>
        <w:rPr>
          <w:rStyle w:val="ECCParagraph"/>
        </w:rPr>
      </w:pPr>
      <w:bookmarkStart w:id="294" w:name="_Ref51762011"/>
      <w:r>
        <w:t>Figure </w:t>
      </w:r>
      <w:r w:rsidR="00E55534">
        <w:fldChar w:fldCharType="begin"/>
      </w:r>
      <w:r w:rsidR="00E55534">
        <w:instrText>SEQ Figure \* ARABIC  \* MERGEFORMAT</w:instrText>
      </w:r>
      <w:r w:rsidR="00E55534">
        <w:fldChar w:fldCharType="separate"/>
      </w:r>
      <w:r w:rsidR="004F49F9">
        <w:rPr>
          <w:noProof/>
        </w:rPr>
        <w:t>54</w:t>
      </w:r>
      <w:r w:rsidR="00E55534">
        <w:rPr>
          <w:noProof/>
        </w:rPr>
        <w:fldChar w:fldCharType="end"/>
      </w:r>
      <w:bookmarkEnd w:id="294"/>
      <w:r w:rsidRPr="00194647">
        <w:t>: TLPR scenario</w:t>
      </w:r>
      <w:r w:rsidR="001A1868">
        <w:t> </w:t>
      </w:r>
      <w:r w:rsidRPr="00194647">
        <w:t xml:space="preserve">2: </w:t>
      </w:r>
      <w:r w:rsidR="001A1868">
        <w:rPr>
          <w:rStyle w:val="ECCParagraph"/>
        </w:rPr>
        <w:t>Light pole</w:t>
      </w:r>
      <w:r w:rsidRPr="00194647">
        <w:rPr>
          <w:rStyle w:val="ECCParagraph"/>
        </w:rPr>
        <w:t xml:space="preserve"> connected to a building by means of an FS link – FS Rx </w:t>
      </w:r>
      <w:r w:rsidR="009A2BB1">
        <w:rPr>
          <w:rStyle w:val="ECCParagraph"/>
        </w:rPr>
        <w:t>at</w:t>
      </w:r>
      <w:r w:rsidRPr="00194647">
        <w:rPr>
          <w:rStyle w:val="ECCParagraph"/>
        </w:rPr>
        <w:t xml:space="preserve"> light pole.</w:t>
      </w:r>
    </w:p>
    <w:p w14:paraId="0B77AAA4" w14:textId="5AD4C3F0" w:rsidR="00194647" w:rsidRDefault="00194647" w:rsidP="00194647">
      <w:r>
        <w:rPr>
          <w:rStyle w:val="ECCParagraph"/>
        </w:rPr>
        <w:t xml:space="preserve">In the second scenario </w:t>
      </w:r>
      <w:r w:rsidR="009A4A26">
        <w:rPr>
          <w:rStyle w:val="ECCParagraph"/>
        </w:rPr>
        <w:t>(</w:t>
      </w:r>
      <w:r w:rsidR="0051457B">
        <w:t xml:space="preserve">see </w:t>
      </w:r>
      <w:r w:rsidR="009A4A26">
        <w:rPr>
          <w:rStyle w:val="ECCParagraph"/>
        </w:rPr>
        <w:fldChar w:fldCharType="begin"/>
      </w:r>
      <w:r w:rsidR="009A4A26">
        <w:rPr>
          <w:rStyle w:val="ECCParagraph"/>
        </w:rPr>
        <w:instrText xml:space="preserve"> REF _Ref51762011 \h </w:instrText>
      </w:r>
      <w:r w:rsidR="009A4A26">
        <w:rPr>
          <w:rStyle w:val="ECCParagraph"/>
        </w:rPr>
      </w:r>
      <w:r w:rsidR="009A4A26">
        <w:rPr>
          <w:rStyle w:val="ECCParagraph"/>
        </w:rPr>
        <w:fldChar w:fldCharType="separate"/>
      </w:r>
      <w:r w:rsidR="004F49F9">
        <w:t>Figure </w:t>
      </w:r>
      <w:r w:rsidR="004F49F9">
        <w:rPr>
          <w:noProof/>
        </w:rPr>
        <w:t>54</w:t>
      </w:r>
      <w:r w:rsidR="009A4A26">
        <w:rPr>
          <w:rStyle w:val="ECCParagraph"/>
        </w:rPr>
        <w:fldChar w:fldCharType="end"/>
      </w:r>
      <w:r w:rsidR="009A4A26">
        <w:rPr>
          <w:rStyle w:val="ECCParagraph"/>
        </w:rPr>
        <w:t>)</w:t>
      </w:r>
      <w:r w:rsidR="008029B0">
        <w:rPr>
          <w:rStyle w:val="ECCParagraph"/>
        </w:rPr>
        <w:t>,</w:t>
      </w:r>
      <w:r w:rsidR="009A4A26">
        <w:rPr>
          <w:rStyle w:val="ECCParagraph"/>
        </w:rPr>
        <w:t xml:space="preserve"> </w:t>
      </w:r>
      <w:r w:rsidRPr="0007071F">
        <w:t xml:space="preserve">the </w:t>
      </w:r>
      <w:r>
        <w:t xml:space="preserve">FS Tx on the </w:t>
      </w:r>
      <w:r w:rsidRPr="0007071F">
        <w:t xml:space="preserve">building rooftop is again connected to a </w:t>
      </w:r>
      <w:r>
        <w:t>receiver at a light pole</w:t>
      </w:r>
      <w:r w:rsidRPr="0007071F">
        <w:t xml:space="preserve">. In contrast to </w:t>
      </w:r>
      <w:r>
        <w:t xml:space="preserve">the first scenario </w:t>
      </w:r>
      <w:r w:rsidRPr="0007071F">
        <w:t xml:space="preserve">the locations of </w:t>
      </w:r>
      <w:r>
        <w:t xml:space="preserve">the </w:t>
      </w:r>
      <w:r w:rsidRPr="0007071F">
        <w:t>FS R</w:t>
      </w:r>
      <w:r>
        <w:t>x</w:t>
      </w:r>
      <w:r w:rsidRPr="0007071F">
        <w:t xml:space="preserve"> and </w:t>
      </w:r>
      <w:r>
        <w:t xml:space="preserve">the </w:t>
      </w:r>
      <w:r w:rsidRPr="0007071F">
        <w:t xml:space="preserve">FS Tx are exchanged. The distance between </w:t>
      </w:r>
      <w:r>
        <w:t xml:space="preserve">the </w:t>
      </w:r>
      <w:r w:rsidRPr="0007071F">
        <w:t>FS Rx and Tx is again 300 m</w:t>
      </w:r>
      <w:r>
        <w:t>. For the sake of simplicity, the TLPR device shall be mounted in 6 m height, which is the same height as for the FS Rx.</w:t>
      </w:r>
    </w:p>
    <w:p w14:paraId="08DA0862" w14:textId="0D55C593" w:rsidR="00194647" w:rsidRDefault="00194647" w:rsidP="00194647">
      <w:r>
        <w:t xml:space="preserve">It should be noted that a TLPR device attached to the tank wall is not </w:t>
      </w:r>
      <w:r w:rsidR="00F64F63">
        <w:t>a</w:t>
      </w:r>
      <w:r>
        <w:t xml:space="preserve"> typical use case</w:t>
      </w:r>
      <w:r w:rsidR="00F5014E">
        <w:t xml:space="preserve"> but is a consequence of the used tank attenuation model</w:t>
      </w:r>
      <w:r>
        <w:t xml:space="preserve">. The </w:t>
      </w:r>
      <w:r w:rsidR="00F64F63">
        <w:t xml:space="preserve">vast </w:t>
      </w:r>
      <w:r>
        <w:t xml:space="preserve">majority of the TLPRs in the field will </w:t>
      </w:r>
      <w:r w:rsidR="00DB6CA2">
        <w:t xml:space="preserve">actually </w:t>
      </w:r>
      <w:r>
        <w:t xml:space="preserve">be mounted on top of the tank measuring </w:t>
      </w:r>
      <w:r w:rsidR="00B83652">
        <w:t xml:space="preserve">in a downward direction in order to determine the level </w:t>
      </w:r>
      <w:r w:rsidR="00F5014E">
        <w:t xml:space="preserve">or the amount </w:t>
      </w:r>
      <w:r w:rsidR="00B83652">
        <w:t xml:space="preserve">of the substance inside the tank. </w:t>
      </w:r>
      <w:r w:rsidR="00DB6CA2">
        <w:t xml:space="preserve">However, the above-mentioned mechanism to translate the </w:t>
      </w:r>
      <w:r w:rsidR="00DB6CA2" w:rsidRPr="00DB6CA2">
        <w:t xml:space="preserve">four </w:t>
      </w:r>
      <w:r w:rsidR="00DB6CA2">
        <w:t>identified</w:t>
      </w:r>
      <w:r w:rsidR="00DB6CA2" w:rsidRPr="00DB6CA2">
        <w:t xml:space="preserve"> sources of electromagnetic leakage </w:t>
      </w:r>
      <w:r w:rsidR="00DB6CA2">
        <w:t xml:space="preserve">from a tank into an </w:t>
      </w:r>
      <w:r w:rsidR="00DB6CA2" w:rsidRPr="00DB6CA2">
        <w:rPr>
          <w:rStyle w:val="ECCParagraph"/>
        </w:rPr>
        <w:t>overall frequency dependent tank shell attenuation</w:t>
      </w:r>
      <w:r w:rsidR="00DB6CA2">
        <w:rPr>
          <w:rStyle w:val="ECCParagraph"/>
        </w:rPr>
        <w:t xml:space="preserve"> </w:t>
      </w:r>
      <w:r w:rsidR="00F5014E">
        <w:rPr>
          <w:rStyle w:val="ECCParagraph"/>
        </w:rPr>
        <w:t xml:space="preserve">results in a mounting position of the TLPR as indicated in </w:t>
      </w:r>
      <w:r w:rsidR="00F5014E">
        <w:rPr>
          <w:rStyle w:val="ECCParagraph"/>
        </w:rPr>
        <w:fldChar w:fldCharType="begin"/>
      </w:r>
      <w:r w:rsidR="00F5014E">
        <w:rPr>
          <w:rStyle w:val="ECCParagraph"/>
        </w:rPr>
        <w:instrText xml:space="preserve"> REF _Ref51762001 \h </w:instrText>
      </w:r>
      <w:r w:rsidR="00F5014E">
        <w:rPr>
          <w:rStyle w:val="ECCParagraph"/>
        </w:rPr>
      </w:r>
      <w:r w:rsidR="00F5014E">
        <w:rPr>
          <w:rStyle w:val="ECCParagraph"/>
        </w:rPr>
        <w:fldChar w:fldCharType="separate"/>
      </w:r>
      <w:r w:rsidR="004F49F9">
        <w:t>Figure </w:t>
      </w:r>
      <w:r w:rsidR="004F49F9">
        <w:rPr>
          <w:noProof/>
        </w:rPr>
        <w:t>53</w:t>
      </w:r>
      <w:r w:rsidR="00F5014E">
        <w:rPr>
          <w:rStyle w:val="ECCParagraph"/>
        </w:rPr>
        <w:fldChar w:fldCharType="end"/>
      </w:r>
      <w:r w:rsidR="00F5014E">
        <w:rPr>
          <w:rStyle w:val="ECCParagraph"/>
        </w:rPr>
        <w:t xml:space="preserve"> or </w:t>
      </w:r>
      <w:r w:rsidR="00F5014E">
        <w:rPr>
          <w:rStyle w:val="ECCParagraph"/>
        </w:rPr>
        <w:fldChar w:fldCharType="begin"/>
      </w:r>
      <w:r w:rsidR="00F5014E">
        <w:rPr>
          <w:rStyle w:val="ECCParagraph"/>
        </w:rPr>
        <w:instrText xml:space="preserve"> REF _Ref51762011 \h </w:instrText>
      </w:r>
      <w:r w:rsidR="00F5014E">
        <w:rPr>
          <w:rStyle w:val="ECCParagraph"/>
        </w:rPr>
      </w:r>
      <w:r w:rsidR="00F5014E">
        <w:rPr>
          <w:rStyle w:val="ECCParagraph"/>
        </w:rPr>
        <w:fldChar w:fldCharType="separate"/>
      </w:r>
      <w:r w:rsidR="004F49F9">
        <w:t>Figure </w:t>
      </w:r>
      <w:r w:rsidR="004F49F9">
        <w:rPr>
          <w:noProof/>
        </w:rPr>
        <w:t>54</w:t>
      </w:r>
      <w:r w:rsidR="00F5014E">
        <w:rPr>
          <w:rStyle w:val="ECCParagraph"/>
        </w:rPr>
        <w:fldChar w:fldCharType="end"/>
      </w:r>
      <w:r w:rsidR="00F5014E">
        <w:rPr>
          <w:rStyle w:val="ECCParagraph"/>
        </w:rPr>
        <w:t xml:space="preserve">. </w:t>
      </w:r>
      <w:r w:rsidR="00194F5D">
        <w:rPr>
          <w:rStyle w:val="ECCParagraph"/>
        </w:rPr>
        <w:t>In</w:t>
      </w:r>
      <w:r w:rsidR="00F5014E">
        <w:rPr>
          <w:rStyle w:val="ECCParagraph"/>
        </w:rPr>
        <w:t xml:space="preserve"> the context of </w:t>
      </w:r>
      <w:r w:rsidR="00266DF5">
        <w:rPr>
          <w:rStyle w:val="ECCParagraph"/>
        </w:rPr>
        <w:t>a sharing or compatibility study</w:t>
      </w:r>
      <w:r w:rsidR="00F5014E">
        <w:rPr>
          <w:rStyle w:val="ECCParagraph"/>
        </w:rPr>
        <w:t xml:space="preserve"> this is considered to be equivalent to a </w:t>
      </w:r>
      <w:r w:rsidR="00266DF5">
        <w:rPr>
          <w:rStyle w:val="ECCParagraph"/>
        </w:rPr>
        <w:t xml:space="preserve">TLPR </w:t>
      </w:r>
      <w:r w:rsidR="00F5014E">
        <w:rPr>
          <w:rStyle w:val="ECCParagraph"/>
        </w:rPr>
        <w:t xml:space="preserve">mounting position on top of the tank </w:t>
      </w:r>
      <w:r w:rsidR="008A4DDB">
        <w:rPr>
          <w:rStyle w:val="ECCParagraph"/>
        </w:rPr>
        <w:t xml:space="preserve">radiating downwards </w:t>
      </w:r>
      <w:r w:rsidR="00F5014E">
        <w:rPr>
          <w:rStyle w:val="ECCParagraph"/>
        </w:rPr>
        <w:t>and a source of leakage (e.g. a flange which is not properly sealed against electromagnetic leakage</w:t>
      </w:r>
      <w:r w:rsidR="00194F5D">
        <w:rPr>
          <w:rStyle w:val="ECCParagraph"/>
        </w:rPr>
        <w:t xml:space="preserve"> </w:t>
      </w:r>
      <w:r w:rsidR="0051457B">
        <w:rPr>
          <w:rStyle w:val="ECCParagraph"/>
        </w:rPr>
        <w:t>(</w:t>
      </w:r>
      <w:r w:rsidR="00194F5D">
        <w:rPr>
          <w:rStyle w:val="ECCParagraph"/>
        </w:rPr>
        <w:t xml:space="preserve">see </w:t>
      </w:r>
      <w:r w:rsidR="00194F5D">
        <w:rPr>
          <w:rStyle w:val="ECCParagraph"/>
        </w:rPr>
        <w:fldChar w:fldCharType="begin"/>
      </w:r>
      <w:r w:rsidR="00194F5D">
        <w:rPr>
          <w:rStyle w:val="ECCParagraph"/>
        </w:rPr>
        <w:instrText xml:space="preserve"> REF _Ref53500934 \h </w:instrText>
      </w:r>
      <w:r w:rsidR="00194F5D">
        <w:rPr>
          <w:rStyle w:val="ECCParagraph"/>
        </w:rPr>
      </w:r>
      <w:r w:rsidR="00194F5D">
        <w:rPr>
          <w:rStyle w:val="ECCParagraph"/>
        </w:rPr>
        <w:fldChar w:fldCharType="separate"/>
      </w:r>
      <w:r w:rsidR="0041125F" w:rsidRPr="006D6727">
        <w:rPr>
          <w:noProof/>
        </w:rPr>
        <w:t>Figure </w:t>
      </w:r>
      <w:r w:rsidR="0041125F">
        <w:rPr>
          <w:noProof/>
        </w:rPr>
        <w:t>52</w:t>
      </w:r>
      <w:r w:rsidR="00194F5D">
        <w:rPr>
          <w:rStyle w:val="ECCParagraph"/>
        </w:rPr>
        <w:fldChar w:fldCharType="end"/>
      </w:r>
      <w:r w:rsidR="00F5014E">
        <w:rPr>
          <w:rStyle w:val="ECCParagraph"/>
        </w:rPr>
        <w:t>)</w:t>
      </w:r>
      <w:r w:rsidR="0051457B">
        <w:rPr>
          <w:rStyle w:val="ECCParagraph"/>
        </w:rPr>
        <w:t>)</w:t>
      </w:r>
      <w:r w:rsidR="00F5014E">
        <w:rPr>
          <w:rStyle w:val="ECCParagraph"/>
        </w:rPr>
        <w:t xml:space="preserve"> at the vertical tank wall enabling an interference signal </w:t>
      </w:r>
      <w:r w:rsidR="00194F5D">
        <w:rPr>
          <w:rStyle w:val="ECCParagraph"/>
        </w:rPr>
        <w:t xml:space="preserve">coming </w:t>
      </w:r>
      <w:r w:rsidR="00F5014E">
        <w:rPr>
          <w:rStyle w:val="ECCParagraph"/>
        </w:rPr>
        <w:t>from the inside of the tank to reach the victim</w:t>
      </w:r>
      <w:r w:rsidR="00194F5D">
        <w:rPr>
          <w:rStyle w:val="ECCParagraph"/>
        </w:rPr>
        <w:t xml:space="preserve"> receiver</w:t>
      </w:r>
      <w:r w:rsidR="00266DF5">
        <w:rPr>
          <w:rStyle w:val="ECCParagraph"/>
        </w:rPr>
        <w:t xml:space="preserve"> on a line-of-sight path outside the tank</w:t>
      </w:r>
      <w:r w:rsidR="00F5014E">
        <w:rPr>
          <w:rStyle w:val="ECCParagraph"/>
        </w:rPr>
        <w:t>.</w:t>
      </w:r>
    </w:p>
    <w:p w14:paraId="2F8050EC" w14:textId="77777777" w:rsidR="00C64ABC" w:rsidRDefault="00C64ABC" w:rsidP="00C64ABC">
      <w:r>
        <w:t>A further consequence of the tank attenuation model is that i</w:t>
      </w:r>
      <w:r w:rsidRPr="00194647">
        <w:t>n both scenarios only the interference component in main beam direction of the TLPR device is considered to be a potential source of interference. Other interference components e.g. through sidelobes are neglected.</w:t>
      </w:r>
    </w:p>
    <w:p w14:paraId="68AD45D9" w14:textId="77777777" w:rsidR="004E193E" w:rsidRDefault="004E193E" w:rsidP="00C64ABC">
      <w:r>
        <w:rPr>
          <w:rStyle w:val="ECCHLbold"/>
        </w:rPr>
        <w:t>Special conditions in aggregate interference scenarios</w:t>
      </w:r>
    </w:p>
    <w:p w14:paraId="5A5D870C" w14:textId="77777777" w:rsidR="004E193E" w:rsidRPr="00A831A2" w:rsidRDefault="004E193E" w:rsidP="004E193E">
      <w:r>
        <w:t>TLPR devices</w:t>
      </w:r>
      <w:r w:rsidRPr="00A831A2">
        <w:t xml:space="preserve"> can be arbitrarily aligned in </w:t>
      </w:r>
      <w:r>
        <w:t xml:space="preserve">their individual measurement scenario (inside the tank). In aggregate interference scenarios, where many of these RDI devices can affect the victim, </w:t>
      </w:r>
      <w:r w:rsidRPr="00A831A2">
        <w:t xml:space="preserve">the usage of an </w:t>
      </w:r>
      <w:r>
        <w:t xml:space="preserve">average TLPR </w:t>
      </w:r>
      <w:r w:rsidRPr="00A831A2">
        <w:t>antenna gain</w:t>
      </w:r>
      <w:r>
        <w:t xml:space="preserve"> of </w:t>
      </w:r>
      <w:r w:rsidR="00342E06">
        <w:t>10</w:t>
      </w:r>
      <w:r>
        <w:t> dBi towards the victim receiver</w:t>
      </w:r>
      <w:r w:rsidRPr="00A831A2">
        <w:t xml:space="preserve"> was </w:t>
      </w:r>
      <w:r>
        <w:t>therefore assumed</w:t>
      </w:r>
      <w:r w:rsidRPr="00A831A2">
        <w:t>.</w:t>
      </w:r>
    </w:p>
    <w:p w14:paraId="5112C2CE" w14:textId="77777777" w:rsidR="00383820" w:rsidRPr="006D6727" w:rsidRDefault="00383820" w:rsidP="00160CD4">
      <w:pPr>
        <w:pStyle w:val="Heading3"/>
        <w:rPr>
          <w:noProof/>
          <w:lang w:val="en-GB"/>
        </w:rPr>
      </w:pPr>
      <w:bookmarkStart w:id="295" w:name="_Ref65057294"/>
      <w:bookmarkStart w:id="296" w:name="_Toc84325290"/>
      <w:bookmarkStart w:id="297" w:name="_Toc127346233"/>
      <w:bookmarkStart w:id="298" w:name="_Hlk10714658"/>
      <w:r w:rsidRPr="006D6727">
        <w:rPr>
          <w:noProof/>
          <w:lang w:val="en-GB"/>
        </w:rPr>
        <w:t>Radiodetermination systems for industry automation in shielded environments</w:t>
      </w:r>
      <w:r w:rsidR="00097F30" w:rsidRPr="006D6727">
        <w:rPr>
          <w:noProof/>
          <w:lang w:val="en-GB"/>
        </w:rPr>
        <w:t xml:space="preserve"> (RDI-S)</w:t>
      </w:r>
      <w:bookmarkEnd w:id="295"/>
      <w:bookmarkEnd w:id="296"/>
      <w:bookmarkEnd w:id="297"/>
    </w:p>
    <w:p w14:paraId="57C844CE" w14:textId="77777777" w:rsidR="003E4BC1" w:rsidRPr="006D6727" w:rsidRDefault="003E4BC1" w:rsidP="004E36C2">
      <w:pPr>
        <w:pStyle w:val="Heading4"/>
        <w:rPr>
          <w:noProof/>
        </w:rPr>
      </w:pPr>
      <w:bookmarkStart w:id="299" w:name="_Toc84325291"/>
      <w:bookmarkEnd w:id="298"/>
      <w:r w:rsidRPr="006D6727">
        <w:rPr>
          <w:noProof/>
        </w:rPr>
        <w:t>Application scenario</w:t>
      </w:r>
      <w:bookmarkEnd w:id="299"/>
    </w:p>
    <w:p w14:paraId="39048939" w14:textId="77777777" w:rsidR="00F35BC8" w:rsidRPr="006D6727" w:rsidRDefault="00F35BC8" w:rsidP="00F35BC8">
      <w:pPr>
        <w:rPr>
          <w:noProof/>
        </w:rPr>
      </w:pPr>
      <w:r w:rsidRPr="006D6727">
        <w:rPr>
          <w:noProof/>
        </w:rPr>
        <w:t>Radiodetermination devices for industry automation in shielded environments are potentially used in many different applications. All RDI-S sensors have in common that they are mainly used in a professional industrial environment to sense the characteristics of target objects. Compared to other technologies radiodetermination is able to reliably work also in harsh production environments with an outstanding measurement accuracy. Compared to RDI devices, RDI-S devices are operated in a fully controlled environment that assures a high shielding level (similar to LPR and TLPR categories) to prevent interference with other spectrum users. Additionally, RDI-S systems are installed and operated by highly trained personnel only and are no consumer products. This ensures compliance with the device’s mounting and operation requirements given in the system manual.</w:t>
      </w:r>
    </w:p>
    <w:p w14:paraId="7E11293E" w14:textId="77777777" w:rsidR="006A0994" w:rsidRPr="006D6727" w:rsidRDefault="00F35BC8" w:rsidP="00F35BC8">
      <w:pPr>
        <w:rPr>
          <w:noProof/>
        </w:rPr>
      </w:pPr>
      <w:r w:rsidRPr="006D6727">
        <w:rPr>
          <w:noProof/>
        </w:rPr>
        <w:t>The following list of categories gives a non-</w:t>
      </w:r>
      <w:r w:rsidRPr="006D6727">
        <w:rPr>
          <w:rStyle w:val="ECCParagraph"/>
          <w:noProof/>
        </w:rPr>
        <w:t>exhaustive</w:t>
      </w:r>
      <w:r w:rsidRPr="006D6727">
        <w:rPr>
          <w:noProof/>
        </w:rPr>
        <w:t xml:space="preserve"> </w:t>
      </w:r>
      <w:r w:rsidR="00A66B9D" w:rsidRPr="006D6727">
        <w:rPr>
          <w:noProof/>
        </w:rPr>
        <w:t>insight</w:t>
      </w:r>
      <w:r w:rsidRPr="006D6727">
        <w:rPr>
          <w:noProof/>
        </w:rPr>
        <w:t xml:space="preserve"> of example applications</w:t>
      </w:r>
      <w:r w:rsidR="000222A7" w:rsidRPr="006D6727">
        <w:rPr>
          <w:noProof/>
        </w:rPr>
        <w:t xml:space="preserve"> where RDI-S sensors are used to detect or characterise objects (fixed and portable sensors):</w:t>
      </w:r>
    </w:p>
    <w:p w14:paraId="7368320C" w14:textId="7F47DF67" w:rsidR="00F35BC8" w:rsidRPr="006D6727" w:rsidRDefault="00F35BC8" w:rsidP="000222A7">
      <w:pPr>
        <w:pStyle w:val="ECCNumberedList"/>
        <w:rPr>
          <w:rStyle w:val="ECCParagraph"/>
          <w:noProof/>
        </w:rPr>
      </w:pPr>
      <w:r w:rsidRPr="006D6727">
        <w:rPr>
          <w:rStyle w:val="ECCParagraph"/>
          <w:noProof/>
        </w:rPr>
        <w:t>Presence detection (objects/humans)</w:t>
      </w:r>
      <w:r w:rsidR="00743314">
        <w:rPr>
          <w:rStyle w:val="ECCParagraph"/>
          <w:noProof/>
        </w:rPr>
        <w:t>:</w:t>
      </w:r>
    </w:p>
    <w:p w14:paraId="7F54E061" w14:textId="6ADEEC05" w:rsidR="008E4281" w:rsidRPr="006D6727" w:rsidRDefault="008E4281" w:rsidP="00D30EEA">
      <w:pPr>
        <w:pStyle w:val="ECCBulletsLv2"/>
        <w:rPr>
          <w:noProof/>
        </w:rPr>
      </w:pPr>
      <w:r w:rsidRPr="006D6727">
        <w:rPr>
          <w:noProof/>
        </w:rPr>
        <w:t>Industrial surveillance radar</w:t>
      </w:r>
      <w:r w:rsidR="00743314">
        <w:rPr>
          <w:noProof/>
        </w:rPr>
        <w:t>;</w:t>
      </w:r>
    </w:p>
    <w:p w14:paraId="7630EA56" w14:textId="617F2779" w:rsidR="008E4281" w:rsidRPr="006D6727" w:rsidRDefault="008E4281" w:rsidP="00D30EEA">
      <w:pPr>
        <w:pStyle w:val="ECCBulletsLv2"/>
        <w:rPr>
          <w:noProof/>
        </w:rPr>
      </w:pPr>
      <w:r w:rsidRPr="006D6727">
        <w:rPr>
          <w:noProof/>
        </w:rPr>
        <w:t>Microwave barrier sensing in automated backwater vessel</w:t>
      </w:r>
      <w:r w:rsidR="00743314">
        <w:rPr>
          <w:noProof/>
        </w:rPr>
        <w:t>;</w:t>
      </w:r>
    </w:p>
    <w:p w14:paraId="4D9AE43F" w14:textId="0E0D20DF" w:rsidR="008E4281" w:rsidRPr="006D6727" w:rsidRDefault="008E4281" w:rsidP="00D30EEA">
      <w:pPr>
        <w:pStyle w:val="ECCBulletsLv2"/>
        <w:rPr>
          <w:noProof/>
        </w:rPr>
      </w:pPr>
      <w:r w:rsidRPr="006D6727">
        <w:rPr>
          <w:noProof/>
        </w:rPr>
        <w:t>Object detection in harsh environments</w:t>
      </w:r>
      <w:r w:rsidR="00743314">
        <w:rPr>
          <w:noProof/>
        </w:rPr>
        <w:t>.</w:t>
      </w:r>
    </w:p>
    <w:p w14:paraId="4A331A3B" w14:textId="7D75D471" w:rsidR="008E4281" w:rsidRPr="006D6727" w:rsidRDefault="008E4281" w:rsidP="000222A7">
      <w:pPr>
        <w:pStyle w:val="ECCNumberedList"/>
        <w:rPr>
          <w:noProof/>
        </w:rPr>
      </w:pPr>
      <w:r w:rsidRPr="006D6727">
        <w:rPr>
          <w:noProof/>
        </w:rPr>
        <w:t>Precise distance measurement</w:t>
      </w:r>
      <w:r w:rsidR="00743314">
        <w:rPr>
          <w:noProof/>
        </w:rPr>
        <w:t>:</w:t>
      </w:r>
      <w:r w:rsidRPr="006D6727">
        <w:rPr>
          <w:noProof/>
        </w:rPr>
        <w:t xml:space="preserve"> </w:t>
      </w:r>
    </w:p>
    <w:p w14:paraId="25821F01" w14:textId="48D3E723" w:rsidR="008E4281" w:rsidRPr="006D6727" w:rsidRDefault="008E4281" w:rsidP="00D30EEA">
      <w:pPr>
        <w:pStyle w:val="ECCBulletsLv2"/>
        <w:rPr>
          <w:noProof/>
        </w:rPr>
      </w:pPr>
      <w:r w:rsidRPr="006D6727">
        <w:rPr>
          <w:noProof/>
        </w:rPr>
        <w:t>Position measurement for equipment condition monitoring</w:t>
      </w:r>
      <w:r w:rsidR="00743314">
        <w:rPr>
          <w:noProof/>
        </w:rPr>
        <w:t>;</w:t>
      </w:r>
    </w:p>
    <w:p w14:paraId="0BEC2D7A" w14:textId="10D4113A" w:rsidR="008E4281" w:rsidRPr="006D6727" w:rsidRDefault="008E4281" w:rsidP="00D30EEA">
      <w:pPr>
        <w:pStyle w:val="ECCBulletsLv2"/>
        <w:rPr>
          <w:noProof/>
        </w:rPr>
      </w:pPr>
      <w:r w:rsidRPr="006D6727">
        <w:rPr>
          <w:noProof/>
        </w:rPr>
        <w:t>Tube/pipe diameter/ovality measurement (metal/dielectric)</w:t>
      </w:r>
      <w:r w:rsidR="00743314">
        <w:rPr>
          <w:noProof/>
        </w:rPr>
        <w:t>;</w:t>
      </w:r>
    </w:p>
    <w:p w14:paraId="7E995910" w14:textId="60A492FA" w:rsidR="008E4281" w:rsidRPr="006D6727" w:rsidRDefault="008E4281" w:rsidP="00D30EEA">
      <w:pPr>
        <w:pStyle w:val="ECCBulletsLv2"/>
        <w:rPr>
          <w:noProof/>
        </w:rPr>
      </w:pPr>
      <w:r w:rsidRPr="006D6727">
        <w:rPr>
          <w:noProof/>
        </w:rPr>
        <w:t>Tube/pipe wall thickness measurement (dielectric)</w:t>
      </w:r>
      <w:r w:rsidR="00743314">
        <w:rPr>
          <w:noProof/>
        </w:rPr>
        <w:t>;</w:t>
      </w:r>
    </w:p>
    <w:p w14:paraId="5BFAC069" w14:textId="7EBB6061" w:rsidR="008E4281" w:rsidRPr="006D6727" w:rsidRDefault="008E4281" w:rsidP="00D30EEA">
      <w:pPr>
        <w:pStyle w:val="ECCBulletsLv2"/>
        <w:rPr>
          <w:noProof/>
        </w:rPr>
      </w:pPr>
      <w:r w:rsidRPr="006D6727">
        <w:rPr>
          <w:noProof/>
        </w:rPr>
        <w:t>Sheet thickness/width measurement (metal/dielectric)</w:t>
      </w:r>
      <w:r w:rsidR="00743314">
        <w:rPr>
          <w:noProof/>
        </w:rPr>
        <w:t>.</w:t>
      </w:r>
    </w:p>
    <w:p w14:paraId="3DB450E4" w14:textId="7F8ACB84" w:rsidR="008E4281" w:rsidRPr="006D6727" w:rsidRDefault="008E4281" w:rsidP="000222A7">
      <w:pPr>
        <w:pStyle w:val="ECCNumberedList"/>
        <w:rPr>
          <w:noProof/>
        </w:rPr>
      </w:pPr>
      <w:r w:rsidRPr="006D6727">
        <w:rPr>
          <w:noProof/>
        </w:rPr>
        <w:t>Velocity measurement (via Doppler or by consecutive distance measurements)</w:t>
      </w:r>
      <w:r w:rsidR="00743314">
        <w:rPr>
          <w:noProof/>
        </w:rPr>
        <w:t>:</w:t>
      </w:r>
    </w:p>
    <w:p w14:paraId="498FFF03" w14:textId="3A174CCC" w:rsidR="008E4281" w:rsidRPr="006D6727" w:rsidRDefault="008E4281" w:rsidP="00D30EEA">
      <w:pPr>
        <w:pStyle w:val="ECCBulletsLv2"/>
        <w:rPr>
          <w:noProof/>
        </w:rPr>
      </w:pPr>
      <w:r w:rsidRPr="006D6727">
        <w:rPr>
          <w:noProof/>
        </w:rPr>
        <w:t>Platform speed/velocity sensing</w:t>
      </w:r>
      <w:r w:rsidR="00743314">
        <w:rPr>
          <w:noProof/>
        </w:rPr>
        <w:t>;</w:t>
      </w:r>
    </w:p>
    <w:p w14:paraId="3436FB2B" w14:textId="05E22BF1" w:rsidR="008E4281" w:rsidRPr="006D6727" w:rsidRDefault="008E4281" w:rsidP="00D30EEA">
      <w:pPr>
        <w:pStyle w:val="ECCBulletsLv2"/>
        <w:rPr>
          <w:noProof/>
        </w:rPr>
      </w:pPr>
      <w:r w:rsidRPr="006D6727">
        <w:rPr>
          <w:noProof/>
        </w:rPr>
        <w:t>Production line speed/velocity sensing</w:t>
      </w:r>
      <w:r w:rsidR="00743314">
        <w:rPr>
          <w:noProof/>
        </w:rPr>
        <w:t>;</w:t>
      </w:r>
    </w:p>
    <w:p w14:paraId="3C4E7BBC" w14:textId="23C268CA" w:rsidR="008E4281" w:rsidRPr="006D6727" w:rsidRDefault="008E4281" w:rsidP="00D30EEA">
      <w:pPr>
        <w:pStyle w:val="ECCBulletsLv2"/>
        <w:rPr>
          <w:noProof/>
        </w:rPr>
      </w:pPr>
      <w:r w:rsidRPr="006D6727">
        <w:rPr>
          <w:noProof/>
        </w:rPr>
        <w:t>Rotation speed sensing</w:t>
      </w:r>
      <w:r w:rsidR="00743314">
        <w:rPr>
          <w:noProof/>
        </w:rPr>
        <w:t>;</w:t>
      </w:r>
    </w:p>
    <w:p w14:paraId="29EDB058" w14:textId="3B10FBAB" w:rsidR="008E4281" w:rsidRPr="006D6727" w:rsidRDefault="008E4281" w:rsidP="00D30EEA">
      <w:pPr>
        <w:pStyle w:val="ECCBulletsLv2"/>
        <w:rPr>
          <w:noProof/>
        </w:rPr>
      </w:pPr>
      <w:r w:rsidRPr="006D6727">
        <w:rPr>
          <w:noProof/>
        </w:rPr>
        <w:t>Vibration measurement</w:t>
      </w:r>
      <w:r w:rsidR="00743314">
        <w:rPr>
          <w:noProof/>
        </w:rPr>
        <w:t>;</w:t>
      </w:r>
    </w:p>
    <w:p w14:paraId="1E92D9AA" w14:textId="255E2C6C" w:rsidR="008E4281" w:rsidRPr="006D6727" w:rsidRDefault="008E4281" w:rsidP="00D30EEA">
      <w:pPr>
        <w:pStyle w:val="ECCBulletsLv2"/>
        <w:rPr>
          <w:noProof/>
        </w:rPr>
      </w:pPr>
      <w:r w:rsidRPr="006D6727">
        <w:rPr>
          <w:noProof/>
        </w:rPr>
        <w:t>Flow speed/velocity sensing (dielectric/metal)</w:t>
      </w:r>
      <w:r w:rsidR="00743314">
        <w:rPr>
          <w:noProof/>
        </w:rPr>
        <w:t>.</w:t>
      </w:r>
    </w:p>
    <w:p w14:paraId="02B5235B" w14:textId="1DB50CBE" w:rsidR="008E4281" w:rsidRPr="006D6727" w:rsidRDefault="008E4281" w:rsidP="000222A7">
      <w:pPr>
        <w:pStyle w:val="ECCNumberedList"/>
        <w:rPr>
          <w:noProof/>
        </w:rPr>
      </w:pPr>
      <w:r w:rsidRPr="006D6727">
        <w:rPr>
          <w:noProof/>
        </w:rPr>
        <w:t>Radiodetermination sensors for millimetre wave imaging</w:t>
      </w:r>
      <w:r w:rsidR="00743314">
        <w:rPr>
          <w:noProof/>
        </w:rPr>
        <w:t>:</w:t>
      </w:r>
    </w:p>
    <w:p w14:paraId="7A1A104E" w14:textId="1BC41F62" w:rsidR="003B6259" w:rsidRPr="006D6727" w:rsidRDefault="003B6259" w:rsidP="00D30EEA">
      <w:pPr>
        <w:pStyle w:val="ECCBulletsLv2"/>
        <w:rPr>
          <w:noProof/>
        </w:rPr>
      </w:pPr>
      <w:r w:rsidRPr="006D6727">
        <w:rPr>
          <w:noProof/>
        </w:rPr>
        <w:t>Radar imaging for quality assurance</w:t>
      </w:r>
      <w:r w:rsidR="00743314">
        <w:rPr>
          <w:noProof/>
        </w:rPr>
        <w:t>;</w:t>
      </w:r>
    </w:p>
    <w:p w14:paraId="54F06DA8" w14:textId="7E11085C" w:rsidR="003B6259" w:rsidRPr="006D6727" w:rsidRDefault="003B6259" w:rsidP="00D30EEA">
      <w:pPr>
        <w:pStyle w:val="ECCBulletsLv2"/>
        <w:rPr>
          <w:noProof/>
        </w:rPr>
      </w:pPr>
      <w:r w:rsidRPr="006D6727">
        <w:rPr>
          <w:noProof/>
        </w:rPr>
        <w:t>Radar imaging of industrial platform surroundings for navigation</w:t>
      </w:r>
      <w:r w:rsidR="008073E2" w:rsidRPr="006D6727">
        <w:rPr>
          <w:noProof/>
        </w:rPr>
        <w:t>/positioning</w:t>
      </w:r>
      <w:r w:rsidR="00743314">
        <w:rPr>
          <w:noProof/>
        </w:rPr>
        <w:t>.</w:t>
      </w:r>
    </w:p>
    <w:p w14:paraId="26ABB766" w14:textId="57D31C10" w:rsidR="000222A7" w:rsidRPr="006D6727" w:rsidRDefault="000222A7" w:rsidP="000222A7">
      <w:pPr>
        <w:rPr>
          <w:rStyle w:val="ECCParagraph"/>
          <w:noProof/>
        </w:rPr>
      </w:pPr>
      <w:r w:rsidRPr="006D6727">
        <w:rPr>
          <w:rStyle w:val="ECCParagraph"/>
          <w:noProof/>
        </w:rPr>
        <w:t>The following example applications of potential RDI-S sensors are used for generic frequency response measurements (fixed and portable)</w:t>
      </w:r>
      <w:r w:rsidR="00B45594" w:rsidRPr="006D6727">
        <w:rPr>
          <w:rStyle w:val="ECCParagraph"/>
          <w:noProof/>
        </w:rPr>
        <w:t>. The desired information of the target object or material is then extracted from the frequency response or</w:t>
      </w:r>
      <w:r w:rsidR="006370C2" w:rsidRPr="006D6727">
        <w:rPr>
          <w:rStyle w:val="ECCParagraph"/>
          <w:noProof/>
        </w:rPr>
        <w:t xml:space="preserve"> measured</w:t>
      </w:r>
      <w:r w:rsidR="00B45594" w:rsidRPr="006D6727">
        <w:rPr>
          <w:rStyle w:val="ECCParagraph"/>
          <w:noProof/>
        </w:rPr>
        <w:t xml:space="preserve"> transfer function</w:t>
      </w:r>
      <w:r w:rsidR="00743314">
        <w:rPr>
          <w:rStyle w:val="ECCParagraph"/>
          <w:noProof/>
        </w:rPr>
        <w:t>:</w:t>
      </w:r>
    </w:p>
    <w:p w14:paraId="24A79714" w14:textId="284F6F37" w:rsidR="001D1747" w:rsidRPr="006D6727" w:rsidRDefault="001D1747" w:rsidP="001D1747">
      <w:pPr>
        <w:pStyle w:val="ECCBulletsLv1"/>
        <w:rPr>
          <w:noProof/>
        </w:rPr>
      </w:pPr>
      <w:r w:rsidRPr="006D6727">
        <w:rPr>
          <w:noProof/>
        </w:rPr>
        <w:t>Object/field-of-view fingerprinting</w:t>
      </w:r>
      <w:r w:rsidR="00743314">
        <w:rPr>
          <w:noProof/>
        </w:rPr>
        <w:t>;</w:t>
      </w:r>
    </w:p>
    <w:p w14:paraId="4C5B97A2" w14:textId="59C1EBC0" w:rsidR="001D1747" w:rsidRPr="006D6727" w:rsidRDefault="001D1747" w:rsidP="001D1747">
      <w:pPr>
        <w:pStyle w:val="ECCBulletsLv1"/>
        <w:rPr>
          <w:noProof/>
        </w:rPr>
      </w:pPr>
      <w:r w:rsidRPr="006D6727">
        <w:rPr>
          <w:noProof/>
        </w:rPr>
        <w:t>Material roughness measurement</w:t>
      </w:r>
      <w:r w:rsidR="00743314">
        <w:rPr>
          <w:noProof/>
        </w:rPr>
        <w:t>;</w:t>
      </w:r>
    </w:p>
    <w:p w14:paraId="70D4F29F" w14:textId="58E885BA" w:rsidR="001D1747" w:rsidRPr="006D6727" w:rsidRDefault="001D1747" w:rsidP="001D1747">
      <w:pPr>
        <w:pStyle w:val="ECCBulletsLv1"/>
        <w:rPr>
          <w:noProof/>
        </w:rPr>
      </w:pPr>
      <w:r w:rsidRPr="006D6727">
        <w:rPr>
          <w:noProof/>
        </w:rPr>
        <w:t>mmW transfer function characteri</w:t>
      </w:r>
      <w:r w:rsidR="00743314">
        <w:rPr>
          <w:noProof/>
        </w:rPr>
        <w:t>s</w:t>
      </w:r>
      <w:r w:rsidRPr="006D6727">
        <w:rPr>
          <w:noProof/>
        </w:rPr>
        <w:t>ation (dielectric properties, material classification)</w:t>
      </w:r>
      <w:r w:rsidR="00743314">
        <w:rPr>
          <w:noProof/>
        </w:rPr>
        <w:t>;</w:t>
      </w:r>
    </w:p>
    <w:p w14:paraId="346CB69F" w14:textId="72142602" w:rsidR="001D1747" w:rsidRPr="006D6727" w:rsidRDefault="001D1747" w:rsidP="001D1747">
      <w:pPr>
        <w:pStyle w:val="ECCBulletsLv1"/>
        <w:rPr>
          <w:noProof/>
        </w:rPr>
      </w:pPr>
      <w:r w:rsidRPr="006D6727">
        <w:rPr>
          <w:noProof/>
        </w:rPr>
        <w:t>Generic transfer function determination for different applications</w:t>
      </w:r>
      <w:r w:rsidR="00743314">
        <w:rPr>
          <w:noProof/>
        </w:rPr>
        <w:t>.</w:t>
      </w:r>
    </w:p>
    <w:p w14:paraId="49A6CB27" w14:textId="77777777" w:rsidR="000541D1" w:rsidRPr="006D6727" w:rsidRDefault="000541D1" w:rsidP="000541D1">
      <w:pPr>
        <w:rPr>
          <w:rStyle w:val="ECCParagraph"/>
          <w:noProof/>
        </w:rPr>
      </w:pPr>
      <w:r w:rsidRPr="006D6727">
        <w:rPr>
          <w:rStyle w:val="ECCParagraph"/>
          <w:noProof/>
        </w:rPr>
        <w:t>Most measurements in this list highly benefit from covering an extremely wide frequency bandwidth to achieve a good range resolution and high measurement precision. Spreading the transmit signal power over a very large bandwidth of e.g. 55 GHz with a relatively low transmit power also reduces the risk of interference with primary services significantly and ensures therefore an efficient use of spectrum. Due to the large covered bandwidth the systems are also very robust against interferences caused by other spectrum users.</w:t>
      </w:r>
    </w:p>
    <w:p w14:paraId="1ECC6565" w14:textId="77777777" w:rsidR="008E4281" w:rsidRPr="006D6727" w:rsidRDefault="000541D1" w:rsidP="000541D1">
      <w:pPr>
        <w:pStyle w:val="Caption"/>
        <w:rPr>
          <w:noProof/>
          <w:lang w:val="en-GB"/>
        </w:rPr>
      </w:pPr>
      <w:r w:rsidRPr="006D6727">
        <w:rPr>
          <w:noProof/>
          <w:lang w:val="de-DE" w:eastAsia="de-DE"/>
        </w:rPr>
        <w:drawing>
          <wp:inline distT="0" distB="0" distL="0" distR="0" wp14:anchorId="637E98FB" wp14:editId="68280A25">
            <wp:extent cx="5748767" cy="2268732"/>
            <wp:effectExtent l="0" t="0" r="4445" b="0"/>
            <wp:docPr id="12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bbildung1.png"/>
                    <pic:cNvPicPr/>
                  </pic:nvPicPr>
                  <pic:blipFill>
                    <a:blip r:embed="rId79" cstate="screen">
                      <a:extLst>
                        <a:ext uri="{28A0092B-C50C-407E-A947-70E740481C1C}">
                          <a14:useLocalDpi xmlns:a14="http://schemas.microsoft.com/office/drawing/2010/main"/>
                        </a:ext>
                      </a:extLst>
                    </a:blip>
                    <a:stretch>
                      <a:fillRect/>
                    </a:stretch>
                  </pic:blipFill>
                  <pic:spPr>
                    <a:xfrm>
                      <a:off x="0" y="0"/>
                      <a:ext cx="5757017" cy="2271988"/>
                    </a:xfrm>
                    <a:prstGeom prst="rect">
                      <a:avLst/>
                    </a:prstGeom>
                  </pic:spPr>
                </pic:pic>
              </a:graphicData>
            </a:graphic>
          </wp:inline>
        </w:drawing>
      </w:r>
    </w:p>
    <w:p w14:paraId="225A9F72" w14:textId="5354EDD1" w:rsidR="006A0994" w:rsidRPr="006D6727" w:rsidRDefault="006A0994" w:rsidP="000541D1">
      <w:pPr>
        <w:pStyle w:val="Caption"/>
        <w:rPr>
          <w:noProof/>
          <w:lang w:val="en-GB"/>
        </w:rPr>
      </w:pPr>
      <w:bookmarkStart w:id="300" w:name="_Ref27487240"/>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F49F9">
        <w:rPr>
          <w:noProof/>
          <w:lang w:val="en-GB"/>
        </w:rPr>
        <w:t>55</w:t>
      </w:r>
      <w:r w:rsidR="00945A7C" w:rsidRPr="006D6727">
        <w:rPr>
          <w:noProof/>
          <w:lang w:val="en-GB"/>
        </w:rPr>
        <w:fldChar w:fldCharType="end"/>
      </w:r>
      <w:bookmarkEnd w:id="300"/>
      <w:r w:rsidRPr="006D6727">
        <w:rPr>
          <w:noProof/>
          <w:lang w:val="en-GB"/>
        </w:rPr>
        <w:t>: Extruder for plastic pipes with a shielded Radar thickness measurement system</w:t>
      </w:r>
    </w:p>
    <w:p w14:paraId="09A3A465" w14:textId="5A41CBF0" w:rsidR="006A0994" w:rsidRPr="006D6727" w:rsidRDefault="0076329E" w:rsidP="006A0994">
      <w:pPr>
        <w:rPr>
          <w:noProof/>
        </w:rPr>
      </w:pPr>
      <w:r w:rsidRPr="006D6727">
        <w:rPr>
          <w:noProof/>
        </w:rPr>
        <w:t xml:space="preserve">One recently fast-growing category are RDI-S systems for plastic extrusion thickness measurement, like shown in </w:t>
      </w:r>
      <w:r w:rsidR="00CC1A56" w:rsidRPr="006D6727">
        <w:rPr>
          <w:rStyle w:val="ECCHLyellow"/>
          <w:noProof/>
        </w:rPr>
        <w:fldChar w:fldCharType="begin"/>
      </w:r>
      <w:r w:rsidR="00CC1A56" w:rsidRPr="006D6727">
        <w:rPr>
          <w:noProof/>
        </w:rPr>
        <w:instrText xml:space="preserve"> REF _Ref27487240 \h </w:instrText>
      </w:r>
      <w:r w:rsidR="00CC1A56" w:rsidRPr="006D6727">
        <w:rPr>
          <w:rStyle w:val="ECCHLyellow"/>
          <w:noProof/>
        </w:rPr>
      </w:r>
      <w:r w:rsidR="00CC1A56" w:rsidRPr="006D6727">
        <w:rPr>
          <w:rStyle w:val="ECCHLyellow"/>
          <w:noProof/>
        </w:rPr>
        <w:fldChar w:fldCharType="separate"/>
      </w:r>
      <w:r w:rsidR="0041125F" w:rsidRPr="006D6727">
        <w:rPr>
          <w:noProof/>
        </w:rPr>
        <w:t>Figure </w:t>
      </w:r>
      <w:r w:rsidR="0041125F">
        <w:rPr>
          <w:noProof/>
        </w:rPr>
        <w:t>55</w:t>
      </w:r>
      <w:r w:rsidR="00CC1A56" w:rsidRPr="006D6727">
        <w:rPr>
          <w:rStyle w:val="ECCHLyellow"/>
          <w:noProof/>
        </w:rPr>
        <w:fldChar w:fldCharType="end"/>
      </w:r>
      <w:r w:rsidRPr="006D6727">
        <w:rPr>
          <w:noProof/>
        </w:rPr>
        <w:t>. In this application</w:t>
      </w:r>
      <w:r w:rsidR="008029B0">
        <w:rPr>
          <w:noProof/>
        </w:rPr>
        <w:t>,</w:t>
      </w:r>
      <w:r w:rsidRPr="006D6727">
        <w:rPr>
          <w:noProof/>
        </w:rPr>
        <w:t xml:space="preserve"> it is often very beneficial to replace ultrasound-based thickness measurement systems that need water for coupling of the ultrasound signal into the pipe with non-contact high resolution radiodetermination devices. One or more radar sensors are mounted in a fixed position pointing towards the pipe or mechanically rotate around the pipe. A common modulation technology is FMCW or pulse radar with a very wide bandwidth and duty cycles up to 100</w:t>
      </w:r>
      <w:r w:rsidR="00F800A2">
        <w:rPr>
          <w:noProof/>
        </w:rPr>
        <w:t>%</w:t>
      </w:r>
      <w:r w:rsidRPr="006D6727">
        <w:rPr>
          <w:noProof/>
        </w:rPr>
        <w:t xml:space="preserve"> combined with short sweep times for fast inline</w:t>
      </w:r>
      <w:r w:rsidR="00F95393" w:rsidRPr="006D6727">
        <w:rPr>
          <w:noProof/>
        </w:rPr>
        <w:t xml:space="preserve"> </w:t>
      </w:r>
      <w:r w:rsidRPr="006D6727">
        <w:rPr>
          <w:noProof/>
        </w:rPr>
        <w:t>testing. To measure thick pipes with black carbon (high absorption/attenuation) it is important to use radar systems with a sufficient output power. Thin pipes require a bandwidth as high as possible to allow separation of the inner and outer pipe wall reflection in signal processing. RDI-S systems for pipe measurement are designed to have a high level of shielding to prevent unwanted radiation of the wideband signals. There is no line-of-sight to victim receivers possible and the signal only leaves the enclosure after being scattered and attenuated several times. Some systems also use focused antenna beams that ensure radiation of high field strength only in areas where needed and the unwanted signals are scattered/attenuated in the enclosure</w:t>
      </w:r>
    </w:p>
    <w:p w14:paraId="65E67135" w14:textId="77777777" w:rsidR="000541D1" w:rsidRPr="006D6727" w:rsidRDefault="0076329E" w:rsidP="0076329E">
      <w:pPr>
        <w:pStyle w:val="Caption"/>
        <w:rPr>
          <w:noProof/>
          <w:lang w:val="en-GB" w:eastAsia="de-DE"/>
        </w:rPr>
      </w:pPr>
      <w:r w:rsidRPr="006D6727">
        <w:rPr>
          <w:noProof/>
          <w:lang w:val="de-DE" w:eastAsia="de-DE"/>
        </w:rPr>
        <w:drawing>
          <wp:inline distT="0" distB="0" distL="0" distR="0" wp14:anchorId="78F1D098" wp14:editId="271176C5">
            <wp:extent cx="4383158" cy="2171700"/>
            <wp:effectExtent l="0" t="0" r="0" b="0"/>
            <wp:docPr id="1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t="-1" b="-6311"/>
                    <a:stretch/>
                  </pic:blipFill>
                  <pic:spPr bwMode="auto">
                    <a:xfrm>
                      <a:off x="0" y="0"/>
                      <a:ext cx="4404343" cy="2182196"/>
                    </a:xfrm>
                    <a:prstGeom prst="rect">
                      <a:avLst/>
                    </a:prstGeom>
                    <a:noFill/>
                    <a:ln>
                      <a:noFill/>
                    </a:ln>
                    <a:extLst>
                      <a:ext uri="{53640926-AAD7-44D8-BBD7-CCE9431645EC}">
                        <a14:shadowObscured xmlns:a14="http://schemas.microsoft.com/office/drawing/2010/main"/>
                      </a:ext>
                    </a:extLst>
                  </pic:spPr>
                </pic:pic>
              </a:graphicData>
            </a:graphic>
          </wp:inline>
        </w:drawing>
      </w:r>
    </w:p>
    <w:p w14:paraId="5491F923" w14:textId="4937E820" w:rsidR="006A0994" w:rsidRPr="006D6727" w:rsidRDefault="006A0994" w:rsidP="0076329E">
      <w:pPr>
        <w:pStyle w:val="Caption"/>
        <w:rPr>
          <w:noProof/>
          <w:lang w:val="en-GB"/>
        </w:rPr>
      </w:pPr>
      <w:bookmarkStart w:id="301" w:name="_Ref27487258"/>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F49F9">
        <w:rPr>
          <w:noProof/>
          <w:lang w:val="en-GB"/>
        </w:rPr>
        <w:t>56</w:t>
      </w:r>
      <w:r w:rsidR="00945A7C" w:rsidRPr="006D6727">
        <w:rPr>
          <w:noProof/>
          <w:lang w:val="en-GB"/>
        </w:rPr>
        <w:fldChar w:fldCharType="end"/>
      </w:r>
      <w:bookmarkEnd w:id="301"/>
      <w:r w:rsidRPr="006D6727">
        <w:rPr>
          <w:noProof/>
          <w:lang w:val="en-GB"/>
        </w:rPr>
        <w:t>: Portable pipe scanner</w:t>
      </w:r>
    </w:p>
    <w:p w14:paraId="7F0F895B" w14:textId="0342EDCC" w:rsidR="006A0994" w:rsidRPr="006D6727" w:rsidRDefault="00CC1A56" w:rsidP="0076329E">
      <w:pPr>
        <w:rPr>
          <w:noProof/>
        </w:rPr>
      </w:pPr>
      <w:r w:rsidRPr="006D6727">
        <w:rPr>
          <w:rStyle w:val="ECCHLyellow"/>
          <w:noProof/>
        </w:rPr>
        <w:fldChar w:fldCharType="begin"/>
      </w:r>
      <w:r w:rsidRPr="006D6727">
        <w:rPr>
          <w:noProof/>
        </w:rPr>
        <w:instrText xml:space="preserve"> REF _Ref27487258 \h </w:instrText>
      </w:r>
      <w:r w:rsidRPr="006D6727">
        <w:rPr>
          <w:rStyle w:val="ECCHLyellow"/>
          <w:noProof/>
        </w:rPr>
      </w:r>
      <w:r w:rsidRPr="006D6727">
        <w:rPr>
          <w:rStyle w:val="ECCHLyellow"/>
          <w:noProof/>
        </w:rPr>
        <w:fldChar w:fldCharType="separate"/>
      </w:r>
      <w:r w:rsidR="0041125F" w:rsidRPr="006D6727">
        <w:rPr>
          <w:noProof/>
        </w:rPr>
        <w:t>Figure </w:t>
      </w:r>
      <w:r w:rsidR="0041125F">
        <w:rPr>
          <w:noProof/>
        </w:rPr>
        <w:t>56</w:t>
      </w:r>
      <w:r w:rsidRPr="006D6727">
        <w:rPr>
          <w:rStyle w:val="ECCHLyellow"/>
          <w:noProof/>
        </w:rPr>
        <w:fldChar w:fldCharType="end"/>
      </w:r>
      <w:r w:rsidRPr="006D6727">
        <w:rPr>
          <w:rStyle w:val="ECCParagraph"/>
          <w:noProof/>
        </w:rPr>
        <w:t xml:space="preserve"> </w:t>
      </w:r>
      <w:r w:rsidR="0076329E" w:rsidRPr="006D6727">
        <w:rPr>
          <w:noProof/>
        </w:rPr>
        <w:t>shows a portable pipe scanner in handheld version. Those systems are designed to allow non-inline testing of pipe diameter and thickness. A measurement is triggered by a push-button and the time between measurements can be limited. To ensure wide bandwidth operation only with a measurement object in front of the sensors the systems operate in dual</w:t>
      </w:r>
      <w:r w:rsidR="00F95393" w:rsidRPr="006D6727">
        <w:rPr>
          <w:noProof/>
        </w:rPr>
        <w:t xml:space="preserve"> </w:t>
      </w:r>
      <w:r w:rsidR="0076329E" w:rsidRPr="006D6727">
        <w:rPr>
          <w:noProof/>
        </w:rPr>
        <w:t>mode. A material detection measurement in small-bandwidth RDI mode will be conducted first and the wide-bandwidth measurement in RDI-S mode will be triggered only if a measurement object is inside the beam to ensure no line-of-sight operation towards victim receivers</w:t>
      </w:r>
    </w:p>
    <w:p w14:paraId="12155981" w14:textId="77777777" w:rsidR="0076329E" w:rsidRPr="006D6727" w:rsidRDefault="0076329E" w:rsidP="0076329E">
      <w:pPr>
        <w:pStyle w:val="Caption"/>
        <w:rPr>
          <w:noProof/>
          <w:lang w:val="en-GB"/>
        </w:rPr>
      </w:pPr>
      <w:r w:rsidRPr="006D6727">
        <w:rPr>
          <w:noProof/>
          <w:lang w:val="de-DE" w:eastAsia="de-DE"/>
        </w:rPr>
        <w:drawing>
          <wp:inline distT="0" distB="0" distL="0" distR="0" wp14:anchorId="741DEFE0" wp14:editId="3B886494">
            <wp:extent cx="5821427" cy="2623931"/>
            <wp:effectExtent l="0" t="0" r="8255" b="0"/>
            <wp:docPr id="12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screen">
                      <a:extLst>
                        <a:ext uri="{28A0092B-C50C-407E-A947-70E740481C1C}">
                          <a14:useLocalDpi xmlns:a14="http://schemas.microsoft.com/office/drawing/2010/main"/>
                        </a:ext>
                      </a:extLst>
                    </a:blip>
                    <a:srcRect b="-5251"/>
                    <a:stretch/>
                  </pic:blipFill>
                  <pic:spPr bwMode="auto">
                    <a:xfrm>
                      <a:off x="0" y="0"/>
                      <a:ext cx="5851900" cy="2637666"/>
                    </a:xfrm>
                    <a:prstGeom prst="rect">
                      <a:avLst/>
                    </a:prstGeom>
                    <a:ln>
                      <a:noFill/>
                    </a:ln>
                    <a:extLst>
                      <a:ext uri="{53640926-AAD7-44D8-BBD7-CCE9431645EC}">
                        <a14:shadowObscured xmlns:a14="http://schemas.microsoft.com/office/drawing/2010/main"/>
                      </a:ext>
                    </a:extLst>
                  </pic:spPr>
                </pic:pic>
              </a:graphicData>
            </a:graphic>
          </wp:inline>
        </w:drawing>
      </w:r>
    </w:p>
    <w:p w14:paraId="58175DA3" w14:textId="5A99E0C3" w:rsidR="006A0994" w:rsidRPr="006D6727" w:rsidRDefault="006A0994" w:rsidP="0076329E">
      <w:pPr>
        <w:pStyle w:val="Caption"/>
        <w:rPr>
          <w:noProof/>
          <w:lang w:val="en-GB"/>
        </w:rPr>
      </w:pPr>
      <w:bookmarkStart w:id="302" w:name="_Ref27487288"/>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F49F9">
        <w:rPr>
          <w:noProof/>
          <w:lang w:val="en-GB"/>
        </w:rPr>
        <w:t>57</w:t>
      </w:r>
      <w:r w:rsidR="00945A7C" w:rsidRPr="006D6727">
        <w:rPr>
          <w:noProof/>
          <w:lang w:val="en-GB"/>
        </w:rPr>
        <w:fldChar w:fldCharType="end"/>
      </w:r>
      <w:bookmarkEnd w:id="302"/>
      <w:r w:rsidRPr="006D6727">
        <w:rPr>
          <w:noProof/>
          <w:lang w:val="en-GB"/>
        </w:rPr>
        <w:t xml:space="preserve">: </w:t>
      </w:r>
      <w:r w:rsidR="0076329E" w:rsidRPr="006D6727">
        <w:rPr>
          <w:noProof/>
          <w:lang w:val="en-GB"/>
        </w:rPr>
        <w:t>High resolution mmW non destructive testing (NDT) sample evaluated in slices at two different heights</w:t>
      </w:r>
    </w:p>
    <w:p w14:paraId="137023C3" w14:textId="342F4F23" w:rsidR="0076329E" w:rsidRPr="006D6727" w:rsidRDefault="00C53811" w:rsidP="0076329E">
      <w:pPr>
        <w:rPr>
          <w:noProof/>
        </w:rPr>
      </w:pPr>
      <w:r w:rsidRPr="006D6727">
        <w:rPr>
          <w:noProof/>
        </w:rPr>
        <w:t xml:space="preserve">Another important and emerging application is high resolution imaging, like shown in </w:t>
      </w:r>
      <w:r w:rsidR="009156A7" w:rsidRPr="006D6727">
        <w:rPr>
          <w:rStyle w:val="ECCHLyellow"/>
          <w:noProof/>
        </w:rPr>
        <w:fldChar w:fldCharType="begin"/>
      </w:r>
      <w:r w:rsidR="009156A7" w:rsidRPr="006D6727">
        <w:rPr>
          <w:noProof/>
        </w:rPr>
        <w:instrText xml:space="preserve"> REF _Ref27487288 \h </w:instrText>
      </w:r>
      <w:r w:rsidR="009156A7" w:rsidRPr="006D6727">
        <w:rPr>
          <w:rStyle w:val="ECCHLyellow"/>
          <w:noProof/>
        </w:rPr>
      </w:r>
      <w:r w:rsidR="009156A7" w:rsidRPr="006D6727">
        <w:rPr>
          <w:rStyle w:val="ECCHLyellow"/>
          <w:noProof/>
        </w:rPr>
        <w:fldChar w:fldCharType="separate"/>
      </w:r>
      <w:r w:rsidR="0041125F" w:rsidRPr="006D6727">
        <w:rPr>
          <w:noProof/>
        </w:rPr>
        <w:t>Figure </w:t>
      </w:r>
      <w:r w:rsidR="0041125F">
        <w:rPr>
          <w:noProof/>
        </w:rPr>
        <w:t>57</w:t>
      </w:r>
      <w:r w:rsidR="009156A7" w:rsidRPr="006D6727">
        <w:rPr>
          <w:rStyle w:val="ECCHLyellow"/>
          <w:noProof/>
        </w:rPr>
        <w:fldChar w:fldCharType="end"/>
      </w:r>
      <w:r w:rsidRPr="006D6727">
        <w:rPr>
          <w:noProof/>
        </w:rPr>
        <w:t xml:space="preserve">. Those systems are used for 3D quality control of material samples. The resolution in X-Y direction is achieved by using focused beams pointing at the object or by synthetic aperture radar (SAR) focusing techniques. The example images shown are D-Band SAR images with 55 GHz bandwidth. The object is typically scanned with an open waveguide directed to the object and focusing is done in signal processing. A large bandwidth ensures a good resolution also in height, allowing slicing of objects in different height layers, as shown in the example SAR images in </w:t>
      </w:r>
      <w:r w:rsidR="009156A7" w:rsidRPr="006D6727">
        <w:rPr>
          <w:rStyle w:val="ECCParagraph"/>
          <w:noProof/>
        </w:rPr>
        <w:fldChar w:fldCharType="begin"/>
      </w:r>
      <w:r w:rsidR="009156A7" w:rsidRPr="006D6727">
        <w:rPr>
          <w:rStyle w:val="ECCParagraph"/>
          <w:noProof/>
        </w:rPr>
        <w:instrText xml:space="preserve"> REF _Ref27487288 \h  \* MERGEFORMAT </w:instrText>
      </w:r>
      <w:r w:rsidR="009156A7" w:rsidRPr="006D6727">
        <w:rPr>
          <w:rStyle w:val="ECCParagraph"/>
          <w:noProof/>
        </w:rPr>
      </w:r>
      <w:r w:rsidR="009156A7" w:rsidRPr="006D6727">
        <w:rPr>
          <w:rStyle w:val="ECCParagraph"/>
          <w:noProof/>
        </w:rPr>
        <w:fldChar w:fldCharType="separate"/>
      </w:r>
      <w:r w:rsidR="0041125F" w:rsidRPr="0041125F">
        <w:rPr>
          <w:rStyle w:val="ECCParagraph"/>
          <w:noProof/>
        </w:rPr>
        <w:t>Figure 57</w:t>
      </w:r>
      <w:r w:rsidR="009156A7" w:rsidRPr="006D6727">
        <w:rPr>
          <w:rStyle w:val="ECCParagraph"/>
          <w:noProof/>
        </w:rPr>
        <w:fldChar w:fldCharType="end"/>
      </w:r>
      <w:r w:rsidRPr="006D6727">
        <w:rPr>
          <w:rStyle w:val="ECCParagraph"/>
          <w:noProof/>
        </w:rPr>
        <w:t>.</w:t>
      </w:r>
    </w:p>
    <w:p w14:paraId="5018B8BF" w14:textId="77777777" w:rsidR="00C53811" w:rsidRPr="006D6727" w:rsidRDefault="00FC56C7" w:rsidP="00FC56C7">
      <w:pPr>
        <w:pStyle w:val="Caption"/>
        <w:rPr>
          <w:noProof/>
          <w:lang w:val="en-GB"/>
        </w:rPr>
      </w:pPr>
      <w:r w:rsidRPr="006D6727">
        <w:rPr>
          <w:noProof/>
          <w:lang w:val="de-DE" w:eastAsia="de-DE"/>
        </w:rPr>
        <w:drawing>
          <wp:inline distT="0" distB="0" distL="0" distR="0" wp14:anchorId="7A875382" wp14:editId="4E2B790B">
            <wp:extent cx="4641448" cy="1978270"/>
            <wp:effectExtent l="0" t="0" r="6985" b="3175"/>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4681364" cy="1995283"/>
                    </a:xfrm>
                    <a:prstGeom prst="rect">
                      <a:avLst/>
                    </a:prstGeom>
                  </pic:spPr>
                </pic:pic>
              </a:graphicData>
            </a:graphic>
          </wp:inline>
        </w:drawing>
      </w:r>
    </w:p>
    <w:p w14:paraId="5F74471C" w14:textId="0DEAFDE6" w:rsidR="006A0994" w:rsidRPr="006D6727" w:rsidRDefault="006A0994" w:rsidP="00FC56C7">
      <w:pPr>
        <w:pStyle w:val="Caption"/>
        <w:rPr>
          <w:noProof/>
          <w:lang w:val="en-GB"/>
        </w:rPr>
      </w:pPr>
      <w:bookmarkStart w:id="303" w:name="_Ref27487353"/>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F49F9">
        <w:rPr>
          <w:noProof/>
          <w:lang w:val="en-GB"/>
        </w:rPr>
        <w:t>58</w:t>
      </w:r>
      <w:r w:rsidR="00945A7C" w:rsidRPr="006D6727">
        <w:rPr>
          <w:noProof/>
          <w:lang w:val="en-GB"/>
        </w:rPr>
        <w:fldChar w:fldCharType="end"/>
      </w:r>
      <w:bookmarkEnd w:id="303"/>
      <w:r w:rsidRPr="006D6727">
        <w:rPr>
          <w:noProof/>
          <w:lang w:val="en-GB"/>
        </w:rPr>
        <w:t>: Steel sheet thickness measurement and other in</w:t>
      </w:r>
      <w:r w:rsidR="00FE093A" w:rsidRPr="006D6727">
        <w:rPr>
          <w:noProof/>
          <w:lang w:val="en-GB"/>
        </w:rPr>
        <w:t>-</w:t>
      </w:r>
      <w:r w:rsidRPr="006D6727">
        <w:rPr>
          <w:noProof/>
          <w:lang w:val="en-GB"/>
        </w:rPr>
        <w:t>line sensors</w:t>
      </w:r>
    </w:p>
    <w:p w14:paraId="0AD8E134" w14:textId="7869507F" w:rsidR="00FC56C7" w:rsidRPr="006D6727" w:rsidRDefault="00321BD2" w:rsidP="00FC56C7">
      <w:pPr>
        <w:rPr>
          <w:noProof/>
        </w:rPr>
      </w:pPr>
      <w:r w:rsidRPr="006D6727">
        <w:rPr>
          <w:rStyle w:val="ECCHLyellow"/>
          <w:noProof/>
        </w:rPr>
        <w:fldChar w:fldCharType="begin"/>
      </w:r>
      <w:r w:rsidRPr="006D6727">
        <w:rPr>
          <w:noProof/>
        </w:rPr>
        <w:instrText xml:space="preserve"> REF _Ref27487353 \h </w:instrText>
      </w:r>
      <w:r w:rsidRPr="006D6727">
        <w:rPr>
          <w:rStyle w:val="ECCHLyellow"/>
          <w:noProof/>
        </w:rPr>
      </w:r>
      <w:r w:rsidRPr="006D6727">
        <w:rPr>
          <w:rStyle w:val="ECCHLyellow"/>
          <w:noProof/>
        </w:rPr>
        <w:fldChar w:fldCharType="separate"/>
      </w:r>
      <w:r w:rsidR="0041125F" w:rsidRPr="006D6727">
        <w:rPr>
          <w:noProof/>
        </w:rPr>
        <w:t>Figure </w:t>
      </w:r>
      <w:r w:rsidR="0041125F">
        <w:rPr>
          <w:noProof/>
        </w:rPr>
        <w:t>58</w:t>
      </w:r>
      <w:r w:rsidRPr="006D6727">
        <w:rPr>
          <w:rStyle w:val="ECCHLyellow"/>
          <w:noProof/>
        </w:rPr>
        <w:fldChar w:fldCharType="end"/>
      </w:r>
      <w:r w:rsidRPr="006D6727">
        <w:rPr>
          <w:rStyle w:val="ECCParagraph"/>
          <w:noProof/>
        </w:rPr>
        <w:t xml:space="preserve"> </w:t>
      </w:r>
      <w:r w:rsidR="00FC56C7" w:rsidRPr="006D6727">
        <w:rPr>
          <w:noProof/>
        </w:rPr>
        <w:t>shows RDI-S sensors for sheet thickness measurement and other inline sensing applications. For this purpose, the RDI-S sensors are integrated into or are installed close to production lines. One possible application is steel sheet thickness and width measurement. Here the wide bandwidth is needed for superior measurement precision also in harsh environments. The UWB operation allows to characterize/compensate dust coatings of antennas and targets for measurements with single digit micrometre precision. Compared to laser interferometers the innovative wideband radar technology is very beneficial due to its capability of absolute, one-shot multi-target measurements and robustness against dust and dirt due to the larger wavelength of the signals</w:t>
      </w:r>
    </w:p>
    <w:p w14:paraId="3D444E2D" w14:textId="77777777" w:rsidR="003A1CBD" w:rsidRPr="006D6727" w:rsidRDefault="00D1785A" w:rsidP="004E36C2">
      <w:pPr>
        <w:pStyle w:val="Heading4"/>
        <w:rPr>
          <w:noProof/>
        </w:rPr>
      </w:pPr>
      <w:bookmarkStart w:id="304" w:name="_Ref66452766"/>
      <w:bookmarkStart w:id="305" w:name="_Toc84325292"/>
      <w:r w:rsidRPr="006D6727">
        <w:rPr>
          <w:noProof/>
        </w:rPr>
        <w:t>Frequency ranges and application types</w:t>
      </w:r>
      <w:bookmarkEnd w:id="304"/>
      <w:bookmarkEnd w:id="305"/>
    </w:p>
    <w:p w14:paraId="0077D65D" w14:textId="0295292A" w:rsidR="009D26C7" w:rsidRPr="006D6727" w:rsidRDefault="009D26C7" w:rsidP="009D26C7">
      <w:pPr>
        <w:rPr>
          <w:rStyle w:val="ECCParagraph"/>
          <w:noProof/>
        </w:rPr>
      </w:pPr>
      <w:r w:rsidRPr="006D6727">
        <w:rPr>
          <w:rStyle w:val="ECCParagraph"/>
          <w:noProof/>
        </w:rPr>
        <w:t xml:space="preserve">Radiodetermination systems for industry automation in shielded environments have been categorised as type C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F49F9">
        <w:rPr>
          <w:rStyle w:val="ECCParagraph"/>
          <w:noProof/>
        </w:rPr>
        <w:t>2.1</w:t>
      </w:r>
      <w:r w:rsidRPr="006D6727">
        <w:rPr>
          <w:rStyle w:val="ECCParagraph"/>
          <w:noProof/>
        </w:rPr>
        <w:fldChar w:fldCharType="end"/>
      </w:r>
      <w:r w:rsidRPr="006D6727">
        <w:rPr>
          <w:rStyle w:val="ECCParagraph"/>
          <w:noProof/>
        </w:rPr>
        <w:t xml:space="preserve">). The following frequency range </w:t>
      </w:r>
      <w:r w:rsidR="009128CA" w:rsidRPr="006D6727">
        <w:rPr>
          <w:rStyle w:val="ECCParagraph"/>
          <w:noProof/>
        </w:rPr>
        <w:t>is</w:t>
      </w:r>
      <w:r w:rsidRPr="006D6727">
        <w:rPr>
          <w:rStyle w:val="ECCParagraph"/>
          <w:noProof/>
        </w:rPr>
        <w:t xml:space="preserve"> proposed to be considered for this type of application (see </w:t>
      </w:r>
      <w:r w:rsidR="002A6111" w:rsidRPr="006D6727">
        <w:rPr>
          <w:rStyle w:val="ECCParagraph"/>
          <w:noProof/>
        </w:rPr>
        <w:fldChar w:fldCharType="begin"/>
      </w:r>
      <w:r w:rsidR="002A6111" w:rsidRPr="006D6727">
        <w:rPr>
          <w:rStyle w:val="ECCParagraph"/>
          <w:noProof/>
        </w:rPr>
        <w:instrText xml:space="preserve"> REF _Ref15636825 \h </w:instrText>
      </w:r>
      <w:r w:rsidR="002A6111" w:rsidRPr="006D6727">
        <w:rPr>
          <w:rStyle w:val="ECCParagraph"/>
          <w:noProof/>
        </w:rPr>
      </w:r>
      <w:r w:rsidR="002A6111" w:rsidRPr="006D6727">
        <w:rPr>
          <w:rStyle w:val="ECCParagraph"/>
          <w:noProof/>
        </w:rPr>
        <w:fldChar w:fldCharType="separate"/>
      </w:r>
      <w:r w:rsidR="0041125F" w:rsidRPr="006D6727">
        <w:rPr>
          <w:noProof/>
        </w:rPr>
        <w:t>Table </w:t>
      </w:r>
      <w:r w:rsidR="0041125F">
        <w:rPr>
          <w:noProof/>
        </w:rPr>
        <w:t>33</w:t>
      </w:r>
      <w:r w:rsidR="002A6111" w:rsidRPr="006D6727">
        <w:rPr>
          <w:rStyle w:val="ECCParagraph"/>
          <w:noProof/>
        </w:rPr>
        <w:fldChar w:fldCharType="end"/>
      </w:r>
      <w:r w:rsidRPr="006D6727">
        <w:rPr>
          <w:rStyle w:val="ECCParagraph"/>
          <w:noProof/>
        </w:rPr>
        <w:t>):</w:t>
      </w:r>
    </w:p>
    <w:p w14:paraId="1067623D" w14:textId="77777777" w:rsidR="009D26C7" w:rsidRPr="006D6727" w:rsidRDefault="009D26C7" w:rsidP="009D26C7">
      <w:pPr>
        <w:pStyle w:val="ECCBulletsLv1"/>
        <w:rPr>
          <w:noProof/>
        </w:rPr>
      </w:pPr>
      <w:r w:rsidRPr="006D6727">
        <w:rPr>
          <w:rStyle w:val="ECCParagraph"/>
          <w:noProof/>
        </w:rPr>
        <w:t xml:space="preserve">116 GHz to </w:t>
      </w:r>
      <w:r w:rsidR="004327AD" w:rsidRPr="006D6727">
        <w:rPr>
          <w:rStyle w:val="ECCParagraph"/>
          <w:noProof/>
        </w:rPr>
        <w:t>260 </w:t>
      </w:r>
      <w:r w:rsidRPr="006D6727">
        <w:rPr>
          <w:rStyle w:val="ECCParagraph"/>
          <w:noProof/>
        </w:rPr>
        <w:t>GHz.</w:t>
      </w:r>
    </w:p>
    <w:p w14:paraId="69307754" w14:textId="77777777" w:rsidR="00995788" w:rsidRPr="006D6727" w:rsidRDefault="00995788" w:rsidP="004E36C2">
      <w:pPr>
        <w:pStyle w:val="Heading4"/>
        <w:rPr>
          <w:noProof/>
        </w:rPr>
      </w:pPr>
      <w:bookmarkStart w:id="306" w:name="_Ref66452779"/>
      <w:bookmarkStart w:id="307" w:name="_Ref66452795"/>
      <w:bookmarkStart w:id="308" w:name="_Toc84325293"/>
      <w:r w:rsidRPr="006D6727">
        <w:rPr>
          <w:noProof/>
        </w:rPr>
        <w:t>Technical parameters</w:t>
      </w:r>
      <w:bookmarkEnd w:id="306"/>
      <w:bookmarkEnd w:id="307"/>
      <w:bookmarkEnd w:id="308"/>
    </w:p>
    <w:p w14:paraId="035ECD90" w14:textId="481745D9" w:rsidR="00FE093A" w:rsidRPr="006D6727" w:rsidRDefault="00CE533C" w:rsidP="00EA11B9">
      <w:pPr>
        <w:pStyle w:val="ECCTabletext"/>
        <w:rPr>
          <w:noProof/>
        </w:rPr>
      </w:pPr>
      <w:r w:rsidRPr="006D6727">
        <w:rPr>
          <w:rStyle w:val="ECCParagraph"/>
          <w:noProof/>
        </w:rPr>
        <w:fldChar w:fldCharType="begin"/>
      </w:r>
      <w:r w:rsidRPr="006D6727">
        <w:rPr>
          <w:rStyle w:val="ECCParagraph"/>
          <w:noProof/>
        </w:rPr>
        <w:instrText xml:space="preserve"> REF _Ref20131329 \h </w:instrText>
      </w:r>
      <w:r w:rsidRPr="006D6727">
        <w:rPr>
          <w:rStyle w:val="ECCParagraph"/>
          <w:noProof/>
        </w:rPr>
      </w:r>
      <w:r w:rsidRPr="006D6727">
        <w:rPr>
          <w:rStyle w:val="ECCParagraph"/>
          <w:noProof/>
        </w:rPr>
        <w:fldChar w:fldCharType="separate"/>
      </w:r>
      <w:r w:rsidR="0041125F" w:rsidRPr="006D6727">
        <w:rPr>
          <w:noProof/>
        </w:rPr>
        <w:t>Table </w:t>
      </w:r>
      <w:r w:rsidR="0041125F">
        <w:rPr>
          <w:noProof/>
        </w:rPr>
        <w:t>30</w:t>
      </w:r>
      <w:r w:rsidRPr="006D6727">
        <w:rPr>
          <w:rStyle w:val="ECCParagraph"/>
          <w:noProof/>
        </w:rPr>
        <w:fldChar w:fldCharType="end"/>
      </w:r>
      <w:r w:rsidR="00FE093A" w:rsidRPr="006D6727">
        <w:rPr>
          <w:rStyle w:val="ECCParagraph"/>
          <w:noProof/>
        </w:rPr>
        <w:t xml:space="preserve"> gives an overview of the technical parameters of RDI-S devices which may be relevant for conducting the compatibility studies.</w:t>
      </w:r>
    </w:p>
    <w:p w14:paraId="6700C8A7" w14:textId="05FAEC30" w:rsidR="00FE093A" w:rsidRPr="006D6727" w:rsidRDefault="00CE533C" w:rsidP="00FE093A">
      <w:pPr>
        <w:pStyle w:val="Caption"/>
        <w:rPr>
          <w:rStyle w:val="ECCHLyellow"/>
          <w:noProof/>
        </w:rPr>
      </w:pPr>
      <w:bookmarkStart w:id="309" w:name="_Ref20131329"/>
      <w:r w:rsidRPr="006D6727">
        <w:rPr>
          <w:noProof/>
          <w:lang w:val="en-GB"/>
        </w:rPr>
        <w:t>Table</w:t>
      </w:r>
      <w:r w:rsidR="00F13B2E"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30</w:t>
      </w:r>
      <w:r w:rsidR="00616942" w:rsidRPr="006D6727">
        <w:rPr>
          <w:noProof/>
          <w:lang w:val="en-GB"/>
        </w:rPr>
        <w:fldChar w:fldCharType="end"/>
      </w:r>
      <w:bookmarkEnd w:id="309"/>
      <w:r w:rsidR="00FE093A" w:rsidRPr="006D6727">
        <w:rPr>
          <w:noProof/>
          <w:lang w:val="en-GB"/>
        </w:rPr>
        <w:t xml:space="preserve">: </w:t>
      </w:r>
      <w:r w:rsidR="00FE093A" w:rsidRPr="006D6727">
        <w:rPr>
          <w:rStyle w:val="ECCParagraph"/>
          <w:rFonts w:eastAsia="Calibri"/>
          <w:noProof/>
        </w:rPr>
        <w:t xml:space="preserve">Technical parameters </w:t>
      </w:r>
      <w:r w:rsidR="008F3C23">
        <w:rPr>
          <w:rStyle w:val="ECCParagraph"/>
          <w:rFonts w:eastAsia="Calibri"/>
        </w:rPr>
        <w:t xml:space="preserve">of </w:t>
      </w:r>
      <w:r w:rsidR="00FE093A" w:rsidRPr="006D6727">
        <w:rPr>
          <w:rStyle w:val="ECCParagraph"/>
          <w:rFonts w:eastAsia="Calibri"/>
          <w:noProof/>
        </w:rPr>
        <w:t xml:space="preserve">RDI-S </w:t>
      </w:r>
      <w:r w:rsidRPr="006D6727">
        <w:rPr>
          <w:rStyle w:val="ECCParagraph"/>
          <w:rFonts w:eastAsia="Calibri"/>
          <w:noProof/>
        </w:rPr>
        <w:t>t</w:t>
      </w:r>
      <w:r w:rsidR="00FE093A" w:rsidRPr="006D6727">
        <w:rPr>
          <w:rStyle w:val="ECCParagraph"/>
          <w:rFonts w:eastAsia="Calibri"/>
          <w:noProof/>
        </w:rPr>
        <w:t>ype C devices for industry automation in shielded environments</w:t>
      </w:r>
    </w:p>
    <w:tbl>
      <w:tblPr>
        <w:tblStyle w:val="ECCTable-redheader"/>
        <w:tblW w:w="5000" w:type="pct"/>
        <w:tblInd w:w="0" w:type="dxa"/>
        <w:tblLook w:val="04A0" w:firstRow="1" w:lastRow="0" w:firstColumn="1" w:lastColumn="0" w:noHBand="0" w:noVBand="1"/>
      </w:tblPr>
      <w:tblGrid>
        <w:gridCol w:w="2688"/>
        <w:gridCol w:w="2126"/>
        <w:gridCol w:w="4815"/>
      </w:tblGrid>
      <w:tr w:rsidR="00FE093A" w:rsidRPr="006D6727" w14:paraId="2BBB4F5C" w14:textId="77777777" w:rsidTr="00752CEF">
        <w:trPr>
          <w:cnfStyle w:val="100000000000" w:firstRow="1" w:lastRow="0" w:firstColumn="0" w:lastColumn="0" w:oddVBand="0" w:evenVBand="0" w:oddHBand="0" w:evenHBand="0" w:firstRowFirstColumn="0" w:firstRowLastColumn="0" w:lastRowFirstColumn="0" w:lastRowLastColumn="0"/>
        </w:trPr>
        <w:tc>
          <w:tcPr>
            <w:tcW w:w="1396" w:type="pct"/>
          </w:tcPr>
          <w:p w14:paraId="241EA97A" w14:textId="77777777" w:rsidR="00FE093A" w:rsidRPr="006D6727" w:rsidRDefault="00FE093A" w:rsidP="0063171C">
            <w:pPr>
              <w:pStyle w:val="ECCTabletext"/>
              <w:spacing w:before="120"/>
              <w:jc w:val="left"/>
              <w:rPr>
                <w:rStyle w:val="ECCParagraph"/>
                <w:bCs/>
                <w:noProof/>
                <w:color w:val="D2232A"/>
                <w:szCs w:val="20"/>
                <w:lang w:eastAsia="en-US" w:bidi="ar-SA"/>
              </w:rPr>
            </w:pPr>
            <w:r w:rsidRPr="006D6727">
              <w:rPr>
                <w:rStyle w:val="ECCParagraph"/>
                <w:noProof/>
              </w:rPr>
              <w:t>Parameter</w:t>
            </w:r>
          </w:p>
        </w:tc>
        <w:tc>
          <w:tcPr>
            <w:tcW w:w="1104" w:type="pct"/>
          </w:tcPr>
          <w:p w14:paraId="47587BFF" w14:textId="77777777" w:rsidR="00FE093A" w:rsidRPr="006D6727" w:rsidRDefault="00FE093A" w:rsidP="0063171C">
            <w:pPr>
              <w:pStyle w:val="ECCTabletext"/>
              <w:spacing w:before="120"/>
              <w:jc w:val="left"/>
              <w:rPr>
                <w:rStyle w:val="ECCParagraph"/>
                <w:b w:val="0"/>
                <w:noProof/>
                <w:color w:val="auto"/>
                <w:lang w:eastAsia="en-US" w:bidi="ar-SA"/>
              </w:rPr>
            </w:pPr>
            <w:r w:rsidRPr="006D6727">
              <w:rPr>
                <w:rStyle w:val="ECCParagraph"/>
                <w:noProof/>
              </w:rPr>
              <w:t>Value</w:t>
            </w:r>
          </w:p>
        </w:tc>
        <w:tc>
          <w:tcPr>
            <w:tcW w:w="2500" w:type="pct"/>
          </w:tcPr>
          <w:p w14:paraId="2899B4D6" w14:textId="77777777" w:rsidR="00FE093A" w:rsidRPr="006D6727" w:rsidRDefault="00FE093A" w:rsidP="0063171C">
            <w:pPr>
              <w:pStyle w:val="ECCTabletext"/>
              <w:spacing w:before="120"/>
              <w:jc w:val="left"/>
              <w:rPr>
                <w:rStyle w:val="ECCParagraph"/>
                <w:b w:val="0"/>
                <w:noProof/>
                <w:color w:val="auto"/>
                <w:lang w:eastAsia="en-US" w:bidi="ar-SA"/>
              </w:rPr>
            </w:pPr>
            <w:r w:rsidRPr="006D6727">
              <w:rPr>
                <w:rStyle w:val="ECCParagraph"/>
                <w:noProof/>
              </w:rPr>
              <w:t>Notes</w:t>
            </w:r>
          </w:p>
        </w:tc>
      </w:tr>
      <w:tr w:rsidR="00FE093A" w:rsidRPr="006D6727" w14:paraId="5282B44F" w14:textId="77777777" w:rsidTr="00752CEF">
        <w:trPr>
          <w:trHeight w:val="265"/>
        </w:trPr>
        <w:tc>
          <w:tcPr>
            <w:tcW w:w="1396" w:type="pct"/>
          </w:tcPr>
          <w:p w14:paraId="4BE03930" w14:textId="77777777" w:rsidR="00FE093A" w:rsidRPr="006D6727" w:rsidRDefault="00FE093A" w:rsidP="00EA11B9">
            <w:pPr>
              <w:pStyle w:val="ECCTabletext"/>
              <w:jc w:val="left"/>
              <w:rPr>
                <w:rStyle w:val="ECCParagraph"/>
                <w:noProof/>
              </w:rPr>
            </w:pPr>
            <w:r w:rsidRPr="006D6727">
              <w:rPr>
                <w:rStyle w:val="ECCParagraph"/>
                <w:noProof/>
              </w:rPr>
              <w:t>Modulation scheme</w:t>
            </w:r>
          </w:p>
        </w:tc>
        <w:tc>
          <w:tcPr>
            <w:tcW w:w="1104" w:type="pct"/>
          </w:tcPr>
          <w:p w14:paraId="73FECC30" w14:textId="77777777" w:rsidR="00FE093A" w:rsidRPr="006D6727" w:rsidRDefault="00FE093A" w:rsidP="00EA11B9">
            <w:pPr>
              <w:pStyle w:val="ECCTabletext"/>
              <w:jc w:val="left"/>
              <w:rPr>
                <w:rStyle w:val="ECCParagraph"/>
                <w:noProof/>
              </w:rPr>
            </w:pPr>
            <w:r w:rsidRPr="006D6727">
              <w:rPr>
                <w:rStyle w:val="ECCParagraph"/>
                <w:noProof/>
              </w:rPr>
              <w:t>Frequency Modulated Continuous Wave (FMCW)</w:t>
            </w:r>
          </w:p>
        </w:tc>
        <w:tc>
          <w:tcPr>
            <w:tcW w:w="2500" w:type="pct"/>
          </w:tcPr>
          <w:p w14:paraId="10EC40E8" w14:textId="77777777" w:rsidR="00FE093A" w:rsidRPr="006D6727" w:rsidRDefault="00FE093A" w:rsidP="005F39BC">
            <w:pPr>
              <w:pStyle w:val="ECCTabletext"/>
              <w:rPr>
                <w:rStyle w:val="ECCParagraph"/>
                <w:noProof/>
              </w:rPr>
            </w:pPr>
          </w:p>
        </w:tc>
      </w:tr>
      <w:tr w:rsidR="00FE093A" w:rsidRPr="006D6727" w14:paraId="6D578EFA" w14:textId="77777777" w:rsidTr="00752CEF">
        <w:trPr>
          <w:trHeight w:val="265"/>
        </w:trPr>
        <w:tc>
          <w:tcPr>
            <w:tcW w:w="1396" w:type="pct"/>
          </w:tcPr>
          <w:p w14:paraId="7B4C2518" w14:textId="77777777" w:rsidR="00FE093A" w:rsidRPr="006D6727" w:rsidRDefault="00FE093A" w:rsidP="00EA11B9">
            <w:pPr>
              <w:pStyle w:val="ECCTabletext"/>
              <w:jc w:val="left"/>
              <w:rPr>
                <w:rStyle w:val="ECCParagraph"/>
                <w:noProof/>
              </w:rPr>
            </w:pPr>
            <w:r w:rsidRPr="006D6727">
              <w:rPr>
                <w:rStyle w:val="ECCParagraph"/>
                <w:noProof/>
              </w:rPr>
              <w:t>Operating frequency range (OFR)</w:t>
            </w:r>
          </w:p>
        </w:tc>
        <w:tc>
          <w:tcPr>
            <w:tcW w:w="1104" w:type="pct"/>
          </w:tcPr>
          <w:p w14:paraId="3338073A" w14:textId="77777777" w:rsidR="00FE093A" w:rsidRPr="006D6727" w:rsidRDefault="00FE093A" w:rsidP="00EA11B9">
            <w:pPr>
              <w:pStyle w:val="ECCTabletext"/>
              <w:jc w:val="left"/>
              <w:rPr>
                <w:rStyle w:val="ECCParagraph"/>
                <w:noProof/>
              </w:rPr>
            </w:pPr>
            <w:r w:rsidRPr="006D6727">
              <w:rPr>
                <w:rStyle w:val="ECCParagraph"/>
                <w:noProof/>
              </w:rPr>
              <w:t>116−</w:t>
            </w:r>
            <w:r w:rsidR="004327AD" w:rsidRPr="006D6727">
              <w:rPr>
                <w:rStyle w:val="ECCParagraph"/>
                <w:noProof/>
              </w:rPr>
              <w:t>260 </w:t>
            </w:r>
            <w:r w:rsidRPr="006D6727">
              <w:rPr>
                <w:rStyle w:val="ECCParagraph"/>
                <w:noProof/>
              </w:rPr>
              <w:t>GHz</w:t>
            </w:r>
          </w:p>
        </w:tc>
        <w:tc>
          <w:tcPr>
            <w:tcW w:w="2500" w:type="pct"/>
          </w:tcPr>
          <w:p w14:paraId="0779F924" w14:textId="77777777" w:rsidR="00FE093A" w:rsidRPr="006D6727" w:rsidRDefault="00FE093A" w:rsidP="005F39BC">
            <w:pPr>
              <w:pStyle w:val="ECCTabletext"/>
              <w:rPr>
                <w:rStyle w:val="ECCParagraph"/>
                <w:noProof/>
              </w:rPr>
            </w:pPr>
          </w:p>
        </w:tc>
      </w:tr>
      <w:tr w:rsidR="00FE093A" w:rsidRPr="006D6727" w14:paraId="53B96787" w14:textId="77777777" w:rsidTr="00752CEF">
        <w:trPr>
          <w:trHeight w:val="265"/>
        </w:trPr>
        <w:tc>
          <w:tcPr>
            <w:tcW w:w="1396" w:type="pct"/>
          </w:tcPr>
          <w:p w14:paraId="5314EFCD" w14:textId="77777777" w:rsidR="00FE093A" w:rsidRPr="006D6727" w:rsidRDefault="00FE093A" w:rsidP="00EA11B9">
            <w:pPr>
              <w:pStyle w:val="ECCTabletext"/>
              <w:jc w:val="left"/>
              <w:rPr>
                <w:rStyle w:val="ECCParagraph"/>
                <w:noProof/>
              </w:rPr>
            </w:pPr>
            <w:r w:rsidRPr="006D6727">
              <w:rPr>
                <w:rStyle w:val="ECCParagraph"/>
                <w:noProof/>
              </w:rPr>
              <w:t>Available modulation bandwidth</w:t>
            </w:r>
          </w:p>
        </w:tc>
        <w:tc>
          <w:tcPr>
            <w:tcW w:w="1104" w:type="pct"/>
          </w:tcPr>
          <w:p w14:paraId="6540635D" w14:textId="77777777" w:rsidR="00FE093A" w:rsidRPr="006D6727" w:rsidRDefault="004327AD" w:rsidP="00EA11B9">
            <w:pPr>
              <w:pStyle w:val="ECCTabletext"/>
              <w:jc w:val="left"/>
              <w:rPr>
                <w:rStyle w:val="ECCParagraph"/>
                <w:noProof/>
              </w:rPr>
            </w:pPr>
            <w:r w:rsidRPr="006D6727">
              <w:rPr>
                <w:rStyle w:val="ECCParagraph"/>
                <w:noProof/>
              </w:rPr>
              <w:t>144 </w:t>
            </w:r>
            <w:r w:rsidR="00FE093A" w:rsidRPr="006D6727">
              <w:rPr>
                <w:rStyle w:val="ECCParagraph"/>
                <w:noProof/>
              </w:rPr>
              <w:t>GHz</w:t>
            </w:r>
          </w:p>
        </w:tc>
        <w:tc>
          <w:tcPr>
            <w:tcW w:w="2500" w:type="pct"/>
          </w:tcPr>
          <w:p w14:paraId="7230C318" w14:textId="77777777" w:rsidR="00FE093A" w:rsidRPr="006D6727" w:rsidRDefault="00FE093A" w:rsidP="005F39BC">
            <w:pPr>
              <w:pStyle w:val="ECCTabletext"/>
              <w:rPr>
                <w:rStyle w:val="ECCParagraph"/>
                <w:noProof/>
              </w:rPr>
            </w:pPr>
          </w:p>
        </w:tc>
      </w:tr>
      <w:tr w:rsidR="00FE093A" w:rsidRPr="006D6727" w14:paraId="66857456" w14:textId="77777777" w:rsidTr="00752CEF">
        <w:trPr>
          <w:trHeight w:val="265"/>
        </w:trPr>
        <w:tc>
          <w:tcPr>
            <w:tcW w:w="1396" w:type="pct"/>
          </w:tcPr>
          <w:p w14:paraId="0AC590F8" w14:textId="77777777" w:rsidR="00FE093A" w:rsidRPr="006D6727" w:rsidRDefault="00FE093A" w:rsidP="00EA11B9">
            <w:pPr>
              <w:pStyle w:val="ECCTabletext"/>
              <w:jc w:val="left"/>
              <w:rPr>
                <w:rStyle w:val="ECCHLyellow"/>
                <w:noProof/>
                <w:shd w:val="clear" w:color="auto" w:fill="auto"/>
              </w:rPr>
            </w:pPr>
            <w:r w:rsidRPr="006D6727">
              <w:rPr>
                <w:rStyle w:val="ECCHLyellow"/>
                <w:noProof/>
                <w:shd w:val="clear" w:color="auto" w:fill="auto"/>
              </w:rPr>
              <w:t>Used modulation bandwidth</w:t>
            </w:r>
          </w:p>
        </w:tc>
        <w:tc>
          <w:tcPr>
            <w:tcW w:w="1104" w:type="pct"/>
          </w:tcPr>
          <w:p w14:paraId="58573549" w14:textId="1C372730" w:rsidR="00FE093A" w:rsidRPr="006D6727" w:rsidRDefault="00FE093A" w:rsidP="00EA11B9">
            <w:pPr>
              <w:pStyle w:val="ECCTabletext"/>
              <w:jc w:val="left"/>
              <w:rPr>
                <w:rStyle w:val="ECCHLyellow"/>
                <w:noProof/>
                <w:shd w:val="clear" w:color="auto" w:fill="auto"/>
              </w:rPr>
            </w:pPr>
            <w:r w:rsidRPr="006D6727">
              <w:rPr>
                <w:rStyle w:val="ECCParagraph"/>
                <w:noProof/>
              </w:rPr>
              <w:t>35</w:t>
            </w:r>
            <w:r w:rsidR="001D7996">
              <w:rPr>
                <w:rStyle w:val="ECCParagraph"/>
                <w:noProof/>
              </w:rPr>
              <w:t>-</w:t>
            </w:r>
            <w:r w:rsidR="004327AD" w:rsidRPr="006D6727">
              <w:rPr>
                <w:rStyle w:val="ECCParagraph"/>
                <w:noProof/>
              </w:rPr>
              <w:t>144 </w:t>
            </w:r>
            <w:r w:rsidRPr="006D6727">
              <w:rPr>
                <w:rStyle w:val="ECCParagraph"/>
                <w:noProof/>
              </w:rPr>
              <w:t>GHz</w:t>
            </w:r>
          </w:p>
        </w:tc>
        <w:tc>
          <w:tcPr>
            <w:tcW w:w="2500" w:type="pct"/>
          </w:tcPr>
          <w:p w14:paraId="24A41E64" w14:textId="77777777" w:rsidR="00FE093A" w:rsidRPr="006D6727" w:rsidRDefault="00036CC5" w:rsidP="00EA11B9">
            <w:pPr>
              <w:pStyle w:val="ECCTabletext"/>
              <w:jc w:val="left"/>
              <w:rPr>
                <w:rStyle w:val="ECCParagraph"/>
                <w:noProof/>
              </w:rPr>
            </w:pPr>
            <w:r w:rsidRPr="006D6727">
              <w:rPr>
                <w:rStyle w:val="ECCParagraph"/>
                <w:noProof/>
              </w:rPr>
              <w:t>-</w:t>
            </w:r>
            <w:r w:rsidR="00FE093A" w:rsidRPr="006D6727">
              <w:rPr>
                <w:rStyle w:val="ECCParagraph"/>
                <w:noProof/>
              </w:rPr>
              <w:t>10 dB bandwidth</w:t>
            </w:r>
          </w:p>
          <w:p w14:paraId="472EB93F" w14:textId="77777777" w:rsidR="00FE093A" w:rsidRPr="006D6727" w:rsidRDefault="00FE093A" w:rsidP="00EA11B9">
            <w:pPr>
              <w:pStyle w:val="ECCTabletext"/>
              <w:jc w:val="left"/>
              <w:rPr>
                <w:rStyle w:val="ECCHLyellow"/>
                <w:noProof/>
                <w:shd w:val="clear" w:color="auto" w:fill="auto"/>
              </w:rPr>
            </w:pPr>
            <w:r w:rsidRPr="006D6727">
              <w:rPr>
                <w:rStyle w:val="ECCParagraph"/>
                <w:noProof/>
              </w:rPr>
              <w:t>aligned somewhere in the O</w:t>
            </w:r>
            <w:r w:rsidR="005F39BC" w:rsidRPr="006D6727">
              <w:rPr>
                <w:rStyle w:val="ECCParagraph"/>
                <w:noProof/>
              </w:rPr>
              <w:t>FR</w:t>
            </w:r>
          </w:p>
        </w:tc>
      </w:tr>
      <w:tr w:rsidR="00FE093A" w:rsidRPr="006D6727" w14:paraId="5E758B76" w14:textId="77777777" w:rsidTr="00752CEF">
        <w:trPr>
          <w:trHeight w:val="265"/>
        </w:trPr>
        <w:tc>
          <w:tcPr>
            <w:tcW w:w="1396" w:type="pct"/>
          </w:tcPr>
          <w:p w14:paraId="28CCE7E7" w14:textId="77777777" w:rsidR="00FE093A" w:rsidRPr="006D6727" w:rsidRDefault="00FE093A" w:rsidP="00EA11B9">
            <w:pPr>
              <w:pStyle w:val="ECCTabletext"/>
              <w:jc w:val="left"/>
              <w:rPr>
                <w:rStyle w:val="ECCParagraph"/>
                <w:noProof/>
              </w:rPr>
            </w:pPr>
            <w:r w:rsidRPr="006D6727">
              <w:rPr>
                <w:rStyle w:val="ECCParagraph"/>
                <w:noProof/>
              </w:rPr>
              <w:t>Sweep-time</w:t>
            </w:r>
          </w:p>
        </w:tc>
        <w:tc>
          <w:tcPr>
            <w:tcW w:w="1104" w:type="pct"/>
          </w:tcPr>
          <w:p w14:paraId="57E94888" w14:textId="77777777" w:rsidR="00FE093A" w:rsidRPr="006D6727" w:rsidRDefault="00FE093A" w:rsidP="00EA11B9">
            <w:pPr>
              <w:pStyle w:val="ECCTabletext"/>
              <w:jc w:val="left"/>
              <w:rPr>
                <w:rStyle w:val="ECCParagraph"/>
                <w:noProof/>
              </w:rPr>
            </w:pPr>
            <w:r w:rsidRPr="006D6727">
              <w:rPr>
                <w:rStyle w:val="ECCParagraph"/>
                <w:noProof/>
              </w:rPr>
              <w:t>10 µs to 15 ms</w:t>
            </w:r>
          </w:p>
        </w:tc>
        <w:tc>
          <w:tcPr>
            <w:tcW w:w="2500" w:type="pct"/>
          </w:tcPr>
          <w:p w14:paraId="2B906B6A" w14:textId="77777777" w:rsidR="00FE093A" w:rsidRPr="006D6727" w:rsidRDefault="00FE093A" w:rsidP="00EA11B9">
            <w:pPr>
              <w:pStyle w:val="ECCTabletext"/>
              <w:jc w:val="left"/>
              <w:rPr>
                <w:rStyle w:val="ECCParagraph"/>
                <w:noProof/>
              </w:rPr>
            </w:pPr>
            <w:r w:rsidRPr="006D6727">
              <w:rPr>
                <w:rStyle w:val="ECCParagraph"/>
                <w:noProof/>
              </w:rPr>
              <w:t>for a single frequency sweep over entire modulation bandwidth</w:t>
            </w:r>
          </w:p>
        </w:tc>
      </w:tr>
      <w:tr w:rsidR="00FE093A" w:rsidRPr="006D6727" w14:paraId="02469723" w14:textId="77777777" w:rsidTr="00752CEF">
        <w:trPr>
          <w:trHeight w:val="265"/>
        </w:trPr>
        <w:tc>
          <w:tcPr>
            <w:tcW w:w="1396" w:type="pct"/>
          </w:tcPr>
          <w:p w14:paraId="5E74126B" w14:textId="77777777" w:rsidR="00FE093A" w:rsidRPr="006D6727" w:rsidRDefault="00FE093A" w:rsidP="00EA11B9">
            <w:pPr>
              <w:pStyle w:val="ECCTabletext"/>
              <w:jc w:val="left"/>
              <w:rPr>
                <w:rStyle w:val="ECCParagraph"/>
                <w:noProof/>
              </w:rPr>
            </w:pPr>
            <w:r w:rsidRPr="006D6727">
              <w:rPr>
                <w:rStyle w:val="ECCParagraph"/>
                <w:noProof/>
              </w:rPr>
              <w:t>Duty cycle</w:t>
            </w:r>
          </w:p>
        </w:tc>
        <w:tc>
          <w:tcPr>
            <w:tcW w:w="1104" w:type="pct"/>
          </w:tcPr>
          <w:p w14:paraId="25F389EF" w14:textId="5DA7F230" w:rsidR="00FE093A" w:rsidRPr="006D6727" w:rsidRDefault="00FE093A" w:rsidP="00EA11B9">
            <w:pPr>
              <w:pStyle w:val="ECCTabletext"/>
              <w:jc w:val="left"/>
              <w:rPr>
                <w:rStyle w:val="ECCParagraph"/>
                <w:noProof/>
              </w:rPr>
            </w:pPr>
            <w:r w:rsidRPr="006D6727">
              <w:rPr>
                <w:rStyle w:val="ECCParagraph"/>
                <w:noProof/>
              </w:rPr>
              <w:t>Max. 100</w:t>
            </w:r>
            <w:r w:rsidR="00F800A2">
              <w:rPr>
                <w:rStyle w:val="ECCParagraph"/>
                <w:noProof/>
              </w:rPr>
              <w:t>%</w:t>
            </w:r>
          </w:p>
        </w:tc>
        <w:tc>
          <w:tcPr>
            <w:tcW w:w="2500" w:type="pct"/>
          </w:tcPr>
          <w:p w14:paraId="0AFF615B" w14:textId="77777777" w:rsidR="00FE093A" w:rsidRPr="006D6727" w:rsidRDefault="00FE093A" w:rsidP="00EA11B9">
            <w:pPr>
              <w:pStyle w:val="ECCTabletext"/>
              <w:jc w:val="left"/>
              <w:rPr>
                <w:rStyle w:val="ECCParagraph"/>
                <w:noProof/>
              </w:rPr>
            </w:pPr>
            <w:r w:rsidRPr="006D6727">
              <w:rPr>
                <w:rStyle w:val="ECCParagraph"/>
                <w:noProof/>
              </w:rPr>
              <w:t>Use of smaller values as an additional mitigation should be permitted</w:t>
            </w:r>
          </w:p>
        </w:tc>
      </w:tr>
      <w:tr w:rsidR="00FE093A" w:rsidRPr="006D6727" w14:paraId="3089BA8E" w14:textId="77777777" w:rsidTr="00752CEF">
        <w:trPr>
          <w:trHeight w:val="265"/>
        </w:trPr>
        <w:tc>
          <w:tcPr>
            <w:tcW w:w="1396" w:type="pct"/>
          </w:tcPr>
          <w:p w14:paraId="6920BA3B" w14:textId="77777777" w:rsidR="00FE093A" w:rsidRPr="006D6727" w:rsidRDefault="00FE093A" w:rsidP="00EA11B9">
            <w:pPr>
              <w:pStyle w:val="ECCTabletext"/>
              <w:jc w:val="left"/>
              <w:rPr>
                <w:rStyle w:val="ECCParagraph"/>
                <w:noProof/>
              </w:rPr>
            </w:pPr>
            <w:r w:rsidRPr="006D6727">
              <w:rPr>
                <w:rStyle w:val="ECCParagraph"/>
                <w:noProof/>
              </w:rPr>
              <w:t>Conducted peak carrier power</w:t>
            </w:r>
          </w:p>
        </w:tc>
        <w:tc>
          <w:tcPr>
            <w:tcW w:w="1104" w:type="pct"/>
          </w:tcPr>
          <w:p w14:paraId="27956332" w14:textId="77777777" w:rsidR="00FE093A" w:rsidRPr="006D6727" w:rsidRDefault="00FE093A" w:rsidP="00EA11B9">
            <w:pPr>
              <w:pStyle w:val="ECCTabletext"/>
              <w:jc w:val="left"/>
              <w:rPr>
                <w:rStyle w:val="ECCParagraph"/>
                <w:noProof/>
              </w:rPr>
            </w:pPr>
            <w:r w:rsidRPr="006D6727">
              <w:rPr>
                <w:rStyle w:val="ECCParagraph"/>
                <w:noProof/>
              </w:rPr>
              <w:t>up to -5 dBm</w:t>
            </w:r>
          </w:p>
        </w:tc>
        <w:tc>
          <w:tcPr>
            <w:tcW w:w="2500" w:type="pct"/>
          </w:tcPr>
          <w:p w14:paraId="290B4603" w14:textId="77777777" w:rsidR="00FE093A" w:rsidRPr="006D6727" w:rsidRDefault="00FE093A" w:rsidP="00EA11B9">
            <w:pPr>
              <w:pStyle w:val="ECCTabletext"/>
              <w:jc w:val="left"/>
              <w:rPr>
                <w:rStyle w:val="ECCParagraph"/>
                <w:noProof/>
              </w:rPr>
            </w:pPr>
            <w:r w:rsidRPr="006D6727">
              <w:rPr>
                <w:rStyle w:val="ECCParagraph"/>
                <w:noProof/>
              </w:rPr>
              <w:t>Maximum saturated output power at antenna feeding point</w:t>
            </w:r>
          </w:p>
        </w:tc>
      </w:tr>
      <w:tr w:rsidR="00FE093A" w:rsidRPr="006D6727" w14:paraId="2E977829" w14:textId="77777777" w:rsidTr="00752CEF">
        <w:trPr>
          <w:trHeight w:val="265"/>
        </w:trPr>
        <w:tc>
          <w:tcPr>
            <w:tcW w:w="1396" w:type="pct"/>
          </w:tcPr>
          <w:p w14:paraId="2EC6AEC8" w14:textId="77777777" w:rsidR="00FE093A" w:rsidRPr="006D6727" w:rsidRDefault="00FE093A" w:rsidP="00EA11B9">
            <w:pPr>
              <w:pStyle w:val="ECCTabletext"/>
              <w:jc w:val="left"/>
              <w:rPr>
                <w:rStyle w:val="ECCParagraph"/>
                <w:noProof/>
              </w:rPr>
            </w:pPr>
            <w:r w:rsidRPr="006D6727">
              <w:rPr>
                <w:rStyle w:val="ECCParagraph"/>
                <w:noProof/>
              </w:rPr>
              <w:t>Conducted mean power</w:t>
            </w:r>
          </w:p>
        </w:tc>
        <w:tc>
          <w:tcPr>
            <w:tcW w:w="1104" w:type="pct"/>
          </w:tcPr>
          <w:p w14:paraId="172BF64A" w14:textId="77777777" w:rsidR="00FE093A" w:rsidRPr="006D6727" w:rsidRDefault="00FE093A" w:rsidP="00EA11B9">
            <w:pPr>
              <w:pStyle w:val="ECCTabletext"/>
              <w:jc w:val="left"/>
              <w:rPr>
                <w:rStyle w:val="ECCParagraph"/>
                <w:noProof/>
              </w:rPr>
            </w:pPr>
            <w:r w:rsidRPr="006D6727">
              <w:rPr>
                <w:rStyle w:val="ECCParagraph"/>
                <w:noProof/>
              </w:rPr>
              <w:t>-5 dBm</w:t>
            </w:r>
          </w:p>
        </w:tc>
        <w:tc>
          <w:tcPr>
            <w:tcW w:w="2500" w:type="pct"/>
          </w:tcPr>
          <w:p w14:paraId="0C94413D" w14:textId="77777777" w:rsidR="00FE093A" w:rsidRPr="006D6727" w:rsidRDefault="00FE093A" w:rsidP="00EA11B9">
            <w:pPr>
              <w:pStyle w:val="ECCTabletext"/>
              <w:jc w:val="left"/>
              <w:rPr>
                <w:rStyle w:val="ECCParagraph"/>
                <w:noProof/>
              </w:rPr>
            </w:pPr>
            <w:r w:rsidRPr="006D6727">
              <w:rPr>
                <w:rStyle w:val="ECCParagraph"/>
                <w:noProof/>
              </w:rPr>
              <w:t>with 100% duty cycle and</w:t>
            </w:r>
            <w:r w:rsidR="00733E7C" w:rsidRPr="006D6727">
              <w:rPr>
                <w:rStyle w:val="ECCParagraph"/>
                <w:noProof/>
              </w:rPr>
              <w:t xml:space="preserve"> </w:t>
            </w:r>
            <w:r w:rsidRPr="006D6727">
              <w:rPr>
                <w:rStyle w:val="ECCParagraph"/>
                <w:noProof/>
              </w:rPr>
              <w:br/>
              <w:t>-</w:t>
            </w:r>
            <w:r w:rsidRPr="006D6727">
              <w:rPr>
                <w:noProof/>
              </w:rPr>
              <w:t>5</w:t>
            </w:r>
            <w:r w:rsidRPr="006D6727">
              <w:rPr>
                <w:rStyle w:val="ECCParagraph"/>
                <w:noProof/>
              </w:rPr>
              <w:t> dBm peak carrier power</w:t>
            </w:r>
          </w:p>
        </w:tc>
      </w:tr>
      <w:tr w:rsidR="00FE093A" w:rsidRPr="006D6727" w14:paraId="7F4FA71C" w14:textId="77777777" w:rsidTr="00752CEF">
        <w:trPr>
          <w:trHeight w:val="265"/>
        </w:trPr>
        <w:tc>
          <w:tcPr>
            <w:tcW w:w="1396" w:type="pct"/>
          </w:tcPr>
          <w:p w14:paraId="03E97CD0" w14:textId="77777777" w:rsidR="00FE093A" w:rsidRPr="006D6727" w:rsidRDefault="00FE093A" w:rsidP="00EA11B9">
            <w:pPr>
              <w:pStyle w:val="ECCTabletext"/>
              <w:jc w:val="left"/>
              <w:rPr>
                <w:rStyle w:val="ECCParagraph"/>
                <w:noProof/>
              </w:rPr>
            </w:pPr>
            <w:r w:rsidRPr="006D6727">
              <w:rPr>
                <w:rStyle w:val="ECCParagraph"/>
                <w:noProof/>
              </w:rPr>
              <w:t xml:space="preserve">Conducted mean power spectral density </w:t>
            </w:r>
          </w:p>
        </w:tc>
        <w:tc>
          <w:tcPr>
            <w:tcW w:w="1104" w:type="pct"/>
          </w:tcPr>
          <w:p w14:paraId="2F65E8B8" w14:textId="77777777" w:rsidR="00FE093A" w:rsidRPr="006D6727" w:rsidRDefault="00FE093A" w:rsidP="00EA11B9">
            <w:pPr>
              <w:pStyle w:val="ECCTabletext"/>
              <w:jc w:val="left"/>
              <w:rPr>
                <w:rStyle w:val="ECCParagraph"/>
                <w:noProof/>
              </w:rPr>
            </w:pPr>
            <w:r w:rsidRPr="006D6727">
              <w:rPr>
                <w:rStyle w:val="ECCParagraph"/>
                <w:noProof/>
              </w:rPr>
              <w:t>-50</w:t>
            </w:r>
            <w:r w:rsidR="00CF4994">
              <w:rPr>
                <w:rStyle w:val="ECCParagraph"/>
                <w:noProof/>
              </w:rPr>
              <w:t>.4</w:t>
            </w:r>
            <w:r w:rsidRPr="006D6727">
              <w:rPr>
                <w:rStyle w:val="ECCParagraph"/>
                <w:noProof/>
              </w:rPr>
              <w:t>4 dBm/MHz</w:t>
            </w:r>
          </w:p>
        </w:tc>
        <w:tc>
          <w:tcPr>
            <w:tcW w:w="2500" w:type="pct"/>
          </w:tcPr>
          <w:p w14:paraId="739D9450" w14:textId="77777777" w:rsidR="00FE093A" w:rsidRPr="006D6727" w:rsidRDefault="00FE093A" w:rsidP="00EA11B9">
            <w:pPr>
              <w:pStyle w:val="ECCTabletext"/>
              <w:jc w:val="left"/>
              <w:rPr>
                <w:rStyle w:val="ECCParagraph"/>
                <w:noProof/>
              </w:rPr>
            </w:pPr>
            <w:r w:rsidRPr="006D6727">
              <w:rPr>
                <w:rStyle w:val="ECCParagraph"/>
                <w:noProof/>
              </w:rPr>
              <w:t>with 35 GHz modulation bandwidth and -5 dBm mean power</w:t>
            </w:r>
          </w:p>
        </w:tc>
      </w:tr>
      <w:tr w:rsidR="00FE093A" w:rsidRPr="006D6727" w14:paraId="3D4CE1BB" w14:textId="77777777" w:rsidTr="00752CEF">
        <w:trPr>
          <w:trHeight w:val="265"/>
        </w:trPr>
        <w:tc>
          <w:tcPr>
            <w:tcW w:w="1396" w:type="pct"/>
          </w:tcPr>
          <w:p w14:paraId="2DCAECA9" w14:textId="77777777" w:rsidR="00FE093A" w:rsidRPr="006D6727" w:rsidRDefault="00FE093A" w:rsidP="00EA11B9">
            <w:pPr>
              <w:pStyle w:val="ECCTablet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104" w:type="pct"/>
          </w:tcPr>
          <w:p w14:paraId="5CE5E33D" w14:textId="77777777" w:rsidR="00FE093A" w:rsidRPr="006D6727" w:rsidRDefault="00FE093A" w:rsidP="00EA11B9">
            <w:pPr>
              <w:pStyle w:val="ECCTabletext"/>
              <w:jc w:val="left"/>
              <w:rPr>
                <w:rStyle w:val="ECCParagraph"/>
                <w:noProof/>
              </w:rPr>
            </w:pPr>
            <w:r w:rsidRPr="006D6727">
              <w:rPr>
                <w:rStyle w:val="ECCParagraph"/>
                <w:noProof/>
              </w:rPr>
              <w:t>-14</w:t>
            </w:r>
            <w:r w:rsidR="00CF4994">
              <w:rPr>
                <w:rStyle w:val="ECCParagraph"/>
                <w:noProof/>
              </w:rPr>
              <w:t>.4</w:t>
            </w:r>
            <w:r w:rsidRPr="006D6727">
              <w:rPr>
                <w:rStyle w:val="ECCParagraph"/>
                <w:noProof/>
              </w:rPr>
              <w:t>4 dBm/MHz</w:t>
            </w:r>
          </w:p>
        </w:tc>
        <w:tc>
          <w:tcPr>
            <w:tcW w:w="2500" w:type="pct"/>
          </w:tcPr>
          <w:p w14:paraId="7A4B7ED0" w14:textId="77777777" w:rsidR="00FE093A" w:rsidRPr="006D6727" w:rsidRDefault="003235E9" w:rsidP="00EA11B9">
            <w:pPr>
              <w:pStyle w:val="ECCTabletext"/>
              <w:jc w:val="left"/>
              <w:rPr>
                <w:rStyle w:val="ECCParagraph"/>
                <w:noProof/>
              </w:rPr>
            </w:pPr>
            <w:r w:rsidRPr="006D6727">
              <w:rPr>
                <w:rStyle w:val="ECCParagraph"/>
                <w:noProof/>
              </w:rPr>
              <w:t>calculated with 36 dBi antenna gain (worst-case)</w:t>
            </w:r>
          </w:p>
        </w:tc>
      </w:tr>
    </w:tbl>
    <w:p w14:paraId="497C99A0" w14:textId="7D2760EA" w:rsidR="00664D56" w:rsidRPr="006D6727" w:rsidRDefault="00664D56" w:rsidP="00664D56">
      <w:pPr>
        <w:rPr>
          <w:rStyle w:val="ECCParagraph"/>
          <w:noProof/>
        </w:rPr>
      </w:pPr>
      <w:r w:rsidRPr="006D6727">
        <w:rPr>
          <w:rStyle w:val="ECCParagraph"/>
          <w:noProof/>
        </w:rPr>
        <w:t xml:space="preserve">The modulation scheme of the RDI-S devices is similar to the LRP/TLPR modulation scheme in </w:t>
      </w:r>
      <w:r w:rsidR="009D5FA2">
        <w:rPr>
          <w:rStyle w:val="ECCParagraph"/>
          <w:noProof/>
        </w:rPr>
        <w:t>section</w:t>
      </w:r>
      <w:r w:rsidR="00F22FC9" w:rsidRPr="006D6727">
        <w:rPr>
          <w:rStyle w:val="ECCParagraph"/>
          <w:noProof/>
        </w:rPr>
        <w:t xml:space="preserve"> </w:t>
      </w:r>
      <w:r w:rsidR="00F22FC9" w:rsidRPr="006D6727">
        <w:rPr>
          <w:rStyle w:val="ECCParagraph"/>
          <w:noProof/>
        </w:rPr>
        <w:fldChar w:fldCharType="begin"/>
      </w:r>
      <w:r w:rsidR="00F22FC9" w:rsidRPr="006D6727">
        <w:rPr>
          <w:rStyle w:val="ECCParagraph"/>
          <w:noProof/>
        </w:rPr>
        <w:instrText xml:space="preserve"> REF _Ref20319501 \r \h  \* MERGEFORMAT </w:instrText>
      </w:r>
      <w:r w:rsidR="00F22FC9" w:rsidRPr="006D6727">
        <w:rPr>
          <w:rStyle w:val="ECCParagraph"/>
          <w:noProof/>
        </w:rPr>
      </w:r>
      <w:r w:rsidR="00F22FC9" w:rsidRPr="006D6727">
        <w:rPr>
          <w:rStyle w:val="ECCParagraph"/>
          <w:noProof/>
        </w:rPr>
        <w:fldChar w:fldCharType="separate"/>
      </w:r>
      <w:r w:rsidR="004F49F9">
        <w:rPr>
          <w:rStyle w:val="ECCParagraph"/>
          <w:noProof/>
        </w:rPr>
        <w:t>2.2.5.3</w:t>
      </w:r>
      <w:r w:rsidR="00F22FC9" w:rsidRPr="006D6727">
        <w:rPr>
          <w:rStyle w:val="ECCParagraph"/>
          <w:noProof/>
        </w:rPr>
        <w:fldChar w:fldCharType="end"/>
      </w:r>
      <w:r w:rsidRPr="006D6727">
        <w:rPr>
          <w:rStyle w:val="ECCParagraph"/>
          <w:noProof/>
        </w:rPr>
        <w:t xml:space="preserve">. A single or multiple frequency ramps are transmitted within one measurement burst with duration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meas</m:t>
            </m:r>
          </m:sub>
        </m:sSub>
      </m:oMath>
      <w:r w:rsidRPr="006D6727">
        <w:rPr>
          <w:rStyle w:val="ECCParagraph"/>
          <w:noProof/>
        </w:rPr>
        <w:t xml:space="preserve"> between the frequency boundaries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L</m:t>
            </m:r>
          </m:sub>
        </m:sSub>
      </m:oMath>
      <w:r w:rsidRPr="006D6727">
        <w:rPr>
          <w:rStyle w:val="ECCParagraph"/>
          <w:noProof/>
        </w:rPr>
        <w:t xml:space="preserve"> and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H</m:t>
            </m:r>
          </m:sub>
        </m:sSub>
      </m:oMath>
      <w:r w:rsidRPr="006D6727">
        <w:rPr>
          <w:rStyle w:val="ECCParagraph"/>
          <w:noProof/>
        </w:rPr>
        <w:t xml:space="preserve">. The used modulation bandwidth is consequently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H</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L</m:t>
            </m:r>
          </m:sub>
        </m:sSub>
      </m:oMath>
      <w:r w:rsidRPr="006D6727">
        <w:rPr>
          <w:rStyle w:val="ECCParagraph"/>
          <w:noProof/>
        </w:rPr>
        <w:t xml:space="preserve">. Between individual measurement bursts, during the time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off</m:t>
            </m:r>
          </m:sub>
        </m:sSub>
      </m:oMath>
      <w:r w:rsidRPr="006D6727">
        <w:rPr>
          <w:rStyle w:val="ECCParagraph"/>
          <w:noProof/>
        </w:rPr>
        <w:t xml:space="preserve">, the transmitter may be switched off and no transmission occurs. The overall measurement cycle is denoted with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oMath>
      <w:r w:rsidRPr="006D6727">
        <w:rPr>
          <w:rStyle w:val="ECCParagraph"/>
          <w:noProof/>
        </w:rPr>
        <w:t>. For some emerging applications it might be interesting to allow also more complex FMCW ramping schemes with different ramping directions, reconfigurable sweep-rates, frequency ranges and time durations. For this purpose, a regulation, based on a frequency depend</w:t>
      </w:r>
      <w:r w:rsidR="00AC6E38" w:rsidRPr="006D6727">
        <w:rPr>
          <w:rStyle w:val="ECCParagraph"/>
          <w:noProof/>
        </w:rPr>
        <w:t>e</w:t>
      </w:r>
      <w:r w:rsidRPr="006D6727">
        <w:rPr>
          <w:rStyle w:val="ECCParagraph"/>
          <w:noProof/>
        </w:rPr>
        <w:t>nt limit-mask, similar to the one given in ECC Decision (07)01</w:t>
      </w:r>
      <w:r w:rsidR="006E2B9F" w:rsidRPr="006D6727">
        <w:rPr>
          <w:rStyle w:val="ECCParagraph"/>
          <w:noProof/>
        </w:rPr>
        <w:t xml:space="preserve"> </w:t>
      </w:r>
      <w:r w:rsidR="006E2B9F" w:rsidRPr="006D6727">
        <w:rPr>
          <w:rStyle w:val="ECCParagraph"/>
          <w:noProof/>
        </w:rPr>
        <w:fldChar w:fldCharType="begin"/>
      </w:r>
      <w:r w:rsidR="006E2B9F" w:rsidRPr="006D6727">
        <w:rPr>
          <w:rStyle w:val="ECCParagraph"/>
          <w:noProof/>
        </w:rPr>
        <w:instrText xml:space="preserve"> REF  ECCDec_07_01 \h \w  \* MERGEFORMAT </w:instrText>
      </w:r>
      <w:r w:rsidR="006E2B9F" w:rsidRPr="006D6727">
        <w:rPr>
          <w:rStyle w:val="ECCParagraph"/>
          <w:noProof/>
        </w:rPr>
      </w:r>
      <w:r w:rsidR="006E2B9F" w:rsidRPr="006D6727">
        <w:rPr>
          <w:rStyle w:val="ECCParagraph"/>
          <w:noProof/>
        </w:rPr>
        <w:fldChar w:fldCharType="separate"/>
      </w:r>
      <w:r w:rsidR="004F49F9">
        <w:rPr>
          <w:rStyle w:val="ECCParagraph"/>
          <w:noProof/>
        </w:rPr>
        <w:t>[26]</w:t>
      </w:r>
      <w:r w:rsidR="006E2B9F" w:rsidRPr="006D6727">
        <w:rPr>
          <w:rStyle w:val="ECCParagraph"/>
          <w:noProof/>
        </w:rPr>
        <w:fldChar w:fldCharType="end"/>
      </w:r>
      <w:r w:rsidR="006E2B9F" w:rsidRPr="006D6727">
        <w:rPr>
          <w:rStyle w:val="ECCParagraph"/>
          <w:noProof/>
        </w:rPr>
        <w:t xml:space="preserve"> </w:t>
      </w:r>
      <w:r w:rsidRPr="006D6727">
        <w:rPr>
          <w:rStyle w:val="ECCParagraph"/>
          <w:noProof/>
        </w:rPr>
        <w:t>would be perfectly suitable.</w:t>
      </w:r>
    </w:p>
    <w:p w14:paraId="4C1E6F08" w14:textId="6FB31A28" w:rsidR="00664D56" w:rsidRDefault="00664D56" w:rsidP="00664D56">
      <w:pPr>
        <w:rPr>
          <w:rStyle w:val="ECCParagraph"/>
          <w:noProof/>
        </w:rPr>
      </w:pPr>
      <w:r w:rsidRPr="006D6727">
        <w:rPr>
          <w:rStyle w:val="ECCParagraph"/>
          <w:noProof/>
        </w:rPr>
        <w:t xml:space="preserve">The duty cycle is the ratio of active measurement periods (bursts, sweeps, scans) within the overall repetitive measurement cycle, i.e. </w:t>
      </w:r>
      <m:oMath>
        <m:f>
          <m:fPr>
            <m:type m:val="lin"/>
            <m:ctrlPr>
              <w:rPr>
                <w:rStyle w:val="ECCParagraph"/>
                <w:rFonts w:ascii="Cambria Math" w:hAnsi="Cambria Math"/>
                <w:noProof/>
              </w:rPr>
            </m:ctrlPr>
          </m:fPr>
          <m:num>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meas</m:t>
                </m:r>
              </m:sub>
            </m:sSub>
          </m:num>
          <m:den>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den>
        </m:f>
      </m:oMath>
      <w:r w:rsidRPr="006D6727">
        <w:rPr>
          <w:rStyle w:val="ECCParagraph"/>
          <w:noProof/>
        </w:rPr>
        <w:t xml:space="preserve">, provided that these time durations are constant during the designated observation period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obs</m:t>
            </m:r>
          </m:sub>
        </m:sSub>
      </m:oMath>
      <w:r w:rsidRPr="006D6727">
        <w:rPr>
          <w:rStyle w:val="ECCParagraph"/>
          <w:noProof/>
        </w:rPr>
        <w:t xml:space="preserve">. For determining the duty cycle,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obs</m:t>
            </m:r>
          </m:sub>
        </m:sSub>
      </m:oMath>
      <w:r w:rsidRPr="006D6727">
        <w:rPr>
          <w:rStyle w:val="ECCParagraph"/>
          <w:noProof/>
        </w:rPr>
        <w:t xml:space="preserve"> is usually a continuous one-hour period. Using a duty cycle mitigation is possible in many applications with slowly changing measurement environments. But especially the new and emerging applications often need 100</w:t>
      </w:r>
      <w:r w:rsidR="00F800A2">
        <w:rPr>
          <w:rStyle w:val="ECCParagraph"/>
          <w:noProof/>
        </w:rPr>
        <w:t>%</w:t>
      </w:r>
      <w:r w:rsidRPr="006D6727">
        <w:rPr>
          <w:rStyle w:val="ECCParagraph"/>
          <w:noProof/>
        </w:rPr>
        <w:t xml:space="preserve"> duty cycle to also monitor fast changing environments and e.g. also measure vibrations.</w:t>
      </w:r>
    </w:p>
    <w:p w14:paraId="469672ED" w14:textId="77777777" w:rsidR="00A72763" w:rsidRPr="00A72763" w:rsidRDefault="00A72763" w:rsidP="00A72763">
      <w:pPr>
        <w:rPr>
          <w:rStyle w:val="ECCParagraph"/>
        </w:rPr>
      </w:pPr>
      <w:r w:rsidRPr="00A72763">
        <w:rPr>
          <w:rStyle w:val="ECCParagraph"/>
        </w:rPr>
        <w:t xml:space="preserve">The following points give a short overview of typical application line speeds to justify the need for fast FMCW sweeps and a high measurement rate: </w:t>
      </w:r>
    </w:p>
    <w:p w14:paraId="14C3D2F4" w14:textId="141D9378" w:rsidR="00A72763" w:rsidRPr="00A72763" w:rsidRDefault="00A72763" w:rsidP="00A72763">
      <w:pPr>
        <w:pStyle w:val="ECCBulletsLv1"/>
      </w:pPr>
      <w:r w:rsidRPr="00A72763">
        <w:t>For large pipes and pipes with high wall thickness the measurement application exhibits a typical extrusion speed of 60 cm per minute (0</w:t>
      </w:r>
      <w:r w:rsidR="00CF4994">
        <w:t>.0</w:t>
      </w:r>
      <w:r w:rsidRPr="00A72763">
        <w:t xml:space="preserve">1 m/s, compare </w:t>
      </w:r>
      <w:r w:rsidR="009D5FA2">
        <w:t>section</w:t>
      </w:r>
      <w:r w:rsidRPr="00A72763">
        <w:t xml:space="preserve"> </w:t>
      </w:r>
      <w:r w:rsidR="00F35332">
        <w:rPr>
          <w:highlight w:val="yellow"/>
        </w:rPr>
        <w:fldChar w:fldCharType="begin"/>
      </w:r>
      <w:r w:rsidR="00F35332">
        <w:instrText xml:space="preserve"> REF _Ref59033960 \r \h </w:instrText>
      </w:r>
      <w:r w:rsidR="00F35332">
        <w:rPr>
          <w:highlight w:val="yellow"/>
        </w:rPr>
      </w:r>
      <w:r w:rsidR="00F35332">
        <w:rPr>
          <w:highlight w:val="yellow"/>
        </w:rPr>
        <w:fldChar w:fldCharType="separate"/>
      </w:r>
      <w:r w:rsidR="004F49F9">
        <w:t>2.5</w:t>
      </w:r>
      <w:r w:rsidR="00F35332">
        <w:rPr>
          <w:highlight w:val="yellow"/>
        </w:rPr>
        <w:fldChar w:fldCharType="end"/>
      </w:r>
      <w:r w:rsidRPr="00A72763">
        <w:t>). Provided that the spot size of the radar on the pipe is 2 cm in diameter, it has to rotate around the pipe (medium pipe size of 50 cm diameter and a resulting circumference of 157 cm) with 0</w:t>
      </w:r>
      <w:r w:rsidR="00CF4994">
        <w:t>.5</w:t>
      </w:r>
      <w:r w:rsidRPr="00A72763">
        <w:t> Hz measurement rate to form an overlapping spiral on the pipe surface with the measurement spot of the RDI-S device. This results in a scanning speed on the pipe surface of 0</w:t>
      </w:r>
      <w:r w:rsidR="00CF4994">
        <w:t>.7</w:t>
      </w:r>
      <w:r w:rsidRPr="00A72763">
        <w:t>85 m/s and thus a sample spacing of 0</w:t>
      </w:r>
      <w:r w:rsidR="00CF4994">
        <w:t>.7</w:t>
      </w:r>
      <w:r w:rsidRPr="00A72763">
        <w:t>8</w:t>
      </w:r>
      <w:r w:rsidR="00517C18">
        <w:t> </w:t>
      </w:r>
      <w:r w:rsidRPr="00A72763">
        <w:t>mm for 1 kHz measurement rate</w:t>
      </w:r>
      <w:r w:rsidR="002D3EB0">
        <w:t>;</w:t>
      </w:r>
      <w:r w:rsidRPr="00A72763">
        <w:t xml:space="preserve"> </w:t>
      </w:r>
    </w:p>
    <w:p w14:paraId="3780A0D9" w14:textId="41A3E9BD" w:rsidR="00A72763" w:rsidRPr="00A72763" w:rsidRDefault="00A72763" w:rsidP="00A72763">
      <w:pPr>
        <w:pStyle w:val="ECCBulletsLv1"/>
      </w:pPr>
      <w:r w:rsidRPr="00A72763">
        <w:t>For SAR imaging the Nyquist theorem in space has to be met to prevent aliasing, which leads to a minimum needed spacing of approximately 1 mm. The sampling requirement is hardly met for this application and even faster ramps (that are not easy to generate with 50 GHz to 100 GHz bandwidth) would be appreciated</w:t>
      </w:r>
      <w:r w:rsidR="002D3EB0">
        <w:t>;</w:t>
      </w:r>
      <w:r w:rsidRPr="00A72763">
        <w:t xml:space="preserve"> </w:t>
      </w:r>
    </w:p>
    <w:p w14:paraId="5CA7863D" w14:textId="60F651EF" w:rsidR="00A72763" w:rsidRPr="00A72763" w:rsidRDefault="00A72763" w:rsidP="00A72763">
      <w:pPr>
        <w:pStyle w:val="ECCBulletsLv1"/>
      </w:pPr>
      <w:r w:rsidRPr="00A72763">
        <w:t>Conclusion: 1 kHz is needed as a minimum sampling rate to allow for 100</w:t>
      </w:r>
      <w:r w:rsidR="00F800A2">
        <w:t>%</w:t>
      </w:r>
      <w:r w:rsidRPr="00A72763">
        <w:t xml:space="preserve"> quality testing of pipes</w:t>
      </w:r>
      <w:r w:rsidR="002D3EB0">
        <w:t>;</w:t>
      </w:r>
    </w:p>
    <w:p w14:paraId="21D5B119" w14:textId="63F2A51B" w:rsidR="00A72763" w:rsidRDefault="00A72763" w:rsidP="00A72763">
      <w:pPr>
        <w:pStyle w:val="ECCBulletsLv1"/>
      </w:pPr>
      <w:r w:rsidRPr="00A72763">
        <w:t xml:space="preserve">Many other applications like the SAR scanner used to acquire the parking disc image (see </w:t>
      </w:r>
      <w:r w:rsidR="00F35332">
        <w:fldChar w:fldCharType="begin"/>
      </w:r>
      <w:r w:rsidR="00F35332">
        <w:instrText xml:space="preserve"> REF _Ref27487288 \h </w:instrText>
      </w:r>
      <w:r w:rsidR="00F35332">
        <w:fldChar w:fldCharType="separate"/>
      </w:r>
      <w:r w:rsidR="0041125F" w:rsidRPr="006D6727">
        <w:rPr>
          <w:noProof/>
        </w:rPr>
        <w:t>Figure </w:t>
      </w:r>
      <w:r w:rsidR="0041125F">
        <w:rPr>
          <w:noProof/>
        </w:rPr>
        <w:t>57</w:t>
      </w:r>
      <w:r w:rsidR="00F35332">
        <w:fldChar w:fldCharType="end"/>
      </w:r>
      <w:r w:rsidRPr="00A72763">
        <w:t>) need this high measurement rate to finish the excessive mechanical meander scan of the object in an acceptable time</w:t>
      </w:r>
      <w:r w:rsidR="002D3EB0">
        <w:t>;</w:t>
      </w:r>
    </w:p>
    <w:p w14:paraId="1DF7C4E1" w14:textId="77777777" w:rsidR="00F35332" w:rsidRDefault="00A72763" w:rsidP="00F35332">
      <w:pPr>
        <w:pStyle w:val="ECCBulletsLv1"/>
      </w:pPr>
      <w:r w:rsidRPr="00A72763">
        <w:t>Many applications in the steel industry, packaging or logistics industry have typical fast line-speeds of the conveyor belts of 0</w:t>
      </w:r>
      <w:r w:rsidR="00CF4994">
        <w:t>.1</w:t>
      </w:r>
      <w:r w:rsidRPr="00A72763">
        <w:t xml:space="preserve"> to 5 m/s, so here also a really short sweep time is needed to comply with the application demands.</w:t>
      </w:r>
    </w:p>
    <w:p w14:paraId="4548B970" w14:textId="77777777" w:rsidR="00664D56" w:rsidRPr="006D6727" w:rsidRDefault="00664D56" w:rsidP="00664D56">
      <w:pPr>
        <w:rPr>
          <w:rStyle w:val="ECCParagraph"/>
          <w:noProof/>
        </w:rPr>
      </w:pPr>
      <w:r w:rsidRPr="006D6727">
        <w:rPr>
          <w:rStyle w:val="ECCParagraph"/>
          <w:noProof/>
        </w:rPr>
        <w:t>The time duration of a single frequency ramp over the entire used modulation bandwidth depends on several technical aspects and considerations. This time span is expected to take values between 10 µs and 15 ms.</w:t>
      </w:r>
    </w:p>
    <w:p w14:paraId="11FEE564" w14:textId="77777777" w:rsidR="00664D56" w:rsidRPr="006D6727" w:rsidRDefault="00664D56" w:rsidP="00664D56">
      <w:pPr>
        <w:rPr>
          <w:rStyle w:val="ECCParagraph"/>
          <w:noProof/>
        </w:rPr>
      </w:pPr>
      <w:r w:rsidRPr="006D6727">
        <w:rPr>
          <w:rStyle w:val="ECCParagraph"/>
          <w:noProof/>
        </w:rPr>
        <w:t xml:space="preserve">In order to achieve a sufficient radar resolution to cover the new applications and to allow robust high accuracy sensing [RDI-S] devices require a contiguous modulation bandwidth of </w:t>
      </w:r>
      <w:r w:rsidR="00B465A9" w:rsidRPr="006D6727">
        <w:rPr>
          <w:rStyle w:val="ECCParagraph"/>
          <w:noProof/>
        </w:rPr>
        <w:t>up to 144 GHz</w:t>
      </w:r>
      <w:r w:rsidRPr="006D6727">
        <w:rPr>
          <w:rStyle w:val="ECCParagraph"/>
          <w:noProof/>
        </w:rPr>
        <w:t>. The boundaries of the proposed frequency range are derived from technical considerations and boundaries. A minimum bandwidth of 35</w:t>
      </w:r>
      <w:r w:rsidR="001E6D49" w:rsidRPr="006D6727">
        <w:rPr>
          <w:rStyle w:val="ECCParagraph"/>
          <w:noProof/>
        </w:rPr>
        <w:t> </w:t>
      </w:r>
      <w:r w:rsidRPr="006D6727">
        <w:rPr>
          <w:rStyle w:val="ECCParagraph"/>
          <w:noProof/>
        </w:rPr>
        <w:t>GHz is proposed to ensure an efficient use of the spectrum and keep the power density in the covered bands small.</w:t>
      </w:r>
    </w:p>
    <w:p w14:paraId="7AB2EFC9" w14:textId="77777777" w:rsidR="00664D56" w:rsidRPr="006D6727" w:rsidRDefault="00664D56" w:rsidP="00664D56">
      <w:pPr>
        <w:rPr>
          <w:noProof/>
        </w:rPr>
      </w:pPr>
      <w:r w:rsidRPr="006D6727">
        <w:rPr>
          <w:rStyle w:val="ECCParagraph"/>
          <w:noProof/>
        </w:rPr>
        <w:t>The used antenna type highly depends on the applications. There are applications where high gain and pencil beam width antennas are needed, like e.g. precision distance measurements. Other application like non-destructive testing devices can also require focusing antennas or open-waveguide antennas for high resolution synthetic aperture focusing.</w:t>
      </w:r>
    </w:p>
    <w:p w14:paraId="3DA5F6A5" w14:textId="77777777" w:rsidR="00664D56" w:rsidRPr="006D6727" w:rsidRDefault="00664D56" w:rsidP="00664D56">
      <w:pPr>
        <w:rPr>
          <w:rStyle w:val="ECCParagraph"/>
          <w:noProof/>
        </w:rPr>
      </w:pPr>
      <w:r w:rsidRPr="006D6727">
        <w:rPr>
          <w:rStyle w:val="ECCParagraph"/>
          <w:noProof/>
        </w:rPr>
        <w:t>The available saturated output power depends strongly on the used semiconductor technology. For medium volume devices SiGe is the most interesting technology</w:t>
      </w:r>
      <w:r w:rsidR="00B465A9" w:rsidRPr="006D6727">
        <w:rPr>
          <w:rStyle w:val="ECCParagraph"/>
          <w:noProof/>
        </w:rPr>
        <w:t xml:space="preserve"> but GaAs is also an opportunity</w:t>
      </w:r>
      <w:r w:rsidRPr="006D6727">
        <w:rPr>
          <w:rStyle w:val="ECCParagraph"/>
          <w:noProof/>
        </w:rPr>
        <w:t>. With well-designed systems (especially for the receiver part) an output power of -5</w:t>
      </w:r>
      <w:r w:rsidR="001E6D49" w:rsidRPr="006D6727">
        <w:rPr>
          <w:rStyle w:val="ECCParagraph"/>
          <w:noProof/>
        </w:rPr>
        <w:t> </w:t>
      </w:r>
      <w:r w:rsidRPr="006D6727">
        <w:rPr>
          <w:rStyle w:val="ECCParagraph"/>
          <w:noProof/>
        </w:rPr>
        <w:t>dBm should be sufficient for most applications and detection ranges of up to 100</w:t>
      </w:r>
      <w:r w:rsidR="001E6D49" w:rsidRPr="006D6727">
        <w:rPr>
          <w:rStyle w:val="ECCParagraph"/>
          <w:noProof/>
        </w:rPr>
        <w:t> </w:t>
      </w:r>
      <w:r w:rsidRPr="006D6727">
        <w:rPr>
          <w:rStyle w:val="ECCParagraph"/>
          <w:noProof/>
        </w:rPr>
        <w:t>metres</w:t>
      </w:r>
      <w:r w:rsidR="001E6D49" w:rsidRPr="006D6727">
        <w:rPr>
          <w:rStyle w:val="ECCParagraph"/>
          <w:noProof/>
        </w:rPr>
        <w:t xml:space="preserve">, </w:t>
      </w:r>
      <w:r w:rsidRPr="006D6727">
        <w:rPr>
          <w:rStyle w:val="ECCParagraph"/>
          <w:noProof/>
        </w:rPr>
        <w:t xml:space="preserve">having in mind that </w:t>
      </w:r>
      <w:r w:rsidR="001E6D49" w:rsidRPr="006D6727">
        <w:rPr>
          <w:rStyle w:val="ECCParagraph"/>
          <w:noProof/>
        </w:rPr>
        <w:t xml:space="preserve">only </w:t>
      </w:r>
      <w:r w:rsidRPr="006D6727">
        <w:rPr>
          <w:rStyle w:val="ECCParagraph"/>
          <w:noProof/>
        </w:rPr>
        <w:t>indoor applications and applications in highly shielded environments</w:t>
      </w:r>
      <w:r w:rsidR="001E6D49" w:rsidRPr="006D6727">
        <w:rPr>
          <w:rStyle w:val="ECCParagraph"/>
          <w:noProof/>
        </w:rPr>
        <w:t xml:space="preserve"> are concerned</w:t>
      </w:r>
      <w:r w:rsidRPr="006D6727">
        <w:rPr>
          <w:rStyle w:val="ECCParagraph"/>
          <w:noProof/>
        </w:rPr>
        <w:t>.</w:t>
      </w:r>
    </w:p>
    <w:p w14:paraId="22F3DEE7" w14:textId="77777777" w:rsidR="001E0CE7" w:rsidRPr="006D6727" w:rsidRDefault="001E0CE7" w:rsidP="004E36C2">
      <w:pPr>
        <w:pStyle w:val="Heading4"/>
        <w:rPr>
          <w:noProof/>
        </w:rPr>
      </w:pPr>
      <w:bookmarkStart w:id="310" w:name="_Ref66452804"/>
      <w:bookmarkStart w:id="311" w:name="_Toc84325294"/>
      <w:r w:rsidRPr="006D6727">
        <w:rPr>
          <w:noProof/>
        </w:rPr>
        <w:t>Antenna data</w:t>
      </w:r>
      <w:bookmarkEnd w:id="310"/>
      <w:bookmarkEnd w:id="311"/>
    </w:p>
    <w:p w14:paraId="00BAF7EC" w14:textId="7F430694" w:rsidR="001E0CE7" w:rsidRPr="006D6727" w:rsidRDefault="00FB1DAD" w:rsidP="00664D56">
      <w:pPr>
        <w:rPr>
          <w:rStyle w:val="ECCParagraph"/>
          <w:noProof/>
        </w:rPr>
      </w:pPr>
      <w:r w:rsidRPr="006D6727">
        <w:rPr>
          <w:rStyle w:val="ECCParagraph"/>
          <w:noProof/>
        </w:rPr>
        <w:t xml:space="preserve">The antenna characteristics of radiodetermination systems for industry automation in shielded environments (RDI-S) are identical to those applied </w:t>
      </w:r>
      <w:r w:rsidR="00A34219" w:rsidRPr="006D6727">
        <w:rPr>
          <w:rStyle w:val="ECCParagraph"/>
          <w:noProof/>
        </w:rPr>
        <w:t>with radiodetermination s</w:t>
      </w:r>
      <w:r w:rsidR="0050273B" w:rsidRPr="006D6727">
        <w:rPr>
          <w:rStyle w:val="ECCParagraph"/>
          <w:noProof/>
        </w:rPr>
        <w:t>ystems</w:t>
      </w:r>
      <w:r w:rsidR="00A34219" w:rsidRPr="006D6727">
        <w:rPr>
          <w:rStyle w:val="ECCParagraph"/>
          <w:noProof/>
        </w:rPr>
        <w:t xml:space="preserve"> </w:t>
      </w:r>
      <w:r w:rsidR="00856633" w:rsidRPr="006D6727">
        <w:rPr>
          <w:rStyle w:val="ECCParagraph"/>
          <w:noProof/>
        </w:rPr>
        <w:t xml:space="preserve">for industry automation (RDI) </w:t>
      </w:r>
      <w:r w:rsidR="00A34219" w:rsidRPr="006D6727">
        <w:rPr>
          <w:rStyle w:val="ECCParagraph"/>
          <w:noProof/>
        </w:rPr>
        <w:t xml:space="preserve">in the open air (refer to </w:t>
      </w:r>
      <w:r w:rsidR="009D5FA2">
        <w:rPr>
          <w:rStyle w:val="ECCParagraph"/>
          <w:noProof/>
        </w:rPr>
        <w:t>section</w:t>
      </w:r>
      <w:r w:rsidR="001E0CE7" w:rsidRPr="006D6727">
        <w:rPr>
          <w:rStyle w:val="ECCParagraph"/>
          <w:noProof/>
        </w:rPr>
        <w:t xml:space="preserve"> </w:t>
      </w:r>
      <w:r w:rsidR="001E0CE7" w:rsidRPr="006D6727">
        <w:rPr>
          <w:rStyle w:val="ECCParagraph"/>
          <w:noProof/>
        </w:rPr>
        <w:fldChar w:fldCharType="begin"/>
      </w:r>
      <w:r w:rsidR="001E0CE7" w:rsidRPr="006D6727">
        <w:rPr>
          <w:rStyle w:val="ECCParagraph"/>
          <w:noProof/>
        </w:rPr>
        <w:instrText xml:space="preserve"> REF _Ref20137901 \r \h  \* MERGEFORMAT </w:instrText>
      </w:r>
      <w:r w:rsidR="001E0CE7" w:rsidRPr="006D6727">
        <w:rPr>
          <w:rStyle w:val="ECCParagraph"/>
          <w:noProof/>
        </w:rPr>
      </w:r>
      <w:r w:rsidR="001E0CE7" w:rsidRPr="006D6727">
        <w:rPr>
          <w:rStyle w:val="ECCParagraph"/>
          <w:noProof/>
        </w:rPr>
        <w:fldChar w:fldCharType="separate"/>
      </w:r>
      <w:r w:rsidR="004F49F9">
        <w:rPr>
          <w:rStyle w:val="ECCParagraph"/>
          <w:noProof/>
        </w:rPr>
        <w:t>2.2.2.4</w:t>
      </w:r>
      <w:r w:rsidR="001E0CE7" w:rsidRPr="006D6727">
        <w:rPr>
          <w:rStyle w:val="ECCParagraph"/>
          <w:noProof/>
        </w:rPr>
        <w:fldChar w:fldCharType="end"/>
      </w:r>
      <w:r w:rsidR="00A34219" w:rsidRPr="006D6727">
        <w:rPr>
          <w:rStyle w:val="ECCParagraph"/>
          <w:noProof/>
        </w:rPr>
        <w:t>)</w:t>
      </w:r>
      <w:r w:rsidR="001E0CE7" w:rsidRPr="006D6727">
        <w:rPr>
          <w:rStyle w:val="ECCParagraph"/>
          <w:noProof/>
        </w:rPr>
        <w:t>.</w:t>
      </w:r>
    </w:p>
    <w:p w14:paraId="1FC5CE76" w14:textId="77777777" w:rsidR="00995788" w:rsidRPr="006D6727" w:rsidRDefault="00995788" w:rsidP="004E36C2">
      <w:pPr>
        <w:pStyle w:val="Heading4"/>
        <w:rPr>
          <w:noProof/>
        </w:rPr>
      </w:pPr>
      <w:bookmarkStart w:id="312" w:name="_Toc84325295"/>
      <w:r w:rsidRPr="006D6727">
        <w:rPr>
          <w:noProof/>
        </w:rPr>
        <w:t>Market size</w:t>
      </w:r>
      <w:bookmarkEnd w:id="312"/>
    </w:p>
    <w:p w14:paraId="028E416A" w14:textId="0FE61428" w:rsidR="0021652E" w:rsidRPr="006D6727" w:rsidRDefault="0021652E" w:rsidP="0021652E">
      <w:pPr>
        <w:rPr>
          <w:rStyle w:val="ECCParagraph"/>
          <w:noProof/>
        </w:rPr>
      </w:pPr>
      <w:r w:rsidRPr="006D6727">
        <w:rPr>
          <w:rStyle w:val="ECCParagraph"/>
          <w:noProof/>
        </w:rPr>
        <w:t xml:space="preserve">ETSI TR 103 498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F49F9">
        <w:rPr>
          <w:rStyle w:val="ECCParagraph"/>
          <w:noProof/>
        </w:rPr>
        <w:t>[1]</w:t>
      </w:r>
      <w:r w:rsidRPr="006D6727">
        <w:rPr>
          <w:rStyle w:val="ECCParagraph"/>
          <w:noProof/>
        </w:rPr>
        <w:fldChar w:fldCharType="end"/>
      </w:r>
      <w:r w:rsidRPr="006D6727">
        <w:rPr>
          <w:rStyle w:val="ECCParagraph"/>
          <w:noProof/>
        </w:rPr>
        <w:t xml:space="preserve"> does not give any figures for the market size for RDI-S devices. The applications are new and there is a significant market potential, but </w:t>
      </w:r>
      <w:r w:rsidR="00F34504" w:rsidRPr="006D6727">
        <w:rPr>
          <w:rStyle w:val="ECCParagraph"/>
          <w:noProof/>
        </w:rPr>
        <w:t>sales figures</w:t>
      </w:r>
      <w:r w:rsidRPr="006D6727">
        <w:rPr>
          <w:rStyle w:val="ECCParagraph"/>
          <w:noProof/>
        </w:rPr>
        <w:t xml:space="preserve"> are at this </w:t>
      </w:r>
      <w:r w:rsidR="00F34504" w:rsidRPr="006D6727">
        <w:rPr>
          <w:rStyle w:val="ECCParagraph"/>
          <w:noProof/>
        </w:rPr>
        <w:t>early time</w:t>
      </w:r>
      <w:r w:rsidRPr="006D6727">
        <w:rPr>
          <w:rStyle w:val="ECCParagraph"/>
          <w:noProof/>
        </w:rPr>
        <w:t xml:space="preserve"> </w:t>
      </w:r>
      <w:r w:rsidR="00F34504" w:rsidRPr="006D6727">
        <w:rPr>
          <w:rStyle w:val="ECCParagraph"/>
          <w:noProof/>
        </w:rPr>
        <w:t>difficult</w:t>
      </w:r>
      <w:r w:rsidRPr="006D6727">
        <w:rPr>
          <w:rStyle w:val="ECCParagraph"/>
          <w:noProof/>
        </w:rPr>
        <w:t xml:space="preserve"> to </w:t>
      </w:r>
      <w:r w:rsidR="00F34504" w:rsidRPr="006D6727">
        <w:rPr>
          <w:rStyle w:val="ECCParagraph"/>
          <w:noProof/>
        </w:rPr>
        <w:t>predict</w:t>
      </w:r>
      <w:r w:rsidRPr="006D6727">
        <w:rPr>
          <w:rStyle w:val="ECCParagraph"/>
          <w:noProof/>
        </w:rPr>
        <w:t>. However, similar sales figures compared to LPR devices are used for the MCL calculations</w:t>
      </w:r>
      <w:r w:rsidR="00F34504" w:rsidRPr="006D6727">
        <w:rPr>
          <w:rStyle w:val="ECCParagraph"/>
          <w:noProof/>
        </w:rPr>
        <w:t>.</w:t>
      </w:r>
      <w:r w:rsidRPr="006D6727">
        <w:rPr>
          <w:rStyle w:val="ECCParagraph"/>
          <w:noProof/>
        </w:rPr>
        <w:t xml:space="preserve"> </w:t>
      </w:r>
      <w:r w:rsidR="00F34504" w:rsidRPr="006D6727">
        <w:rPr>
          <w:rStyle w:val="ECCParagraph"/>
          <w:noProof/>
        </w:rPr>
        <w:t>T</w:t>
      </w:r>
      <w:r w:rsidRPr="006D6727">
        <w:rPr>
          <w:rStyle w:val="ECCParagraph"/>
          <w:noProof/>
        </w:rPr>
        <w:t xml:space="preserve">his </w:t>
      </w:r>
      <w:r w:rsidR="00F34504" w:rsidRPr="006D6727">
        <w:rPr>
          <w:rStyle w:val="ECCParagraph"/>
          <w:noProof/>
        </w:rPr>
        <w:t xml:space="preserve">estimation should serve as a starting </w:t>
      </w:r>
      <w:r w:rsidR="00521B5C" w:rsidRPr="006D6727">
        <w:rPr>
          <w:rStyle w:val="ECCParagraph"/>
          <w:noProof/>
        </w:rPr>
        <w:t>point but</w:t>
      </w:r>
      <w:r w:rsidR="00F34504" w:rsidRPr="006D6727">
        <w:rPr>
          <w:rStyle w:val="ECCParagraph"/>
          <w:noProof/>
        </w:rPr>
        <w:t xml:space="preserve"> </w:t>
      </w:r>
      <w:r w:rsidRPr="006D6727">
        <w:rPr>
          <w:rStyle w:val="ECCParagraph"/>
          <w:noProof/>
        </w:rPr>
        <w:t xml:space="preserve">might </w:t>
      </w:r>
      <w:r w:rsidR="00F34504" w:rsidRPr="006D6727">
        <w:rPr>
          <w:rStyle w:val="ECCParagraph"/>
          <w:noProof/>
        </w:rPr>
        <w:t xml:space="preserve">turn out to </w:t>
      </w:r>
      <w:r w:rsidRPr="006D6727">
        <w:rPr>
          <w:rStyle w:val="ECCParagraph"/>
          <w:noProof/>
        </w:rPr>
        <w:t xml:space="preserve">be too </w:t>
      </w:r>
      <w:r w:rsidR="00F34504" w:rsidRPr="006D6727">
        <w:rPr>
          <w:rStyle w:val="ECCParagraph"/>
          <w:noProof/>
        </w:rPr>
        <w:t>optimistic.</w:t>
      </w:r>
    </w:p>
    <w:p w14:paraId="2670357F" w14:textId="30FC6233" w:rsidR="0021652E" w:rsidRPr="006D6727" w:rsidRDefault="00F34504" w:rsidP="00F22FC9">
      <w:pPr>
        <w:rPr>
          <w:rStyle w:val="ECCHLyellow"/>
          <w:noProof/>
        </w:rPr>
      </w:pPr>
      <w:r w:rsidRPr="006D6727">
        <w:rPr>
          <w:rStyle w:val="ECCParagraph"/>
          <w:noProof/>
        </w:rPr>
        <w:t>The estimated n</w:t>
      </w:r>
      <w:r w:rsidR="0021652E" w:rsidRPr="006D6727">
        <w:rPr>
          <w:rStyle w:val="ECCParagraph"/>
          <w:noProof/>
        </w:rPr>
        <w:t>umbers for the whole RDI-S market are given in</w:t>
      </w:r>
      <w:r w:rsidR="00F22FC9" w:rsidRPr="006D6727">
        <w:rPr>
          <w:rStyle w:val="ECCParagraph"/>
          <w:noProof/>
        </w:rPr>
        <w:t xml:space="preserve"> </w:t>
      </w:r>
      <w:r w:rsidR="00F22FC9" w:rsidRPr="006D6727">
        <w:rPr>
          <w:rStyle w:val="ECCParagraph"/>
          <w:noProof/>
        </w:rPr>
        <w:fldChar w:fldCharType="begin"/>
      </w:r>
      <w:r w:rsidR="00F22FC9" w:rsidRPr="006D6727">
        <w:rPr>
          <w:rStyle w:val="ECCParagraph"/>
          <w:noProof/>
        </w:rPr>
        <w:instrText xml:space="preserve"> REF _Ref20319366 \h  \* MERGEFORMAT </w:instrText>
      </w:r>
      <w:r w:rsidR="00F22FC9" w:rsidRPr="006D6727">
        <w:rPr>
          <w:rStyle w:val="ECCParagraph"/>
          <w:noProof/>
        </w:rPr>
      </w:r>
      <w:r w:rsidR="00F22FC9" w:rsidRPr="006D6727">
        <w:rPr>
          <w:rStyle w:val="ECCParagraph"/>
          <w:noProof/>
        </w:rPr>
        <w:fldChar w:fldCharType="separate"/>
      </w:r>
      <w:r w:rsidR="0041125F" w:rsidRPr="0041125F">
        <w:rPr>
          <w:rStyle w:val="ECCParagraph"/>
          <w:noProof/>
        </w:rPr>
        <w:t>Table 31</w:t>
      </w:r>
      <w:r w:rsidR="00F22FC9" w:rsidRPr="006D6727">
        <w:rPr>
          <w:rStyle w:val="ECCParagraph"/>
          <w:noProof/>
        </w:rPr>
        <w:fldChar w:fldCharType="end"/>
      </w:r>
      <w:r w:rsidR="0021652E" w:rsidRPr="006D6727">
        <w:rPr>
          <w:rStyle w:val="ECCParagraph"/>
          <w:noProof/>
        </w:rPr>
        <w:t xml:space="preserve">. This rather rough estimation also considers a considerable growth within the first five years after market launch. </w:t>
      </w:r>
      <w:r w:rsidR="0021652E" w:rsidRPr="006D6727">
        <w:rPr>
          <w:noProof/>
        </w:rPr>
        <w:t>Given the European land area of 10</w:t>
      </w:r>
      <w:r w:rsidR="00CF4994">
        <w:t>5</w:t>
      </w:r>
      <w:r w:rsidR="0021652E" w:rsidRPr="006D6727">
        <w:rPr>
          <w:noProof/>
        </w:rPr>
        <w:t>23</w:t>
      </w:r>
      <w:r w:rsidR="00CF4994">
        <w:rPr>
          <w:noProof/>
        </w:rPr>
        <w:t>000</w:t>
      </w:r>
      <w:r w:rsidR="0021652E" w:rsidRPr="006D6727">
        <w:rPr>
          <w:noProof/>
        </w:rPr>
        <w:t xml:space="preserve"> km², </w:t>
      </w:r>
      <w:r w:rsidR="0021652E" w:rsidRPr="006D6727">
        <w:rPr>
          <w:rStyle w:val="ECCParagraph"/>
          <w:noProof/>
        </w:rPr>
        <w:t>this translates to the average density of 0</w:t>
      </w:r>
      <w:r w:rsidR="00CF4994">
        <w:rPr>
          <w:rStyle w:val="ECCParagraph"/>
          <w:noProof/>
        </w:rPr>
        <w:t>.0</w:t>
      </w:r>
      <w:r w:rsidR="0021652E" w:rsidRPr="006D6727">
        <w:rPr>
          <w:rStyle w:val="ECCParagraph"/>
          <w:noProof/>
        </w:rPr>
        <w:t>076</w:t>
      </w:r>
      <w:r w:rsidR="00F22FC9" w:rsidRPr="006D6727">
        <w:rPr>
          <w:rStyle w:val="ECCParagraph"/>
          <w:noProof/>
        </w:rPr>
        <w:t xml:space="preserve"> </w:t>
      </w:r>
      <w:r w:rsidR="0021652E" w:rsidRPr="006D6727">
        <w:rPr>
          <w:rStyle w:val="ECCParagraph"/>
          <w:noProof/>
        </w:rPr>
        <w:t>RDI-S devices/km² in the band 116-</w:t>
      </w:r>
      <w:r w:rsidR="00B465A9" w:rsidRPr="006D6727">
        <w:rPr>
          <w:rStyle w:val="ECCParagraph"/>
          <w:noProof/>
        </w:rPr>
        <w:t>260 </w:t>
      </w:r>
      <w:r w:rsidR="0021652E" w:rsidRPr="006D6727">
        <w:rPr>
          <w:rStyle w:val="ECCParagraph"/>
          <w:noProof/>
        </w:rPr>
        <w:t>GHz.</w:t>
      </w:r>
    </w:p>
    <w:p w14:paraId="25FE8FF2" w14:textId="77777777" w:rsidR="001D7D78" w:rsidRDefault="001D7D78" w:rsidP="0021652E">
      <w:pPr>
        <w:pStyle w:val="Caption"/>
        <w:rPr>
          <w:noProof/>
          <w:lang w:val="en-GB"/>
        </w:rPr>
      </w:pPr>
      <w:bookmarkStart w:id="313" w:name="_Ref20319366"/>
    </w:p>
    <w:p w14:paraId="54144941" w14:textId="77777777" w:rsidR="001D7D78" w:rsidRDefault="001D7D78" w:rsidP="0021652E">
      <w:pPr>
        <w:pStyle w:val="Caption"/>
        <w:rPr>
          <w:noProof/>
          <w:lang w:val="en-GB"/>
        </w:rPr>
      </w:pPr>
    </w:p>
    <w:p w14:paraId="4A448DB1" w14:textId="77777777" w:rsidR="001D7D78" w:rsidRDefault="001D7D78" w:rsidP="0021652E">
      <w:pPr>
        <w:pStyle w:val="Caption"/>
        <w:rPr>
          <w:noProof/>
          <w:lang w:val="en-GB"/>
        </w:rPr>
      </w:pPr>
    </w:p>
    <w:p w14:paraId="32DB0541" w14:textId="77777777" w:rsidR="001D7D78" w:rsidRDefault="001D7D78" w:rsidP="0021652E">
      <w:pPr>
        <w:pStyle w:val="Caption"/>
        <w:rPr>
          <w:noProof/>
          <w:lang w:val="en-GB"/>
        </w:rPr>
      </w:pPr>
    </w:p>
    <w:p w14:paraId="39C10AE4" w14:textId="33893FB4" w:rsidR="0021652E" w:rsidRPr="006D6727" w:rsidRDefault="0021652E" w:rsidP="0021652E">
      <w:pPr>
        <w:pStyle w:val="Caption"/>
        <w:rPr>
          <w:rStyle w:val="ECCParagraph"/>
          <w:rFonts w:eastAsia="Calibri"/>
          <w:noProof/>
        </w:rPr>
      </w:pPr>
      <w:r w:rsidRPr="006D6727">
        <w:rPr>
          <w:noProof/>
          <w:lang w:val="en-GB"/>
        </w:rPr>
        <w:t>Table</w:t>
      </w:r>
      <w:r w:rsidR="00F22FC9"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31</w:t>
      </w:r>
      <w:r w:rsidR="00616942" w:rsidRPr="006D6727">
        <w:rPr>
          <w:noProof/>
          <w:lang w:val="en-GB"/>
        </w:rPr>
        <w:fldChar w:fldCharType="end"/>
      </w:r>
      <w:bookmarkEnd w:id="313"/>
      <w:r w:rsidRPr="006D6727">
        <w:rPr>
          <w:noProof/>
          <w:lang w:val="en-GB"/>
        </w:rPr>
        <w:t xml:space="preserve">: </w:t>
      </w:r>
      <w:r w:rsidRPr="006D6727">
        <w:rPr>
          <w:rStyle w:val="ECCParagraph"/>
          <w:rFonts w:eastAsia="Calibri"/>
          <w:noProof/>
        </w:rPr>
        <w:t>Estimated sales figures and device densities of RDI-S devices</w:t>
      </w:r>
      <w:r w:rsidR="004E227B" w:rsidRPr="006D6727">
        <w:rPr>
          <w:rStyle w:val="ECCParagraph"/>
          <w:rFonts w:eastAsia="Calibri"/>
          <w:noProof/>
        </w:rPr>
        <w:t xml:space="preserve"> in the band 116 GHz to </w:t>
      </w:r>
      <w:r w:rsidR="00B465A9" w:rsidRPr="006D6727">
        <w:rPr>
          <w:rStyle w:val="ECCParagraph"/>
          <w:rFonts w:eastAsia="Calibri"/>
          <w:noProof/>
        </w:rPr>
        <w:t>260 </w:t>
      </w:r>
      <w:r w:rsidR="004E227B" w:rsidRPr="006D6727">
        <w:rPr>
          <w:rStyle w:val="ECCParagraph"/>
          <w:rFonts w:eastAsia="Calibri"/>
          <w:noProof/>
        </w:rPr>
        <w:t>GHz</w:t>
      </w:r>
    </w:p>
    <w:tbl>
      <w:tblPr>
        <w:tblStyle w:val="ECCTable-redheader"/>
        <w:tblW w:w="5000" w:type="pct"/>
        <w:tblInd w:w="0" w:type="dxa"/>
        <w:tblLook w:val="04A0" w:firstRow="1" w:lastRow="0" w:firstColumn="1" w:lastColumn="0" w:noHBand="0" w:noVBand="1"/>
      </w:tblPr>
      <w:tblGrid>
        <w:gridCol w:w="7509"/>
        <w:gridCol w:w="2120"/>
      </w:tblGrid>
      <w:tr w:rsidR="0021652E" w:rsidRPr="006D6727" w14:paraId="406D0DCB" w14:textId="77777777" w:rsidTr="004E227B">
        <w:trPr>
          <w:cnfStyle w:val="100000000000" w:firstRow="1" w:lastRow="0" w:firstColumn="0" w:lastColumn="0" w:oddVBand="0" w:evenVBand="0" w:oddHBand="0" w:evenHBand="0" w:firstRowFirstColumn="0" w:firstRowLastColumn="0" w:lastRowFirstColumn="0" w:lastRowLastColumn="0"/>
        </w:trPr>
        <w:tc>
          <w:tcPr>
            <w:tcW w:w="3899" w:type="pct"/>
          </w:tcPr>
          <w:p w14:paraId="3DCB9313" w14:textId="77777777" w:rsidR="0021652E" w:rsidRPr="006D6727" w:rsidRDefault="0021652E" w:rsidP="00876039">
            <w:pPr>
              <w:pStyle w:val="ECCTableHeaderwhitefont"/>
              <w:rPr>
                <w:noProof/>
              </w:rPr>
            </w:pPr>
            <w:r w:rsidRPr="006D6727">
              <w:rPr>
                <w:noProof/>
              </w:rPr>
              <w:t>Parameter</w:t>
            </w:r>
          </w:p>
        </w:tc>
        <w:tc>
          <w:tcPr>
            <w:tcW w:w="1101" w:type="pct"/>
          </w:tcPr>
          <w:p w14:paraId="45D61193" w14:textId="77777777" w:rsidR="0021652E" w:rsidRPr="006D6727" w:rsidRDefault="0021652E" w:rsidP="00EA11B9">
            <w:pPr>
              <w:pStyle w:val="ECCTableHeaderwhitefont"/>
              <w:rPr>
                <w:noProof/>
              </w:rPr>
            </w:pPr>
            <w:r w:rsidRPr="006D6727">
              <w:rPr>
                <w:noProof/>
              </w:rPr>
              <w:t>Value</w:t>
            </w:r>
          </w:p>
        </w:tc>
      </w:tr>
      <w:tr w:rsidR="0021652E" w:rsidRPr="006D6727" w14:paraId="5CBF1198" w14:textId="77777777" w:rsidTr="004E227B">
        <w:trPr>
          <w:trHeight w:val="265"/>
        </w:trPr>
        <w:tc>
          <w:tcPr>
            <w:tcW w:w="3899" w:type="pct"/>
          </w:tcPr>
          <w:p w14:paraId="32B6F2F9" w14:textId="77777777" w:rsidR="0021652E" w:rsidRPr="006D6727" w:rsidRDefault="0021652E" w:rsidP="00DC3504">
            <w:pPr>
              <w:pStyle w:val="ECCTabletext"/>
              <w:spacing w:before="60"/>
              <w:jc w:val="left"/>
              <w:rPr>
                <w:noProof/>
              </w:rPr>
            </w:pPr>
            <w:r w:rsidRPr="006D6727">
              <w:rPr>
                <w:noProof/>
              </w:rPr>
              <w:t>Worldwide accumulated number of RDI-S devices in the field 5 years after launch</w:t>
            </w:r>
          </w:p>
        </w:tc>
        <w:tc>
          <w:tcPr>
            <w:tcW w:w="1101" w:type="pct"/>
          </w:tcPr>
          <w:p w14:paraId="2F940636" w14:textId="2F58359E" w:rsidR="0021652E" w:rsidRPr="006D6727" w:rsidRDefault="0021652E" w:rsidP="00DC3504">
            <w:pPr>
              <w:pStyle w:val="ECCTabletext"/>
              <w:spacing w:before="60"/>
              <w:jc w:val="left"/>
              <w:rPr>
                <w:noProof/>
              </w:rPr>
            </w:pPr>
            <w:r w:rsidRPr="006D6727">
              <w:rPr>
                <w:noProof/>
              </w:rPr>
              <w:t>200</w:t>
            </w:r>
            <w:r w:rsidR="00CF4994">
              <w:rPr>
                <w:noProof/>
              </w:rPr>
              <w:t>000</w:t>
            </w:r>
          </w:p>
        </w:tc>
      </w:tr>
      <w:tr w:rsidR="0021652E" w:rsidRPr="006D6727" w14:paraId="7DC54B5F" w14:textId="77777777" w:rsidTr="004E227B">
        <w:trPr>
          <w:trHeight w:val="265"/>
        </w:trPr>
        <w:tc>
          <w:tcPr>
            <w:tcW w:w="3899" w:type="pct"/>
          </w:tcPr>
          <w:p w14:paraId="2912D51A" w14:textId="77777777" w:rsidR="0021652E" w:rsidRPr="006D6727" w:rsidRDefault="0021652E" w:rsidP="00DC3504">
            <w:pPr>
              <w:pStyle w:val="ECCTabletext"/>
              <w:spacing w:before="60"/>
              <w:jc w:val="left"/>
              <w:rPr>
                <w:noProof/>
              </w:rPr>
            </w:pPr>
            <w:r w:rsidRPr="006D6727">
              <w:rPr>
                <w:noProof/>
              </w:rPr>
              <w:t xml:space="preserve">Fraction of </w:t>
            </w:r>
            <w:r w:rsidR="00032E26" w:rsidRPr="006D6727">
              <w:rPr>
                <w:noProof/>
              </w:rPr>
              <w:t xml:space="preserve">RDI-S </w:t>
            </w:r>
            <w:r w:rsidRPr="006D6727">
              <w:rPr>
                <w:noProof/>
              </w:rPr>
              <w:t>devices sold for the European market</w:t>
            </w:r>
          </w:p>
        </w:tc>
        <w:tc>
          <w:tcPr>
            <w:tcW w:w="1101" w:type="pct"/>
          </w:tcPr>
          <w:p w14:paraId="52861AF7" w14:textId="660DC90F" w:rsidR="0021652E" w:rsidRPr="006D6727" w:rsidRDefault="0021652E" w:rsidP="00DC3504">
            <w:pPr>
              <w:pStyle w:val="ECCTabletext"/>
              <w:spacing w:before="60"/>
              <w:jc w:val="left"/>
              <w:rPr>
                <w:noProof/>
              </w:rPr>
            </w:pPr>
            <w:r w:rsidRPr="006D6727">
              <w:rPr>
                <w:noProof/>
              </w:rPr>
              <w:t>40</w:t>
            </w:r>
            <w:r w:rsidR="00F800A2">
              <w:rPr>
                <w:noProof/>
              </w:rPr>
              <w:t>%</w:t>
            </w:r>
          </w:p>
        </w:tc>
      </w:tr>
      <w:tr w:rsidR="0021652E" w:rsidRPr="006D6727" w14:paraId="25DC0DD7" w14:textId="77777777" w:rsidTr="004E227B">
        <w:trPr>
          <w:trHeight w:val="265"/>
        </w:trPr>
        <w:tc>
          <w:tcPr>
            <w:tcW w:w="3899" w:type="pct"/>
          </w:tcPr>
          <w:p w14:paraId="14E96CF5" w14:textId="77777777" w:rsidR="0021652E" w:rsidRPr="006D6727" w:rsidRDefault="0021652E" w:rsidP="00DC3504">
            <w:pPr>
              <w:pStyle w:val="ECCTabletext"/>
              <w:spacing w:before="60"/>
              <w:jc w:val="left"/>
              <w:rPr>
                <w:noProof/>
              </w:rPr>
            </w:pPr>
            <w:r w:rsidRPr="006D6727">
              <w:rPr>
                <w:noProof/>
              </w:rPr>
              <w:t>Accumulated number of RDI-S devices in the field in Europe 5 years after launch</w:t>
            </w:r>
          </w:p>
        </w:tc>
        <w:tc>
          <w:tcPr>
            <w:tcW w:w="1101" w:type="pct"/>
          </w:tcPr>
          <w:p w14:paraId="5A05A6C7" w14:textId="39E73C69" w:rsidR="0021652E" w:rsidRPr="006D6727" w:rsidDel="00D723DF" w:rsidRDefault="0021652E" w:rsidP="00DC3504">
            <w:pPr>
              <w:pStyle w:val="ECCTabletext"/>
              <w:spacing w:before="60"/>
              <w:jc w:val="left"/>
              <w:rPr>
                <w:noProof/>
              </w:rPr>
            </w:pPr>
            <w:r w:rsidRPr="006D6727">
              <w:rPr>
                <w:noProof/>
              </w:rPr>
              <w:t>80</w:t>
            </w:r>
            <w:r w:rsidR="00CF4994">
              <w:rPr>
                <w:noProof/>
              </w:rPr>
              <w:t>000</w:t>
            </w:r>
          </w:p>
        </w:tc>
      </w:tr>
      <w:tr w:rsidR="0021652E" w:rsidRPr="006D6727" w14:paraId="14501398" w14:textId="77777777" w:rsidTr="004E227B">
        <w:trPr>
          <w:trHeight w:val="265"/>
        </w:trPr>
        <w:tc>
          <w:tcPr>
            <w:tcW w:w="3899" w:type="pct"/>
          </w:tcPr>
          <w:p w14:paraId="060BBA04" w14:textId="77777777" w:rsidR="0021652E" w:rsidRPr="006D6727" w:rsidRDefault="0021652E" w:rsidP="00DC3504">
            <w:pPr>
              <w:pStyle w:val="ECCTabletext"/>
              <w:spacing w:before="60"/>
              <w:jc w:val="left"/>
              <w:rPr>
                <w:noProof/>
              </w:rPr>
            </w:pPr>
            <w:r w:rsidRPr="006D6727">
              <w:rPr>
                <w:noProof/>
              </w:rPr>
              <w:t>European land area</w:t>
            </w:r>
          </w:p>
        </w:tc>
        <w:tc>
          <w:tcPr>
            <w:tcW w:w="1101" w:type="pct"/>
          </w:tcPr>
          <w:p w14:paraId="0AEBD4D1" w14:textId="23703F06" w:rsidR="0021652E" w:rsidRPr="006D6727" w:rsidRDefault="0021652E" w:rsidP="00DC3504">
            <w:pPr>
              <w:pStyle w:val="ECCTabletext"/>
              <w:spacing w:before="60"/>
              <w:jc w:val="left"/>
              <w:rPr>
                <w:noProof/>
              </w:rPr>
            </w:pPr>
            <w:r w:rsidRPr="006D6727">
              <w:rPr>
                <w:noProof/>
              </w:rPr>
              <w:t>10</w:t>
            </w:r>
            <w:r w:rsidR="00CF4994">
              <w:t>5</w:t>
            </w:r>
            <w:r w:rsidRPr="006D6727">
              <w:rPr>
                <w:noProof/>
              </w:rPr>
              <w:t>23</w:t>
            </w:r>
            <w:r w:rsidR="00CF4994">
              <w:rPr>
                <w:noProof/>
              </w:rPr>
              <w:t>000</w:t>
            </w:r>
            <w:r w:rsidRPr="006D6727">
              <w:rPr>
                <w:noProof/>
              </w:rPr>
              <w:t> km²</w:t>
            </w:r>
          </w:p>
        </w:tc>
      </w:tr>
      <w:tr w:rsidR="0021652E" w:rsidRPr="006D6727" w14:paraId="17857E31" w14:textId="77777777" w:rsidTr="004E227B">
        <w:trPr>
          <w:trHeight w:val="265"/>
        </w:trPr>
        <w:tc>
          <w:tcPr>
            <w:tcW w:w="3899" w:type="pct"/>
          </w:tcPr>
          <w:p w14:paraId="5F0C7480" w14:textId="77777777" w:rsidR="0021652E" w:rsidRPr="006D6727" w:rsidRDefault="0021652E" w:rsidP="00DC3504">
            <w:pPr>
              <w:pStyle w:val="ECCTabletext"/>
              <w:spacing w:before="60"/>
              <w:jc w:val="left"/>
              <w:rPr>
                <w:noProof/>
              </w:rPr>
            </w:pPr>
            <w:r w:rsidRPr="006D6727">
              <w:rPr>
                <w:noProof/>
              </w:rPr>
              <w:t>Average density of RDI-S devices in Europe</w:t>
            </w:r>
          </w:p>
        </w:tc>
        <w:tc>
          <w:tcPr>
            <w:tcW w:w="1101" w:type="pct"/>
          </w:tcPr>
          <w:p w14:paraId="7BDE3ADF" w14:textId="77777777" w:rsidR="0021652E" w:rsidRPr="006D6727" w:rsidRDefault="0021652E" w:rsidP="00DC3504">
            <w:pPr>
              <w:pStyle w:val="ECCTabletext"/>
              <w:spacing w:before="60"/>
              <w:jc w:val="left"/>
              <w:rPr>
                <w:noProof/>
              </w:rPr>
            </w:pPr>
            <w:r w:rsidRPr="006D6727">
              <w:rPr>
                <w:noProof/>
              </w:rPr>
              <w:t>0</w:t>
            </w:r>
            <w:r w:rsidR="00CF4994">
              <w:rPr>
                <w:noProof/>
              </w:rPr>
              <w:t>.0</w:t>
            </w:r>
            <w:r w:rsidRPr="006D6727">
              <w:rPr>
                <w:noProof/>
              </w:rPr>
              <w:t>076 devices/km²</w:t>
            </w:r>
          </w:p>
        </w:tc>
      </w:tr>
    </w:tbl>
    <w:p w14:paraId="7746D6F8" w14:textId="77777777" w:rsidR="0021652E" w:rsidRPr="006D6727" w:rsidRDefault="0021652E" w:rsidP="0021652E">
      <w:pPr>
        <w:rPr>
          <w:noProof/>
        </w:rPr>
      </w:pPr>
      <w:r w:rsidRPr="006D6727">
        <w:rPr>
          <w:noProof/>
        </w:rPr>
        <w:t>An additional re-assurance to the credibility of the provided estimates can be implemented by doubling the estimated mean device densities in Europe for the MCL calculations. This conservative overestimation emphasizes the worst-case approach of the compatibility studies.</w:t>
      </w:r>
    </w:p>
    <w:p w14:paraId="73B1D8A2" w14:textId="77777777" w:rsidR="0021652E" w:rsidRPr="006D6727" w:rsidRDefault="0021652E" w:rsidP="0021652E">
      <w:pPr>
        <w:rPr>
          <w:noProof/>
        </w:rPr>
      </w:pPr>
      <w:r w:rsidRPr="006D6727">
        <w:rPr>
          <w:noProof/>
        </w:rPr>
        <w:t>It may be seen from the numbers given above, that the projected average density of RDI-S devices will be extremely low, as provided for by their industrial type of use and specific nature of applications. This however does not exclude certain cases, where multiple RDI-S devices could be used in very near proximity in an industrial plant for instance. But given the additional building shielding and the shielding case of the devices in addition to that the nevertheless unsynchronised nature of RDI-S devices, even in such cases, adverse aggregation effects may be considered unrealistic.</w:t>
      </w:r>
    </w:p>
    <w:p w14:paraId="08D0B877" w14:textId="77777777" w:rsidR="0021652E" w:rsidRPr="006D6727" w:rsidRDefault="0021652E" w:rsidP="0021652E">
      <w:pPr>
        <w:rPr>
          <w:rStyle w:val="ECCHLyellow"/>
          <w:noProof/>
        </w:rPr>
      </w:pPr>
      <w:r w:rsidRPr="006D6727">
        <w:rPr>
          <w:noProof/>
        </w:rPr>
        <w:t>It should be further noted that it is expected that the majority proportion of RDI-S will actually be installed indoors and has special covers reducing the level of emissions outside the installation</w:t>
      </w:r>
      <w:r w:rsidR="0075252F" w:rsidRPr="006D6727">
        <w:rPr>
          <w:noProof/>
        </w:rPr>
        <w:t xml:space="preserve"> scenario</w:t>
      </w:r>
      <w:r w:rsidRPr="006D6727">
        <w:rPr>
          <w:noProof/>
        </w:rPr>
        <w:t>.</w:t>
      </w:r>
    </w:p>
    <w:p w14:paraId="4A415937" w14:textId="50163DF7" w:rsidR="0021652E" w:rsidRPr="006D6727" w:rsidRDefault="0021652E" w:rsidP="00B52A92">
      <w:pPr>
        <w:rPr>
          <w:noProof/>
        </w:rPr>
      </w:pPr>
      <w:r w:rsidRPr="006D6727">
        <w:rPr>
          <w:rStyle w:val="ECCParagraph"/>
          <w:noProof/>
        </w:rPr>
        <w:t xml:space="preserve">However, in order to implement the philosophy of worst-case simulations of RDI-S interference, no additional natural shielding should be considered in the MCL calculations of this Report, i.e. all MCL calculations shall be performed for the worst-case of RDI-S devices being placed indoors with line-of-sight (LOS) conditions, taking </w:t>
      </w:r>
      <w:r w:rsidR="003467EB" w:rsidRPr="006D6727">
        <w:rPr>
          <w:rStyle w:val="ECCParagraph"/>
          <w:noProof/>
        </w:rPr>
        <w:t xml:space="preserve">into account a </w:t>
      </w:r>
      <w:r w:rsidRPr="006D6727">
        <w:rPr>
          <w:rStyle w:val="ECCParagraph"/>
          <w:noProof/>
        </w:rPr>
        <w:t xml:space="preserve">building entry loss </w:t>
      </w:r>
      <w:r w:rsidR="00C533AF" w:rsidRPr="006D6727">
        <w:rPr>
          <w:rStyle w:val="ECCParagraph"/>
          <w:noProof/>
        </w:rPr>
        <w:t xml:space="preserve">(BEL) </w:t>
      </w:r>
      <w:r w:rsidR="003467EB" w:rsidRPr="006D6727">
        <w:rPr>
          <w:rStyle w:val="ECCParagraph"/>
          <w:noProof/>
        </w:rPr>
        <w:t xml:space="preserve">of 50 dB (refer to </w:t>
      </w:r>
      <w:r w:rsidR="009D5FA2">
        <w:rPr>
          <w:rStyle w:val="ECCParagraph"/>
          <w:noProof/>
        </w:rPr>
        <w:t>section</w:t>
      </w:r>
      <w:r w:rsidR="003467EB" w:rsidRPr="006D6727">
        <w:rPr>
          <w:rStyle w:val="ECCParagraph"/>
          <w:noProof/>
        </w:rPr>
        <w:t xml:space="preserve"> </w:t>
      </w:r>
      <w:r w:rsidR="003467EB" w:rsidRPr="006D6727">
        <w:rPr>
          <w:rStyle w:val="ECCParagraph"/>
          <w:noProof/>
        </w:rPr>
        <w:fldChar w:fldCharType="begin"/>
      </w:r>
      <w:r w:rsidR="003467EB" w:rsidRPr="006D6727">
        <w:rPr>
          <w:rStyle w:val="ECCParagraph"/>
          <w:noProof/>
        </w:rPr>
        <w:instrText xml:space="preserve"> REF _Ref36119882 \r \h </w:instrText>
      </w:r>
      <w:r w:rsidR="003467EB" w:rsidRPr="006D6727">
        <w:rPr>
          <w:rStyle w:val="ECCParagraph"/>
          <w:noProof/>
        </w:rPr>
      </w:r>
      <w:r w:rsidR="003467EB" w:rsidRPr="006D6727">
        <w:rPr>
          <w:rStyle w:val="ECCParagraph"/>
          <w:noProof/>
        </w:rPr>
        <w:fldChar w:fldCharType="separate"/>
      </w:r>
      <w:r w:rsidR="004F49F9">
        <w:rPr>
          <w:rStyle w:val="ECCParagraph"/>
          <w:noProof/>
        </w:rPr>
        <w:t>2.3</w:t>
      </w:r>
      <w:r w:rsidR="003467EB" w:rsidRPr="006D6727">
        <w:rPr>
          <w:rStyle w:val="ECCParagraph"/>
          <w:noProof/>
        </w:rPr>
        <w:fldChar w:fldCharType="end"/>
      </w:r>
      <w:r w:rsidR="003467EB" w:rsidRPr="006D6727">
        <w:rPr>
          <w:rStyle w:val="ECCParagraph"/>
          <w:noProof/>
        </w:rPr>
        <w:t xml:space="preserve">) </w:t>
      </w:r>
      <w:r w:rsidRPr="006D6727">
        <w:rPr>
          <w:rStyle w:val="ECCParagraph"/>
          <w:noProof/>
        </w:rPr>
        <w:t>and without accounting for any additional natural shielding</w:t>
      </w:r>
      <w:r w:rsidR="006E2B9F" w:rsidRPr="006D6727">
        <w:rPr>
          <w:rStyle w:val="ECCParagraph"/>
          <w:noProof/>
        </w:rPr>
        <w:t xml:space="preserve"> (</w:t>
      </w:r>
      <w:r w:rsidRPr="006D6727">
        <w:rPr>
          <w:rStyle w:val="ECCParagraph"/>
          <w:noProof/>
        </w:rPr>
        <w:t>As a result, all calculated interference probabilities represent the most conservative estimates, which in many real-life scenarios will be further reduced due to aforementioned natural shielding.</w:t>
      </w:r>
    </w:p>
    <w:p w14:paraId="48085E5C" w14:textId="77777777" w:rsidR="001773C2" w:rsidRPr="006D6727" w:rsidRDefault="001773C2" w:rsidP="004E36C2">
      <w:pPr>
        <w:pStyle w:val="Heading4"/>
        <w:rPr>
          <w:noProof/>
        </w:rPr>
      </w:pPr>
      <w:bookmarkStart w:id="314" w:name="_Ref66452787"/>
      <w:bookmarkStart w:id="315" w:name="_Toc84325296"/>
      <w:r w:rsidRPr="006D6727">
        <w:rPr>
          <w:noProof/>
        </w:rPr>
        <w:t>Interference scenarios</w:t>
      </w:r>
      <w:bookmarkEnd w:id="314"/>
      <w:bookmarkEnd w:id="315"/>
    </w:p>
    <w:p w14:paraId="0418BEED" w14:textId="77777777" w:rsidR="002F1FEF" w:rsidRPr="006D6727" w:rsidRDefault="002F1FEF" w:rsidP="002F1FEF">
      <w:pPr>
        <w:rPr>
          <w:noProof/>
        </w:rPr>
      </w:pPr>
      <w:r w:rsidRPr="006D6727">
        <w:rPr>
          <w:noProof/>
        </w:rPr>
        <w:t>Due to the wide variety of RDI-S devices that need to be covered by regulation and to allow generic use of the devices in order not to limit industrial innovation for this emerging technology (improved production quality, safety, optimization of resource utilisation and production energy efficiency, …) an interference scenario as generic as possible should be used in this report.</w:t>
      </w:r>
    </w:p>
    <w:p w14:paraId="446132DC" w14:textId="77777777" w:rsidR="002F1FEF" w:rsidRPr="006D6727" w:rsidRDefault="002F1FEF" w:rsidP="002F1FEF">
      <w:pPr>
        <w:rPr>
          <w:noProof/>
        </w:rPr>
      </w:pPr>
      <w:r w:rsidRPr="006D6727">
        <w:rPr>
          <w:noProof/>
        </w:rPr>
        <w:t>The points that contribute to the interference probability on a victim receiver are:</w:t>
      </w:r>
    </w:p>
    <w:p w14:paraId="5FE8F491" w14:textId="77777777" w:rsidR="002F1FEF" w:rsidRPr="006D6727" w:rsidRDefault="002F1FEF" w:rsidP="002F1FEF">
      <w:pPr>
        <w:pStyle w:val="ECCBulletsLv1"/>
        <w:rPr>
          <w:noProof/>
        </w:rPr>
      </w:pPr>
      <w:r w:rsidRPr="006D6727">
        <w:rPr>
          <w:noProof/>
        </w:rPr>
        <w:t>RDI-S device output power</w:t>
      </w:r>
    </w:p>
    <w:p w14:paraId="06FB45EE" w14:textId="77777777" w:rsidR="002F1FEF" w:rsidRPr="006D6727" w:rsidRDefault="002F1FEF" w:rsidP="002F1FEF">
      <w:pPr>
        <w:pStyle w:val="ECCBulletsLv1"/>
        <w:rPr>
          <w:noProof/>
        </w:rPr>
      </w:pPr>
      <w:r w:rsidRPr="006D6727">
        <w:rPr>
          <w:noProof/>
        </w:rPr>
        <w:t xml:space="preserve">RDI-S duty cycle and sweep bandwidth </w:t>
      </w:r>
    </w:p>
    <w:p w14:paraId="70B67A79" w14:textId="77777777" w:rsidR="002F1FEF" w:rsidRPr="006D6727" w:rsidRDefault="002F1FEF" w:rsidP="002F1FEF">
      <w:pPr>
        <w:pStyle w:val="ECCBulletsLv1"/>
        <w:rPr>
          <w:noProof/>
        </w:rPr>
      </w:pPr>
      <w:r w:rsidRPr="006D6727">
        <w:rPr>
          <w:noProof/>
        </w:rPr>
        <w:t>RDI-S device antenna gain, antenna pattern and antenna type (pencil-beam antennas, focal-point antennas, open waveguide antennas)</w:t>
      </w:r>
    </w:p>
    <w:p w14:paraId="23856AF2" w14:textId="77777777" w:rsidR="002F1FEF" w:rsidRPr="006D6727" w:rsidRDefault="002F1FEF" w:rsidP="002F1FEF">
      <w:pPr>
        <w:pStyle w:val="ECCBulletsLv1"/>
        <w:rPr>
          <w:noProof/>
        </w:rPr>
      </w:pPr>
      <w:r w:rsidRPr="006D6727">
        <w:rPr>
          <w:noProof/>
        </w:rPr>
        <w:t xml:space="preserve">RDI-S device antenna orientation and shielding/scattering/reflexion attenuation (ensured by proper use/installation of the sensor) </w:t>
      </w:r>
    </w:p>
    <w:p w14:paraId="50648A79" w14:textId="77777777" w:rsidR="002F1FEF" w:rsidRPr="006D6727" w:rsidRDefault="002F1FEF" w:rsidP="002F1FEF">
      <w:pPr>
        <w:pStyle w:val="ECCBulletsLv1"/>
        <w:rPr>
          <w:noProof/>
        </w:rPr>
      </w:pPr>
      <w:r w:rsidRPr="006D6727">
        <w:rPr>
          <w:noProof/>
        </w:rPr>
        <w:t>Building shielding (extended BEL model)</w:t>
      </w:r>
    </w:p>
    <w:p w14:paraId="3C212584" w14:textId="4CB87C1B" w:rsidR="002F1FEF" w:rsidRPr="006D6727" w:rsidRDefault="008C6E0D" w:rsidP="002F1FEF">
      <w:pPr>
        <w:rPr>
          <w:noProof/>
        </w:rPr>
      </w:pPr>
      <w:r w:rsidRPr="006D6727">
        <w:rPr>
          <w:noProof/>
        </w:rPr>
        <w:t>The first four points</w:t>
      </w:r>
      <w:r w:rsidR="002F1FEF" w:rsidRPr="006D6727">
        <w:rPr>
          <w:noProof/>
        </w:rPr>
        <w:t xml:space="preserve"> can be generally regulated </w:t>
      </w:r>
      <w:r w:rsidR="00005BB8" w:rsidRPr="006D6727">
        <w:rPr>
          <w:noProof/>
        </w:rPr>
        <w:t xml:space="preserve">by </w:t>
      </w:r>
      <w:r w:rsidR="002F1FEF" w:rsidRPr="006D6727">
        <w:rPr>
          <w:noProof/>
        </w:rPr>
        <w:t>limit</w:t>
      </w:r>
      <w:r w:rsidR="00005BB8" w:rsidRPr="006D6727">
        <w:rPr>
          <w:noProof/>
        </w:rPr>
        <w:t>ing</w:t>
      </w:r>
      <w:r w:rsidR="002F1FEF" w:rsidRPr="006D6727">
        <w:rPr>
          <w:noProof/>
        </w:rPr>
        <w:t xml:space="preserve"> the </w:t>
      </w:r>
      <w:r w:rsidR="00F37503">
        <w:t>e.i.r.p.</w:t>
      </w:r>
      <w:r w:rsidR="002F1FEF" w:rsidRPr="006D6727">
        <w:rPr>
          <w:noProof/>
        </w:rPr>
        <w:t xml:space="preserve"> spectral density </w:t>
      </w:r>
      <w:r w:rsidR="00005BB8" w:rsidRPr="006D6727">
        <w:rPr>
          <w:noProof/>
        </w:rPr>
        <w:t xml:space="preserve">of the device on a half sphere around the scenario </w:t>
      </w:r>
      <w:r w:rsidR="002F1FEF" w:rsidRPr="006D6727">
        <w:rPr>
          <w:noProof/>
        </w:rPr>
        <w:t>in a typical mounting situation at 100</w:t>
      </w:r>
      <w:r w:rsidR="00F800A2">
        <w:rPr>
          <w:noProof/>
        </w:rPr>
        <w:t>%</w:t>
      </w:r>
      <w:r w:rsidR="002F1FEF" w:rsidRPr="006D6727">
        <w:rPr>
          <w:noProof/>
        </w:rPr>
        <w:t xml:space="preserve"> duty cycle.</w:t>
      </w:r>
    </w:p>
    <w:p w14:paraId="5EA8FF76" w14:textId="77777777" w:rsidR="002F1FEF" w:rsidRPr="006D6727" w:rsidRDefault="002F1FEF" w:rsidP="002F1FEF">
      <w:pPr>
        <w:rPr>
          <w:noProof/>
        </w:rPr>
      </w:pPr>
      <w:r w:rsidRPr="006D6727">
        <w:rPr>
          <w:noProof/>
        </w:rPr>
        <w:t>To keep things simple for MCL calculations a single RDI-S sensor without any additional application dependent attenuation is assessed. In a real-world scenario, there will always be an additional attenuation caused by the object that the device is pointed at (scattering/reflexion/transmission attenuation and antenna misalignment attenuation, assured by mounting requirements and intended use in the RDI-S’s manual) or caused by RDI-S device housing. Because of the wide variety of different application types, a one-fits-all value is hard to find, and this attenuation should not be considered in the generic worst-case MCL calculation. However, this circumstance has to be kept in mind when the interference scenario is evaluated. The use of unjustified constructed worst-case interference scenarios that do not exist in real-world needs to be avoided and further, the MCL calculation should be conducted in a technology independent way. Otherwise this would inevitably lead to technically unnecessary burden for an innovative radiodetermination technology and would stand against an efficient use of spectrum.</w:t>
      </w:r>
    </w:p>
    <w:p w14:paraId="145D28C9" w14:textId="77777777" w:rsidR="00D756C9" w:rsidRPr="006D6727" w:rsidRDefault="00D756C9" w:rsidP="00D756C9">
      <w:pPr>
        <w:pStyle w:val="Caption"/>
        <w:rPr>
          <w:noProof/>
          <w:lang w:val="en-GB"/>
        </w:rPr>
      </w:pPr>
      <w:r w:rsidRPr="006D6727">
        <w:rPr>
          <w:noProof/>
          <w:lang w:val="de-DE" w:eastAsia="de-DE"/>
        </w:rPr>
        <w:drawing>
          <wp:inline distT="0" distB="0" distL="0" distR="0" wp14:anchorId="52AD3C88" wp14:editId="60D09576">
            <wp:extent cx="4515729" cy="2893905"/>
            <wp:effectExtent l="0" t="0" r="0" b="1905"/>
            <wp:docPr id="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4539970" cy="2909440"/>
                    </a:xfrm>
                    <a:prstGeom prst="rect">
                      <a:avLst/>
                    </a:prstGeom>
                  </pic:spPr>
                </pic:pic>
              </a:graphicData>
            </a:graphic>
          </wp:inline>
        </w:drawing>
      </w:r>
    </w:p>
    <w:p w14:paraId="54F27578" w14:textId="0CDA1E91" w:rsidR="00D756C9" w:rsidRPr="006D6727" w:rsidRDefault="00D756C9" w:rsidP="00D756C9">
      <w:pPr>
        <w:pStyle w:val="Caption"/>
        <w:rPr>
          <w:noProof/>
          <w:lang w:val="en-GB"/>
        </w:rPr>
      </w:pPr>
      <w:bookmarkStart w:id="316" w:name="_Ref27486324"/>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F49F9">
        <w:rPr>
          <w:noProof/>
          <w:lang w:val="en-GB"/>
        </w:rPr>
        <w:t>59</w:t>
      </w:r>
      <w:r w:rsidR="0028290E" w:rsidRPr="006D6727">
        <w:rPr>
          <w:noProof/>
          <w:lang w:val="en-GB"/>
        </w:rPr>
        <w:fldChar w:fldCharType="end"/>
      </w:r>
      <w:bookmarkEnd w:id="316"/>
      <w:r w:rsidRPr="006D6727">
        <w:rPr>
          <w:noProof/>
          <w:lang w:val="en-GB"/>
        </w:rPr>
        <w:t>: Interference scenario for RDI-S sensors</w:t>
      </w:r>
    </w:p>
    <w:p w14:paraId="74915D40" w14:textId="1E1D4227" w:rsidR="00D756C9" w:rsidRPr="006D6727" w:rsidRDefault="00D756C9" w:rsidP="00D756C9">
      <w:pPr>
        <w:rPr>
          <w:noProof/>
        </w:rPr>
      </w:pPr>
      <w:r w:rsidRPr="006D6727">
        <w:rPr>
          <w:noProof/>
        </w:rPr>
        <w:t xml:space="preserve">The selected generic interference scenario for RDI-S devices is similar to the scenario described for TLPR devices (see </w:t>
      </w:r>
      <w:r w:rsidR="009D5FA2">
        <w:rPr>
          <w:rStyle w:val="ECCParagraph"/>
          <w:noProof/>
        </w:rPr>
        <w:t>section</w:t>
      </w:r>
      <w:r w:rsidR="004B2A8A" w:rsidRPr="006D6727">
        <w:rPr>
          <w:rStyle w:val="ECCParagraph"/>
          <w:noProof/>
        </w:rPr>
        <w:t xml:space="preserve"> </w:t>
      </w:r>
      <w:r w:rsidR="004B2A8A" w:rsidRPr="006D6727">
        <w:rPr>
          <w:rStyle w:val="ECCParagraph"/>
          <w:noProof/>
        </w:rPr>
        <w:fldChar w:fldCharType="begin"/>
      </w:r>
      <w:r w:rsidR="004B2A8A" w:rsidRPr="006D6727">
        <w:rPr>
          <w:rStyle w:val="ECCParagraph"/>
          <w:noProof/>
        </w:rPr>
        <w:instrText xml:space="preserve"> REF _Ref27486211 \r \h </w:instrText>
      </w:r>
      <w:r w:rsidR="004B2A8A" w:rsidRPr="006D6727">
        <w:rPr>
          <w:rStyle w:val="ECCParagraph"/>
          <w:noProof/>
        </w:rPr>
      </w:r>
      <w:r w:rsidR="004B2A8A" w:rsidRPr="006D6727">
        <w:rPr>
          <w:rStyle w:val="ECCParagraph"/>
          <w:noProof/>
        </w:rPr>
        <w:fldChar w:fldCharType="separate"/>
      </w:r>
      <w:r w:rsidR="004F49F9">
        <w:rPr>
          <w:rStyle w:val="ECCParagraph"/>
          <w:noProof/>
        </w:rPr>
        <w:t>2.2.7.6</w:t>
      </w:r>
      <w:r w:rsidR="004B2A8A" w:rsidRPr="006D6727">
        <w:rPr>
          <w:rStyle w:val="ECCParagraph"/>
          <w:noProof/>
        </w:rPr>
        <w:fldChar w:fldCharType="end"/>
      </w:r>
      <w:r w:rsidRPr="006D6727">
        <w:rPr>
          <w:noProof/>
        </w:rPr>
        <w:t>) because of the similar nature of both systems and operation in highly controlled and shielded industrial environments. In contrast to taking into account the shielding of the metallic tank in the case of TLPR, here the building entry loss (BEL) is included to account for the building shielding effects</w:t>
      </w:r>
      <w:r w:rsidR="00A8399F" w:rsidRPr="00A8399F">
        <w:t xml:space="preserve"> </w:t>
      </w:r>
      <w:r w:rsidR="00A8399F">
        <w:t>The used indoor-outdoor attenuation for buildings is based on all the relevant loss mechanisms that arise in a typical RDI-S operation. These include building entry loss, mounting restrictions, and typical operation of these devices.</w:t>
      </w:r>
      <w:r w:rsidR="009C02F7">
        <w:t xml:space="preserve"> Any additional device specific shielding</w:t>
      </w:r>
      <w:r w:rsidR="006118AA">
        <w:t xml:space="preserve"> (see section </w:t>
      </w:r>
      <w:r w:rsidR="006118AA">
        <w:fldChar w:fldCharType="begin"/>
      </w:r>
      <w:r w:rsidR="006118AA">
        <w:instrText xml:space="preserve"> REF _Ref63265307 \r \h </w:instrText>
      </w:r>
      <w:r w:rsidR="006118AA">
        <w:fldChar w:fldCharType="separate"/>
      </w:r>
      <w:r w:rsidR="004F49F9">
        <w:t>2.3.2</w:t>
      </w:r>
      <w:r w:rsidR="006118AA">
        <w:fldChar w:fldCharType="end"/>
      </w:r>
      <w:r w:rsidR="006118AA">
        <w:t>)</w:t>
      </w:r>
      <w:r w:rsidR="009C02F7">
        <w:t>, e.g. housing shielding, has not been accounted for in the MCL studies</w:t>
      </w:r>
      <w:r w:rsidR="006118AA">
        <w:t xml:space="preserve"> and aggregate studies</w:t>
      </w:r>
      <w:r w:rsidR="009C02F7">
        <w:t>.</w:t>
      </w:r>
      <w:r w:rsidR="00A8399F">
        <w:t xml:space="preserve"> </w:t>
      </w:r>
      <w:r w:rsidR="004B2A8A" w:rsidRPr="006D6727">
        <w:rPr>
          <w:rStyle w:val="ECCHLyellow"/>
          <w:noProof/>
        </w:rPr>
        <w:fldChar w:fldCharType="begin"/>
      </w:r>
      <w:r w:rsidR="004B2A8A" w:rsidRPr="006D6727">
        <w:rPr>
          <w:noProof/>
        </w:rPr>
        <w:instrText xml:space="preserve"> REF _Ref27486324 \h </w:instrText>
      </w:r>
      <w:r w:rsidR="004B2A8A" w:rsidRPr="006D6727">
        <w:rPr>
          <w:rStyle w:val="ECCHLyellow"/>
          <w:noProof/>
        </w:rPr>
      </w:r>
      <w:r w:rsidR="004B2A8A" w:rsidRPr="006D6727">
        <w:rPr>
          <w:rStyle w:val="ECCHLyellow"/>
          <w:noProof/>
        </w:rPr>
        <w:fldChar w:fldCharType="separate"/>
      </w:r>
      <w:r w:rsidR="0041125F" w:rsidRPr="006D6727">
        <w:rPr>
          <w:noProof/>
        </w:rPr>
        <w:t>Figure </w:t>
      </w:r>
      <w:r w:rsidR="0041125F">
        <w:rPr>
          <w:noProof/>
        </w:rPr>
        <w:t>59</w:t>
      </w:r>
      <w:r w:rsidR="004B2A8A" w:rsidRPr="006D6727">
        <w:rPr>
          <w:rStyle w:val="ECCHLyellow"/>
          <w:noProof/>
        </w:rPr>
        <w:fldChar w:fldCharType="end"/>
      </w:r>
      <w:r w:rsidR="004B2A8A" w:rsidRPr="006D6727">
        <w:rPr>
          <w:rStyle w:val="ECCParagraph"/>
          <w:noProof/>
        </w:rPr>
        <w:t xml:space="preserve"> </w:t>
      </w:r>
      <w:r w:rsidRPr="006D6727">
        <w:rPr>
          <w:noProof/>
        </w:rPr>
        <w:t>shows a typical interference scenario of RDI-S devices</w:t>
      </w:r>
      <w:r w:rsidR="000967A9">
        <w:t xml:space="preserve"> for terrestrial and space-based victim services</w:t>
      </w:r>
      <w:r w:rsidRPr="006D6727">
        <w:rPr>
          <w:noProof/>
        </w:rPr>
        <w:t>.</w:t>
      </w:r>
    </w:p>
    <w:p w14:paraId="07B3463B" w14:textId="5C473553" w:rsidR="00D756C9" w:rsidRDefault="00D756C9" w:rsidP="00D756C9">
      <w:pPr>
        <w:rPr>
          <w:noProof/>
        </w:rPr>
      </w:pPr>
      <w:r w:rsidRPr="006D6727">
        <w:rPr>
          <w:noProof/>
        </w:rPr>
        <w:t xml:space="preserve">In </w:t>
      </w:r>
      <w:r w:rsidR="0068629F" w:rsidRPr="00D73742">
        <w:rPr>
          <w:rStyle w:val="ECCHLyellow"/>
          <w:noProof/>
        </w:rPr>
        <w:fldChar w:fldCharType="begin"/>
      </w:r>
      <w:r w:rsidR="0068629F" w:rsidRPr="00D73742">
        <w:rPr>
          <w:noProof/>
        </w:rPr>
        <w:instrText xml:space="preserve"> REF _Ref20209940 \r \h </w:instrText>
      </w:r>
      <w:r w:rsidR="00D73742" w:rsidRPr="00D73742">
        <w:rPr>
          <w:rStyle w:val="ECCHLyellow"/>
          <w:noProof/>
        </w:rPr>
        <w:instrText xml:space="preserve"> \* MERGEFORMAT </w:instrText>
      </w:r>
      <w:r w:rsidR="0068629F" w:rsidRPr="00D73742">
        <w:rPr>
          <w:rStyle w:val="ECCHLyellow"/>
          <w:noProof/>
        </w:rPr>
      </w:r>
      <w:r w:rsidR="0068629F" w:rsidRPr="00D73742">
        <w:rPr>
          <w:rStyle w:val="ECCHLyellow"/>
          <w:noProof/>
        </w:rPr>
        <w:fldChar w:fldCharType="separate"/>
      </w:r>
      <w:r w:rsidR="0041125F" w:rsidRPr="00D73742">
        <w:rPr>
          <w:noProof/>
        </w:rPr>
        <w:t>A</w:t>
      </w:r>
      <w:r w:rsidR="00CE5486" w:rsidRPr="00D73742">
        <w:rPr>
          <w:noProof/>
        </w:rPr>
        <w:t>nnex</w:t>
      </w:r>
      <w:r w:rsidR="0041125F" w:rsidRPr="00D73742">
        <w:rPr>
          <w:noProof/>
        </w:rPr>
        <w:t xml:space="preserve"> 1</w:t>
      </w:r>
      <w:r w:rsidR="0068629F" w:rsidRPr="00D73742">
        <w:rPr>
          <w:rStyle w:val="ECCHLyellow"/>
          <w:noProof/>
        </w:rPr>
        <w:fldChar w:fldCharType="end"/>
      </w:r>
      <w:r w:rsidR="009D708E">
        <w:rPr>
          <w:noProof/>
        </w:rPr>
        <w:t xml:space="preserve">, </w:t>
      </w:r>
      <w:r w:rsidRPr="00D73742">
        <w:rPr>
          <w:noProof/>
        </w:rPr>
        <w:t>an ex</w:t>
      </w:r>
      <w:r w:rsidRPr="006D6727">
        <w:rPr>
          <w:noProof/>
        </w:rPr>
        <w:t>tension of the ITU-R P.2109-</w:t>
      </w:r>
      <w:r w:rsidR="009D12EB">
        <w:t>1</w:t>
      </w:r>
      <w:r w:rsidRPr="006D6727">
        <w:rPr>
          <w:noProof/>
        </w:rPr>
        <w:t xml:space="preserve"> </w:t>
      </w:r>
      <w:r w:rsidR="00667B22" w:rsidRPr="006D6727">
        <w:rPr>
          <w:rStyle w:val="ECCParagraph"/>
          <w:noProof/>
        </w:rPr>
        <w:fldChar w:fldCharType="begin"/>
      </w:r>
      <w:r w:rsidR="00667B22" w:rsidRPr="006D6727">
        <w:rPr>
          <w:rStyle w:val="ECCParagraph"/>
          <w:noProof/>
        </w:rPr>
        <w:instrText xml:space="preserve"> REF  ITU_R_P_2109_0 \h \w  \* MERGEFORMAT </w:instrText>
      </w:r>
      <w:r w:rsidR="00667B22" w:rsidRPr="006D6727">
        <w:rPr>
          <w:rStyle w:val="ECCParagraph"/>
          <w:noProof/>
        </w:rPr>
      </w:r>
      <w:r w:rsidR="00667B22" w:rsidRPr="006D6727">
        <w:rPr>
          <w:rStyle w:val="ECCParagraph"/>
          <w:noProof/>
        </w:rPr>
        <w:fldChar w:fldCharType="separate"/>
      </w:r>
      <w:r w:rsidR="004F49F9">
        <w:rPr>
          <w:rStyle w:val="ECCParagraph"/>
          <w:noProof/>
        </w:rPr>
        <w:t>[23]</w:t>
      </w:r>
      <w:r w:rsidR="00667B22" w:rsidRPr="006D6727">
        <w:rPr>
          <w:rStyle w:val="ECCParagraph"/>
          <w:noProof/>
        </w:rPr>
        <w:fldChar w:fldCharType="end"/>
      </w:r>
      <w:r w:rsidRPr="006D6727">
        <w:rPr>
          <w:noProof/>
        </w:rPr>
        <w:t xml:space="preserve"> BEL model for frequencies up to 300 GHz is described and building material measurements are provided to support the suggested BEL values. </w:t>
      </w:r>
      <w:r w:rsidRPr="006D6727">
        <w:rPr>
          <w:rStyle w:val="ECCParagraph"/>
          <w:noProof/>
        </w:rPr>
        <w:t>In the MCL calculations an assumed BEL attenuation of 50</w:t>
      </w:r>
      <w:r w:rsidR="00DE30D2" w:rsidRPr="006D6727">
        <w:rPr>
          <w:rStyle w:val="ECCParagraph"/>
          <w:noProof/>
        </w:rPr>
        <w:t> </w:t>
      </w:r>
      <w:r w:rsidRPr="006D6727">
        <w:rPr>
          <w:rStyle w:val="ECCParagraph"/>
          <w:noProof/>
        </w:rPr>
        <w:t>dB is used. Th</w:t>
      </w:r>
      <w:r w:rsidR="00987C14" w:rsidRPr="006D6727">
        <w:rPr>
          <w:rStyle w:val="ECCParagraph"/>
          <w:noProof/>
        </w:rPr>
        <w:t>e</w:t>
      </w:r>
      <w:r w:rsidRPr="006D6727">
        <w:rPr>
          <w:rStyle w:val="ECCParagraph"/>
          <w:noProof/>
        </w:rPr>
        <w:t xml:space="preserve"> </w:t>
      </w:r>
      <w:r w:rsidR="00FC4BBF" w:rsidRPr="006D6727">
        <w:rPr>
          <w:rStyle w:val="ECCParagraph"/>
          <w:noProof/>
        </w:rPr>
        <w:t>appropriateness</w:t>
      </w:r>
      <w:r w:rsidR="00987C14" w:rsidRPr="006D6727">
        <w:rPr>
          <w:rStyle w:val="ECCParagraph"/>
          <w:noProof/>
        </w:rPr>
        <w:t xml:space="preserve"> of this </w:t>
      </w:r>
      <w:r w:rsidRPr="006D6727">
        <w:rPr>
          <w:noProof/>
        </w:rPr>
        <w:t xml:space="preserve">value </w:t>
      </w:r>
      <w:r w:rsidR="00987C14" w:rsidRPr="006D6727">
        <w:rPr>
          <w:noProof/>
        </w:rPr>
        <w:t>is explained and</w:t>
      </w:r>
      <w:r w:rsidRPr="006D6727">
        <w:rPr>
          <w:noProof/>
        </w:rPr>
        <w:t xml:space="preserve"> justified </w:t>
      </w:r>
      <w:r w:rsidR="00987C14" w:rsidRPr="006D6727">
        <w:rPr>
          <w:noProof/>
        </w:rPr>
        <w:t xml:space="preserve">in </w:t>
      </w:r>
      <w:r w:rsidR="009D5FA2">
        <w:rPr>
          <w:noProof/>
        </w:rPr>
        <w:t>section</w:t>
      </w:r>
      <w:r w:rsidR="00987C14" w:rsidRPr="006D6727">
        <w:rPr>
          <w:noProof/>
        </w:rPr>
        <w:t xml:space="preserve"> </w:t>
      </w:r>
      <w:r w:rsidR="00987C14" w:rsidRPr="006D6727">
        <w:rPr>
          <w:noProof/>
        </w:rPr>
        <w:fldChar w:fldCharType="begin"/>
      </w:r>
      <w:r w:rsidR="00987C14" w:rsidRPr="006D6727">
        <w:rPr>
          <w:noProof/>
        </w:rPr>
        <w:instrText xml:space="preserve"> REF _Ref36119882 \r \h </w:instrText>
      </w:r>
      <w:r w:rsidR="00987C14" w:rsidRPr="006D6727">
        <w:rPr>
          <w:noProof/>
        </w:rPr>
      </w:r>
      <w:r w:rsidR="00987C14" w:rsidRPr="006D6727">
        <w:rPr>
          <w:noProof/>
        </w:rPr>
        <w:fldChar w:fldCharType="separate"/>
      </w:r>
      <w:r w:rsidR="004F49F9">
        <w:rPr>
          <w:noProof/>
        </w:rPr>
        <w:t>2.3</w:t>
      </w:r>
      <w:r w:rsidR="00987C14" w:rsidRPr="006D6727">
        <w:rPr>
          <w:noProof/>
        </w:rPr>
        <w:fldChar w:fldCharType="end"/>
      </w:r>
      <w:r w:rsidR="00987C14" w:rsidRPr="006D6727">
        <w:rPr>
          <w:noProof/>
        </w:rPr>
        <w:t>.</w:t>
      </w:r>
    </w:p>
    <w:p w14:paraId="039A0128" w14:textId="3A095B2C" w:rsidR="002C4194" w:rsidRDefault="002C4194" w:rsidP="002C4194">
      <w:pPr>
        <w:rPr>
          <w:rStyle w:val="ECCParagraph"/>
        </w:rPr>
      </w:pPr>
      <w:r>
        <w:rPr>
          <w:rStyle w:val="ECCParagraph"/>
        </w:rPr>
        <w:t xml:space="preserve">For Fixed Service links dedicated interference scenarios have been developed </w:t>
      </w:r>
      <w:r w:rsidR="00312231">
        <w:rPr>
          <w:rStyle w:val="ECCParagraph"/>
        </w:rPr>
        <w:t xml:space="preserve">in a unique geometry. </w:t>
      </w:r>
      <w:r w:rsidR="005E2DA2">
        <w:rPr>
          <w:rStyle w:val="ECCParagraph"/>
        </w:rPr>
        <w:t>They are</w:t>
      </w:r>
      <w:r>
        <w:rPr>
          <w:rStyle w:val="ECCParagraph"/>
        </w:rPr>
        <w:t xml:space="preserve"> illustrated in </w:t>
      </w:r>
      <w:r w:rsidR="00825289">
        <w:rPr>
          <w:rStyle w:val="ECCParagraph"/>
          <w:highlight w:val="yellow"/>
        </w:rPr>
        <w:fldChar w:fldCharType="begin"/>
      </w:r>
      <w:r w:rsidR="00825289">
        <w:rPr>
          <w:rStyle w:val="ECCParagraph"/>
        </w:rPr>
        <w:instrText xml:space="preserve"> REF _Ref51771425 \h </w:instrText>
      </w:r>
      <w:r w:rsidR="00825289">
        <w:rPr>
          <w:rStyle w:val="ECCParagraph"/>
          <w:highlight w:val="yellow"/>
        </w:rPr>
      </w:r>
      <w:r w:rsidR="00825289">
        <w:rPr>
          <w:rStyle w:val="ECCParagraph"/>
          <w:highlight w:val="yellow"/>
        </w:rPr>
        <w:fldChar w:fldCharType="separate"/>
      </w:r>
      <w:r w:rsidR="004F49F9">
        <w:t>Figure </w:t>
      </w:r>
      <w:r w:rsidR="004F49F9">
        <w:rPr>
          <w:noProof/>
        </w:rPr>
        <w:t>60</w:t>
      </w:r>
      <w:r w:rsidR="00825289">
        <w:rPr>
          <w:rStyle w:val="ECCParagraph"/>
          <w:highlight w:val="yellow"/>
        </w:rPr>
        <w:fldChar w:fldCharType="end"/>
      </w:r>
      <w:r>
        <w:rPr>
          <w:rStyle w:val="ECCParagraph"/>
        </w:rPr>
        <w:t xml:space="preserve"> and </w:t>
      </w:r>
      <w:r w:rsidR="00825289">
        <w:rPr>
          <w:rStyle w:val="ECCParagraph"/>
        </w:rPr>
        <w:fldChar w:fldCharType="begin"/>
      </w:r>
      <w:r w:rsidR="00825289">
        <w:rPr>
          <w:rStyle w:val="ECCParagraph"/>
        </w:rPr>
        <w:instrText xml:space="preserve"> REF _Ref51772643 \h </w:instrText>
      </w:r>
      <w:r w:rsidR="00825289">
        <w:rPr>
          <w:rStyle w:val="ECCParagraph"/>
        </w:rPr>
      </w:r>
      <w:r w:rsidR="00825289">
        <w:rPr>
          <w:rStyle w:val="ECCParagraph"/>
        </w:rPr>
        <w:fldChar w:fldCharType="separate"/>
      </w:r>
      <w:r w:rsidR="004F49F9">
        <w:t>Figure </w:t>
      </w:r>
      <w:r w:rsidR="004F49F9">
        <w:rPr>
          <w:noProof/>
        </w:rPr>
        <w:t>61</w:t>
      </w:r>
      <w:r w:rsidR="00825289">
        <w:rPr>
          <w:rStyle w:val="ECCParagraph"/>
        </w:rPr>
        <w:fldChar w:fldCharType="end"/>
      </w:r>
      <w:r>
        <w:rPr>
          <w:rStyle w:val="ECCParagraph"/>
        </w:rPr>
        <w:t xml:space="preserve">. These </w:t>
      </w:r>
      <w:r w:rsidRPr="00F96BDA">
        <w:rPr>
          <w:rStyle w:val="ECCParagraph"/>
        </w:rPr>
        <w:t xml:space="preserve">typical situations </w:t>
      </w:r>
      <w:r w:rsidR="00225F8F">
        <w:rPr>
          <w:rStyle w:val="ECCParagraph"/>
        </w:rPr>
        <w:t xml:space="preserve">can </w:t>
      </w:r>
      <w:r w:rsidRPr="00F96BDA">
        <w:rPr>
          <w:rStyle w:val="ECCParagraph"/>
        </w:rPr>
        <w:t xml:space="preserve">occur in environments where </w:t>
      </w:r>
      <w:r>
        <w:rPr>
          <w:rStyle w:val="ECCParagraph"/>
        </w:rPr>
        <w:t xml:space="preserve">e.g. </w:t>
      </w:r>
      <w:r w:rsidRPr="00F96BDA">
        <w:rPr>
          <w:rStyle w:val="ECCParagraph"/>
        </w:rPr>
        <w:t>a Fixed Service transmitter attached to a light pole is linked with a receiver located on top of a building and vice versa</w:t>
      </w:r>
      <w:r>
        <w:rPr>
          <w:rStyle w:val="ECCParagraph"/>
        </w:rPr>
        <w:t xml:space="preserve"> (see </w:t>
      </w:r>
      <w:r w:rsidR="005E2DA2">
        <w:rPr>
          <w:rStyle w:val="ECCParagraph"/>
        </w:rPr>
        <w:fldChar w:fldCharType="begin"/>
      </w:r>
      <w:r w:rsidR="005E2DA2">
        <w:rPr>
          <w:rStyle w:val="ECCParagraph"/>
        </w:rPr>
        <w:instrText xml:space="preserve"> REF _Ref53582262 \h </w:instrText>
      </w:r>
      <w:r w:rsidR="005E2DA2">
        <w:rPr>
          <w:rStyle w:val="ECCParagraph"/>
        </w:rPr>
      </w:r>
      <w:r w:rsidR="005E2DA2">
        <w:rPr>
          <w:rStyle w:val="ECCParagraph"/>
        </w:rPr>
        <w:fldChar w:fldCharType="separate"/>
      </w:r>
      <w:r w:rsidR="0041125F" w:rsidRPr="006D6727">
        <w:rPr>
          <w:noProof/>
        </w:rPr>
        <w:t>Table </w:t>
      </w:r>
      <w:r w:rsidR="0041125F">
        <w:rPr>
          <w:noProof/>
        </w:rPr>
        <w:t>40</w:t>
      </w:r>
      <w:r w:rsidR="005E2DA2">
        <w:rPr>
          <w:rStyle w:val="ECCParagraph"/>
        </w:rPr>
        <w:fldChar w:fldCharType="end"/>
      </w:r>
      <w:r>
        <w:rPr>
          <w:rStyle w:val="ECCParagraph"/>
        </w:rPr>
        <w:t>)</w:t>
      </w:r>
      <w:r w:rsidRPr="00F96BDA">
        <w:rPr>
          <w:rStyle w:val="ECCParagraph"/>
        </w:rPr>
        <w:t>.</w:t>
      </w:r>
      <w:r>
        <w:rPr>
          <w:rStyle w:val="ECCParagraph"/>
        </w:rPr>
        <w:t xml:space="preserve"> In both cases it is assumed that the RDI-S main beam points exactly towards the individual FS receiver. However, as RDI-S devices are only operated indoors or in similar shielded environments, the interference signal has to penetrate the building envelope once and suffers therefore an additional attenuation (named building entry loss, BEL) (see </w:t>
      </w:r>
      <w:r w:rsidR="009D5FA2">
        <w:rPr>
          <w:rStyle w:val="ECCParagraph"/>
        </w:rPr>
        <w:t>section</w:t>
      </w:r>
      <w:r>
        <w:rPr>
          <w:rStyle w:val="ECCParagraph"/>
        </w:rPr>
        <w:t xml:space="preserve"> </w:t>
      </w:r>
      <w:r w:rsidR="005E2DA2">
        <w:rPr>
          <w:rStyle w:val="ECCParagraph"/>
        </w:rPr>
        <w:fldChar w:fldCharType="begin"/>
      </w:r>
      <w:r w:rsidR="005E2DA2">
        <w:rPr>
          <w:rStyle w:val="ECCParagraph"/>
        </w:rPr>
        <w:instrText xml:space="preserve"> REF _Ref36119882 \r \h </w:instrText>
      </w:r>
      <w:r w:rsidR="005E2DA2">
        <w:rPr>
          <w:rStyle w:val="ECCParagraph"/>
        </w:rPr>
      </w:r>
      <w:r w:rsidR="005E2DA2">
        <w:rPr>
          <w:rStyle w:val="ECCParagraph"/>
        </w:rPr>
        <w:fldChar w:fldCharType="separate"/>
      </w:r>
      <w:r w:rsidR="004F49F9">
        <w:rPr>
          <w:rStyle w:val="ECCParagraph"/>
        </w:rPr>
        <w:t>2.3</w:t>
      </w:r>
      <w:r w:rsidR="005E2DA2">
        <w:rPr>
          <w:rStyle w:val="ECCParagraph"/>
        </w:rPr>
        <w:fldChar w:fldCharType="end"/>
      </w:r>
      <w:r>
        <w:rPr>
          <w:rStyle w:val="ECCParagraph"/>
        </w:rPr>
        <w:t>).</w:t>
      </w:r>
    </w:p>
    <w:p w14:paraId="462B0617" w14:textId="5F4C286B" w:rsidR="002C4194" w:rsidRDefault="002C4194" w:rsidP="002C4194">
      <w:pPr>
        <w:rPr>
          <w:rStyle w:val="ECCParagraph"/>
        </w:rPr>
      </w:pPr>
      <w:r>
        <w:rPr>
          <w:rStyle w:val="ECCParagraph"/>
        </w:rPr>
        <w:t xml:space="preserve">Both scenarios are defined according to the application of radiodetermination of industry automation (RDI) illustrated in </w:t>
      </w:r>
      <w:r w:rsidR="005E2DA2">
        <w:rPr>
          <w:rStyle w:val="ECCParagraph"/>
        </w:rPr>
        <w:fldChar w:fldCharType="begin"/>
      </w:r>
      <w:r w:rsidR="005E2DA2">
        <w:rPr>
          <w:rStyle w:val="ECCParagraph"/>
        </w:rPr>
        <w:instrText xml:space="preserve"> REF _Ref44337944 \h </w:instrText>
      </w:r>
      <w:r w:rsidR="005E2DA2">
        <w:rPr>
          <w:rStyle w:val="ECCParagraph"/>
        </w:rPr>
      </w:r>
      <w:r w:rsidR="005E2DA2">
        <w:rPr>
          <w:rStyle w:val="ECCParagraph"/>
        </w:rPr>
        <w:fldChar w:fldCharType="separate"/>
      </w:r>
      <w:r w:rsidR="004F49F9">
        <w:t>Figure </w:t>
      </w:r>
      <w:r w:rsidR="004F49F9">
        <w:rPr>
          <w:noProof/>
        </w:rPr>
        <w:t>12</w:t>
      </w:r>
      <w:r w:rsidR="005E2DA2">
        <w:rPr>
          <w:rStyle w:val="ECCParagraph"/>
        </w:rPr>
        <w:fldChar w:fldCharType="end"/>
      </w:r>
      <w:r w:rsidR="005E2DA2">
        <w:rPr>
          <w:rStyle w:val="ECCParagraph"/>
        </w:rPr>
        <w:t xml:space="preserve"> </w:t>
      </w:r>
      <w:r>
        <w:rPr>
          <w:rStyle w:val="ECCParagraph"/>
        </w:rPr>
        <w:t xml:space="preserve">and </w:t>
      </w:r>
      <w:r w:rsidR="005E2DA2">
        <w:rPr>
          <w:rStyle w:val="ECCParagraph"/>
        </w:rPr>
        <w:fldChar w:fldCharType="begin"/>
      </w:r>
      <w:r w:rsidR="005E2DA2">
        <w:rPr>
          <w:rStyle w:val="ECCParagraph"/>
        </w:rPr>
        <w:instrText xml:space="preserve"> REF _Ref44338784 \h </w:instrText>
      </w:r>
      <w:r w:rsidR="005E2DA2">
        <w:rPr>
          <w:rStyle w:val="ECCParagraph"/>
        </w:rPr>
      </w:r>
      <w:r w:rsidR="005E2DA2">
        <w:rPr>
          <w:rStyle w:val="ECCParagraph"/>
        </w:rPr>
        <w:fldChar w:fldCharType="separate"/>
      </w:r>
      <w:r w:rsidR="004F49F9">
        <w:t>Figure </w:t>
      </w:r>
      <w:r w:rsidR="004F49F9">
        <w:rPr>
          <w:noProof/>
        </w:rPr>
        <w:t>13</w:t>
      </w:r>
      <w:r w:rsidR="005E2DA2">
        <w:rPr>
          <w:rStyle w:val="ECCParagraph"/>
        </w:rPr>
        <w:fldChar w:fldCharType="end"/>
      </w:r>
      <w:r w:rsidR="005E2DA2">
        <w:rPr>
          <w:rStyle w:val="ECCParagraph"/>
        </w:rPr>
        <w:t xml:space="preserve"> </w:t>
      </w:r>
      <w:r>
        <w:rPr>
          <w:rStyle w:val="ECCParagraph"/>
        </w:rPr>
        <w:t>in the Report but with considering the additional circumstance of being operated indoors only.</w:t>
      </w:r>
    </w:p>
    <w:p w14:paraId="7B9580C9" w14:textId="77777777" w:rsidR="005E2DA2" w:rsidRPr="005E2DA2" w:rsidRDefault="005E2DA2" w:rsidP="005E2DA2">
      <w:pPr>
        <w:rPr>
          <w:rStyle w:val="ECCParagraph"/>
        </w:rPr>
      </w:pPr>
      <w:r w:rsidRPr="005E2DA2">
        <w:rPr>
          <w:noProof/>
          <w:lang w:val="de-DE" w:eastAsia="de-DE"/>
        </w:rPr>
        <w:drawing>
          <wp:inline distT="0" distB="0" distL="0" distR="0" wp14:anchorId="78436D2B" wp14:editId="67DD9CDC">
            <wp:extent cx="6015125" cy="1946031"/>
            <wp:effectExtent l="0" t="0" r="508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19889" cy="1947572"/>
                    </a:xfrm>
                    <a:prstGeom prst="rect">
                      <a:avLst/>
                    </a:prstGeom>
                  </pic:spPr>
                </pic:pic>
              </a:graphicData>
            </a:graphic>
          </wp:inline>
        </w:drawing>
      </w:r>
    </w:p>
    <w:p w14:paraId="317A9675" w14:textId="4277B07E" w:rsidR="005E2DA2" w:rsidRDefault="005E2DA2" w:rsidP="005E2DA2">
      <w:pPr>
        <w:pStyle w:val="Caption"/>
        <w:rPr>
          <w:rStyle w:val="ECCParagraph"/>
        </w:rPr>
      </w:pPr>
      <w:bookmarkStart w:id="317" w:name="_Ref51771425"/>
      <w:r>
        <w:t>Figure </w:t>
      </w:r>
      <w:r w:rsidR="00E55534">
        <w:fldChar w:fldCharType="begin"/>
      </w:r>
      <w:r w:rsidR="00E55534">
        <w:instrText>SEQ Figure \* ARABIC  \* MERGEFORMAT</w:instrText>
      </w:r>
      <w:r w:rsidR="00E55534">
        <w:fldChar w:fldCharType="separate"/>
      </w:r>
      <w:r w:rsidR="004F49F9">
        <w:rPr>
          <w:noProof/>
        </w:rPr>
        <w:t>60</w:t>
      </w:r>
      <w:r w:rsidR="00E55534">
        <w:rPr>
          <w:noProof/>
        </w:rPr>
        <w:fldChar w:fldCharType="end"/>
      </w:r>
      <w:bookmarkEnd w:id="317"/>
      <w:r w:rsidRPr="005E2DA2">
        <w:t xml:space="preserve">: RDI-S scenario 1: </w:t>
      </w:r>
      <w:r w:rsidR="00922E9E">
        <w:rPr>
          <w:rStyle w:val="ECCParagraph"/>
        </w:rPr>
        <w:t>Light pole</w:t>
      </w:r>
      <w:r w:rsidRPr="005E2DA2">
        <w:rPr>
          <w:rStyle w:val="ECCParagraph"/>
        </w:rPr>
        <w:t xml:space="preserve"> connected to a building by means of an FS link – FS Rx on building.</w:t>
      </w:r>
    </w:p>
    <w:p w14:paraId="46EACEA9" w14:textId="5F972E4E" w:rsidR="006C1DE3" w:rsidRDefault="006C1DE3" w:rsidP="006C1DE3">
      <w:r>
        <w:t xml:space="preserve">In the first scenario (see </w:t>
      </w:r>
      <w:r>
        <w:fldChar w:fldCharType="begin"/>
      </w:r>
      <w:r>
        <w:instrText xml:space="preserve"> REF _Ref51771425 \h </w:instrText>
      </w:r>
      <w:r>
        <w:fldChar w:fldCharType="separate"/>
      </w:r>
      <w:r w:rsidR="004F49F9">
        <w:t>Figure </w:t>
      </w:r>
      <w:r w:rsidR="004F49F9">
        <w:rPr>
          <w:noProof/>
        </w:rPr>
        <w:t>60</w:t>
      </w:r>
      <w:r>
        <w:fldChar w:fldCharType="end"/>
      </w:r>
      <w:r>
        <w:t>)</w:t>
      </w:r>
      <w:r w:rsidR="00DB195A">
        <w:t>,</w:t>
      </w:r>
      <w:r>
        <w:t xml:space="preserve"> t</w:t>
      </w:r>
      <w:r w:rsidRPr="00A706D7">
        <w:t xml:space="preserve">he </w:t>
      </w:r>
      <w:r>
        <w:t>RDI-S</w:t>
      </w:r>
      <w:r w:rsidRPr="00A706D7">
        <w:t xml:space="preserve"> device is placed </w:t>
      </w:r>
      <w:r>
        <w:t>at</w:t>
      </w:r>
      <w:r w:rsidRPr="00A706D7">
        <w:t xml:space="preserve"> the location of the FS Tx, thus in 300 m distance from the FS Rx. This constellation yields the smallest angle δ which describes the misalignment between the FS Rx </w:t>
      </w:r>
      <w:r>
        <w:t xml:space="preserve">main beam direction </w:t>
      </w:r>
      <w:r w:rsidRPr="00A706D7">
        <w:t xml:space="preserve">and the </w:t>
      </w:r>
      <w:r>
        <w:t>RDI-S</w:t>
      </w:r>
      <w:r w:rsidRPr="00A706D7">
        <w:t xml:space="preserve"> </w:t>
      </w:r>
      <w:r>
        <w:t>device</w:t>
      </w:r>
      <w:r w:rsidRPr="00A706D7">
        <w:t xml:space="preserve">. The height of the </w:t>
      </w:r>
      <w:r>
        <w:t>RDI-S</w:t>
      </w:r>
      <w:r w:rsidRPr="00A706D7">
        <w:t xml:space="preserve"> device above ground shall be </w:t>
      </w:r>
      <w:r>
        <w:t>1</w:t>
      </w:r>
      <w:r w:rsidRPr="00A706D7">
        <w:t> m</w:t>
      </w:r>
      <w:r>
        <w:t xml:space="preserve"> which is similar to the RDI application (see </w:t>
      </w:r>
      <w:r w:rsidR="009D5FA2">
        <w:t>section</w:t>
      </w:r>
      <w:r>
        <w:t xml:space="preserve"> </w:t>
      </w:r>
      <w:r>
        <w:fldChar w:fldCharType="begin"/>
      </w:r>
      <w:r>
        <w:instrText xml:space="preserve"> REF _Ref53582739 \r \h </w:instrText>
      </w:r>
      <w:r>
        <w:fldChar w:fldCharType="separate"/>
      </w:r>
      <w:r w:rsidR="004F49F9">
        <w:t>2.2.2.6</w:t>
      </w:r>
      <w:r>
        <w:fldChar w:fldCharType="end"/>
      </w:r>
      <w:r>
        <w:t>)</w:t>
      </w:r>
      <w:r w:rsidRPr="00A706D7">
        <w:t xml:space="preserve">. The angle δ becomes in the above example approximately </w:t>
      </w:r>
      <w:r w:rsidRPr="00FA0F0E">
        <w:t>0</w:t>
      </w:r>
      <w:r w:rsidR="00CF4994">
        <w:t>.9</w:t>
      </w:r>
      <w:r w:rsidRPr="00FA0F0E">
        <w:t>5°</w:t>
      </w:r>
      <w:r w:rsidRPr="00A706D7">
        <w:t xml:space="preserve"> which results in </w:t>
      </w:r>
      <w:r>
        <w:t xml:space="preserve">approximately </w:t>
      </w:r>
      <w:r w:rsidRPr="00FA0F0E">
        <w:t>38 dBi</w:t>
      </w:r>
      <w:r w:rsidRPr="00A706D7">
        <w:t xml:space="preserve"> antenna gain of the FS Rx towards the </w:t>
      </w:r>
      <w:r>
        <w:t>RDI-S</w:t>
      </w:r>
      <w:r w:rsidRPr="00A706D7">
        <w:t xml:space="preserve"> interferer.</w:t>
      </w:r>
    </w:p>
    <w:p w14:paraId="3907002A" w14:textId="77777777" w:rsidR="0070509A" w:rsidRPr="0070509A" w:rsidRDefault="0070509A" w:rsidP="0070509A">
      <w:pPr>
        <w:pStyle w:val="Caption"/>
      </w:pPr>
      <w:r w:rsidRPr="0070509A">
        <w:rPr>
          <w:noProof/>
          <w:lang w:val="de-DE" w:eastAsia="de-DE"/>
        </w:rPr>
        <w:drawing>
          <wp:inline distT="0" distB="0" distL="0" distR="0" wp14:anchorId="59808870" wp14:editId="45579D0F">
            <wp:extent cx="5972593" cy="212187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82725" cy="2125477"/>
                    </a:xfrm>
                    <a:prstGeom prst="rect">
                      <a:avLst/>
                    </a:prstGeom>
                  </pic:spPr>
                </pic:pic>
              </a:graphicData>
            </a:graphic>
          </wp:inline>
        </w:drawing>
      </w:r>
    </w:p>
    <w:p w14:paraId="5C9E0BC5" w14:textId="75CCB1FD" w:rsidR="0070509A" w:rsidRPr="0070509A" w:rsidRDefault="0070509A" w:rsidP="0070509A">
      <w:pPr>
        <w:pStyle w:val="Caption"/>
        <w:rPr>
          <w:rStyle w:val="ECCParagraph"/>
        </w:rPr>
      </w:pPr>
      <w:bookmarkStart w:id="318" w:name="_Ref51772643"/>
      <w:r>
        <w:t>Figure </w:t>
      </w:r>
      <w:r w:rsidR="00E55534">
        <w:fldChar w:fldCharType="begin"/>
      </w:r>
      <w:r w:rsidR="00E55534">
        <w:instrText>SEQ Figure \* ARABIC  \* MERGEFORMAT</w:instrText>
      </w:r>
      <w:r w:rsidR="00E55534">
        <w:fldChar w:fldCharType="separate"/>
      </w:r>
      <w:r w:rsidR="004F49F9">
        <w:rPr>
          <w:noProof/>
        </w:rPr>
        <w:t>61</w:t>
      </w:r>
      <w:r w:rsidR="00E55534">
        <w:rPr>
          <w:noProof/>
        </w:rPr>
        <w:fldChar w:fldCharType="end"/>
      </w:r>
      <w:bookmarkEnd w:id="318"/>
      <w:r w:rsidRPr="0070509A">
        <w:t xml:space="preserve">: RDI-S scenario 2: </w:t>
      </w:r>
      <w:r w:rsidRPr="0070509A">
        <w:rPr>
          <w:rStyle w:val="ECCParagraph"/>
        </w:rPr>
        <w:t>Streetlamp post connected to a building by means of an FS link – FS Rx on building.</w:t>
      </w:r>
    </w:p>
    <w:p w14:paraId="36366D78" w14:textId="1C43D25E" w:rsidR="0070509A" w:rsidRDefault="0070509A" w:rsidP="0070509A">
      <w:r>
        <w:rPr>
          <w:rStyle w:val="ECCParagraph"/>
        </w:rPr>
        <w:t xml:space="preserve">In the second scenario </w:t>
      </w:r>
      <w:r>
        <w:t xml:space="preserve">(see </w:t>
      </w:r>
      <w:r>
        <w:fldChar w:fldCharType="begin"/>
      </w:r>
      <w:r>
        <w:instrText xml:space="preserve"> REF _Ref51772643 \h </w:instrText>
      </w:r>
      <w:r>
        <w:fldChar w:fldCharType="separate"/>
      </w:r>
      <w:r w:rsidR="004F49F9">
        <w:t>Figure </w:t>
      </w:r>
      <w:r w:rsidR="004F49F9">
        <w:rPr>
          <w:noProof/>
        </w:rPr>
        <w:t>61</w:t>
      </w:r>
      <w:r>
        <w:fldChar w:fldCharType="end"/>
      </w:r>
      <w:r>
        <w:t>)</w:t>
      </w:r>
      <w:r w:rsidR="00DB195A">
        <w:t>,</w:t>
      </w:r>
      <w:r>
        <w:t xml:space="preserve"> </w:t>
      </w:r>
      <w:r w:rsidRPr="0007071F">
        <w:t xml:space="preserve">the building rooftop is again connected to a </w:t>
      </w:r>
      <w:r>
        <w:t>light pole</w:t>
      </w:r>
      <w:r w:rsidRPr="0007071F">
        <w:t xml:space="preserve">. In contrast to </w:t>
      </w:r>
      <w:r>
        <w:t xml:space="preserve">the first scenario, </w:t>
      </w:r>
      <w:r w:rsidRPr="0007071F">
        <w:t xml:space="preserve">the locations of </w:t>
      </w:r>
      <w:r>
        <w:t xml:space="preserve">the </w:t>
      </w:r>
      <w:r w:rsidRPr="0007071F">
        <w:t>FS R</w:t>
      </w:r>
      <w:r>
        <w:t>x</w:t>
      </w:r>
      <w:r w:rsidRPr="0007071F">
        <w:t xml:space="preserve"> and </w:t>
      </w:r>
      <w:r>
        <w:t xml:space="preserve">the </w:t>
      </w:r>
      <w:r w:rsidRPr="0007071F">
        <w:t xml:space="preserve">FS Tx are exchanged. The distance between </w:t>
      </w:r>
      <w:r>
        <w:t xml:space="preserve">the </w:t>
      </w:r>
      <w:r w:rsidRPr="0007071F">
        <w:t>FS Rx and Tx is again 300 m</w:t>
      </w:r>
      <w:r>
        <w:t xml:space="preserve"> </w:t>
      </w:r>
      <w:r w:rsidRPr="0007071F">
        <w:t>and also the separation distance between the RDI</w:t>
      </w:r>
      <w:r>
        <w:t>-S</w:t>
      </w:r>
      <w:r w:rsidRPr="0007071F">
        <w:t xml:space="preserve"> device and the FS Rx is again 300 m resulting in </w:t>
      </w:r>
      <w:r>
        <w:t>an</w:t>
      </w:r>
      <w:r w:rsidRPr="0007071F">
        <w:t xml:space="preserve"> angle </w:t>
      </w:r>
      <w:r w:rsidRPr="0070509A">
        <w:t>α</w:t>
      </w:r>
      <w:r>
        <w:t>+</w:t>
      </w:r>
      <w:r w:rsidRPr="0007071F">
        <w:t xml:space="preserve">β which describes the misalignment between the </w:t>
      </w:r>
      <w:r>
        <w:t>FS Rx</w:t>
      </w:r>
      <w:r w:rsidRPr="0007071F">
        <w:t xml:space="preserve"> direction of main radiation and the </w:t>
      </w:r>
      <w:r>
        <w:t>location of the RDI-S device.</w:t>
      </w:r>
    </w:p>
    <w:p w14:paraId="61125375" w14:textId="77777777" w:rsidR="0070509A" w:rsidRDefault="0070509A" w:rsidP="0070509A">
      <w:r w:rsidRPr="0070509A">
        <w:t>In both scenarios only the interference component in main beam direction of the RDI-S device is considered to be a potential source of interference. Other interference components e.g. through sidelobes are neglected.</w:t>
      </w:r>
    </w:p>
    <w:p w14:paraId="1718988E" w14:textId="77777777" w:rsidR="000653D8" w:rsidRPr="00A831A2" w:rsidRDefault="000653D8" w:rsidP="000966A9">
      <w:pPr>
        <w:rPr>
          <w:rStyle w:val="ECCHLbold"/>
        </w:rPr>
      </w:pPr>
      <w:r>
        <w:rPr>
          <w:rStyle w:val="ECCHLbold"/>
        </w:rPr>
        <w:t>Special conditions in aggregate interference scenarios</w:t>
      </w:r>
    </w:p>
    <w:p w14:paraId="25A14C64" w14:textId="77777777" w:rsidR="000653D8" w:rsidRPr="00A831A2" w:rsidRDefault="000653D8" w:rsidP="000966A9">
      <w:r>
        <w:t>RDI-S devices</w:t>
      </w:r>
      <w:r w:rsidRPr="00A831A2">
        <w:t xml:space="preserve"> can be </w:t>
      </w:r>
      <w:r>
        <w:t xml:space="preserve">almost </w:t>
      </w:r>
      <w:r w:rsidRPr="00A831A2">
        <w:t xml:space="preserve">arbitrarily aligned in </w:t>
      </w:r>
      <w:r>
        <w:t xml:space="preserve">their measurement scenario. In aggregate interference scenarios, where several of these RDI-S devices can affect the victim, </w:t>
      </w:r>
      <w:r w:rsidRPr="00A831A2">
        <w:t xml:space="preserve">the usage of an </w:t>
      </w:r>
      <w:r>
        <w:t xml:space="preserve">average RDI </w:t>
      </w:r>
      <w:r w:rsidRPr="00A831A2">
        <w:t>antenna gain</w:t>
      </w:r>
      <w:r>
        <w:t xml:space="preserve"> of </w:t>
      </w:r>
      <w:r w:rsidR="00342E06">
        <w:t>10</w:t>
      </w:r>
      <w:r>
        <w:t> dBi towards the victim receiver</w:t>
      </w:r>
      <w:r w:rsidRPr="00A831A2">
        <w:t xml:space="preserve"> was </w:t>
      </w:r>
      <w:r w:rsidR="00C56900">
        <w:t xml:space="preserve">therefore </w:t>
      </w:r>
      <w:r>
        <w:t>assumed</w:t>
      </w:r>
      <w:r w:rsidRPr="00A831A2">
        <w:t>.</w:t>
      </w:r>
    </w:p>
    <w:p w14:paraId="37FC52C6" w14:textId="77777777" w:rsidR="005F457E" w:rsidRPr="006D6727" w:rsidRDefault="005C7905" w:rsidP="005F457E">
      <w:pPr>
        <w:pStyle w:val="Heading2"/>
        <w:rPr>
          <w:noProof/>
          <w:lang w:val="en-GB"/>
        </w:rPr>
      </w:pPr>
      <w:bookmarkStart w:id="319" w:name="_Ref36119882"/>
      <w:bookmarkStart w:id="320" w:name="_Ref65057136"/>
      <w:bookmarkStart w:id="321" w:name="_Toc84325297"/>
      <w:bookmarkStart w:id="322" w:name="_Toc127346234"/>
      <w:r>
        <w:t>Indoor</w:t>
      </w:r>
      <w:r w:rsidR="00716313">
        <w:t>-</w:t>
      </w:r>
      <w:r>
        <w:t>outdoor attenuation</w:t>
      </w:r>
      <w:r w:rsidR="005F457E" w:rsidRPr="006D6727">
        <w:rPr>
          <w:noProof/>
          <w:lang w:val="en-GB"/>
        </w:rPr>
        <w:t xml:space="preserve"> for applications operated in shielded environments</w:t>
      </w:r>
      <w:bookmarkEnd w:id="319"/>
      <w:bookmarkEnd w:id="320"/>
      <w:bookmarkEnd w:id="321"/>
      <w:bookmarkEnd w:id="322"/>
    </w:p>
    <w:p w14:paraId="6600437A" w14:textId="77777777" w:rsidR="00C13DF1" w:rsidRDefault="00C13DF1" w:rsidP="00C13DF1">
      <w:pPr>
        <w:pStyle w:val="Heading3"/>
        <w:rPr>
          <w:noProof/>
        </w:rPr>
      </w:pPr>
      <w:bookmarkStart w:id="323" w:name="_Toc84325298"/>
      <w:bookmarkStart w:id="324" w:name="_Toc127346235"/>
      <w:r>
        <w:t>Summary</w:t>
      </w:r>
      <w:bookmarkEnd w:id="323"/>
      <w:bookmarkEnd w:id="324"/>
    </w:p>
    <w:p w14:paraId="33299F73" w14:textId="30C76DC3" w:rsidR="00C13DF1" w:rsidRDefault="005F457E" w:rsidP="00C13DF1">
      <w:pPr>
        <w:rPr>
          <w:rStyle w:val="ECCParagraph"/>
        </w:rPr>
      </w:pPr>
      <w:r w:rsidRPr="006D6727">
        <w:rPr>
          <w:noProof/>
        </w:rPr>
        <w:t xml:space="preserve">In </w:t>
      </w:r>
      <w:r w:rsidR="009D5FA2">
        <w:rPr>
          <w:noProof/>
        </w:rPr>
        <w:t>section</w:t>
      </w:r>
      <w:r w:rsidRPr="006D6727">
        <w:rPr>
          <w:noProof/>
        </w:rPr>
        <w:t xml:space="preserve"> </w:t>
      </w:r>
      <w:r w:rsidR="00853782" w:rsidRPr="006D6727">
        <w:rPr>
          <w:rStyle w:val="ECCHLyellow"/>
          <w:noProof/>
        </w:rPr>
        <w:fldChar w:fldCharType="begin"/>
      </w:r>
      <w:r w:rsidR="00853782" w:rsidRPr="006D6727">
        <w:rPr>
          <w:noProof/>
        </w:rPr>
        <w:instrText xml:space="preserve"> REF _Ref9415617 \r \h </w:instrText>
      </w:r>
      <w:r w:rsidR="00853782" w:rsidRPr="006D6727">
        <w:rPr>
          <w:rStyle w:val="ECCHLyellow"/>
          <w:noProof/>
        </w:rPr>
      </w:r>
      <w:r w:rsidR="00853782" w:rsidRPr="006D6727">
        <w:rPr>
          <w:rStyle w:val="ECCHLyellow"/>
          <w:noProof/>
        </w:rPr>
        <w:fldChar w:fldCharType="separate"/>
      </w:r>
      <w:r w:rsidR="004F49F9">
        <w:rPr>
          <w:noProof/>
        </w:rPr>
        <w:t>2.2</w:t>
      </w:r>
      <w:r w:rsidR="00853782" w:rsidRPr="006D6727">
        <w:rPr>
          <w:rStyle w:val="ECCHLyellow"/>
          <w:noProof/>
        </w:rPr>
        <w:fldChar w:fldCharType="end"/>
      </w:r>
      <w:r w:rsidRPr="006D6727">
        <w:rPr>
          <w:rStyle w:val="ECCParagraph"/>
          <w:noProof/>
        </w:rPr>
        <w:t xml:space="preserve"> there are applications listed which are only operated</w:t>
      </w:r>
      <w:r w:rsidR="005C7905">
        <w:rPr>
          <w:rStyle w:val="ECCParagraph"/>
        </w:rPr>
        <w:t xml:space="preserve"> indoors or</w:t>
      </w:r>
      <w:r w:rsidRPr="006D6727">
        <w:rPr>
          <w:rStyle w:val="ECCParagraph"/>
          <w:noProof/>
        </w:rPr>
        <w:t xml:space="preserve"> in</w:t>
      </w:r>
      <w:r w:rsidR="005C7905">
        <w:rPr>
          <w:rStyle w:val="ECCParagraph"/>
        </w:rPr>
        <w:t xml:space="preserve"> other</w:t>
      </w:r>
      <w:r w:rsidRPr="006D6727">
        <w:rPr>
          <w:rStyle w:val="ECCParagraph"/>
          <w:noProof/>
        </w:rPr>
        <w:t xml:space="preserve"> shielded environments. Depending on the deployment scenario of the specific application and the shielding nature of the enclosure, in which the device is operated, different shielding losses have been defined.</w:t>
      </w:r>
      <w:r w:rsidR="00C13DF1">
        <w:rPr>
          <w:rStyle w:val="ECCParagraph"/>
        </w:rPr>
        <w:t xml:space="preserve"> The defined indoor-outdoor attenuations for the different natures of applications are summarised in </w:t>
      </w:r>
      <w:r w:rsidR="00C13DF1">
        <w:rPr>
          <w:rStyle w:val="ECCHLyellow"/>
        </w:rPr>
        <w:fldChar w:fldCharType="begin"/>
      </w:r>
      <w:r w:rsidR="00C13DF1">
        <w:rPr>
          <w:rStyle w:val="ECCParagraph"/>
        </w:rPr>
        <w:instrText xml:space="preserve"> REF _Ref63242460 \h </w:instrText>
      </w:r>
      <w:r w:rsidR="00C13DF1">
        <w:rPr>
          <w:rStyle w:val="ECCHLyellow"/>
        </w:rPr>
      </w:r>
      <w:r w:rsidR="00C13DF1">
        <w:rPr>
          <w:rStyle w:val="ECCHLyellow"/>
        </w:rPr>
        <w:fldChar w:fldCharType="separate"/>
      </w:r>
      <w:r w:rsidR="0041125F" w:rsidRPr="008D5E69">
        <w:t>Table </w:t>
      </w:r>
      <w:r w:rsidR="0041125F">
        <w:rPr>
          <w:noProof/>
        </w:rPr>
        <w:t>32</w:t>
      </w:r>
      <w:r w:rsidR="00C13DF1">
        <w:rPr>
          <w:rStyle w:val="ECCHLyellow"/>
        </w:rPr>
        <w:fldChar w:fldCharType="end"/>
      </w:r>
      <w:r w:rsidR="00C13DF1">
        <w:rPr>
          <w:rStyle w:val="ECCParagraph"/>
        </w:rPr>
        <w:t>.</w:t>
      </w:r>
    </w:p>
    <w:p w14:paraId="5ED6C97B" w14:textId="6D96EB91" w:rsidR="00C13DF1" w:rsidRPr="00C13DF1" w:rsidRDefault="00C13DF1" w:rsidP="00C13DF1">
      <w:pPr>
        <w:pStyle w:val="Caption"/>
        <w:rPr>
          <w:rStyle w:val="ECCParagraph"/>
          <w:rFonts w:eastAsia="Calibri"/>
        </w:rPr>
      </w:pPr>
      <w:bookmarkStart w:id="325" w:name="_Ref63242460"/>
      <w:r w:rsidRPr="008D5E69">
        <w:t>Table </w:t>
      </w:r>
      <w:r w:rsidRPr="00D94720">
        <w:fldChar w:fldCharType="begin"/>
      </w:r>
      <w:r>
        <w:instrText xml:space="preserve"> SEQ Table \* ARABIC </w:instrText>
      </w:r>
      <w:r w:rsidRPr="00D94720">
        <w:fldChar w:fldCharType="separate"/>
      </w:r>
      <w:r w:rsidR="004F49F9">
        <w:rPr>
          <w:noProof/>
        </w:rPr>
        <w:t>32</w:t>
      </w:r>
      <w:r w:rsidRPr="00D94720">
        <w:fldChar w:fldCharType="end"/>
      </w:r>
      <w:bookmarkEnd w:id="325"/>
      <w:r w:rsidRPr="008D5E69">
        <w:t xml:space="preserve">: </w:t>
      </w:r>
      <w:r>
        <w:rPr>
          <w:rStyle w:val="ECCParagraph"/>
        </w:rPr>
        <w:t>Summary of defined indoor-outdoor attenuations/shielding losses for the different applications covered in this Report for both single-entry and aggregate interference scenarios</w:t>
      </w:r>
    </w:p>
    <w:tbl>
      <w:tblPr>
        <w:tblStyle w:val="ECCTable-redheader"/>
        <w:tblW w:w="9148" w:type="dxa"/>
        <w:tblInd w:w="0" w:type="dxa"/>
        <w:tblLook w:val="04A0" w:firstRow="1" w:lastRow="0" w:firstColumn="1" w:lastColumn="0" w:noHBand="0" w:noVBand="1"/>
      </w:tblPr>
      <w:tblGrid>
        <w:gridCol w:w="1736"/>
        <w:gridCol w:w="2342"/>
        <w:gridCol w:w="2228"/>
        <w:gridCol w:w="2842"/>
      </w:tblGrid>
      <w:tr w:rsidR="00C13DF1" w14:paraId="18502612" w14:textId="77777777" w:rsidTr="00C967E1">
        <w:trPr>
          <w:cnfStyle w:val="100000000000" w:firstRow="1" w:lastRow="0" w:firstColumn="0" w:lastColumn="0" w:oddVBand="0" w:evenVBand="0" w:oddHBand="0" w:evenHBand="0" w:firstRowFirstColumn="0" w:firstRowLastColumn="0" w:lastRowFirstColumn="0" w:lastRowLastColumn="0"/>
        </w:trPr>
        <w:tc>
          <w:tcPr>
            <w:tcW w:w="1789" w:type="dxa"/>
          </w:tcPr>
          <w:p w14:paraId="70FC5131" w14:textId="77777777" w:rsidR="00C13DF1" w:rsidRPr="00C13DF1" w:rsidRDefault="00C13DF1" w:rsidP="00C13DF1">
            <w:bookmarkStart w:id="326" w:name="_Hlk62053678"/>
            <w:r w:rsidRPr="0063756E">
              <w:t>Application</w:t>
            </w:r>
          </w:p>
        </w:tc>
        <w:tc>
          <w:tcPr>
            <w:tcW w:w="2459" w:type="dxa"/>
          </w:tcPr>
          <w:p w14:paraId="1AC3B904" w14:textId="77777777" w:rsidR="00C13DF1" w:rsidRPr="00C13DF1" w:rsidRDefault="00C13DF1" w:rsidP="00C13DF1">
            <w:pPr>
              <w:rPr>
                <w:highlight w:val="green"/>
              </w:rPr>
            </w:pPr>
            <w:bookmarkStart w:id="327" w:name="_Hlk61967263"/>
            <w:r w:rsidRPr="0063756E">
              <w:t>Nature of application concerning shielding</w:t>
            </w:r>
          </w:p>
        </w:tc>
        <w:tc>
          <w:tcPr>
            <w:tcW w:w="1983" w:type="dxa"/>
          </w:tcPr>
          <w:p w14:paraId="619D9DCD" w14:textId="77777777" w:rsidR="00C13DF1" w:rsidRPr="00C13DF1" w:rsidRDefault="00C13DF1" w:rsidP="00C13DF1">
            <w:r w:rsidRPr="0063756E">
              <w:t xml:space="preserve">Indoor-outdoor attenuation/shielding loss definition for single-entry interference </w:t>
            </w:r>
            <w:r w:rsidRPr="00C13DF1">
              <w:t>scenarios</w:t>
            </w:r>
          </w:p>
        </w:tc>
        <w:tc>
          <w:tcPr>
            <w:tcW w:w="2917" w:type="dxa"/>
          </w:tcPr>
          <w:p w14:paraId="76BBA905" w14:textId="77777777" w:rsidR="00C13DF1" w:rsidRPr="00C13DF1" w:rsidRDefault="00C13DF1" w:rsidP="00C13DF1">
            <w:r w:rsidRPr="0063756E">
              <w:t>Indoo</w:t>
            </w:r>
            <w:r w:rsidRPr="00C13DF1">
              <w:t>r-outdoor attenuation/shielding loss definition for aggregate interference scenarios</w:t>
            </w:r>
          </w:p>
        </w:tc>
      </w:tr>
      <w:tr w:rsidR="00C13DF1" w:rsidRPr="00254DB2" w14:paraId="795FF6E4" w14:textId="77777777" w:rsidTr="00C967E1">
        <w:tc>
          <w:tcPr>
            <w:tcW w:w="1789" w:type="dxa"/>
          </w:tcPr>
          <w:p w14:paraId="55D140C0" w14:textId="77777777" w:rsidR="00C13DF1" w:rsidRPr="00C13DF1" w:rsidRDefault="00C13DF1" w:rsidP="00DC3504">
            <w:pPr>
              <w:pStyle w:val="ECCTabletext"/>
              <w:spacing w:before="60"/>
              <w:jc w:val="left"/>
            </w:pPr>
            <w:r w:rsidRPr="0063756E">
              <w:t>RDI-S</w:t>
            </w:r>
          </w:p>
        </w:tc>
        <w:tc>
          <w:tcPr>
            <w:tcW w:w="2459" w:type="dxa"/>
          </w:tcPr>
          <w:p w14:paraId="57ADF923" w14:textId="77777777" w:rsidR="00C13DF1" w:rsidRPr="00C13DF1" w:rsidRDefault="00C13DF1" w:rsidP="00DC3504">
            <w:pPr>
              <w:pStyle w:val="ECCTabletext"/>
              <w:spacing w:before="60"/>
              <w:jc w:val="left"/>
            </w:pPr>
            <w:r w:rsidRPr="0063756E">
              <w:t>Professional indoor device with installation requirements (main beam pointing to windows is prohibited)</w:t>
            </w:r>
          </w:p>
        </w:tc>
        <w:tc>
          <w:tcPr>
            <w:tcW w:w="1983" w:type="dxa"/>
          </w:tcPr>
          <w:p w14:paraId="483BA96D" w14:textId="77777777" w:rsidR="00C13DF1" w:rsidRPr="00C13DF1" w:rsidRDefault="00C13DF1" w:rsidP="00DC3504">
            <w:pPr>
              <w:pStyle w:val="ECCTabletext"/>
              <w:spacing w:before="60"/>
              <w:jc w:val="left"/>
            </w:pPr>
            <w:r w:rsidRPr="0063756E">
              <w:t>50 dB</w:t>
            </w:r>
          </w:p>
        </w:tc>
        <w:tc>
          <w:tcPr>
            <w:tcW w:w="2917" w:type="dxa"/>
          </w:tcPr>
          <w:p w14:paraId="33DFA226" w14:textId="78CD2E8B" w:rsidR="00C13DF1" w:rsidRPr="00C13DF1" w:rsidRDefault="00C13DF1" w:rsidP="00DC3504">
            <w:pPr>
              <w:pStyle w:val="ECCTabletext"/>
              <w:spacing w:before="60"/>
              <w:jc w:val="left"/>
            </w:pPr>
            <w:r>
              <w:t>BEL</w:t>
            </w:r>
            <w:r w:rsidRPr="00C13DF1">
              <w:t>, BEL correction, clutter loss, polarisation loss acc</w:t>
            </w:r>
            <w:r w:rsidR="008162CD">
              <w:t>ording</w:t>
            </w:r>
            <w:r w:rsidRPr="00C13DF1">
              <w:t xml:space="preserve"> to </w:t>
            </w:r>
            <w:r w:rsidRPr="00C13DF1">
              <w:fldChar w:fldCharType="begin"/>
            </w:r>
            <w:r w:rsidRPr="00C13DF1">
              <w:instrText xml:space="preserve"> REF _Ref63178235 \h </w:instrText>
            </w:r>
            <w:r w:rsidRPr="00C13DF1">
              <w:fldChar w:fldCharType="separate"/>
            </w:r>
            <w:r w:rsidR="0041125F" w:rsidRPr="00334871">
              <w:t>Figure </w:t>
            </w:r>
            <w:r w:rsidR="0041125F">
              <w:rPr>
                <w:noProof/>
              </w:rPr>
              <w:t>62</w:t>
            </w:r>
            <w:r w:rsidRPr="00C13DF1">
              <w:fldChar w:fldCharType="end"/>
            </w:r>
          </w:p>
          <w:p w14:paraId="255C66B2" w14:textId="77777777" w:rsidR="00C13DF1" w:rsidRPr="00C13DF1" w:rsidRDefault="00C13DF1" w:rsidP="00DC3504">
            <w:pPr>
              <w:pStyle w:val="ECCTabletext"/>
              <w:spacing w:before="60"/>
              <w:jc w:val="left"/>
            </w:pPr>
            <w:r w:rsidRPr="0063756E">
              <w:t>plus</w:t>
            </w:r>
          </w:p>
          <w:p w14:paraId="64DC7ACD" w14:textId="77777777" w:rsidR="00C13DF1" w:rsidRPr="00C13DF1" w:rsidRDefault="00C13DF1" w:rsidP="00DC3504">
            <w:pPr>
              <w:pStyle w:val="ECCTabletext"/>
              <w:spacing w:before="60"/>
              <w:jc w:val="left"/>
            </w:pPr>
            <w:r w:rsidRPr="0063756E">
              <w:t>potential technical condition for additional shielding</w:t>
            </w:r>
          </w:p>
        </w:tc>
      </w:tr>
      <w:tr w:rsidR="00C13DF1" w:rsidRPr="00254DB2" w14:paraId="2CDF7A15" w14:textId="77777777" w:rsidTr="00C967E1">
        <w:tc>
          <w:tcPr>
            <w:tcW w:w="1789" w:type="dxa"/>
          </w:tcPr>
          <w:p w14:paraId="718F82A9" w14:textId="77777777" w:rsidR="00C13DF1" w:rsidRPr="00C13DF1" w:rsidRDefault="00C13DF1" w:rsidP="00DC3504">
            <w:pPr>
              <w:pStyle w:val="ECCTabletext"/>
              <w:spacing w:before="60"/>
              <w:jc w:val="left"/>
            </w:pPr>
            <w:r w:rsidRPr="0063756E">
              <w:t>LPR, CDR</w:t>
            </w:r>
          </w:p>
        </w:tc>
        <w:tc>
          <w:tcPr>
            <w:tcW w:w="2459" w:type="dxa"/>
          </w:tcPr>
          <w:p w14:paraId="299474B9" w14:textId="77777777" w:rsidR="00C13DF1" w:rsidRPr="00C13DF1" w:rsidRDefault="00C13DF1" w:rsidP="00DC3504">
            <w:pPr>
              <w:pStyle w:val="ECCTabletext"/>
              <w:spacing w:before="60"/>
              <w:jc w:val="left"/>
            </w:pPr>
            <w:r w:rsidRPr="0063756E">
              <w:t xml:space="preserve">Professional </w:t>
            </w:r>
            <w:r w:rsidRPr="00C13DF1">
              <w:t>device with installation requirements (main beam is downwards oriented)</w:t>
            </w:r>
          </w:p>
        </w:tc>
        <w:tc>
          <w:tcPr>
            <w:tcW w:w="1983" w:type="dxa"/>
          </w:tcPr>
          <w:p w14:paraId="3F4EA344" w14:textId="77777777" w:rsidR="00C13DF1" w:rsidRPr="00C13DF1" w:rsidRDefault="00C13DF1" w:rsidP="00DC3504">
            <w:pPr>
              <w:pStyle w:val="ECCTabletext"/>
              <w:spacing w:before="60"/>
              <w:jc w:val="left"/>
            </w:pPr>
            <w:r w:rsidRPr="0063756E">
              <w:t>0 dB (device considered outdoors for the single-entry st</w:t>
            </w:r>
            <w:r w:rsidRPr="00C13DF1">
              <w:t>udy)</w:t>
            </w:r>
          </w:p>
        </w:tc>
        <w:tc>
          <w:tcPr>
            <w:tcW w:w="2917" w:type="dxa"/>
          </w:tcPr>
          <w:p w14:paraId="46DA3B2C" w14:textId="1FF05248" w:rsidR="00C13DF1" w:rsidRPr="00C13DF1" w:rsidRDefault="00C13DF1" w:rsidP="00DC3504">
            <w:pPr>
              <w:pStyle w:val="ECCTabletext"/>
              <w:spacing w:before="60"/>
              <w:jc w:val="left"/>
            </w:pPr>
            <w:r>
              <w:t>BEL</w:t>
            </w:r>
            <w:r w:rsidRPr="00C13DF1">
              <w:t>, BEL correction, clutter loss, polarisation loss acc</w:t>
            </w:r>
            <w:r w:rsidR="008162CD">
              <w:t>ording</w:t>
            </w:r>
            <w:r w:rsidRPr="00C13DF1">
              <w:t xml:space="preserve"> to </w:t>
            </w:r>
            <w:r w:rsidRPr="00C13DF1">
              <w:fldChar w:fldCharType="begin"/>
            </w:r>
            <w:r w:rsidRPr="00C13DF1">
              <w:instrText xml:space="preserve"> REF _Ref63178235 \h </w:instrText>
            </w:r>
            <w:r w:rsidRPr="00C13DF1">
              <w:fldChar w:fldCharType="separate"/>
            </w:r>
            <w:r w:rsidR="0041125F" w:rsidRPr="00334871">
              <w:t>Figure </w:t>
            </w:r>
            <w:r w:rsidR="0041125F">
              <w:rPr>
                <w:noProof/>
              </w:rPr>
              <w:t>62</w:t>
            </w:r>
            <w:r w:rsidRPr="00C13DF1">
              <w:fldChar w:fldCharType="end"/>
            </w:r>
          </w:p>
          <w:p w14:paraId="3D1CEE29" w14:textId="77777777" w:rsidR="00C13DF1" w:rsidRPr="00C13DF1" w:rsidRDefault="00C13DF1" w:rsidP="00DC3504">
            <w:pPr>
              <w:pStyle w:val="ECCTabletext"/>
              <w:spacing w:after="0"/>
              <w:jc w:val="left"/>
            </w:pPr>
            <w:r w:rsidRPr="0063756E">
              <w:t>pl</w:t>
            </w:r>
            <w:r w:rsidRPr="00C13DF1">
              <w:t>us</w:t>
            </w:r>
          </w:p>
          <w:p w14:paraId="19E9794F" w14:textId="77777777" w:rsidR="00C13DF1" w:rsidRPr="00C13DF1" w:rsidRDefault="00C13DF1" w:rsidP="00DC3504">
            <w:pPr>
              <w:pStyle w:val="ECCTabletext"/>
              <w:spacing w:before="60"/>
              <w:jc w:val="left"/>
              <w:rPr>
                <w:highlight w:val="yellow"/>
              </w:rPr>
            </w:pPr>
            <w:r w:rsidRPr="0063756E">
              <w:t>potential technical condition for additional shielding</w:t>
            </w:r>
            <w:r w:rsidRPr="00C13DF1">
              <w:t xml:space="preserve"> (only applicable for the portion of devices located indoors)</w:t>
            </w:r>
          </w:p>
        </w:tc>
      </w:tr>
      <w:tr w:rsidR="00C13DF1" w:rsidRPr="00254DB2" w14:paraId="205D0859" w14:textId="77777777" w:rsidTr="00C967E1">
        <w:tc>
          <w:tcPr>
            <w:tcW w:w="1789" w:type="dxa"/>
          </w:tcPr>
          <w:p w14:paraId="145B3BD1" w14:textId="77777777" w:rsidR="00C13DF1" w:rsidRPr="00C13DF1" w:rsidRDefault="00C13DF1" w:rsidP="00DC3504">
            <w:pPr>
              <w:pStyle w:val="ECCTabletext"/>
              <w:spacing w:before="60"/>
              <w:jc w:val="left"/>
            </w:pPr>
            <w:r w:rsidRPr="0063756E">
              <w:t>TLPR</w:t>
            </w:r>
          </w:p>
        </w:tc>
        <w:tc>
          <w:tcPr>
            <w:tcW w:w="2459" w:type="dxa"/>
          </w:tcPr>
          <w:p w14:paraId="0B127FA5" w14:textId="6E3CF338" w:rsidR="00C13DF1" w:rsidRPr="00C13DF1" w:rsidRDefault="00C13DF1" w:rsidP="00DC3504">
            <w:pPr>
              <w:pStyle w:val="ECCTabletext"/>
              <w:spacing w:before="60"/>
              <w:jc w:val="left"/>
            </w:pPr>
            <w:r>
              <w:t>D</w:t>
            </w:r>
            <w:r w:rsidRPr="00C13DF1">
              <w:t>evice operated inside metallic or concrete tanks with installation requirements (e.g. openings and windows are prohibited, sight glasses must be covered</w:t>
            </w:r>
            <w:r w:rsidR="00BB55F8">
              <w:t xml:space="preserve"> (</w:t>
            </w:r>
            <w:r w:rsidRPr="00C13DF1">
              <w:t>see</w:t>
            </w:r>
            <w:r w:rsidR="00544304">
              <w:t xml:space="preserve"> </w:t>
            </w:r>
            <w:r w:rsidR="00544304" w:rsidRPr="00544304">
              <w:t>ETSI EN 302 372 V2.1.1, annex E</w:t>
            </w:r>
            <w:r w:rsidRPr="00C13DF1">
              <w:rPr>
                <w:rStyle w:val="ECCParagraph"/>
              </w:rPr>
              <w:t xml:space="preserve"> </w:t>
            </w:r>
            <w:r w:rsidR="00452391" w:rsidRPr="00452391">
              <w:rPr>
                <w:rStyle w:val="ECCParagraph"/>
              </w:rPr>
              <w:fldChar w:fldCharType="begin"/>
            </w:r>
            <w:r w:rsidR="00452391" w:rsidRPr="00452391">
              <w:rPr>
                <w:rStyle w:val="ECCParagraph"/>
              </w:rPr>
              <w:instrText xml:space="preserve"> REF  ETSITR302372 \h \w  \* MERGEFORMAT </w:instrText>
            </w:r>
            <w:r w:rsidR="00452391" w:rsidRPr="00452391">
              <w:rPr>
                <w:rStyle w:val="ECCParagraph"/>
              </w:rPr>
            </w:r>
            <w:r w:rsidR="00452391" w:rsidRPr="00452391">
              <w:rPr>
                <w:rStyle w:val="ECCParagraph"/>
              </w:rPr>
              <w:fldChar w:fldCharType="separate"/>
            </w:r>
            <w:r w:rsidR="004F49F9">
              <w:rPr>
                <w:rStyle w:val="ECCParagraph"/>
              </w:rPr>
              <w:t>[7]</w:t>
            </w:r>
            <w:r w:rsidR="00452391" w:rsidRPr="00452391">
              <w:rPr>
                <w:rStyle w:val="ECCParagraph"/>
              </w:rPr>
              <w:fldChar w:fldCharType="end"/>
            </w:r>
            <w:r w:rsidRPr="00C13DF1">
              <w:t>)</w:t>
            </w:r>
          </w:p>
        </w:tc>
        <w:tc>
          <w:tcPr>
            <w:tcW w:w="4900" w:type="dxa"/>
            <w:gridSpan w:val="2"/>
          </w:tcPr>
          <w:p w14:paraId="5FB791B0" w14:textId="77777777" w:rsidR="00C13DF1" w:rsidRPr="00C13DF1" w:rsidRDefault="00C13DF1" w:rsidP="00DC3504">
            <w:pPr>
              <w:pStyle w:val="ECCTabletext"/>
              <w:spacing w:before="60"/>
              <w:jc w:val="left"/>
              <w:rPr>
                <w:highlight w:val="yellow"/>
              </w:rPr>
            </w:pPr>
            <w:r w:rsidRPr="0063756E">
              <w:t>Extended BEL model for 100% efficient buildings, p=0</w:t>
            </w:r>
            <w:r w:rsidR="00CF4994">
              <w:t>.5</w:t>
            </w:r>
            <w:r w:rsidRPr="0063756E">
              <w:t xml:space="preserve"> (median), 0°</w:t>
            </w:r>
            <w:r w:rsidRPr="00C13DF1">
              <w:t xml:space="preserve"> incidence angle</w:t>
            </w:r>
          </w:p>
        </w:tc>
      </w:tr>
      <w:tr w:rsidR="00C13DF1" w:rsidRPr="00254DB2" w14:paraId="220ED553" w14:textId="77777777" w:rsidTr="00C967E1">
        <w:tc>
          <w:tcPr>
            <w:tcW w:w="1789" w:type="dxa"/>
          </w:tcPr>
          <w:p w14:paraId="2C15F807" w14:textId="77777777" w:rsidR="00C13DF1" w:rsidRPr="00C13DF1" w:rsidRDefault="00C13DF1" w:rsidP="00DC3504">
            <w:pPr>
              <w:pStyle w:val="ECCTabletext"/>
              <w:spacing w:before="60"/>
              <w:jc w:val="left"/>
            </w:pPr>
            <w:r w:rsidRPr="0063756E">
              <w:t xml:space="preserve">Generic indoor surveillance radar </w:t>
            </w:r>
          </w:p>
        </w:tc>
        <w:tc>
          <w:tcPr>
            <w:tcW w:w="2459" w:type="dxa"/>
          </w:tcPr>
          <w:p w14:paraId="61D8F923" w14:textId="77777777" w:rsidR="00C13DF1" w:rsidRPr="00C13DF1" w:rsidRDefault="00C13DF1" w:rsidP="00DC3504">
            <w:pPr>
              <w:pStyle w:val="ECCTabletext"/>
              <w:spacing w:before="60"/>
              <w:jc w:val="left"/>
            </w:pPr>
            <w:r w:rsidRPr="0063756E">
              <w:t xml:space="preserve">Indoor devices with no installation requirements </w:t>
            </w:r>
          </w:p>
        </w:tc>
        <w:tc>
          <w:tcPr>
            <w:tcW w:w="1983" w:type="dxa"/>
          </w:tcPr>
          <w:p w14:paraId="5BDA9053" w14:textId="77777777" w:rsidR="00C13DF1" w:rsidRPr="00C13DF1" w:rsidRDefault="0046281A" w:rsidP="00DC3504">
            <w:pPr>
              <w:pStyle w:val="ECCTabletext"/>
              <w:spacing w:before="60"/>
              <w:jc w:val="left"/>
            </w:pPr>
            <w:r>
              <w:t>0 to 16 dB depending on the interference scenario</w:t>
            </w:r>
          </w:p>
        </w:tc>
        <w:tc>
          <w:tcPr>
            <w:tcW w:w="2917" w:type="dxa"/>
          </w:tcPr>
          <w:p w14:paraId="6ADFAD78" w14:textId="15B4C8E6" w:rsidR="00C13DF1" w:rsidRPr="00C13DF1" w:rsidRDefault="00C13DF1" w:rsidP="00DC3504">
            <w:pPr>
              <w:pStyle w:val="ECCTabletext"/>
              <w:spacing w:before="60"/>
              <w:jc w:val="left"/>
            </w:pPr>
            <w:r>
              <w:t>BEL</w:t>
            </w:r>
            <w:r w:rsidRPr="00C13DF1">
              <w:t>, BEL correction, clutter loss, polarisation loss acc</w:t>
            </w:r>
            <w:r w:rsidR="008162CD">
              <w:t>ording</w:t>
            </w:r>
            <w:r w:rsidRPr="00C13DF1">
              <w:t xml:space="preserve"> to </w:t>
            </w:r>
            <w:r w:rsidRPr="00C13DF1">
              <w:fldChar w:fldCharType="begin"/>
            </w:r>
            <w:r w:rsidRPr="00C13DF1">
              <w:instrText xml:space="preserve"> REF _Ref63178235 \h </w:instrText>
            </w:r>
            <w:r w:rsidRPr="00C13DF1">
              <w:fldChar w:fldCharType="separate"/>
            </w:r>
            <w:r w:rsidR="0041125F" w:rsidRPr="00334871">
              <w:t>Figure </w:t>
            </w:r>
            <w:r w:rsidR="0041125F">
              <w:rPr>
                <w:noProof/>
              </w:rPr>
              <w:t>62</w:t>
            </w:r>
            <w:r w:rsidRPr="00C13DF1">
              <w:fldChar w:fldCharType="end"/>
            </w:r>
          </w:p>
        </w:tc>
      </w:tr>
      <w:tr w:rsidR="00C13DF1" w14:paraId="3A8CA13C" w14:textId="77777777" w:rsidTr="00C967E1">
        <w:tc>
          <w:tcPr>
            <w:tcW w:w="1789" w:type="dxa"/>
          </w:tcPr>
          <w:p w14:paraId="2E1A8707" w14:textId="77777777" w:rsidR="00C13DF1" w:rsidRPr="00C13DF1" w:rsidRDefault="00C13DF1" w:rsidP="00DC3504">
            <w:pPr>
              <w:pStyle w:val="ECCTabletext"/>
              <w:spacing w:before="60"/>
              <w:jc w:val="left"/>
            </w:pPr>
            <w:r w:rsidRPr="0063756E">
              <w:t>RDI, Sh</w:t>
            </w:r>
            <w:r w:rsidRPr="00C13DF1">
              <w:t>ort-range assist (car radar), GBSAR</w:t>
            </w:r>
          </w:p>
        </w:tc>
        <w:tc>
          <w:tcPr>
            <w:tcW w:w="2459" w:type="dxa"/>
          </w:tcPr>
          <w:p w14:paraId="4ABAE205" w14:textId="77777777" w:rsidR="00C13DF1" w:rsidRPr="00C13DF1" w:rsidRDefault="00C13DF1" w:rsidP="00DC3504">
            <w:pPr>
              <w:pStyle w:val="ECCTabletext"/>
              <w:spacing w:before="60"/>
              <w:jc w:val="left"/>
            </w:pPr>
            <w:r w:rsidRPr="0063756E">
              <w:t>Outdoor de</w:t>
            </w:r>
            <w:r w:rsidRPr="00C13DF1">
              <w:t>vices</w:t>
            </w:r>
          </w:p>
        </w:tc>
        <w:tc>
          <w:tcPr>
            <w:tcW w:w="4900" w:type="dxa"/>
            <w:gridSpan w:val="2"/>
          </w:tcPr>
          <w:p w14:paraId="7E7DC8C8" w14:textId="77777777" w:rsidR="00C13DF1" w:rsidRPr="00C13DF1" w:rsidRDefault="00C13DF1" w:rsidP="00DC3504">
            <w:pPr>
              <w:pStyle w:val="ECCTabletext"/>
              <w:spacing w:before="60"/>
              <w:jc w:val="left"/>
            </w:pPr>
            <w:r w:rsidRPr="0063756E">
              <w:t>0 dB</w:t>
            </w:r>
          </w:p>
        </w:tc>
      </w:tr>
    </w:tbl>
    <w:p w14:paraId="401248F3" w14:textId="77777777" w:rsidR="00E3565F" w:rsidRPr="00E3565F" w:rsidRDefault="00E3565F" w:rsidP="00E3565F">
      <w:pPr>
        <w:pStyle w:val="Heading3"/>
      </w:pPr>
      <w:bookmarkStart w:id="328" w:name="_Ref63265307"/>
      <w:bookmarkStart w:id="329" w:name="_Toc84325299"/>
      <w:bookmarkStart w:id="330" w:name="_Toc127346236"/>
      <w:bookmarkEnd w:id="326"/>
      <w:bookmarkEnd w:id="327"/>
      <w:r>
        <w:t>Indoor-outdoor attenuation for aggregate interference scenarios</w:t>
      </w:r>
      <w:bookmarkEnd w:id="328"/>
      <w:bookmarkEnd w:id="329"/>
      <w:bookmarkEnd w:id="330"/>
    </w:p>
    <w:p w14:paraId="18855710" w14:textId="77777777" w:rsidR="00946B42" w:rsidRDefault="005F457E" w:rsidP="0047249F">
      <w:pPr>
        <w:rPr>
          <w:noProof/>
        </w:rPr>
      </w:pPr>
      <w:r w:rsidRPr="006D6727">
        <w:rPr>
          <w:noProof/>
        </w:rPr>
        <w:t xml:space="preserve">For devices operated inside buildings or </w:t>
      </w:r>
      <w:r w:rsidR="009E2E3E">
        <w:t xml:space="preserve">inside </w:t>
      </w:r>
      <w:r w:rsidRPr="006D6727">
        <w:rPr>
          <w:noProof/>
        </w:rPr>
        <w:t xml:space="preserve">other similar </w:t>
      </w:r>
      <w:r w:rsidR="000027A9">
        <w:t xml:space="preserve">shielded </w:t>
      </w:r>
      <w:r w:rsidRPr="006D6727">
        <w:rPr>
          <w:noProof/>
        </w:rPr>
        <w:t xml:space="preserve">environments without further installation requirements </w:t>
      </w:r>
      <w:r w:rsidR="00A25C81">
        <w:t xml:space="preserve">(e.g. generic indoor surveillance radar) </w:t>
      </w:r>
      <w:r w:rsidR="00130641">
        <w:t xml:space="preserve">an indoor-outdoor attenuation </w:t>
      </w:r>
      <w:r w:rsidRPr="006D6727">
        <w:rPr>
          <w:noProof/>
        </w:rPr>
        <w:t xml:space="preserve">derived from the </w:t>
      </w:r>
      <w:r w:rsidR="009B7459">
        <w:t xml:space="preserve">following independent components has been </w:t>
      </w:r>
      <w:r w:rsidR="00A25C81">
        <w:t>de</w:t>
      </w:r>
      <w:r w:rsidR="00E3565F">
        <w:t>rived</w:t>
      </w:r>
      <w:r w:rsidR="009B7459">
        <w:t>:</w:t>
      </w:r>
    </w:p>
    <w:p w14:paraId="4E69D0E9" w14:textId="4C4E0EDC" w:rsidR="00946B42" w:rsidRDefault="009B7459" w:rsidP="00946B42">
      <w:pPr>
        <w:pStyle w:val="ECCBulletsLv1"/>
        <w:rPr>
          <w:noProof/>
        </w:rPr>
      </w:pPr>
      <w:r>
        <w:t>A</w:t>
      </w:r>
      <w:r w:rsidR="008713E2">
        <w:t xml:space="preserve">veraged </w:t>
      </w:r>
      <w:r w:rsidR="008E70C3">
        <w:t xml:space="preserve">elevation angle dependent </w:t>
      </w:r>
      <w:r w:rsidR="00853782" w:rsidRPr="006D6727">
        <w:rPr>
          <w:noProof/>
        </w:rPr>
        <w:t>building entry loss (</w:t>
      </w:r>
      <w:r w:rsidR="005F457E" w:rsidRPr="006D6727">
        <w:rPr>
          <w:noProof/>
        </w:rPr>
        <w:t>BEL</w:t>
      </w:r>
      <w:r w:rsidR="00853782" w:rsidRPr="006D6727">
        <w:rPr>
          <w:noProof/>
        </w:rPr>
        <w:t>)</w:t>
      </w:r>
      <w:r w:rsidR="005F457E" w:rsidRPr="006D6727">
        <w:rPr>
          <w:noProof/>
        </w:rPr>
        <w:t xml:space="preserve"> model </w:t>
      </w:r>
      <w:r w:rsidR="008E70C3">
        <w:t>according to</w:t>
      </w:r>
      <w:r w:rsidR="00946B42">
        <w:t xml:space="preserve"> Recommendation ITU-R</w:t>
      </w:r>
      <w:r w:rsidR="008713E2">
        <w:t xml:space="preserve"> P.2109-1</w:t>
      </w:r>
      <w:r w:rsidR="00F07161">
        <w:t xml:space="preserve"> </w:t>
      </w:r>
      <w:r w:rsidR="00F07161">
        <w:rPr>
          <w:rStyle w:val="ECCParagraph"/>
        </w:rPr>
        <w:fldChar w:fldCharType="begin"/>
      </w:r>
      <w:r w:rsidR="00F07161">
        <w:rPr>
          <w:rStyle w:val="ECCParagraph"/>
        </w:rPr>
        <w:instrText xml:space="preserve"> REF  ITU_R_P_2109_0 \h \w  \* MERGEFORMAT </w:instrText>
      </w:r>
      <w:r w:rsidR="00F07161">
        <w:rPr>
          <w:rStyle w:val="ECCParagraph"/>
        </w:rPr>
      </w:r>
      <w:r w:rsidR="00F07161">
        <w:rPr>
          <w:rStyle w:val="ECCParagraph"/>
        </w:rPr>
        <w:fldChar w:fldCharType="separate"/>
      </w:r>
      <w:r w:rsidR="004F49F9">
        <w:rPr>
          <w:rStyle w:val="ECCParagraph"/>
        </w:rPr>
        <w:t>[23]</w:t>
      </w:r>
      <w:r w:rsidR="00F07161">
        <w:rPr>
          <w:rStyle w:val="ECCParagraph"/>
        </w:rPr>
        <w:fldChar w:fldCharType="end"/>
      </w:r>
      <w:r w:rsidR="008713E2">
        <w:t xml:space="preserve"> </w:t>
      </w:r>
      <w:r w:rsidR="008E70C3">
        <w:t>at a frequency of</w:t>
      </w:r>
      <w:r w:rsidR="008713E2">
        <w:t xml:space="preserve"> 100 GHz </w:t>
      </w:r>
      <w:r w:rsidR="005F457E" w:rsidRPr="006D6727">
        <w:rPr>
          <w:noProof/>
        </w:rPr>
        <w:t>(</w:t>
      </w:r>
      <w:r w:rsidR="00853782" w:rsidRPr="006D6727">
        <w:rPr>
          <w:rStyle w:val="ECCParagraph"/>
          <w:noProof/>
        </w:rPr>
        <w:t xml:space="preserve">see </w:t>
      </w:r>
      <w:r w:rsidR="00853782" w:rsidRPr="006D6727">
        <w:rPr>
          <w:rStyle w:val="ECCParagraph"/>
          <w:noProof/>
        </w:rPr>
        <w:fldChar w:fldCharType="begin"/>
      </w:r>
      <w:r w:rsidR="00853782" w:rsidRPr="006D6727">
        <w:rPr>
          <w:rStyle w:val="ECCParagraph"/>
          <w:noProof/>
        </w:rPr>
        <w:instrText xml:space="preserve"> REF _Ref20209940 \r \h  \* MERGEFORMAT </w:instrText>
      </w:r>
      <w:r w:rsidR="00853782" w:rsidRPr="006D6727">
        <w:rPr>
          <w:rStyle w:val="ECCParagraph"/>
          <w:noProof/>
        </w:rPr>
      </w:r>
      <w:r w:rsidR="00853782" w:rsidRPr="006D6727">
        <w:rPr>
          <w:rStyle w:val="ECCParagraph"/>
          <w:noProof/>
        </w:rPr>
        <w:fldChar w:fldCharType="separate"/>
      </w:r>
      <w:r w:rsidR="0041125F">
        <w:rPr>
          <w:rStyle w:val="ECCParagraph"/>
          <w:noProof/>
        </w:rPr>
        <w:t>A</w:t>
      </w:r>
      <w:r w:rsidR="00CE5486">
        <w:rPr>
          <w:rStyle w:val="ECCParagraph"/>
          <w:noProof/>
        </w:rPr>
        <w:t>nnex</w:t>
      </w:r>
      <w:r w:rsidR="0041125F">
        <w:rPr>
          <w:rStyle w:val="ECCParagraph"/>
          <w:noProof/>
        </w:rPr>
        <w:t xml:space="preserve"> 1</w:t>
      </w:r>
      <w:r w:rsidR="00853782" w:rsidRPr="006D6727">
        <w:rPr>
          <w:rStyle w:val="ECCParagraph"/>
          <w:noProof/>
        </w:rPr>
        <w:fldChar w:fldCharType="end"/>
      </w:r>
      <w:r w:rsidR="005F457E" w:rsidRPr="006D6727">
        <w:rPr>
          <w:noProof/>
        </w:rPr>
        <w:t>)</w:t>
      </w:r>
      <w:r w:rsidR="009D708E">
        <w:rPr>
          <w:noProof/>
        </w:rPr>
        <w:t>;</w:t>
      </w:r>
      <w:r w:rsidR="005F457E" w:rsidRPr="006D6727">
        <w:rPr>
          <w:noProof/>
        </w:rPr>
        <w:t xml:space="preserve"> </w:t>
      </w:r>
    </w:p>
    <w:p w14:paraId="4C805B27" w14:textId="663E00B9" w:rsidR="008E70C3" w:rsidRDefault="008E70C3" w:rsidP="004032E3">
      <w:pPr>
        <w:pStyle w:val="ECCBulletsLv1"/>
        <w:numPr>
          <w:ilvl w:val="0"/>
          <w:numId w:val="0"/>
        </w:numPr>
        <w:ind w:left="340"/>
      </w:pPr>
      <w:r>
        <w:t xml:space="preserve">Note: The model described in </w:t>
      </w:r>
      <w:r w:rsidR="002F3DB3">
        <w:t xml:space="preserve">Recommendation </w:t>
      </w:r>
      <w:r>
        <w:t xml:space="preserve">ITU-R P.2109-1 is </w:t>
      </w:r>
      <w:r w:rsidR="004032E3">
        <w:t>valid for</w:t>
      </w:r>
      <w:r w:rsidR="00142957">
        <w:t xml:space="preserve"> an</w:t>
      </w:r>
      <w:r w:rsidR="004032E3">
        <w:t xml:space="preserve"> omnidirectional antenna inside the building and is </w:t>
      </w:r>
      <w:r>
        <w:t xml:space="preserve">only defined up to a frequency of 100 GHz. Therefore, in this Report the </w:t>
      </w:r>
      <w:r w:rsidR="002F3DB3">
        <w:t>BEL components have been evaluated at this highest valid frequency. Nevertheless, it has to be kept in mind that the BEL in the range from 116 GHz to 260 GHz is expected to be higher</w:t>
      </w:r>
      <w:r w:rsidR="00D962A3">
        <w:t>;</w:t>
      </w:r>
    </w:p>
    <w:p w14:paraId="7335BF35" w14:textId="77777777" w:rsidR="00771406" w:rsidRDefault="00771406" w:rsidP="00946B42">
      <w:pPr>
        <w:pStyle w:val="ECCBulletsLv1"/>
        <w:rPr>
          <w:noProof/>
        </w:rPr>
      </w:pPr>
      <w:r>
        <w:t>BEL model correction factor for antenna beamwidths &lt;10°</w:t>
      </w:r>
      <w:r w:rsidR="006B2462">
        <w:t xml:space="preserve"> according to Recommendation ITU-R P.2109-1.</w:t>
      </w:r>
    </w:p>
    <w:p w14:paraId="6FF53E80" w14:textId="61AA6C80" w:rsidR="00970160" w:rsidRDefault="00142957" w:rsidP="00970160">
      <w:pPr>
        <w:pStyle w:val="ECCBulletsLv1"/>
        <w:numPr>
          <w:ilvl w:val="0"/>
          <w:numId w:val="0"/>
        </w:numPr>
        <w:ind w:left="340"/>
      </w:pPr>
      <w:r>
        <w:t>Note:</w:t>
      </w:r>
      <w:r w:rsidR="00970160">
        <w:t xml:space="preserve"> </w:t>
      </w:r>
      <w:r w:rsidR="00970160" w:rsidRPr="00970160">
        <w:t xml:space="preserve">In </w:t>
      </w:r>
      <w:r w:rsidR="00970160">
        <w:t>R</w:t>
      </w:r>
      <w:r w:rsidR="00970160" w:rsidRPr="00970160">
        <w:t xml:space="preserve">ecommendation </w:t>
      </w:r>
      <w:r w:rsidR="00970160">
        <w:t xml:space="preserve">ITU-R </w:t>
      </w:r>
      <w:r w:rsidR="00970160" w:rsidRPr="00970160">
        <w:t>P.2109-1</w:t>
      </w:r>
      <w:r w:rsidR="00970160">
        <w:t>,</w:t>
      </w:r>
      <w:r w:rsidR="00970160" w:rsidRPr="00970160">
        <w:t xml:space="preserve"> which </w:t>
      </w:r>
      <w:r w:rsidR="00970160">
        <w:t>contains a model for the prediction of</w:t>
      </w:r>
      <w:r w:rsidR="00970160" w:rsidRPr="00970160">
        <w:t xml:space="preserve"> the building entry loss</w:t>
      </w:r>
      <w:r w:rsidR="00970160">
        <w:t>,</w:t>
      </w:r>
      <w:r w:rsidR="00970160" w:rsidRPr="00970160">
        <w:t xml:space="preserve"> it is </w:t>
      </w:r>
      <w:r w:rsidR="0002322C">
        <w:t>assumed</w:t>
      </w:r>
      <w:r w:rsidR="00970160" w:rsidRPr="00970160">
        <w:t xml:space="preserve"> that directive antennas</w:t>
      </w:r>
      <w:r w:rsidR="00970160">
        <w:t xml:space="preserve"> can </w:t>
      </w:r>
      <w:r w:rsidR="0002322C">
        <w:t>act as a</w:t>
      </w:r>
      <w:r w:rsidR="00970160">
        <w:t xml:space="preserve"> spatial filte</w:t>
      </w:r>
      <w:r w:rsidR="0002322C">
        <w:t>r</w:t>
      </w:r>
      <w:r w:rsidR="00970160">
        <w:t xml:space="preserve">. </w:t>
      </w:r>
      <w:r w:rsidR="00673F59">
        <w:t>By means of</w:t>
      </w:r>
      <w:r w:rsidR="00970160" w:rsidRPr="00970160">
        <w:t xml:space="preserve"> </w:t>
      </w:r>
      <w:r w:rsidR="00502B92">
        <w:t>antennas with</w:t>
      </w:r>
      <w:r w:rsidR="00970160" w:rsidRPr="00970160">
        <w:t xml:space="preserve"> 10° beamwidth</w:t>
      </w:r>
      <w:r w:rsidR="00970160">
        <w:t>,</w:t>
      </w:r>
      <w:r w:rsidR="00970160" w:rsidRPr="00970160">
        <w:t xml:space="preserve"> </w:t>
      </w:r>
      <w:r w:rsidR="00970160">
        <w:t xml:space="preserve">a 5.3 dB higher BEL was measured in a campaign conducted in Korea on a frequency of 32 GHz compared to the standard model </w:t>
      </w:r>
      <w:r w:rsidR="00502B92">
        <w:t>defined</w:t>
      </w:r>
      <w:r w:rsidR="00970160">
        <w:t xml:space="preserve"> in ITU-R</w:t>
      </w:r>
      <w:r w:rsidR="00970160" w:rsidRPr="00970160">
        <w:t xml:space="preserve"> P.2109-1</w:t>
      </w:r>
      <w:r w:rsidR="00970160">
        <w:t>.</w:t>
      </w:r>
      <w:r w:rsidR="00502B92">
        <w:t xml:space="preserve"> Due to the lack of data for the considered frequency range from 116 to 260 GHz no correction has been used </w:t>
      </w:r>
      <w:r w:rsidR="00673F59">
        <w:t>for</w:t>
      </w:r>
      <w:r w:rsidR="00502B92">
        <w:t xml:space="preserve"> determin</w:t>
      </w:r>
      <w:r w:rsidR="00673F59">
        <w:t>ing</w:t>
      </w:r>
      <w:r w:rsidR="00502B92">
        <w:t xml:space="preserve"> the indoor-outdoor attenuation for aggregate interference scenarios in this Report. However, it should be kept in mind that the spatial filtering will also occur in the range 116 to 260 GHz when using high directive antennas. </w:t>
      </w:r>
      <w:r w:rsidR="00673F59">
        <w:t>Consequently, the non-consideration of this correction can be interpreted as an additional safety margin for the protection of other spectrum users</w:t>
      </w:r>
      <w:r w:rsidR="00D962A3">
        <w:t>;</w:t>
      </w:r>
    </w:p>
    <w:p w14:paraId="2E6BA438" w14:textId="12CE0897" w:rsidR="00946B42" w:rsidRDefault="009B7459" w:rsidP="00946B42">
      <w:pPr>
        <w:pStyle w:val="ECCBulletsLv1"/>
        <w:rPr>
          <w:noProof/>
        </w:rPr>
      </w:pPr>
      <w:r>
        <w:t>A</w:t>
      </w:r>
      <w:r w:rsidR="008713E2">
        <w:t xml:space="preserve">veraged </w:t>
      </w:r>
      <w:r w:rsidR="001935BA">
        <w:t xml:space="preserve">elevation dependent </w:t>
      </w:r>
      <w:r w:rsidR="008713E2">
        <w:t xml:space="preserve">clutter loss model </w:t>
      </w:r>
      <w:r w:rsidR="001935BA">
        <w:t>according to</w:t>
      </w:r>
      <w:r w:rsidR="008713E2">
        <w:t xml:space="preserve"> Recommendation ITU-R P.2108-0 </w:t>
      </w:r>
      <w:r w:rsidR="009D5FA2">
        <w:t>section</w:t>
      </w:r>
      <w:r w:rsidR="001935BA">
        <w:t xml:space="preserve"> 3.3 </w:t>
      </w:r>
      <w:r w:rsidR="008713E2">
        <w:t xml:space="preserve">for </w:t>
      </w:r>
      <w:r w:rsidR="0004318E">
        <w:t xml:space="preserve">a frequency of </w:t>
      </w:r>
      <w:r w:rsidR="008713E2">
        <w:t>100 GHz</w:t>
      </w:r>
      <w:r w:rsidR="00D962A3">
        <w:t>;</w:t>
      </w:r>
    </w:p>
    <w:p w14:paraId="7287CB96" w14:textId="14782F45" w:rsidR="009B7459" w:rsidRDefault="009B7459" w:rsidP="009B7459">
      <w:pPr>
        <w:pStyle w:val="ECCBulletsLv1"/>
        <w:rPr>
          <w:noProof/>
        </w:rPr>
      </w:pPr>
      <w:r>
        <w:t>Average polari</w:t>
      </w:r>
      <w:r w:rsidR="001935BA">
        <w:t>s</w:t>
      </w:r>
      <w:r>
        <w:t>ation loss of 3 dB</w:t>
      </w:r>
      <w:r w:rsidR="00A00297">
        <w:t>, except for FS since the FS links in these bands are expected to be dual-polarised</w:t>
      </w:r>
      <w:r w:rsidR="00D962A3">
        <w:t>;</w:t>
      </w:r>
    </w:p>
    <w:p w14:paraId="5E9A3220" w14:textId="2E091C45" w:rsidR="005F457E" w:rsidRDefault="009B7459" w:rsidP="005707B8">
      <w:pPr>
        <w:pStyle w:val="ECCBulletsLv1"/>
        <w:rPr>
          <w:noProof/>
        </w:rPr>
      </w:pPr>
      <w:r>
        <w:t xml:space="preserve">A weighted </w:t>
      </w:r>
      <w:r w:rsidR="005F457E" w:rsidRPr="006D6727">
        <w:rPr>
          <w:noProof/>
        </w:rPr>
        <w:t>distribution of 70</w:t>
      </w:r>
      <w:r w:rsidR="00F800A2">
        <w:rPr>
          <w:noProof/>
        </w:rPr>
        <w:t>%</w:t>
      </w:r>
      <w:r w:rsidR="005F457E" w:rsidRPr="006D6727">
        <w:rPr>
          <w:noProof/>
        </w:rPr>
        <w:t xml:space="preserve"> traditional and 30</w:t>
      </w:r>
      <w:r w:rsidR="00F800A2">
        <w:rPr>
          <w:noProof/>
        </w:rPr>
        <w:t>%</w:t>
      </w:r>
      <w:r w:rsidR="005F457E" w:rsidRPr="006D6727">
        <w:rPr>
          <w:noProof/>
        </w:rPr>
        <w:t xml:space="preserve"> thermally efficient buildings </w:t>
      </w:r>
      <w:r w:rsidR="00D63744">
        <w:t>is</w:t>
      </w:r>
      <w:r w:rsidR="001935BA">
        <w:t xml:space="preserve"> </w:t>
      </w:r>
      <w:r>
        <w:t>assumed</w:t>
      </w:r>
      <w:r w:rsidR="005F457E" w:rsidRPr="006D6727">
        <w:rPr>
          <w:noProof/>
        </w:rPr>
        <w:t xml:space="preserve">. This assumption is </w:t>
      </w:r>
      <w:r w:rsidR="000027A9">
        <w:t>founded on</w:t>
      </w:r>
      <w:r w:rsidR="005F457E" w:rsidRPr="006D6727">
        <w:rPr>
          <w:noProof/>
        </w:rPr>
        <w:t xml:space="preserve"> the evaluation of the thermal efficiency of building window types across Europe (</w:t>
      </w:r>
      <w:r w:rsidR="00853782" w:rsidRPr="006D6727">
        <w:rPr>
          <w:noProof/>
        </w:rPr>
        <w:t xml:space="preserve">see </w:t>
      </w:r>
      <w:r w:rsidR="00853782" w:rsidRPr="006D6727">
        <w:rPr>
          <w:noProof/>
        </w:rPr>
        <w:fldChar w:fldCharType="begin"/>
      </w:r>
      <w:r w:rsidR="00853782" w:rsidRPr="006D6727">
        <w:rPr>
          <w:noProof/>
        </w:rPr>
        <w:instrText xml:space="preserve"> REF _Ref36130332 \r \h </w:instrText>
      </w:r>
      <w:r w:rsidR="00853782" w:rsidRPr="006D6727">
        <w:rPr>
          <w:noProof/>
        </w:rPr>
      </w:r>
      <w:r w:rsidR="00853782" w:rsidRPr="006D6727">
        <w:rPr>
          <w:noProof/>
        </w:rPr>
        <w:fldChar w:fldCharType="separate"/>
      </w:r>
      <w:r w:rsidR="0041125F">
        <w:rPr>
          <w:noProof/>
        </w:rPr>
        <w:t>A</w:t>
      </w:r>
      <w:r w:rsidR="00CE5486">
        <w:rPr>
          <w:noProof/>
        </w:rPr>
        <w:t>nnex</w:t>
      </w:r>
      <w:r w:rsidR="0041125F">
        <w:rPr>
          <w:noProof/>
        </w:rPr>
        <w:t xml:space="preserve"> 6</w:t>
      </w:r>
      <w:r w:rsidR="00853782" w:rsidRPr="006D6727">
        <w:rPr>
          <w:noProof/>
        </w:rPr>
        <w:fldChar w:fldCharType="end"/>
      </w:r>
      <w:r w:rsidR="005F457E" w:rsidRPr="006D6727">
        <w:rPr>
          <w:noProof/>
        </w:rPr>
        <w:t>).</w:t>
      </w:r>
    </w:p>
    <w:p w14:paraId="5C81E08C" w14:textId="17E75D46" w:rsidR="002E3DB7" w:rsidRPr="002E3DB7" w:rsidRDefault="002E3DB7" w:rsidP="00DC3504">
      <w:pPr>
        <w:pStyle w:val="ECCBulletsLv1"/>
        <w:numPr>
          <w:ilvl w:val="0"/>
          <w:numId w:val="0"/>
        </w:numPr>
        <w:spacing w:before="240" w:after="60"/>
      </w:pPr>
      <w:r w:rsidRPr="002E3DB7">
        <w:fldChar w:fldCharType="begin"/>
      </w:r>
      <w:r w:rsidRPr="002E3DB7">
        <w:instrText xml:space="preserve"> REF _Ref63178235 \h </w:instrText>
      </w:r>
      <w:r w:rsidRPr="002E3DB7">
        <w:fldChar w:fldCharType="separate"/>
      </w:r>
      <w:r w:rsidR="0041125F" w:rsidRPr="00334871">
        <w:t>Figure </w:t>
      </w:r>
      <w:r w:rsidR="0041125F">
        <w:rPr>
          <w:noProof/>
        </w:rPr>
        <w:t>62</w:t>
      </w:r>
      <w:r w:rsidRPr="002E3DB7">
        <w:fldChar w:fldCharType="end"/>
      </w:r>
      <w:r w:rsidRPr="002E3DB7">
        <w:t xml:space="preserve"> shows the calculation scheme of the total indoor-outdoor attenuation of generic indoor devices without specific installation requirements in aggregate scenarios.</w:t>
      </w:r>
    </w:p>
    <w:p w14:paraId="7D903C6A" w14:textId="77777777" w:rsidR="005C0FE4" w:rsidRDefault="002E3DB7" w:rsidP="008D3D18">
      <w:pPr>
        <w:pStyle w:val="Caption"/>
      </w:pPr>
      <w:r w:rsidRPr="002E3DB7">
        <w:rPr>
          <w:noProof/>
          <w:lang w:val="de-DE" w:eastAsia="de-DE"/>
        </w:rPr>
        <w:drawing>
          <wp:inline distT="0" distB="0" distL="0" distR="0" wp14:anchorId="7F51B70B" wp14:editId="7CE82DDC">
            <wp:extent cx="6031806" cy="1569467"/>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r="7020"/>
                    <a:stretch/>
                  </pic:blipFill>
                  <pic:spPr bwMode="auto">
                    <a:xfrm>
                      <a:off x="0" y="0"/>
                      <a:ext cx="6038833" cy="1571295"/>
                    </a:xfrm>
                    <a:prstGeom prst="rect">
                      <a:avLst/>
                    </a:prstGeom>
                    <a:ln>
                      <a:noFill/>
                    </a:ln>
                    <a:extLst>
                      <a:ext uri="{53640926-AAD7-44D8-BBD7-CCE9431645EC}">
                        <a14:shadowObscured xmlns:a14="http://schemas.microsoft.com/office/drawing/2010/main"/>
                      </a:ext>
                    </a:extLst>
                  </pic:spPr>
                </pic:pic>
              </a:graphicData>
            </a:graphic>
          </wp:inline>
        </w:drawing>
      </w:r>
    </w:p>
    <w:p w14:paraId="216A9B61" w14:textId="74C87D23" w:rsidR="005C0FE4" w:rsidRPr="00334871" w:rsidRDefault="005C0FE4" w:rsidP="005C0FE4">
      <w:pPr>
        <w:pStyle w:val="Caption"/>
      </w:pPr>
      <w:bookmarkStart w:id="331" w:name="_Ref63178235"/>
      <w:r w:rsidRPr="00334871">
        <w:t>Figure </w:t>
      </w:r>
      <w:r w:rsidRPr="005C0FE4">
        <w:fldChar w:fldCharType="begin"/>
      </w:r>
      <w:r>
        <w:instrText xml:space="preserve"> SEQ Figure \*ARABIC \* MERGEFORMAT  \* MERGEFORMAT </w:instrText>
      </w:r>
      <w:r w:rsidRPr="005C0FE4">
        <w:fldChar w:fldCharType="separate"/>
      </w:r>
      <w:r w:rsidR="004F49F9">
        <w:rPr>
          <w:noProof/>
        </w:rPr>
        <w:t>62</w:t>
      </w:r>
      <w:r w:rsidRPr="005C0FE4">
        <w:fldChar w:fldCharType="end"/>
      </w:r>
      <w:bookmarkEnd w:id="331"/>
      <w:r w:rsidRPr="00334871">
        <w:t xml:space="preserve">: </w:t>
      </w:r>
      <w:r>
        <w:t>Calculation scheme of the total indoor-outdoor attenuation for generic indoor devices in aggregate scenarios.</w:t>
      </w:r>
    </w:p>
    <w:p w14:paraId="11D7AF3C" w14:textId="6801E7C7" w:rsidR="009B70A4" w:rsidRDefault="000664EC" w:rsidP="005F457E">
      <w:r w:rsidRPr="000664EC">
        <w:t xml:space="preserve">For devices operated inside buildings or </w:t>
      </w:r>
      <w:r w:rsidR="009E2E3E">
        <w:t xml:space="preserve">inside </w:t>
      </w:r>
      <w:r w:rsidRPr="000664EC">
        <w:t xml:space="preserve">other similar </w:t>
      </w:r>
      <w:r w:rsidR="00EC7164">
        <w:t xml:space="preserve">shielded </w:t>
      </w:r>
      <w:r w:rsidRPr="000664EC">
        <w:t>environments</w:t>
      </w:r>
      <w:r w:rsidR="00EC7164">
        <w:t xml:space="preserve"> </w:t>
      </w:r>
      <w:r w:rsidR="00FB34DC">
        <w:t>which are</w:t>
      </w:r>
      <w:r w:rsidR="009B70A4">
        <w:t xml:space="preserve"> </w:t>
      </w:r>
      <w:r w:rsidR="00405E54">
        <w:t xml:space="preserve">imposed </w:t>
      </w:r>
      <w:r w:rsidRPr="000664EC">
        <w:t xml:space="preserve">with </w:t>
      </w:r>
      <w:r>
        <w:t>additional</w:t>
      </w:r>
      <w:r w:rsidRPr="000664EC">
        <w:t xml:space="preserve"> installation requirements </w:t>
      </w:r>
      <w:r>
        <w:t xml:space="preserve">so that it can be ensured that the main beam direction is not pointing towards windows </w:t>
      </w:r>
      <w:r w:rsidR="00ED73AF">
        <w:t>(e.g. RDI-S, LPR, CDR)</w:t>
      </w:r>
      <w:r w:rsidR="009B70A4">
        <w:t>,</w:t>
      </w:r>
      <w:r w:rsidR="00ED73AF">
        <w:t xml:space="preserve"> </w:t>
      </w:r>
      <w:r>
        <w:t xml:space="preserve">an </w:t>
      </w:r>
      <w:r w:rsidR="008A7536">
        <w:t xml:space="preserve">optional </w:t>
      </w:r>
      <w:r>
        <w:t>additional shielding loss can be considered</w:t>
      </w:r>
      <w:r w:rsidR="004D1266">
        <w:t xml:space="preserve"> in aggregate scenarios</w:t>
      </w:r>
      <w:r w:rsidR="009B70A4">
        <w:t xml:space="preserve"> which </w:t>
      </w:r>
      <w:r w:rsidR="006329A5">
        <w:t>could</w:t>
      </w:r>
      <w:r w:rsidR="00623A49">
        <w:t xml:space="preserve"> be </w:t>
      </w:r>
      <w:r w:rsidR="009B70A4">
        <w:t>rooted in</w:t>
      </w:r>
      <w:r w:rsidR="006A703B">
        <w:t>:</w:t>
      </w:r>
    </w:p>
    <w:p w14:paraId="1A6A3FDB" w14:textId="36B83AF0" w:rsidR="009B70A4" w:rsidRDefault="009B70A4" w:rsidP="009B70A4">
      <w:pPr>
        <w:pStyle w:val="ECCBulletsLv1"/>
      </w:pPr>
      <w:r>
        <w:t xml:space="preserve">Reflection and transmission losses when there </w:t>
      </w:r>
      <w:r w:rsidR="000A6AD3">
        <w:t xml:space="preserve">is the measurement object or other </w:t>
      </w:r>
      <w:r>
        <w:t xml:space="preserve">shielding objects in </w:t>
      </w:r>
      <w:r w:rsidR="000A6AD3">
        <w:t xml:space="preserve">the </w:t>
      </w:r>
      <w:r>
        <w:t>main beam</w:t>
      </w:r>
      <w:r w:rsidR="006A703B">
        <w:t>;</w:t>
      </w:r>
    </w:p>
    <w:p w14:paraId="79206ABB" w14:textId="77777777" w:rsidR="009B70A4" w:rsidRDefault="000A6AD3" w:rsidP="000A6AD3">
      <w:pPr>
        <w:pStyle w:val="ECCBulletsLv1"/>
      </w:pPr>
      <w:r>
        <w:t>An inherent device shielding (e.g. an additional enclosure around the sensor installation).</w:t>
      </w:r>
    </w:p>
    <w:p w14:paraId="6BAB6E49" w14:textId="77777777" w:rsidR="00EC7164" w:rsidRDefault="009B70A4" w:rsidP="005F457E">
      <w:r>
        <w:t xml:space="preserve">This </w:t>
      </w:r>
      <w:r w:rsidR="008A7536">
        <w:t xml:space="preserve">optional </w:t>
      </w:r>
      <w:r>
        <w:t>additional shielding loss</w:t>
      </w:r>
      <w:r w:rsidR="008A7536">
        <w:t>,</w:t>
      </w:r>
      <w:r>
        <w:t xml:space="preserve"> </w:t>
      </w:r>
      <w:r w:rsidR="008A7536">
        <w:t>if needed in order to maintain sharing</w:t>
      </w:r>
      <w:r w:rsidR="00233D7F">
        <w:t>/compatibility</w:t>
      </w:r>
      <w:r w:rsidR="008A7536">
        <w:t xml:space="preserve"> without harmful interference, is proposed to be treated as a technical condition that the individual application or device shall comply with.</w:t>
      </w:r>
    </w:p>
    <w:p w14:paraId="2AB2C528" w14:textId="777B0F36" w:rsidR="009E2E3E" w:rsidRPr="009E2E3E" w:rsidRDefault="009E2E3E" w:rsidP="009E2E3E">
      <w:r>
        <w:t>For devices</w:t>
      </w:r>
      <w:r w:rsidRPr="009E2E3E">
        <w:t xml:space="preserve"> operated inside highly shielded metallic or concrete tanks </w:t>
      </w:r>
      <w:r>
        <w:t xml:space="preserve">(e.g. TLPR) </w:t>
      </w:r>
      <w:r w:rsidRPr="009E2E3E">
        <w:t>and additionally imposed with certain installation requirements (</w:t>
      </w:r>
      <w:r w:rsidRPr="009E2E3E">
        <w:rPr>
          <w:rStyle w:val="ECCParagraph"/>
        </w:rPr>
        <w:t>see</w:t>
      </w:r>
      <w:r w:rsidR="00544304">
        <w:rPr>
          <w:rStyle w:val="ECCParagraph"/>
        </w:rPr>
        <w:t xml:space="preserve"> </w:t>
      </w:r>
      <w:r w:rsidR="00544304" w:rsidRPr="006D6727">
        <w:rPr>
          <w:noProof/>
        </w:rPr>
        <w:t>ETSI EN 302 372 V2.1.1</w:t>
      </w:r>
      <w:r w:rsidR="00544304">
        <w:rPr>
          <w:noProof/>
        </w:rPr>
        <w:t>, annex G</w:t>
      </w:r>
      <w:r w:rsidRPr="009E2E3E">
        <w:rPr>
          <w:rStyle w:val="ECCParagraph"/>
        </w:rPr>
        <w:t xml:space="preserve"> </w:t>
      </w:r>
      <w:r w:rsidR="008126E5" w:rsidRPr="008126E5">
        <w:rPr>
          <w:rStyle w:val="ECCParagraph"/>
        </w:rPr>
        <w:fldChar w:fldCharType="begin"/>
      </w:r>
      <w:r w:rsidR="008126E5" w:rsidRPr="008126E5">
        <w:rPr>
          <w:rStyle w:val="ECCParagraph"/>
        </w:rPr>
        <w:instrText xml:space="preserve"> REF  ETSITR302372 \h \w  \* MERGEFORMAT </w:instrText>
      </w:r>
      <w:r w:rsidR="008126E5" w:rsidRPr="008126E5">
        <w:rPr>
          <w:rStyle w:val="ECCParagraph"/>
        </w:rPr>
      </w:r>
      <w:r w:rsidR="008126E5" w:rsidRPr="008126E5">
        <w:rPr>
          <w:rStyle w:val="ECCParagraph"/>
        </w:rPr>
        <w:fldChar w:fldCharType="separate"/>
      </w:r>
      <w:r w:rsidR="004F49F9">
        <w:rPr>
          <w:rStyle w:val="ECCParagraph"/>
        </w:rPr>
        <w:t>[7]</w:t>
      </w:r>
      <w:r w:rsidR="008126E5" w:rsidRPr="008126E5">
        <w:rPr>
          <w:rStyle w:val="ECCParagraph"/>
        </w:rPr>
        <w:fldChar w:fldCharType="end"/>
      </w:r>
      <w:r w:rsidRPr="009E2E3E">
        <w:rPr>
          <w:rStyle w:val="ECCParagraph"/>
        </w:rPr>
        <w:fldChar w:fldCharType="begin"/>
      </w:r>
      <w:r w:rsidRPr="009E2E3E">
        <w:rPr>
          <w:rStyle w:val="ECCParagraph"/>
        </w:rPr>
        <w:instrText xml:space="preserve"> REF ETSITR302372 \h </w:instrText>
      </w:r>
      <w:r w:rsidRPr="009E2E3E">
        <w:rPr>
          <w:rStyle w:val="ECCParagraph"/>
        </w:rPr>
      </w:r>
      <w:r w:rsidRPr="009E2E3E">
        <w:rPr>
          <w:rStyle w:val="ECCParagraph"/>
        </w:rPr>
        <w:fldChar w:fldCharType="end"/>
      </w:r>
      <w:r w:rsidRPr="009E2E3E">
        <w:t xml:space="preserve">) </w:t>
      </w:r>
      <w:r>
        <w:t>a high</w:t>
      </w:r>
      <w:r w:rsidRPr="009E2E3E">
        <w:t xml:space="preserve"> shielding loss </w:t>
      </w:r>
      <w:r w:rsidR="00D3444E">
        <w:t>can be</w:t>
      </w:r>
      <w:r w:rsidRPr="009E2E3E">
        <w:t xml:space="preserve"> expected. However, measurements have not been conducted for this very specific case. </w:t>
      </w:r>
      <w:r w:rsidR="00D3444E">
        <w:t>T</w:t>
      </w:r>
      <w:r w:rsidRPr="009E2E3E">
        <w:t xml:space="preserve">he </w:t>
      </w:r>
      <w:r>
        <w:t>overall indoor-outdoor attenuation</w:t>
      </w:r>
      <w:r w:rsidRPr="009E2E3E">
        <w:t xml:space="preserve"> is derived from the extended BEL model </w:t>
      </w:r>
      <w:r>
        <w:t xml:space="preserve">according to Recommendation ITU-R P.2109-1 </w:t>
      </w:r>
      <w:r w:rsidRPr="009E2E3E">
        <w:t>with probability p=0</w:t>
      </w:r>
      <w:r>
        <w:t>.</w:t>
      </w:r>
      <w:r w:rsidRPr="009E2E3E">
        <w:t>5, an elevation angle of 0° and 100</w:t>
      </w:r>
      <w:r w:rsidR="00F800A2">
        <w:t>%</w:t>
      </w:r>
      <w:r w:rsidRPr="009E2E3E">
        <w:t xml:space="preserve"> thermally efficient buildings</w:t>
      </w:r>
      <w:r>
        <w:t xml:space="preserve"> (</w:t>
      </w:r>
      <w:r>
        <w:fldChar w:fldCharType="begin"/>
      </w:r>
      <w:r>
        <w:instrText xml:space="preserve"> REF _Ref20209940 \r \h </w:instrText>
      </w:r>
      <w:r>
        <w:fldChar w:fldCharType="separate"/>
      </w:r>
      <w:r w:rsidR="0041125F">
        <w:t>A</w:t>
      </w:r>
      <w:r w:rsidR="00CE5486">
        <w:t>nnex</w:t>
      </w:r>
      <w:r w:rsidR="0041125F">
        <w:t xml:space="preserve"> 1</w:t>
      </w:r>
      <w:r>
        <w:fldChar w:fldCharType="end"/>
      </w:r>
      <w:r>
        <w:t>)</w:t>
      </w:r>
      <w:r w:rsidR="00C60666">
        <w:t>.</w:t>
      </w:r>
    </w:p>
    <w:p w14:paraId="274252E5" w14:textId="77777777" w:rsidR="00755416" w:rsidRDefault="00755416" w:rsidP="005F457E">
      <w:r>
        <w:t xml:space="preserve">For devices operated outdoors (e.g. RDI, GBSAR or short-range assist and surrounding monitoring for vehicles and autonomous systems) consequently no indoor-outdoor attenuation </w:t>
      </w:r>
      <w:r w:rsidR="00066FA4">
        <w:t>can</w:t>
      </w:r>
      <w:r w:rsidR="009F6423">
        <w:t xml:space="preserve"> be</w:t>
      </w:r>
      <w:r w:rsidR="00D3444E">
        <w:t xml:space="preserve"> taken into account</w:t>
      </w:r>
      <w:r w:rsidR="00C60666">
        <w:t>.</w:t>
      </w:r>
    </w:p>
    <w:p w14:paraId="3672D9FB" w14:textId="77777777" w:rsidR="00E3565F" w:rsidRPr="00E3565F" w:rsidRDefault="00E3565F" w:rsidP="00E3565F">
      <w:pPr>
        <w:pStyle w:val="Heading3"/>
      </w:pPr>
      <w:bookmarkStart w:id="332" w:name="_Toc84325300"/>
      <w:bookmarkStart w:id="333" w:name="_Toc127346237"/>
      <w:r>
        <w:t xml:space="preserve">Indoor-outdoor attenuation for </w:t>
      </w:r>
      <w:r w:rsidR="009B70A4">
        <w:t>single-entry</w:t>
      </w:r>
      <w:r>
        <w:t xml:space="preserve"> interference scenarios</w:t>
      </w:r>
      <w:bookmarkEnd w:id="332"/>
      <w:bookmarkEnd w:id="333"/>
    </w:p>
    <w:p w14:paraId="6F215443" w14:textId="77777777" w:rsidR="00E3565F" w:rsidRDefault="00E3565F" w:rsidP="005F457E">
      <w:r w:rsidRPr="00E3565F">
        <w:t xml:space="preserve">For devices operated inside buildings or </w:t>
      </w:r>
      <w:r>
        <w:t xml:space="preserve">inside </w:t>
      </w:r>
      <w:r w:rsidRPr="00E3565F">
        <w:t xml:space="preserve">other similar environments without further installation requirements </w:t>
      </w:r>
      <w:r>
        <w:t>(e.g. generic indoor surveillance radar) an overall indoor-outdoor attenuation</w:t>
      </w:r>
      <w:r w:rsidRPr="00E3565F">
        <w:t xml:space="preserve"> </w:t>
      </w:r>
      <w:r w:rsidR="00CF0B4C">
        <w:t>between 0 dB and 16 dB</w:t>
      </w:r>
      <w:r>
        <w:t xml:space="preserve"> was </w:t>
      </w:r>
      <w:r w:rsidR="00CF0B4C">
        <w:t>assumed depending on the used interference scenario</w:t>
      </w:r>
      <w:r>
        <w:t>.</w:t>
      </w:r>
    </w:p>
    <w:p w14:paraId="6CAA85A0" w14:textId="77777777" w:rsidR="00C60666" w:rsidRDefault="00B61760" w:rsidP="00B61760">
      <w:r w:rsidRPr="000664EC">
        <w:t xml:space="preserve">For devices operated inside buildings or </w:t>
      </w:r>
      <w:r>
        <w:t xml:space="preserve">inside </w:t>
      </w:r>
      <w:r w:rsidRPr="000664EC">
        <w:t xml:space="preserve">other similar </w:t>
      </w:r>
      <w:r>
        <w:t xml:space="preserve">shielded </w:t>
      </w:r>
      <w:r w:rsidRPr="000664EC">
        <w:t>environments</w:t>
      </w:r>
      <w:r>
        <w:t xml:space="preserve"> </w:t>
      </w:r>
      <w:r w:rsidR="00FB34DC">
        <w:t>which are</w:t>
      </w:r>
      <w:r>
        <w:t xml:space="preserve"> imposed </w:t>
      </w:r>
      <w:r w:rsidRPr="000664EC">
        <w:t xml:space="preserve">with </w:t>
      </w:r>
      <w:r>
        <w:t>additional</w:t>
      </w:r>
      <w:r w:rsidRPr="000664EC">
        <w:t xml:space="preserve"> installation requirements </w:t>
      </w:r>
      <w:r>
        <w:t>so that it can be ensured that the main beam direction is not pointing towards windows</w:t>
      </w:r>
      <w:r w:rsidR="00FB34DC">
        <w:t>,</w:t>
      </w:r>
      <w:r w:rsidR="00FB34DC" w:rsidRPr="00FB34DC">
        <w:t xml:space="preserve"> identified as the weakest parts of a building structure in terms of signal attenuation</w:t>
      </w:r>
      <w:r w:rsidR="007E7BB5">
        <w:t>,</w:t>
      </w:r>
      <w:r>
        <w:t xml:space="preserve"> </w:t>
      </w:r>
      <w:r w:rsidR="00C60666">
        <w:t>a lump sum shielding loss of 50 dB has been defined.</w:t>
      </w:r>
      <w:r w:rsidR="007E7BB5">
        <w:t xml:space="preserve"> </w:t>
      </w:r>
      <w:r w:rsidR="00C60666">
        <w:t xml:space="preserve">This is applicable especially to RDI-S devices. LPR and CDR </w:t>
      </w:r>
      <w:r>
        <w:t>installations</w:t>
      </w:r>
      <w:r w:rsidR="00C60666">
        <w:t xml:space="preserve"> are considered as </w:t>
      </w:r>
      <w:r>
        <w:t xml:space="preserve">pure </w:t>
      </w:r>
      <w:r w:rsidR="00C60666">
        <w:t>outdoor devices in single-entry studies with consequently no indoor-outdoor attenuation.</w:t>
      </w:r>
    </w:p>
    <w:p w14:paraId="64D52B8E" w14:textId="43C6E994" w:rsidR="005F457E" w:rsidRDefault="00FF7CD2" w:rsidP="00FB34DC">
      <w:pPr>
        <w:rPr>
          <w:rStyle w:val="ECCParagraph"/>
          <w:noProof/>
        </w:rPr>
      </w:pPr>
      <w:r>
        <w:rPr>
          <w:rStyle w:val="ECCParagraph"/>
        </w:rPr>
        <w:t xml:space="preserve">The above determined indoor-outdoor attenuations for buildings are </w:t>
      </w:r>
      <w:r w:rsidR="005F457E" w:rsidRPr="006D6727">
        <w:rPr>
          <w:rStyle w:val="ECCParagraph"/>
          <w:noProof/>
        </w:rPr>
        <w:t>supported by the provided brick material measurements (</w:t>
      </w:r>
      <w:r w:rsidR="00853782" w:rsidRPr="006D6727">
        <w:rPr>
          <w:rStyle w:val="ECCParagraph"/>
          <w:noProof/>
        </w:rPr>
        <w:fldChar w:fldCharType="begin"/>
      </w:r>
      <w:r w:rsidR="00853782" w:rsidRPr="006D6727">
        <w:rPr>
          <w:rStyle w:val="ECCParagraph"/>
          <w:noProof/>
        </w:rPr>
        <w:instrText xml:space="preserve"> REF _Ref36130414 \r \h </w:instrText>
      </w:r>
      <w:r>
        <w:rPr>
          <w:rStyle w:val="ECCParagraph"/>
          <w:noProof/>
        </w:rPr>
        <w:instrText xml:space="preserve"> \* MERGEFORMAT </w:instrText>
      </w:r>
      <w:r w:rsidR="00853782" w:rsidRPr="006D6727">
        <w:rPr>
          <w:rStyle w:val="ECCParagraph"/>
          <w:noProof/>
        </w:rPr>
      </w:r>
      <w:r w:rsidR="00853782" w:rsidRPr="006D6727">
        <w:rPr>
          <w:rStyle w:val="ECCParagraph"/>
          <w:noProof/>
        </w:rPr>
        <w:fldChar w:fldCharType="separate"/>
      </w:r>
      <w:r w:rsidR="0041125F">
        <w:rPr>
          <w:rStyle w:val="ECCParagraph"/>
          <w:noProof/>
        </w:rPr>
        <w:t>A</w:t>
      </w:r>
      <w:r w:rsidR="00CE5486">
        <w:rPr>
          <w:rStyle w:val="ECCParagraph"/>
          <w:noProof/>
        </w:rPr>
        <w:t>nnex</w:t>
      </w:r>
      <w:r w:rsidR="0041125F">
        <w:rPr>
          <w:rStyle w:val="ECCParagraph"/>
          <w:noProof/>
        </w:rPr>
        <w:t xml:space="preserve"> 2</w:t>
      </w:r>
      <w:r w:rsidR="00853782" w:rsidRPr="006D6727">
        <w:rPr>
          <w:rStyle w:val="ECCParagraph"/>
          <w:noProof/>
        </w:rPr>
        <w:fldChar w:fldCharType="end"/>
      </w:r>
      <w:r w:rsidR="005F457E" w:rsidRPr="006D6727">
        <w:rPr>
          <w:rStyle w:val="ECCParagraph"/>
          <w:noProof/>
        </w:rPr>
        <w:t>) which represent the energy efficient building type. All transmission attenuation measurements of even thin building material samples (concrete, AAC, brick, wooden materials like multiple layers of beech-multiplex boards and even 3-layer insulation glass) show an attenuation of at least 60 dB in the measured frequency range (</w:t>
      </w:r>
      <w:r w:rsidR="00853782" w:rsidRPr="006D6727">
        <w:rPr>
          <w:rStyle w:val="ECCParagraph"/>
          <w:noProof/>
        </w:rPr>
        <w:t>refer to</w:t>
      </w:r>
      <w:r w:rsidR="005F457E" w:rsidRPr="006D6727">
        <w:rPr>
          <w:rStyle w:val="ECCParagraph"/>
          <w:noProof/>
        </w:rPr>
        <w:t xml:space="preserve"> the measurement results in </w:t>
      </w:r>
      <w:r w:rsidR="00853782" w:rsidRPr="006D6727">
        <w:rPr>
          <w:rStyle w:val="ECCParagraph"/>
          <w:noProof/>
        </w:rPr>
        <w:fldChar w:fldCharType="begin"/>
      </w:r>
      <w:r w:rsidR="00853782" w:rsidRPr="006D6727">
        <w:rPr>
          <w:rStyle w:val="ECCParagraph"/>
          <w:noProof/>
        </w:rPr>
        <w:instrText xml:space="preserve"> REF _Ref36130458 \r \h </w:instrText>
      </w:r>
      <w:r>
        <w:rPr>
          <w:rStyle w:val="ECCParagraph"/>
          <w:noProof/>
        </w:rPr>
        <w:instrText xml:space="preserve"> \* MERGEFORMAT </w:instrText>
      </w:r>
      <w:r w:rsidR="00853782" w:rsidRPr="006D6727">
        <w:rPr>
          <w:rStyle w:val="ECCParagraph"/>
          <w:noProof/>
        </w:rPr>
      </w:r>
      <w:r w:rsidR="00853782" w:rsidRPr="006D6727">
        <w:rPr>
          <w:rStyle w:val="ECCParagraph"/>
          <w:noProof/>
        </w:rPr>
        <w:fldChar w:fldCharType="separate"/>
      </w:r>
      <w:r w:rsidR="0041125F">
        <w:rPr>
          <w:rStyle w:val="ECCParagraph"/>
          <w:noProof/>
        </w:rPr>
        <w:t>A</w:t>
      </w:r>
      <w:r w:rsidR="00CE5486">
        <w:rPr>
          <w:rStyle w:val="ECCParagraph"/>
          <w:noProof/>
        </w:rPr>
        <w:t>nnex</w:t>
      </w:r>
      <w:r w:rsidR="0041125F">
        <w:rPr>
          <w:rStyle w:val="ECCParagraph"/>
          <w:noProof/>
        </w:rPr>
        <w:t xml:space="preserve"> 2</w:t>
      </w:r>
      <w:r w:rsidR="00853782" w:rsidRPr="006D6727">
        <w:rPr>
          <w:rStyle w:val="ECCParagraph"/>
          <w:noProof/>
        </w:rPr>
        <w:fldChar w:fldCharType="end"/>
      </w:r>
      <w:r w:rsidR="005F457E" w:rsidRPr="006D6727">
        <w:rPr>
          <w:rStyle w:val="ECCParagraph"/>
          <w:noProof/>
        </w:rPr>
        <w:t>).</w:t>
      </w:r>
      <w:r w:rsidR="004D4B0B">
        <w:rPr>
          <w:rStyle w:val="ECCParagraph"/>
        </w:rPr>
        <w:t xml:space="preserve"> </w:t>
      </w:r>
      <w:r w:rsidR="005F457E" w:rsidRPr="006D6727">
        <w:rPr>
          <w:rStyle w:val="ECCParagraph"/>
          <w:noProof/>
        </w:rPr>
        <w:t xml:space="preserve">In real world scenarios an even higher shielding loss is </w:t>
      </w:r>
      <w:r w:rsidR="00847546">
        <w:rPr>
          <w:rStyle w:val="ECCParagraph"/>
        </w:rPr>
        <w:t xml:space="preserve">therefore </w:t>
      </w:r>
      <w:r w:rsidR="005F457E" w:rsidRPr="006D6727">
        <w:rPr>
          <w:rStyle w:val="ECCParagraph"/>
          <w:noProof/>
        </w:rPr>
        <w:t>expected.</w:t>
      </w:r>
    </w:p>
    <w:p w14:paraId="60F4DE18" w14:textId="40FBBC31" w:rsidR="00847546" w:rsidRPr="009E2E3E" w:rsidRDefault="00847546" w:rsidP="00847546">
      <w:r>
        <w:t>For devices</w:t>
      </w:r>
      <w:r w:rsidRPr="009E2E3E">
        <w:t xml:space="preserve"> operated inside highly shielded metallic or concrete tanks </w:t>
      </w:r>
      <w:r>
        <w:t xml:space="preserve">(e.g. TLPR) </w:t>
      </w:r>
      <w:r w:rsidRPr="009E2E3E">
        <w:t>and additionally imposed with certain installation requirements (</w:t>
      </w:r>
      <w:r w:rsidRPr="009E2E3E">
        <w:rPr>
          <w:rStyle w:val="ECCParagraph"/>
        </w:rPr>
        <w:t xml:space="preserve">see </w:t>
      </w:r>
      <w:r w:rsidR="00544304" w:rsidRPr="006D6727">
        <w:rPr>
          <w:noProof/>
        </w:rPr>
        <w:t>ETSI EN 302 372 V2.1.1</w:t>
      </w:r>
      <w:r w:rsidR="00544304">
        <w:rPr>
          <w:noProof/>
        </w:rPr>
        <w:t xml:space="preserve">, annex G </w:t>
      </w:r>
      <w:r w:rsidR="006A7650" w:rsidRPr="008126E5">
        <w:rPr>
          <w:rStyle w:val="ECCParagraph"/>
        </w:rPr>
        <w:fldChar w:fldCharType="begin"/>
      </w:r>
      <w:r w:rsidR="006A7650" w:rsidRPr="008126E5">
        <w:rPr>
          <w:rStyle w:val="ECCParagraph"/>
        </w:rPr>
        <w:instrText xml:space="preserve"> REF  ETSITR302372 \h \w  \* MERGEFORMAT </w:instrText>
      </w:r>
      <w:r w:rsidR="006A7650" w:rsidRPr="008126E5">
        <w:rPr>
          <w:rStyle w:val="ECCParagraph"/>
        </w:rPr>
      </w:r>
      <w:r w:rsidR="006A7650" w:rsidRPr="008126E5">
        <w:rPr>
          <w:rStyle w:val="ECCParagraph"/>
        </w:rPr>
        <w:fldChar w:fldCharType="separate"/>
      </w:r>
      <w:r w:rsidR="004F49F9">
        <w:rPr>
          <w:rStyle w:val="ECCParagraph"/>
        </w:rPr>
        <w:t>[7]</w:t>
      </w:r>
      <w:r w:rsidR="006A7650" w:rsidRPr="008126E5">
        <w:rPr>
          <w:rStyle w:val="ECCParagraph"/>
        </w:rPr>
        <w:fldChar w:fldCharType="end"/>
      </w:r>
      <w:r w:rsidRPr="009E2E3E">
        <w:rPr>
          <w:rStyle w:val="ECCParagraph"/>
        </w:rPr>
        <w:fldChar w:fldCharType="begin"/>
      </w:r>
      <w:r w:rsidRPr="009E2E3E">
        <w:rPr>
          <w:rStyle w:val="ECCParagraph"/>
        </w:rPr>
        <w:instrText xml:space="preserve"> REF ETSITR302372 \h </w:instrText>
      </w:r>
      <w:r w:rsidRPr="009E2E3E">
        <w:rPr>
          <w:rStyle w:val="ECCParagraph"/>
        </w:rPr>
      </w:r>
      <w:r w:rsidRPr="009E2E3E">
        <w:rPr>
          <w:rStyle w:val="ECCParagraph"/>
        </w:rPr>
        <w:fldChar w:fldCharType="end"/>
      </w:r>
      <w:r w:rsidRPr="009E2E3E">
        <w:t xml:space="preserve">) </w:t>
      </w:r>
      <w:r>
        <w:t>a high</w:t>
      </w:r>
      <w:r w:rsidRPr="009E2E3E">
        <w:t xml:space="preserve"> shielding loss </w:t>
      </w:r>
      <w:r>
        <w:t>can be</w:t>
      </w:r>
      <w:r w:rsidRPr="009E2E3E">
        <w:t xml:space="preserve"> expected. However, measurements have not been conducted for this very specific case. </w:t>
      </w:r>
      <w:r>
        <w:t>T</w:t>
      </w:r>
      <w:r w:rsidRPr="009E2E3E">
        <w:t xml:space="preserve">he </w:t>
      </w:r>
      <w:r>
        <w:t>overall indoor-outdoor attenuation</w:t>
      </w:r>
      <w:r w:rsidRPr="009E2E3E">
        <w:t xml:space="preserve"> is derived from the extended BEL model </w:t>
      </w:r>
      <w:r>
        <w:t xml:space="preserve">according to Recommendation ITU-R P.2109-1 </w:t>
      </w:r>
      <w:r w:rsidR="006A7650">
        <w:rPr>
          <w:rStyle w:val="ECCParagraph"/>
        </w:rPr>
        <w:fldChar w:fldCharType="begin"/>
      </w:r>
      <w:r w:rsidR="006A7650">
        <w:rPr>
          <w:rStyle w:val="ECCParagraph"/>
        </w:rPr>
        <w:instrText xml:space="preserve"> REF  ITU_R_P_2109_0 \h \w  \* MERGEFORMAT </w:instrText>
      </w:r>
      <w:r w:rsidR="006A7650">
        <w:rPr>
          <w:rStyle w:val="ECCParagraph"/>
        </w:rPr>
      </w:r>
      <w:r w:rsidR="006A7650">
        <w:rPr>
          <w:rStyle w:val="ECCParagraph"/>
        </w:rPr>
        <w:fldChar w:fldCharType="separate"/>
      </w:r>
      <w:r w:rsidR="004F49F9">
        <w:rPr>
          <w:rStyle w:val="ECCParagraph"/>
        </w:rPr>
        <w:t>[23]</w:t>
      </w:r>
      <w:r w:rsidR="006A7650">
        <w:rPr>
          <w:rStyle w:val="ECCParagraph"/>
        </w:rPr>
        <w:fldChar w:fldCharType="end"/>
      </w:r>
      <w:r w:rsidR="00F07161">
        <w:rPr>
          <w:rStyle w:val="ECCParagraph"/>
        </w:rPr>
        <w:t xml:space="preserve"> </w:t>
      </w:r>
      <w:r w:rsidRPr="009E2E3E">
        <w:t>with probability p=0</w:t>
      </w:r>
      <w:r>
        <w:t>.</w:t>
      </w:r>
      <w:r w:rsidRPr="009E2E3E">
        <w:t>5, an elevation angle of 0° and 100</w:t>
      </w:r>
      <w:r w:rsidR="00F800A2">
        <w:t>%</w:t>
      </w:r>
      <w:r w:rsidRPr="009E2E3E">
        <w:t xml:space="preserve"> thermally efficient buildings</w:t>
      </w:r>
      <w:r>
        <w:t xml:space="preserve"> (</w:t>
      </w:r>
      <w:r w:rsidR="006A7650">
        <w:fldChar w:fldCharType="begin"/>
      </w:r>
      <w:r w:rsidR="006A7650">
        <w:instrText xml:space="preserve"> REF _Ref20209940 \r \h </w:instrText>
      </w:r>
      <w:r w:rsidR="006A7650">
        <w:fldChar w:fldCharType="separate"/>
      </w:r>
      <w:r w:rsidR="0041125F">
        <w:t>A</w:t>
      </w:r>
      <w:r w:rsidR="00CE5486">
        <w:t>nnex</w:t>
      </w:r>
      <w:r w:rsidR="0041125F">
        <w:t xml:space="preserve"> 1</w:t>
      </w:r>
      <w:r w:rsidR="006A7650">
        <w:fldChar w:fldCharType="end"/>
      </w:r>
      <w:r>
        <w:t xml:space="preserve">). This approach applies to single-entry scenarios as well as also for aggregate interference scenarios (see </w:t>
      </w:r>
      <w:r w:rsidR="009D5FA2">
        <w:t>section</w:t>
      </w:r>
      <w:r w:rsidR="006A7650">
        <w:t xml:space="preserve"> </w:t>
      </w:r>
      <w:r w:rsidR="006A7650">
        <w:fldChar w:fldCharType="begin"/>
      </w:r>
      <w:r w:rsidR="006A7650">
        <w:instrText xml:space="preserve"> REF _Ref63265307 \r \h </w:instrText>
      </w:r>
      <w:r w:rsidR="006A7650">
        <w:fldChar w:fldCharType="separate"/>
      </w:r>
      <w:r w:rsidR="004F49F9">
        <w:t>2.3.2</w:t>
      </w:r>
      <w:r w:rsidR="006A7650">
        <w:fldChar w:fldCharType="end"/>
      </w:r>
      <w:r>
        <w:t>).</w:t>
      </w:r>
    </w:p>
    <w:p w14:paraId="2CF9340F" w14:textId="77777777" w:rsidR="0054513B" w:rsidRPr="0054513B" w:rsidRDefault="0054513B" w:rsidP="0054513B">
      <w:pPr>
        <w:pStyle w:val="Heading2"/>
        <w:rPr>
          <w:rStyle w:val="ECCParagraph"/>
          <w:lang w:val="en-US"/>
        </w:rPr>
      </w:pPr>
      <w:bookmarkStart w:id="334" w:name="_Ref63339687"/>
      <w:bookmarkStart w:id="335" w:name="_Toc84325301"/>
      <w:bookmarkStart w:id="336" w:name="_Toc127346238"/>
      <w:r w:rsidRPr="0054513B">
        <w:rPr>
          <w:rStyle w:val="ECCParagraph"/>
          <w:lang w:val="en-US"/>
        </w:rPr>
        <w:t>Sha</w:t>
      </w:r>
      <w:r w:rsidRPr="0054513B">
        <w:rPr>
          <w:rStyle w:val="ECCParagraph"/>
        </w:rPr>
        <w:t>ring</w:t>
      </w:r>
      <w:r w:rsidRPr="0054513B">
        <w:rPr>
          <w:rStyle w:val="ECCParagraph"/>
          <w:lang w:val="en-US"/>
        </w:rPr>
        <w:t xml:space="preserve"> </w:t>
      </w:r>
      <w:r w:rsidRPr="0054513B">
        <w:rPr>
          <w:rStyle w:val="ECCParagraph"/>
        </w:rPr>
        <w:t>and</w:t>
      </w:r>
      <w:r w:rsidRPr="0054513B">
        <w:rPr>
          <w:rStyle w:val="ECCParagraph"/>
          <w:lang w:val="en-US"/>
        </w:rPr>
        <w:t xml:space="preserve"> </w:t>
      </w:r>
      <w:r w:rsidRPr="0054513B">
        <w:rPr>
          <w:rStyle w:val="ECCParagraph"/>
        </w:rPr>
        <w:t>compatibility</w:t>
      </w:r>
      <w:r w:rsidRPr="0054513B">
        <w:rPr>
          <w:rStyle w:val="ECCParagraph"/>
          <w:lang w:val="en-US"/>
        </w:rPr>
        <w:t xml:space="preserve"> </w:t>
      </w:r>
      <w:r w:rsidRPr="0054513B">
        <w:rPr>
          <w:rStyle w:val="ECCParagraph"/>
        </w:rPr>
        <w:t>studies</w:t>
      </w:r>
      <w:r w:rsidRPr="0054513B">
        <w:rPr>
          <w:rStyle w:val="ECCParagraph"/>
          <w:lang w:val="en-US"/>
        </w:rPr>
        <w:t xml:space="preserve"> between RDI-S and </w:t>
      </w:r>
      <w:r w:rsidRPr="0054513B">
        <w:rPr>
          <w:rStyle w:val="ECCParagraph"/>
        </w:rPr>
        <w:t>services operating</w:t>
      </w:r>
      <w:r w:rsidRPr="0054513B">
        <w:rPr>
          <w:rStyle w:val="ECCParagraph"/>
          <w:lang w:val="en-US"/>
        </w:rPr>
        <w:t xml:space="preserve"> </w:t>
      </w:r>
      <w:r w:rsidRPr="0054513B">
        <w:rPr>
          <w:rStyle w:val="ECCParagraph"/>
        </w:rPr>
        <w:t>in passive bands</w:t>
      </w:r>
      <w:r w:rsidRPr="0054513B">
        <w:rPr>
          <w:rStyle w:val="ECCParagraph"/>
          <w:lang w:val="en-US"/>
        </w:rPr>
        <w:t xml:space="preserve"> </w:t>
      </w:r>
      <w:r w:rsidRPr="0054513B">
        <w:rPr>
          <w:rStyle w:val="ECCParagraph"/>
        </w:rPr>
        <w:t>listed</w:t>
      </w:r>
      <w:r w:rsidRPr="0054513B">
        <w:rPr>
          <w:rStyle w:val="ECCParagraph"/>
          <w:lang w:val="en-US"/>
        </w:rPr>
        <w:t xml:space="preserve"> </w:t>
      </w:r>
      <w:r w:rsidRPr="0054513B">
        <w:rPr>
          <w:rStyle w:val="ECCParagraph"/>
        </w:rPr>
        <w:t>in</w:t>
      </w:r>
      <w:r w:rsidRPr="0054513B">
        <w:rPr>
          <w:rStyle w:val="ECCParagraph"/>
          <w:lang w:val="en-US"/>
        </w:rPr>
        <w:t xml:space="preserve"> ITU RR FN 5.340</w:t>
      </w:r>
      <w:bookmarkEnd w:id="334"/>
      <w:bookmarkEnd w:id="335"/>
      <w:bookmarkEnd w:id="336"/>
    </w:p>
    <w:p w14:paraId="6F4EE828" w14:textId="4D19516C" w:rsidR="00EF4B37" w:rsidRPr="008A6A23" w:rsidRDefault="00EF4B37" w:rsidP="00EF4B37">
      <w:pPr>
        <w:rPr>
          <w:rStyle w:val="ECCParagraph"/>
        </w:rPr>
      </w:pPr>
      <w:r>
        <w:rPr>
          <w:rStyle w:val="ECCParagraph"/>
        </w:rPr>
        <w:t xml:space="preserve">Note: The </w:t>
      </w:r>
      <w:r w:rsidR="009D5FA2">
        <w:rPr>
          <w:rStyle w:val="ECCParagraph"/>
        </w:rPr>
        <w:t>section</w:t>
      </w:r>
      <w:r>
        <w:rPr>
          <w:rStyle w:val="ECCParagraph"/>
        </w:rPr>
        <w:t xml:space="preserve">s </w:t>
      </w:r>
      <w:r w:rsidR="00667466">
        <w:rPr>
          <w:rStyle w:val="ECCParagraph"/>
        </w:rPr>
        <w:fldChar w:fldCharType="begin"/>
      </w:r>
      <w:r w:rsidR="00667466">
        <w:rPr>
          <w:rStyle w:val="ECCParagraph"/>
        </w:rPr>
        <w:instrText xml:space="preserve"> REF _Ref63339687 \r \h </w:instrText>
      </w:r>
      <w:r w:rsidR="00667466">
        <w:rPr>
          <w:rStyle w:val="ECCParagraph"/>
        </w:rPr>
      </w:r>
      <w:r w:rsidR="00667466">
        <w:rPr>
          <w:rStyle w:val="ECCParagraph"/>
        </w:rPr>
        <w:fldChar w:fldCharType="separate"/>
      </w:r>
      <w:r w:rsidR="004F49F9">
        <w:rPr>
          <w:rStyle w:val="ECCParagraph"/>
        </w:rPr>
        <w:t>2.4</w:t>
      </w:r>
      <w:r w:rsidR="00667466">
        <w:rPr>
          <w:rStyle w:val="ECCParagraph"/>
        </w:rPr>
        <w:fldChar w:fldCharType="end"/>
      </w:r>
      <w:r>
        <w:rPr>
          <w:rStyle w:val="ECCParagraph"/>
        </w:rPr>
        <w:t xml:space="preserve"> and </w:t>
      </w:r>
      <w:r w:rsidR="00667466">
        <w:rPr>
          <w:rStyle w:val="ECCParagraph"/>
        </w:rPr>
        <w:fldChar w:fldCharType="begin"/>
      </w:r>
      <w:r w:rsidR="00667466">
        <w:rPr>
          <w:rStyle w:val="ECCParagraph"/>
        </w:rPr>
        <w:instrText xml:space="preserve"> REF _Ref59033960 \r \h </w:instrText>
      </w:r>
      <w:r w:rsidR="00667466">
        <w:rPr>
          <w:rStyle w:val="ECCParagraph"/>
        </w:rPr>
      </w:r>
      <w:r w:rsidR="00667466">
        <w:rPr>
          <w:rStyle w:val="ECCParagraph"/>
        </w:rPr>
        <w:fldChar w:fldCharType="separate"/>
      </w:r>
      <w:r w:rsidR="004F49F9">
        <w:rPr>
          <w:rStyle w:val="ECCParagraph"/>
        </w:rPr>
        <w:t>2.5</w:t>
      </w:r>
      <w:r w:rsidR="00667466">
        <w:rPr>
          <w:rStyle w:val="ECCParagraph"/>
        </w:rPr>
        <w:fldChar w:fldCharType="end"/>
      </w:r>
      <w:r>
        <w:rPr>
          <w:rStyle w:val="ECCParagraph"/>
        </w:rPr>
        <w:t xml:space="preserve"> contain the technical justification</w:t>
      </w:r>
      <w:r w:rsidR="008D37F3">
        <w:rPr>
          <w:rStyle w:val="ECCParagraph"/>
        </w:rPr>
        <w:t>s</w:t>
      </w:r>
      <w:r>
        <w:rPr>
          <w:rStyle w:val="ECCParagraph"/>
        </w:rPr>
        <w:t xml:space="preserve"> of the industry</w:t>
      </w:r>
      <w:r w:rsidR="00DF6983">
        <w:rPr>
          <w:rStyle w:val="ECCParagraph"/>
        </w:rPr>
        <w:t xml:space="preserve"> as requested by the 52nd ECC meeting (see item </w:t>
      </w:r>
      <w:r w:rsidR="00667466">
        <w:rPr>
          <w:rStyle w:val="ECCParagraph"/>
        </w:rPr>
        <w:fldChar w:fldCharType="begin"/>
      </w:r>
      <w:r w:rsidR="00667466">
        <w:rPr>
          <w:rStyle w:val="ECCParagraph"/>
        </w:rPr>
        <w:instrText xml:space="preserve"> REF _Ref63339852 \r \h </w:instrText>
      </w:r>
      <w:r w:rsidR="00667466">
        <w:rPr>
          <w:rStyle w:val="ECCParagraph"/>
        </w:rPr>
      </w:r>
      <w:r w:rsidR="00667466">
        <w:rPr>
          <w:rStyle w:val="ECCParagraph"/>
        </w:rPr>
        <w:fldChar w:fldCharType="separate"/>
      </w:r>
      <w:r w:rsidR="004F49F9">
        <w:rPr>
          <w:rStyle w:val="ECCParagraph"/>
        </w:rPr>
        <w:t>4</w:t>
      </w:r>
      <w:r w:rsidR="00667466">
        <w:rPr>
          <w:rStyle w:val="ECCParagraph"/>
        </w:rPr>
        <w:fldChar w:fldCharType="end"/>
      </w:r>
      <w:r w:rsidR="00DF6983">
        <w:rPr>
          <w:rStyle w:val="ECCParagraph"/>
        </w:rPr>
        <w:t xml:space="preserve"> in </w:t>
      </w:r>
      <w:r w:rsidR="009D5FA2">
        <w:rPr>
          <w:rStyle w:val="ECCParagraph"/>
        </w:rPr>
        <w:t>section</w:t>
      </w:r>
      <w:r w:rsidR="006D79F2">
        <w:rPr>
          <w:rStyle w:val="ECCParagraph"/>
        </w:rPr>
        <w:t xml:space="preserve"> </w:t>
      </w:r>
      <w:r w:rsidR="00667466">
        <w:rPr>
          <w:rStyle w:val="ECCParagraph"/>
        </w:rPr>
        <w:fldChar w:fldCharType="begin"/>
      </w:r>
      <w:r w:rsidR="00667466">
        <w:rPr>
          <w:rStyle w:val="ECCParagraph"/>
        </w:rPr>
        <w:instrText xml:space="preserve"> REF _Ref63340020 \r \h </w:instrText>
      </w:r>
      <w:r w:rsidR="00667466">
        <w:rPr>
          <w:rStyle w:val="ECCParagraph"/>
        </w:rPr>
      </w:r>
      <w:r w:rsidR="00667466">
        <w:rPr>
          <w:rStyle w:val="ECCParagraph"/>
        </w:rPr>
        <w:fldChar w:fldCharType="separate"/>
      </w:r>
      <w:r w:rsidR="004F49F9">
        <w:rPr>
          <w:rStyle w:val="ECCParagraph"/>
        </w:rPr>
        <w:t>2.4.1</w:t>
      </w:r>
      <w:r w:rsidR="00667466">
        <w:rPr>
          <w:rStyle w:val="ECCParagraph"/>
        </w:rPr>
        <w:fldChar w:fldCharType="end"/>
      </w:r>
      <w:r w:rsidR="00DF6983">
        <w:rPr>
          <w:rStyle w:val="ECCParagraph"/>
        </w:rPr>
        <w:t>)</w:t>
      </w:r>
      <w:r>
        <w:rPr>
          <w:rStyle w:val="ECCParagraph"/>
        </w:rPr>
        <w:t xml:space="preserve">, </w:t>
      </w:r>
      <w:r w:rsidRPr="006D53D7">
        <w:rPr>
          <w:rStyle w:val="ECCParagraph"/>
        </w:rPr>
        <w:t xml:space="preserve">for the wide bandwidth </w:t>
      </w:r>
      <w:r w:rsidR="00D91212">
        <w:rPr>
          <w:rStyle w:val="ECCParagraph"/>
        </w:rPr>
        <w:t xml:space="preserve">need </w:t>
      </w:r>
      <w:r w:rsidRPr="006D53D7">
        <w:rPr>
          <w:rStyle w:val="ECCParagraph"/>
        </w:rPr>
        <w:t xml:space="preserve">and why notching out </w:t>
      </w:r>
      <w:r w:rsidRPr="008A6A23">
        <w:rPr>
          <w:rStyle w:val="ECCParagraph"/>
        </w:rPr>
        <w:t xml:space="preserve">the bands identified by RR </w:t>
      </w:r>
      <w:r>
        <w:rPr>
          <w:rStyle w:val="ECCParagraph"/>
        </w:rPr>
        <w:t xml:space="preserve">FN </w:t>
      </w:r>
      <w:r w:rsidRPr="008A6A23">
        <w:rPr>
          <w:rStyle w:val="ECCParagraph"/>
        </w:rPr>
        <w:t>5.340 is not possible</w:t>
      </w:r>
      <w:r>
        <w:rPr>
          <w:rStyle w:val="ECCParagraph"/>
        </w:rPr>
        <w:t>.</w:t>
      </w:r>
    </w:p>
    <w:p w14:paraId="412D3606" w14:textId="77777777" w:rsidR="008A6A23" w:rsidRPr="0069731C" w:rsidRDefault="008A6A23" w:rsidP="0069731C">
      <w:pPr>
        <w:pStyle w:val="Heading3"/>
        <w:rPr>
          <w:rStyle w:val="ECCParagraph"/>
          <w:lang w:val="da-DK"/>
        </w:rPr>
      </w:pPr>
      <w:bookmarkStart w:id="337" w:name="_Ref63340020"/>
      <w:bookmarkStart w:id="338" w:name="_Toc84325302"/>
      <w:bookmarkStart w:id="339" w:name="_Toc127346239"/>
      <w:r w:rsidRPr="0069731C">
        <w:rPr>
          <w:rStyle w:val="ECCParagraph"/>
          <w:lang w:val="da-DK"/>
        </w:rPr>
        <w:t>Background information</w:t>
      </w:r>
      <w:bookmarkEnd w:id="337"/>
      <w:bookmarkEnd w:id="338"/>
      <w:bookmarkEnd w:id="339"/>
    </w:p>
    <w:p w14:paraId="7E7E68CE" w14:textId="5752752E" w:rsidR="008A6A23" w:rsidRPr="008A6A23" w:rsidRDefault="008A6A23" w:rsidP="009E05FC">
      <w:pPr>
        <w:rPr>
          <w:rStyle w:val="ECCParagraph"/>
        </w:rPr>
      </w:pPr>
      <w:r>
        <w:rPr>
          <w:rStyle w:val="ECCParagraph"/>
        </w:rPr>
        <w:t xml:space="preserve">ITU </w:t>
      </w:r>
      <w:r w:rsidRPr="008A6A23">
        <w:rPr>
          <w:rStyle w:val="ECCParagraph"/>
        </w:rPr>
        <w:t xml:space="preserve">Radio Regulations </w:t>
      </w:r>
      <w:r w:rsidR="004632D3">
        <w:rPr>
          <w:rStyle w:val="ECCParagraph"/>
        </w:rPr>
        <w:fldChar w:fldCharType="begin"/>
      </w:r>
      <w:r w:rsidR="004632D3">
        <w:rPr>
          <w:rStyle w:val="ECCParagraph"/>
        </w:rPr>
        <w:instrText xml:space="preserve"> REF ITU_RR \w \h </w:instrText>
      </w:r>
      <w:r w:rsidR="004632D3">
        <w:rPr>
          <w:rStyle w:val="ECCParagraph"/>
        </w:rPr>
      </w:r>
      <w:r w:rsidR="004632D3">
        <w:rPr>
          <w:rStyle w:val="ECCParagraph"/>
        </w:rPr>
        <w:fldChar w:fldCharType="separate"/>
      </w:r>
      <w:r w:rsidR="004632D3">
        <w:rPr>
          <w:rStyle w:val="ECCParagraph"/>
        </w:rPr>
        <w:t>[71]</w:t>
      </w:r>
      <w:r w:rsidR="004632D3">
        <w:rPr>
          <w:rStyle w:val="ECCParagraph"/>
        </w:rPr>
        <w:fldChar w:fldCharType="end"/>
      </w:r>
      <w:r w:rsidR="004632D3">
        <w:rPr>
          <w:rStyle w:val="ECCParagraph"/>
        </w:rPr>
        <w:t xml:space="preserve"> </w:t>
      </w:r>
      <w:r w:rsidRPr="008A6A23">
        <w:rPr>
          <w:rStyle w:val="ECCParagraph"/>
        </w:rPr>
        <w:t xml:space="preserve">Footnote (FN) 5.340 is applicable for portions of the band studied in this </w:t>
      </w:r>
      <w:r w:rsidR="009E4E69">
        <w:rPr>
          <w:rStyle w:val="ECCParagraph"/>
        </w:rPr>
        <w:t>Report</w:t>
      </w:r>
      <w:r w:rsidRPr="008A6A23">
        <w:rPr>
          <w:rStyle w:val="ECCParagraph"/>
        </w:rPr>
        <w:t xml:space="preserve"> (e.g. for RDI-S devices). During the studies there was a controversial discussion, if the sharing and compatibility studies may be allowed to be carried out in these passive bands protected by RRs. This report focuses on the purely technical studies in terms of sharing and compatibility. The relevant information to follow the discussion on ECC level are given in </w:t>
      </w:r>
      <w:r w:rsidR="009672F9">
        <w:rPr>
          <w:rStyle w:val="ECCParagraph"/>
        </w:rPr>
        <w:t xml:space="preserve">the minutes of the 52nd ECC meeting in </w:t>
      </w:r>
      <w:r w:rsidR="009D5FA2">
        <w:rPr>
          <w:rStyle w:val="ECCParagraph"/>
        </w:rPr>
        <w:t>section</w:t>
      </w:r>
      <w:r w:rsidR="009672F9">
        <w:rPr>
          <w:rStyle w:val="ECCParagraph"/>
        </w:rPr>
        <w:t xml:space="preserve"> 11.4.</w:t>
      </w:r>
    </w:p>
    <w:p w14:paraId="5287A4DD" w14:textId="77777777" w:rsidR="008A6A23" w:rsidRPr="008A6A23" w:rsidRDefault="008A6A23" w:rsidP="00153711">
      <w:pPr>
        <w:pStyle w:val="ECCTablenote"/>
        <w:spacing w:before="240" w:after="60"/>
        <w:rPr>
          <w:rStyle w:val="ECCParagraph"/>
          <w:rFonts w:eastAsia="Calibri"/>
          <w:szCs w:val="22"/>
        </w:rPr>
      </w:pPr>
      <w:r w:rsidRPr="006D53D7">
        <w:rPr>
          <w:rStyle w:val="ECCParagraph"/>
        </w:rPr>
        <w:t>ECC decided that the studies should continue as foreseen under the following conditions:</w:t>
      </w:r>
    </w:p>
    <w:p w14:paraId="38CCA035" w14:textId="77777777" w:rsidR="008A6A23" w:rsidRPr="008A6A23" w:rsidRDefault="008A6A23" w:rsidP="000B395B">
      <w:pPr>
        <w:pStyle w:val="ECCNumberedList"/>
        <w:numPr>
          <w:ilvl w:val="0"/>
          <w:numId w:val="9"/>
        </w:numPr>
        <w:rPr>
          <w:rStyle w:val="ECCParagraph"/>
        </w:rPr>
      </w:pPr>
      <w:r w:rsidRPr="006D53D7">
        <w:rPr>
          <w:rStyle w:val="ECCParagraph"/>
        </w:rPr>
        <w:t>The studies on this very specific type of application (in particular very low number of devices</w:t>
      </w:r>
      <w:r w:rsidRPr="008A6A23">
        <w:rPr>
          <w:rStyle w:val="ECCParagraph"/>
        </w:rPr>
        <w:t>) shall not be understood as precedence for general allowance for studies in bands covered by ITU RR-5.340.</w:t>
      </w:r>
    </w:p>
    <w:p w14:paraId="1D2AD6A4" w14:textId="0CC662F3" w:rsidR="008A6A23" w:rsidRPr="008A6A23" w:rsidRDefault="008A6A23" w:rsidP="00562890">
      <w:pPr>
        <w:pStyle w:val="ECCNumberedList"/>
        <w:rPr>
          <w:rStyle w:val="ECCParagraph"/>
        </w:rPr>
      </w:pPr>
      <w:r w:rsidRPr="006D53D7">
        <w:rPr>
          <w:rStyle w:val="ECCParagraph"/>
        </w:rPr>
        <w:t>There shall be no widening of the studies beyond the specific limited type of application</w:t>
      </w:r>
      <w:r w:rsidRPr="008A6A23">
        <w:rPr>
          <w:rStyle w:val="ECCParagraph"/>
        </w:rPr>
        <w:t>s, meaning UWB radiodetermination applications Type C (according to SRdoc ETSI TR 103 498</w:t>
      </w:r>
      <w:r w:rsidR="00DD36B8">
        <w:rPr>
          <w:rStyle w:val="ECCParagraph"/>
        </w:rPr>
        <w:t xml:space="preserve"> </w:t>
      </w:r>
      <w:r w:rsidR="00DD36B8">
        <w:rPr>
          <w:rStyle w:val="ECCParagraph"/>
        </w:rPr>
        <w:fldChar w:fldCharType="begin"/>
      </w:r>
      <w:r w:rsidR="00DD36B8">
        <w:rPr>
          <w:rStyle w:val="ECCParagraph"/>
        </w:rPr>
        <w:instrText xml:space="preserve"> REF _Ref88213795 \r \h </w:instrText>
      </w:r>
      <w:r w:rsidR="00DD36B8">
        <w:rPr>
          <w:rStyle w:val="ECCParagraph"/>
        </w:rPr>
      </w:r>
      <w:r w:rsidR="00DD36B8">
        <w:rPr>
          <w:rStyle w:val="ECCParagraph"/>
        </w:rPr>
        <w:fldChar w:fldCharType="separate"/>
      </w:r>
      <w:r w:rsidR="004F49F9">
        <w:rPr>
          <w:rStyle w:val="ECCParagraph"/>
        </w:rPr>
        <w:t>[1]</w:t>
      </w:r>
      <w:r w:rsidR="00DD36B8">
        <w:rPr>
          <w:rStyle w:val="ECCParagraph"/>
        </w:rPr>
        <w:fldChar w:fldCharType="end"/>
      </w:r>
      <w:r w:rsidRPr="008A6A23">
        <w:rPr>
          <w:rStyle w:val="ECCParagraph"/>
        </w:rPr>
        <w:t>).</w:t>
      </w:r>
    </w:p>
    <w:p w14:paraId="0F790CB3" w14:textId="77777777" w:rsidR="008A6A23" w:rsidRPr="008A6A23" w:rsidRDefault="008A6A23" w:rsidP="00562890">
      <w:pPr>
        <w:pStyle w:val="ECCNumberedList"/>
        <w:rPr>
          <w:rStyle w:val="ECCParagraph"/>
        </w:rPr>
      </w:pPr>
      <w:r w:rsidRPr="006D53D7">
        <w:rPr>
          <w:rStyle w:val="ECCParagraph"/>
        </w:rPr>
        <w:t>The usage scenario for those UWB radiodetermination applications Type C, which target bands listed in RR 5.340, shall be maintained to professional indoor applications (in shielded industrial environments</w:t>
      </w:r>
      <w:r w:rsidRPr="008A6A23">
        <w:rPr>
          <w:rStyle w:val="ECCParagraph"/>
        </w:rPr>
        <w:t>) limited in numbers.</w:t>
      </w:r>
    </w:p>
    <w:p w14:paraId="31E8EE91" w14:textId="77777777" w:rsidR="008A6A23" w:rsidRPr="008A6A23" w:rsidRDefault="008A6A23" w:rsidP="00562890">
      <w:pPr>
        <w:pStyle w:val="ECCNumberedList"/>
        <w:rPr>
          <w:rStyle w:val="ECCParagraph"/>
        </w:rPr>
      </w:pPr>
      <w:bookmarkStart w:id="340" w:name="_Ref63339852"/>
      <w:r w:rsidRPr="006D53D7">
        <w:rPr>
          <w:rStyle w:val="ECCParagraph"/>
        </w:rPr>
        <w:t xml:space="preserve">The studies shall also consider the technical justification for the wide bandwidth as required in the ETSI SRdoc and why notching out </w:t>
      </w:r>
      <w:r w:rsidRPr="008A6A23">
        <w:rPr>
          <w:rStyle w:val="ECCParagraph"/>
        </w:rPr>
        <w:t>the bands identified by RR 5.340 is not possible. This shall not delay the ongoing compatibility and sharing studies.</w:t>
      </w:r>
      <w:bookmarkEnd w:id="340"/>
    </w:p>
    <w:p w14:paraId="50150BB7" w14:textId="77777777" w:rsidR="008A6A23" w:rsidRDefault="008A6A23" w:rsidP="00F76653">
      <w:pPr>
        <w:pStyle w:val="ECCNumberedList"/>
        <w:rPr>
          <w:rStyle w:val="ECCParagraph"/>
        </w:rPr>
      </w:pPr>
      <w:r w:rsidRPr="006D53D7">
        <w:rPr>
          <w:rStyle w:val="ECCParagraph"/>
        </w:rPr>
        <w:t>After technical studies will have been undertaken in WG SE, WG FM will reassess these conditions before deciding on next steps.</w:t>
      </w:r>
    </w:p>
    <w:p w14:paraId="526F398E" w14:textId="77777777" w:rsidR="008A6A23" w:rsidRPr="008A6A23" w:rsidRDefault="008A6A23" w:rsidP="008A6A23">
      <w:pPr>
        <w:pStyle w:val="Heading3"/>
        <w:rPr>
          <w:rStyle w:val="ECCParagraph"/>
        </w:rPr>
      </w:pPr>
      <w:bookmarkStart w:id="341" w:name="_Toc84325303"/>
      <w:bookmarkStart w:id="342" w:name="_Toc127346240"/>
      <w:r>
        <w:rPr>
          <w:rStyle w:val="ECCParagraph"/>
        </w:rPr>
        <w:t>RDI-S</w:t>
      </w:r>
      <w:r w:rsidRPr="008A6A23">
        <w:rPr>
          <w:rStyle w:val="ECCParagraph"/>
        </w:rPr>
        <w:t xml:space="preserve"> </w:t>
      </w:r>
      <w:r w:rsidR="0054513B">
        <w:rPr>
          <w:rStyle w:val="ECCParagraph"/>
        </w:rPr>
        <w:t>application description</w:t>
      </w:r>
      <w:r w:rsidRPr="008A6A23">
        <w:rPr>
          <w:rStyle w:val="ECCParagraph"/>
        </w:rPr>
        <w:t xml:space="preserve"> </w:t>
      </w:r>
      <w:r w:rsidR="0054513B">
        <w:rPr>
          <w:rStyle w:val="ECCParagraph"/>
        </w:rPr>
        <w:t>and</w:t>
      </w:r>
      <w:r w:rsidRPr="008A6A23">
        <w:rPr>
          <w:rStyle w:val="ECCParagraph"/>
        </w:rPr>
        <w:t xml:space="preserve"> </w:t>
      </w:r>
      <w:r w:rsidR="0054513B">
        <w:rPr>
          <w:rStyle w:val="ECCParagraph"/>
        </w:rPr>
        <w:t>device number</w:t>
      </w:r>
      <w:r w:rsidRPr="008A6A23">
        <w:rPr>
          <w:rStyle w:val="ECCParagraph"/>
        </w:rPr>
        <w:t xml:space="preserve"> </w:t>
      </w:r>
      <w:r w:rsidR="0054513B">
        <w:rPr>
          <w:rStyle w:val="ECCParagraph"/>
        </w:rPr>
        <w:t>limitation</w:t>
      </w:r>
      <w:bookmarkEnd w:id="341"/>
      <w:bookmarkEnd w:id="342"/>
    </w:p>
    <w:p w14:paraId="0FFFE0C5" w14:textId="6371CD04" w:rsidR="000C0631" w:rsidRPr="008A6A23" w:rsidRDefault="000C0631" w:rsidP="000C0631">
      <w:pPr>
        <w:rPr>
          <w:rStyle w:val="ECCParagraph"/>
        </w:rPr>
      </w:pPr>
      <w:r w:rsidRPr="006952BA">
        <w:rPr>
          <w:rStyle w:val="ECCParagraph"/>
        </w:rPr>
        <w:t>SRdoc ETSI TR 103 498</w:t>
      </w:r>
      <w:r w:rsidRPr="008A6A23">
        <w:rPr>
          <w:rStyle w:val="ECCParagraph"/>
        </w:rPr>
        <w:t xml:space="preserve"> defines type C applications as: “Applications emitting inside a confined and shielded environment or a housing”. The only application types in this </w:t>
      </w:r>
      <w:r>
        <w:rPr>
          <w:rStyle w:val="ECCParagraph"/>
        </w:rPr>
        <w:t>R</w:t>
      </w:r>
      <w:r w:rsidRPr="008A6A23">
        <w:rPr>
          <w:rStyle w:val="ECCParagraph"/>
        </w:rPr>
        <w:t xml:space="preserve">eport that fit into this category are TLPR and RDI-S devices. </w:t>
      </w:r>
      <w:r>
        <w:rPr>
          <w:rStyle w:val="ECCParagraph"/>
        </w:rPr>
        <w:t xml:space="preserve">But for </w:t>
      </w:r>
      <w:r w:rsidRPr="008A6A23">
        <w:rPr>
          <w:rStyle w:val="ECCParagraph"/>
        </w:rPr>
        <w:t>RDI-S devices there is a physical need (see section</w:t>
      </w:r>
      <w:r>
        <w:rPr>
          <w:rStyle w:val="ECCParagraph"/>
        </w:rPr>
        <w:t xml:space="preserve"> </w:t>
      </w:r>
      <w:r>
        <w:rPr>
          <w:rStyle w:val="ECCParagraph"/>
          <w:highlight w:val="yellow"/>
        </w:rPr>
        <w:fldChar w:fldCharType="begin"/>
      </w:r>
      <w:r>
        <w:rPr>
          <w:rStyle w:val="ECCParagraph"/>
        </w:rPr>
        <w:instrText xml:space="preserve"> REF _Ref65057811 \r \h </w:instrText>
      </w:r>
      <w:r>
        <w:rPr>
          <w:rStyle w:val="ECCParagraph"/>
          <w:highlight w:val="yellow"/>
        </w:rPr>
      </w:r>
      <w:r>
        <w:rPr>
          <w:rStyle w:val="ECCParagraph"/>
          <w:highlight w:val="yellow"/>
        </w:rPr>
        <w:fldChar w:fldCharType="separate"/>
      </w:r>
      <w:r w:rsidR="004F49F9">
        <w:rPr>
          <w:rStyle w:val="ECCParagraph"/>
        </w:rPr>
        <w:t>2.4.3.3</w:t>
      </w:r>
      <w:r>
        <w:rPr>
          <w:rStyle w:val="ECCParagraph"/>
          <w:highlight w:val="yellow"/>
        </w:rPr>
        <w:fldChar w:fldCharType="end"/>
      </w:r>
      <w:r w:rsidRPr="008A6A23">
        <w:rPr>
          <w:rStyle w:val="ECCParagraph"/>
        </w:rPr>
        <w:t>) to use a large contiguous bandwidth</w:t>
      </w:r>
      <w:r>
        <w:rPr>
          <w:rStyle w:val="ECCParagraph"/>
        </w:rPr>
        <w:t xml:space="preserve"> to achieve a certain level of performance</w:t>
      </w:r>
      <w:r w:rsidRPr="008A6A23">
        <w:rPr>
          <w:rStyle w:val="ECCParagraph"/>
        </w:rPr>
        <w:t xml:space="preserve">. RDI-S devices are the only device type that is identified in this </w:t>
      </w:r>
      <w:r>
        <w:rPr>
          <w:rStyle w:val="ECCParagraph"/>
        </w:rPr>
        <w:t>R</w:t>
      </w:r>
      <w:r w:rsidRPr="008A6A23">
        <w:rPr>
          <w:rStyle w:val="ECCParagraph"/>
        </w:rPr>
        <w:t xml:space="preserve">eport as a type C application with </w:t>
      </w:r>
      <w:r>
        <w:rPr>
          <w:rStyle w:val="ECCParagraph"/>
        </w:rPr>
        <w:t xml:space="preserve">a potential </w:t>
      </w:r>
      <w:r w:rsidRPr="008A6A23">
        <w:rPr>
          <w:rStyle w:val="ECCParagraph"/>
        </w:rPr>
        <w:t>need to use the RR FN 5.340 protected bands</w:t>
      </w:r>
      <w:r>
        <w:rPr>
          <w:rStyle w:val="ECCParagraph"/>
        </w:rPr>
        <w:t xml:space="preserve"> for certain applications </w:t>
      </w:r>
      <w:r w:rsidRPr="008A6A23">
        <w:rPr>
          <w:rStyle w:val="ECCParagraph"/>
        </w:rPr>
        <w:t xml:space="preserve">inside highly shielded environments. If in future any other application claims the type C device class its risk of interference has to be carefully reviewed and again separately evaluated on a case-by-case basis without referring to the RDI-S device class as a precedent. </w:t>
      </w:r>
      <w:r>
        <w:rPr>
          <w:rStyle w:val="ECCParagraph"/>
        </w:rPr>
        <w:t>Minimum</w:t>
      </w:r>
      <w:r w:rsidRPr="008A6A23">
        <w:rPr>
          <w:rStyle w:val="ECCParagraph"/>
        </w:rPr>
        <w:t xml:space="preserve"> radiation is intended to be emitted outside the shielded environment</w:t>
      </w:r>
      <w:r>
        <w:rPr>
          <w:rStyle w:val="ECCParagraph"/>
        </w:rPr>
        <w:t xml:space="preserve"> for this type of application.</w:t>
      </w:r>
    </w:p>
    <w:p w14:paraId="665E936C" w14:textId="7AF91CD1" w:rsidR="008A6A23" w:rsidRPr="008A6A23" w:rsidRDefault="008A6A23" w:rsidP="00F76653">
      <w:pPr>
        <w:rPr>
          <w:rStyle w:val="ECCParagraph"/>
        </w:rPr>
      </w:pPr>
      <w:r>
        <w:rPr>
          <w:rStyle w:val="ECCParagraph"/>
        </w:rPr>
        <w:t xml:space="preserve">RDI-S devices are used in </w:t>
      </w:r>
      <w:r w:rsidRPr="008A6A23">
        <w:rPr>
          <w:rStyle w:val="ECCParagraph"/>
        </w:rPr>
        <w:t xml:space="preserve">professional UWB radiodetermination applications and are only intended for use in highly shielded industrial environments (see </w:t>
      </w:r>
      <w:r w:rsidR="00DA3555">
        <w:rPr>
          <w:rStyle w:val="ECCParagraph"/>
        </w:rPr>
        <w:t>section</w:t>
      </w:r>
      <w:r w:rsidR="00667466">
        <w:rPr>
          <w:rStyle w:val="ECCParagraph"/>
        </w:rPr>
        <w:t xml:space="preserve"> </w:t>
      </w:r>
      <w:r w:rsidR="00667466">
        <w:rPr>
          <w:rStyle w:val="ECCParagraph"/>
          <w:highlight w:val="yellow"/>
        </w:rPr>
        <w:fldChar w:fldCharType="begin"/>
      </w:r>
      <w:r w:rsidR="00667466">
        <w:instrText xml:space="preserve"> REF _Ref65057136 \r \h </w:instrText>
      </w:r>
      <w:r w:rsidR="00667466">
        <w:rPr>
          <w:rStyle w:val="ECCParagraph"/>
          <w:highlight w:val="yellow"/>
        </w:rPr>
      </w:r>
      <w:r w:rsidR="00667466">
        <w:rPr>
          <w:rStyle w:val="ECCParagraph"/>
          <w:highlight w:val="yellow"/>
        </w:rPr>
        <w:fldChar w:fldCharType="separate"/>
      </w:r>
      <w:r w:rsidR="004F49F9">
        <w:t>2.3</w:t>
      </w:r>
      <w:r w:rsidR="00667466">
        <w:rPr>
          <w:rStyle w:val="ECCParagraph"/>
          <w:highlight w:val="yellow"/>
        </w:rPr>
        <w:fldChar w:fldCharType="end"/>
      </w:r>
      <w:r w:rsidRPr="008A6A23">
        <w:rPr>
          <w:rStyle w:val="ECCParagraph"/>
        </w:rPr>
        <w:t>). Industrial environments are – compared to consumer applications – a highly controllable area, where many special rules apply, and mounting requirements and the intended use of devices are strictly respected. Companies selling RDI-S equipment have their own highly trained professional integration teams, since integration of for example a pipe wall thickness scanner or RDI-S device integration into a steel production factory is a complex task and needs a lot of speciali</w:t>
      </w:r>
      <w:r w:rsidR="00EF3E55">
        <w:rPr>
          <w:rStyle w:val="ECCParagraph"/>
        </w:rPr>
        <w:t>s</w:t>
      </w:r>
      <w:r w:rsidRPr="008A6A23">
        <w:rPr>
          <w:rStyle w:val="ECCParagraph"/>
        </w:rPr>
        <w:t>ed expertise in terms of EMC knowledge, radar knowledge and so on. Respecting installation requirements and intended use of the devices will not be an issue in this very limited and controlled application field and will be guaranteed by the operator and the commissioning experts of the RDI-S device. Professional industrial users are liable for the equipment they operate and thus have a special interest in compliance with existing laws and rules.</w:t>
      </w:r>
    </w:p>
    <w:p w14:paraId="554A765E" w14:textId="30792E91" w:rsidR="008A6A23" w:rsidRPr="008A6A23" w:rsidRDefault="008A6A23" w:rsidP="00F76653">
      <w:pPr>
        <w:rPr>
          <w:rStyle w:val="ECCParagraph"/>
        </w:rPr>
      </w:pPr>
      <w:r>
        <w:rPr>
          <w:rStyle w:val="ECCParagraph"/>
        </w:rPr>
        <w:t xml:space="preserve">The number of RDI-S devices </w:t>
      </w:r>
      <w:r w:rsidRPr="008A6A23">
        <w:rPr>
          <w:rStyle w:val="ECCParagraph"/>
        </w:rPr>
        <w:t>is estimated to around 80</w:t>
      </w:r>
      <w:r w:rsidR="00CF4994">
        <w:rPr>
          <w:rStyle w:val="ECCParagraph"/>
        </w:rPr>
        <w:t>000</w:t>
      </w:r>
      <w:r w:rsidRPr="008A6A23">
        <w:rPr>
          <w:rStyle w:val="ECCParagraph"/>
        </w:rPr>
        <w:t xml:space="preserve"> in Europe for the purpose of MCL calculations. This is a very conservative estimate, because wideband RDI-S devices will be mainly used in special niche markets, like e.g. thin dielectric layer thickness measurement or micrometre precision positioning, where their high performance is essential and needed to fulfil the measurement task. Achieving the wide bandwidth instantly comes with significantly higher sensor cost, due to the demand for expensive precision-milled mechanical or PCB based wideband waveguide parts. Additionally, the signal processing chain hardware requirements in terms of bandwidth and sample- or data-rate are much higher and cost-intensive for wideband radar sensor hardware.</w:t>
      </w:r>
    </w:p>
    <w:p w14:paraId="24ABCFB6" w14:textId="6DD977B4" w:rsidR="00BE647E" w:rsidRDefault="008A6A23" w:rsidP="00F76653">
      <w:pPr>
        <w:rPr>
          <w:rStyle w:val="ECCParagraph"/>
        </w:rPr>
      </w:pPr>
      <w:r>
        <w:rPr>
          <w:rStyle w:val="ECCParagraph"/>
        </w:rPr>
        <w:t>Th</w:t>
      </w:r>
      <w:r w:rsidRPr="008A6A23">
        <w:rPr>
          <w:rStyle w:val="ECCParagraph"/>
        </w:rPr>
        <w:t>e resulting significantly higher cost for wideband sensors will automatically prevent the sensor from getting into the mass market. In many applications low-cost sensors with a still acceptable performance based on the lower bandwidth RDI device class will be sufficient. Those sensors will be automatically used due to the significant lower cost of small bandwidth transitions and antennas, resulting in more cost-efficient sensor designs compared to RDI-S devices. Consequently, the majority of devices in the market will be cost-effective RDI sensors and only where needed due to application performance requirements, RDI-S sensors based on more expensive wideband-technology will be used. This results in a natural limitation of the overall number of RDI-S devices in the market.</w:t>
      </w:r>
    </w:p>
    <w:p w14:paraId="6E25D143" w14:textId="77777777" w:rsidR="00683D71" w:rsidRDefault="00683D71">
      <w:pPr>
        <w:rPr>
          <w:rStyle w:val="ECCParagraph"/>
          <w:rFonts w:eastAsia="Times New Roman" w:cs="Arial"/>
          <w:b/>
          <w:bCs/>
          <w:szCs w:val="26"/>
        </w:rPr>
      </w:pPr>
      <w:bookmarkStart w:id="343" w:name="_Toc84325304"/>
      <w:r>
        <w:rPr>
          <w:rStyle w:val="ECCParagraph"/>
        </w:rPr>
        <w:br w:type="page"/>
      </w:r>
    </w:p>
    <w:p w14:paraId="6E4C519B" w14:textId="67CE3DCD" w:rsidR="008A6A23" w:rsidRPr="008A6A23" w:rsidRDefault="008A6A23" w:rsidP="00F76653">
      <w:pPr>
        <w:pStyle w:val="Heading3"/>
        <w:rPr>
          <w:rStyle w:val="ECCParagraph"/>
        </w:rPr>
      </w:pPr>
      <w:bookmarkStart w:id="344" w:name="_Toc127346241"/>
      <w:r>
        <w:rPr>
          <w:rStyle w:val="ECCParagraph"/>
        </w:rPr>
        <w:t xml:space="preserve">RDI-S </w:t>
      </w:r>
      <w:r w:rsidR="0054513B">
        <w:rPr>
          <w:rStyle w:val="ECCParagraph"/>
        </w:rPr>
        <w:t>justification of frequency range and contiguous wide bandwidth needs</w:t>
      </w:r>
      <w:bookmarkEnd w:id="343"/>
      <w:bookmarkEnd w:id="344"/>
    </w:p>
    <w:p w14:paraId="00E39502" w14:textId="77777777" w:rsidR="008A6A23" w:rsidRPr="00465AF4" w:rsidRDefault="008A6A23" w:rsidP="004E36C2">
      <w:pPr>
        <w:pStyle w:val="Heading4"/>
        <w:rPr>
          <w:rStyle w:val="ECCParagraph"/>
        </w:rPr>
      </w:pPr>
      <w:bookmarkStart w:id="345" w:name="_Toc84325305"/>
      <w:r>
        <w:rPr>
          <w:rStyle w:val="ECCParagraph"/>
        </w:rPr>
        <w:t xml:space="preserve">General </w:t>
      </w:r>
      <w:r w:rsidRPr="00F76653">
        <w:rPr>
          <w:rStyle w:val="ECCParagraph"/>
          <w:lang w:val="da-DK"/>
        </w:rPr>
        <w:t>considerations</w:t>
      </w:r>
      <w:bookmarkEnd w:id="345"/>
    </w:p>
    <w:p w14:paraId="35D81E35" w14:textId="77777777" w:rsidR="008A6A23" w:rsidRPr="008A6A23" w:rsidRDefault="008A6A23" w:rsidP="00F76653">
      <w:r>
        <w:rPr>
          <w:rStyle w:val="ECCParagraph"/>
        </w:rPr>
        <w:t>It is acknowledged that keeping the RR</w:t>
      </w:r>
      <w:r w:rsidRPr="008A6A23">
        <w:rPr>
          <w:rStyle w:val="ECCParagraph"/>
        </w:rPr>
        <w:t xml:space="preserve"> FN 5.340 passive bands clean from harmful interference is </w:t>
      </w:r>
      <w:r w:rsidR="004B7F22">
        <w:rPr>
          <w:rStyle w:val="ECCParagraph"/>
        </w:rPr>
        <w:t>fundamental</w:t>
      </w:r>
      <w:r w:rsidRPr="008A6A23">
        <w:rPr>
          <w:rStyle w:val="ECCParagraph"/>
        </w:rPr>
        <w:t xml:space="preserve"> for </w:t>
      </w:r>
      <w:r w:rsidR="004B7F22">
        <w:rPr>
          <w:rStyle w:val="ECCParagraph"/>
        </w:rPr>
        <w:t xml:space="preserve">the </w:t>
      </w:r>
      <w:r w:rsidRPr="008A6A23">
        <w:rPr>
          <w:rStyle w:val="ECCParagraph"/>
        </w:rPr>
        <w:t xml:space="preserve">passive band </w:t>
      </w:r>
      <w:r w:rsidR="004B7F22">
        <w:rPr>
          <w:rStyle w:val="ECCParagraph"/>
        </w:rPr>
        <w:t>services</w:t>
      </w:r>
      <w:r w:rsidRPr="008A6A23">
        <w:rPr>
          <w:rStyle w:val="ECCParagraph"/>
        </w:rPr>
        <w:t xml:space="preserve"> like radio astronomy or passive remote sensing satellite applications. </w:t>
      </w:r>
      <w:r w:rsidR="004B7F22">
        <w:rPr>
          <w:rStyle w:val="ECCParagraph"/>
        </w:rPr>
        <w:t>S</w:t>
      </w:r>
      <w:r w:rsidRPr="008A6A23">
        <w:rPr>
          <w:rStyle w:val="ECCParagraph"/>
        </w:rPr>
        <w:t xml:space="preserve">ome industrial devices and applications </w:t>
      </w:r>
      <w:r w:rsidR="004B7F22">
        <w:rPr>
          <w:rStyle w:val="ECCParagraph"/>
        </w:rPr>
        <w:t xml:space="preserve">consider </w:t>
      </w:r>
      <w:r w:rsidRPr="008A6A23">
        <w:rPr>
          <w:rStyle w:val="ECCParagraph"/>
        </w:rPr>
        <w:t xml:space="preserve">a strong need for covering large continuous regions of the spectrum to enable new and innovative applications. This need is </w:t>
      </w:r>
      <w:r w:rsidR="004B7F22">
        <w:rPr>
          <w:rStyle w:val="ECCParagraph"/>
        </w:rPr>
        <w:t>based on</w:t>
      </w:r>
      <w:r w:rsidRPr="008A6A23">
        <w:rPr>
          <w:rStyle w:val="ECCParagraph"/>
        </w:rPr>
        <w:t xml:space="preserve"> the fact that radiodetermination applications – as the name already implies – uses the information of the propagation properties of radio waves to determine the position, velocity and/or other characteristics of an object, or obtaining information related to these parameters. This can of course be done in different frequency regions. In the following sections a justification is given why the use of the D-Band (110 to 170</w:t>
      </w:r>
      <w:r w:rsidR="00B43AA6">
        <w:rPr>
          <w:rStyle w:val="ECCParagraph"/>
        </w:rPr>
        <w:t> </w:t>
      </w:r>
      <w:r w:rsidRPr="008A6A23">
        <w:rPr>
          <w:rStyle w:val="ECCParagraph"/>
        </w:rPr>
        <w:t>GHz) and above frequency ranges, in combination with a large continuous bandwidth, is essential for RDI-S devices.</w:t>
      </w:r>
    </w:p>
    <w:p w14:paraId="3F0B9EBD" w14:textId="77777777" w:rsidR="008A6A23" w:rsidRPr="00465AF4" w:rsidRDefault="008A6A23" w:rsidP="004E36C2">
      <w:pPr>
        <w:pStyle w:val="Heading4"/>
        <w:rPr>
          <w:rStyle w:val="ECCParagraph"/>
        </w:rPr>
      </w:pPr>
      <w:bookmarkStart w:id="346" w:name="_Toc84325306"/>
      <w:r>
        <w:rPr>
          <w:rStyle w:val="ECCParagraph"/>
        </w:rPr>
        <w:t>Need for considered frequency range</w:t>
      </w:r>
      <w:bookmarkEnd w:id="346"/>
    </w:p>
    <w:p w14:paraId="3BD5828A" w14:textId="77777777" w:rsidR="008A6A23" w:rsidRPr="008A6A23" w:rsidRDefault="008A6A23" w:rsidP="00F76653">
      <w:pPr>
        <w:rPr>
          <w:rStyle w:val="ECCParagraph"/>
        </w:rPr>
      </w:pPr>
      <w:r>
        <w:rPr>
          <w:rStyle w:val="ECCParagraph"/>
        </w:rPr>
        <w:t>Especially, the frequency range 116-190</w:t>
      </w:r>
      <w:r w:rsidR="00B43AA6">
        <w:rPr>
          <w:rStyle w:val="ECCParagraph"/>
        </w:rPr>
        <w:t> </w:t>
      </w:r>
      <w:r>
        <w:rPr>
          <w:rStyle w:val="ECCParagraph"/>
        </w:rPr>
        <w:t xml:space="preserve">GHz shows a strong potential for industrial application, because it is a technological </w:t>
      </w:r>
      <w:r w:rsidR="00F650AC">
        <w:rPr>
          <w:rStyle w:val="ECCParagraph"/>
        </w:rPr>
        <w:t>sweet spot</w:t>
      </w:r>
      <w:r>
        <w:rPr>
          <w:rStyle w:val="ECCParagraph"/>
        </w:rPr>
        <w:t xml:space="preserve"> for high precision radiodetermination applications.</w:t>
      </w:r>
    </w:p>
    <w:p w14:paraId="08FDC5B9" w14:textId="77777777" w:rsidR="008A6A23" w:rsidRPr="008A6A23" w:rsidRDefault="008A6A23" w:rsidP="00F76653">
      <w:pPr>
        <w:rPr>
          <w:rStyle w:val="ECCParagraph"/>
        </w:rPr>
      </w:pPr>
      <w:r>
        <w:rPr>
          <w:rStyle w:val="ECCParagraph"/>
        </w:rPr>
        <w:t>From the technological point of view</w:t>
      </w:r>
      <w:r w:rsidRPr="008A6A23">
        <w:rPr>
          <w:rStyle w:val="ECCParagraph"/>
        </w:rPr>
        <w:t>, the frequency range between 116 and 190</w:t>
      </w:r>
      <w:r w:rsidR="00B43AA6">
        <w:rPr>
          <w:rStyle w:val="ECCParagraph"/>
        </w:rPr>
        <w:t> </w:t>
      </w:r>
      <w:r w:rsidRPr="008A6A23">
        <w:rPr>
          <w:rStyle w:val="ECCParagraph"/>
        </w:rPr>
        <w:t>GHz is very interesting, because modern SiGe semiconductor technologies allow in these bands a still exceptional good performance, whilst providing still a good robustness against environmental challenges like dirt/dust on antennas. Designs based on half frequency VCOs and Gilbert or push-push frequency doublers allow a sufficient output power generation for short</w:t>
      </w:r>
      <w:r w:rsidR="00832E5D">
        <w:rPr>
          <w:rStyle w:val="ECCParagraph"/>
        </w:rPr>
        <w:t>-</w:t>
      </w:r>
      <w:r w:rsidRPr="008A6A23">
        <w:rPr>
          <w:rStyle w:val="ECCParagraph"/>
        </w:rPr>
        <w:t>range devices and the noise figures of SiGe technology circuits are still good, while still having suitable compression points and small signal gain in the R</w:t>
      </w:r>
      <w:r w:rsidR="00631F30">
        <w:rPr>
          <w:rStyle w:val="ECCParagraph"/>
        </w:rPr>
        <w:t>x</w:t>
      </w:r>
      <w:r w:rsidRPr="008A6A23">
        <w:rPr>
          <w:rStyle w:val="ECCParagraph"/>
        </w:rPr>
        <w:t xml:space="preserve"> stages. Additionally, the frequency range is still suitable for wideband bond-wire connection between chips and PCB structures. Unwanted lower fundamental signals can easily be blocked by the high-pass nature of waveguide structures that are in a size that can still be manufactured at reasonable cost to provide a clean and efficient output spectrum. The wavelength allows manufacturing of high-gain antennas relatively small in size for even small sensors.</w:t>
      </w:r>
    </w:p>
    <w:p w14:paraId="0A96F8AB" w14:textId="6B359750" w:rsidR="008A6A23" w:rsidRPr="008A6A23" w:rsidRDefault="008A6A23" w:rsidP="00F76653">
      <w:pPr>
        <w:rPr>
          <w:rStyle w:val="ECCParagraph"/>
        </w:rPr>
      </w:pPr>
      <w:r>
        <w:rPr>
          <w:rStyle w:val="ECCParagraph"/>
        </w:rPr>
        <w:t>The higher frequency range above 200</w:t>
      </w:r>
      <w:r w:rsidR="00B43AA6">
        <w:rPr>
          <w:rStyle w:val="ECCParagraph"/>
        </w:rPr>
        <w:t> </w:t>
      </w:r>
      <w:r>
        <w:rPr>
          <w:rStyle w:val="ECCParagraph"/>
        </w:rPr>
        <w:t xml:space="preserve">GHz has the advantage that patch antennas can directly be integrated </w:t>
      </w:r>
      <w:r w:rsidRPr="008A6A23">
        <w:rPr>
          <w:rStyle w:val="ECCParagraph"/>
        </w:rPr>
        <w:t>on-chip</w:t>
      </w:r>
      <w:r w:rsidR="00701787" w:rsidRPr="00701787">
        <w:rPr>
          <w:rStyle w:val="ECCParagraph"/>
        </w:rPr>
        <w:t xml:space="preserve"> </w:t>
      </w:r>
      <w:r w:rsidR="00701787">
        <w:rPr>
          <w:rStyle w:val="ECCParagraph"/>
        </w:rPr>
        <w:fldChar w:fldCharType="begin"/>
      </w:r>
      <w:r w:rsidR="00701787">
        <w:rPr>
          <w:rStyle w:val="ECCParagraph"/>
        </w:rPr>
        <w:instrText xml:space="preserve"> REF  FMCW_Radar_240GHz \h \w  \* MERGEFORMAT </w:instrText>
      </w:r>
      <w:r w:rsidR="00701787">
        <w:rPr>
          <w:rStyle w:val="ECCParagraph"/>
        </w:rPr>
      </w:r>
      <w:r w:rsidR="00701787">
        <w:rPr>
          <w:rStyle w:val="ECCParagraph"/>
        </w:rPr>
        <w:fldChar w:fldCharType="separate"/>
      </w:r>
      <w:r w:rsidR="004F49F9">
        <w:rPr>
          <w:rStyle w:val="ECCParagraph"/>
        </w:rPr>
        <w:t>[63]</w:t>
      </w:r>
      <w:r w:rsidR="00701787">
        <w:rPr>
          <w:rStyle w:val="ECCParagraph"/>
        </w:rPr>
        <w:fldChar w:fldCharType="end"/>
      </w:r>
      <w:r w:rsidR="00701787">
        <w:rPr>
          <w:rStyle w:val="ECCParagraph"/>
        </w:rPr>
        <w:t xml:space="preserve"> </w:t>
      </w:r>
      <w:r w:rsidRPr="008A6A23">
        <w:rPr>
          <w:rStyle w:val="ECCParagraph"/>
        </w:rPr>
        <w:t>but this leads to the disadvantage that the fundamental oscillator emissions are hard to filter and are thus also radiated, causing additional interference risk in the spurious domain. Waveguides are very hard to manufacture in the frequency range above 200</w:t>
      </w:r>
      <w:r w:rsidR="00B43AA6">
        <w:rPr>
          <w:rStyle w:val="ECCParagraph"/>
        </w:rPr>
        <w:t> </w:t>
      </w:r>
      <w:r w:rsidRPr="008A6A23">
        <w:rPr>
          <w:rStyle w:val="ECCParagraph"/>
        </w:rPr>
        <w:t>GHz and bond-wires for chip to waveguide transitions have an extensive inductive behaviour and do not work anymore. This is especially a disadvantage for wide bandwidth sensors, because other structures like patch antennas are very bandwidth-limited, but do not properly filter unwanted signals, especially if used in combination with dielectric lenses. On-chip patch antennas in comparison to waveguide-based antenna feeding concepts often show a disadvantage in achieving a precise beam alignment, when used together with dielectric lens antennas, due to alignment difficulties. Additionally, systems operating above 200</w:t>
      </w:r>
      <w:r w:rsidR="00B43AA6">
        <w:rPr>
          <w:rStyle w:val="ECCParagraph"/>
        </w:rPr>
        <w:t> </w:t>
      </w:r>
      <w:r w:rsidRPr="008A6A23">
        <w:rPr>
          <w:rStyle w:val="ECCParagraph"/>
        </w:rPr>
        <w:t xml:space="preserve">GHz are approaching the THz gap and are very limited in performance or can only be realised by using very expensive hand-picked III-V semiconductor chips. This might be suitable for high performance measurement equipment like network </w:t>
      </w:r>
      <w:r w:rsidR="00F650AC" w:rsidRPr="008A6A23">
        <w:rPr>
          <w:rStyle w:val="ECCParagraph"/>
        </w:rPr>
        <w:t>analysers but</w:t>
      </w:r>
      <w:r w:rsidRPr="008A6A23">
        <w:rPr>
          <w:rStyle w:val="ECCParagraph"/>
        </w:rPr>
        <w:t xml:space="preserve"> is too expensive for industrial sensors.</w:t>
      </w:r>
    </w:p>
    <w:p w14:paraId="5CCE5CE9" w14:textId="77777777" w:rsidR="008A6A23" w:rsidRPr="008A6A23" w:rsidRDefault="008A6A23" w:rsidP="00F76653">
      <w:pPr>
        <w:rPr>
          <w:rStyle w:val="ECCParagraph"/>
        </w:rPr>
      </w:pPr>
      <w:r>
        <w:rPr>
          <w:rStyle w:val="ECCParagraph"/>
        </w:rPr>
        <w:t xml:space="preserve">Another </w:t>
      </w:r>
      <w:r w:rsidRPr="008A6A23">
        <w:rPr>
          <w:rStyle w:val="ECCParagraph"/>
        </w:rPr>
        <w:t>disadvantage of the higher frequency bands are the much higher losses. Especially for the plastic sheet thickness measurement system, often plastics, with a large portion of carbon black or other highly lossy material layers, have to be measured. The higher frequencies would combine in this case a degraded SNR because of the technology limitations with a higher loss of the material in the application, which leads to the result that many materials cannot be measured anymore.</w:t>
      </w:r>
    </w:p>
    <w:p w14:paraId="73CF3799" w14:textId="1523EEB4" w:rsidR="008A6A23" w:rsidRPr="008A6A23" w:rsidRDefault="004D2112" w:rsidP="00F76653">
      <w:pPr>
        <w:rPr>
          <w:rStyle w:val="ECCParagraph"/>
        </w:rPr>
      </w:pPr>
      <w:r w:rsidRPr="004D2112">
        <w:rPr>
          <w:rStyle w:val="ECCParagraph"/>
        </w:rPr>
        <w:t xml:space="preserve">Considering the BEL model, which is used throughout this Report, the propagation </w:t>
      </w:r>
      <w:r>
        <w:rPr>
          <w:rStyle w:val="ECCParagraph"/>
        </w:rPr>
        <w:t xml:space="preserve">and shielding </w:t>
      </w:r>
      <w:r w:rsidRPr="004D2112">
        <w:rPr>
          <w:rStyle w:val="ECCParagraph"/>
        </w:rPr>
        <w:t xml:space="preserve">losses increase with higher frequencies. </w:t>
      </w:r>
      <w:r>
        <w:rPr>
          <w:rStyle w:val="ECCParagraph"/>
        </w:rPr>
        <w:t xml:space="preserve">This could be considered as </w:t>
      </w:r>
      <w:r w:rsidR="008A6A23" w:rsidRPr="008A6A23">
        <w:rPr>
          <w:rStyle w:val="ECCParagraph"/>
        </w:rPr>
        <w:t>a big advantage</w:t>
      </w:r>
      <w:r>
        <w:rPr>
          <w:rStyle w:val="ECCParagraph"/>
        </w:rPr>
        <w:t xml:space="preserve"> for the higher frequency ranges.</w:t>
      </w:r>
      <w:r w:rsidR="008A6A23" w:rsidRPr="008A6A23">
        <w:rPr>
          <w:rStyle w:val="ECCParagraph"/>
        </w:rPr>
        <w:t xml:space="preserve"> The propagation through buildings is almost line-of-sight-only. Compared to the frequencies below 100</w:t>
      </w:r>
      <w:r w:rsidR="00B43AA6">
        <w:rPr>
          <w:rStyle w:val="ECCParagraph"/>
        </w:rPr>
        <w:t> </w:t>
      </w:r>
      <w:r w:rsidR="008A6A23" w:rsidRPr="008A6A23">
        <w:rPr>
          <w:rStyle w:val="ECCParagraph"/>
        </w:rPr>
        <w:t>GHz</w:t>
      </w:r>
      <w:r w:rsidRPr="004D2112">
        <w:rPr>
          <w:rStyle w:val="ECCParagraph"/>
        </w:rPr>
        <w:t xml:space="preserve"> </w:t>
      </w:r>
      <w:r w:rsidRPr="008A6A23">
        <w:rPr>
          <w:rStyle w:val="ECCParagraph"/>
        </w:rPr>
        <w:t>where still a significant transmission through building materials occurs</w:t>
      </w:r>
      <w:r w:rsidR="008A6A23" w:rsidRPr="008A6A23">
        <w:rPr>
          <w:rStyle w:val="ECCParagraph"/>
        </w:rPr>
        <w:t xml:space="preserve"> the high shielding loss can much easier be guaranteed. In the single-entry calculations of this </w:t>
      </w:r>
      <w:r w:rsidR="0024172D">
        <w:rPr>
          <w:rStyle w:val="ECCParagraph"/>
        </w:rPr>
        <w:t>R</w:t>
      </w:r>
      <w:r w:rsidR="008A6A23" w:rsidRPr="008A6A23">
        <w:rPr>
          <w:rStyle w:val="ECCParagraph"/>
        </w:rPr>
        <w:t>eport a very conservative shielding loss lump sum value of 50</w:t>
      </w:r>
      <w:r w:rsidR="002F6F99">
        <w:rPr>
          <w:rStyle w:val="ECCParagraph"/>
        </w:rPr>
        <w:t> </w:t>
      </w:r>
      <w:r w:rsidR="008A6A23" w:rsidRPr="008A6A23">
        <w:rPr>
          <w:rStyle w:val="ECCParagraph"/>
        </w:rPr>
        <w:t xml:space="preserve">dB is used for RDI-S (compare </w:t>
      </w:r>
      <w:r w:rsidR="00DA3555">
        <w:rPr>
          <w:rStyle w:val="ECCParagraph"/>
        </w:rPr>
        <w:t>section</w:t>
      </w:r>
      <w:r w:rsidR="008A6A23" w:rsidRPr="008A6A23">
        <w:t xml:space="preserve"> </w:t>
      </w:r>
      <w:r w:rsidR="00701787">
        <w:rPr>
          <w:rStyle w:val="ECCParagraph"/>
          <w:highlight w:val="yellow"/>
        </w:rPr>
        <w:fldChar w:fldCharType="begin"/>
      </w:r>
      <w:r w:rsidR="00701787">
        <w:instrText xml:space="preserve"> REF _Ref65057136 \r \h </w:instrText>
      </w:r>
      <w:r w:rsidR="00701787">
        <w:rPr>
          <w:rStyle w:val="ECCParagraph"/>
          <w:highlight w:val="yellow"/>
        </w:rPr>
      </w:r>
      <w:r w:rsidR="00701787">
        <w:rPr>
          <w:rStyle w:val="ECCParagraph"/>
          <w:highlight w:val="yellow"/>
        </w:rPr>
        <w:fldChar w:fldCharType="separate"/>
      </w:r>
      <w:r w:rsidR="004F49F9">
        <w:t>2.3</w:t>
      </w:r>
      <w:r w:rsidR="00701787">
        <w:rPr>
          <w:rStyle w:val="ECCParagraph"/>
          <w:highlight w:val="yellow"/>
        </w:rPr>
        <w:fldChar w:fldCharType="end"/>
      </w:r>
      <w:r w:rsidR="00F71B56">
        <w:rPr>
          <w:rStyle w:val="ECCParagraph"/>
        </w:rPr>
        <w:t xml:space="preserve"> </w:t>
      </w:r>
      <w:r w:rsidR="008A6A23" w:rsidRPr="008A6A23">
        <w:rPr>
          <w:rStyle w:val="ECCParagraph"/>
        </w:rPr>
        <w:t>and ECC Report 190</w:t>
      </w:r>
      <w:r w:rsidR="002F6F99">
        <w:rPr>
          <w:rStyle w:val="ECCParagraph"/>
        </w:rPr>
        <w:t xml:space="preserve"> </w:t>
      </w:r>
      <w:r w:rsidR="002F6F99">
        <w:rPr>
          <w:rStyle w:val="ECCParagraph"/>
        </w:rPr>
        <w:fldChar w:fldCharType="begin"/>
      </w:r>
      <w:r w:rsidR="002F6F99">
        <w:rPr>
          <w:rStyle w:val="ECCParagraph"/>
        </w:rPr>
        <w:instrText xml:space="preserve"> REF  ECCRep190 \h \w  \* MERGEFORMAT </w:instrText>
      </w:r>
      <w:r w:rsidR="002F6F99">
        <w:rPr>
          <w:rStyle w:val="ECCParagraph"/>
        </w:rPr>
      </w:r>
      <w:r w:rsidR="002F6F99">
        <w:rPr>
          <w:rStyle w:val="ECCParagraph"/>
        </w:rPr>
        <w:fldChar w:fldCharType="separate"/>
      </w:r>
      <w:r w:rsidR="004F49F9">
        <w:rPr>
          <w:rStyle w:val="ECCParagraph"/>
        </w:rPr>
        <w:t>[21]</w:t>
      </w:r>
      <w:r w:rsidR="002F6F99">
        <w:rPr>
          <w:rStyle w:val="ECCParagraph"/>
        </w:rPr>
        <w:fldChar w:fldCharType="end"/>
      </w:r>
      <w:r w:rsidR="008A6A23" w:rsidRPr="008A6A23">
        <w:rPr>
          <w:rStyle w:val="ECCParagraph"/>
        </w:rPr>
        <w:t>, where a shielding-loss value of &gt; 60</w:t>
      </w:r>
      <w:r w:rsidR="00F71B56">
        <w:rPr>
          <w:rStyle w:val="ECCParagraph"/>
        </w:rPr>
        <w:t> </w:t>
      </w:r>
      <w:r w:rsidR="008A6A23" w:rsidRPr="008A6A23">
        <w:rPr>
          <w:rStyle w:val="ECCParagraph"/>
        </w:rPr>
        <w:t>dB is used for indoor/outdoor attenuation at 122</w:t>
      </w:r>
      <w:r w:rsidR="00F71B56">
        <w:rPr>
          <w:rStyle w:val="ECCParagraph"/>
        </w:rPr>
        <w:t> </w:t>
      </w:r>
      <w:r w:rsidR="008A6A23" w:rsidRPr="008A6A23">
        <w:rPr>
          <w:rStyle w:val="ECCParagraph"/>
        </w:rPr>
        <w:t>GHz).</w:t>
      </w:r>
    </w:p>
    <w:p w14:paraId="6F94EA6E" w14:textId="77777777" w:rsidR="008A6A23" w:rsidRPr="008A6A23" w:rsidRDefault="008A6A23" w:rsidP="00F76653">
      <w:pPr>
        <w:rPr>
          <w:rStyle w:val="ECCParagraph"/>
        </w:rPr>
      </w:pPr>
      <w:r>
        <w:rPr>
          <w:rStyle w:val="ECCParagraph"/>
        </w:rPr>
        <w:t>Consider</w:t>
      </w:r>
      <w:r w:rsidRPr="008A6A23">
        <w:rPr>
          <w:rStyle w:val="ECCParagraph"/>
        </w:rPr>
        <w:t>ation of lower frequency ranges for this application is also not an option. The frequency range below 116</w:t>
      </w:r>
      <w:r w:rsidR="002F6F99">
        <w:rPr>
          <w:rStyle w:val="ECCParagraph"/>
        </w:rPr>
        <w:t> </w:t>
      </w:r>
      <w:r w:rsidRPr="008A6A23">
        <w:rPr>
          <w:rStyle w:val="ECCParagraph"/>
        </w:rPr>
        <w:t>GHz is already widely used, the large wavelength has disadvantages in terms of antenna size and achievable antenna spot size, and this frequency range does not offer the possibility for new large bandwidth applications anymore because of many radio services and applications and the reduced shielding losses in this frequency range. Also, the achievable absolute bandwidth is smaller at lower operating frequencies assuming the same relative bandwidth.</w:t>
      </w:r>
    </w:p>
    <w:p w14:paraId="3EF275EC" w14:textId="0D53789A" w:rsidR="008A6A23" w:rsidRPr="008A6A23" w:rsidRDefault="008A6A23" w:rsidP="00F76653">
      <w:pPr>
        <w:rPr>
          <w:rStyle w:val="ECCParagraph"/>
        </w:rPr>
      </w:pPr>
      <w:r>
        <w:rPr>
          <w:rStyle w:val="ECCParagraph"/>
        </w:rPr>
        <w:t xml:space="preserve">Additionally, the widest frequency range window without the need to sweep over a ITU RR 5.340 </w:t>
      </w:r>
      <w:r w:rsidRPr="008A6A23">
        <w:rPr>
          <w:rStyle w:val="ECCParagraph"/>
        </w:rPr>
        <w:t>FN band is located at 116</w:t>
      </w:r>
      <w:r w:rsidR="002F6F99">
        <w:rPr>
          <w:rStyle w:val="ECCParagraph"/>
        </w:rPr>
        <w:t> </w:t>
      </w:r>
      <w:r w:rsidRPr="008A6A23">
        <w:rPr>
          <w:rStyle w:val="ECCParagraph"/>
        </w:rPr>
        <w:t>GHz to 148</w:t>
      </w:r>
      <w:r w:rsidR="00CF4994">
        <w:rPr>
          <w:rStyle w:val="ECCParagraph"/>
        </w:rPr>
        <w:t>.5</w:t>
      </w:r>
      <w:r w:rsidR="002F6F99">
        <w:rPr>
          <w:rStyle w:val="ECCParagraph"/>
        </w:rPr>
        <w:t> </w:t>
      </w:r>
      <w:r w:rsidRPr="008A6A23">
        <w:rPr>
          <w:rStyle w:val="ECCParagraph"/>
        </w:rPr>
        <w:t>GHz, which is unfortunately still too narrow to meet the requirements of industrial RDI-S applications, but is a good starting point. A bandwidth of 50</w:t>
      </w:r>
      <w:r w:rsidR="002F6F99">
        <w:rPr>
          <w:rStyle w:val="ECCParagraph"/>
        </w:rPr>
        <w:t> </w:t>
      </w:r>
      <w:r w:rsidRPr="008A6A23">
        <w:rPr>
          <w:rStyle w:val="ECCParagraph"/>
        </w:rPr>
        <w:t xml:space="preserve">GHz as the current and urgent industrial need is </w:t>
      </w:r>
      <w:r w:rsidR="00DF2D28">
        <w:rPr>
          <w:rStyle w:val="ECCParagraph"/>
        </w:rPr>
        <w:t xml:space="preserve">in line with </w:t>
      </w:r>
      <w:r w:rsidRPr="008A6A23">
        <w:rPr>
          <w:rStyle w:val="ECCParagraph"/>
        </w:rPr>
        <w:t xml:space="preserve">ETSI TR 103 498 </w:t>
      </w:r>
      <w:r w:rsidR="002F6F99">
        <w:rPr>
          <w:rStyle w:val="ECCParagraph"/>
        </w:rPr>
        <w:fldChar w:fldCharType="begin"/>
      </w:r>
      <w:r w:rsidR="002F6F99">
        <w:rPr>
          <w:rStyle w:val="ECCParagraph"/>
        </w:rPr>
        <w:instrText xml:space="preserve"> REF  ETSITR103498 \h \w  \* MERGEFORMAT </w:instrText>
      </w:r>
      <w:r w:rsidR="002F6F99">
        <w:rPr>
          <w:rStyle w:val="ECCParagraph"/>
        </w:rPr>
      </w:r>
      <w:r w:rsidR="002F6F99">
        <w:rPr>
          <w:rStyle w:val="ECCParagraph"/>
        </w:rPr>
        <w:fldChar w:fldCharType="separate"/>
      </w:r>
      <w:r w:rsidR="004F49F9">
        <w:rPr>
          <w:rStyle w:val="ECCParagraph"/>
        </w:rPr>
        <w:t>[1]</w:t>
      </w:r>
      <w:r w:rsidR="002F6F99">
        <w:rPr>
          <w:rStyle w:val="ECCParagraph"/>
        </w:rPr>
        <w:fldChar w:fldCharType="end"/>
      </w:r>
      <w:r w:rsidR="002F6F99">
        <w:rPr>
          <w:rStyle w:val="ECCParagraph"/>
        </w:rPr>
        <w:t xml:space="preserve"> </w:t>
      </w:r>
      <w:r w:rsidR="00DF2D28">
        <w:rPr>
          <w:rStyle w:val="ECCParagraph"/>
        </w:rPr>
        <w:t>and</w:t>
      </w:r>
      <w:r w:rsidRPr="008A6A23">
        <w:rPr>
          <w:rStyle w:val="ECCParagraph"/>
        </w:rPr>
        <w:t xml:space="preserve"> the sentence that “In order to measure plastic workpieces down to a thickness of only a few millimetres, a bandwidth of 25</w:t>
      </w:r>
      <w:r w:rsidR="002F6F99">
        <w:rPr>
          <w:rStyle w:val="ECCParagraph"/>
        </w:rPr>
        <w:t> </w:t>
      </w:r>
      <w:r w:rsidRPr="008A6A23">
        <w:rPr>
          <w:rStyle w:val="ECCParagraph"/>
        </w:rPr>
        <w:t>GHz or higher is required.</w:t>
      </w:r>
      <w:r w:rsidR="002F6F99" w:rsidRPr="008A6A23">
        <w:rPr>
          <w:rStyle w:val="ECCParagraph"/>
        </w:rPr>
        <w:t>”</w:t>
      </w:r>
      <w:r w:rsidR="00303BE0">
        <w:rPr>
          <w:rStyle w:val="ECCParagraph"/>
        </w:rPr>
        <w:t xml:space="preserve"> </w:t>
      </w:r>
      <w:r w:rsidR="002F6F99" w:rsidRPr="008A6A23">
        <w:rPr>
          <w:rStyle w:val="ECCParagraph"/>
        </w:rPr>
        <w:t>This</w:t>
      </w:r>
      <w:r w:rsidRPr="008A6A23">
        <w:rPr>
          <w:rStyle w:val="ECCParagraph"/>
        </w:rPr>
        <w:t xml:space="preserve"> value of 25</w:t>
      </w:r>
      <w:r w:rsidR="002F6F99">
        <w:rPr>
          <w:rStyle w:val="ECCParagraph"/>
        </w:rPr>
        <w:t> </w:t>
      </w:r>
      <w:r w:rsidRPr="008A6A23">
        <w:rPr>
          <w:rStyle w:val="ECCParagraph"/>
        </w:rPr>
        <w:t>GHz was derived from a radar system operating at 80</w:t>
      </w:r>
      <w:r w:rsidR="002F6F99">
        <w:rPr>
          <w:rStyle w:val="ECCParagraph"/>
        </w:rPr>
        <w:t> </w:t>
      </w:r>
      <w:r w:rsidRPr="008A6A23">
        <w:rPr>
          <w:rStyle w:val="ECCParagraph"/>
        </w:rPr>
        <w:t>GHz. Technology at 116-190</w:t>
      </w:r>
      <w:r w:rsidR="002F6F99">
        <w:rPr>
          <w:rStyle w:val="ECCParagraph"/>
        </w:rPr>
        <w:t> </w:t>
      </w:r>
      <w:r w:rsidRPr="008A6A23">
        <w:rPr>
          <w:rStyle w:val="ECCParagraph"/>
        </w:rPr>
        <w:t>GHz allows a doubled bandwidth, which is needed to also resolve pipes with a small wall thickness. The ability to also measure pipes with a small wall thickness is an important key factor for successful integration of the RDI-S technology into the market.</w:t>
      </w:r>
    </w:p>
    <w:p w14:paraId="76A2B13A" w14:textId="77777777" w:rsidR="008A6A23" w:rsidRPr="00465AF4" w:rsidRDefault="008A6A23" w:rsidP="004E36C2">
      <w:pPr>
        <w:pStyle w:val="Heading4"/>
        <w:rPr>
          <w:rStyle w:val="ECCParagraph"/>
        </w:rPr>
      </w:pPr>
      <w:bookmarkStart w:id="347" w:name="_Ref65057811"/>
      <w:bookmarkStart w:id="348" w:name="_Toc84325307"/>
      <w:r>
        <w:rPr>
          <w:rStyle w:val="ECCParagraph"/>
        </w:rPr>
        <w:t>Need for contiguous wide bandwidth</w:t>
      </w:r>
      <w:bookmarkEnd w:id="347"/>
      <w:bookmarkEnd w:id="348"/>
    </w:p>
    <w:p w14:paraId="5A75FDBF" w14:textId="77777777" w:rsidR="008A6A23" w:rsidRPr="008A6A23" w:rsidRDefault="008A6A23" w:rsidP="00F76653">
      <w:pPr>
        <w:rPr>
          <w:rStyle w:val="ECCParagraph"/>
        </w:rPr>
      </w:pPr>
      <w:r>
        <w:rPr>
          <w:rStyle w:val="ECCParagraph"/>
        </w:rPr>
        <w:t>RDI-S applications are high precision radiodetermination applications</w:t>
      </w:r>
      <w:r w:rsidRPr="008A6A23">
        <w:rPr>
          <w:rStyle w:val="ECCParagraph"/>
        </w:rPr>
        <w:t xml:space="preserve"> that can be compared to network analyser measurements for industrial applications with a high measurement rate. The RDI-S category shall be limited to applications with an inherent need to cover a large bandwidth like e.g. high precision measurements, high resolution measurements or material property measurements. Consequently, simple devices like e.g. presence detection switches shall not be allowed to be operated as RDI-S devices. Similar to network analyser systems those devices measure the frequency response over a large portion of bandwidth by means of amplitude and phase. From this transfer function the measurement signal is derived by complex mathematical model comparison or other signal processing techniques. Similar to laboratory network analyser applications for e.g. imaging, material measurements, and many more, covering a large bandwidth and thus determining a large part of the transfer function of the object </w:t>
      </w:r>
      <m:oMath>
        <m:r>
          <w:rPr>
            <w:rStyle w:val="ECCParagraph"/>
            <w:rFonts w:ascii="Cambria Math" w:hAnsi="Cambria Math"/>
          </w:rPr>
          <m:t>H(jω)</m:t>
        </m:r>
      </m:oMath>
      <w:r w:rsidRPr="008A6A23">
        <w:rPr>
          <w:rStyle w:val="ECCParagraph"/>
        </w:rPr>
        <w:t xml:space="preserve">, is essential to deduce a high quality measurement result in combination with high spatial resolution. In contrast to systems based on operation in distinct frequency channels, like communication devices, that can easily </w:t>
      </w:r>
      <w:r w:rsidR="00DF2D28">
        <w:rPr>
          <w:rStyle w:val="ECCParagraph"/>
        </w:rPr>
        <w:t>exclude</w:t>
      </w:r>
      <w:r w:rsidRPr="008A6A23">
        <w:rPr>
          <w:rStyle w:val="ECCParagraph"/>
        </w:rPr>
        <w:t xml:space="preserve"> the ITU RR FN 5.340 bands</w:t>
      </w:r>
      <w:r w:rsidR="00E9259D">
        <w:rPr>
          <w:rStyle w:val="ECCParagraph"/>
        </w:rPr>
        <w:t xml:space="preserve"> by technical measures (e.g. filtering/notching, channel arrangements)</w:t>
      </w:r>
      <w:r w:rsidRPr="008A6A23">
        <w:rPr>
          <w:rStyle w:val="ECCParagraph"/>
        </w:rPr>
        <w:t xml:space="preserve">, RDI-S devices cannot work around these bands, because they need to acquire a continuous phase information and need to sense the object’s physical characteristics </w:t>
      </w:r>
      <w:r w:rsidR="00E9259D">
        <w:rPr>
          <w:rStyle w:val="ECCParagraph"/>
        </w:rPr>
        <w:t>over the entire continuous spectrum interval</w:t>
      </w:r>
      <w:r w:rsidRPr="008A6A23">
        <w:rPr>
          <w:rStyle w:val="ECCParagraph"/>
        </w:rPr>
        <w:t>. Applications that directly benefit from covering a large bandwidth are:</w:t>
      </w:r>
    </w:p>
    <w:p w14:paraId="7B947601" w14:textId="63FE4CF5" w:rsidR="008A6A23" w:rsidRPr="008A6A23" w:rsidRDefault="008A6A23" w:rsidP="00F76653">
      <w:pPr>
        <w:rPr>
          <w:rStyle w:val="ECCParagraph"/>
        </w:rPr>
      </w:pPr>
      <w:r w:rsidRPr="008A6A23">
        <w:rPr>
          <w:rStyle w:val="ECCParagraph"/>
        </w:rPr>
        <w:t xml:space="preserve">High resolution imaging or material property determination of objects with e.g. SAR or real aperture focusing techniques. In this application the X-Y direction resolution depends on the aperture and resolutions of 1mm are easily achieved in this frequency range. However, the resolution </w:t>
      </w:r>
      <m:oMath>
        <m:r>
          <w:rPr>
            <w:rStyle w:val="ECCParagraph"/>
            <w:rFonts w:ascii="Cambria Math" w:hAnsi="Cambria Math"/>
          </w:rPr>
          <m:t>∆r</m:t>
        </m:r>
      </m:oMath>
      <w:r w:rsidRPr="008A6A23">
        <w:rPr>
          <w:rStyle w:val="ECCParagraph"/>
        </w:rPr>
        <w:t xml:space="preserve"> in Z direction is proportional to </w:t>
      </w:r>
      <m:oMath>
        <m:r>
          <w:rPr>
            <w:rStyle w:val="ECCParagraph"/>
            <w:rFonts w:ascii="Cambria Math" w:hAnsi="Cambria Math"/>
          </w:rPr>
          <m:t>∆r=</m:t>
        </m:r>
        <m:f>
          <m:fPr>
            <m:ctrlPr>
              <w:rPr>
                <w:rStyle w:val="ECCParagraph"/>
                <w:rFonts w:ascii="Cambria Math" w:hAnsi="Cambria Math"/>
              </w:rPr>
            </m:ctrlPr>
          </m:fPr>
          <m:num>
            <m:r>
              <w:rPr>
                <w:rStyle w:val="ECCParagraph"/>
                <w:rFonts w:ascii="Cambria Math" w:hAnsi="Cambria Math"/>
              </w:rPr>
              <m:t>c∙</m:t>
            </m:r>
            <m:sSub>
              <m:sSubPr>
                <m:ctrlPr>
                  <w:rPr>
                    <w:rStyle w:val="ECCParagraph"/>
                    <w:rFonts w:ascii="Cambria Math" w:hAnsi="Cambria Math"/>
                  </w:rPr>
                </m:ctrlPr>
              </m:sSubPr>
              <m:e>
                <m:r>
                  <w:rPr>
                    <w:rStyle w:val="ECCParagraph"/>
                    <w:rFonts w:ascii="Cambria Math" w:hAnsi="Cambria Math"/>
                  </w:rPr>
                  <m:t>c</m:t>
                </m:r>
              </m:e>
              <m:sub>
                <m:r>
                  <w:rPr>
                    <w:rStyle w:val="ECCParagraph"/>
                    <w:rFonts w:ascii="Cambria Math" w:hAnsi="Cambria Math"/>
                  </w:rPr>
                  <m:t>w</m:t>
                </m:r>
              </m:sub>
            </m:sSub>
          </m:num>
          <m:den>
            <m:r>
              <w:rPr>
                <w:rStyle w:val="ECCParagraph"/>
                <w:rFonts w:ascii="Cambria Math" w:hAnsi="Cambria Math"/>
              </w:rPr>
              <m:t>2B∙(n)</m:t>
            </m:r>
          </m:den>
        </m:f>
      </m:oMath>
      <w:r w:rsidRPr="008A6A23">
        <w:rPr>
          <w:rStyle w:val="ECCParagraph"/>
        </w:rPr>
        <w:t xml:space="preserve">, where </w:t>
      </w:r>
      <m:oMath>
        <m:r>
          <w:rPr>
            <w:rStyle w:val="ECCParagraph"/>
            <w:rFonts w:ascii="Cambria Math" w:hAnsi="Cambria Math"/>
          </w:rPr>
          <m:t>B</m:t>
        </m:r>
      </m:oMath>
      <w:r w:rsidRPr="008A6A23">
        <w:rPr>
          <w:rStyle w:val="ECCParagraph"/>
        </w:rPr>
        <w:t xml:space="preserve"> is the bandwidth covered by the FMCW sweep signal, </w:t>
      </w:r>
      <m:oMath>
        <m:r>
          <w:rPr>
            <w:rStyle w:val="ECCParagraph"/>
            <w:rFonts w:ascii="Cambria Math" w:hAnsi="Cambria Math"/>
          </w:rPr>
          <m:t>c</m:t>
        </m:r>
      </m:oMath>
      <w:r w:rsidRPr="008A6A23">
        <w:rPr>
          <w:rStyle w:val="ECCParagraph"/>
        </w:rPr>
        <w:t xml:space="preserve"> the wave’s propagation speed</w:t>
      </w:r>
      <w:r w:rsidR="00500616">
        <w:rPr>
          <w:rStyle w:val="ECCParagraph"/>
        </w:rPr>
        <w:t xml:space="preserve"> in air</w:t>
      </w:r>
      <w:r w:rsidRPr="008A6A23">
        <w:rPr>
          <w:rStyle w:val="ECCParagraph"/>
        </w:rPr>
        <w:t xml:space="preserve">, and </w:t>
      </w:r>
      <m:oMath>
        <m:sSub>
          <m:sSubPr>
            <m:ctrlPr>
              <w:rPr>
                <w:rStyle w:val="ECCParagraph"/>
                <w:rFonts w:ascii="Cambria Math" w:hAnsi="Cambria Math"/>
              </w:rPr>
            </m:ctrlPr>
          </m:sSubPr>
          <m:e>
            <m:r>
              <w:rPr>
                <w:rStyle w:val="ECCParagraph"/>
                <w:rFonts w:ascii="Cambria Math" w:hAnsi="Cambria Math"/>
              </w:rPr>
              <m:t>c</m:t>
            </m:r>
          </m:e>
          <m:sub>
            <m:r>
              <w:rPr>
                <w:rStyle w:val="ECCParagraph"/>
                <w:rFonts w:ascii="Cambria Math" w:hAnsi="Cambria Math"/>
              </w:rPr>
              <m:t>w</m:t>
            </m:r>
          </m:sub>
        </m:sSub>
      </m:oMath>
      <w:r w:rsidRPr="008A6A23">
        <w:rPr>
          <w:rStyle w:val="ECCParagraph"/>
        </w:rPr>
        <w:t xml:space="preserve"> a factor describing the influence of the window function</w:t>
      </w:r>
      <w:r w:rsidR="00701787" w:rsidRPr="00701787">
        <w:rPr>
          <w:rStyle w:val="ECCParagraph"/>
        </w:rPr>
        <w:t xml:space="preserve"> </w:t>
      </w:r>
      <w:r w:rsidR="00701787">
        <w:rPr>
          <w:rStyle w:val="ECCParagraph"/>
        </w:rPr>
        <w:fldChar w:fldCharType="begin"/>
      </w:r>
      <w:r w:rsidR="00701787">
        <w:rPr>
          <w:rStyle w:val="ECCParagraph"/>
        </w:rPr>
        <w:instrText xml:space="preserve"> REF  Window_functions \h \w  \* MERGEFORMAT </w:instrText>
      </w:r>
      <w:r w:rsidR="00701787">
        <w:rPr>
          <w:rStyle w:val="ECCParagraph"/>
        </w:rPr>
      </w:r>
      <w:r w:rsidR="00701787">
        <w:rPr>
          <w:rStyle w:val="ECCParagraph"/>
        </w:rPr>
        <w:fldChar w:fldCharType="separate"/>
      </w:r>
      <w:r w:rsidR="004F49F9">
        <w:rPr>
          <w:rStyle w:val="ECCParagraph"/>
        </w:rPr>
        <w:t>[67]</w:t>
      </w:r>
      <w:r w:rsidR="00701787">
        <w:rPr>
          <w:rStyle w:val="ECCParagraph"/>
        </w:rPr>
        <w:fldChar w:fldCharType="end"/>
      </w:r>
      <w:r w:rsidRPr="008A6A23">
        <w:rPr>
          <w:rStyle w:val="ECCParagraph"/>
        </w:rPr>
        <w:t xml:space="preserve">. </w:t>
      </w:r>
      <w:r w:rsidR="00500616">
        <w:rPr>
          <w:rStyle w:val="ECCParagraph"/>
        </w:rPr>
        <w:t xml:space="preserve">Inside a material the propagation speed is reduced by the refractive index n, resulting in a better resolution compared to free space propagation with n=1. </w:t>
      </w:r>
      <w:r w:rsidRPr="008A6A23">
        <w:rPr>
          <w:rStyle w:val="ECCParagraph"/>
        </w:rPr>
        <w:t>To get close to a uniform resolution cell, preferably a -3 dB bandwidth of 100</w:t>
      </w:r>
      <w:r w:rsidR="002F6F99">
        <w:rPr>
          <w:rStyle w:val="ECCParagraph"/>
        </w:rPr>
        <w:t> </w:t>
      </w:r>
      <w:r w:rsidRPr="008A6A23">
        <w:rPr>
          <w:rStyle w:val="ECCParagraph"/>
        </w:rPr>
        <w:t>GHz is needed, and at least, covering 50</w:t>
      </w:r>
      <w:r w:rsidR="002F6F99">
        <w:rPr>
          <w:rStyle w:val="ECCParagraph"/>
        </w:rPr>
        <w:t> </w:t>
      </w:r>
      <w:r w:rsidRPr="008A6A23">
        <w:rPr>
          <w:rStyle w:val="ECCParagraph"/>
        </w:rPr>
        <w:t>GHz of bandwidth is essential to achieve a suitable range resolution to distinguish between different material layers for a large number of materials. A bandwidth of 50</w:t>
      </w:r>
      <w:r w:rsidR="002F6F99">
        <w:rPr>
          <w:rStyle w:val="ECCParagraph"/>
        </w:rPr>
        <w:t> </w:t>
      </w:r>
      <w:r w:rsidRPr="008A6A23">
        <w:rPr>
          <w:rStyle w:val="ECCParagraph"/>
        </w:rPr>
        <w:t>GHz allows, depending on the material permittivity, a resolution of pipe wall thicknesses of down to 2 to 2.5</w:t>
      </w:r>
      <w:r w:rsidR="002F6F99">
        <w:rPr>
          <w:rStyle w:val="ECCParagraph"/>
        </w:rPr>
        <w:t> </w:t>
      </w:r>
      <w:r w:rsidRPr="008A6A23">
        <w:rPr>
          <w:rStyle w:val="ECCParagraph"/>
        </w:rPr>
        <w:t>mm. With a bandwidth of 100</w:t>
      </w:r>
      <w:r w:rsidR="002F6F99">
        <w:rPr>
          <w:rStyle w:val="ECCParagraph"/>
        </w:rPr>
        <w:t> </w:t>
      </w:r>
      <w:r w:rsidRPr="008A6A23">
        <w:rPr>
          <w:rStyle w:val="ECCParagraph"/>
        </w:rPr>
        <w:t>GHz the systems are getting close to 1</w:t>
      </w:r>
      <w:r w:rsidR="002F6F99">
        <w:rPr>
          <w:rStyle w:val="ECCParagraph"/>
        </w:rPr>
        <w:t> </w:t>
      </w:r>
      <w:r w:rsidRPr="008A6A23">
        <w:rPr>
          <w:rStyle w:val="ECCParagraph"/>
        </w:rPr>
        <w:t>mm wall thickness. The 2 to 2.5</w:t>
      </w:r>
      <w:r w:rsidR="002F6F99">
        <w:rPr>
          <w:rStyle w:val="ECCParagraph"/>
        </w:rPr>
        <w:t> </w:t>
      </w:r>
      <w:r w:rsidRPr="008A6A23">
        <w:rPr>
          <w:rStyle w:val="ECCParagraph"/>
        </w:rPr>
        <w:t>mm wall thickness is an essential threshold to enable the RDI-S devices to be used in the very important market of combined and multilayer material pipes, because the used material thickness combined with the material permittivity of a large number of pipe products in this field can only be measured with a minimum bandwidth of 50</w:t>
      </w:r>
      <w:r w:rsidR="002F6F99">
        <w:rPr>
          <w:rStyle w:val="ECCParagraph"/>
        </w:rPr>
        <w:t> </w:t>
      </w:r>
      <w:r w:rsidRPr="008A6A23">
        <w:rPr>
          <w:rStyle w:val="ECCParagraph"/>
        </w:rPr>
        <w:t>GHz. Achieving only 32.5</w:t>
      </w:r>
      <w:r w:rsidR="002F6F99">
        <w:rPr>
          <w:rStyle w:val="ECCParagraph"/>
        </w:rPr>
        <w:t> </w:t>
      </w:r>
      <w:r w:rsidRPr="008A6A23">
        <w:rPr>
          <w:rStyle w:val="ECCParagraph"/>
        </w:rPr>
        <w:t>GHz of bandwidth would lead to a drastically reduced application field and thus a drastically reduced profitability of RDI-S devices. Furthermore, many production lines that cannot be equipped with radar technology control loops to improve product quality and raw material utilisation are wasting important resources like plastics, energy and thus carbon dioxide day by day. For this application also a high measurement rate is essential to meet the Nyquist criterion in space, while recording the measurement data.</w:t>
      </w:r>
    </w:p>
    <w:p w14:paraId="097FFA9B" w14:textId="79D0853B" w:rsidR="008A6A23" w:rsidRPr="008A6A23" w:rsidRDefault="00D828D3" w:rsidP="00F76653">
      <w:pPr>
        <w:rPr>
          <w:rStyle w:val="ECCParagraph"/>
        </w:rPr>
      </w:pPr>
      <w:r>
        <w:rPr>
          <w:rStyle w:val="ECCParagraph"/>
        </w:rPr>
        <w:fldChar w:fldCharType="begin"/>
      </w:r>
      <w:r>
        <w:rPr>
          <w:rStyle w:val="ECCParagraph"/>
        </w:rPr>
        <w:instrText xml:space="preserve"> REF _Ref66376230 \h </w:instrText>
      </w:r>
      <w:r>
        <w:rPr>
          <w:rStyle w:val="ECCParagraph"/>
        </w:rPr>
      </w:r>
      <w:r>
        <w:rPr>
          <w:rStyle w:val="ECCParagraph"/>
        </w:rPr>
        <w:fldChar w:fldCharType="separate"/>
      </w:r>
      <w:r w:rsidR="0041125F" w:rsidRPr="00334871">
        <w:t>Figure </w:t>
      </w:r>
      <w:r w:rsidR="0041125F">
        <w:rPr>
          <w:noProof/>
        </w:rPr>
        <w:t>63</w:t>
      </w:r>
      <w:r>
        <w:rPr>
          <w:rStyle w:val="ECCParagraph"/>
        </w:rPr>
        <w:fldChar w:fldCharType="end"/>
      </w:r>
      <w:r>
        <w:rPr>
          <w:rStyle w:val="ECCParagraph"/>
        </w:rPr>
        <w:t xml:space="preserve"> </w:t>
      </w:r>
      <w:r w:rsidR="008A6A23">
        <w:rPr>
          <w:rStyle w:val="ECCParagraph"/>
        </w:rPr>
        <w:t xml:space="preserve">shows an example to justify the argumentation above. </w:t>
      </w:r>
      <w:r w:rsidR="008A6A23" w:rsidRPr="008A6A23">
        <w:rPr>
          <w:rStyle w:val="ECCParagraph"/>
        </w:rPr>
        <w:t>A synthetic aperture radar image of a parking disk as a representative thin mult</w:t>
      </w:r>
      <w:r w:rsidR="00F76653">
        <w:rPr>
          <w:rStyle w:val="ECCParagraph"/>
        </w:rPr>
        <w:t>i</w:t>
      </w:r>
      <w:r w:rsidR="008A6A23" w:rsidRPr="008A6A23">
        <w:rPr>
          <w:rStyle w:val="ECCParagraph"/>
        </w:rPr>
        <w:t>-layer is measured with 32.5 and 55</w:t>
      </w:r>
      <w:r w:rsidR="00B612B3">
        <w:rPr>
          <w:rStyle w:val="ECCParagraph"/>
        </w:rPr>
        <w:t> </w:t>
      </w:r>
      <w:r w:rsidR="008A6A23" w:rsidRPr="008A6A23">
        <w:rPr>
          <w:rStyle w:val="ECCParagraph"/>
        </w:rPr>
        <w:t xml:space="preserve">GHz bandwidth. The X and Y axis resolution remains the same, as this depends on the used frequency range and the aperture. But in Z axis the resolution depends on the radar bandwidth. This results in degraded imaging quality, because reflections of other layers are folding into the layer of interest and reduce image quality. The rotating disc inside of the object is for example much better visible with the wider bandwidth. Reduced image quality can especially not </w:t>
      </w:r>
      <w:r w:rsidR="00F650AC">
        <w:rPr>
          <w:rStyle w:val="ECCParagraph"/>
        </w:rPr>
        <w:t xml:space="preserve">be </w:t>
      </w:r>
      <w:r w:rsidR="008A6A23" w:rsidRPr="008A6A23">
        <w:rPr>
          <w:rStyle w:val="ECCParagraph"/>
        </w:rPr>
        <w:t>tolerated, if small defects need to be detected or if automated inspection of the images is desired. The 55</w:t>
      </w:r>
      <w:r>
        <w:rPr>
          <w:rStyle w:val="ECCParagraph"/>
        </w:rPr>
        <w:t> </w:t>
      </w:r>
      <w:r w:rsidR="008A6A23" w:rsidRPr="008A6A23">
        <w:rPr>
          <w:rStyle w:val="ECCParagraph"/>
        </w:rPr>
        <w:t>GHz bandwidth SAR image even allows to almost resolve the “Arrival time” marking, which is completely hidden in the reduced bandwidth image.</w:t>
      </w:r>
    </w:p>
    <w:p w14:paraId="0DBDB1B4" w14:textId="77777777" w:rsidR="008A6A23" w:rsidRPr="008A6A23" w:rsidRDefault="008A6A23" w:rsidP="005D627A">
      <w:pPr>
        <w:pStyle w:val="Caption"/>
      </w:pPr>
      <w:r w:rsidRPr="008A6A23">
        <w:rPr>
          <w:noProof/>
          <w:lang w:val="de-DE" w:eastAsia="de-DE"/>
        </w:rPr>
        <w:drawing>
          <wp:inline distT="0" distB="0" distL="0" distR="0" wp14:anchorId="72343D57" wp14:editId="59222C83">
            <wp:extent cx="5987511" cy="2760562"/>
            <wp:effectExtent l="0" t="0" r="0" b="1905"/>
            <wp:docPr id="22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bwMode="auto">
                    <a:xfrm>
                      <a:off x="0" y="0"/>
                      <a:ext cx="5999055" cy="2765884"/>
                    </a:xfrm>
                    <a:prstGeom prst="rect">
                      <a:avLst/>
                    </a:prstGeom>
                    <a:ln>
                      <a:noFill/>
                    </a:ln>
                    <a:extLst>
                      <a:ext uri="{53640926-AAD7-44D8-BBD7-CCE9431645EC}">
                        <a14:shadowObscured xmlns:a14="http://schemas.microsoft.com/office/drawing/2010/main"/>
                      </a:ext>
                    </a:extLst>
                  </pic:spPr>
                </pic:pic>
              </a:graphicData>
            </a:graphic>
          </wp:inline>
        </w:drawing>
      </w:r>
    </w:p>
    <w:p w14:paraId="4156EC01" w14:textId="66075089" w:rsidR="008A6A23" w:rsidRPr="007E3BCC" w:rsidRDefault="00B612B3" w:rsidP="007E3BCC">
      <w:pPr>
        <w:pStyle w:val="Caption"/>
        <w:rPr>
          <w:rStyle w:val="ECCParagraph"/>
          <w:lang w:val="da-DK"/>
        </w:rPr>
      </w:pPr>
      <w:bookmarkStart w:id="349" w:name="_Ref66376230"/>
      <w:r w:rsidRPr="00334871">
        <w:t>Figure </w:t>
      </w:r>
      <w:r w:rsidRPr="005C0FE4">
        <w:fldChar w:fldCharType="begin"/>
      </w:r>
      <w:r>
        <w:instrText xml:space="preserve"> SEQ Figure \*ARABIC \* MERGEFORMAT  \* MERGEFORMAT </w:instrText>
      </w:r>
      <w:r w:rsidRPr="005C0FE4">
        <w:fldChar w:fldCharType="separate"/>
      </w:r>
      <w:r w:rsidR="004F49F9">
        <w:rPr>
          <w:noProof/>
        </w:rPr>
        <w:t>63</w:t>
      </w:r>
      <w:r w:rsidRPr="005C0FE4">
        <w:fldChar w:fldCharType="end"/>
      </w:r>
      <w:bookmarkEnd w:id="349"/>
      <w:r w:rsidR="008A6A23" w:rsidRPr="007E3BCC">
        <w:t>: Bandwidth comparison (32</w:t>
      </w:r>
      <w:r w:rsidR="00CF4994">
        <w:t>.5</w:t>
      </w:r>
      <w:r>
        <w:t> </w:t>
      </w:r>
      <w:r w:rsidR="008A6A23" w:rsidRPr="007E3BCC">
        <w:t>GHz and 55</w:t>
      </w:r>
      <w:r w:rsidR="00007CF9">
        <w:t> </w:t>
      </w:r>
      <w:r w:rsidR="008A6A23" w:rsidRPr="007E3BCC">
        <w:t>GHz modulation bandwidth) for thin layer SAR-image</w:t>
      </w:r>
      <w:r w:rsidR="00007CF9">
        <w:t xml:space="preserve"> </w:t>
      </w:r>
      <w:r w:rsidR="00007CF9" w:rsidRPr="00E41212">
        <w:t>(n</w:t>
      </w:r>
      <w:r w:rsidR="00007CF9">
        <w:t xml:space="preserve"> is unknown</w:t>
      </w:r>
      <w:r w:rsidR="00007CF9" w:rsidRPr="00E41212">
        <w:t xml:space="preserve">, </w:t>
      </w:r>
      <w:r w:rsidR="00007CF9">
        <w:t>Tukey</w:t>
      </w:r>
      <w:r w:rsidR="00007CF9" w:rsidRPr="00E41212">
        <w:t xml:space="preserve"> window function)</w:t>
      </w:r>
      <w:r w:rsidR="008A6A23" w:rsidRPr="007E3BCC">
        <w:t>.</w:t>
      </w:r>
    </w:p>
    <w:p w14:paraId="3EA8C33F" w14:textId="474725D3" w:rsidR="008A6A23" w:rsidRPr="008A6A23" w:rsidRDefault="008A6A23" w:rsidP="00F76653">
      <w:pPr>
        <w:rPr>
          <w:rStyle w:val="ECCParagraph"/>
        </w:rPr>
      </w:pPr>
      <w:r w:rsidRPr="008A6A23">
        <w:rPr>
          <w:rStyle w:val="ECCParagraph"/>
        </w:rPr>
        <w:t xml:space="preserve">Thickness and material measurements and object classification are other very important application classes, where covering a large bandwidth is essential. From the measured object’s transfer function </w:t>
      </w:r>
      <m:oMath>
        <m:r>
          <w:rPr>
            <w:rStyle w:val="ECCParagraph"/>
            <w:rFonts w:ascii="Cambria Math" w:hAnsi="Cambria Math"/>
          </w:rPr>
          <m:t>H(jω)</m:t>
        </m:r>
      </m:oMath>
      <w:r w:rsidRPr="008A6A23">
        <w:rPr>
          <w:rStyle w:val="ECCParagraph"/>
        </w:rPr>
        <w:t xml:space="preserve"> and a signal model according to the Fabry–Pérot interferometer concept (see Wikipedia for a detailed description) the material parameter in terms of complex permittivity or the thickness are derived. For object classification, the measured transfer function is fed into a previously trained machine learning model or is compared to an analytical model. For all these applications covering a bandwidth as large as possible is needed, because it limits the range resolution. If the covered bandwidth is too small, the detection of fine object details or thin layers, as is needed by the pipe measurement industry, become undetectable. Here a bandwidth of at least 50</w:t>
      </w:r>
      <w:r w:rsidR="00675736">
        <w:rPr>
          <w:rStyle w:val="ECCParagraph"/>
        </w:rPr>
        <w:t> </w:t>
      </w:r>
      <w:r w:rsidRPr="008A6A23">
        <w:rPr>
          <w:rStyle w:val="ECCParagraph"/>
        </w:rPr>
        <w:t xml:space="preserve">GHz is required to meet the applications’ requirements </w:t>
      </w:r>
      <w:r w:rsidR="00D205AA">
        <w:rPr>
          <w:rStyle w:val="ECCParagraph"/>
        </w:rPr>
        <w:t>for thickness measurements up to 2</w:t>
      </w:r>
      <w:r w:rsidR="00F275B7">
        <w:rPr>
          <w:rStyle w:val="ECCParagraph"/>
        </w:rPr>
        <w:t> </w:t>
      </w:r>
      <w:r w:rsidR="00D205AA">
        <w:rPr>
          <w:rStyle w:val="ECCParagraph"/>
        </w:rPr>
        <w:t xml:space="preserve">mm </w:t>
      </w:r>
      <w:r w:rsidRPr="008A6A23">
        <w:rPr>
          <w:rStyle w:val="ECCParagraph"/>
        </w:rPr>
        <w:t>and to cover a large range of applications. Reducing the bandwidth to only 32.5</w:t>
      </w:r>
      <w:r w:rsidR="00E0162F">
        <w:rPr>
          <w:rStyle w:val="ECCParagraph"/>
        </w:rPr>
        <w:t> </w:t>
      </w:r>
      <w:r w:rsidRPr="008A6A23">
        <w:rPr>
          <w:rStyle w:val="ECCParagraph"/>
        </w:rPr>
        <w:t>GHz and thus the resolution by 35</w:t>
      </w:r>
      <w:r w:rsidR="00F800A2">
        <w:rPr>
          <w:rStyle w:val="ECCParagraph"/>
        </w:rPr>
        <w:t>%</w:t>
      </w:r>
      <w:r w:rsidRPr="008A6A23">
        <w:rPr>
          <w:rStyle w:val="ECCParagraph"/>
        </w:rPr>
        <w:t xml:space="preserve"> would lead to a limited application range that will prevent radar technology from being used in this field for many common pipe thicknesses</w:t>
      </w:r>
      <w:r w:rsidR="00D205AA">
        <w:rPr>
          <w:rStyle w:val="ECCParagraph"/>
        </w:rPr>
        <w:t xml:space="preserve"> thinner than 3</w:t>
      </w:r>
      <w:r w:rsidR="00F275B7">
        <w:rPr>
          <w:rStyle w:val="ECCParagraph"/>
        </w:rPr>
        <w:t> </w:t>
      </w:r>
      <w:r w:rsidR="00D205AA">
        <w:rPr>
          <w:rStyle w:val="ECCParagraph"/>
        </w:rPr>
        <w:t>mm</w:t>
      </w:r>
      <w:r w:rsidRPr="008A6A23">
        <w:rPr>
          <w:rStyle w:val="ECCParagraph"/>
        </w:rPr>
        <w:t>. Especially for thin pipes every additional GHz of bandwidth and improvement in resolution is important to broaden the application field. For this application a high measurement rate is needed</w:t>
      </w:r>
      <w:r w:rsidR="00A347BB">
        <w:rPr>
          <w:rStyle w:val="ECCParagraph"/>
        </w:rPr>
        <w:t xml:space="preserve"> (compare section </w:t>
      </w:r>
      <w:r w:rsidR="00323527">
        <w:fldChar w:fldCharType="begin"/>
      </w:r>
      <w:r w:rsidR="00323527">
        <w:rPr>
          <w:rStyle w:val="ECCParagraph"/>
        </w:rPr>
        <w:instrText xml:space="preserve"> REF _Ref66452779 \r \h </w:instrText>
      </w:r>
      <w:r w:rsidR="00323527">
        <w:fldChar w:fldCharType="separate"/>
      </w:r>
      <w:r w:rsidR="004F49F9">
        <w:rPr>
          <w:rStyle w:val="ECCParagraph"/>
        </w:rPr>
        <w:t>2.2.8.3</w:t>
      </w:r>
      <w:r w:rsidR="00323527">
        <w:fldChar w:fldCharType="end"/>
      </w:r>
      <w:r w:rsidR="00A347BB" w:rsidRPr="00A347BB">
        <w:rPr>
          <w:rStyle w:val="ECCParagraph"/>
        </w:rPr>
        <w:t>)</w:t>
      </w:r>
      <w:r w:rsidRPr="008A6A23">
        <w:rPr>
          <w:rStyle w:val="ECCParagraph"/>
        </w:rPr>
        <w:t>, and the measurement range must not have notched out parts.</w:t>
      </w:r>
    </w:p>
    <w:p w14:paraId="6B571C67" w14:textId="77777777" w:rsidR="008A6A23" w:rsidRPr="00F76653" w:rsidRDefault="008A6A23" w:rsidP="00F76653">
      <w:pPr>
        <w:rPr>
          <w:rStyle w:val="ECCHLbold"/>
        </w:rPr>
      </w:pPr>
      <w:r w:rsidRPr="00F76653">
        <w:rPr>
          <w:rStyle w:val="ECCHLbold"/>
        </w:rPr>
        <w:t>Reasons for a large bandwidth – example of plastic measurements</w:t>
      </w:r>
    </w:p>
    <w:p w14:paraId="07E9976E" w14:textId="77777777" w:rsidR="008A6A23" w:rsidRPr="008A6A23" w:rsidRDefault="008A6A23" w:rsidP="00F76653">
      <w:pPr>
        <w:rPr>
          <w:rStyle w:val="ECCParagraph"/>
        </w:rPr>
      </w:pPr>
      <w:r w:rsidRPr="00C67A56">
        <w:rPr>
          <w:rStyle w:val="ECCParagraph"/>
        </w:rPr>
        <w:t>Plastic pipes are used in a huge range of products as different kind of infrastructural pipes (e.g. gas pipes, drinking water, wastewater, cable protection,</w:t>
      </w:r>
      <w:r w:rsidR="00E0162F">
        <w:rPr>
          <w:rStyle w:val="ECCParagraph"/>
        </w:rPr>
        <w:t xml:space="preserve"> etc.) </w:t>
      </w:r>
      <w:r w:rsidRPr="00C67A56">
        <w:rPr>
          <w:rStyle w:val="ECCParagraph"/>
        </w:rPr>
        <w:t xml:space="preserve">or blow </w:t>
      </w:r>
      <w:r w:rsidRPr="008A6A23">
        <w:rPr>
          <w:rStyle w:val="ECCParagraph"/>
        </w:rPr>
        <w:t>moulding parts (consumer products, automotive parts). This market seeks for a cost effective, easy, and harmless inline measurement technique for quality control and process optimization and automation. Manual destructive measurement methods are out of time and shall be replaced by non-destructive methods.</w:t>
      </w:r>
    </w:p>
    <w:p w14:paraId="2762FBC1" w14:textId="77777777" w:rsidR="008A6A23" w:rsidRPr="008A6A23" w:rsidRDefault="008A6A23" w:rsidP="00F76653">
      <w:pPr>
        <w:rPr>
          <w:rStyle w:val="ECCParagraph"/>
        </w:rPr>
      </w:pPr>
      <w:r w:rsidRPr="00C67A56">
        <w:rPr>
          <w:rStyle w:val="ECCParagraph"/>
        </w:rPr>
        <w:t>The radar technology is a very promising technique to fill that gap of measurement technology. However, to reach the necessary wall thickness resolution a high bandwidth is necessary as the possible resolution is anti-proportional to the bandwidth BW (resolution~1/BW).</w:t>
      </w:r>
    </w:p>
    <w:p w14:paraId="1B60D5B6" w14:textId="77777777" w:rsidR="008A6A23" w:rsidRDefault="008A6A23" w:rsidP="00A51089">
      <w:pPr>
        <w:pStyle w:val="Caption"/>
      </w:pPr>
      <w:r w:rsidRPr="008A6A23">
        <w:rPr>
          <w:noProof/>
          <w:lang w:val="de-DE" w:eastAsia="de-DE"/>
        </w:rPr>
        <w:drawing>
          <wp:inline distT="0" distB="0" distL="0" distR="0" wp14:anchorId="0F128BD0" wp14:editId="1ACA96B8">
            <wp:extent cx="4914539" cy="2485292"/>
            <wp:effectExtent l="0" t="0" r="635" b="0"/>
            <wp:docPr id="227"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89222" cy="2523059"/>
                    </a:xfrm>
                    <a:prstGeom prst="rect">
                      <a:avLst/>
                    </a:prstGeom>
                  </pic:spPr>
                </pic:pic>
              </a:graphicData>
            </a:graphic>
          </wp:inline>
        </w:drawing>
      </w:r>
    </w:p>
    <w:p w14:paraId="6CF35C3D" w14:textId="1B355F95" w:rsidR="008A6A23" w:rsidRDefault="00D828D3" w:rsidP="003A4274">
      <w:pPr>
        <w:pStyle w:val="Caption"/>
      </w:pPr>
      <w:bookmarkStart w:id="350" w:name="_Ref66376369"/>
      <w:r w:rsidRPr="00334871">
        <w:t>Figure </w:t>
      </w:r>
      <w:r w:rsidRPr="005C0FE4">
        <w:fldChar w:fldCharType="begin"/>
      </w:r>
      <w:r>
        <w:instrText xml:space="preserve"> SEQ Figure \*ARABIC \* MERGEFORMAT  \* MERGEFORMAT </w:instrText>
      </w:r>
      <w:r w:rsidRPr="005C0FE4">
        <w:fldChar w:fldCharType="separate"/>
      </w:r>
      <w:r w:rsidR="004F49F9">
        <w:rPr>
          <w:noProof/>
        </w:rPr>
        <w:t>64</w:t>
      </w:r>
      <w:r w:rsidRPr="005C0FE4">
        <w:fldChar w:fldCharType="end"/>
      </w:r>
      <w:bookmarkEnd w:id="350"/>
      <w:r w:rsidR="008A6A23" w:rsidRPr="008A6A23">
        <w:t>: Measurable wall thickness for 32</w:t>
      </w:r>
      <w:r w:rsidR="00CF4994">
        <w:t>.5</w:t>
      </w:r>
      <w:r>
        <w:t> </w:t>
      </w:r>
      <w:r w:rsidR="008A6A23" w:rsidRPr="008A6A23">
        <w:t>GHz, 50</w:t>
      </w:r>
      <w:r>
        <w:t> </w:t>
      </w:r>
      <w:r w:rsidR="008A6A23" w:rsidRPr="008A6A23">
        <w:t>GHz, and 100</w:t>
      </w:r>
      <w:r>
        <w:t> </w:t>
      </w:r>
      <w:r w:rsidR="008A6A23" w:rsidRPr="008A6A23">
        <w:t>GHz, respectively</w:t>
      </w:r>
      <w:r w:rsidR="00007CF9">
        <w:t xml:space="preserve"> (n=1</w:t>
      </w:r>
      <w:r w:rsidR="00CF4994">
        <w:t>.5</w:t>
      </w:r>
      <w:r w:rsidR="00007CF9">
        <w:t xml:space="preserve">, rectangular window function, evaluated with </w:t>
      </w:r>
      <w:r w:rsidR="00007CF9" w:rsidRPr="00E41212">
        <w:t>Fabry–Pérot</w:t>
      </w:r>
      <w:r w:rsidR="00007CF9">
        <w:t xml:space="preserve"> principle</w:t>
      </w:r>
      <w:r w:rsidR="00007CF9" w:rsidRPr="00E41212">
        <w:t>)</w:t>
      </w:r>
    </w:p>
    <w:p w14:paraId="4F26880B" w14:textId="77777777" w:rsidR="007E3BCC" w:rsidRPr="007E3BCC" w:rsidRDefault="007E3BCC" w:rsidP="007E3BCC">
      <w:pPr>
        <w:rPr>
          <w:lang w:val="da-DK"/>
        </w:rPr>
      </w:pPr>
    </w:p>
    <w:p w14:paraId="143DFFD1" w14:textId="77777777" w:rsidR="008A6A23" w:rsidRPr="008A6A23" w:rsidRDefault="008A6A23" w:rsidP="00D828D3">
      <w:pPr>
        <w:pStyle w:val="Caption"/>
      </w:pPr>
      <w:r w:rsidRPr="008A6A23">
        <w:rPr>
          <w:noProof/>
          <w:lang w:val="de-DE" w:eastAsia="de-DE"/>
        </w:rPr>
        <w:drawing>
          <wp:inline distT="0" distB="0" distL="0" distR="0" wp14:anchorId="39630A81" wp14:editId="1DAE429C">
            <wp:extent cx="4548553" cy="2307612"/>
            <wp:effectExtent l="0" t="0" r="4445" b="0"/>
            <wp:docPr id="22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97379" cy="2332383"/>
                    </a:xfrm>
                    <a:prstGeom prst="rect">
                      <a:avLst/>
                    </a:prstGeom>
                  </pic:spPr>
                </pic:pic>
              </a:graphicData>
            </a:graphic>
          </wp:inline>
        </w:drawing>
      </w:r>
    </w:p>
    <w:p w14:paraId="298BA508" w14:textId="639729D3" w:rsidR="008A6A23" w:rsidRPr="008A6A23" w:rsidRDefault="00D828D3" w:rsidP="003A4274">
      <w:pPr>
        <w:pStyle w:val="Caption"/>
        <w:rPr>
          <w:rStyle w:val="ECCParagraph"/>
        </w:rPr>
      </w:pPr>
      <w:bookmarkStart w:id="351" w:name="_Ref66376680"/>
      <w:r w:rsidRPr="00334871">
        <w:t>Figure </w:t>
      </w:r>
      <w:r w:rsidRPr="005C0FE4">
        <w:fldChar w:fldCharType="begin"/>
      </w:r>
      <w:r>
        <w:instrText xml:space="preserve"> SEQ Figure \*ARABIC \* MERGEFORMAT  \* MERGEFORMAT </w:instrText>
      </w:r>
      <w:r w:rsidRPr="005C0FE4">
        <w:fldChar w:fldCharType="separate"/>
      </w:r>
      <w:r w:rsidR="004F49F9">
        <w:rPr>
          <w:noProof/>
        </w:rPr>
        <w:t>65</w:t>
      </w:r>
      <w:r w:rsidRPr="005C0FE4">
        <w:fldChar w:fldCharType="end"/>
      </w:r>
      <w:bookmarkEnd w:id="351"/>
      <w:r w:rsidR="008A6A23" w:rsidRPr="008A6A23">
        <w:t>: Water and gas supply pipe types (diameter d and corresponding wall thicknesses) belong to a certain pressure class (SDR class). Red marked area belongs to 32.5</w:t>
      </w:r>
      <w:r w:rsidR="007E3BCC">
        <w:t> </w:t>
      </w:r>
      <w:r w:rsidR="008A6A23" w:rsidRPr="008A6A23">
        <w:t>GHz scenario and yellow marked area belongs to 50</w:t>
      </w:r>
      <w:r w:rsidR="007E3BCC">
        <w:t> </w:t>
      </w:r>
      <w:r w:rsidR="008A6A23" w:rsidRPr="008A6A23">
        <w:t>GHz bandwidth scenario (additional measurable product classes</w:t>
      </w:r>
      <w:r w:rsidR="00007CF9">
        <w:t xml:space="preserve">, assumed n=1.5, rectangular window function, evaluated with </w:t>
      </w:r>
      <w:r w:rsidR="00007CF9" w:rsidRPr="00E41212">
        <w:t>Fabry–Pérot principle</w:t>
      </w:r>
      <w:r w:rsidR="008A6A23" w:rsidRPr="008A6A23">
        <w:t>). With the 50</w:t>
      </w:r>
      <w:r w:rsidR="007E3BCC">
        <w:t> </w:t>
      </w:r>
      <w:r w:rsidR="008A6A23" w:rsidRPr="008A6A23">
        <w:t>GHz scenario the large market of building infrastructure becomes available</w:t>
      </w:r>
    </w:p>
    <w:p w14:paraId="6D46EEE8" w14:textId="11243157" w:rsidR="008A6A23" w:rsidRPr="008A6A23" w:rsidRDefault="006D79F2" w:rsidP="000C7612">
      <w:r>
        <w:rPr>
          <w:rStyle w:val="ECCParagraph"/>
        </w:rPr>
        <w:fldChar w:fldCharType="begin"/>
      </w:r>
      <w:r>
        <w:rPr>
          <w:rStyle w:val="ECCParagraph"/>
        </w:rPr>
        <w:instrText xml:space="preserve"> REF _Ref66376369 \h </w:instrText>
      </w:r>
      <w:r>
        <w:rPr>
          <w:rStyle w:val="ECCParagraph"/>
        </w:rPr>
      </w:r>
      <w:r>
        <w:rPr>
          <w:rStyle w:val="ECCParagraph"/>
        </w:rPr>
        <w:fldChar w:fldCharType="separate"/>
      </w:r>
      <w:r w:rsidR="0041125F" w:rsidRPr="00334871">
        <w:t>Figure </w:t>
      </w:r>
      <w:r w:rsidR="0041125F">
        <w:rPr>
          <w:noProof/>
        </w:rPr>
        <w:t>64</w:t>
      </w:r>
      <w:r>
        <w:rPr>
          <w:rStyle w:val="ECCParagraph"/>
        </w:rPr>
        <w:fldChar w:fldCharType="end"/>
      </w:r>
      <w:r w:rsidR="00D828D3">
        <w:rPr>
          <w:rStyle w:val="ECCParagraph"/>
        </w:rPr>
        <w:t xml:space="preserve"> </w:t>
      </w:r>
      <w:r w:rsidR="008A6A23" w:rsidRPr="008A6A23">
        <w:rPr>
          <w:rStyle w:val="ECCParagraph"/>
        </w:rPr>
        <w:t xml:space="preserve">shows this behaviour for </w:t>
      </w:r>
      <w:r w:rsidR="00D828D3">
        <w:rPr>
          <w:rStyle w:val="ECCParagraph"/>
        </w:rPr>
        <w:t>three</w:t>
      </w:r>
      <w:r w:rsidR="008A6A23" w:rsidRPr="008A6A23">
        <w:rPr>
          <w:rStyle w:val="ECCParagraph"/>
        </w:rPr>
        <w:t xml:space="preserve"> different bandwidth scenarios as currently under discussion. The following points demonstrate which kind of pipes and markets become available when bandwidth reaches 32</w:t>
      </w:r>
      <w:r w:rsidR="00CF4994">
        <w:rPr>
          <w:rStyle w:val="ECCParagraph"/>
        </w:rPr>
        <w:t>.5</w:t>
      </w:r>
      <w:r w:rsidR="008A6A23" w:rsidRPr="008A6A23">
        <w:rPr>
          <w:rStyle w:val="ECCParagraph"/>
        </w:rPr>
        <w:t>, 50 and 100</w:t>
      </w:r>
      <w:r w:rsidR="00D828D3">
        <w:rPr>
          <w:rStyle w:val="ECCParagraph"/>
        </w:rPr>
        <w:t> </w:t>
      </w:r>
      <w:r w:rsidR="008A6A23" w:rsidRPr="008A6A23">
        <w:rPr>
          <w:rStyle w:val="ECCParagraph"/>
        </w:rPr>
        <w:t>GHz, respectively.</w:t>
      </w:r>
    </w:p>
    <w:p w14:paraId="554833AA" w14:textId="5641EBEC" w:rsidR="008A6A23" w:rsidRPr="00D828D3" w:rsidRDefault="008A6A23" w:rsidP="00762C49">
      <w:pPr>
        <w:rPr>
          <w:rStyle w:val="ECCHLunderlined"/>
        </w:rPr>
      </w:pPr>
      <w:r w:rsidRPr="00D828D3">
        <w:rPr>
          <w:rStyle w:val="ECCHLunderlined"/>
        </w:rPr>
        <w:t>Scenario 1: 32</w:t>
      </w:r>
      <w:r w:rsidR="00CF4994">
        <w:rPr>
          <w:rStyle w:val="ECCHLunderlined"/>
        </w:rPr>
        <w:t>.5</w:t>
      </w:r>
      <w:r w:rsidR="00E17917">
        <w:rPr>
          <w:rStyle w:val="ECCHLunderlined"/>
        </w:rPr>
        <w:t> </w:t>
      </w:r>
      <w:r w:rsidRPr="00D828D3">
        <w:rPr>
          <w:rStyle w:val="ECCHLunderlined"/>
        </w:rPr>
        <w:t xml:space="preserve">GHz bandwidth (red line </w:t>
      </w:r>
      <w:r w:rsidR="00D828D3" w:rsidRPr="00D828D3">
        <w:rPr>
          <w:rStyle w:val="ECCHLunderlined"/>
        </w:rPr>
        <w:t xml:space="preserve">in </w:t>
      </w:r>
      <w:r w:rsidR="00D828D3" w:rsidRPr="00D828D3">
        <w:rPr>
          <w:rStyle w:val="ECCHLunderlined"/>
        </w:rPr>
        <w:fldChar w:fldCharType="begin"/>
      </w:r>
      <w:r w:rsidR="00D828D3" w:rsidRPr="00D828D3">
        <w:rPr>
          <w:rStyle w:val="ECCHLunderlined"/>
        </w:rPr>
        <w:instrText xml:space="preserve"> REF _Ref66376369 \h </w:instrText>
      </w:r>
      <w:r w:rsidR="00D828D3">
        <w:rPr>
          <w:rStyle w:val="ECCHLunderlined"/>
        </w:rPr>
        <w:instrText xml:space="preserve"> \* MERGEFORMAT </w:instrText>
      </w:r>
      <w:r w:rsidR="00D828D3" w:rsidRPr="00D828D3">
        <w:rPr>
          <w:rStyle w:val="ECCHLunderlined"/>
        </w:rPr>
      </w:r>
      <w:r w:rsidR="00D828D3" w:rsidRPr="00D828D3">
        <w:rPr>
          <w:rStyle w:val="ECCHLunderlined"/>
        </w:rPr>
        <w:fldChar w:fldCharType="separate"/>
      </w:r>
      <w:r w:rsidR="0041125F" w:rsidRPr="0041125F">
        <w:rPr>
          <w:rStyle w:val="ECCHLunderlined"/>
        </w:rPr>
        <w:t>Figure 64</w:t>
      </w:r>
      <w:r w:rsidR="00D828D3" w:rsidRPr="00D828D3">
        <w:rPr>
          <w:rStyle w:val="ECCHLunderlined"/>
        </w:rPr>
        <w:fldChar w:fldCharType="end"/>
      </w:r>
      <w:r w:rsidRPr="00D828D3">
        <w:rPr>
          <w:rStyle w:val="ECCHLunderlined"/>
        </w:rPr>
        <w:t>)</w:t>
      </w:r>
      <w:r w:rsidR="009D708E">
        <w:rPr>
          <w:rStyle w:val="ECCHLunderlined"/>
        </w:rPr>
        <w:t>:</w:t>
      </w:r>
    </w:p>
    <w:p w14:paraId="4DF2E47D" w14:textId="583BFE46" w:rsidR="008A6A23" w:rsidRDefault="008A6A23" w:rsidP="00762C49">
      <w:pPr>
        <w:pStyle w:val="ECCBulletsLv1"/>
        <w:rPr>
          <w:rStyle w:val="ECCParagraph"/>
        </w:rPr>
      </w:pPr>
      <w:r w:rsidRPr="00C67A56">
        <w:rPr>
          <w:rStyle w:val="ECCParagraph"/>
        </w:rPr>
        <w:t xml:space="preserve">Infrastructural pipes (e.g. water and gas) for wide range distribution become measurable (compare </w:t>
      </w:r>
      <w:r w:rsidR="00D828D3">
        <w:rPr>
          <w:rStyle w:val="ECCParagraph"/>
        </w:rPr>
        <w:fldChar w:fldCharType="begin"/>
      </w:r>
      <w:r w:rsidR="00D828D3">
        <w:rPr>
          <w:rStyle w:val="ECCParagraph"/>
        </w:rPr>
        <w:instrText xml:space="preserve"> REF _Ref66376680 \h </w:instrText>
      </w:r>
      <w:r w:rsidR="00D828D3">
        <w:rPr>
          <w:rStyle w:val="ECCParagraph"/>
        </w:rPr>
      </w:r>
      <w:r w:rsidR="00D828D3">
        <w:rPr>
          <w:rStyle w:val="ECCParagraph"/>
        </w:rPr>
        <w:fldChar w:fldCharType="separate"/>
      </w:r>
      <w:r w:rsidR="0041125F" w:rsidRPr="00334871">
        <w:t>Figure </w:t>
      </w:r>
      <w:r w:rsidR="0041125F">
        <w:rPr>
          <w:noProof/>
        </w:rPr>
        <w:t>65</w:t>
      </w:r>
      <w:r w:rsidR="00D828D3">
        <w:rPr>
          <w:rStyle w:val="ECCParagraph"/>
        </w:rPr>
        <w:fldChar w:fldCharType="end"/>
      </w:r>
      <w:r w:rsidRPr="008A6A23">
        <w:rPr>
          <w:rStyle w:val="ECCParagraph"/>
        </w:rPr>
        <w:t>)</w:t>
      </w:r>
      <w:r w:rsidR="00D0088C">
        <w:rPr>
          <w:rStyle w:val="ECCParagraph"/>
        </w:rPr>
        <w:t>;</w:t>
      </w:r>
    </w:p>
    <w:p w14:paraId="7A34602E" w14:textId="30524089" w:rsidR="00A347BB" w:rsidRPr="00A347BB" w:rsidRDefault="00A347BB" w:rsidP="00A347BB">
      <w:pPr>
        <w:pStyle w:val="ECCBulletsLv1"/>
        <w:rPr>
          <w:rStyle w:val="ECCParagraph"/>
        </w:rPr>
      </w:pPr>
      <w:r w:rsidRPr="00A347BB">
        <w:rPr>
          <w:rStyle w:val="ECCParagraph"/>
        </w:rPr>
        <w:t xml:space="preserve">This scenario </w:t>
      </w:r>
      <w:r w:rsidR="008D3F77">
        <w:rPr>
          <w:rStyle w:val="ECCParagraph"/>
        </w:rPr>
        <w:t xml:space="preserve">covers pipe wall thickness </w:t>
      </w:r>
      <w:r w:rsidRPr="00A347BB">
        <w:rPr>
          <w:rStyle w:val="ECCParagraph"/>
        </w:rPr>
        <w:t>measurements above 3</w:t>
      </w:r>
      <w:r w:rsidR="00F275B7">
        <w:rPr>
          <w:rStyle w:val="ECCParagraph"/>
        </w:rPr>
        <w:t> </w:t>
      </w:r>
      <w:r w:rsidRPr="00A347BB">
        <w:rPr>
          <w:rStyle w:val="ECCParagraph"/>
        </w:rPr>
        <w:t>mm</w:t>
      </w:r>
      <w:r w:rsidR="00D0088C">
        <w:rPr>
          <w:rStyle w:val="ECCParagraph"/>
        </w:rPr>
        <w:t>.</w:t>
      </w:r>
    </w:p>
    <w:p w14:paraId="465ABD92" w14:textId="51C4807D" w:rsidR="008A6A23" w:rsidRPr="00D828D3" w:rsidRDefault="008A6A23" w:rsidP="00762C49">
      <w:pPr>
        <w:rPr>
          <w:rStyle w:val="ECCHLunderlined"/>
        </w:rPr>
      </w:pPr>
      <w:r w:rsidRPr="00D828D3">
        <w:rPr>
          <w:rStyle w:val="ECCHLunderlined"/>
        </w:rPr>
        <w:t>Scenario 2: 50</w:t>
      </w:r>
      <w:r w:rsidR="006A49B2">
        <w:rPr>
          <w:rStyle w:val="ECCHLunderlined"/>
        </w:rPr>
        <w:t> </w:t>
      </w:r>
      <w:r w:rsidRPr="00D828D3">
        <w:rPr>
          <w:rStyle w:val="ECCHLunderlined"/>
        </w:rPr>
        <w:t xml:space="preserve">GHz bandwidth (yellow line </w:t>
      </w:r>
      <w:r w:rsidR="006D79F2" w:rsidRPr="009D708E">
        <w:rPr>
          <w:rStyle w:val="ECCHLunderlined"/>
        </w:rPr>
        <w:fldChar w:fldCharType="begin"/>
      </w:r>
      <w:r w:rsidR="006D79F2" w:rsidRPr="009D708E">
        <w:rPr>
          <w:rStyle w:val="ECCHLunderlined"/>
        </w:rPr>
        <w:instrText xml:space="preserve"> REF _Ref66376369 \h </w:instrText>
      </w:r>
      <w:r w:rsidR="009D708E" w:rsidRPr="009D708E">
        <w:rPr>
          <w:rStyle w:val="ECCHLunderlined"/>
        </w:rPr>
        <w:instrText xml:space="preserve"> \* MERGEFORMAT </w:instrText>
      </w:r>
      <w:r w:rsidR="006D79F2" w:rsidRPr="009D708E">
        <w:rPr>
          <w:rStyle w:val="ECCHLunderlined"/>
        </w:rPr>
      </w:r>
      <w:r w:rsidR="006D79F2" w:rsidRPr="009D708E">
        <w:rPr>
          <w:rStyle w:val="ECCHLunderlined"/>
        </w:rPr>
        <w:fldChar w:fldCharType="separate"/>
      </w:r>
      <w:r w:rsidR="0041125F" w:rsidRPr="009D708E">
        <w:rPr>
          <w:u w:val="single"/>
        </w:rPr>
        <w:t>Figure </w:t>
      </w:r>
      <w:r w:rsidR="0041125F" w:rsidRPr="009D708E">
        <w:rPr>
          <w:noProof/>
          <w:u w:val="single"/>
        </w:rPr>
        <w:t>64</w:t>
      </w:r>
      <w:r w:rsidR="006D79F2" w:rsidRPr="009D708E">
        <w:rPr>
          <w:rStyle w:val="ECCHLunderlined"/>
        </w:rPr>
        <w:fldChar w:fldCharType="end"/>
      </w:r>
      <w:r w:rsidRPr="00D828D3">
        <w:rPr>
          <w:rStyle w:val="ECCHLunderlined"/>
        </w:rPr>
        <w:t>)</w:t>
      </w:r>
      <w:r w:rsidR="009D708E">
        <w:rPr>
          <w:rStyle w:val="ECCHLunderlined"/>
        </w:rPr>
        <w:t>;</w:t>
      </w:r>
    </w:p>
    <w:p w14:paraId="2227636E" w14:textId="6F361EB9" w:rsidR="008A6A23" w:rsidRPr="008A6A23" w:rsidRDefault="008A6A23" w:rsidP="000467B2">
      <w:pPr>
        <w:pStyle w:val="ECCBulletsLv1"/>
        <w:rPr>
          <w:rStyle w:val="ECCParagraph"/>
        </w:rPr>
      </w:pPr>
      <w:r w:rsidRPr="00C67A56">
        <w:rPr>
          <w:rStyle w:val="ECCParagraph"/>
        </w:rPr>
        <w:t xml:space="preserve">Infrastructural pipes for wide range distribution become measurable (compare </w:t>
      </w:r>
      <w:r w:rsidR="006A49B2">
        <w:rPr>
          <w:rStyle w:val="ECCParagraph"/>
        </w:rPr>
        <w:fldChar w:fldCharType="begin"/>
      </w:r>
      <w:r w:rsidR="006A49B2">
        <w:rPr>
          <w:rStyle w:val="ECCParagraph"/>
        </w:rPr>
        <w:instrText xml:space="preserve"> REF _Ref66376680 \h </w:instrText>
      </w:r>
      <w:r w:rsidR="006A49B2">
        <w:rPr>
          <w:rStyle w:val="ECCParagraph"/>
        </w:rPr>
      </w:r>
      <w:r w:rsidR="006A49B2">
        <w:rPr>
          <w:rStyle w:val="ECCParagraph"/>
        </w:rPr>
        <w:fldChar w:fldCharType="separate"/>
      </w:r>
      <w:r w:rsidR="0041125F" w:rsidRPr="00334871">
        <w:t>Figure </w:t>
      </w:r>
      <w:r w:rsidR="0041125F">
        <w:rPr>
          <w:noProof/>
        </w:rPr>
        <w:t>65</w:t>
      </w:r>
      <w:r w:rsidR="006A49B2">
        <w:rPr>
          <w:rStyle w:val="ECCParagraph"/>
        </w:rPr>
        <w:fldChar w:fldCharType="end"/>
      </w:r>
      <w:r w:rsidRPr="008A6A23">
        <w:rPr>
          <w:rStyle w:val="ECCParagraph"/>
        </w:rPr>
        <w:t>)</w:t>
      </w:r>
      <w:r w:rsidR="00D0088C">
        <w:rPr>
          <w:rStyle w:val="ECCParagraph"/>
        </w:rPr>
        <w:t>;</w:t>
      </w:r>
    </w:p>
    <w:p w14:paraId="5C1E412F" w14:textId="45DFCB59" w:rsidR="008A6A23" w:rsidRPr="008A6A23" w:rsidRDefault="008A6A23" w:rsidP="000467B2">
      <w:pPr>
        <w:pStyle w:val="ECCBulletsLv1"/>
        <w:rPr>
          <w:rStyle w:val="ECCParagraph"/>
        </w:rPr>
      </w:pPr>
      <w:r w:rsidRPr="00C67A56">
        <w:rPr>
          <w:rStyle w:val="ECCParagraph"/>
        </w:rPr>
        <w:t xml:space="preserve">Large market of end customer pipelines (e.g. gas and water supply to and in buildings) become measurable (compare </w:t>
      </w:r>
      <w:r w:rsidR="006A49B2">
        <w:rPr>
          <w:rStyle w:val="ECCParagraph"/>
        </w:rPr>
        <w:fldChar w:fldCharType="begin"/>
      </w:r>
      <w:r w:rsidR="006A49B2">
        <w:rPr>
          <w:rStyle w:val="ECCParagraph"/>
        </w:rPr>
        <w:instrText xml:space="preserve"> REF _Ref66376680 \h </w:instrText>
      </w:r>
      <w:r w:rsidR="006A49B2">
        <w:rPr>
          <w:rStyle w:val="ECCParagraph"/>
        </w:rPr>
      </w:r>
      <w:r w:rsidR="006A49B2">
        <w:rPr>
          <w:rStyle w:val="ECCParagraph"/>
        </w:rPr>
        <w:fldChar w:fldCharType="separate"/>
      </w:r>
      <w:r w:rsidR="0041125F" w:rsidRPr="00334871">
        <w:t>Figure </w:t>
      </w:r>
      <w:r w:rsidR="0041125F">
        <w:rPr>
          <w:noProof/>
        </w:rPr>
        <w:t>65</w:t>
      </w:r>
      <w:r w:rsidR="006A49B2">
        <w:rPr>
          <w:rStyle w:val="ECCParagraph"/>
        </w:rPr>
        <w:fldChar w:fldCharType="end"/>
      </w:r>
      <w:r w:rsidRPr="008A6A23">
        <w:rPr>
          <w:rStyle w:val="ECCParagraph"/>
        </w:rPr>
        <w:t>)</w:t>
      </w:r>
      <w:r w:rsidR="00D0088C">
        <w:rPr>
          <w:rStyle w:val="ECCParagraph"/>
        </w:rPr>
        <w:t>;</w:t>
      </w:r>
    </w:p>
    <w:p w14:paraId="0FB79A31" w14:textId="1981A15C" w:rsidR="008A6A23" w:rsidRPr="008A6A23" w:rsidRDefault="008A6A23" w:rsidP="000467B2">
      <w:pPr>
        <w:pStyle w:val="ECCBulletsLv1"/>
        <w:rPr>
          <w:rStyle w:val="ECCParagraph"/>
        </w:rPr>
      </w:pPr>
      <w:r w:rsidRPr="00C67A56">
        <w:rPr>
          <w:rStyle w:val="ECCParagraph"/>
        </w:rPr>
        <w:t>Corrugated pipes for wastewater pipelines or for agricultural water supply become measurable</w:t>
      </w:r>
      <w:r w:rsidR="00D0088C">
        <w:rPr>
          <w:rStyle w:val="ECCParagraph"/>
        </w:rPr>
        <w:t>;</w:t>
      </w:r>
    </w:p>
    <w:p w14:paraId="11A315C8" w14:textId="5E02FECE" w:rsidR="008A6A23" w:rsidRPr="008A6A23" w:rsidRDefault="008A6A23" w:rsidP="000467B2">
      <w:pPr>
        <w:pStyle w:val="ECCBulletsLv1"/>
        <w:rPr>
          <w:rStyle w:val="ECCParagraph"/>
        </w:rPr>
      </w:pPr>
      <w:r w:rsidRPr="00C67A56">
        <w:rPr>
          <w:rStyle w:val="ECCParagraph"/>
        </w:rPr>
        <w:t xml:space="preserve">Many blow </w:t>
      </w:r>
      <w:r w:rsidRPr="008A6A23">
        <w:rPr>
          <w:rStyle w:val="ECCParagraph"/>
        </w:rPr>
        <w:t>moulding parts e.g. in automotive market become measurable (e.g. inlet manifolds)</w:t>
      </w:r>
      <w:r w:rsidR="00D0088C">
        <w:rPr>
          <w:rStyle w:val="ECCParagraph"/>
        </w:rPr>
        <w:t>.</w:t>
      </w:r>
    </w:p>
    <w:p w14:paraId="3887542D" w14:textId="2B29F7CA" w:rsidR="008A6A23" w:rsidRPr="009D708E" w:rsidRDefault="008A6A23" w:rsidP="003A4274">
      <w:pPr>
        <w:rPr>
          <w:rStyle w:val="ECCHLunderlined"/>
        </w:rPr>
      </w:pPr>
      <w:r w:rsidRPr="00D828D3">
        <w:rPr>
          <w:rStyle w:val="ECCHLunderlined"/>
        </w:rPr>
        <w:t>Scenario 3: 100</w:t>
      </w:r>
      <w:r w:rsidR="006A49B2">
        <w:rPr>
          <w:rStyle w:val="ECCHLunderlined"/>
        </w:rPr>
        <w:t> </w:t>
      </w:r>
      <w:r w:rsidRPr="00D828D3">
        <w:rPr>
          <w:rStyle w:val="ECCHLunderlined"/>
        </w:rPr>
        <w:t>GHz (green line</w:t>
      </w:r>
      <w:r w:rsidRPr="009D708E">
        <w:rPr>
          <w:rStyle w:val="ECCHLunderlined"/>
        </w:rPr>
        <w:t xml:space="preserve"> </w:t>
      </w:r>
      <w:r w:rsidR="00D828D3" w:rsidRPr="009D708E">
        <w:rPr>
          <w:rStyle w:val="ECCHLunderlined"/>
        </w:rPr>
        <w:fldChar w:fldCharType="begin"/>
      </w:r>
      <w:r w:rsidR="00D828D3" w:rsidRPr="009D708E">
        <w:rPr>
          <w:rStyle w:val="ECCHLunderlined"/>
        </w:rPr>
        <w:instrText xml:space="preserve"> REF _Ref66376369 \h </w:instrText>
      </w:r>
      <w:r w:rsidR="009D708E" w:rsidRPr="009D708E">
        <w:rPr>
          <w:rStyle w:val="ECCHLunderlined"/>
        </w:rPr>
        <w:instrText xml:space="preserve"> \* MERGEFORMAT </w:instrText>
      </w:r>
      <w:r w:rsidR="00D828D3" w:rsidRPr="009D708E">
        <w:rPr>
          <w:rStyle w:val="ECCHLunderlined"/>
        </w:rPr>
      </w:r>
      <w:r w:rsidR="00D828D3" w:rsidRPr="009D708E">
        <w:rPr>
          <w:rStyle w:val="ECCHLunderlined"/>
        </w:rPr>
        <w:fldChar w:fldCharType="separate"/>
      </w:r>
      <w:r w:rsidR="0041125F" w:rsidRPr="009D708E">
        <w:rPr>
          <w:u w:val="single"/>
        </w:rPr>
        <w:t>Figure </w:t>
      </w:r>
      <w:r w:rsidR="0041125F" w:rsidRPr="009D708E">
        <w:rPr>
          <w:noProof/>
          <w:u w:val="single"/>
        </w:rPr>
        <w:t>64</w:t>
      </w:r>
      <w:r w:rsidR="00D828D3" w:rsidRPr="009D708E">
        <w:rPr>
          <w:rStyle w:val="ECCHLunderlined"/>
        </w:rPr>
        <w:fldChar w:fldCharType="end"/>
      </w:r>
      <w:r w:rsidRPr="009D708E">
        <w:rPr>
          <w:rStyle w:val="ECCHLunderlined"/>
        </w:rPr>
        <w:t>)</w:t>
      </w:r>
      <w:r w:rsidR="009D708E">
        <w:rPr>
          <w:rStyle w:val="ECCHLunderlined"/>
        </w:rPr>
        <w:t>:</w:t>
      </w:r>
    </w:p>
    <w:p w14:paraId="3AB516DE" w14:textId="0B72ABB7" w:rsidR="008A6A23" w:rsidRPr="008A6A23" w:rsidRDefault="008A6A23" w:rsidP="003A4274">
      <w:pPr>
        <w:pStyle w:val="ECCBulletsLv1"/>
        <w:rPr>
          <w:rStyle w:val="ECCParagraph"/>
        </w:rPr>
      </w:pPr>
      <w:r w:rsidRPr="00C67A56">
        <w:rPr>
          <w:rStyle w:val="ECCParagraph"/>
        </w:rPr>
        <w:t>All products mentioned before are measurable</w:t>
      </w:r>
      <w:r w:rsidR="00D0088C">
        <w:rPr>
          <w:rStyle w:val="ECCParagraph"/>
        </w:rPr>
        <w:t>;</w:t>
      </w:r>
    </w:p>
    <w:p w14:paraId="503B184A" w14:textId="110D8821" w:rsidR="008A6A23" w:rsidRPr="008A6A23" w:rsidRDefault="008A6A23" w:rsidP="003A4274">
      <w:pPr>
        <w:pStyle w:val="ECCBulletsLv1"/>
        <w:rPr>
          <w:rStyle w:val="ECCParagraph"/>
        </w:rPr>
      </w:pPr>
      <w:r w:rsidRPr="00C67A56">
        <w:rPr>
          <w:rStyle w:val="ECCParagraph"/>
        </w:rPr>
        <w:t xml:space="preserve">Blow </w:t>
      </w:r>
      <w:r w:rsidRPr="008A6A23">
        <w:rPr>
          <w:rStyle w:val="ECCParagraph"/>
        </w:rPr>
        <w:t>moulded consumer products like packaging parts (shampoo bottles, food storages) become measurable</w:t>
      </w:r>
      <w:r w:rsidR="00D0088C">
        <w:rPr>
          <w:rStyle w:val="ECCParagraph"/>
        </w:rPr>
        <w:t>;</w:t>
      </w:r>
    </w:p>
    <w:p w14:paraId="061FC054" w14:textId="28381328" w:rsidR="008A6A23" w:rsidRPr="008A6A23" w:rsidRDefault="008A6A23" w:rsidP="003A4274">
      <w:pPr>
        <w:pStyle w:val="ECCBulletsLv1"/>
        <w:rPr>
          <w:rStyle w:val="ECCParagraph"/>
        </w:rPr>
      </w:pPr>
      <w:r w:rsidRPr="00C67A56">
        <w:rPr>
          <w:rStyle w:val="ECCParagraph"/>
        </w:rPr>
        <w:t>Multilayer pipes or products for special applications become measurable</w:t>
      </w:r>
      <w:r w:rsidR="00D0088C">
        <w:rPr>
          <w:rStyle w:val="ECCParagraph"/>
        </w:rPr>
        <w:t>.</w:t>
      </w:r>
    </w:p>
    <w:p w14:paraId="0B220A25" w14:textId="77777777" w:rsidR="008A6A23" w:rsidRPr="008A6A23" w:rsidRDefault="008A6A23" w:rsidP="003A4274">
      <w:pPr>
        <w:rPr>
          <w:rStyle w:val="ECCParagraph"/>
        </w:rPr>
      </w:pPr>
      <w:r w:rsidRPr="00C67A56">
        <w:rPr>
          <w:rStyle w:val="ECCParagraph"/>
        </w:rPr>
        <w:t xml:space="preserve">Due to the large growing market and product </w:t>
      </w:r>
      <w:r w:rsidR="006C59A6" w:rsidRPr="00C67A56">
        <w:rPr>
          <w:rStyle w:val="ECCParagraph"/>
        </w:rPr>
        <w:t>range,</w:t>
      </w:r>
      <w:r w:rsidRPr="00C67A56">
        <w:rPr>
          <w:rStyle w:val="ECCParagraph"/>
        </w:rPr>
        <w:t xml:space="preserve"> it is strongly recommended to allow at least 50</w:t>
      </w:r>
      <w:r w:rsidR="006A49B2">
        <w:rPr>
          <w:rStyle w:val="ECCParagraph"/>
        </w:rPr>
        <w:t> </w:t>
      </w:r>
      <w:r w:rsidRPr="00C67A56">
        <w:rPr>
          <w:rStyle w:val="ECCParagraph"/>
        </w:rPr>
        <w:t>GHz bandwidth although 100</w:t>
      </w:r>
      <w:r w:rsidR="006A49B2">
        <w:rPr>
          <w:rStyle w:val="ECCParagraph"/>
        </w:rPr>
        <w:t> </w:t>
      </w:r>
      <w:r w:rsidRPr="00C67A56">
        <w:rPr>
          <w:rStyle w:val="ECCParagraph"/>
        </w:rPr>
        <w:t>GHz would even be preferable.</w:t>
      </w:r>
    </w:p>
    <w:p w14:paraId="33EBE6B0" w14:textId="77777777" w:rsidR="008A6A23" w:rsidRPr="008A6A23" w:rsidRDefault="008A6A23" w:rsidP="00A51089">
      <w:pPr>
        <w:pStyle w:val="Caption"/>
        <w:rPr>
          <w:rStyle w:val="ECCParagraph"/>
        </w:rPr>
      </w:pPr>
      <w:r w:rsidRPr="008A6A23">
        <w:t xml:space="preserve"> </w:t>
      </w:r>
      <w:r w:rsidRPr="008A6A23">
        <w:rPr>
          <w:noProof/>
          <w:lang w:val="de-DE" w:eastAsia="de-DE"/>
        </w:rPr>
        <w:drawing>
          <wp:inline distT="0" distB="0" distL="0" distR="0" wp14:anchorId="5C19E5DE" wp14:editId="5651C383">
            <wp:extent cx="5228978" cy="2555630"/>
            <wp:effectExtent l="0" t="0" r="0" b="0"/>
            <wp:docPr id="22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28978" cy="2555630"/>
                    </a:xfrm>
                    <a:prstGeom prst="rect">
                      <a:avLst/>
                    </a:prstGeom>
                  </pic:spPr>
                </pic:pic>
              </a:graphicData>
            </a:graphic>
          </wp:inline>
        </w:drawing>
      </w:r>
    </w:p>
    <w:p w14:paraId="7BFDBF15" w14:textId="539D7BD7" w:rsidR="008A6A23" w:rsidRPr="008A6A23" w:rsidRDefault="002B4D9B" w:rsidP="003A4274">
      <w:pPr>
        <w:pStyle w:val="Caption"/>
        <w:rPr>
          <w:rStyle w:val="ECCParagraph"/>
        </w:rPr>
      </w:pPr>
      <w:r w:rsidRPr="00334871">
        <w:t>Figure </w:t>
      </w:r>
      <w:r w:rsidRPr="005C0FE4">
        <w:fldChar w:fldCharType="begin"/>
      </w:r>
      <w:r>
        <w:instrText xml:space="preserve"> SEQ Figure \*ARABIC \* MERGEFORMAT  \* MERGEFORMAT </w:instrText>
      </w:r>
      <w:r w:rsidRPr="005C0FE4">
        <w:fldChar w:fldCharType="separate"/>
      </w:r>
      <w:r w:rsidR="004F49F9">
        <w:rPr>
          <w:noProof/>
        </w:rPr>
        <w:t>66</w:t>
      </w:r>
      <w:r w:rsidRPr="005C0FE4">
        <w:fldChar w:fldCharType="end"/>
      </w:r>
      <w:r w:rsidR="008A6A23" w:rsidRPr="008A6A23">
        <w:t>: Simulation of two targets with 5</w:t>
      </w:r>
      <w:r w:rsidR="00A33058">
        <w:t> </w:t>
      </w:r>
      <w:r w:rsidR="008A6A23" w:rsidRPr="008A6A23">
        <w:t>mm distance, which reflects a typical high precision thin layer measurement task. The two targets can be resolved with 55</w:t>
      </w:r>
      <w:r w:rsidR="00A33058">
        <w:t> </w:t>
      </w:r>
      <w:r w:rsidR="008A6A23" w:rsidRPr="008A6A23">
        <w:t>GHz of bandwidth, but cannot be separated with the smaller bandwidth of 32.5</w:t>
      </w:r>
      <w:r w:rsidR="00A33058">
        <w:t> </w:t>
      </w:r>
      <w:r w:rsidR="008A6A23" w:rsidRPr="008A6A23">
        <w:t>GHz</w:t>
      </w:r>
      <w:r w:rsidR="00874EC2">
        <w:t xml:space="preserve"> (n=1, hanning window)</w:t>
      </w:r>
    </w:p>
    <w:p w14:paraId="50987DF7" w14:textId="5AA7944B" w:rsidR="008A6A23" w:rsidRDefault="008A6A23" w:rsidP="003A4274">
      <w:pPr>
        <w:rPr>
          <w:rStyle w:val="ECCParagraph"/>
        </w:rPr>
      </w:pPr>
      <w:r w:rsidRPr="008A6A23">
        <w:rPr>
          <w:rStyle w:val="ECCParagraph"/>
        </w:rPr>
        <w:t>High precision distance measurements are another important application class that demands for a large continuous bandwidth. Millimetre precision distance measurements are nowadays widely used in terms of e.g. LPR/TLPR equipment with a bandwidth up to 10</w:t>
      </w:r>
      <w:r w:rsidR="00E17917">
        <w:rPr>
          <w:rStyle w:val="ECCParagraph"/>
        </w:rPr>
        <w:t> </w:t>
      </w:r>
      <w:r w:rsidRPr="008A6A23">
        <w:rPr>
          <w:rStyle w:val="ECCParagraph"/>
        </w:rPr>
        <w:t>GHz. For applications requiring sub-microme</w:t>
      </w:r>
      <w:r w:rsidR="00C249DC">
        <w:rPr>
          <w:rStyle w:val="ECCParagraph"/>
        </w:rPr>
        <w:t>tre</w:t>
      </w:r>
      <w:r w:rsidRPr="008A6A23">
        <w:rPr>
          <w:rStyle w:val="ECCParagraph"/>
        </w:rPr>
        <w:t xml:space="preserve"> accuracy, the target transfer function has to be corrected in signal processing and a large bandwidth coverage is very important for this process. </w:t>
      </w:r>
      <w:r w:rsidR="002B4D9B">
        <w:rPr>
          <w:rStyle w:val="ECCParagraph"/>
        </w:rPr>
        <w:t>The latest</w:t>
      </w:r>
      <w:r w:rsidRPr="008A6A23">
        <w:rPr>
          <w:rStyle w:val="ECCParagraph"/>
        </w:rPr>
        <w:t xml:space="preserve"> research results</w:t>
      </w:r>
      <w:r w:rsidR="00701787" w:rsidRPr="00701787">
        <w:rPr>
          <w:rStyle w:val="ECCParagraph"/>
        </w:rPr>
        <w:t xml:space="preserve"> </w:t>
      </w:r>
      <w:r w:rsidR="00701787">
        <w:rPr>
          <w:rStyle w:val="ECCParagraph"/>
        </w:rPr>
        <w:fldChar w:fldCharType="begin"/>
      </w:r>
      <w:r w:rsidR="00701787">
        <w:rPr>
          <w:rStyle w:val="ECCParagraph"/>
        </w:rPr>
        <w:instrText xml:space="preserve"> REF  FMCW_Radar_Sensor \h \w  \* MERGEFORMAT </w:instrText>
      </w:r>
      <w:r w:rsidR="00701787">
        <w:rPr>
          <w:rStyle w:val="ECCParagraph"/>
        </w:rPr>
      </w:r>
      <w:r w:rsidR="00701787">
        <w:rPr>
          <w:rStyle w:val="ECCParagraph"/>
        </w:rPr>
        <w:fldChar w:fldCharType="separate"/>
      </w:r>
      <w:r w:rsidR="004F49F9">
        <w:rPr>
          <w:rStyle w:val="ECCParagraph"/>
        </w:rPr>
        <w:t>[64]</w:t>
      </w:r>
      <w:r w:rsidR="00701787">
        <w:rPr>
          <w:rStyle w:val="ECCParagraph"/>
        </w:rPr>
        <w:fldChar w:fldCharType="end"/>
      </w:r>
      <w:r w:rsidR="00701787">
        <w:rPr>
          <w:rStyle w:val="ECCParagraph"/>
        </w:rPr>
        <w:t xml:space="preserve"> </w:t>
      </w:r>
      <w:r w:rsidRPr="008A6A23">
        <w:rPr>
          <w:rStyle w:val="ECCParagraph"/>
        </w:rPr>
        <w:t>for example presented an absolute measurement accuracy compared to a laser interferometer with +/-5 µm in a distance of up to 5 metre measurement range based on this concept. By covering a large bandwidth, it is also possible to classify objects based on their transfer function or for more complex previously known objects, to estimate the actual view-angle of the object for 3D positioning. These systems also demand for a very high measurement rate to allow tracking of fast-moving objects.</w:t>
      </w:r>
    </w:p>
    <w:p w14:paraId="052557F5" w14:textId="77777777" w:rsidR="00EF4FC0" w:rsidRDefault="00EF4FC0" w:rsidP="004E36C2">
      <w:pPr>
        <w:pStyle w:val="Heading4"/>
        <w:rPr>
          <w:rStyle w:val="ECCParagraph"/>
        </w:rPr>
      </w:pPr>
      <w:bookmarkStart w:id="352" w:name="_Toc84325308"/>
      <w:r>
        <w:rPr>
          <w:rStyle w:val="ECCParagraph"/>
        </w:rPr>
        <w:t>Conclusion</w:t>
      </w:r>
      <w:bookmarkEnd w:id="352"/>
    </w:p>
    <w:p w14:paraId="04AC02B6" w14:textId="77777777" w:rsidR="00EF4FC0" w:rsidRPr="00C90618" w:rsidRDefault="00EF4FC0" w:rsidP="00EF4FC0">
      <w:pPr>
        <w:rPr>
          <w:rStyle w:val="ECCParagraph"/>
        </w:rPr>
      </w:pPr>
      <w:r w:rsidRPr="00C90618">
        <w:rPr>
          <w:rStyle w:val="ECCParagraph"/>
        </w:rPr>
        <w:t>Radiodetermination devices for industry automation to be used indoor or in similar shielded environments are potentially used in many different industries. All RDI-S sensors have in common that they are used to sense unique frequency dependent features in the wideband frequency response of target objects. One category are RDI-S systems for plastic extrusion thickness measurement. Covering a wide contiguous frequency bandwidth allows RDI-S applications to improve the range resolution and measurement precision. The operation of RDI-S sensors is envisaged for industrial purposes only.</w:t>
      </w:r>
    </w:p>
    <w:p w14:paraId="55F0B624" w14:textId="5793325A" w:rsidR="00EF4FC0" w:rsidRPr="00C90618" w:rsidRDefault="00EF4FC0" w:rsidP="00EF4FC0">
      <w:pPr>
        <w:rPr>
          <w:rStyle w:val="ECCParagraph"/>
        </w:rPr>
      </w:pPr>
      <w:r w:rsidRPr="00C90618">
        <w:rPr>
          <w:rStyle w:val="ECCParagraph"/>
        </w:rPr>
        <w:t>The operation of RDI-S in the two frequency ranges 116</w:t>
      </w:r>
      <w:r w:rsidR="001D7996">
        <w:rPr>
          <w:rStyle w:val="ECCParagraph"/>
        </w:rPr>
        <w:t>-</w:t>
      </w:r>
      <w:r w:rsidRPr="00C90618">
        <w:rPr>
          <w:rStyle w:val="ECCParagraph"/>
        </w:rPr>
        <w:t xml:space="preserve">190 GHz and </w:t>
      </w:r>
      <w:r w:rsidRPr="00C90618">
        <w:t>190</w:t>
      </w:r>
      <w:r w:rsidR="001D7996">
        <w:t>-</w:t>
      </w:r>
      <w:r w:rsidRPr="00C90618">
        <w:t>260 GHz</w:t>
      </w:r>
      <w:r w:rsidRPr="00C90618">
        <w:rPr>
          <w:rStyle w:val="ECCParagraph"/>
        </w:rPr>
        <w:t xml:space="preserve"> are proposed and the need of large bandwidths is considered in the Report. However, contiguous bands of more than 32.5 GHz could only be realised, if passive bands subject to RR No 5.340 would be used. RR No 5.340 prohibits any emission. However, ECC decided at its 52nd meeting that these bands should also be considered in the studies </w:t>
      </w:r>
      <w:r w:rsidRPr="00C90618">
        <w:t xml:space="preserve">under the conditions described in section </w:t>
      </w:r>
      <w:r w:rsidRPr="00C90618">
        <w:fldChar w:fldCharType="begin"/>
      </w:r>
      <w:r w:rsidRPr="00C90618">
        <w:instrText xml:space="preserve"> REF _Ref63340020 \r \h </w:instrText>
      </w:r>
      <w:r w:rsidRPr="00C90618">
        <w:fldChar w:fldCharType="separate"/>
      </w:r>
      <w:r w:rsidR="004F49F9">
        <w:t>2.4.1</w:t>
      </w:r>
      <w:r w:rsidRPr="00C90618">
        <w:fldChar w:fldCharType="end"/>
      </w:r>
      <w:r w:rsidRPr="00C90618">
        <w:t>.</w:t>
      </w:r>
    </w:p>
    <w:p w14:paraId="0E885B7F" w14:textId="4CF5F283" w:rsidR="00EF4FC0" w:rsidRDefault="00EF4FC0" w:rsidP="00EF4FC0">
      <w:pPr>
        <w:rPr>
          <w:rStyle w:val="ECCParagraph"/>
        </w:rPr>
      </w:pPr>
      <w:r w:rsidRPr="00C90618">
        <w:rPr>
          <w:rStyle w:val="ECCParagraph"/>
        </w:rPr>
        <w:t>This Report includes compatibility studies, which are based on the assumption that a wide contiguous bandwidth was available and also provides the technical justification why the large bandwidths are needed and why no technical solutions, such as notching out some frequencies, exist to avoid emitting in the RR 5.340 bands.</w:t>
      </w:r>
    </w:p>
    <w:p w14:paraId="202AD781" w14:textId="4B4DFC4E" w:rsidR="005C1E7B" w:rsidRDefault="00EF4FC0" w:rsidP="0014528D">
      <w:r w:rsidRPr="00EF4FC0">
        <w:t>The performance of RDI-S radars in terms of thickness measurements is proportional to the bandwidth used (resolution ~1/BW). In the frequency range 116</w:t>
      </w:r>
      <w:r w:rsidR="001D7996">
        <w:t>-</w:t>
      </w:r>
      <w:r w:rsidRPr="00EF4FC0">
        <w:t>190</w:t>
      </w:r>
      <w:r>
        <w:t> </w:t>
      </w:r>
      <w:r w:rsidRPr="00EF4FC0">
        <w:t xml:space="preserve">GHz, </w:t>
      </w:r>
      <w:r>
        <w:t>t</w:t>
      </w:r>
      <w:r w:rsidRPr="00EF4FC0">
        <w:t>he largest bandwidth, which would not need to extend into passive bands, is 32.5</w:t>
      </w:r>
      <w:r>
        <w:t> </w:t>
      </w:r>
      <w:r w:rsidRPr="00EF4FC0">
        <w:t>GHz</w:t>
      </w:r>
      <w:r w:rsidR="00AA09F6">
        <w:t xml:space="preserve">. </w:t>
      </w:r>
      <w:r w:rsidR="00AA09F6" w:rsidRPr="00AA09F6">
        <w:t>For the frequency range 190-260</w:t>
      </w:r>
      <w:r w:rsidR="00F275B7">
        <w:t> </w:t>
      </w:r>
      <w:r w:rsidR="00AA09F6" w:rsidRPr="00AA09F6">
        <w:t>GHz, wideband measurements even with a contiguous bandwidth of only 32.5</w:t>
      </w:r>
      <w:r w:rsidR="00F275B7">
        <w:t> </w:t>
      </w:r>
      <w:r w:rsidR="00AA09F6" w:rsidRPr="00AA09F6">
        <w:t xml:space="preserve">GHz </w:t>
      </w:r>
      <w:r w:rsidR="00F275B7">
        <w:t>are</w:t>
      </w:r>
      <w:r w:rsidR="00AA09F6" w:rsidRPr="00AA09F6">
        <w:t xml:space="preserve"> not possible without covering the two RR 5.340 bands 190-191.8</w:t>
      </w:r>
      <w:r w:rsidR="00F275B7">
        <w:t> </w:t>
      </w:r>
      <w:r w:rsidR="00AA09F6" w:rsidRPr="00AA09F6">
        <w:t>GHz and 200-209</w:t>
      </w:r>
      <w:r w:rsidR="00F275B7">
        <w:t> </w:t>
      </w:r>
      <w:r w:rsidR="00AA09F6" w:rsidRPr="00AA09F6">
        <w:t>GHz</w:t>
      </w:r>
      <w:r w:rsidRPr="00EF4FC0">
        <w:t>. This bandwidth would allow to measure thicknesses greater than about 3</w:t>
      </w:r>
      <w:r>
        <w:t> </w:t>
      </w:r>
      <w:r w:rsidRPr="00EF4FC0">
        <w:t xml:space="preserve">mm. For </w:t>
      </w:r>
      <w:r>
        <w:t>measuring smaller thicknesses</w:t>
      </w:r>
      <w:r w:rsidRPr="00EF4FC0">
        <w:t>, a larger bandwidth is required, which is only possible by including passive bands.</w:t>
      </w:r>
    </w:p>
    <w:p w14:paraId="269A2477" w14:textId="77777777" w:rsidR="008A6A23" w:rsidRPr="008A6A23" w:rsidRDefault="008A6A23" w:rsidP="003A4274">
      <w:pPr>
        <w:pStyle w:val="Heading3"/>
        <w:rPr>
          <w:rStyle w:val="ECCParagraph"/>
        </w:rPr>
      </w:pPr>
      <w:bookmarkStart w:id="353" w:name="_Toc84325309"/>
      <w:bookmarkStart w:id="354" w:name="_Toc127346242"/>
      <w:r>
        <w:rPr>
          <w:rStyle w:val="ECCParagraph"/>
        </w:rPr>
        <w:t xml:space="preserve">RDI-S </w:t>
      </w:r>
      <w:r w:rsidR="0054513B">
        <w:rPr>
          <w:rStyle w:val="ECCParagraph"/>
        </w:rPr>
        <w:t>and notching of ITU RR footnote 5.340 bands</w:t>
      </w:r>
      <w:bookmarkEnd w:id="353"/>
      <w:bookmarkEnd w:id="354"/>
    </w:p>
    <w:p w14:paraId="0275B057" w14:textId="77777777" w:rsidR="000C0631" w:rsidRPr="00C96F25" w:rsidRDefault="000C0631" w:rsidP="000C0631">
      <w:pPr>
        <w:rPr>
          <w:rStyle w:val="ECCParagraph"/>
        </w:rPr>
      </w:pPr>
      <w:r w:rsidRPr="00C96F25">
        <w:rPr>
          <w:rStyle w:val="ECCParagraph"/>
        </w:rPr>
        <w:t xml:space="preserve">It is noted, that notching out ITU RR 5.340 bands is technically possible for some rare RDI-S applications with low performance requirements and slow measurement rates, for example by using specific higher sweep-slopes of the local oscillator or switched amplifiers. However, this could impact accuracy and </w:t>
      </w:r>
      <w:r>
        <w:rPr>
          <w:rStyle w:val="ECCParagraph"/>
        </w:rPr>
        <w:t xml:space="preserve">therefore it </w:t>
      </w:r>
      <w:r w:rsidRPr="00C96F25">
        <w:rPr>
          <w:rStyle w:val="ECCParagraph"/>
        </w:rPr>
        <w:t xml:space="preserve">is not </w:t>
      </w:r>
      <w:r>
        <w:rPr>
          <w:rStyle w:val="ECCParagraph"/>
        </w:rPr>
        <w:t>applicable</w:t>
      </w:r>
      <w:r w:rsidRPr="00C96F25">
        <w:rPr>
          <w:rStyle w:val="ECCParagraph"/>
        </w:rPr>
        <w:t xml:space="preserve"> </w:t>
      </w:r>
      <w:r>
        <w:rPr>
          <w:rStyle w:val="ECCParagraph"/>
        </w:rPr>
        <w:t>for</w:t>
      </w:r>
      <w:r w:rsidRPr="00C96F25">
        <w:rPr>
          <w:rStyle w:val="ECCParagraph"/>
        </w:rPr>
        <w:t xml:space="preserve"> high performance RDI-S measurements needed for the vast majority of applications.</w:t>
      </w:r>
    </w:p>
    <w:p w14:paraId="77FABB8A" w14:textId="77777777" w:rsidR="000C0631" w:rsidRPr="008A6A23" w:rsidRDefault="000C0631" w:rsidP="000C0631">
      <w:pPr>
        <w:rPr>
          <w:rStyle w:val="ECCParagraph"/>
        </w:rPr>
      </w:pPr>
      <w:r w:rsidRPr="008A6A23">
        <w:rPr>
          <w:rStyle w:val="ECCParagraph"/>
        </w:rPr>
        <w:t>For many of the above-mentioned applications covering a large continuous bandwidth is essential. There are first approaches in research dealing with notching-out of bands in terms of compressed sensing techniques. While such an approach is shown to work in a controlled laboratory environment, it only works with limited success in real-world applications, where the interesting features of the radiodetermination application might also fall within the notched-out bands and the information that is needed for an accurate measurement result might then be missing.</w:t>
      </w:r>
    </w:p>
    <w:p w14:paraId="68F99757" w14:textId="77777777" w:rsidR="008A6A23" w:rsidRPr="008A6A23" w:rsidRDefault="00813C7D" w:rsidP="00A51089">
      <w:pPr>
        <w:pStyle w:val="Caption"/>
      </w:pPr>
      <w:r w:rsidRPr="008A6A23">
        <w:rPr>
          <w:noProof/>
          <w:lang w:val="de-DE" w:eastAsia="de-DE"/>
        </w:rPr>
        <mc:AlternateContent>
          <mc:Choice Requires="wps">
            <w:drawing>
              <wp:anchor distT="0" distB="0" distL="114300" distR="114300" simplePos="0" relativeHeight="251669504" behindDoc="0" locked="0" layoutInCell="1" allowOverlap="1" wp14:anchorId="1FDC3C01" wp14:editId="5EF6A683">
                <wp:simplePos x="0" y="0"/>
                <wp:positionH relativeFrom="column">
                  <wp:posOffset>5387975</wp:posOffset>
                </wp:positionH>
                <wp:positionV relativeFrom="paragraph">
                  <wp:posOffset>20159</wp:posOffset>
                </wp:positionV>
                <wp:extent cx="332740" cy="1900555"/>
                <wp:effectExtent l="57150" t="19050" r="48260" b="80645"/>
                <wp:wrapNone/>
                <wp:docPr id="216" name="Rechteck 8"/>
                <wp:cNvGraphicFramePr/>
                <a:graphic xmlns:a="http://schemas.openxmlformats.org/drawingml/2006/main">
                  <a:graphicData uri="http://schemas.microsoft.com/office/word/2010/wordprocessingShape">
                    <wps:wsp>
                      <wps:cNvSpPr/>
                      <wps:spPr>
                        <a:xfrm>
                          <a:off x="0" y="0"/>
                          <a:ext cx="332740" cy="1900555"/>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223BC" id="Rechteck 8" o:spid="_x0000_s1026" style="position:absolute;margin-left:424.25pt;margin-top:1.6pt;width:26.2pt;height:149.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" fillcolor="red"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67456" behindDoc="0" locked="0" layoutInCell="1" allowOverlap="1" wp14:anchorId="375ED99D" wp14:editId="4CCF36B3">
                <wp:simplePos x="0" y="0"/>
                <wp:positionH relativeFrom="column">
                  <wp:posOffset>3560445</wp:posOffset>
                </wp:positionH>
                <wp:positionV relativeFrom="paragraph">
                  <wp:posOffset>27940</wp:posOffset>
                </wp:positionV>
                <wp:extent cx="361950" cy="1900555"/>
                <wp:effectExtent l="57150" t="19050" r="57150" b="80645"/>
                <wp:wrapNone/>
                <wp:docPr id="217" name="Rechteck 6"/>
                <wp:cNvGraphicFramePr/>
                <a:graphic xmlns:a="http://schemas.openxmlformats.org/drawingml/2006/main">
                  <a:graphicData uri="http://schemas.microsoft.com/office/word/2010/wordprocessingShape">
                    <wps:wsp>
                      <wps:cNvSpPr/>
                      <wps:spPr>
                        <a:xfrm>
                          <a:off x="0" y="0"/>
                          <a:ext cx="361950" cy="1900555"/>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B9B42" id="Rechteck 6" o:spid="_x0000_s1026" style="position:absolute;margin-left:280.35pt;margin-top:2.2pt;width:28.5pt;height:149.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" fillcolor="red" stroked="f">
                <v:fill opacity="22873f"/>
                <v:shadow on="t" color="black" opacity="22937f" origin=",.5" offset="0,.63889mm"/>
              </v:rect>
            </w:pict>
          </mc:Fallback>
        </mc:AlternateContent>
      </w:r>
      <w:r w:rsidR="008A6A23" w:rsidRPr="008A6A23">
        <w:rPr>
          <w:noProof/>
          <w:lang w:val="de-DE" w:eastAsia="de-DE"/>
        </w:rPr>
        <w:drawing>
          <wp:inline distT="0" distB="0" distL="0" distR="0" wp14:anchorId="447242A0" wp14:editId="615EEC94">
            <wp:extent cx="5697415" cy="1952335"/>
            <wp:effectExtent l="0" t="0" r="0" b="0"/>
            <wp:docPr id="23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05395" cy="1955069"/>
                    </a:xfrm>
                    <a:prstGeom prst="rect">
                      <a:avLst/>
                    </a:prstGeom>
                  </pic:spPr>
                </pic:pic>
              </a:graphicData>
            </a:graphic>
          </wp:inline>
        </w:drawing>
      </w:r>
    </w:p>
    <w:p w14:paraId="4A2FDF43" w14:textId="5F9B707D" w:rsidR="008A6A23" w:rsidRPr="008A6A23" w:rsidRDefault="00A33058" w:rsidP="003A4274">
      <w:pPr>
        <w:pStyle w:val="Caption"/>
      </w:pPr>
      <w:bookmarkStart w:id="355" w:name="_Ref66377528"/>
      <w:r w:rsidRPr="00334871">
        <w:t>Figure </w:t>
      </w:r>
      <w:r w:rsidRPr="005C0FE4">
        <w:fldChar w:fldCharType="begin"/>
      </w:r>
      <w:r>
        <w:instrText xml:space="preserve"> SEQ Figure \*ARABIC \* MERGEFORMAT  \* MERGEFORMAT </w:instrText>
      </w:r>
      <w:r w:rsidRPr="005C0FE4">
        <w:fldChar w:fldCharType="separate"/>
      </w:r>
      <w:r w:rsidR="004F49F9">
        <w:rPr>
          <w:noProof/>
        </w:rPr>
        <w:t>67</w:t>
      </w:r>
      <w:r w:rsidRPr="005C0FE4">
        <w:fldChar w:fldCharType="end"/>
      </w:r>
      <w:bookmarkEnd w:id="355"/>
      <w:r w:rsidRPr="008A6A23">
        <w:t xml:space="preserve">: </w:t>
      </w:r>
      <w:r w:rsidR="008A6A23" w:rsidRPr="008A6A23">
        <w:t>Simulated magnitude of a RDI-S frequency response (FMCW up-ramp from 120 GHz to 170</w:t>
      </w:r>
      <w:r>
        <w:t> </w:t>
      </w:r>
      <w:r w:rsidR="008A6A23" w:rsidRPr="008A6A23">
        <w:t>GHz) with a Fabry–Pérot thin layer target with the minimum inside ITU RR FN 5.340 bands (red)</w:t>
      </w:r>
      <w:r w:rsidR="006C3204">
        <w:t xml:space="preserve"> </w:t>
      </w:r>
      <w:r w:rsidR="006C3204" w:rsidRPr="00E41212">
        <w:t>(</w:t>
      </w:r>
      <w:r w:rsidR="006C3204">
        <w:t xml:space="preserve">demonstration example, assumed </w:t>
      </w:r>
      <w:r w:rsidR="006C3204" w:rsidRPr="00E41212">
        <w:t>n=</w:t>
      </w:r>
      <w:r w:rsidR="006C3204">
        <w:t>1</w:t>
      </w:r>
      <w:r w:rsidR="006C3204" w:rsidRPr="00E41212">
        <w:t>, rectangular window function, evaluated with Fabry–Pérot principle)</w:t>
      </w:r>
    </w:p>
    <w:p w14:paraId="2994F471" w14:textId="44A8412F" w:rsidR="008A6A23" w:rsidRPr="008A6A23" w:rsidRDefault="008A6A23" w:rsidP="008A6A23">
      <w:pPr>
        <w:rPr>
          <w:rStyle w:val="ECCParagraph"/>
        </w:rPr>
      </w:pPr>
      <w:r w:rsidRPr="00FD177D">
        <w:rPr>
          <w:rStyle w:val="ECCParagraph"/>
        </w:rPr>
        <w:t>For thin layer detection this is for example the case, if the measured material’s thickness is close to the bandwidth resolution limit and the combination of the parallel plate Fabry–Pérot interferometer</w:t>
      </w:r>
      <w:r w:rsidRPr="008A6A23">
        <w:rPr>
          <w:rStyle w:val="ECCParagraph"/>
        </w:rPr>
        <w:t xml:space="preserve"> leads to a single minimum that is located inside the notched-out bands, as shown in </w:t>
      </w:r>
      <w:r w:rsidR="00D205AA">
        <w:rPr>
          <w:rStyle w:val="ECCParagraph"/>
        </w:rPr>
        <w:t xml:space="preserve">the simulated case of </w:t>
      </w:r>
      <w:r w:rsidR="00D45AC2">
        <w:rPr>
          <w:rStyle w:val="ECCParagraph"/>
        </w:rPr>
        <w:fldChar w:fldCharType="begin"/>
      </w:r>
      <w:r w:rsidR="00D45AC2">
        <w:rPr>
          <w:rStyle w:val="ECCParagraph"/>
        </w:rPr>
        <w:instrText xml:space="preserve"> REF _Ref66377528 \h </w:instrText>
      </w:r>
      <w:r w:rsidR="00D45AC2">
        <w:rPr>
          <w:rStyle w:val="ECCParagraph"/>
        </w:rPr>
      </w:r>
      <w:r w:rsidR="00D45AC2">
        <w:rPr>
          <w:rStyle w:val="ECCParagraph"/>
        </w:rPr>
        <w:fldChar w:fldCharType="separate"/>
      </w:r>
      <w:r w:rsidR="0041125F" w:rsidRPr="00334871">
        <w:t>Figure </w:t>
      </w:r>
      <w:r w:rsidR="0041125F">
        <w:rPr>
          <w:noProof/>
        </w:rPr>
        <w:t>67</w:t>
      </w:r>
      <w:r w:rsidR="00D45AC2">
        <w:rPr>
          <w:rStyle w:val="ECCParagraph"/>
        </w:rPr>
        <w:fldChar w:fldCharType="end"/>
      </w:r>
      <w:r w:rsidRPr="008A6A23">
        <w:rPr>
          <w:rStyle w:val="ECCParagraph"/>
        </w:rPr>
        <w:t xml:space="preserve">. In this case the estimation of the exact local minimum with the required accuracy is not possible anymore. The regions outside do not work reliably enough with model-fitting approaches to predict the minimum location due to real-world application degradations like misalignment and so on. The other two applications (compare </w:t>
      </w:r>
      <w:r w:rsidR="00D45AC2">
        <w:rPr>
          <w:rStyle w:val="ECCParagraph"/>
          <w:highlight w:val="yellow"/>
        </w:rPr>
        <w:fldChar w:fldCharType="begin"/>
      </w:r>
      <w:r w:rsidR="00D45AC2">
        <w:rPr>
          <w:rStyle w:val="ECCParagraph"/>
        </w:rPr>
        <w:instrText xml:space="preserve"> REF _Ref65057811 \r \h </w:instrText>
      </w:r>
      <w:r w:rsidR="00D45AC2">
        <w:rPr>
          <w:rStyle w:val="ECCParagraph"/>
          <w:highlight w:val="yellow"/>
        </w:rPr>
      </w:r>
      <w:r w:rsidR="00D45AC2">
        <w:rPr>
          <w:rStyle w:val="ECCParagraph"/>
          <w:highlight w:val="yellow"/>
        </w:rPr>
        <w:fldChar w:fldCharType="separate"/>
      </w:r>
      <w:r w:rsidR="004F49F9">
        <w:rPr>
          <w:rStyle w:val="ECCParagraph"/>
        </w:rPr>
        <w:t>2.4.3.3</w:t>
      </w:r>
      <w:r w:rsidR="00D45AC2">
        <w:rPr>
          <w:rStyle w:val="ECCParagraph"/>
          <w:highlight w:val="yellow"/>
        </w:rPr>
        <w:fldChar w:fldCharType="end"/>
      </w:r>
      <w:r w:rsidRPr="008A6A23">
        <w:rPr>
          <w:rStyle w:val="ECCParagraph"/>
        </w:rPr>
        <w:t>) have similar restrictions regarding missing in-band information. Notching might be acceptable for non-precision measurement tasks (that do not require the wide absolute bandwidth anyway</w:t>
      </w:r>
      <w:r w:rsidR="0071311C" w:rsidRPr="008A6A23">
        <w:rPr>
          <w:rStyle w:val="ECCParagraph"/>
        </w:rPr>
        <w:t>) but</w:t>
      </w:r>
      <w:r w:rsidRPr="008A6A23">
        <w:rPr>
          <w:rStyle w:val="ECCParagraph"/>
        </w:rPr>
        <w:t xml:space="preserve"> notching out ITU RR 5.340 bands is not an option for high performance radiodetermination applications. Consequently, missing sub-bands can unfortunately not be accepted for most RDI-S applications. A network analyser measurement of a filter component with missing frequency ranges is also not an option if the interesting parts of the filter response are located within the missing ranges. Model based approaches with a-priori information can guess that there might be a filter response in the neglected frequency range, but no reliable measurement would be possible anymore with the missing in-band information. This could also happen for precise RDI-S measurements with the notched-out RR FN 5.340 bands.</w:t>
      </w:r>
    </w:p>
    <w:p w14:paraId="52726A7E" w14:textId="77777777" w:rsidR="008A6A23" w:rsidRPr="008A6A23" w:rsidRDefault="00813C7D" w:rsidP="00A51089">
      <w:pPr>
        <w:pStyle w:val="Caption"/>
      </w:pPr>
      <w:r w:rsidRPr="008A6A23">
        <w:rPr>
          <w:noProof/>
          <w:lang w:val="de-DE" w:eastAsia="de-DE"/>
        </w:rPr>
        <mc:AlternateContent>
          <mc:Choice Requires="wps">
            <w:drawing>
              <wp:anchor distT="0" distB="0" distL="114300" distR="114300" simplePos="0" relativeHeight="251657216" behindDoc="0" locked="0" layoutInCell="1" allowOverlap="1" wp14:anchorId="4437BB35" wp14:editId="2915ABB5">
                <wp:simplePos x="0" y="0"/>
                <wp:positionH relativeFrom="column">
                  <wp:posOffset>925195</wp:posOffset>
                </wp:positionH>
                <wp:positionV relativeFrom="paragraph">
                  <wp:posOffset>238760</wp:posOffset>
                </wp:positionV>
                <wp:extent cx="190500" cy="1790700"/>
                <wp:effectExtent l="57150" t="19050" r="57150" b="76200"/>
                <wp:wrapNone/>
                <wp:docPr id="218" name="Rechteck 12"/>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40941" id="Rechteck 12" o:spid="_x0000_s1026" style="position:absolute;margin-left:72.85pt;margin-top:18.8pt;width:15pt;height:14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" fillcolor="yellow"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59264" behindDoc="0" locked="0" layoutInCell="1" allowOverlap="1" wp14:anchorId="3F691539" wp14:editId="3D5FF6B6">
                <wp:simplePos x="0" y="0"/>
                <wp:positionH relativeFrom="column">
                  <wp:posOffset>1482090</wp:posOffset>
                </wp:positionH>
                <wp:positionV relativeFrom="paragraph">
                  <wp:posOffset>238760</wp:posOffset>
                </wp:positionV>
                <wp:extent cx="190500" cy="1790700"/>
                <wp:effectExtent l="57150" t="19050" r="57150" b="76200"/>
                <wp:wrapNone/>
                <wp:docPr id="219" name="Rechteck 13"/>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54F80" id="Rechteck 13" o:spid="_x0000_s1026" style="position:absolute;margin-left:116.7pt;margin-top:18.8pt;width:15pt;height:14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" fillcolor="yellow"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63360" behindDoc="0" locked="0" layoutInCell="1" allowOverlap="1" wp14:anchorId="25887724" wp14:editId="7F4F5D71">
                <wp:simplePos x="0" y="0"/>
                <wp:positionH relativeFrom="column">
                  <wp:posOffset>3093720</wp:posOffset>
                </wp:positionH>
                <wp:positionV relativeFrom="paragraph">
                  <wp:posOffset>232410</wp:posOffset>
                </wp:positionV>
                <wp:extent cx="190500" cy="1790700"/>
                <wp:effectExtent l="57150" t="19050" r="57150" b="76200"/>
                <wp:wrapNone/>
                <wp:docPr id="220" name="Rechteck 15"/>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806B8" id="Rechteck 15" o:spid="_x0000_s1026" style="position:absolute;margin-left:243.6pt;margin-top:18.3pt;width:15pt;height:14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" fillcolor="yellow"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61312" behindDoc="0" locked="0" layoutInCell="1" allowOverlap="1" wp14:anchorId="22C0AF30" wp14:editId="550D9715">
                <wp:simplePos x="0" y="0"/>
                <wp:positionH relativeFrom="column">
                  <wp:posOffset>2538095</wp:posOffset>
                </wp:positionH>
                <wp:positionV relativeFrom="paragraph">
                  <wp:posOffset>232410</wp:posOffset>
                </wp:positionV>
                <wp:extent cx="190500" cy="1790700"/>
                <wp:effectExtent l="57150" t="19050" r="57150" b="76200"/>
                <wp:wrapNone/>
                <wp:docPr id="221" name="Rechteck 14"/>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F3AB4" id="Rechteck 14" o:spid="_x0000_s1026" style="position:absolute;margin-left:199.85pt;margin-top:18.3pt;width:15pt;height:1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" fillcolor="yellow"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65408" behindDoc="0" locked="0" layoutInCell="1" allowOverlap="1" wp14:anchorId="0569E7E2" wp14:editId="4AF1881E">
                <wp:simplePos x="0" y="0"/>
                <wp:positionH relativeFrom="column">
                  <wp:posOffset>5922010</wp:posOffset>
                </wp:positionH>
                <wp:positionV relativeFrom="paragraph">
                  <wp:posOffset>226060</wp:posOffset>
                </wp:positionV>
                <wp:extent cx="190500" cy="1790700"/>
                <wp:effectExtent l="57150" t="19050" r="57150" b="76200"/>
                <wp:wrapNone/>
                <wp:docPr id="222" name="Rechteck 16"/>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2E829" id="Rechteck 16" o:spid="_x0000_s1026" style="position:absolute;margin-left:466.3pt;margin-top:17.8pt;width:15pt;height:1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" fillcolor="yellow"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51072" behindDoc="0" locked="0" layoutInCell="1" allowOverlap="1" wp14:anchorId="2EFFB786" wp14:editId="2330543E">
                <wp:simplePos x="0" y="0"/>
                <wp:positionH relativeFrom="column">
                  <wp:posOffset>2734310</wp:posOffset>
                </wp:positionH>
                <wp:positionV relativeFrom="paragraph">
                  <wp:posOffset>238760</wp:posOffset>
                </wp:positionV>
                <wp:extent cx="361950" cy="1790700"/>
                <wp:effectExtent l="57150" t="19050" r="57150" b="76200"/>
                <wp:wrapNone/>
                <wp:docPr id="223" name="Rechteck 7"/>
                <wp:cNvGraphicFramePr/>
                <a:graphic xmlns:a="http://schemas.openxmlformats.org/drawingml/2006/main">
                  <a:graphicData uri="http://schemas.microsoft.com/office/word/2010/wordprocessingShape">
                    <wps:wsp>
                      <wps:cNvSpPr/>
                      <wps:spPr>
                        <a:xfrm>
                          <a:off x="0" y="0"/>
                          <a:ext cx="361950" cy="1790700"/>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35843" id="Rechteck 7" o:spid="_x0000_s1026" style="position:absolute;margin-left:215.3pt;margin-top:18.8pt;width:28.5pt;height:14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" fillcolor="red"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53120" behindDoc="0" locked="0" layoutInCell="1" allowOverlap="1" wp14:anchorId="101C89B8" wp14:editId="31DC1E5A">
                <wp:simplePos x="0" y="0"/>
                <wp:positionH relativeFrom="column">
                  <wp:posOffset>1115060</wp:posOffset>
                </wp:positionH>
                <wp:positionV relativeFrom="paragraph">
                  <wp:posOffset>238760</wp:posOffset>
                </wp:positionV>
                <wp:extent cx="361950" cy="1790700"/>
                <wp:effectExtent l="57150" t="19050" r="57150" b="76200"/>
                <wp:wrapNone/>
                <wp:docPr id="224" name="Rechteck 9"/>
                <wp:cNvGraphicFramePr/>
                <a:graphic xmlns:a="http://schemas.openxmlformats.org/drawingml/2006/main">
                  <a:graphicData uri="http://schemas.microsoft.com/office/word/2010/wordprocessingShape">
                    <wps:wsp>
                      <wps:cNvSpPr/>
                      <wps:spPr>
                        <a:xfrm>
                          <a:off x="0" y="0"/>
                          <a:ext cx="361950" cy="1790700"/>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B3614" id="Rechteck 9" o:spid="_x0000_s1026" style="position:absolute;margin-left:87.8pt;margin-top:18.8pt;width:28.5pt;height:14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" fillcolor="red" stroked="f">
                <v:fill opacity="22873f"/>
                <v:shadow on="t" color="black" opacity="22937f" origin=",.5" offset="0,.63889mm"/>
              </v:rect>
            </w:pict>
          </mc:Fallback>
        </mc:AlternateContent>
      </w:r>
      <w:r w:rsidRPr="008A6A23">
        <w:rPr>
          <w:noProof/>
          <w:lang w:val="de-DE" w:eastAsia="de-DE"/>
        </w:rPr>
        <mc:AlternateContent>
          <mc:Choice Requires="wps">
            <w:drawing>
              <wp:anchor distT="0" distB="0" distL="114300" distR="114300" simplePos="0" relativeHeight="251655168" behindDoc="0" locked="0" layoutInCell="1" allowOverlap="1" wp14:anchorId="6485399C" wp14:editId="66000A7C">
                <wp:simplePos x="0" y="0"/>
                <wp:positionH relativeFrom="column">
                  <wp:posOffset>283210</wp:posOffset>
                </wp:positionH>
                <wp:positionV relativeFrom="paragraph">
                  <wp:posOffset>226221</wp:posOffset>
                </wp:positionV>
                <wp:extent cx="190500" cy="1790700"/>
                <wp:effectExtent l="57150" t="19050" r="57150" b="76200"/>
                <wp:wrapNone/>
                <wp:docPr id="225" name="Rechteck 11"/>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933D7" id="Rechteck 11" o:spid="_x0000_s1026" style="position:absolute;margin-left:22.3pt;margin-top:17.8pt;width:15pt;height:14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" fillcolor="yellow" stroked="f">
                <v:fill opacity="22873f"/>
                <v:shadow on="t" color="black" opacity="22937f" origin=",.5" offset="0,.63889mm"/>
              </v:rect>
            </w:pict>
          </mc:Fallback>
        </mc:AlternateContent>
      </w:r>
      <w:r w:rsidR="008A6A23" w:rsidRPr="008A6A23">
        <w:rPr>
          <w:noProof/>
          <w:lang w:val="de-DE" w:eastAsia="de-DE"/>
        </w:rPr>
        <w:drawing>
          <wp:inline distT="0" distB="0" distL="0" distR="0" wp14:anchorId="2A9F17B5" wp14:editId="3239959C">
            <wp:extent cx="5205046" cy="1947849"/>
            <wp:effectExtent l="0" t="0" r="0" b="0"/>
            <wp:docPr id="231"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18777" t="7933" r="19550" b="51036"/>
                    <a:stretch/>
                  </pic:blipFill>
                  <pic:spPr bwMode="auto">
                    <a:xfrm>
                      <a:off x="0" y="0"/>
                      <a:ext cx="5232066" cy="1957961"/>
                    </a:xfrm>
                    <a:prstGeom prst="rect">
                      <a:avLst/>
                    </a:prstGeom>
                    <a:ln>
                      <a:noFill/>
                    </a:ln>
                    <a:extLst>
                      <a:ext uri="{53640926-AAD7-44D8-BBD7-CCE9431645EC}">
                        <a14:shadowObscured xmlns:a14="http://schemas.microsoft.com/office/drawing/2010/main"/>
                      </a:ext>
                    </a:extLst>
                  </pic:spPr>
                </pic:pic>
              </a:graphicData>
            </a:graphic>
          </wp:inline>
        </w:drawing>
      </w:r>
    </w:p>
    <w:p w14:paraId="0A6C3CA4" w14:textId="055462C2" w:rsidR="008A6A23" w:rsidRPr="008A6A23" w:rsidRDefault="00A33058" w:rsidP="00A51089">
      <w:pPr>
        <w:pStyle w:val="Caption"/>
        <w:rPr>
          <w:rStyle w:val="ECCParagraph"/>
        </w:rPr>
      </w:pPr>
      <w:bookmarkStart w:id="356" w:name="_Ref66377320"/>
      <w:r w:rsidRPr="00334871">
        <w:t>Figure </w:t>
      </w:r>
      <w:r w:rsidRPr="005C0FE4">
        <w:fldChar w:fldCharType="begin"/>
      </w:r>
      <w:r>
        <w:instrText xml:space="preserve"> SEQ Figure \*ARABIC \* MERGEFORMAT  \* MERGEFORMAT </w:instrText>
      </w:r>
      <w:r w:rsidRPr="005C0FE4">
        <w:fldChar w:fldCharType="separate"/>
      </w:r>
      <w:r w:rsidR="004F49F9">
        <w:rPr>
          <w:noProof/>
        </w:rPr>
        <w:t>68</w:t>
      </w:r>
      <w:r w:rsidRPr="005C0FE4">
        <w:fldChar w:fldCharType="end"/>
      </w:r>
      <w:bookmarkEnd w:id="356"/>
      <w:r w:rsidR="008A6A23" w:rsidRPr="008A6A23">
        <w:t>: Measured RDI-S IF signal for FMCW down-ramp from 175</w:t>
      </w:r>
      <w:r>
        <w:t> </w:t>
      </w:r>
      <w:r w:rsidR="008A6A23" w:rsidRPr="008A6A23">
        <w:t>GHz to 120</w:t>
      </w:r>
      <w:r>
        <w:t> </w:t>
      </w:r>
      <w:r w:rsidR="008A6A23" w:rsidRPr="008A6A23">
        <w:t>GHz with highlighted degraded ramp linearity regions (yellow) due to PLL settling effects if notching of 5.340 bands (red) is required</w:t>
      </w:r>
    </w:p>
    <w:p w14:paraId="755F2363" w14:textId="79497FC2" w:rsidR="008A6A23" w:rsidRPr="008A6A23" w:rsidRDefault="008A6A23" w:rsidP="008A6A23">
      <w:pPr>
        <w:rPr>
          <w:rStyle w:val="ECCParagraph"/>
        </w:rPr>
      </w:pPr>
      <w:r w:rsidRPr="00FD177D">
        <w:rPr>
          <w:rStyle w:val="ECCParagraph"/>
        </w:rPr>
        <w:t>Additionally, t</w:t>
      </w:r>
      <w:r w:rsidRPr="008A6A23">
        <w:rPr>
          <w:rStyle w:val="ECCParagraph"/>
        </w:rPr>
        <w:t xml:space="preserve">he high sweep-rate (e.g. 4 ms for a complete 50 GHz sweep) needed for most applications due to high production line speed of the materials that need to be measured prevents notching-out frequency bands without losing FMCW sweep linearity, which can directly be translated into losing measurement performance and accuracy. The sub-micrometre precision measurements require an exceptional linear FMCW sweep without degraded regions. If bands are notched out by stopping the sweep and jumping over the ITU RR FN 5.340 bands this would result in degraded sweep performance close to the notched out regions due to the fact that phase locked loops (PLL) show an analogue settling behaviour, as shown in </w:t>
      </w:r>
      <w:r w:rsidR="00A33058">
        <w:rPr>
          <w:rStyle w:val="ECCParagraph"/>
        </w:rPr>
        <w:fldChar w:fldCharType="begin"/>
      </w:r>
      <w:r w:rsidR="00A33058">
        <w:rPr>
          <w:rStyle w:val="ECCParagraph"/>
        </w:rPr>
        <w:instrText xml:space="preserve"> REF _Ref66377320 \h </w:instrText>
      </w:r>
      <w:r w:rsidR="00A33058">
        <w:rPr>
          <w:rStyle w:val="ECCParagraph"/>
        </w:rPr>
      </w:r>
      <w:r w:rsidR="00A33058">
        <w:rPr>
          <w:rStyle w:val="ECCParagraph"/>
        </w:rPr>
        <w:fldChar w:fldCharType="separate"/>
      </w:r>
      <w:r w:rsidR="0041125F" w:rsidRPr="00334871">
        <w:t>Figure </w:t>
      </w:r>
      <w:r w:rsidR="0041125F">
        <w:rPr>
          <w:noProof/>
        </w:rPr>
        <w:t>68</w:t>
      </w:r>
      <w:r w:rsidR="00A33058">
        <w:rPr>
          <w:rStyle w:val="ECCParagraph"/>
        </w:rPr>
        <w:fldChar w:fldCharType="end"/>
      </w:r>
      <w:r w:rsidRPr="008A6A23">
        <w:rPr>
          <w:rStyle w:val="ECCParagraph"/>
        </w:rPr>
        <w:t>. Due to the use of window functions the non-avoidable regions of degraded ramp linearity at the outer start- and stop-regions of the sweep have only a minor influence compared to such regions in the middle of the covered bandwidth. In addition, spurious or/and out</w:t>
      </w:r>
      <w:r w:rsidR="00D803AF">
        <w:rPr>
          <w:rStyle w:val="ECCParagraph"/>
        </w:rPr>
        <w:t>-</w:t>
      </w:r>
      <w:r w:rsidRPr="008A6A23">
        <w:rPr>
          <w:rStyle w:val="ECCParagraph"/>
        </w:rPr>
        <w:t>of</w:t>
      </w:r>
      <w:r w:rsidR="00D803AF">
        <w:rPr>
          <w:rStyle w:val="ECCParagraph"/>
        </w:rPr>
        <w:t>-</w:t>
      </w:r>
      <w:r w:rsidRPr="008A6A23">
        <w:rPr>
          <w:rStyle w:val="ECCParagraph"/>
        </w:rPr>
        <w:t>band emissions with much higher power spectral density in the ITU RR FN 5.340 bands, because of PLL locking and settling processes at the FMCW start and stop regions, might be the consequence. Experience shows that the start and stop regions of a FMCW sweep are often the most critical parts in terms of power spectral density emission levels</w:t>
      </w:r>
      <w:r w:rsidR="00D64192">
        <w:rPr>
          <w:rStyle w:val="ECCParagraph"/>
        </w:rPr>
        <w:t xml:space="preserve"> as it can increase spurious emissions in the adjacent bands</w:t>
      </w:r>
      <w:r w:rsidRPr="008A6A23">
        <w:rPr>
          <w:rStyle w:val="ECCParagraph"/>
        </w:rPr>
        <w:t>. Another technique, the notching of bands with switchable components like amplifiers in the transmit path of the radar is unavoidably causing load pulling at the VCO, because of changing the load of the VCO during the highly linear frequency ramp. Phase locked loops will correct the frequency drift of the VCO caused by the changing load, but due to the analogue behaviour of the loop-filters this also highly influences the FMCW sweep linearity and is not suitable for high performance radiodetermination applications.</w:t>
      </w:r>
    </w:p>
    <w:p w14:paraId="5DDD7590" w14:textId="77777777" w:rsidR="008A6A23" w:rsidRPr="008A6A23" w:rsidRDefault="006C3204" w:rsidP="00A51089">
      <w:pPr>
        <w:pStyle w:val="Caption"/>
      </w:pPr>
      <w:r w:rsidRPr="006C3204">
        <w:rPr>
          <w:noProof/>
          <w:lang w:val="de-DE" w:eastAsia="de-DE"/>
        </w:rPr>
        <w:drawing>
          <wp:inline distT="0" distB="0" distL="0" distR="0" wp14:anchorId="77950A27" wp14:editId="32C02CB2">
            <wp:extent cx="3754791" cy="3223846"/>
            <wp:effectExtent l="0" t="0" r="0" b="0"/>
            <wp:docPr id="2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85948" cy="3250597"/>
                    </a:xfrm>
                    <a:prstGeom prst="rect">
                      <a:avLst/>
                    </a:prstGeom>
                  </pic:spPr>
                </pic:pic>
              </a:graphicData>
            </a:graphic>
          </wp:inline>
        </w:drawing>
      </w:r>
    </w:p>
    <w:p w14:paraId="13F40509" w14:textId="2F2BE0B1" w:rsidR="008A6A23" w:rsidRPr="008A6A23" w:rsidRDefault="00A33058" w:rsidP="00A51089">
      <w:pPr>
        <w:pStyle w:val="Caption"/>
        <w:rPr>
          <w:rStyle w:val="ECCParagraph"/>
        </w:rPr>
      </w:pPr>
      <w:bookmarkStart w:id="357" w:name="_Ref66377427"/>
      <w:r w:rsidRPr="00334871">
        <w:t>Figure </w:t>
      </w:r>
      <w:r w:rsidRPr="005C0FE4">
        <w:fldChar w:fldCharType="begin"/>
      </w:r>
      <w:r>
        <w:instrText xml:space="preserve"> SEQ Figure \*ARABIC \* MERGEFORMAT  \* MERGEFORMAT </w:instrText>
      </w:r>
      <w:r w:rsidRPr="005C0FE4">
        <w:fldChar w:fldCharType="separate"/>
      </w:r>
      <w:r w:rsidR="004F49F9">
        <w:rPr>
          <w:noProof/>
        </w:rPr>
        <w:t>69</w:t>
      </w:r>
      <w:r w:rsidRPr="005C0FE4">
        <w:fldChar w:fldCharType="end"/>
      </w:r>
      <w:bookmarkEnd w:id="357"/>
      <w:r w:rsidRPr="008A6A23">
        <w:t xml:space="preserve">: </w:t>
      </w:r>
      <w:r w:rsidR="008A6A23" w:rsidRPr="008A6A23">
        <w:t xml:space="preserve">Block diagram of a typical precision FMCW radar. This example system </w:t>
      </w:r>
      <w:r w:rsidR="006C3204">
        <w:t>operates in a frequency range from 126 to 182 GHz</w:t>
      </w:r>
    </w:p>
    <w:p w14:paraId="1371D714" w14:textId="20294BF9" w:rsidR="008A6A23" w:rsidRPr="008A6A23" w:rsidRDefault="008A6A23" w:rsidP="00BB6BF9">
      <w:pPr>
        <w:rPr>
          <w:rStyle w:val="ECCParagraph"/>
        </w:rPr>
      </w:pPr>
      <w:r>
        <w:rPr>
          <w:rStyle w:val="ECCParagraph"/>
        </w:rPr>
        <w:t xml:space="preserve">A block diagram of a typical high performance FMCW radar </w:t>
      </w:r>
      <w:r w:rsidR="006C3204">
        <w:rPr>
          <w:rStyle w:val="ECCParagraph"/>
        </w:rPr>
        <w:t xml:space="preserve">operating </w:t>
      </w:r>
      <w:r>
        <w:rPr>
          <w:rStyle w:val="ECCParagraph"/>
        </w:rPr>
        <w:t xml:space="preserve">at </w:t>
      </w:r>
      <w:r w:rsidR="006C3204">
        <w:rPr>
          <w:rStyle w:val="ECCParagraph"/>
        </w:rPr>
        <w:t>126-182 </w:t>
      </w:r>
      <w:r>
        <w:rPr>
          <w:rStyle w:val="ECCParagraph"/>
        </w:rPr>
        <w:t xml:space="preserve">GHz is shown in </w:t>
      </w:r>
      <w:r w:rsidR="00A33058">
        <w:rPr>
          <w:rStyle w:val="ECCParagraph"/>
        </w:rPr>
        <w:fldChar w:fldCharType="begin"/>
      </w:r>
      <w:r w:rsidR="00A33058">
        <w:rPr>
          <w:rStyle w:val="ECCParagraph"/>
        </w:rPr>
        <w:instrText xml:space="preserve"> REF _Ref66377427 \h </w:instrText>
      </w:r>
      <w:r w:rsidR="00A33058">
        <w:rPr>
          <w:rStyle w:val="ECCParagraph"/>
        </w:rPr>
      </w:r>
      <w:r w:rsidR="00A33058">
        <w:rPr>
          <w:rStyle w:val="ECCParagraph"/>
        </w:rPr>
        <w:fldChar w:fldCharType="separate"/>
      </w:r>
      <w:r w:rsidR="0041125F" w:rsidRPr="00334871">
        <w:t>Figure </w:t>
      </w:r>
      <w:r w:rsidR="0041125F">
        <w:rPr>
          <w:noProof/>
        </w:rPr>
        <w:t>69</w:t>
      </w:r>
      <w:r w:rsidR="00A33058">
        <w:rPr>
          <w:rStyle w:val="ECCParagraph"/>
        </w:rPr>
        <w:fldChar w:fldCharType="end"/>
      </w:r>
      <w:r w:rsidRPr="008A6A23">
        <w:rPr>
          <w:rStyle w:val="ECCParagraph"/>
        </w:rPr>
        <w:t xml:space="preserve">, </w:t>
      </w:r>
      <w:r w:rsidR="006C3204">
        <w:rPr>
          <w:rStyle w:val="ECCParagraph"/>
        </w:rPr>
        <w:t xml:space="preserve">other </w:t>
      </w:r>
      <w:r w:rsidRPr="008A6A23">
        <w:rPr>
          <w:rStyle w:val="ECCParagraph"/>
        </w:rPr>
        <w:t xml:space="preserve">systems for the frequency range between 116 to </w:t>
      </w:r>
      <w:r w:rsidR="006C3204">
        <w:rPr>
          <w:rStyle w:val="ECCParagraph"/>
        </w:rPr>
        <w:t>26</w:t>
      </w:r>
      <w:r w:rsidRPr="008A6A23">
        <w:rPr>
          <w:rStyle w:val="ECCParagraph"/>
        </w:rPr>
        <w:t>0</w:t>
      </w:r>
      <w:r w:rsidR="006C3204">
        <w:rPr>
          <w:rStyle w:val="ECCParagraph"/>
        </w:rPr>
        <w:t> </w:t>
      </w:r>
      <w:r w:rsidRPr="008A6A23">
        <w:rPr>
          <w:rStyle w:val="ECCParagraph"/>
        </w:rPr>
        <w:t xml:space="preserve">GHz might look similar with scaled frequencies or with an additional frequency doubler </w:t>
      </w:r>
      <w:r w:rsidR="006C3204">
        <w:rPr>
          <w:rStyle w:val="ECCParagraph"/>
        </w:rPr>
        <w:t>located behind</w:t>
      </w:r>
      <w:r w:rsidRPr="008A6A23">
        <w:rPr>
          <w:rStyle w:val="ECCParagraph"/>
        </w:rPr>
        <w:t xml:space="preserve"> the fundamental VCO.</w:t>
      </w:r>
    </w:p>
    <w:p w14:paraId="1154E592" w14:textId="77777777" w:rsidR="008A6A23" w:rsidRPr="008A6A23" w:rsidRDefault="008A6A23" w:rsidP="00F650AC">
      <w:pPr>
        <w:rPr>
          <w:rStyle w:val="ECCParagraph"/>
        </w:rPr>
      </w:pPr>
      <w:r w:rsidRPr="008A6A23">
        <w:rPr>
          <w:rStyle w:val="ECCParagraph"/>
        </w:rPr>
        <w:t>Summary: Notching out ITU RR FN 5.340 bands is not an option for high performance radiodetermination applications as the measurement degradation would eliminate such an application. The sub-micrometre precision measurements like e.g. precision dielectric sheet thickness measurements require an exceptional linear FMCW sweep without degraded regions in order to function at all and have an inherent need to collect the frequency response from a large continuous bandwidth without missing sub-bands.</w:t>
      </w:r>
    </w:p>
    <w:p w14:paraId="00F7DA93" w14:textId="77777777" w:rsidR="008A6A23" w:rsidRPr="008A6A23" w:rsidRDefault="008A6A23" w:rsidP="00F650AC">
      <w:pPr>
        <w:rPr>
          <w:rStyle w:val="ECCParagraph"/>
        </w:rPr>
      </w:pPr>
      <w:r w:rsidRPr="005645F5">
        <w:rPr>
          <w:rStyle w:val="ECCParagraph"/>
        </w:rPr>
        <w:t xml:space="preserve">For non-precision </w:t>
      </w:r>
      <w:r w:rsidR="00CF2AFD">
        <w:rPr>
          <w:rStyle w:val="ECCParagraph"/>
        </w:rPr>
        <w:t xml:space="preserve">RDI-S </w:t>
      </w:r>
      <w:r w:rsidRPr="005645F5">
        <w:rPr>
          <w:rStyle w:val="ECCParagraph"/>
        </w:rPr>
        <w:t xml:space="preserve">measurement tasks, notching is acceptable. </w:t>
      </w:r>
      <w:r w:rsidR="00F275B7" w:rsidRPr="00F275B7">
        <w:rPr>
          <w:rStyle w:val="ECCParagraph"/>
        </w:rPr>
        <w:t>Slow sweeping RDI-S devices with sweep slopes smaller than 2.5</w:t>
      </w:r>
      <w:r w:rsidR="008331B8">
        <w:rPr>
          <w:rStyle w:val="ECCParagraph"/>
        </w:rPr>
        <w:t> </w:t>
      </w:r>
      <w:r w:rsidR="00F275B7" w:rsidRPr="00F275B7">
        <w:rPr>
          <w:rStyle w:val="ECCParagraph"/>
        </w:rPr>
        <w:t xml:space="preserve">GHz/ms shall notch out the ITU-RR FN 5.340 bands </w:t>
      </w:r>
      <w:r w:rsidR="008331B8">
        <w:rPr>
          <w:rStyle w:val="ECCParagraph"/>
        </w:rPr>
        <w:t xml:space="preserve">with </w:t>
      </w:r>
      <w:r w:rsidR="00F275B7" w:rsidRPr="00F275B7">
        <w:rPr>
          <w:rStyle w:val="ECCParagraph"/>
        </w:rPr>
        <w:t>at least 10</w:t>
      </w:r>
      <w:r w:rsidR="008331B8">
        <w:rPr>
          <w:rStyle w:val="ECCParagraph"/>
        </w:rPr>
        <w:t> </w:t>
      </w:r>
      <w:r w:rsidR="00F275B7" w:rsidRPr="00F275B7">
        <w:rPr>
          <w:rStyle w:val="ECCParagraph"/>
        </w:rPr>
        <w:t>dB reduction in mean and peak power.</w:t>
      </w:r>
    </w:p>
    <w:p w14:paraId="3F88E649" w14:textId="77777777" w:rsidR="008A6A23" w:rsidRPr="008A6A23" w:rsidRDefault="008A6A23" w:rsidP="00F650AC">
      <w:pPr>
        <w:pStyle w:val="Heading3"/>
        <w:rPr>
          <w:rStyle w:val="ECCParagraph"/>
          <w:rFonts w:cs="Times New Roman"/>
          <w:b w:val="0"/>
          <w:bCs w:val="0"/>
          <w:szCs w:val="16"/>
        </w:rPr>
      </w:pPr>
      <w:bookmarkStart w:id="358" w:name="_Toc84325310"/>
      <w:bookmarkStart w:id="359" w:name="_Toc127346243"/>
      <w:r>
        <w:rPr>
          <w:rStyle w:val="ECCParagraph"/>
        </w:rPr>
        <w:t xml:space="preserve">RDI-S </w:t>
      </w:r>
      <w:r w:rsidR="0054513B">
        <w:rPr>
          <w:rStyle w:val="ECCParagraph"/>
        </w:rPr>
        <w:t>sharing and compatibility in RR FN 5.340 bands</w:t>
      </w:r>
      <w:bookmarkEnd w:id="358"/>
      <w:bookmarkEnd w:id="359"/>
    </w:p>
    <w:p w14:paraId="01F750CC" w14:textId="4E923AF4" w:rsidR="008A6A23" w:rsidRDefault="008A6A23" w:rsidP="004E36C2">
      <w:pPr>
        <w:pStyle w:val="Heading4"/>
        <w:rPr>
          <w:rStyle w:val="ECCParagraph"/>
        </w:rPr>
      </w:pPr>
      <w:bookmarkStart w:id="360" w:name="_Toc84325311"/>
      <w:r>
        <w:rPr>
          <w:rStyle w:val="ECCParagraph"/>
        </w:rPr>
        <w:t>RDI-S sharing and compatibility</w:t>
      </w:r>
      <w:r w:rsidR="001D7996">
        <w:rPr>
          <w:rStyle w:val="ECCParagraph"/>
        </w:rPr>
        <w:t>-</w:t>
      </w:r>
      <w:r>
        <w:rPr>
          <w:rStyle w:val="ECCParagraph"/>
        </w:rPr>
        <w:t>general considerations</w:t>
      </w:r>
      <w:bookmarkEnd w:id="360"/>
    </w:p>
    <w:p w14:paraId="07E34BA0" w14:textId="77777777" w:rsidR="008A6A23" w:rsidRPr="008A6A23" w:rsidRDefault="008A6A23" w:rsidP="00F650AC">
      <w:pPr>
        <w:rPr>
          <w:rStyle w:val="ECCParagraph"/>
        </w:rPr>
      </w:pPr>
      <w:r>
        <w:rPr>
          <w:rStyle w:val="ECCParagraph"/>
        </w:rPr>
        <w:t>P</w:t>
      </w:r>
      <w:r w:rsidRPr="008A6A23">
        <w:rPr>
          <w:rStyle w:val="ECCParagraph"/>
        </w:rPr>
        <w:t xml:space="preserve">rotection criteria are already available (for EESS) or can easily </w:t>
      </w:r>
      <w:r w:rsidR="005C1E7B">
        <w:rPr>
          <w:rStyle w:val="ECCParagraph"/>
        </w:rPr>
        <w:t xml:space="preserve">be </w:t>
      </w:r>
      <w:r w:rsidRPr="008A6A23">
        <w:rPr>
          <w:rStyle w:val="ECCParagraph"/>
        </w:rPr>
        <w:t>derived (for RAS) for all passive services in the frequency region above 116</w:t>
      </w:r>
      <w:r w:rsidR="0005493C">
        <w:rPr>
          <w:rStyle w:val="ECCParagraph"/>
        </w:rPr>
        <w:t> </w:t>
      </w:r>
      <w:r w:rsidRPr="008A6A23">
        <w:rPr>
          <w:rStyle w:val="ECCParagraph"/>
        </w:rPr>
        <w:t xml:space="preserve">GHz. </w:t>
      </w:r>
      <w:r w:rsidR="00790D9B">
        <w:rPr>
          <w:rStyle w:val="ECCParagraph"/>
        </w:rPr>
        <w:t>A</w:t>
      </w:r>
      <w:r w:rsidRPr="008A6A23">
        <w:rPr>
          <w:rStyle w:val="ECCParagraph"/>
        </w:rPr>
        <w:t>tmospheric losses</w:t>
      </w:r>
      <w:r w:rsidR="00D64192">
        <w:rPr>
          <w:rStyle w:val="ECCParagraph"/>
        </w:rPr>
        <w:t>, line of sight losses, diffraction, and building entry (shielding) losses</w:t>
      </w:r>
      <w:r w:rsidRPr="008A6A23">
        <w:rPr>
          <w:rStyle w:val="ECCParagraph"/>
        </w:rPr>
        <w:t xml:space="preserve"> are much higher compared to </w:t>
      </w:r>
      <w:r w:rsidR="00790D9B">
        <w:rPr>
          <w:rStyle w:val="ECCParagraph"/>
        </w:rPr>
        <w:t>low frequencies,</w:t>
      </w:r>
      <w:r w:rsidRPr="008A6A23">
        <w:rPr>
          <w:rStyle w:val="ECCParagraph"/>
        </w:rPr>
        <w:t xml:space="preserve"> which adds additional protection from interference.</w:t>
      </w:r>
    </w:p>
    <w:p w14:paraId="35D8DE5E" w14:textId="77777777" w:rsidR="008A6A23" w:rsidRPr="008A6A23" w:rsidRDefault="008A6A23" w:rsidP="001826BC">
      <w:r w:rsidRPr="002E51DA">
        <w:rPr>
          <w:rStyle w:val="ECCParagraph"/>
        </w:rPr>
        <w:t>Due to the wide bandwidth, high shielding</w:t>
      </w:r>
      <w:r w:rsidRPr="008A6A23">
        <w:rPr>
          <w:rStyle w:val="ECCParagraph"/>
        </w:rPr>
        <w:t xml:space="preserve"> loss, low output power and fast sweeping behaviour, the expected emission of RDI-S devices w</w:t>
      </w:r>
      <w:r w:rsidR="00581672">
        <w:rPr>
          <w:rStyle w:val="ECCParagraph"/>
        </w:rPr>
        <w:t>ould</w:t>
      </w:r>
      <w:r w:rsidRPr="008A6A23">
        <w:rPr>
          <w:rStyle w:val="ECCParagraph"/>
        </w:rPr>
        <w:t xml:space="preserve"> be even below the limits that are already allowed for short</w:t>
      </w:r>
      <w:r w:rsidR="00832E5D">
        <w:rPr>
          <w:rStyle w:val="ECCParagraph"/>
        </w:rPr>
        <w:t>-</w:t>
      </w:r>
      <w:r w:rsidRPr="008A6A23">
        <w:rPr>
          <w:rStyle w:val="ECCParagraph"/>
        </w:rPr>
        <w:t xml:space="preserve">range device unwanted emissions in the spurious domain. The radiated energy outside the shielded enclosure is unwanted radiation, which unfortunately cannot be avoided for this application. </w:t>
      </w:r>
    </w:p>
    <w:p w14:paraId="5BD7912E" w14:textId="77777777" w:rsidR="00F778AC" w:rsidRDefault="00302781" w:rsidP="00F778AC">
      <w:pPr>
        <w:pStyle w:val="Heading2"/>
        <w:rPr>
          <w:rStyle w:val="ECCParagraph"/>
        </w:rPr>
      </w:pPr>
      <w:bookmarkStart w:id="361" w:name="_Ref59033960"/>
      <w:bookmarkStart w:id="362" w:name="_Toc84325312"/>
      <w:bookmarkStart w:id="363" w:name="_Toc127346244"/>
      <w:r>
        <w:rPr>
          <w:rStyle w:val="ECCParagraph"/>
        </w:rPr>
        <w:t>T</w:t>
      </w:r>
      <w:r w:rsidR="00B571C6" w:rsidRPr="006D53D7">
        <w:rPr>
          <w:rStyle w:val="ECCParagraph"/>
        </w:rPr>
        <w:t xml:space="preserve">echnical justification for </w:t>
      </w:r>
      <w:r w:rsidR="00D07773">
        <w:rPr>
          <w:rStyle w:val="ECCParagraph"/>
        </w:rPr>
        <w:t xml:space="preserve">the </w:t>
      </w:r>
      <w:r w:rsidR="00B571C6" w:rsidRPr="006D53D7">
        <w:rPr>
          <w:rStyle w:val="ECCParagraph"/>
        </w:rPr>
        <w:t xml:space="preserve">wide bandwidth </w:t>
      </w:r>
      <w:r w:rsidR="00B571C6">
        <w:rPr>
          <w:rStyle w:val="ECCParagraph"/>
        </w:rPr>
        <w:t xml:space="preserve">Need for RDI-S </w:t>
      </w:r>
      <w:r w:rsidR="00F778AC">
        <w:rPr>
          <w:rStyle w:val="ECCParagraph"/>
        </w:rPr>
        <w:t>using</w:t>
      </w:r>
      <w:r w:rsidR="00B571C6">
        <w:rPr>
          <w:rStyle w:val="ECCParagraph"/>
        </w:rPr>
        <w:t xml:space="preserve"> the example </w:t>
      </w:r>
      <w:r w:rsidR="00F778AC">
        <w:rPr>
          <w:rStyle w:val="ECCParagraph"/>
        </w:rPr>
        <w:t>of plastic pipe</w:t>
      </w:r>
      <w:r w:rsidR="00D07773">
        <w:rPr>
          <w:rStyle w:val="ECCParagraph"/>
        </w:rPr>
        <w:t xml:space="preserve"> and sheet</w:t>
      </w:r>
      <w:r w:rsidR="00F778AC">
        <w:rPr>
          <w:rStyle w:val="ECCParagraph"/>
        </w:rPr>
        <w:t xml:space="preserve"> thickness measurement</w:t>
      </w:r>
      <w:bookmarkEnd w:id="361"/>
      <w:bookmarkEnd w:id="362"/>
      <w:bookmarkEnd w:id="363"/>
    </w:p>
    <w:p w14:paraId="77E988D8" w14:textId="4551F9CC" w:rsidR="00DF6983" w:rsidRPr="008A6A23" w:rsidRDefault="00DF6983" w:rsidP="00DF6983">
      <w:pPr>
        <w:rPr>
          <w:rStyle w:val="ECCParagraph"/>
        </w:rPr>
      </w:pPr>
      <w:bookmarkStart w:id="364" w:name="_Ref49323159"/>
      <w:r>
        <w:rPr>
          <w:rStyle w:val="ECCParagraph"/>
        </w:rPr>
        <w:t xml:space="preserve">Note: The </w:t>
      </w:r>
      <w:r w:rsidR="009D5FA2">
        <w:rPr>
          <w:rStyle w:val="ECCParagraph"/>
        </w:rPr>
        <w:t>section</w:t>
      </w:r>
      <w:r>
        <w:rPr>
          <w:rStyle w:val="ECCParagraph"/>
        </w:rPr>
        <w:t xml:space="preserve">s </w:t>
      </w:r>
      <w:r w:rsidR="00701787">
        <w:rPr>
          <w:rStyle w:val="ECCParagraph"/>
        </w:rPr>
        <w:fldChar w:fldCharType="begin"/>
      </w:r>
      <w:r w:rsidR="00701787">
        <w:rPr>
          <w:rStyle w:val="ECCParagraph"/>
        </w:rPr>
        <w:instrText xml:space="preserve"> REF _Ref63339687 \r \h </w:instrText>
      </w:r>
      <w:r w:rsidR="00701787">
        <w:rPr>
          <w:rStyle w:val="ECCParagraph"/>
        </w:rPr>
      </w:r>
      <w:r w:rsidR="00701787">
        <w:rPr>
          <w:rStyle w:val="ECCParagraph"/>
        </w:rPr>
        <w:fldChar w:fldCharType="separate"/>
      </w:r>
      <w:r w:rsidR="004F49F9">
        <w:rPr>
          <w:rStyle w:val="ECCParagraph"/>
        </w:rPr>
        <w:t>2.4</w:t>
      </w:r>
      <w:r w:rsidR="00701787">
        <w:rPr>
          <w:rStyle w:val="ECCParagraph"/>
        </w:rPr>
        <w:fldChar w:fldCharType="end"/>
      </w:r>
      <w:r>
        <w:rPr>
          <w:rStyle w:val="ECCParagraph"/>
        </w:rPr>
        <w:t xml:space="preserve"> and </w:t>
      </w:r>
      <w:r w:rsidR="00701787">
        <w:rPr>
          <w:rStyle w:val="ECCParagraph"/>
        </w:rPr>
        <w:fldChar w:fldCharType="begin"/>
      </w:r>
      <w:r w:rsidR="00701787">
        <w:rPr>
          <w:rStyle w:val="ECCParagraph"/>
        </w:rPr>
        <w:instrText xml:space="preserve"> REF _Ref59033960 \r \h </w:instrText>
      </w:r>
      <w:r w:rsidR="00701787">
        <w:rPr>
          <w:rStyle w:val="ECCParagraph"/>
        </w:rPr>
      </w:r>
      <w:r w:rsidR="00701787">
        <w:rPr>
          <w:rStyle w:val="ECCParagraph"/>
        </w:rPr>
        <w:fldChar w:fldCharType="separate"/>
      </w:r>
      <w:r w:rsidR="004F49F9">
        <w:rPr>
          <w:rStyle w:val="ECCParagraph"/>
        </w:rPr>
        <w:t>2.5</w:t>
      </w:r>
      <w:r w:rsidR="00701787">
        <w:rPr>
          <w:rStyle w:val="ECCParagraph"/>
        </w:rPr>
        <w:fldChar w:fldCharType="end"/>
      </w:r>
      <w:r>
        <w:rPr>
          <w:rStyle w:val="ECCParagraph"/>
        </w:rPr>
        <w:t xml:space="preserve"> contain the technical justifications of the industry as requested by the 52nd ECC meeting (see item </w:t>
      </w:r>
      <w:r w:rsidR="00701787">
        <w:rPr>
          <w:rStyle w:val="ECCParagraph"/>
        </w:rPr>
        <w:fldChar w:fldCharType="begin"/>
      </w:r>
      <w:r w:rsidR="00701787">
        <w:rPr>
          <w:rStyle w:val="ECCParagraph"/>
        </w:rPr>
        <w:instrText xml:space="preserve"> REF _Ref63339852 \r \h </w:instrText>
      </w:r>
      <w:r w:rsidR="00701787">
        <w:rPr>
          <w:rStyle w:val="ECCParagraph"/>
        </w:rPr>
      </w:r>
      <w:r w:rsidR="00701787">
        <w:rPr>
          <w:rStyle w:val="ECCParagraph"/>
        </w:rPr>
        <w:fldChar w:fldCharType="separate"/>
      </w:r>
      <w:r w:rsidR="004F49F9">
        <w:rPr>
          <w:rStyle w:val="ECCParagraph"/>
        </w:rPr>
        <w:t>4</w:t>
      </w:r>
      <w:r w:rsidR="00701787">
        <w:rPr>
          <w:rStyle w:val="ECCParagraph"/>
        </w:rPr>
        <w:fldChar w:fldCharType="end"/>
      </w:r>
      <w:r>
        <w:rPr>
          <w:rStyle w:val="ECCParagraph"/>
        </w:rPr>
        <w:t xml:space="preserve"> in </w:t>
      </w:r>
      <w:r w:rsidR="009D5FA2">
        <w:rPr>
          <w:rStyle w:val="ECCParagraph"/>
        </w:rPr>
        <w:t>section</w:t>
      </w:r>
      <w:r w:rsidR="00701787">
        <w:rPr>
          <w:rStyle w:val="ECCParagraph"/>
        </w:rPr>
        <w:t xml:space="preserve"> </w:t>
      </w:r>
      <w:r w:rsidR="00701787">
        <w:rPr>
          <w:rStyle w:val="ECCParagraph"/>
        </w:rPr>
        <w:fldChar w:fldCharType="begin"/>
      </w:r>
      <w:r w:rsidR="00701787">
        <w:rPr>
          <w:rStyle w:val="ECCParagraph"/>
        </w:rPr>
        <w:instrText xml:space="preserve"> REF _Ref63340020 \r \h </w:instrText>
      </w:r>
      <w:r w:rsidR="00701787">
        <w:rPr>
          <w:rStyle w:val="ECCParagraph"/>
        </w:rPr>
      </w:r>
      <w:r w:rsidR="00701787">
        <w:rPr>
          <w:rStyle w:val="ECCParagraph"/>
        </w:rPr>
        <w:fldChar w:fldCharType="separate"/>
      </w:r>
      <w:r w:rsidR="004F49F9">
        <w:rPr>
          <w:rStyle w:val="ECCParagraph"/>
        </w:rPr>
        <w:t>2.4.1</w:t>
      </w:r>
      <w:r w:rsidR="00701787">
        <w:rPr>
          <w:rStyle w:val="ECCParagraph"/>
        </w:rPr>
        <w:fldChar w:fldCharType="end"/>
      </w:r>
      <w:r>
        <w:rPr>
          <w:rStyle w:val="ECCParagraph"/>
        </w:rPr>
        <w:t xml:space="preserve">), </w:t>
      </w:r>
      <w:r w:rsidRPr="006D53D7">
        <w:rPr>
          <w:rStyle w:val="ECCParagraph"/>
        </w:rPr>
        <w:t xml:space="preserve">for the wide bandwidth </w:t>
      </w:r>
      <w:r>
        <w:rPr>
          <w:rStyle w:val="ECCParagraph"/>
        </w:rPr>
        <w:t xml:space="preserve">need </w:t>
      </w:r>
      <w:r w:rsidRPr="006D53D7">
        <w:rPr>
          <w:rStyle w:val="ECCParagraph"/>
        </w:rPr>
        <w:t xml:space="preserve">and why notching out </w:t>
      </w:r>
      <w:r w:rsidRPr="008A6A23">
        <w:rPr>
          <w:rStyle w:val="ECCParagraph"/>
        </w:rPr>
        <w:t xml:space="preserve">the bands identified by RR </w:t>
      </w:r>
      <w:r>
        <w:rPr>
          <w:rStyle w:val="ECCParagraph"/>
        </w:rPr>
        <w:t xml:space="preserve">FN </w:t>
      </w:r>
      <w:r w:rsidRPr="008A6A23">
        <w:rPr>
          <w:rStyle w:val="ECCParagraph"/>
        </w:rPr>
        <w:t>5.340 is not possible</w:t>
      </w:r>
      <w:r>
        <w:rPr>
          <w:rStyle w:val="ECCParagraph"/>
        </w:rPr>
        <w:t>.</w:t>
      </w:r>
    </w:p>
    <w:p w14:paraId="5533BF54" w14:textId="77777777" w:rsidR="00D07773" w:rsidRDefault="00D07773" w:rsidP="00D07773">
      <w:pPr>
        <w:pStyle w:val="Heading3"/>
      </w:pPr>
      <w:bookmarkStart w:id="365" w:name="_Ref67062340"/>
      <w:bookmarkStart w:id="366" w:name="_Toc84325313"/>
      <w:bookmarkStart w:id="367" w:name="_Toc127346245"/>
      <w:r>
        <w:t>General information on pipes and sheets</w:t>
      </w:r>
      <w:bookmarkEnd w:id="364"/>
      <w:bookmarkEnd w:id="365"/>
      <w:bookmarkEnd w:id="366"/>
      <w:bookmarkEnd w:id="367"/>
    </w:p>
    <w:p w14:paraId="3D3FD2E8" w14:textId="6ABC96D2" w:rsidR="00D07773" w:rsidRDefault="00D07773" w:rsidP="00502683">
      <w:r w:rsidRPr="00934859">
        <w:t>Pipes and sheets are often made of PVC (polyvinyl chloride), PP (polypropylene) or PE (polyethylene), but other materials are of course possible</w:t>
      </w:r>
      <w:r>
        <w:t xml:space="preserve"> </w:t>
      </w:r>
      <w:r w:rsidR="00502683">
        <w:t xml:space="preserve">(see </w:t>
      </w:r>
      <w:r w:rsidR="007103E5">
        <w:fldChar w:fldCharType="begin"/>
      </w:r>
      <w:r w:rsidR="007103E5">
        <w:instrText xml:space="preserve"> REF _Ref89342638 \h </w:instrText>
      </w:r>
      <w:r w:rsidR="007103E5">
        <w:fldChar w:fldCharType="separate"/>
      </w:r>
      <w:r w:rsidR="0041125F" w:rsidRPr="00247CD9">
        <w:t>Figure </w:t>
      </w:r>
      <w:r w:rsidR="0041125F">
        <w:rPr>
          <w:rStyle w:val="ECCHLyellow"/>
          <w:noProof/>
          <w:szCs w:val="20"/>
          <w:shd w:val="clear" w:color="auto" w:fill="auto"/>
          <w:lang w:val="da-DK"/>
        </w:rPr>
        <w:t>70</w:t>
      </w:r>
      <w:r w:rsidR="007103E5">
        <w:fldChar w:fldCharType="end"/>
      </w:r>
      <w:r w:rsidR="007103E5">
        <w:t xml:space="preserve"> </w:t>
      </w:r>
      <w:r w:rsidR="00502683">
        <w:t xml:space="preserve">and </w:t>
      </w:r>
      <w:r w:rsidR="00502683">
        <w:fldChar w:fldCharType="begin"/>
      </w:r>
      <w:r w:rsidR="00502683">
        <w:instrText xml:space="preserve"> REF _Ref63272312 \h </w:instrText>
      </w:r>
      <w:r w:rsidR="00502683">
        <w:fldChar w:fldCharType="separate"/>
      </w:r>
      <w:r w:rsidR="0041125F" w:rsidRPr="00247CD9">
        <w:t>Figure </w:t>
      </w:r>
      <w:r w:rsidR="0041125F">
        <w:rPr>
          <w:rStyle w:val="ECCHLyellow"/>
          <w:noProof/>
          <w:szCs w:val="20"/>
          <w:shd w:val="clear" w:color="auto" w:fill="auto"/>
          <w:lang w:val="da-DK"/>
        </w:rPr>
        <w:t>71</w:t>
      </w:r>
      <w:r w:rsidR="00502683">
        <w:fldChar w:fldCharType="end"/>
      </w:r>
      <w:r w:rsidR="00502683">
        <w:t>)</w:t>
      </w:r>
      <w:r>
        <w:t>.</w:t>
      </w:r>
      <w:r w:rsidR="00BB45C5">
        <w:t xml:space="preserve"> </w:t>
      </w:r>
      <w:r w:rsidRPr="00934859">
        <w:t xml:space="preserve">In order to meet the desired requirements for the intended application, especially pipes are made of several layers. Often, </w:t>
      </w:r>
      <w:r w:rsidRPr="00502683">
        <w:rPr>
          <w:rStyle w:val="ECCParagraph"/>
        </w:rPr>
        <w:t>this is optically not visible because the layers can have the same colour. The exterior colours of the pipes are specified by standards, depending on the application.</w:t>
      </w:r>
      <w:r w:rsidR="00BB45C5" w:rsidRPr="00502683">
        <w:rPr>
          <w:rStyle w:val="ECCParagraph"/>
        </w:rPr>
        <w:t xml:space="preserve"> </w:t>
      </w:r>
      <w:r w:rsidRPr="00502683">
        <w:rPr>
          <w:rStyle w:val="ECCParagraph"/>
        </w:rPr>
        <w:t xml:space="preserve">The colour component has no influence on the physical properties of the pipes. These properties are influenced not only by the used materials, but also by the parameters of the production process and the layered design of the pipe itself. E.g. there may be layers for pressure </w:t>
      </w:r>
      <w:r w:rsidRPr="00934859">
        <w:t>protection, to add resistance against chemicals and so on.</w:t>
      </w:r>
    </w:p>
    <w:p w14:paraId="548ADC81" w14:textId="77777777" w:rsidR="00502683" w:rsidRPr="00247CD9" w:rsidRDefault="00502683" w:rsidP="00502683">
      <w:pPr>
        <w:pStyle w:val="Caption"/>
      </w:pPr>
      <w:r w:rsidRPr="00247CD9">
        <w:rPr>
          <w:noProof/>
          <w:lang w:val="de-DE" w:eastAsia="de-DE"/>
        </w:rPr>
        <w:drawing>
          <wp:inline distT="0" distB="0" distL="0" distR="0" wp14:anchorId="1D08FBAE" wp14:editId="7D7F5BA2">
            <wp:extent cx="3872399" cy="2902226"/>
            <wp:effectExtent l="0" t="0" r="0" b="0"/>
            <wp:docPr id="9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90205" cy="2915571"/>
                    </a:xfrm>
                    <a:prstGeom prst="rect">
                      <a:avLst/>
                    </a:prstGeom>
                    <a:noFill/>
                    <a:ln>
                      <a:noFill/>
                    </a:ln>
                  </pic:spPr>
                </pic:pic>
              </a:graphicData>
            </a:graphic>
          </wp:inline>
        </w:drawing>
      </w:r>
    </w:p>
    <w:p w14:paraId="6E3A32FA" w14:textId="65769944" w:rsidR="00502683" w:rsidRPr="00247CD9" w:rsidRDefault="007103E5" w:rsidP="00502683">
      <w:pPr>
        <w:pStyle w:val="Caption"/>
      </w:pPr>
      <w:bookmarkStart w:id="368" w:name="_Ref89342638"/>
      <w:r w:rsidRPr="00247CD9">
        <w:t>Figure </w:t>
      </w:r>
      <w:r w:rsidRPr="00247CD9">
        <w:rPr>
          <w:rStyle w:val="ECCHLyellow"/>
          <w:szCs w:val="20"/>
          <w:shd w:val="clear" w:color="auto" w:fill="auto"/>
          <w:lang w:val="da-DK"/>
        </w:rPr>
        <w:fldChar w:fldCharType="begin"/>
      </w:r>
      <w:r w:rsidRPr="00247CD9">
        <w:rPr>
          <w:rStyle w:val="ECCHLyellow"/>
          <w:szCs w:val="20"/>
          <w:shd w:val="clear" w:color="auto" w:fill="auto"/>
          <w:lang w:val="da-DK"/>
        </w:rPr>
        <w:instrText xml:space="preserve"> SEQ Figure \*ARABIC \* MERGEFORMAT  \* MERGEFORMAT </w:instrText>
      </w:r>
      <w:r w:rsidRPr="00247CD9">
        <w:rPr>
          <w:rStyle w:val="ECCHLyellow"/>
          <w:szCs w:val="20"/>
          <w:shd w:val="clear" w:color="auto" w:fill="auto"/>
          <w:lang w:val="da-DK"/>
        </w:rPr>
        <w:fldChar w:fldCharType="separate"/>
      </w:r>
      <w:r w:rsidR="004F49F9">
        <w:rPr>
          <w:rStyle w:val="ECCHLyellow"/>
          <w:noProof/>
          <w:szCs w:val="20"/>
          <w:shd w:val="clear" w:color="auto" w:fill="auto"/>
          <w:lang w:val="da-DK"/>
        </w:rPr>
        <w:t>70</w:t>
      </w:r>
      <w:r w:rsidRPr="00247CD9">
        <w:rPr>
          <w:rStyle w:val="ECCHLyellow"/>
          <w:szCs w:val="20"/>
          <w:shd w:val="clear" w:color="auto" w:fill="auto"/>
          <w:lang w:val="da-DK"/>
        </w:rPr>
        <w:fldChar w:fldCharType="end"/>
      </w:r>
      <w:bookmarkEnd w:id="368"/>
      <w:r w:rsidR="00502683" w:rsidRPr="00247CD9">
        <w:t>: Standard pipes for gas, long-distance-heating, sheathing and fluid waste (left to right)</w:t>
      </w:r>
    </w:p>
    <w:p w14:paraId="49C29329" w14:textId="0CFD73F2" w:rsidR="00D07773" w:rsidRDefault="00D07773" w:rsidP="00D07773">
      <w:r w:rsidRPr="00934859">
        <w:t xml:space="preserve">In addition to diameter, ovality and wall thickness, the standards specify (depending on the application) the mechanical properties of the pipes, e.g. pressure, thermal stability and weather resistance. Plastic </w:t>
      </w:r>
      <w:r w:rsidRPr="00D07773">
        <w:t>sheets are mostly used for insulation, cladding and/or sound insulation. This means that they can be used in many areas and are now almost without an alternative (</w:t>
      </w:r>
      <w:r w:rsidR="00753C8F">
        <w:t xml:space="preserve">see </w:t>
      </w:r>
      <w:r w:rsidR="004831C3">
        <w:rPr>
          <w:rStyle w:val="ECCHLyellow"/>
        </w:rPr>
        <w:fldChar w:fldCharType="begin"/>
      </w:r>
      <w:r w:rsidR="004831C3">
        <w:instrText xml:space="preserve"> REF _Ref63272312 \h </w:instrText>
      </w:r>
      <w:r w:rsidR="004831C3">
        <w:rPr>
          <w:rStyle w:val="ECCHLyellow"/>
        </w:rPr>
      </w:r>
      <w:r w:rsidR="004831C3">
        <w:rPr>
          <w:rStyle w:val="ECCHLyellow"/>
        </w:rPr>
        <w:fldChar w:fldCharType="separate"/>
      </w:r>
      <w:r w:rsidR="0041125F" w:rsidRPr="00247CD9">
        <w:t>Figure </w:t>
      </w:r>
      <w:r w:rsidR="0041125F">
        <w:rPr>
          <w:rStyle w:val="ECCHLyellow"/>
          <w:noProof/>
          <w:szCs w:val="20"/>
          <w:shd w:val="clear" w:color="auto" w:fill="auto"/>
          <w:lang w:val="da-DK"/>
        </w:rPr>
        <w:t>71</w:t>
      </w:r>
      <w:r w:rsidR="004831C3">
        <w:rPr>
          <w:rStyle w:val="ECCHLyellow"/>
        </w:rPr>
        <w:fldChar w:fldCharType="end"/>
      </w:r>
      <w:r w:rsidRPr="00D07773">
        <w:t>).</w:t>
      </w:r>
    </w:p>
    <w:p w14:paraId="48946CED" w14:textId="77777777" w:rsidR="00D07773" w:rsidRPr="00247CD9" w:rsidRDefault="00D07773" w:rsidP="00247CD9">
      <w:pPr>
        <w:pStyle w:val="Caption"/>
      </w:pPr>
      <w:r w:rsidRPr="00247CD9">
        <w:rPr>
          <w:noProof/>
          <w:lang w:val="de-DE" w:eastAsia="de-DE"/>
        </w:rPr>
        <w:drawing>
          <wp:inline distT="0" distB="0" distL="0" distR="0" wp14:anchorId="6BA9D65C" wp14:editId="47AC6A56">
            <wp:extent cx="3196201" cy="3027524"/>
            <wp:effectExtent l="8255" t="0" r="0" b="0"/>
            <wp:docPr id="18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rot="5400000" flipV="1">
                      <a:off x="0" y="0"/>
                      <a:ext cx="3215646" cy="3045943"/>
                    </a:xfrm>
                    <a:prstGeom prst="rect">
                      <a:avLst/>
                    </a:prstGeom>
                  </pic:spPr>
                </pic:pic>
              </a:graphicData>
            </a:graphic>
          </wp:inline>
        </w:drawing>
      </w:r>
    </w:p>
    <w:p w14:paraId="0123A28F" w14:textId="4573F06E" w:rsidR="00BD470E" w:rsidRPr="00247CD9" w:rsidRDefault="00BD470E" w:rsidP="00247CD9">
      <w:pPr>
        <w:pStyle w:val="Caption"/>
      </w:pPr>
      <w:bookmarkStart w:id="369" w:name="_Ref63272312"/>
      <w:r w:rsidRPr="00247CD9">
        <w:t>Figure </w:t>
      </w:r>
      <w:r w:rsidRPr="00247CD9">
        <w:rPr>
          <w:rStyle w:val="ECCHLyellow"/>
          <w:szCs w:val="20"/>
          <w:shd w:val="clear" w:color="auto" w:fill="auto"/>
          <w:lang w:val="da-DK"/>
        </w:rPr>
        <w:fldChar w:fldCharType="begin"/>
      </w:r>
      <w:r w:rsidRPr="00247CD9">
        <w:rPr>
          <w:rStyle w:val="ECCHLyellow"/>
          <w:szCs w:val="20"/>
          <w:shd w:val="clear" w:color="auto" w:fill="auto"/>
          <w:lang w:val="da-DK"/>
        </w:rPr>
        <w:instrText xml:space="preserve"> SEQ Figure \*ARABIC \* MERGEFORMAT  \* MERGEFORMAT </w:instrText>
      </w:r>
      <w:r w:rsidRPr="00247CD9">
        <w:rPr>
          <w:rStyle w:val="ECCHLyellow"/>
          <w:szCs w:val="20"/>
          <w:shd w:val="clear" w:color="auto" w:fill="auto"/>
          <w:lang w:val="da-DK"/>
        </w:rPr>
        <w:fldChar w:fldCharType="separate"/>
      </w:r>
      <w:r w:rsidR="004F49F9">
        <w:rPr>
          <w:rStyle w:val="ECCHLyellow"/>
          <w:noProof/>
          <w:szCs w:val="20"/>
          <w:shd w:val="clear" w:color="auto" w:fill="auto"/>
          <w:lang w:val="da-DK"/>
        </w:rPr>
        <w:t>71</w:t>
      </w:r>
      <w:r w:rsidRPr="00247CD9">
        <w:rPr>
          <w:rStyle w:val="ECCHLyellow"/>
          <w:szCs w:val="20"/>
          <w:shd w:val="clear" w:color="auto" w:fill="auto"/>
          <w:lang w:val="da-DK"/>
        </w:rPr>
        <w:fldChar w:fldCharType="end"/>
      </w:r>
      <w:bookmarkEnd w:id="369"/>
      <w:r w:rsidRPr="00247CD9">
        <w:t>: Plastic sheets, foamed and not foamed</w:t>
      </w:r>
      <w:r w:rsidR="00FA41F2" w:rsidRPr="00247CD9">
        <w:t xml:space="preserve"> made</w:t>
      </w:r>
      <w:r w:rsidRPr="00247CD9">
        <w:t xml:space="preserve"> from different materials</w:t>
      </w:r>
    </w:p>
    <w:p w14:paraId="4F1FEEFC" w14:textId="77777777" w:rsidR="00753C8F" w:rsidRPr="00753C8F" w:rsidRDefault="00753C8F" w:rsidP="00753C8F">
      <w:pPr>
        <w:pStyle w:val="Heading3"/>
      </w:pPr>
      <w:bookmarkStart w:id="370" w:name="_Ref49323541"/>
      <w:bookmarkStart w:id="371" w:name="_Toc84325314"/>
      <w:bookmarkStart w:id="372" w:name="_Toc127346246"/>
      <w:r w:rsidRPr="00753C8F">
        <w:t xml:space="preserve">Extrusion of plastic profiles from </w:t>
      </w:r>
      <w:r>
        <w:t>e</w:t>
      </w:r>
      <w:r w:rsidRPr="00753C8F">
        <w:t>ngineering plastics</w:t>
      </w:r>
      <w:bookmarkEnd w:id="370"/>
      <w:bookmarkEnd w:id="371"/>
      <w:bookmarkEnd w:id="372"/>
    </w:p>
    <w:p w14:paraId="17202BBE" w14:textId="752F8D60" w:rsidR="00BD470E" w:rsidRDefault="00753C8F" w:rsidP="00753C8F">
      <w:r w:rsidRPr="00753C8F">
        <w:t>The plastic materials are generally fed as pellets or granules to an extruder, which heats the base material up to 200</w:t>
      </w:r>
      <w:r w:rsidR="00E17917">
        <w:t> </w:t>
      </w:r>
      <w:r w:rsidRPr="00753C8F">
        <w:t>°C in several heating zones and through the mechanical energy from the feeding screw. Due to the high temperatures, the base material is plastici</w:t>
      </w:r>
      <w:r w:rsidR="00EF3E55">
        <w:t>s</w:t>
      </w:r>
      <w:r w:rsidRPr="00753C8F">
        <w:t>ed into a homogeneous mass.</w:t>
      </w:r>
      <w:r w:rsidR="00BB45C5">
        <w:t xml:space="preserve"> </w:t>
      </w:r>
      <w:r w:rsidRPr="00934859">
        <w:t xml:space="preserve">By means of a rotating screw in the extruder, the mass is </w:t>
      </w:r>
      <w:r>
        <w:t xml:space="preserve">pushed through the extruder tool kit </w:t>
      </w:r>
      <w:r w:rsidRPr="00934859">
        <w:t xml:space="preserve">which determines the basic </w:t>
      </w:r>
      <w:r w:rsidRPr="006F48C8">
        <w:t>shape.</w:t>
      </w:r>
      <w:r w:rsidRPr="00753C8F">
        <w:t xml:space="preserve"> Immediately after the tool kit the preformed pipe passes through a calibration sleeve into a first cooling </w:t>
      </w:r>
      <w:r w:rsidRPr="004831C3">
        <w:rPr>
          <w:rStyle w:val="ECCParagraph"/>
        </w:rPr>
        <w:t>section (</w:t>
      </w:r>
      <w:r w:rsidR="00222C49">
        <w:t xml:space="preserve">see </w:t>
      </w:r>
      <w:r w:rsidR="004831C3" w:rsidRPr="004831C3">
        <w:rPr>
          <w:rStyle w:val="ECCParagraph"/>
        </w:rPr>
        <w:fldChar w:fldCharType="begin"/>
      </w:r>
      <w:r w:rsidR="004831C3" w:rsidRPr="004831C3">
        <w:rPr>
          <w:rStyle w:val="ECCParagraph"/>
        </w:rPr>
        <w:instrText xml:space="preserve"> REF _Ref63272451 \h </w:instrText>
      </w:r>
      <w:r w:rsidR="004831C3">
        <w:rPr>
          <w:rStyle w:val="ECCParagraph"/>
        </w:rPr>
        <w:instrText xml:space="preserve"> \* MERGEFORMAT </w:instrText>
      </w:r>
      <w:r w:rsidR="004831C3" w:rsidRPr="004831C3">
        <w:rPr>
          <w:rStyle w:val="ECCParagraph"/>
        </w:rPr>
      </w:r>
      <w:r w:rsidR="004831C3" w:rsidRPr="004831C3">
        <w:rPr>
          <w:rStyle w:val="ECCParagraph"/>
        </w:rPr>
        <w:fldChar w:fldCharType="separate"/>
      </w:r>
      <w:r w:rsidR="0041125F" w:rsidRPr="0041125F">
        <w:rPr>
          <w:rStyle w:val="ECCParagraph"/>
        </w:rPr>
        <w:t>Figure 72</w:t>
      </w:r>
      <w:r w:rsidR="004831C3" w:rsidRPr="004831C3">
        <w:rPr>
          <w:rStyle w:val="ECCParagraph"/>
        </w:rPr>
        <w:fldChar w:fldCharType="end"/>
      </w:r>
      <w:r w:rsidR="004831C3" w:rsidRPr="004831C3">
        <w:rPr>
          <w:rStyle w:val="ECCParagraph"/>
        </w:rPr>
        <w:t>).</w:t>
      </w:r>
    </w:p>
    <w:p w14:paraId="483AD012" w14:textId="77777777" w:rsidR="00996459" w:rsidRDefault="00996459" w:rsidP="00996459">
      <w:pPr>
        <w:pStyle w:val="Caption"/>
      </w:pPr>
      <w:r w:rsidRPr="00996459">
        <w:rPr>
          <w:noProof/>
          <w:lang w:val="de-DE" w:eastAsia="de-DE"/>
        </w:rPr>
        <w:drawing>
          <wp:inline distT="0" distB="0" distL="0" distR="0" wp14:anchorId="7DE85219" wp14:editId="54A29785">
            <wp:extent cx="6120765" cy="2045970"/>
            <wp:effectExtent l="0" t="0" r="0" b="0"/>
            <wp:docPr id="18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765" cy="2045970"/>
                    </a:xfrm>
                    <a:prstGeom prst="rect">
                      <a:avLst/>
                    </a:prstGeom>
                  </pic:spPr>
                </pic:pic>
              </a:graphicData>
            </a:graphic>
          </wp:inline>
        </w:drawing>
      </w:r>
    </w:p>
    <w:p w14:paraId="134D1749" w14:textId="347174A0" w:rsidR="00996459" w:rsidRDefault="00996459" w:rsidP="001A2F4C">
      <w:pPr>
        <w:pStyle w:val="Caption"/>
      </w:pPr>
      <w:bookmarkStart w:id="373" w:name="_Ref63272451"/>
      <w:r w:rsidRPr="001A2F4C">
        <w:t>Figure </w:t>
      </w:r>
      <w:r w:rsidRPr="001A2F4C">
        <w:rPr>
          <w:rFonts w:eastAsia="Calibri"/>
        </w:rPr>
        <w:fldChar w:fldCharType="begin"/>
      </w:r>
      <w:r w:rsidRPr="001A2F4C">
        <w:rPr>
          <w:rFonts w:eastAsia="Calibri"/>
        </w:rPr>
        <w:instrText xml:space="preserve"> SEQ Figure \*ARABIC \* MERGEFORMAT  \* MERGEFORMAT </w:instrText>
      </w:r>
      <w:r w:rsidRPr="001A2F4C">
        <w:rPr>
          <w:rFonts w:eastAsia="Calibri"/>
        </w:rPr>
        <w:fldChar w:fldCharType="separate"/>
      </w:r>
      <w:r w:rsidR="004F49F9">
        <w:rPr>
          <w:rFonts w:eastAsia="Calibri"/>
          <w:noProof/>
        </w:rPr>
        <w:t>72</w:t>
      </w:r>
      <w:r w:rsidRPr="001A2F4C">
        <w:rPr>
          <w:rFonts w:eastAsia="Calibri"/>
        </w:rPr>
        <w:fldChar w:fldCharType="end"/>
      </w:r>
      <w:bookmarkEnd w:id="373"/>
      <w:r w:rsidRPr="001A2F4C">
        <w:t xml:space="preserve">: </w:t>
      </w:r>
      <w:r>
        <w:t>Cross section schematic of the first section of an extrusion line for pipe manufacturing</w:t>
      </w:r>
    </w:p>
    <w:p w14:paraId="0F830FB5" w14:textId="77777777" w:rsidR="00BB45C5" w:rsidRDefault="00996459" w:rsidP="00996459">
      <w:r>
        <w:t>Exiting the first cooling section, t</w:t>
      </w:r>
      <w:r w:rsidRPr="00934859">
        <w:t xml:space="preserve">he wall thickness can be measured at several points along the circumference between the first and </w:t>
      </w:r>
      <w:r>
        <w:t xml:space="preserve">the next </w:t>
      </w:r>
      <w:r w:rsidRPr="00934859">
        <w:t xml:space="preserve">cooling section. This happens e.g. with the help of a rotating radar sensor or with several radar sensors which are distributed over the circumference. </w:t>
      </w:r>
      <w:r>
        <w:t xml:space="preserve">This is the first possible measurement position, where </w:t>
      </w:r>
      <w:r w:rsidRPr="00934859">
        <w:t xml:space="preserve">the machine operator receives information about the </w:t>
      </w:r>
      <w:r>
        <w:t xml:space="preserve">current </w:t>
      </w:r>
      <w:r w:rsidRPr="00934859">
        <w:t>wall thickness and can compensate for deviations from the nominal value by changing the output of the extruder accordingly.</w:t>
      </w:r>
    </w:p>
    <w:p w14:paraId="31FE5178" w14:textId="77777777" w:rsidR="00996459" w:rsidRPr="006F48C8" w:rsidRDefault="00996459" w:rsidP="00996459">
      <w:r w:rsidRPr="00934859">
        <w:t>With a typical pipe production speed of 0</w:t>
      </w:r>
      <w:r w:rsidR="00CF4994">
        <w:t>.6</w:t>
      </w:r>
      <w:r w:rsidRPr="00934859">
        <w:t xml:space="preserve"> met</w:t>
      </w:r>
      <w:r w:rsidR="00BB45C5">
        <w:t>re</w:t>
      </w:r>
      <w:r w:rsidRPr="00934859">
        <w:t>s per minute and a 12-metre cooling section, 20 minutes pass</w:t>
      </w:r>
      <w:r>
        <w:t xml:space="preserve"> before reaching this point</w:t>
      </w:r>
      <w:r w:rsidRPr="00934859">
        <w:t xml:space="preserve">. </w:t>
      </w:r>
      <w:r w:rsidR="00BB45C5">
        <w:t>Already t</w:t>
      </w:r>
      <w:r>
        <w:t>his</w:t>
      </w:r>
      <w:r w:rsidR="00BB45C5">
        <w:t xml:space="preserve"> period</w:t>
      </w:r>
      <w:r>
        <w:t xml:space="preserve"> may appear </w:t>
      </w:r>
      <w:r w:rsidR="00FA5983">
        <w:t>long but</w:t>
      </w:r>
      <w:r>
        <w:t xml:space="preserve"> taking into account that several corrections might be needed before specifications are met, it might take up more than an hour</w:t>
      </w:r>
      <w:r w:rsidRPr="00934859">
        <w:t xml:space="preserve">. This extends the time </w:t>
      </w:r>
      <w:r>
        <w:t xml:space="preserve">until </w:t>
      </w:r>
      <w:r w:rsidRPr="00934859">
        <w:t xml:space="preserve">good production </w:t>
      </w:r>
      <w:r w:rsidR="00BB45C5">
        <w:t xml:space="preserve">quality </w:t>
      </w:r>
      <w:r>
        <w:t xml:space="preserve">is reached </w:t>
      </w:r>
      <w:r w:rsidRPr="00934859">
        <w:t xml:space="preserve">to potentially several hours. Typical extrusion lines require additional cooling sections to completely cool </w:t>
      </w:r>
      <w:r w:rsidR="00E623BE">
        <w:t xml:space="preserve">down </w:t>
      </w:r>
      <w:r w:rsidRPr="00934859">
        <w:t xml:space="preserve">the pipes. It is therefore </w:t>
      </w:r>
      <w:r w:rsidR="00E623BE">
        <w:t>possible</w:t>
      </w:r>
      <w:r w:rsidRPr="00934859">
        <w:t xml:space="preserve"> that it takes an hour </w:t>
      </w:r>
      <w:r w:rsidR="00E623BE">
        <w:t>until</w:t>
      </w:r>
      <w:r w:rsidRPr="00934859">
        <w:t xml:space="preserve"> the product </w:t>
      </w:r>
      <w:r>
        <w:t xml:space="preserve">travels from </w:t>
      </w:r>
      <w:r w:rsidR="00E623BE">
        <w:t xml:space="preserve">the </w:t>
      </w:r>
      <w:r>
        <w:t xml:space="preserve">extruder die to </w:t>
      </w:r>
      <w:r w:rsidR="00E623BE">
        <w:t xml:space="preserve">the </w:t>
      </w:r>
      <w:r>
        <w:t xml:space="preserve">cutting saw </w:t>
      </w:r>
      <w:r w:rsidRPr="00934859">
        <w:t xml:space="preserve">and can be </w:t>
      </w:r>
      <w:r w:rsidR="00E623BE">
        <w:t xml:space="preserve">finally </w:t>
      </w:r>
      <w:r w:rsidRPr="00934859">
        <w:t>inspected or its final dimensions be checked.</w:t>
      </w:r>
    </w:p>
    <w:p w14:paraId="048843B6" w14:textId="77777777" w:rsidR="0026680D" w:rsidRPr="0026680D" w:rsidRDefault="0026680D" w:rsidP="0026680D">
      <w:pPr>
        <w:pStyle w:val="Heading3"/>
      </w:pPr>
      <w:bookmarkStart w:id="374" w:name="_Toc84325315"/>
      <w:bookmarkStart w:id="375" w:name="_Toc127346247"/>
      <w:r w:rsidRPr="0026680D">
        <w:t>Use of measuring devices in extrusion lines</w:t>
      </w:r>
      <w:bookmarkEnd w:id="374"/>
      <w:bookmarkEnd w:id="375"/>
    </w:p>
    <w:p w14:paraId="7A9A4BCB" w14:textId="39E1836D" w:rsidR="0026680D" w:rsidRPr="0026680D" w:rsidRDefault="0026680D" w:rsidP="0026680D">
      <w:r w:rsidRPr="0026680D">
        <w:t xml:space="preserve">The precise measurement of the products mentioned in </w:t>
      </w:r>
      <w:r w:rsidR="009D5FA2">
        <w:t>section</w:t>
      </w:r>
      <w:r>
        <w:t xml:space="preserve"> </w:t>
      </w:r>
      <w:r w:rsidR="004D382C" w:rsidRPr="004D382C">
        <w:fldChar w:fldCharType="begin"/>
      </w:r>
      <w:r w:rsidR="004D382C" w:rsidRPr="004D382C">
        <w:instrText xml:space="preserve"> REF _Ref67062340 \r \h </w:instrText>
      </w:r>
      <w:r w:rsidR="004D382C" w:rsidRPr="004D382C">
        <w:fldChar w:fldCharType="separate"/>
      </w:r>
      <w:r w:rsidR="004F49F9">
        <w:t>2.5.1</w:t>
      </w:r>
      <w:r w:rsidR="004D382C" w:rsidRPr="004D382C">
        <w:fldChar w:fldCharType="end"/>
      </w:r>
      <w:r w:rsidRPr="0026680D">
        <w:t xml:space="preserve"> is also of great importance because the start-up of such extrusion lines is very complex. Without a non-contact measurement of the wall thicknesses as close as possible to the location of the extrusion, as described in </w:t>
      </w:r>
      <w:r w:rsidR="009D5FA2">
        <w:t>section</w:t>
      </w:r>
      <w:r w:rsidR="004A6EBD">
        <w:t xml:space="preserve"> </w:t>
      </w:r>
      <w:r w:rsidR="00A26010">
        <w:fldChar w:fldCharType="begin"/>
      </w:r>
      <w:r w:rsidR="00A26010">
        <w:instrText xml:space="preserve"> REF _Ref49323541 \r \h </w:instrText>
      </w:r>
      <w:r w:rsidR="00A26010">
        <w:fldChar w:fldCharType="separate"/>
      </w:r>
      <w:r w:rsidR="004F49F9">
        <w:t>2.5.2</w:t>
      </w:r>
      <w:r w:rsidR="00A26010">
        <w:fldChar w:fldCharType="end"/>
      </w:r>
      <w:r w:rsidRPr="0026680D">
        <w:t xml:space="preserve"> it will take many hours. Thus, a lot of start-up scrap is generated before stable and reliable values are produced that are within the specification. In addition to these start-up losses, it is of great economic importance for the manufacturers of such products to use only as much material as is required by the specifications.</w:t>
      </w:r>
    </w:p>
    <w:p w14:paraId="0C5AB12C" w14:textId="35104A71" w:rsidR="0026680D" w:rsidRPr="0026680D" w:rsidRDefault="0026680D" w:rsidP="0026680D">
      <w:r w:rsidRPr="0026680D">
        <w:t>By using precise radar systems in extrusion lines, 250</w:t>
      </w:r>
      <w:r w:rsidR="00CF4994">
        <w:t>000</w:t>
      </w:r>
      <w:r w:rsidR="004A743B">
        <w:t xml:space="preserve"> to </w:t>
      </w:r>
      <w:r w:rsidRPr="0026680D">
        <w:t>300</w:t>
      </w:r>
      <w:r w:rsidR="00CF4994">
        <w:t>000</w:t>
      </w:r>
      <w:r w:rsidRPr="0026680D">
        <w:t xml:space="preserve"> euros can be saved </w:t>
      </w:r>
      <w:r w:rsidR="002C391F">
        <w:t xml:space="preserve">every year </w:t>
      </w:r>
      <w:r w:rsidRPr="0026680D">
        <w:t>in material value while at the same time the start-up process can be shortened significantly, adding to the overall savings.</w:t>
      </w:r>
    </w:p>
    <w:p w14:paraId="0E4B935E" w14:textId="77777777" w:rsidR="00996459" w:rsidRDefault="0026680D" w:rsidP="004A743B">
      <w:r w:rsidRPr="0026680D">
        <w:t>The use of suitable m</w:t>
      </w:r>
      <w:r w:rsidR="004A743B">
        <w:t>easurement</w:t>
      </w:r>
      <w:r w:rsidRPr="0026680D">
        <w:t xml:space="preserve"> systems means </w:t>
      </w:r>
      <w:r w:rsidR="004A743B">
        <w:t xml:space="preserve">that </w:t>
      </w:r>
      <w:r w:rsidRPr="0026680D">
        <w:t xml:space="preserve">the quality of the product can be </w:t>
      </w:r>
      <w:r w:rsidR="003E4854">
        <w:t>continuously</w:t>
      </w:r>
      <w:r w:rsidRPr="0026680D">
        <w:t xml:space="preserve"> monitored, </w:t>
      </w:r>
      <w:r w:rsidR="002C391F">
        <w:t>and</w:t>
      </w:r>
      <w:r w:rsidRPr="0026680D">
        <w:t xml:space="preserve"> also closed loop control and high cost and time savings become possible, especially during process start-up. Extrusion lines can be operated by less qualified personnel or less personnel per line is needed as a consequence.</w:t>
      </w:r>
    </w:p>
    <w:p w14:paraId="04614156" w14:textId="77777777" w:rsidR="002D0378" w:rsidRPr="004F5C68" w:rsidRDefault="002D0378" w:rsidP="002D0378">
      <w:pPr>
        <w:pStyle w:val="Heading3"/>
      </w:pPr>
      <w:bookmarkStart w:id="376" w:name="_Toc84325316"/>
      <w:bookmarkStart w:id="377" w:name="_Toc127346248"/>
      <w:r>
        <w:t>Defects in plastic pipes</w:t>
      </w:r>
      <w:bookmarkEnd w:id="376"/>
      <w:bookmarkEnd w:id="377"/>
    </w:p>
    <w:p w14:paraId="22143EF6" w14:textId="38868794" w:rsidR="002D0378" w:rsidRPr="004F5C68" w:rsidRDefault="002D0378" w:rsidP="002D0378">
      <w:r w:rsidRPr="004F5C68">
        <w:t xml:space="preserve">When the pipe exits the extruder die, the material begins to solidify from the outside while the inner wall </w:t>
      </w:r>
      <w:r>
        <w:t xml:space="preserve">is </w:t>
      </w:r>
      <w:r w:rsidRPr="004F5C68">
        <w:t>still viscous. Cooling mainly works from the outside, as the inside can only be cooled by injecting cooling gas while from the outside, chilled water is sprayed onto the pipe.</w:t>
      </w:r>
      <w:r>
        <w:t xml:space="preserve"> </w:t>
      </w:r>
      <w:r w:rsidRPr="004F5C68">
        <w:t xml:space="preserve">With the inside wall still being viscous, a non-optimal process may lead to so called “sagging”, where </w:t>
      </w:r>
      <w:r>
        <w:t xml:space="preserve">a </w:t>
      </w:r>
      <w:r w:rsidRPr="004F5C68">
        <w:t>part of the material sags down due to gravity, leading to a non-uniform wall thickness distribution and the product not meeting the specified requirements (</w:t>
      </w:r>
      <w:r w:rsidR="00222C49">
        <w:t xml:space="preserve">see </w:t>
      </w:r>
      <w:r w:rsidRPr="004F5C68">
        <w:fldChar w:fldCharType="begin"/>
      </w:r>
      <w:r w:rsidRPr="004F5C68">
        <w:instrText xml:space="preserve"> REF _Ref46469875 \h </w:instrText>
      </w:r>
      <w:r w:rsidRPr="004F5C68">
        <w:fldChar w:fldCharType="separate"/>
      </w:r>
      <w:r w:rsidR="004F49F9">
        <w:t>Figure </w:t>
      </w:r>
      <w:r w:rsidR="004F49F9">
        <w:rPr>
          <w:noProof/>
        </w:rPr>
        <w:t>73</w:t>
      </w:r>
      <w:r w:rsidRPr="004F5C68">
        <w:fldChar w:fldCharType="end"/>
      </w:r>
      <w:r w:rsidRPr="004F5C68">
        <w:t>).</w:t>
      </w:r>
      <w:r w:rsidR="003E4854">
        <w:t xml:space="preserve"> </w:t>
      </w:r>
      <w:r w:rsidR="00084DB1">
        <w:t>Sagging and other</w:t>
      </w:r>
      <w:r w:rsidR="003E4854">
        <w:t xml:space="preserve"> defects can be detected by continuously monitoring the production process by means of an RDI-S measurement system with sufficient bandwidth using UWB technology.</w:t>
      </w:r>
    </w:p>
    <w:p w14:paraId="7DC0181D" w14:textId="77777777" w:rsidR="002D0378" w:rsidRPr="004F5C68" w:rsidRDefault="002D0378" w:rsidP="002D0378">
      <w:pPr>
        <w:pStyle w:val="Caption"/>
      </w:pPr>
      <w:r w:rsidRPr="004F5C68">
        <w:rPr>
          <w:noProof/>
          <w:lang w:val="de-DE" w:eastAsia="de-DE"/>
        </w:rPr>
        <w:drawing>
          <wp:inline distT="0" distB="0" distL="0" distR="0" wp14:anchorId="7C9BAEB1" wp14:editId="57EAB85F">
            <wp:extent cx="3639582" cy="3356658"/>
            <wp:effectExtent l="0" t="0" r="0" b="0"/>
            <wp:docPr id="18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rot="10800000">
                      <a:off x="0" y="0"/>
                      <a:ext cx="3738725" cy="3448094"/>
                    </a:xfrm>
                    <a:prstGeom prst="rect">
                      <a:avLst/>
                    </a:prstGeom>
                  </pic:spPr>
                </pic:pic>
              </a:graphicData>
            </a:graphic>
          </wp:inline>
        </w:drawing>
      </w:r>
    </w:p>
    <w:p w14:paraId="4D6A0BF1" w14:textId="6BCB35B4" w:rsidR="002D0378" w:rsidRDefault="002D0378" w:rsidP="002D0378">
      <w:pPr>
        <w:pStyle w:val="Caption"/>
      </w:pPr>
      <w:bookmarkStart w:id="378" w:name="_Ref46469875"/>
      <w:r>
        <w:t>Figure</w:t>
      </w:r>
      <w:r w:rsidR="008773DC">
        <w:t> </w:t>
      </w:r>
      <w:r>
        <w:fldChar w:fldCharType="begin"/>
      </w:r>
      <w:r>
        <w:instrText>SEQ Figure \* ARABIC</w:instrText>
      </w:r>
      <w:r>
        <w:fldChar w:fldCharType="separate"/>
      </w:r>
      <w:r w:rsidR="004F49F9">
        <w:rPr>
          <w:noProof/>
        </w:rPr>
        <w:t>73</w:t>
      </w:r>
      <w:r>
        <w:fldChar w:fldCharType="end"/>
      </w:r>
      <w:bookmarkEnd w:id="378"/>
      <w:r>
        <w:t>: Cross section of a pipe where ”sagging” occured during production</w:t>
      </w:r>
    </w:p>
    <w:p w14:paraId="7858FCAE" w14:textId="77777777" w:rsidR="00063E9E" w:rsidRDefault="00063E9E" w:rsidP="00063E9E">
      <w:pPr>
        <w:pStyle w:val="Heading3"/>
      </w:pPr>
      <w:bookmarkStart w:id="379" w:name="_Toc84325317"/>
      <w:bookmarkStart w:id="380" w:name="_Toc127346249"/>
      <w:r w:rsidRPr="00063E9E">
        <w:t>Advantage of a large bandwidth when used in measuring systems</w:t>
      </w:r>
      <w:bookmarkEnd w:id="379"/>
      <w:bookmarkEnd w:id="380"/>
    </w:p>
    <w:p w14:paraId="08E2A124" w14:textId="460849E7" w:rsidR="00063E9E" w:rsidRDefault="00D83D76" w:rsidP="00063E9E">
      <w:r>
        <w:t xml:space="preserve">For example, </w:t>
      </w:r>
      <w:r w:rsidR="00063E9E" w:rsidRPr="00063E9E">
        <w:t>FMCW radar sensors are particularly suitable for measuring wall thicknesses in products that can be irradiated with millimetre waves. Basically, the area of</w:t>
      </w:r>
      <w:r w:rsidR="00063E9E">
        <w:t xml:space="preserve"> </w:t>
      </w:r>
      <w:r w:rsidR="00063E9E" w:rsidRPr="00063E9E">
        <w:t xml:space="preserve">application is limited when it comes to small wall thicknesses, e.g. of sheets, but also especially of tubes. While optical devices may also be suitable for the measurement of sheets, e.g. with the help of distance measurements, such a measurement method when measuring tubes, especially during the manufacturing process is not possible because </w:t>
      </w:r>
      <w:r w:rsidR="00126974">
        <w:t xml:space="preserve">the </w:t>
      </w:r>
      <w:r w:rsidR="00063E9E" w:rsidRPr="00063E9E">
        <w:t>tube</w:t>
      </w:r>
      <w:r w:rsidR="00126974">
        <w:t xml:space="preserve"> inside is</w:t>
      </w:r>
      <w:r w:rsidR="00063E9E" w:rsidRPr="00063E9E">
        <w:t xml:space="preserve"> </w:t>
      </w:r>
      <w:r w:rsidR="00126974">
        <w:t xml:space="preserve">usually </w:t>
      </w:r>
      <w:r w:rsidR="00063E9E" w:rsidRPr="00063E9E">
        <w:t>not accessible. A general formula to determine the smallest measurable wall thickness as a function of bandwidth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A2689" w14:paraId="49571FB2" w14:textId="77777777" w:rsidTr="000A2689">
        <w:tc>
          <w:tcPr>
            <w:tcW w:w="4761" w:type="pct"/>
          </w:tcPr>
          <w:p w14:paraId="7D8FE1EA" w14:textId="37A34A66" w:rsidR="000A2689" w:rsidRPr="00144C97" w:rsidRDefault="00E55534"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i/>
                      </w:rPr>
                    </m:ctrlPr>
                  </m:sSubPr>
                  <m:e>
                    <m:r>
                      <w:rPr>
                        <w:rStyle w:val="ECCParagraph"/>
                        <w:rFonts w:ascii="Cambria Math" w:hAnsi="Cambria Math"/>
                      </w:rPr>
                      <m:t>d</m:t>
                    </m:r>
                  </m:e>
                  <m:sub>
                    <m:r>
                      <w:rPr>
                        <w:rStyle w:val="ECCParagraph"/>
                        <w:rFonts w:ascii="Cambria Math" w:hAnsi="Cambria Math"/>
                      </w:rPr>
                      <m:t>min</m:t>
                    </m:r>
                  </m:sub>
                </m:sSub>
                <m:r>
                  <w:rPr>
                    <w:rStyle w:val="ECCParagraph"/>
                    <w:rFonts w:ascii="Cambria Math" w:hAnsi="Cambria Math"/>
                  </w:rPr>
                  <m:t>=</m:t>
                </m:r>
                <m:f>
                  <m:fPr>
                    <m:ctrlPr>
                      <w:rPr>
                        <w:rStyle w:val="ECCParagraph"/>
                        <w:rFonts w:ascii="Cambria Math" w:hAnsi="Cambria Math"/>
                        <w:i/>
                      </w:rPr>
                    </m:ctrlPr>
                  </m:fPr>
                  <m:num>
                    <m:r>
                      <w:rPr>
                        <w:rStyle w:val="ECCParagraph"/>
                        <w:rFonts w:ascii="Cambria Math" w:hAnsi="Cambria Math"/>
                      </w:rPr>
                      <m:t xml:space="preserve">c∙ </m:t>
                    </m:r>
                    <m:sSub>
                      <m:sSubPr>
                        <m:ctrlPr>
                          <w:rPr>
                            <w:rStyle w:val="ECCParagraph"/>
                            <w:rFonts w:ascii="Cambria Math" w:hAnsi="Cambria Math"/>
                            <w:i/>
                          </w:rPr>
                        </m:ctrlPr>
                      </m:sSubPr>
                      <m:e>
                        <m:r>
                          <w:rPr>
                            <w:rStyle w:val="ECCParagraph"/>
                            <w:rFonts w:ascii="Cambria Math" w:hAnsi="Cambria Math"/>
                          </w:rPr>
                          <m:t>c</m:t>
                        </m:r>
                      </m:e>
                      <m:sub>
                        <m:r>
                          <w:rPr>
                            <w:rStyle w:val="ECCParagraph"/>
                            <w:rFonts w:ascii="Cambria Math" w:hAnsi="Cambria Math"/>
                          </w:rPr>
                          <m:t>w</m:t>
                        </m:r>
                      </m:sub>
                    </m:sSub>
                  </m:num>
                  <m:den>
                    <m:r>
                      <w:rPr>
                        <w:rStyle w:val="ECCParagraph"/>
                        <w:rFonts w:ascii="Cambria Math" w:hAnsi="Cambria Math"/>
                      </w:rPr>
                      <m:t>2Bn</m:t>
                    </m:r>
                  </m:den>
                </m:f>
              </m:oMath>
            </m:oMathPara>
          </w:p>
        </w:tc>
        <w:tc>
          <w:tcPr>
            <w:tcW w:w="239" w:type="pct"/>
          </w:tcPr>
          <w:p w14:paraId="13DABB7B" w14:textId="2A9E144C" w:rsidR="000A2689" w:rsidRDefault="000A2689"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3</w:t>
            </w:r>
            <w:r>
              <w:fldChar w:fldCharType="end"/>
            </w:r>
            <w:r>
              <w:t>)</w:t>
            </w:r>
          </w:p>
        </w:tc>
      </w:tr>
    </w:tbl>
    <w:p w14:paraId="09E43C55" w14:textId="77777777" w:rsidR="0047279D" w:rsidRPr="0047279D" w:rsidRDefault="0047279D" w:rsidP="0047279D">
      <w:pPr>
        <w:pStyle w:val="ECCBulletsLv1"/>
        <w:numPr>
          <w:ilvl w:val="0"/>
          <w:numId w:val="0"/>
        </w:numPr>
        <w:rPr>
          <w:rStyle w:val="ECCParagraph"/>
        </w:rPr>
      </w:pPr>
      <w:r w:rsidRPr="0047279D">
        <w:rPr>
          <w:rStyle w:val="ECCParagraph"/>
        </w:rPr>
        <w:t>where:</w:t>
      </w:r>
    </w:p>
    <w:p w14:paraId="13EB3145" w14:textId="6577DA0E" w:rsidR="0047279D" w:rsidRPr="000A2689" w:rsidRDefault="00E55534" w:rsidP="000A2689">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min</m:t>
            </m:r>
          </m:sub>
        </m:sSub>
        <m:r>
          <w:rPr>
            <w:rStyle w:val="ECCParagraph"/>
            <w:rFonts w:ascii="Cambria Math" w:hAnsi="Cambria Math"/>
            <w:lang w:val="en-US"/>
          </w:rPr>
          <m:t>-</m:t>
        </m:r>
      </m:oMath>
      <w:r w:rsidR="0047279D" w:rsidRPr="000A2689">
        <w:rPr>
          <w:rStyle w:val="ECCParagraph"/>
        </w:rPr>
        <w:t xml:space="preserve"> smallest measurable wall thickness in millimetres</w:t>
      </w:r>
      <w:r w:rsidR="000A2689">
        <w:rPr>
          <w:rStyle w:val="ECCParagraph"/>
        </w:rPr>
        <w:t>;</w:t>
      </w:r>
    </w:p>
    <w:p w14:paraId="40CDD3DF" w14:textId="41F53735" w:rsidR="0047279D" w:rsidRPr="000A2689" w:rsidRDefault="0047279D" w:rsidP="000A2689">
      <w:pPr>
        <w:pStyle w:val="ECCBulletsLv1"/>
        <w:rPr>
          <w:rStyle w:val="ECCParagraph"/>
        </w:rPr>
      </w:pPr>
      <m:oMath>
        <m:r>
          <w:rPr>
            <w:rStyle w:val="ECCParagraph"/>
            <w:rFonts w:ascii="Cambria Math" w:hAnsi="Cambria Math"/>
          </w:rPr>
          <m:t>c</m:t>
        </m:r>
        <m:r>
          <w:rPr>
            <w:rStyle w:val="ECCParagraph"/>
            <w:rFonts w:ascii="Cambria Math" w:hAnsi="Cambria Math"/>
            <w:lang w:val="en-US"/>
          </w:rPr>
          <m:t>-</m:t>
        </m:r>
      </m:oMath>
      <w:r w:rsidRPr="000A2689">
        <w:rPr>
          <w:rStyle w:val="ECCParagraph"/>
        </w:rPr>
        <w:t xml:space="preserve"> speed of light</w:t>
      </w:r>
      <w:r w:rsidR="000A2689">
        <w:rPr>
          <w:rStyle w:val="ECCParagraph"/>
        </w:rPr>
        <w:t>;</w:t>
      </w:r>
    </w:p>
    <w:p w14:paraId="3345E782" w14:textId="214F3C4C" w:rsidR="00CC204A" w:rsidRPr="000A2689" w:rsidRDefault="00E55534" w:rsidP="000A2689">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c</m:t>
            </m:r>
          </m:e>
          <m:sub>
            <m:r>
              <w:rPr>
                <w:rStyle w:val="ECCParagraph"/>
                <w:rFonts w:ascii="Cambria Math" w:hAnsi="Cambria Math"/>
              </w:rPr>
              <m:t>w</m:t>
            </m:r>
          </m:sub>
        </m:sSub>
        <m:r>
          <w:rPr>
            <w:rStyle w:val="ECCParagraph"/>
            <w:rFonts w:ascii="Cambria Math" w:hAnsi="Cambria Math"/>
          </w:rPr>
          <m:t>-</m:t>
        </m:r>
      </m:oMath>
      <w:r w:rsidR="00CC204A" w:rsidRPr="000A2689">
        <w:rPr>
          <w:rStyle w:val="ECCParagraph"/>
        </w:rPr>
        <w:t xml:space="preserve"> correction factor for use of window function</w:t>
      </w:r>
      <w:r w:rsidR="00701787" w:rsidRPr="000A2689">
        <w:rPr>
          <w:rStyle w:val="ECCParagraph"/>
        </w:rPr>
        <w:t xml:space="preserve"> </w:t>
      </w:r>
      <w:r w:rsidR="00701787" w:rsidRPr="000A2689">
        <w:rPr>
          <w:rStyle w:val="ECCParagraph"/>
        </w:rPr>
        <w:fldChar w:fldCharType="begin"/>
      </w:r>
      <w:r w:rsidR="00701787" w:rsidRPr="000A2689">
        <w:rPr>
          <w:rStyle w:val="ECCParagraph"/>
        </w:rPr>
        <w:instrText xml:space="preserve"> REF  Window_functions \h \w  \* MERGEFORMAT </w:instrText>
      </w:r>
      <w:r w:rsidR="00701787" w:rsidRPr="000A2689">
        <w:rPr>
          <w:rStyle w:val="ECCParagraph"/>
        </w:rPr>
      </w:r>
      <w:r w:rsidR="00701787" w:rsidRPr="000A2689">
        <w:rPr>
          <w:rStyle w:val="ECCParagraph"/>
        </w:rPr>
        <w:fldChar w:fldCharType="separate"/>
      </w:r>
      <w:r w:rsidR="004F49F9">
        <w:rPr>
          <w:rStyle w:val="ECCParagraph"/>
        </w:rPr>
        <w:t>[67]</w:t>
      </w:r>
      <w:r w:rsidR="00701787" w:rsidRPr="000A2689">
        <w:rPr>
          <w:rStyle w:val="ECCParagraph"/>
        </w:rPr>
        <w:fldChar w:fldCharType="end"/>
      </w:r>
      <w:r w:rsidR="000A2689">
        <w:rPr>
          <w:rStyle w:val="ECCParagraph"/>
        </w:rPr>
        <w:t>;</w:t>
      </w:r>
    </w:p>
    <w:p w14:paraId="1BCF235F" w14:textId="64817147" w:rsidR="0047279D" w:rsidRPr="000A2689" w:rsidRDefault="0047279D" w:rsidP="000A2689">
      <w:pPr>
        <w:pStyle w:val="ECCBulletsLv1"/>
        <w:rPr>
          <w:rStyle w:val="ECCParagraph"/>
        </w:rPr>
      </w:pPr>
      <m:oMath>
        <m:r>
          <w:rPr>
            <w:rStyle w:val="ECCParagraph"/>
            <w:rFonts w:ascii="Cambria Math" w:hAnsi="Cambria Math"/>
          </w:rPr>
          <m:t>B-</m:t>
        </m:r>
      </m:oMath>
      <w:r w:rsidRPr="000A2689">
        <w:rPr>
          <w:rStyle w:val="ECCParagraph"/>
        </w:rPr>
        <w:t xml:space="preserve"> bandwidth in GHz</w:t>
      </w:r>
      <w:r w:rsidR="000A2689">
        <w:rPr>
          <w:rStyle w:val="ECCParagraph"/>
        </w:rPr>
        <w:t>;</w:t>
      </w:r>
    </w:p>
    <w:p w14:paraId="748CAF60" w14:textId="54E38DC7" w:rsidR="0047279D" w:rsidRPr="000A2689" w:rsidRDefault="00CC204A" w:rsidP="000A2689">
      <w:pPr>
        <w:pStyle w:val="ECCBulletsLv1"/>
        <w:rPr>
          <w:rStyle w:val="ECCParagraph"/>
        </w:rPr>
      </w:pPr>
      <m:oMath>
        <m:r>
          <w:rPr>
            <w:rStyle w:val="ECCParagraph"/>
            <w:rFonts w:ascii="Cambria Math" w:hAnsi="Cambria Math"/>
          </w:rPr>
          <m:t>n-</m:t>
        </m:r>
      </m:oMath>
      <w:r w:rsidR="0047279D" w:rsidRPr="000A2689">
        <w:rPr>
          <w:rStyle w:val="ECCParagraph"/>
        </w:rPr>
        <w:t xml:space="preserve"> refractive index of the material (approximately 1</w:t>
      </w:r>
      <w:r w:rsidR="00CF4994" w:rsidRPr="000A2689">
        <w:rPr>
          <w:rStyle w:val="ECCParagraph"/>
        </w:rPr>
        <w:t>.5</w:t>
      </w:r>
      <w:r w:rsidR="0047279D" w:rsidRPr="000A2689">
        <w:rPr>
          <w:rStyle w:val="ECCParagraph"/>
        </w:rPr>
        <w:t xml:space="preserve"> for polyethylene and polypropylene)</w:t>
      </w:r>
      <w:r w:rsidR="000A2689">
        <w:rPr>
          <w:rStyle w:val="ECCParagraph"/>
        </w:rPr>
        <w:t>.</w:t>
      </w:r>
    </w:p>
    <w:p w14:paraId="5430FB19" w14:textId="77777777" w:rsidR="0071447C" w:rsidRDefault="0047279D" w:rsidP="00063E9E">
      <w:r w:rsidRPr="0047279D">
        <w:t>With a bandwidth of B = 100</w:t>
      </w:r>
      <w:r>
        <w:t> </w:t>
      </w:r>
      <w:r w:rsidRPr="0047279D">
        <w:t>GHz and a refractive index of n = 1</w:t>
      </w:r>
      <w:r w:rsidR="00CF4994">
        <w:t>.5</w:t>
      </w:r>
      <w:r w:rsidRPr="0047279D">
        <w:t xml:space="preserve"> the smallest theoretically measurable wall thickness is </w:t>
      </w:r>
      <w:r>
        <w:t xml:space="preserve">consequently </w:t>
      </w:r>
      <w:r w:rsidRPr="0047279D">
        <w:t>1</w:t>
      </w:r>
      <w:r>
        <w:t> </w:t>
      </w:r>
      <w:r w:rsidRPr="0047279D">
        <w:t>mm</w:t>
      </w:r>
      <w:r>
        <w:t>. This example shows</w:t>
      </w:r>
      <w:r w:rsidRPr="0047279D">
        <w:t xml:space="preserve"> that even with a </w:t>
      </w:r>
      <w:r>
        <w:t xml:space="preserve">high </w:t>
      </w:r>
      <w:r w:rsidRPr="0047279D">
        <w:t xml:space="preserve">bandwidth </w:t>
      </w:r>
      <w:r>
        <w:t xml:space="preserve">thin </w:t>
      </w:r>
      <w:r w:rsidRPr="0047279D">
        <w:t>layer</w:t>
      </w:r>
      <w:r>
        <w:t>s</w:t>
      </w:r>
      <w:r w:rsidRPr="0047279D">
        <w:t xml:space="preserve"> </w:t>
      </w:r>
      <w:r>
        <w:t xml:space="preserve">used on small sheets and tubes </w:t>
      </w:r>
      <w:r w:rsidRPr="0047279D">
        <w:t xml:space="preserve">cannot be measured. Nevertheless, </w:t>
      </w:r>
      <w:r w:rsidR="0071447C">
        <w:t>many</w:t>
      </w:r>
      <w:r w:rsidRPr="0047279D">
        <w:t xml:space="preserve"> products are above this minimum value</w:t>
      </w:r>
      <w:r w:rsidR="0071447C">
        <w:t xml:space="preserve"> and could reliably be measured with today's available technology. On the other hand, especially for multilayer pipes, individual sheet thicknesses can be well below the minimum measurable value.</w:t>
      </w:r>
    </w:p>
    <w:p w14:paraId="761DC66B" w14:textId="40DCA631" w:rsidR="005E2622" w:rsidRDefault="005E2622" w:rsidP="005E2622">
      <w:r>
        <w:fldChar w:fldCharType="begin"/>
      </w:r>
      <w:r>
        <w:instrText xml:space="preserve"> REF _Ref46469978 \h </w:instrText>
      </w:r>
      <w:r>
        <w:fldChar w:fldCharType="separate"/>
      </w:r>
      <w:r w:rsidR="004F49F9">
        <w:t>Figure </w:t>
      </w:r>
      <w:r w:rsidR="004F49F9">
        <w:rPr>
          <w:noProof/>
        </w:rPr>
        <w:t>74</w:t>
      </w:r>
      <w:r>
        <w:fldChar w:fldCharType="end"/>
      </w:r>
      <w:r w:rsidRPr="00934859">
        <w:t xml:space="preserve"> shows the echoes of two reflectors placed at a distance of 50</w:t>
      </w:r>
      <w:r>
        <w:t> </w:t>
      </w:r>
      <w:r w:rsidRPr="00934859">
        <w:t xml:space="preserve">mm </w:t>
      </w:r>
      <w:r>
        <w:t>using</w:t>
      </w:r>
      <w:r w:rsidRPr="00934859">
        <w:t xml:space="preserve"> different sweep bandwidths. </w:t>
      </w:r>
      <w:r>
        <w:t xml:space="preserve">It can be seen that with an insufficient bandwidth (e.g. 1 GHz) it is not possible to distinguish between the two targets. Increasing the bandwidth to 2 GHz improves the resolution, but the two targets can still not clearly be separated (top right). A further increase of the bandwidth to </w:t>
      </w:r>
      <w:r w:rsidRPr="005E2622">
        <w:t>10</w:t>
      </w:r>
      <w:r>
        <w:t> </w:t>
      </w:r>
      <w:r w:rsidRPr="005E2622">
        <w:t>GHz</w:t>
      </w:r>
      <w:r>
        <w:t xml:space="preserve"> (bottom left) or 20 GHz (bottom right) shows how the resolution increases further. Now the two targets can be distinguished. This is a visual representation of the given equation above. It shows that high bandwidths are essential to enable the measurement of smaller wall or layer thicknesses.</w:t>
      </w:r>
    </w:p>
    <w:p w14:paraId="6F51FCFD" w14:textId="77777777" w:rsidR="005E2622" w:rsidRPr="005E2622" w:rsidRDefault="005E2622" w:rsidP="003A0261">
      <w:pPr>
        <w:pStyle w:val="Caption"/>
      </w:pPr>
      <w:r w:rsidRPr="005E2622">
        <w:rPr>
          <w:noProof/>
          <w:lang w:val="de-DE" w:eastAsia="de-DE"/>
        </w:rPr>
        <w:drawing>
          <wp:inline distT="0" distB="0" distL="0" distR="0" wp14:anchorId="6CAFE271" wp14:editId="328EEAAF">
            <wp:extent cx="5760720" cy="2991485"/>
            <wp:effectExtent l="0" t="0" r="0" b="0"/>
            <wp:docPr id="18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2991485"/>
                    </a:xfrm>
                    <a:prstGeom prst="rect">
                      <a:avLst/>
                    </a:prstGeom>
                    <a:noFill/>
                    <a:ln>
                      <a:noFill/>
                    </a:ln>
                  </pic:spPr>
                </pic:pic>
              </a:graphicData>
            </a:graphic>
          </wp:inline>
        </w:drawing>
      </w:r>
    </w:p>
    <w:p w14:paraId="37637B82" w14:textId="2DACEF33" w:rsidR="005E2622" w:rsidRPr="006F48C8" w:rsidRDefault="005E2622" w:rsidP="005E2622">
      <w:pPr>
        <w:pStyle w:val="Caption"/>
      </w:pPr>
      <w:bookmarkStart w:id="381" w:name="_Ref46469978"/>
      <w:r>
        <w:t>Figure</w:t>
      </w:r>
      <w:r w:rsidR="00E3611B">
        <w:t> </w:t>
      </w:r>
      <w:r>
        <w:fldChar w:fldCharType="begin"/>
      </w:r>
      <w:r>
        <w:instrText>SEQ Figure \* ARABIC</w:instrText>
      </w:r>
      <w:r>
        <w:fldChar w:fldCharType="separate"/>
      </w:r>
      <w:r w:rsidR="004F49F9">
        <w:rPr>
          <w:noProof/>
        </w:rPr>
        <w:t>74</w:t>
      </w:r>
      <w:r>
        <w:fldChar w:fldCharType="end"/>
      </w:r>
      <w:bookmarkEnd w:id="381"/>
      <w:r>
        <w:t>: Effect of echo resolution for different bandwidths from 1 GHz (top left) to 20 GHz (bottom right)</w:t>
      </w:r>
    </w:p>
    <w:p w14:paraId="7E85FEF8" w14:textId="77777777" w:rsidR="00BF5A8E" w:rsidRPr="00BF5A8E" w:rsidRDefault="00955C01" w:rsidP="00BF5A8E">
      <w:pPr>
        <w:pStyle w:val="Heading3"/>
      </w:pPr>
      <w:bookmarkStart w:id="382" w:name="_Toc84325318"/>
      <w:bookmarkStart w:id="383" w:name="_Toc127346250"/>
      <w:r>
        <w:t>Suitability of the</w:t>
      </w:r>
      <w:r w:rsidR="00BF5A8E" w:rsidRPr="00BF5A8E">
        <w:t xml:space="preserve"> frequency range from 116</w:t>
      </w:r>
      <w:r w:rsidR="00BF5A8E">
        <w:t> </w:t>
      </w:r>
      <w:r w:rsidR="00BF5A8E" w:rsidRPr="00BF5A8E">
        <w:t>GHz</w:t>
      </w:r>
      <w:r w:rsidR="00BF5A8E">
        <w:t xml:space="preserve"> </w:t>
      </w:r>
      <w:r w:rsidR="00BF5A8E" w:rsidRPr="00BF5A8E">
        <w:t>to 260</w:t>
      </w:r>
      <w:r w:rsidR="00BF5A8E">
        <w:t> </w:t>
      </w:r>
      <w:r w:rsidR="00BF5A8E" w:rsidRPr="00BF5A8E">
        <w:t>GHz</w:t>
      </w:r>
      <w:bookmarkEnd w:id="382"/>
      <w:bookmarkEnd w:id="383"/>
    </w:p>
    <w:p w14:paraId="75935AA4" w14:textId="77777777" w:rsidR="00BF5A8E" w:rsidRDefault="00BF5A8E" w:rsidP="00BF5A8E">
      <w:r w:rsidRPr="00934859">
        <w:t xml:space="preserve">As already mentioned before, RDI-S devices require </w:t>
      </w:r>
      <w:r>
        <w:t xml:space="preserve">a </w:t>
      </w:r>
      <w:r w:rsidRPr="00934859">
        <w:t>large bandwidth for the precise measurement of small layer thicknesses</w:t>
      </w:r>
      <w:r>
        <w:t xml:space="preserve"> in order to guarantee a broad coverage of products available on the market.</w:t>
      </w:r>
      <w:r w:rsidR="008A1A00">
        <w:t xml:space="preserve"> </w:t>
      </w:r>
      <w:r w:rsidRPr="00934859">
        <w:t>The frequency range between 116 and 260</w:t>
      </w:r>
      <w:r>
        <w:t> </w:t>
      </w:r>
      <w:r w:rsidRPr="00934859">
        <w:t>GHz is particularly suitable for this</w:t>
      </w:r>
      <w:r>
        <w:t xml:space="preserve">, because </w:t>
      </w:r>
      <w:r w:rsidRPr="00934859">
        <w:t xml:space="preserve">the </w:t>
      </w:r>
      <w:r>
        <w:t xml:space="preserve">attenuation </w:t>
      </w:r>
      <w:r w:rsidRPr="00934859">
        <w:t xml:space="preserve">of </w:t>
      </w:r>
      <w:r w:rsidRPr="006F48C8">
        <w:t>millimetre</w:t>
      </w:r>
      <w:r w:rsidRPr="00934859">
        <w:t xml:space="preserve"> waves </w:t>
      </w:r>
      <w:r>
        <w:t>by</w:t>
      </w:r>
      <w:r w:rsidRPr="00934859">
        <w:t xml:space="preserve"> materials </w:t>
      </w:r>
      <w:r>
        <w:t>made of</w:t>
      </w:r>
      <w:r w:rsidRPr="00934859">
        <w:t xml:space="preserve"> PE </w:t>
      </w:r>
      <w:r>
        <w:t xml:space="preserve">or </w:t>
      </w:r>
      <w:r w:rsidRPr="00934859">
        <w:t>PP</w:t>
      </w:r>
      <w:r>
        <w:t xml:space="preserve"> as well as </w:t>
      </w:r>
      <w:r w:rsidRPr="00934859">
        <w:t xml:space="preserve">PVC is still </w:t>
      </w:r>
      <w:r>
        <w:t xml:space="preserve">moderate with </w:t>
      </w:r>
      <w:r w:rsidRPr="00934859">
        <w:t>0</w:t>
      </w:r>
      <w:r w:rsidR="00CF4994">
        <w:t>.3</w:t>
      </w:r>
      <w:r w:rsidR="00953419">
        <w:t> </w:t>
      </w:r>
      <w:r w:rsidRPr="00934859">
        <w:t xml:space="preserve">dB </w:t>
      </w:r>
      <w:r>
        <w:t xml:space="preserve">per </w:t>
      </w:r>
      <w:r w:rsidR="00F278F6">
        <w:t>millimetre</w:t>
      </w:r>
      <w:r>
        <w:t>.</w:t>
      </w:r>
      <w:r w:rsidRPr="00934859">
        <w:t xml:space="preserve"> </w:t>
      </w:r>
      <w:r>
        <w:t xml:space="preserve">This </w:t>
      </w:r>
      <w:r w:rsidR="006F4C2F">
        <w:t xml:space="preserve">means </w:t>
      </w:r>
      <w:r>
        <w:t xml:space="preserve">on the other hand </w:t>
      </w:r>
      <w:r w:rsidR="006F4C2F">
        <w:t xml:space="preserve">that </w:t>
      </w:r>
      <w:r w:rsidRPr="00934859">
        <w:t>large pipes with wall thicknesses of up to 200</w:t>
      </w:r>
      <w:r w:rsidR="006F4C2F">
        <w:t> </w:t>
      </w:r>
      <w:r w:rsidRPr="00934859">
        <w:t xml:space="preserve">mm can still be </w:t>
      </w:r>
      <w:r>
        <w:t>measured</w:t>
      </w:r>
      <w:r w:rsidRPr="00934859">
        <w:t>.</w:t>
      </w:r>
      <w:r w:rsidR="008A1A00">
        <w:t xml:space="preserve"> </w:t>
      </w:r>
      <w:r>
        <w:t xml:space="preserve">The resolution of </w:t>
      </w:r>
      <w:r w:rsidRPr="00934859">
        <w:t xml:space="preserve">individual layers in </w:t>
      </w:r>
      <w:r>
        <w:t xml:space="preserve">the </w:t>
      </w:r>
      <w:r w:rsidRPr="00934859">
        <w:t>frequency range</w:t>
      </w:r>
      <w:r>
        <w:t xml:space="preserve"> of 110-260</w:t>
      </w:r>
      <w:r w:rsidR="00EC6AF1">
        <w:t> </w:t>
      </w:r>
      <w:r>
        <w:t>GHz is also easier</w:t>
      </w:r>
      <w:r w:rsidRPr="00934859">
        <w:t>, provided that these do not fall below the theoretically detectable minimum wall thicknesses</w:t>
      </w:r>
      <w:r>
        <w:t xml:space="preserv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min</m:t>
            </m:r>
          </m:sub>
        </m:sSub>
      </m:oMath>
      <w:r w:rsidR="00D83D76">
        <w:t xml:space="preserve"> </w:t>
      </w:r>
      <w:r>
        <w:t xml:space="preserve">according to </w:t>
      </w:r>
      <w:r w:rsidR="00D83D76">
        <w:t xml:space="preserve">the equation above. </w:t>
      </w:r>
      <w:r>
        <w:t>Also, this frequency range allows for easier and better focussing of the radar wave</w:t>
      </w:r>
      <w:r w:rsidR="00EC6AF1">
        <w:t xml:space="preserve"> </w:t>
      </w:r>
      <w:r w:rsidR="00D83D76">
        <w:t>using</w:t>
      </w:r>
      <w:r w:rsidR="00EC6AF1">
        <w:t xml:space="preserve"> relatively small antennas</w:t>
      </w:r>
      <w:r>
        <w:t>, leading to less unwanted emission</w:t>
      </w:r>
      <w:r w:rsidR="00EC6AF1">
        <w:t>s</w:t>
      </w:r>
      <w:r>
        <w:t>.</w:t>
      </w:r>
    </w:p>
    <w:p w14:paraId="31092ACF" w14:textId="77777777" w:rsidR="00D83D76" w:rsidRPr="00D83D76" w:rsidRDefault="00D83D76" w:rsidP="00D83D76">
      <w:pPr>
        <w:pStyle w:val="Heading3"/>
      </w:pPr>
      <w:bookmarkStart w:id="384" w:name="_Toc84325319"/>
      <w:bookmarkStart w:id="385" w:name="_Toc127346251"/>
      <w:r w:rsidRPr="00D83D76">
        <w:t>Conservation of resources</w:t>
      </w:r>
      <w:r>
        <w:t xml:space="preserve"> and </w:t>
      </w:r>
      <w:r w:rsidRPr="00D83D76">
        <w:t>CO2 reduction</w:t>
      </w:r>
      <w:bookmarkEnd w:id="384"/>
      <w:bookmarkEnd w:id="385"/>
    </w:p>
    <w:p w14:paraId="47BC09F6" w14:textId="43B8A58E" w:rsidR="00D83D76" w:rsidRDefault="00D83D76" w:rsidP="00D83D76">
      <w:r w:rsidRPr="00934859">
        <w:t xml:space="preserve">The above-mentioned cost savings of around </w:t>
      </w:r>
      <w:r w:rsidRPr="007103E5">
        <w:t>250</w:t>
      </w:r>
      <w:r w:rsidR="00CF4994" w:rsidRPr="007103E5">
        <w:t>000</w:t>
      </w:r>
      <w:r w:rsidRPr="007103E5">
        <w:t xml:space="preserve"> to 300</w:t>
      </w:r>
      <w:r w:rsidR="00CF4994" w:rsidRPr="007103E5">
        <w:t>000</w:t>
      </w:r>
      <w:r w:rsidRPr="007103E5">
        <w:t xml:space="preserve"> euros</w:t>
      </w:r>
      <w:r w:rsidRPr="00934859">
        <w:t xml:space="preserve"> a year by using a precise radar </w:t>
      </w:r>
      <w:r>
        <w:t xml:space="preserve">measurement system </w:t>
      </w:r>
      <w:r w:rsidRPr="00934859">
        <w:t xml:space="preserve">is based on the </w:t>
      </w:r>
      <w:r>
        <w:t xml:space="preserve">avoidance of </w:t>
      </w:r>
      <w:r w:rsidRPr="00934859">
        <w:t xml:space="preserve">unnecessary excess and start-up losses. </w:t>
      </w:r>
      <w:r>
        <w:t>This calculation is b</w:t>
      </w:r>
      <w:r w:rsidRPr="00934859">
        <w:t>ased on a material price of 1</w:t>
      </w:r>
      <w:r w:rsidR="00CF4994">
        <w:t>.1</w:t>
      </w:r>
      <w:r>
        <w:t> </w:t>
      </w:r>
      <w:r w:rsidRPr="00934859">
        <w:t>euros/kg of polyethylene</w:t>
      </w:r>
      <w:r>
        <w:t xml:space="preserve"> (which is a very conservative number).</w:t>
      </w:r>
      <w:r w:rsidRPr="00934859">
        <w:t xml:space="preserve"> </w:t>
      </w:r>
      <w:r>
        <w:t>T</w:t>
      </w:r>
      <w:r w:rsidRPr="00934859">
        <w:t>his corresponds to a reduced material quantity of 225 to 270 tons/year</w:t>
      </w:r>
      <w:r>
        <w:t xml:space="preserve"> which equals an amount of </w:t>
      </w:r>
      <w:r w:rsidRPr="00934859">
        <w:t>500 to 1500</w:t>
      </w:r>
      <w:r>
        <w:t> </w:t>
      </w:r>
      <w:r w:rsidRPr="00934859">
        <w:t>tons of CO</w:t>
      </w:r>
      <w:r w:rsidRPr="00953419">
        <w:rPr>
          <w:rStyle w:val="ECCHLsubscript"/>
        </w:rPr>
        <w:t>2</w:t>
      </w:r>
      <w:r w:rsidRPr="00934859">
        <w:t xml:space="preserve"> released </w:t>
      </w:r>
      <w:r>
        <w:t xml:space="preserve">during production of the raw material, </w:t>
      </w:r>
      <w:r w:rsidRPr="00934859">
        <w:t>depending on the refinery process.</w:t>
      </w:r>
    </w:p>
    <w:p w14:paraId="13D6F624" w14:textId="77777777" w:rsidR="00D83D76" w:rsidRPr="006F48C8" w:rsidRDefault="00D83D76" w:rsidP="00D83D76">
      <w:r w:rsidRPr="00934859">
        <w:t xml:space="preserve">Therefore, </w:t>
      </w:r>
      <w:r>
        <w:t xml:space="preserve">not only </w:t>
      </w:r>
      <w:r w:rsidRPr="00934859">
        <w:t>costs</w:t>
      </w:r>
      <w:r>
        <w:t xml:space="preserve"> and time</w:t>
      </w:r>
      <w:r w:rsidRPr="00934859">
        <w:t xml:space="preserve"> </w:t>
      </w:r>
      <w:r>
        <w:t xml:space="preserve">can </w:t>
      </w:r>
      <w:r w:rsidRPr="00934859">
        <w:t>be</w:t>
      </w:r>
      <w:r>
        <w:t xml:space="preserve"> </w:t>
      </w:r>
      <w:r w:rsidRPr="00934859">
        <w:t xml:space="preserve">significantly saved by using RDI-S measurement systems </w:t>
      </w:r>
      <w:r>
        <w:t xml:space="preserve">during </w:t>
      </w:r>
      <w:r w:rsidRPr="00934859">
        <w:t xml:space="preserve">production, </w:t>
      </w:r>
      <w:r>
        <w:t xml:space="preserve">but also </w:t>
      </w:r>
      <w:r w:rsidRPr="00934859">
        <w:t xml:space="preserve">natural resources </w:t>
      </w:r>
      <w:r>
        <w:t xml:space="preserve">which </w:t>
      </w:r>
      <w:r w:rsidRPr="00934859">
        <w:t>results in a significant reduction in CO</w:t>
      </w:r>
      <w:r w:rsidRPr="00953419">
        <w:rPr>
          <w:rStyle w:val="ECCHLsubscript"/>
        </w:rPr>
        <w:t>2</w:t>
      </w:r>
      <w:r>
        <w:t xml:space="preserve"> </w:t>
      </w:r>
      <w:r w:rsidR="002C391F">
        <w:t xml:space="preserve">generation and </w:t>
      </w:r>
      <w:r>
        <w:t>emission</w:t>
      </w:r>
      <w:r w:rsidRPr="00934859">
        <w:t>.</w:t>
      </w:r>
    </w:p>
    <w:p w14:paraId="38AD7967" w14:textId="77777777" w:rsidR="002C391F" w:rsidRPr="002C391F" w:rsidRDefault="002C391F" w:rsidP="004D0256">
      <w:pPr>
        <w:pStyle w:val="Heading3"/>
      </w:pPr>
      <w:bookmarkStart w:id="386" w:name="_Toc84325320"/>
      <w:bookmarkStart w:id="387" w:name="_Toc127346252"/>
      <w:r w:rsidRPr="002C391F">
        <w:t>Upcoming measurement applications</w:t>
      </w:r>
      <w:bookmarkEnd w:id="386"/>
      <w:bookmarkEnd w:id="387"/>
    </w:p>
    <w:p w14:paraId="72173257" w14:textId="77777777" w:rsidR="002C391F" w:rsidRPr="006F48C8" w:rsidRDefault="002C391F" w:rsidP="002C391F">
      <w:r w:rsidRPr="006F48C8">
        <w:t xml:space="preserve">Research is already underway to manufacture </w:t>
      </w:r>
      <w:r>
        <w:t>r</w:t>
      </w:r>
      <w:r w:rsidRPr="006F48C8">
        <w:t xml:space="preserve">adar </w:t>
      </w:r>
      <w:r>
        <w:t>sensors capable of processing</w:t>
      </w:r>
      <w:r w:rsidRPr="006F48C8">
        <w:t xml:space="preserve"> bandwidth</w:t>
      </w:r>
      <w:r>
        <w:t>s</w:t>
      </w:r>
      <w:r w:rsidRPr="006F48C8">
        <w:t xml:space="preserve"> of 100 to 200</w:t>
      </w:r>
      <w:r>
        <w:t> </w:t>
      </w:r>
      <w:r w:rsidRPr="006F48C8">
        <w:t>GHz</w:t>
      </w:r>
      <w:r>
        <w:t xml:space="preserve"> </w:t>
      </w:r>
      <w:r w:rsidRPr="006F48C8">
        <w:t xml:space="preserve">to measure even smaller hoses or tubes, such as cardiac catheters and dialysis tubes. These </w:t>
      </w:r>
      <w:r>
        <w:t xml:space="preserve">medical </w:t>
      </w:r>
      <w:r w:rsidRPr="006F48C8">
        <w:t>products are particularly dependent on high precision and accuracy</w:t>
      </w:r>
      <w:r>
        <w:t>, as the specifications’ tolerances are much tighter for this kind of products compared to larger plastic pipes or sheets</w:t>
      </w:r>
      <w:r w:rsidRPr="006F48C8">
        <w:t xml:space="preserve">. The goal </w:t>
      </w:r>
      <w:r>
        <w:t xml:space="preserve">for these precise measurement systems </w:t>
      </w:r>
      <w:r w:rsidRPr="006F48C8">
        <w:t>is to be ready for market</w:t>
      </w:r>
      <w:r>
        <w:t xml:space="preserve"> launch</w:t>
      </w:r>
      <w:r w:rsidRPr="006F48C8">
        <w:t xml:space="preserve"> in two to three year</w:t>
      </w:r>
      <w:r>
        <w:t>s</w:t>
      </w:r>
      <w:r w:rsidRPr="006F48C8">
        <w:t>.</w:t>
      </w:r>
    </w:p>
    <w:p w14:paraId="7EF33035" w14:textId="77777777" w:rsidR="002C391F" w:rsidRPr="006F48C8" w:rsidRDefault="002C391F" w:rsidP="002C391F">
      <w:r>
        <w:t>Another possible application could be the thickness measurement of f</w:t>
      </w:r>
      <w:r w:rsidRPr="006F48C8">
        <w:t>oils, which is not possible in the frequency range below 116</w:t>
      </w:r>
      <w:r>
        <w:t> </w:t>
      </w:r>
      <w:r w:rsidRPr="006F48C8">
        <w:t>GHz due to their small thickness</w:t>
      </w:r>
      <w:r>
        <w:t xml:space="preserve"> and the correspondingly high bandwidth requirements.</w:t>
      </w:r>
    </w:p>
    <w:p w14:paraId="528D6427" w14:textId="77777777" w:rsidR="00055727" w:rsidRPr="00055727" w:rsidRDefault="00955C01" w:rsidP="00055727">
      <w:pPr>
        <w:pStyle w:val="Heading3"/>
      </w:pPr>
      <w:bookmarkStart w:id="388" w:name="_Toc84325321"/>
      <w:bookmarkStart w:id="389" w:name="_Toc127346253"/>
      <w:r>
        <w:t xml:space="preserve">Today's achievable </w:t>
      </w:r>
      <w:r w:rsidR="00055727" w:rsidRPr="00055727">
        <w:t>measurement accuracies</w:t>
      </w:r>
      <w:bookmarkEnd w:id="388"/>
      <w:bookmarkEnd w:id="389"/>
    </w:p>
    <w:p w14:paraId="15481299" w14:textId="669F2974" w:rsidR="00055727" w:rsidRPr="006F48C8" w:rsidRDefault="00055727" w:rsidP="00055727">
      <w:r>
        <w:t xml:space="preserve">In </w:t>
      </w:r>
      <w:r w:rsidR="00955C01">
        <w:fldChar w:fldCharType="begin"/>
      </w:r>
      <w:r w:rsidR="00955C01">
        <w:instrText xml:space="preserve"> REF _Ref49329143 \h </w:instrText>
      </w:r>
      <w:r w:rsidR="00955C01">
        <w:fldChar w:fldCharType="separate"/>
      </w:r>
      <w:r w:rsidR="004F49F9">
        <w:t>Figure </w:t>
      </w:r>
      <w:r w:rsidR="004F49F9">
        <w:rPr>
          <w:noProof/>
        </w:rPr>
        <w:t>75</w:t>
      </w:r>
      <w:r w:rsidR="00955C01">
        <w:fldChar w:fldCharType="end"/>
      </w:r>
      <w:r>
        <w:t xml:space="preserve">, a real-life example of a current measurement system operating at </w:t>
      </w:r>
      <w:r w:rsidR="00BF4190">
        <w:t>80 GHz and using a bandwidth of 25 GHz</w:t>
      </w:r>
      <w:r>
        <w:t xml:space="preserve"> shows the </w:t>
      </w:r>
      <w:r w:rsidR="00955C01">
        <w:t>measurement results</w:t>
      </w:r>
      <w:r>
        <w:t xml:space="preserve"> </w:t>
      </w:r>
      <w:r w:rsidR="00955C01">
        <w:t>of</w:t>
      </w:r>
      <w:r>
        <w:t xml:space="preserve"> a PVC pipe with an outer diameter of 400</w:t>
      </w:r>
      <w:r w:rsidR="00955C01">
        <w:t> </w:t>
      </w:r>
      <w:r>
        <w:t>mm and a wall thickness of slightly above 22</w:t>
      </w:r>
      <w:r w:rsidR="00955C01">
        <w:t> </w:t>
      </w:r>
      <w:r>
        <w:t>mm. The system is rotating a single sensor around the pipe</w:t>
      </w:r>
      <w:r w:rsidR="00955C01">
        <w:t>.</w:t>
      </w:r>
      <w:r>
        <w:t xml:space="preserve"> </w:t>
      </w:r>
      <w:r w:rsidR="00955C01">
        <w:t xml:space="preserve">The </w:t>
      </w:r>
      <w:r>
        <w:t xml:space="preserve">diagram </w:t>
      </w:r>
      <w:r w:rsidR="00955C01">
        <w:t xml:space="preserve">on top </w:t>
      </w:r>
      <w:r>
        <w:t xml:space="preserve">shows the angular resolution of the wall thickness (blue), compared to repeated manual measurements taken at steps of </w:t>
      </w:r>
      <w:r w:rsidR="00955C01">
        <w:t xml:space="preserve">about </w:t>
      </w:r>
      <w:r>
        <w:t>22</w:t>
      </w:r>
      <w:r w:rsidR="00CF4994">
        <w:t>.5</w:t>
      </w:r>
      <w:r>
        <w:t>°</w:t>
      </w:r>
      <w:r w:rsidR="00955C01">
        <w:t xml:space="preserve"> (amber)</w:t>
      </w:r>
      <w:r>
        <w:t xml:space="preserve">. Good overall accordance of the measurements can be </w:t>
      </w:r>
      <w:r w:rsidR="00955C01">
        <w:t>perceived</w:t>
      </w:r>
      <w:r>
        <w:t xml:space="preserve">. The diagram </w:t>
      </w:r>
      <w:r w:rsidR="00955C01">
        <w:t xml:space="preserve">in the middle </w:t>
      </w:r>
      <w:r>
        <w:t xml:space="preserve">shows the deviation from </w:t>
      </w:r>
      <w:r w:rsidR="00955C01">
        <w:t xml:space="preserve">the </w:t>
      </w:r>
      <w:r>
        <w:t xml:space="preserve">manual measurement to the </w:t>
      </w:r>
      <w:r w:rsidR="00955C01">
        <w:t>radar</w:t>
      </w:r>
      <w:r>
        <w:t xml:space="preserve"> measurement system</w:t>
      </w:r>
      <w:r w:rsidR="00955C01">
        <w:t>.</w:t>
      </w:r>
      <w:r>
        <w:t xml:space="preserve"> </w:t>
      </w:r>
      <w:r w:rsidR="00955C01">
        <w:t>T</w:t>
      </w:r>
      <w:r>
        <w:t xml:space="preserve">he </w:t>
      </w:r>
      <w:r w:rsidR="00955C01">
        <w:t>diagram at the bottom</w:t>
      </w:r>
      <w:r>
        <w:t xml:space="preserve"> </w:t>
      </w:r>
      <w:r w:rsidR="00955C01">
        <w:t>shows</w:t>
      </w:r>
      <w:r>
        <w:t xml:space="preserve"> the repeatability of the two </w:t>
      </w:r>
      <w:r w:rsidR="00955C01">
        <w:t xml:space="preserve">different </w:t>
      </w:r>
      <w:r>
        <w:t>approaches. While the standard deviation of the manual measurement is in the range of +/-20</w:t>
      </w:r>
      <w:r w:rsidR="00955C01">
        <w:t> </w:t>
      </w:r>
      <w:r w:rsidR="00955C01">
        <w:rPr>
          <w:rFonts w:cs="Arial"/>
        </w:rPr>
        <w:t>µ</w:t>
      </w:r>
      <w:r w:rsidR="00955C01">
        <w:t>m</w:t>
      </w:r>
      <w:r>
        <w:t xml:space="preserve">, the </w:t>
      </w:r>
      <w:r w:rsidR="00955C01">
        <w:t>radar</w:t>
      </w:r>
      <w:r>
        <w:t xml:space="preserve"> measurement system stays in the range of +/-</w:t>
      </w:r>
      <w:r w:rsidR="00701787">
        <w:t> </w:t>
      </w:r>
      <w:r>
        <w:t>1</w:t>
      </w:r>
      <w:r w:rsidR="00955C01">
        <w:t> </w:t>
      </w:r>
      <w:r w:rsidR="00955C01">
        <w:rPr>
          <w:rFonts w:cs="Arial"/>
        </w:rPr>
        <w:t>µ</w:t>
      </w:r>
      <w:r w:rsidR="00955C01">
        <w:t>m</w:t>
      </w:r>
      <w:r>
        <w:t>.</w:t>
      </w:r>
    </w:p>
    <w:p w14:paraId="08FE36AD" w14:textId="77777777" w:rsidR="00055727" w:rsidRPr="00055727" w:rsidRDefault="00055727" w:rsidP="0029320E">
      <w:pPr>
        <w:jc w:val="center"/>
      </w:pPr>
      <w:r w:rsidRPr="00055727">
        <w:rPr>
          <w:noProof/>
          <w:lang w:val="de-DE" w:eastAsia="de-DE"/>
        </w:rPr>
        <w:drawing>
          <wp:inline distT="0" distB="0" distL="0" distR="0" wp14:anchorId="2FCE0920" wp14:editId="0E40EA64">
            <wp:extent cx="5760720" cy="2905747"/>
            <wp:effectExtent l="0" t="0" r="0" b="9525"/>
            <wp:docPr id="18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2905747"/>
                    </a:xfrm>
                    <a:prstGeom prst="rect">
                      <a:avLst/>
                    </a:prstGeom>
                    <a:noFill/>
                  </pic:spPr>
                </pic:pic>
              </a:graphicData>
            </a:graphic>
          </wp:inline>
        </w:drawing>
      </w:r>
    </w:p>
    <w:p w14:paraId="1B843C14" w14:textId="56105458" w:rsidR="00055727" w:rsidRDefault="00055727" w:rsidP="00055727">
      <w:pPr>
        <w:pStyle w:val="Caption"/>
      </w:pPr>
      <w:bookmarkStart w:id="390" w:name="_Ref49329143"/>
      <w:r>
        <w:t>Figure</w:t>
      </w:r>
      <w:r w:rsidR="00E3611B">
        <w:t> </w:t>
      </w:r>
      <w:r>
        <w:fldChar w:fldCharType="begin"/>
      </w:r>
      <w:r>
        <w:instrText>SEQ Figure \* ARABIC</w:instrText>
      </w:r>
      <w:r>
        <w:fldChar w:fldCharType="separate"/>
      </w:r>
      <w:r w:rsidR="004F49F9">
        <w:rPr>
          <w:noProof/>
        </w:rPr>
        <w:t>75</w:t>
      </w:r>
      <w:r>
        <w:fldChar w:fldCharType="end"/>
      </w:r>
      <w:bookmarkEnd w:id="390"/>
      <w:r>
        <w:t xml:space="preserve">: </w:t>
      </w:r>
      <w:r w:rsidRPr="00055727">
        <w:t xml:space="preserve">Comparison of measured values (blue) </w:t>
      </w:r>
      <w:r>
        <w:t>by a radar and a</w:t>
      </w:r>
      <w:r w:rsidRPr="00055727">
        <w:t xml:space="preserve"> tactile optical measurement (amber)</w:t>
      </w:r>
      <w:r>
        <w:t xml:space="preserve"> (measurement object:</w:t>
      </w:r>
      <w:r w:rsidRPr="00055727">
        <w:t xml:space="preserve"> PVC pipe</w:t>
      </w:r>
      <w:r>
        <w:t xml:space="preserve"> with </w:t>
      </w:r>
      <w:r w:rsidRPr="00055727">
        <w:t>400</w:t>
      </w:r>
      <w:r>
        <w:t> </w:t>
      </w:r>
      <w:r w:rsidRPr="00055727">
        <w:t>mm diameter</w:t>
      </w:r>
      <w:r>
        <w:t>)</w:t>
      </w:r>
    </w:p>
    <w:p w14:paraId="3B018BB4" w14:textId="77777777" w:rsidR="00B7391C" w:rsidRPr="006D6727" w:rsidRDefault="00E36A95" w:rsidP="00B7391C">
      <w:pPr>
        <w:pStyle w:val="Heading1"/>
        <w:rPr>
          <w:noProof/>
          <w:lang w:val="en-GB"/>
        </w:rPr>
      </w:pPr>
      <w:bookmarkStart w:id="391" w:name="_Ref9857612"/>
      <w:bookmarkStart w:id="392" w:name="_Toc84325322"/>
      <w:bookmarkStart w:id="393" w:name="_Toc127346254"/>
      <w:r w:rsidRPr="006D6727">
        <w:rPr>
          <w:noProof/>
          <w:lang w:val="en-GB"/>
        </w:rPr>
        <w:t>Radio Services and Systems</w:t>
      </w:r>
      <w:bookmarkEnd w:id="391"/>
      <w:bookmarkEnd w:id="392"/>
      <w:bookmarkEnd w:id="393"/>
    </w:p>
    <w:p w14:paraId="45595A52" w14:textId="77777777" w:rsidR="00B11E91" w:rsidRPr="006D6727" w:rsidRDefault="00451F35" w:rsidP="00B11E91">
      <w:pPr>
        <w:pStyle w:val="Heading2"/>
        <w:rPr>
          <w:noProof/>
          <w:lang w:val="en-GB"/>
        </w:rPr>
      </w:pPr>
      <w:bookmarkStart w:id="394" w:name="_Ref12610323"/>
      <w:bookmarkStart w:id="395" w:name="_Toc84325323"/>
      <w:bookmarkStart w:id="396" w:name="_Toc127346255"/>
      <w:r w:rsidRPr="006D6727">
        <w:rPr>
          <w:noProof/>
          <w:lang w:val="en-GB"/>
        </w:rPr>
        <w:t>Proposed Bands to be Considered</w:t>
      </w:r>
      <w:r w:rsidR="00C61908" w:rsidRPr="006D6727">
        <w:rPr>
          <w:noProof/>
          <w:lang w:val="en-GB"/>
        </w:rPr>
        <w:t xml:space="preserve"> in the Study</w:t>
      </w:r>
      <w:r w:rsidR="00B11E91" w:rsidRPr="006D6727">
        <w:rPr>
          <w:noProof/>
          <w:lang w:val="en-GB"/>
        </w:rPr>
        <w:t xml:space="preserve"> </w:t>
      </w:r>
      <w:r w:rsidR="00C61908" w:rsidRPr="006D6727">
        <w:rPr>
          <w:noProof/>
          <w:lang w:val="en-GB"/>
        </w:rPr>
        <w:t>within</w:t>
      </w:r>
      <w:r w:rsidR="00B11E91" w:rsidRPr="006D6727">
        <w:rPr>
          <w:noProof/>
          <w:lang w:val="en-GB"/>
        </w:rPr>
        <w:t xml:space="preserve"> the frequency range 116−260 GHz</w:t>
      </w:r>
      <w:bookmarkEnd w:id="394"/>
      <w:bookmarkEnd w:id="395"/>
      <w:bookmarkEnd w:id="396"/>
    </w:p>
    <w:p w14:paraId="0FEAE524" w14:textId="179F86A9" w:rsidR="00B11E91" w:rsidRPr="006D6727" w:rsidRDefault="00B11E91" w:rsidP="00B11E91">
      <w:pPr>
        <w:rPr>
          <w:rStyle w:val="ECCParagraph"/>
          <w:noProof/>
        </w:rPr>
      </w:pPr>
      <w:r w:rsidRPr="006D6727">
        <w:rPr>
          <w:rStyle w:val="ECCParagraph"/>
          <w:noProof/>
        </w:rPr>
        <w:t xml:space="preserve">The current European frequency allocation and utilisation information provided in the ECO Frequency Information System (EFIS) </w:t>
      </w:r>
      <w:r w:rsidRPr="006D6727">
        <w:rPr>
          <w:rStyle w:val="ECCParagraph"/>
          <w:noProof/>
        </w:rPr>
        <w:fldChar w:fldCharType="begin"/>
      </w:r>
      <w:r w:rsidRPr="006D6727">
        <w:rPr>
          <w:rStyle w:val="ECCParagraph"/>
          <w:noProof/>
        </w:rPr>
        <w:instrText xml:space="preserve"> REF EFIS \w \h  \* MERGEFORMAT </w:instrText>
      </w:r>
      <w:r w:rsidRPr="006D6727">
        <w:rPr>
          <w:rStyle w:val="ECCParagraph"/>
          <w:noProof/>
        </w:rPr>
      </w:r>
      <w:r w:rsidRPr="006D6727">
        <w:rPr>
          <w:rStyle w:val="ECCParagraph"/>
          <w:noProof/>
        </w:rPr>
        <w:fldChar w:fldCharType="separate"/>
      </w:r>
      <w:r w:rsidR="004F49F9">
        <w:rPr>
          <w:rStyle w:val="ECCParagraph"/>
          <w:noProof/>
        </w:rPr>
        <w:t>[2]</w:t>
      </w:r>
      <w:r w:rsidRPr="006D6727">
        <w:rPr>
          <w:rStyle w:val="ECCParagraph"/>
          <w:noProof/>
        </w:rPr>
        <w:fldChar w:fldCharType="end"/>
      </w:r>
      <w:r w:rsidRPr="006D6727">
        <w:rPr>
          <w:rStyle w:val="ECCParagraph"/>
          <w:noProof/>
        </w:rPr>
        <w:t xml:space="preserve"> and in E</w:t>
      </w:r>
      <w:r w:rsidR="000C3B6C">
        <w:rPr>
          <w:rStyle w:val="ECCParagraph"/>
          <w:noProof/>
        </w:rPr>
        <w:t>R</w:t>
      </w:r>
      <w:r w:rsidRPr="006D6727">
        <w:rPr>
          <w:rStyle w:val="ECCParagraph"/>
          <w:noProof/>
        </w:rPr>
        <w:t xml:space="preserve">C Report 025 </w:t>
      </w:r>
      <w:r w:rsidRPr="006D6727">
        <w:rPr>
          <w:rStyle w:val="ECCParagraph"/>
          <w:noProof/>
        </w:rPr>
        <w:fldChar w:fldCharType="begin"/>
      </w:r>
      <w:r w:rsidRPr="006D6727">
        <w:rPr>
          <w:rStyle w:val="ECCParagraph"/>
          <w:noProof/>
        </w:rPr>
        <w:instrText xml:space="preserve"> REF ERCRep025 \w \h  \* MERGEFORMAT </w:instrText>
      </w:r>
      <w:r w:rsidRPr="006D6727">
        <w:rPr>
          <w:rStyle w:val="ECCParagraph"/>
          <w:noProof/>
        </w:rPr>
      </w:r>
      <w:r w:rsidRPr="006D6727">
        <w:rPr>
          <w:rStyle w:val="ECCParagraph"/>
          <w:noProof/>
        </w:rPr>
        <w:fldChar w:fldCharType="separate"/>
      </w:r>
      <w:r w:rsidR="004F49F9">
        <w:rPr>
          <w:rStyle w:val="ECCParagraph"/>
          <w:noProof/>
        </w:rPr>
        <w:t>[3]</w:t>
      </w:r>
      <w:r w:rsidRPr="006D6727">
        <w:rPr>
          <w:rStyle w:val="ECCParagraph"/>
          <w:noProof/>
        </w:rPr>
        <w:fldChar w:fldCharType="end"/>
      </w:r>
      <w:r w:rsidRPr="006D6727">
        <w:rPr>
          <w:rStyle w:val="ECCParagraph"/>
          <w:noProof/>
        </w:rPr>
        <w:t xml:space="preserve"> had been used in </w:t>
      </w:r>
      <w:r w:rsidR="000C3B6C">
        <w:rPr>
          <w:rStyle w:val="ECCParagraph"/>
          <w:noProof/>
        </w:rPr>
        <w:t xml:space="preserve">ETSI </w:t>
      </w:r>
      <w:r w:rsidRPr="006D6727">
        <w:rPr>
          <w:rStyle w:val="ECCParagraph"/>
          <w:noProof/>
        </w:rPr>
        <w:t xml:space="preserve">TR 103 498 </w:t>
      </w:r>
      <w:r w:rsidRPr="006D6727">
        <w:rPr>
          <w:rStyle w:val="ECCParagraph"/>
          <w:noProof/>
        </w:rPr>
        <w:fldChar w:fldCharType="begin"/>
      </w:r>
      <w:r w:rsidRPr="006D6727">
        <w:rPr>
          <w:rStyle w:val="ECCParagraph"/>
          <w:noProof/>
        </w:rPr>
        <w:instrText xml:space="preserve"> REF ETSITR103498 \w \h  \* MERGEFORMAT </w:instrText>
      </w:r>
      <w:r w:rsidRPr="006D6727">
        <w:rPr>
          <w:rStyle w:val="ECCParagraph"/>
          <w:noProof/>
        </w:rPr>
      </w:r>
      <w:r w:rsidRPr="006D6727">
        <w:rPr>
          <w:rStyle w:val="ECCParagraph"/>
          <w:noProof/>
        </w:rPr>
        <w:fldChar w:fldCharType="separate"/>
      </w:r>
      <w:r w:rsidR="004F49F9">
        <w:rPr>
          <w:rStyle w:val="ECCParagraph"/>
          <w:noProof/>
        </w:rPr>
        <w:t>[1]</w:t>
      </w:r>
      <w:r w:rsidRPr="006D6727">
        <w:rPr>
          <w:rStyle w:val="ECCParagraph"/>
          <w:noProof/>
        </w:rPr>
        <w:fldChar w:fldCharType="end"/>
      </w:r>
      <w:r w:rsidRPr="006D6727">
        <w:rPr>
          <w:rStyle w:val="ECCParagraph"/>
          <w:noProof/>
        </w:rPr>
        <w:t xml:space="preserve"> in order to identify possible frequency bands in the frequency range from 1</w:t>
      </w:r>
      <w:r w:rsidR="00DF2DDD" w:rsidRPr="006D6727">
        <w:rPr>
          <w:rStyle w:val="ECCParagraph"/>
          <w:noProof/>
        </w:rPr>
        <w:t>16</w:t>
      </w:r>
      <w:r w:rsidRPr="006D6727">
        <w:rPr>
          <w:rStyle w:val="ECCParagraph"/>
          <w:noProof/>
        </w:rPr>
        <w:t> to 260</w:t>
      </w:r>
      <w:r w:rsidR="00E17917">
        <w:rPr>
          <w:rStyle w:val="ECCParagraph"/>
        </w:rPr>
        <w:t> </w:t>
      </w:r>
      <w:r w:rsidRPr="006D6727">
        <w:rPr>
          <w:rStyle w:val="ECCParagraph"/>
          <w:noProof/>
        </w:rPr>
        <w:t xml:space="preserve">GHz for new Radiodetermination applications. In this context the two European Common Allocation </w:t>
      </w:r>
      <w:r w:rsidR="00CE340B" w:rsidRPr="006D6727">
        <w:rPr>
          <w:rStyle w:val="ECCParagraph"/>
          <w:noProof/>
        </w:rPr>
        <w:t>(</w:t>
      </w:r>
      <w:r w:rsidRPr="006D6727">
        <w:rPr>
          <w:rStyle w:val="ECCParagraph"/>
          <w:noProof/>
        </w:rPr>
        <w:t>ECA</w:t>
      </w:r>
      <w:r w:rsidR="00CE340B" w:rsidRPr="006D6727">
        <w:rPr>
          <w:rStyle w:val="ECCParagraph"/>
          <w:noProof/>
        </w:rPr>
        <w:t>)</w:t>
      </w:r>
      <w:r w:rsidRPr="006D6727">
        <w:rPr>
          <w:rStyle w:val="ECCParagraph"/>
          <w:noProof/>
        </w:rPr>
        <w:t xml:space="preserve"> Footnotes 5.149 and 5.340 turned out to be most relevant for accomplishing this task.</w:t>
      </w:r>
    </w:p>
    <w:p w14:paraId="41655864" w14:textId="77777777" w:rsidR="00B11E91" w:rsidRPr="006D6727" w:rsidRDefault="00B11E91" w:rsidP="00B11E91">
      <w:pPr>
        <w:rPr>
          <w:rStyle w:val="ECCParagraph"/>
          <w:noProof/>
        </w:rPr>
      </w:pPr>
      <w:r w:rsidRPr="006D6727">
        <w:rPr>
          <w:rStyle w:val="ECCParagraph"/>
          <w:noProof/>
        </w:rPr>
        <w:t>The footnote 5.340 prohibits all emissions in dedicated frequency bands. In the frequency range 1</w:t>
      </w:r>
      <w:r w:rsidR="00B45AFD" w:rsidRPr="006D6727">
        <w:rPr>
          <w:rStyle w:val="ECCParagraph"/>
          <w:noProof/>
        </w:rPr>
        <w:t>16</w:t>
      </w:r>
      <w:r w:rsidRPr="006D6727">
        <w:rPr>
          <w:rStyle w:val="ECCParagraph"/>
          <w:noProof/>
        </w:rPr>
        <w:t>−260 GHz the following bands are affected by this footnote: 114</w:t>
      </w:r>
      <w:r w:rsidR="00CF4994">
        <w:rPr>
          <w:rStyle w:val="ECCParagraph"/>
          <w:noProof/>
        </w:rPr>
        <w:t>.2</w:t>
      </w:r>
      <w:r w:rsidRPr="006D6727">
        <w:rPr>
          <w:rStyle w:val="ECCParagraph"/>
          <w:noProof/>
        </w:rPr>
        <w:t>5−116 GHz, 148</w:t>
      </w:r>
      <w:r w:rsidR="00CF4994">
        <w:rPr>
          <w:rStyle w:val="ECCParagraph"/>
          <w:noProof/>
        </w:rPr>
        <w:t>.5</w:t>
      </w:r>
      <w:r w:rsidRPr="006D6727">
        <w:rPr>
          <w:rStyle w:val="ECCParagraph"/>
          <w:noProof/>
        </w:rPr>
        <w:t>−151</w:t>
      </w:r>
      <w:r w:rsidR="00CF4994">
        <w:rPr>
          <w:rStyle w:val="ECCParagraph"/>
          <w:noProof/>
        </w:rPr>
        <w:t>.5</w:t>
      </w:r>
      <w:r w:rsidRPr="006D6727">
        <w:rPr>
          <w:rStyle w:val="ECCParagraph"/>
          <w:noProof/>
        </w:rPr>
        <w:t> GHz, 164−167 GHz, 182−185 GHz, 190−191</w:t>
      </w:r>
      <w:r w:rsidR="00CF4994">
        <w:rPr>
          <w:rStyle w:val="ECCParagraph"/>
          <w:noProof/>
        </w:rPr>
        <w:t>.8</w:t>
      </w:r>
      <w:r w:rsidRPr="006D6727">
        <w:rPr>
          <w:rStyle w:val="ECCParagraph"/>
          <w:noProof/>
        </w:rPr>
        <w:t xml:space="preserve"> GHz, 200−209 GHz, 226−231</w:t>
      </w:r>
      <w:r w:rsidR="00CF4994">
        <w:rPr>
          <w:rStyle w:val="ECCParagraph"/>
          <w:noProof/>
        </w:rPr>
        <w:t>.5</w:t>
      </w:r>
      <w:r w:rsidRPr="006D6727">
        <w:rPr>
          <w:rStyle w:val="ECCParagraph"/>
          <w:noProof/>
        </w:rPr>
        <w:t> GHz, 250−252 GHz.</w:t>
      </w:r>
    </w:p>
    <w:p w14:paraId="1558E124" w14:textId="77777777" w:rsidR="000C3B6C" w:rsidRDefault="00B11E91" w:rsidP="00B11E91">
      <w:pPr>
        <w:rPr>
          <w:rStyle w:val="ECCParagraph"/>
          <w:noProof/>
        </w:rPr>
      </w:pPr>
      <w:r w:rsidRPr="006D6727">
        <w:rPr>
          <w:rStyle w:val="ECCParagraph"/>
          <w:noProof/>
        </w:rPr>
        <w:t>The footnote 5.149 lists various frequency bands from 13360 kHz to 275 GHz advising administrations to take all practicable steps to protect the radio astronomy service from harmful interference. Emissions from spaceborne or airborne stations are said to possibly be serious sources of interference to the radio astronomy service. In the overall frequency range from 116 to 260 GHz the following bands are affected by this footnote:</w:t>
      </w:r>
    </w:p>
    <w:p w14:paraId="04BB6A96" w14:textId="1BFEF2C6" w:rsidR="000C3B6C" w:rsidRDefault="00B11E91" w:rsidP="00021945">
      <w:pPr>
        <w:pStyle w:val="ECCBulletsLv1"/>
        <w:spacing w:after="60"/>
        <w:rPr>
          <w:rStyle w:val="ECCParagraph"/>
          <w:noProof/>
        </w:rPr>
      </w:pPr>
      <w:r w:rsidRPr="006D6727">
        <w:rPr>
          <w:rStyle w:val="ECCParagraph"/>
          <w:noProof/>
        </w:rPr>
        <w:t>128</w:t>
      </w:r>
      <w:r w:rsidR="00CF4994">
        <w:rPr>
          <w:rStyle w:val="ECCParagraph"/>
          <w:noProof/>
        </w:rPr>
        <w:t>.3</w:t>
      </w:r>
      <w:r w:rsidRPr="006D6727">
        <w:rPr>
          <w:rStyle w:val="ECCParagraph"/>
          <w:noProof/>
        </w:rPr>
        <w:t>3−128</w:t>
      </w:r>
      <w:r w:rsidR="00CF4994">
        <w:rPr>
          <w:rStyle w:val="ECCParagraph"/>
          <w:noProof/>
        </w:rPr>
        <w:t>.5</w:t>
      </w:r>
      <w:r w:rsidRPr="006D6727">
        <w:rPr>
          <w:rStyle w:val="ECCParagraph"/>
          <w:noProof/>
        </w:rPr>
        <w:t>9</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2854DAE1" w14:textId="1EB450D3" w:rsidR="000C3B6C" w:rsidRDefault="00B11E91" w:rsidP="00021945">
      <w:pPr>
        <w:pStyle w:val="ECCBulletsLv1"/>
        <w:spacing w:after="60"/>
        <w:rPr>
          <w:rStyle w:val="ECCParagraph"/>
          <w:noProof/>
        </w:rPr>
      </w:pPr>
      <w:r w:rsidRPr="006D6727">
        <w:rPr>
          <w:rStyle w:val="ECCParagraph"/>
          <w:noProof/>
        </w:rPr>
        <w:t>129</w:t>
      </w:r>
      <w:r w:rsidR="00CF4994">
        <w:rPr>
          <w:rStyle w:val="ECCParagraph"/>
          <w:noProof/>
        </w:rPr>
        <w:t>.2</w:t>
      </w:r>
      <w:r w:rsidRPr="006D6727">
        <w:rPr>
          <w:rStyle w:val="ECCParagraph"/>
          <w:noProof/>
        </w:rPr>
        <w:t>3−129</w:t>
      </w:r>
      <w:r w:rsidR="00CF4994">
        <w:rPr>
          <w:rStyle w:val="ECCParagraph"/>
          <w:noProof/>
        </w:rPr>
        <w:t>.4</w:t>
      </w:r>
      <w:r w:rsidRPr="006D6727">
        <w:rPr>
          <w:rStyle w:val="ECCParagraph"/>
          <w:noProof/>
        </w:rPr>
        <w:t>9</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754FEB6F" w14:textId="068D7FA7" w:rsidR="000C3B6C" w:rsidRDefault="00B11E91" w:rsidP="00021945">
      <w:pPr>
        <w:pStyle w:val="ECCBulletsLv1"/>
        <w:spacing w:after="60"/>
        <w:rPr>
          <w:rStyle w:val="ECCParagraph"/>
          <w:noProof/>
        </w:rPr>
      </w:pPr>
      <w:r w:rsidRPr="006D6727">
        <w:rPr>
          <w:rStyle w:val="ECCParagraph"/>
          <w:noProof/>
        </w:rPr>
        <w:t>130−134</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7BD7F91B" w14:textId="7D66EAB4" w:rsidR="000C3B6C" w:rsidRDefault="00B11E91" w:rsidP="00021945">
      <w:pPr>
        <w:pStyle w:val="ECCBulletsLv1"/>
        <w:spacing w:after="60"/>
        <w:rPr>
          <w:rStyle w:val="ECCParagraph"/>
          <w:noProof/>
        </w:rPr>
      </w:pPr>
      <w:r w:rsidRPr="006D6727">
        <w:rPr>
          <w:rStyle w:val="ECCParagraph"/>
          <w:noProof/>
        </w:rPr>
        <w:t>136−148</w:t>
      </w:r>
      <w:r w:rsidR="00CF4994">
        <w:rPr>
          <w:rStyle w:val="ECCParagraph"/>
          <w:noProof/>
        </w:rPr>
        <w:t>.5</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3E9E7A20" w14:textId="7046EEB4" w:rsidR="000C3B6C" w:rsidRDefault="00B11E91" w:rsidP="00021945">
      <w:pPr>
        <w:pStyle w:val="ECCBulletsLv1"/>
        <w:spacing w:after="60"/>
        <w:rPr>
          <w:rStyle w:val="ECCParagraph"/>
          <w:noProof/>
        </w:rPr>
      </w:pPr>
      <w:r w:rsidRPr="006D6727">
        <w:rPr>
          <w:rStyle w:val="ECCParagraph"/>
          <w:noProof/>
        </w:rPr>
        <w:t>151</w:t>
      </w:r>
      <w:r w:rsidR="00CF4994">
        <w:rPr>
          <w:rStyle w:val="ECCParagraph"/>
          <w:noProof/>
        </w:rPr>
        <w:t>.5</w:t>
      </w:r>
      <w:r w:rsidRPr="006D6727">
        <w:rPr>
          <w:rStyle w:val="ECCParagraph"/>
          <w:noProof/>
        </w:rPr>
        <w:t>−158</w:t>
      </w:r>
      <w:r w:rsidR="00CF4994">
        <w:rPr>
          <w:rStyle w:val="ECCParagraph"/>
          <w:noProof/>
        </w:rPr>
        <w:t>.5</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637BB4B4" w14:textId="6C405E35" w:rsidR="000C3B6C" w:rsidRDefault="00B11E91" w:rsidP="00021945">
      <w:pPr>
        <w:pStyle w:val="ECCBulletsLv1"/>
        <w:spacing w:after="60"/>
        <w:rPr>
          <w:rStyle w:val="ECCParagraph"/>
          <w:noProof/>
        </w:rPr>
      </w:pPr>
      <w:r w:rsidRPr="006D6727">
        <w:rPr>
          <w:rStyle w:val="ECCParagraph"/>
          <w:noProof/>
        </w:rPr>
        <w:t>168</w:t>
      </w:r>
      <w:r w:rsidR="00CF4994">
        <w:rPr>
          <w:rStyle w:val="ECCParagraph"/>
          <w:noProof/>
        </w:rPr>
        <w:t>.5</w:t>
      </w:r>
      <w:r w:rsidRPr="006D6727">
        <w:rPr>
          <w:rStyle w:val="ECCParagraph"/>
          <w:noProof/>
        </w:rPr>
        <w:t>9−168</w:t>
      </w:r>
      <w:r w:rsidR="00CF4994">
        <w:rPr>
          <w:rStyle w:val="ECCParagraph"/>
          <w:noProof/>
        </w:rPr>
        <w:t>.9</w:t>
      </w:r>
      <w:r w:rsidRPr="006D6727">
        <w:rPr>
          <w:rStyle w:val="ECCParagraph"/>
          <w:noProof/>
        </w:rPr>
        <w:t>3</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2C26075F" w14:textId="7C6B09F7" w:rsidR="000C3B6C" w:rsidRDefault="00B11E91" w:rsidP="00021945">
      <w:pPr>
        <w:pStyle w:val="ECCBulletsLv1"/>
        <w:spacing w:after="60"/>
        <w:rPr>
          <w:rStyle w:val="ECCParagraph"/>
          <w:noProof/>
        </w:rPr>
      </w:pPr>
      <w:r w:rsidRPr="006D6727">
        <w:rPr>
          <w:rStyle w:val="ECCParagraph"/>
          <w:noProof/>
        </w:rPr>
        <w:t>171</w:t>
      </w:r>
      <w:r w:rsidR="00CF4994">
        <w:rPr>
          <w:rStyle w:val="ECCParagraph"/>
          <w:noProof/>
        </w:rPr>
        <w:t>.1</w:t>
      </w:r>
      <w:r w:rsidRPr="006D6727">
        <w:rPr>
          <w:rStyle w:val="ECCParagraph"/>
          <w:noProof/>
        </w:rPr>
        <w:t>1−171</w:t>
      </w:r>
      <w:r w:rsidR="00CF4994">
        <w:rPr>
          <w:rStyle w:val="ECCParagraph"/>
          <w:noProof/>
        </w:rPr>
        <w:t>.4</w:t>
      </w:r>
      <w:r w:rsidRPr="006D6727">
        <w:rPr>
          <w:rStyle w:val="ECCParagraph"/>
          <w:noProof/>
        </w:rPr>
        <w:t>5</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6908A1BF" w14:textId="316A4C88" w:rsidR="000C3B6C" w:rsidRDefault="00B11E91" w:rsidP="00021945">
      <w:pPr>
        <w:pStyle w:val="ECCBulletsLv1"/>
        <w:spacing w:after="60"/>
        <w:rPr>
          <w:rStyle w:val="ECCParagraph"/>
          <w:noProof/>
        </w:rPr>
      </w:pPr>
      <w:r w:rsidRPr="006D6727">
        <w:rPr>
          <w:rStyle w:val="ECCParagraph"/>
          <w:noProof/>
        </w:rPr>
        <w:t>172</w:t>
      </w:r>
      <w:r w:rsidR="00CF4994">
        <w:rPr>
          <w:rStyle w:val="ECCParagraph"/>
          <w:noProof/>
        </w:rPr>
        <w:t>.3</w:t>
      </w:r>
      <w:r w:rsidRPr="006D6727">
        <w:rPr>
          <w:rStyle w:val="ECCParagraph"/>
          <w:noProof/>
        </w:rPr>
        <w:t>1−172</w:t>
      </w:r>
      <w:r w:rsidR="00CF4994">
        <w:rPr>
          <w:rStyle w:val="ECCParagraph"/>
          <w:noProof/>
        </w:rPr>
        <w:t>.6</w:t>
      </w:r>
      <w:r w:rsidRPr="006D6727">
        <w:rPr>
          <w:rStyle w:val="ECCParagraph"/>
          <w:noProof/>
        </w:rPr>
        <w:t>5</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436C9E37" w14:textId="5606C45D" w:rsidR="000C3B6C" w:rsidRDefault="00B11E91" w:rsidP="00021945">
      <w:pPr>
        <w:pStyle w:val="ECCBulletsLv1"/>
        <w:spacing w:after="60"/>
        <w:rPr>
          <w:rStyle w:val="ECCParagraph"/>
          <w:noProof/>
        </w:rPr>
      </w:pPr>
      <w:r w:rsidRPr="006D6727">
        <w:rPr>
          <w:rStyle w:val="ECCParagraph"/>
          <w:noProof/>
        </w:rPr>
        <w:t>173</w:t>
      </w:r>
      <w:r w:rsidR="00CF4994">
        <w:rPr>
          <w:rStyle w:val="ECCParagraph"/>
          <w:noProof/>
        </w:rPr>
        <w:t>.5</w:t>
      </w:r>
      <w:r w:rsidRPr="006D6727">
        <w:rPr>
          <w:rStyle w:val="ECCParagraph"/>
          <w:noProof/>
        </w:rPr>
        <w:t>2−173</w:t>
      </w:r>
      <w:r w:rsidR="00CF4994">
        <w:rPr>
          <w:rStyle w:val="ECCParagraph"/>
          <w:noProof/>
        </w:rPr>
        <w:t>.8</w:t>
      </w:r>
      <w:r w:rsidRPr="006D6727">
        <w:rPr>
          <w:rStyle w:val="ECCParagraph"/>
          <w:noProof/>
        </w:rPr>
        <w:t>5</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528FEB8F" w14:textId="5CA7FE26" w:rsidR="000C3B6C" w:rsidRDefault="00B11E91" w:rsidP="00021945">
      <w:pPr>
        <w:pStyle w:val="ECCBulletsLv1"/>
        <w:spacing w:after="60"/>
        <w:rPr>
          <w:rStyle w:val="ECCParagraph"/>
          <w:noProof/>
        </w:rPr>
      </w:pPr>
      <w:r w:rsidRPr="006D6727">
        <w:rPr>
          <w:rStyle w:val="ECCParagraph"/>
          <w:noProof/>
        </w:rPr>
        <w:t>195</w:t>
      </w:r>
      <w:r w:rsidR="00CF4994">
        <w:rPr>
          <w:rStyle w:val="ECCParagraph"/>
          <w:noProof/>
        </w:rPr>
        <w:t>.7</w:t>
      </w:r>
      <w:r w:rsidRPr="006D6727">
        <w:rPr>
          <w:rStyle w:val="ECCParagraph"/>
          <w:noProof/>
        </w:rPr>
        <w:t>5−196</w:t>
      </w:r>
      <w:r w:rsidR="00CF4994">
        <w:rPr>
          <w:rStyle w:val="ECCParagraph"/>
          <w:noProof/>
        </w:rPr>
        <w:t>.1</w:t>
      </w:r>
      <w:r w:rsidRPr="006D6727">
        <w:rPr>
          <w:rStyle w:val="ECCParagraph"/>
          <w:noProof/>
        </w:rPr>
        <w:t>5</w:t>
      </w:r>
      <w:r w:rsidR="00E17917">
        <w:rPr>
          <w:rStyle w:val="ECCParagraph"/>
        </w:rPr>
        <w:t> </w:t>
      </w:r>
      <w:r w:rsidRPr="006D6727">
        <w:rPr>
          <w:rStyle w:val="ECCParagraph"/>
          <w:noProof/>
        </w:rPr>
        <w:t>GHz</w:t>
      </w:r>
      <w:r w:rsidR="00E14C3C">
        <w:rPr>
          <w:rStyle w:val="ECCParagraph"/>
          <w:noProof/>
        </w:rPr>
        <w:t>;</w:t>
      </w:r>
    </w:p>
    <w:p w14:paraId="418F1CB6" w14:textId="33CDD3E5" w:rsidR="000C3B6C" w:rsidRDefault="00B11E91" w:rsidP="00021945">
      <w:pPr>
        <w:pStyle w:val="ECCBulletsLv1"/>
        <w:spacing w:after="60"/>
        <w:rPr>
          <w:rStyle w:val="ECCParagraph"/>
          <w:noProof/>
        </w:rPr>
      </w:pPr>
      <w:r w:rsidRPr="006D6727">
        <w:rPr>
          <w:rStyle w:val="ECCParagraph"/>
          <w:noProof/>
        </w:rPr>
        <w:t>209−226</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4DCFE286" w14:textId="7A46B4BB" w:rsidR="000C3B6C" w:rsidRDefault="00B11E91" w:rsidP="00021945">
      <w:pPr>
        <w:pStyle w:val="ECCBulletsLv1"/>
        <w:spacing w:after="60"/>
        <w:rPr>
          <w:rStyle w:val="ECCParagraph"/>
          <w:noProof/>
        </w:rPr>
      </w:pPr>
      <w:r w:rsidRPr="006D6727">
        <w:rPr>
          <w:rStyle w:val="ECCParagraph"/>
          <w:noProof/>
        </w:rPr>
        <w:t>241−250</w:t>
      </w:r>
      <w:r w:rsidR="00E17917">
        <w:rPr>
          <w:rStyle w:val="ECCParagraph"/>
        </w:rPr>
        <w:t> </w:t>
      </w:r>
      <w:r w:rsidRPr="006D6727">
        <w:rPr>
          <w:rStyle w:val="ECCParagraph"/>
          <w:noProof/>
        </w:rPr>
        <w:t>GHz</w:t>
      </w:r>
      <w:r w:rsidR="00E14C3C">
        <w:rPr>
          <w:rStyle w:val="ECCParagraph"/>
          <w:noProof/>
        </w:rPr>
        <w:t>;</w:t>
      </w:r>
      <w:r w:rsidRPr="006D6727">
        <w:rPr>
          <w:rStyle w:val="ECCParagraph"/>
          <w:noProof/>
        </w:rPr>
        <w:t xml:space="preserve"> </w:t>
      </w:r>
    </w:p>
    <w:p w14:paraId="67FCC4A6" w14:textId="1C5A432D" w:rsidR="00B11E91" w:rsidRPr="006D6727" w:rsidRDefault="00B11E91" w:rsidP="00021945">
      <w:pPr>
        <w:pStyle w:val="ECCBulletsLv1"/>
        <w:spacing w:after="60"/>
        <w:rPr>
          <w:rStyle w:val="ECCParagraph"/>
          <w:noProof/>
        </w:rPr>
      </w:pPr>
      <w:r w:rsidRPr="006D6727">
        <w:rPr>
          <w:rStyle w:val="ECCParagraph"/>
          <w:noProof/>
        </w:rPr>
        <w:t>252−275</w:t>
      </w:r>
      <w:r w:rsidR="00E17917">
        <w:rPr>
          <w:rStyle w:val="ECCParagraph"/>
        </w:rPr>
        <w:t> </w:t>
      </w:r>
      <w:r w:rsidRPr="006D6727">
        <w:rPr>
          <w:rStyle w:val="ECCParagraph"/>
          <w:noProof/>
        </w:rPr>
        <w:t>GHz.</w:t>
      </w:r>
    </w:p>
    <w:p w14:paraId="671109B7" w14:textId="77777777" w:rsidR="00B11E91" w:rsidRPr="006D6727" w:rsidRDefault="00B11E91" w:rsidP="00B11E91">
      <w:pPr>
        <w:rPr>
          <w:rStyle w:val="ECCParagraph"/>
          <w:noProof/>
        </w:rPr>
      </w:pPr>
      <w:r w:rsidRPr="006D6727">
        <w:rPr>
          <w:rStyle w:val="ECCParagraph"/>
          <w:noProof/>
        </w:rPr>
        <w:t>In addition to these two footnotes the following frequency ranges, allocated to Fixed Service (FS) as a primary service, had also been considered in order to identify suitable frequency ranges for new Radiodetermination applications: 130−134 GHz, 141−148</w:t>
      </w:r>
      <w:r w:rsidR="00CF4994">
        <w:rPr>
          <w:rStyle w:val="ECCParagraph"/>
          <w:noProof/>
        </w:rPr>
        <w:t>.5</w:t>
      </w:r>
      <w:r w:rsidRPr="006D6727">
        <w:rPr>
          <w:rStyle w:val="ECCParagraph"/>
          <w:noProof/>
        </w:rPr>
        <w:t> GHz, 151</w:t>
      </w:r>
      <w:r w:rsidR="00CF4994">
        <w:rPr>
          <w:rStyle w:val="ECCParagraph"/>
          <w:noProof/>
        </w:rPr>
        <w:t>.5</w:t>
      </w:r>
      <w:r w:rsidRPr="006D6727">
        <w:rPr>
          <w:rStyle w:val="ECCParagraph"/>
          <w:noProof/>
        </w:rPr>
        <w:t>−164 GHz, 167−174</w:t>
      </w:r>
      <w:r w:rsidR="00CF4994">
        <w:rPr>
          <w:rStyle w:val="ECCParagraph"/>
          <w:noProof/>
        </w:rPr>
        <w:t>.8</w:t>
      </w:r>
      <w:r w:rsidRPr="006D6727">
        <w:rPr>
          <w:rStyle w:val="ECCParagraph"/>
          <w:noProof/>
        </w:rPr>
        <w:t> GHz.</w:t>
      </w:r>
    </w:p>
    <w:p w14:paraId="13AEA386" w14:textId="77777777" w:rsidR="0004199B" w:rsidRPr="006D6727" w:rsidRDefault="0004199B" w:rsidP="0004199B">
      <w:pPr>
        <w:rPr>
          <w:rStyle w:val="ECCHLyellow"/>
          <w:noProof/>
        </w:rPr>
      </w:pPr>
      <w:r w:rsidRPr="006D6727">
        <w:rPr>
          <w:rStyle w:val="ECCParagraph"/>
          <w:noProof/>
        </w:rPr>
        <w:t>For type A applications, footnote 5.340 and the FS allocations had been taken into account to identify suitable frequency ranges. For type B applications, only footnote 5.340 had been taken into account. For type C applications, no restrictions were proposed as these applications are applied solely in highly shielded environments.</w:t>
      </w:r>
    </w:p>
    <w:p w14:paraId="2DC410B1" w14:textId="4BB300DE" w:rsidR="00B11E91" w:rsidRPr="006D6727" w:rsidRDefault="00B11E91" w:rsidP="00B11E91">
      <w:pPr>
        <w:rPr>
          <w:rStyle w:val="ECCParagraph"/>
          <w:noProof/>
        </w:rPr>
      </w:pPr>
      <w:r w:rsidRPr="006D6727">
        <w:rPr>
          <w:rStyle w:val="ECCParagraph"/>
          <w:noProof/>
        </w:rPr>
        <w:t xml:space="preserve">The remaining possible frequency bands for new Radiodetermination applications </w:t>
      </w:r>
      <w:r w:rsidR="0004199B" w:rsidRPr="006D6727">
        <w:rPr>
          <w:rStyle w:val="ECCParagraph"/>
          <w:noProof/>
        </w:rPr>
        <w:t xml:space="preserve">from those </w:t>
      </w:r>
      <w:r w:rsidRPr="006D6727">
        <w:rPr>
          <w:rStyle w:val="ECCParagraph"/>
          <w:noProof/>
        </w:rPr>
        <w:t xml:space="preserve">suggested in TR 103 498 </w:t>
      </w:r>
      <w:r w:rsidRPr="006D6727">
        <w:rPr>
          <w:rStyle w:val="ECCParagraph"/>
          <w:noProof/>
        </w:rPr>
        <w:fldChar w:fldCharType="begin"/>
      </w:r>
      <w:r w:rsidRPr="006D6727">
        <w:rPr>
          <w:rStyle w:val="ECCParagraph"/>
          <w:noProof/>
        </w:rPr>
        <w:instrText xml:space="preserve"> REF ETSITR103498 \w \h  \* MERGEFORMAT </w:instrText>
      </w:r>
      <w:r w:rsidRPr="006D6727">
        <w:rPr>
          <w:rStyle w:val="ECCParagraph"/>
          <w:noProof/>
        </w:rPr>
      </w:r>
      <w:r w:rsidRPr="006D6727">
        <w:rPr>
          <w:rStyle w:val="ECCParagraph"/>
          <w:noProof/>
        </w:rPr>
        <w:fldChar w:fldCharType="separate"/>
      </w:r>
      <w:r w:rsidR="004F49F9">
        <w:rPr>
          <w:rStyle w:val="ECCParagraph"/>
          <w:noProof/>
        </w:rPr>
        <w:t>[1]</w:t>
      </w:r>
      <w:r w:rsidRPr="006D6727">
        <w:rPr>
          <w:rStyle w:val="ECCParagraph"/>
          <w:noProof/>
        </w:rPr>
        <w:fldChar w:fldCharType="end"/>
      </w:r>
      <w:r w:rsidRPr="006D6727">
        <w:rPr>
          <w:rStyle w:val="ECCParagraph"/>
          <w:noProof/>
        </w:rPr>
        <w:t xml:space="preserve">, according to the categorisation in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F49F9">
        <w:rPr>
          <w:rStyle w:val="ECCParagraph"/>
          <w:noProof/>
        </w:rPr>
        <w:t>2.1</w:t>
      </w:r>
      <w:r w:rsidRPr="006D6727">
        <w:rPr>
          <w:rStyle w:val="ECCParagraph"/>
          <w:noProof/>
        </w:rPr>
        <w:fldChar w:fldCharType="end"/>
      </w:r>
      <w:r w:rsidRPr="006D6727">
        <w:rPr>
          <w:rStyle w:val="ECCParagraph"/>
          <w:noProof/>
        </w:rPr>
        <w:t xml:space="preserve">, are depicted in </w:t>
      </w:r>
      <w:r w:rsidR="00087B6E" w:rsidRPr="006D6727">
        <w:rPr>
          <w:rStyle w:val="ECCParagraph"/>
          <w:noProof/>
        </w:rPr>
        <w:fldChar w:fldCharType="begin"/>
      </w:r>
      <w:r w:rsidR="00087B6E" w:rsidRPr="006D6727">
        <w:rPr>
          <w:rStyle w:val="ECCParagraph"/>
          <w:noProof/>
        </w:rPr>
        <w:instrText xml:space="preserve"> REF _Ref15636825 \h </w:instrText>
      </w:r>
      <w:r w:rsidR="00087B6E" w:rsidRPr="006D6727">
        <w:rPr>
          <w:rStyle w:val="ECCParagraph"/>
          <w:noProof/>
        </w:rPr>
      </w:r>
      <w:r w:rsidR="00087B6E" w:rsidRPr="006D6727">
        <w:rPr>
          <w:rStyle w:val="ECCParagraph"/>
          <w:noProof/>
        </w:rPr>
        <w:fldChar w:fldCharType="separate"/>
      </w:r>
      <w:r w:rsidR="0041125F" w:rsidRPr="006D6727">
        <w:rPr>
          <w:noProof/>
        </w:rPr>
        <w:t>Table </w:t>
      </w:r>
      <w:r w:rsidR="0041125F">
        <w:rPr>
          <w:noProof/>
        </w:rPr>
        <w:t>33</w:t>
      </w:r>
      <w:r w:rsidR="00087B6E" w:rsidRPr="006D6727">
        <w:rPr>
          <w:rStyle w:val="ECCParagraph"/>
          <w:noProof/>
        </w:rPr>
        <w:fldChar w:fldCharType="end"/>
      </w:r>
      <w:r w:rsidRPr="006D6727">
        <w:rPr>
          <w:rStyle w:val="ECCParagraph"/>
          <w:noProof/>
        </w:rPr>
        <w:t>.</w:t>
      </w:r>
    </w:p>
    <w:p w14:paraId="55C114F1" w14:textId="3C8A79B6" w:rsidR="00B11E91" w:rsidRPr="006D6727" w:rsidRDefault="00B11E91" w:rsidP="00B11E91">
      <w:pPr>
        <w:pStyle w:val="Caption"/>
        <w:rPr>
          <w:noProof/>
          <w:lang w:val="en-GB"/>
        </w:rPr>
      </w:pPr>
      <w:bookmarkStart w:id="397" w:name="_Ref15636825"/>
      <w:r w:rsidRPr="006D6727">
        <w:rPr>
          <w:noProof/>
          <w:lang w:val="en-GB"/>
        </w:rPr>
        <w:t>Table</w:t>
      </w:r>
      <w:r w:rsidR="0049420D"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33</w:t>
      </w:r>
      <w:r w:rsidR="00616942" w:rsidRPr="006D6727">
        <w:rPr>
          <w:noProof/>
          <w:lang w:val="en-GB"/>
        </w:rPr>
        <w:fldChar w:fldCharType="end"/>
      </w:r>
      <w:bookmarkEnd w:id="397"/>
      <w:r w:rsidRPr="006D6727">
        <w:rPr>
          <w:noProof/>
          <w:lang w:val="en-GB"/>
        </w:rPr>
        <w:t>: Possible frequency bands for the different application types</w:t>
      </w:r>
    </w:p>
    <w:tbl>
      <w:tblPr>
        <w:tblStyle w:val="ECCTable-redheader"/>
        <w:tblW w:w="5000" w:type="pct"/>
        <w:tblInd w:w="0" w:type="dxa"/>
        <w:tblLook w:val="04A0" w:firstRow="1" w:lastRow="0" w:firstColumn="1" w:lastColumn="0" w:noHBand="0" w:noVBand="1"/>
      </w:tblPr>
      <w:tblGrid>
        <w:gridCol w:w="4244"/>
        <w:gridCol w:w="5385"/>
      </w:tblGrid>
      <w:tr w:rsidR="00B11E91" w:rsidRPr="006D6727" w14:paraId="210592DA" w14:textId="77777777" w:rsidTr="008E09A5">
        <w:trPr>
          <w:cnfStyle w:val="100000000000" w:firstRow="1" w:lastRow="0" w:firstColumn="0" w:lastColumn="0" w:oddVBand="0" w:evenVBand="0" w:oddHBand="0" w:evenHBand="0" w:firstRowFirstColumn="0" w:firstRowLastColumn="0" w:lastRowFirstColumn="0" w:lastRowLastColumn="0"/>
        </w:trPr>
        <w:tc>
          <w:tcPr>
            <w:tcW w:w="2204" w:type="pct"/>
          </w:tcPr>
          <w:p w14:paraId="6B4D35B1" w14:textId="77777777" w:rsidR="00B11E91" w:rsidRPr="006D6727" w:rsidRDefault="00B11E91" w:rsidP="00876039">
            <w:pPr>
              <w:pStyle w:val="ECCTableHeaderwhitefont"/>
              <w:rPr>
                <w:noProof/>
              </w:rPr>
            </w:pPr>
            <w:r w:rsidRPr="006D6727">
              <w:rPr>
                <w:noProof/>
              </w:rPr>
              <w:t>Application Type</w:t>
            </w:r>
          </w:p>
        </w:tc>
        <w:tc>
          <w:tcPr>
            <w:tcW w:w="2796" w:type="pct"/>
          </w:tcPr>
          <w:p w14:paraId="0C11C6D5" w14:textId="77777777" w:rsidR="00B11E91" w:rsidRPr="006D6727" w:rsidRDefault="00B11E91" w:rsidP="00EA11B9">
            <w:pPr>
              <w:pStyle w:val="ECCTableHeaderwhitefont"/>
              <w:rPr>
                <w:noProof/>
              </w:rPr>
            </w:pPr>
            <w:r w:rsidRPr="006D6727">
              <w:rPr>
                <w:noProof/>
              </w:rPr>
              <w:t>Frequency Bands</w:t>
            </w:r>
          </w:p>
        </w:tc>
      </w:tr>
      <w:tr w:rsidR="00B11E91" w:rsidRPr="006D6727" w14:paraId="35AE242D" w14:textId="77777777" w:rsidTr="008E09A5">
        <w:trPr>
          <w:trHeight w:val="265"/>
        </w:trPr>
        <w:tc>
          <w:tcPr>
            <w:tcW w:w="2204" w:type="pct"/>
            <w:vMerge w:val="restart"/>
          </w:tcPr>
          <w:p w14:paraId="6DDF74E2" w14:textId="77777777" w:rsidR="00B11E91" w:rsidRPr="006D6727" w:rsidRDefault="00B11E91" w:rsidP="00C869E5">
            <w:pPr>
              <w:pStyle w:val="ECCTabletext"/>
              <w:spacing w:after="0"/>
              <w:jc w:val="left"/>
              <w:rPr>
                <w:noProof/>
              </w:rPr>
            </w:pPr>
            <w:r w:rsidRPr="006D6727">
              <w:rPr>
                <w:noProof/>
              </w:rPr>
              <w:t>A</w:t>
            </w:r>
          </w:p>
        </w:tc>
        <w:tc>
          <w:tcPr>
            <w:tcW w:w="2796" w:type="pct"/>
          </w:tcPr>
          <w:p w14:paraId="3093EB14" w14:textId="77777777" w:rsidR="00B11E91" w:rsidRPr="006D6727" w:rsidRDefault="00B11E91" w:rsidP="00C869E5">
            <w:pPr>
              <w:pStyle w:val="ECCTabletext"/>
              <w:spacing w:after="0"/>
              <w:jc w:val="left"/>
              <w:rPr>
                <w:noProof/>
              </w:rPr>
            </w:pPr>
            <w:r w:rsidRPr="006D6727">
              <w:rPr>
                <w:noProof/>
              </w:rPr>
              <w:t>116−130 GHz (Note 2)</w:t>
            </w:r>
          </w:p>
        </w:tc>
      </w:tr>
      <w:tr w:rsidR="00B11E91" w:rsidRPr="006D6727" w14:paraId="135F1645" w14:textId="77777777" w:rsidTr="008E09A5">
        <w:trPr>
          <w:trHeight w:val="265"/>
        </w:trPr>
        <w:tc>
          <w:tcPr>
            <w:tcW w:w="2204" w:type="pct"/>
            <w:vMerge/>
          </w:tcPr>
          <w:p w14:paraId="74AE97E1" w14:textId="77777777" w:rsidR="00B11E91" w:rsidRPr="006D6727" w:rsidRDefault="00B11E91" w:rsidP="00C869E5">
            <w:pPr>
              <w:pStyle w:val="ECCTabletext"/>
              <w:spacing w:after="0"/>
              <w:rPr>
                <w:noProof/>
              </w:rPr>
            </w:pPr>
          </w:p>
        </w:tc>
        <w:tc>
          <w:tcPr>
            <w:tcW w:w="2796" w:type="pct"/>
          </w:tcPr>
          <w:p w14:paraId="69058228" w14:textId="77777777" w:rsidR="00B11E91" w:rsidRPr="006D6727" w:rsidRDefault="00B11E91" w:rsidP="00C869E5">
            <w:pPr>
              <w:pStyle w:val="ECCTabletext"/>
              <w:spacing w:after="0"/>
              <w:jc w:val="left"/>
              <w:rPr>
                <w:noProof/>
              </w:rPr>
            </w:pPr>
            <w:r w:rsidRPr="006D6727">
              <w:rPr>
                <w:noProof/>
              </w:rPr>
              <w:t>134−141 GHz</w:t>
            </w:r>
          </w:p>
        </w:tc>
      </w:tr>
      <w:tr w:rsidR="00B11E91" w:rsidRPr="006D6727" w14:paraId="41301A00" w14:textId="77777777" w:rsidTr="008E09A5">
        <w:trPr>
          <w:trHeight w:val="265"/>
        </w:trPr>
        <w:tc>
          <w:tcPr>
            <w:tcW w:w="2204" w:type="pct"/>
            <w:vMerge/>
          </w:tcPr>
          <w:p w14:paraId="41E61175" w14:textId="77777777" w:rsidR="00B11E91" w:rsidRPr="006D6727" w:rsidRDefault="00B11E91" w:rsidP="00C869E5">
            <w:pPr>
              <w:pStyle w:val="ECCTabletext"/>
              <w:spacing w:after="0"/>
              <w:rPr>
                <w:noProof/>
              </w:rPr>
            </w:pPr>
          </w:p>
        </w:tc>
        <w:tc>
          <w:tcPr>
            <w:tcW w:w="2796" w:type="pct"/>
          </w:tcPr>
          <w:p w14:paraId="32389EC8" w14:textId="77777777" w:rsidR="00B11E91" w:rsidRPr="006D6727" w:rsidRDefault="00B11E91" w:rsidP="00C869E5">
            <w:pPr>
              <w:pStyle w:val="ECCTabletext"/>
              <w:spacing w:after="0"/>
              <w:jc w:val="left"/>
              <w:rPr>
                <w:noProof/>
              </w:rPr>
            </w:pPr>
            <w:r w:rsidRPr="006D6727">
              <w:rPr>
                <w:noProof/>
              </w:rPr>
              <w:t>141−148</w:t>
            </w:r>
            <w:r w:rsidR="00CF4994">
              <w:rPr>
                <w:noProof/>
              </w:rPr>
              <w:t>.5</w:t>
            </w:r>
            <w:r w:rsidRPr="006D6727">
              <w:rPr>
                <w:noProof/>
              </w:rPr>
              <w:t> GHz (Note 1)</w:t>
            </w:r>
          </w:p>
        </w:tc>
      </w:tr>
      <w:tr w:rsidR="00B11E91" w:rsidRPr="006D6727" w14:paraId="0E9B0BB5" w14:textId="77777777" w:rsidTr="008E09A5">
        <w:trPr>
          <w:trHeight w:val="265"/>
        </w:trPr>
        <w:tc>
          <w:tcPr>
            <w:tcW w:w="2204" w:type="pct"/>
            <w:vMerge/>
          </w:tcPr>
          <w:p w14:paraId="6D624671" w14:textId="77777777" w:rsidR="00B11E91" w:rsidRPr="006D6727" w:rsidRDefault="00B11E91" w:rsidP="00C869E5">
            <w:pPr>
              <w:pStyle w:val="ECCTabletext"/>
              <w:spacing w:after="0"/>
              <w:rPr>
                <w:noProof/>
              </w:rPr>
            </w:pPr>
          </w:p>
        </w:tc>
        <w:tc>
          <w:tcPr>
            <w:tcW w:w="2796" w:type="pct"/>
          </w:tcPr>
          <w:p w14:paraId="6E355216" w14:textId="77777777" w:rsidR="00B11E91" w:rsidRPr="006D6727" w:rsidRDefault="00B11E91" w:rsidP="00C869E5">
            <w:pPr>
              <w:pStyle w:val="ECCTabletext"/>
              <w:spacing w:after="0"/>
              <w:jc w:val="left"/>
              <w:rPr>
                <w:noProof/>
              </w:rPr>
            </w:pPr>
            <w:r w:rsidRPr="006D6727">
              <w:rPr>
                <w:noProof/>
              </w:rPr>
              <w:t>174</w:t>
            </w:r>
            <w:r w:rsidR="00CF4994">
              <w:rPr>
                <w:noProof/>
              </w:rPr>
              <w:t>.8</w:t>
            </w:r>
            <w:r w:rsidRPr="006D6727">
              <w:rPr>
                <w:noProof/>
              </w:rPr>
              <w:t>−182 GHz</w:t>
            </w:r>
          </w:p>
        </w:tc>
      </w:tr>
      <w:tr w:rsidR="00B11E91" w:rsidRPr="006D6727" w14:paraId="0C4C483C" w14:textId="77777777" w:rsidTr="008E09A5">
        <w:trPr>
          <w:trHeight w:val="265"/>
        </w:trPr>
        <w:tc>
          <w:tcPr>
            <w:tcW w:w="2204" w:type="pct"/>
            <w:vMerge/>
          </w:tcPr>
          <w:p w14:paraId="6D1CE004" w14:textId="77777777" w:rsidR="00B11E91" w:rsidRPr="006D6727" w:rsidRDefault="00B11E91" w:rsidP="00C869E5">
            <w:pPr>
              <w:pStyle w:val="ECCTabletext"/>
              <w:spacing w:after="0"/>
              <w:rPr>
                <w:noProof/>
              </w:rPr>
            </w:pPr>
          </w:p>
        </w:tc>
        <w:tc>
          <w:tcPr>
            <w:tcW w:w="2796" w:type="pct"/>
          </w:tcPr>
          <w:p w14:paraId="07CADB50" w14:textId="77777777" w:rsidR="00B11E91" w:rsidRPr="006D6727" w:rsidRDefault="00B11E91" w:rsidP="00C869E5">
            <w:pPr>
              <w:pStyle w:val="ECCTabletext"/>
              <w:spacing w:after="0"/>
              <w:jc w:val="left"/>
              <w:rPr>
                <w:noProof/>
              </w:rPr>
            </w:pPr>
            <w:r w:rsidRPr="006D6727">
              <w:rPr>
                <w:noProof/>
              </w:rPr>
              <w:t>185−190 GHz (Note 1)</w:t>
            </w:r>
          </w:p>
        </w:tc>
      </w:tr>
      <w:tr w:rsidR="00B11E91" w:rsidRPr="006D6727" w14:paraId="7AA0A0D0" w14:textId="77777777" w:rsidTr="008E09A5">
        <w:trPr>
          <w:trHeight w:val="265"/>
        </w:trPr>
        <w:tc>
          <w:tcPr>
            <w:tcW w:w="2204" w:type="pct"/>
            <w:vMerge/>
          </w:tcPr>
          <w:p w14:paraId="657BD3CD" w14:textId="77777777" w:rsidR="00B11E91" w:rsidRPr="006D6727" w:rsidRDefault="00B11E91" w:rsidP="00C869E5">
            <w:pPr>
              <w:pStyle w:val="ECCTabletext"/>
              <w:spacing w:after="0"/>
              <w:rPr>
                <w:noProof/>
              </w:rPr>
            </w:pPr>
          </w:p>
        </w:tc>
        <w:tc>
          <w:tcPr>
            <w:tcW w:w="2796" w:type="pct"/>
          </w:tcPr>
          <w:p w14:paraId="5A794D8B" w14:textId="77777777" w:rsidR="00B11E91" w:rsidRPr="006D6727" w:rsidRDefault="00B11E91" w:rsidP="00C869E5">
            <w:pPr>
              <w:pStyle w:val="ECCTabletext"/>
              <w:spacing w:after="0"/>
              <w:jc w:val="left"/>
              <w:rPr>
                <w:noProof/>
              </w:rPr>
            </w:pPr>
            <w:r w:rsidRPr="006D6727">
              <w:rPr>
                <w:noProof/>
              </w:rPr>
              <w:t>209−226 GHz</w:t>
            </w:r>
          </w:p>
        </w:tc>
      </w:tr>
      <w:tr w:rsidR="00B11E91" w:rsidRPr="006D6727" w14:paraId="13014E96" w14:textId="77777777" w:rsidTr="008E09A5">
        <w:trPr>
          <w:trHeight w:val="265"/>
        </w:trPr>
        <w:tc>
          <w:tcPr>
            <w:tcW w:w="2204" w:type="pct"/>
            <w:vMerge/>
          </w:tcPr>
          <w:p w14:paraId="7F464B29" w14:textId="77777777" w:rsidR="00B11E91" w:rsidRPr="006D6727" w:rsidRDefault="00B11E91" w:rsidP="00C869E5">
            <w:pPr>
              <w:pStyle w:val="ECCTabletext"/>
              <w:spacing w:after="0"/>
              <w:rPr>
                <w:noProof/>
              </w:rPr>
            </w:pPr>
          </w:p>
        </w:tc>
        <w:tc>
          <w:tcPr>
            <w:tcW w:w="2796" w:type="pct"/>
          </w:tcPr>
          <w:p w14:paraId="46BE70FC" w14:textId="77777777" w:rsidR="00B11E91" w:rsidRPr="006D6727" w:rsidRDefault="00B11E91" w:rsidP="00C869E5">
            <w:pPr>
              <w:pStyle w:val="ECCTabletext"/>
              <w:spacing w:after="0"/>
              <w:jc w:val="left"/>
              <w:rPr>
                <w:noProof/>
              </w:rPr>
            </w:pPr>
            <w:r w:rsidRPr="006D6727">
              <w:rPr>
                <w:noProof/>
              </w:rPr>
              <w:t>231</w:t>
            </w:r>
            <w:r w:rsidR="00CF4994">
              <w:rPr>
                <w:noProof/>
              </w:rPr>
              <w:t>.5</w:t>
            </w:r>
            <w:r w:rsidRPr="006D6727">
              <w:rPr>
                <w:noProof/>
              </w:rPr>
              <w:t>−250 GHz</w:t>
            </w:r>
          </w:p>
        </w:tc>
      </w:tr>
      <w:tr w:rsidR="00B11E91" w:rsidRPr="006D6727" w14:paraId="5B0719C7" w14:textId="77777777" w:rsidTr="008E09A5">
        <w:trPr>
          <w:trHeight w:val="265"/>
        </w:trPr>
        <w:tc>
          <w:tcPr>
            <w:tcW w:w="2204" w:type="pct"/>
            <w:vMerge w:val="restart"/>
          </w:tcPr>
          <w:p w14:paraId="34309E92" w14:textId="77777777" w:rsidR="00B11E91" w:rsidRPr="006D6727" w:rsidRDefault="00B11E91" w:rsidP="00C869E5">
            <w:pPr>
              <w:pStyle w:val="ECCTabletext"/>
              <w:spacing w:after="0"/>
              <w:jc w:val="left"/>
              <w:rPr>
                <w:noProof/>
              </w:rPr>
            </w:pPr>
            <w:r w:rsidRPr="006D6727">
              <w:rPr>
                <w:noProof/>
              </w:rPr>
              <w:t>B</w:t>
            </w:r>
          </w:p>
        </w:tc>
        <w:tc>
          <w:tcPr>
            <w:tcW w:w="2796" w:type="pct"/>
          </w:tcPr>
          <w:p w14:paraId="484004DB" w14:textId="77777777" w:rsidR="00B11E91" w:rsidRPr="006D6727" w:rsidRDefault="00B11E91" w:rsidP="00C869E5">
            <w:pPr>
              <w:pStyle w:val="ECCTabletext"/>
              <w:spacing w:after="0"/>
              <w:jc w:val="left"/>
              <w:rPr>
                <w:noProof/>
              </w:rPr>
            </w:pPr>
            <w:r w:rsidRPr="006D6727">
              <w:rPr>
                <w:noProof/>
              </w:rPr>
              <w:t>116−148</w:t>
            </w:r>
            <w:r w:rsidR="00CF4994">
              <w:rPr>
                <w:noProof/>
              </w:rPr>
              <w:t>.5</w:t>
            </w:r>
            <w:r w:rsidRPr="006D6727">
              <w:rPr>
                <w:noProof/>
              </w:rPr>
              <w:t> GHz (Note 2)</w:t>
            </w:r>
          </w:p>
        </w:tc>
      </w:tr>
      <w:tr w:rsidR="00B11E91" w:rsidRPr="006D6727" w14:paraId="5F8F0962" w14:textId="77777777" w:rsidTr="008E09A5">
        <w:trPr>
          <w:trHeight w:val="265"/>
        </w:trPr>
        <w:tc>
          <w:tcPr>
            <w:tcW w:w="2204" w:type="pct"/>
            <w:vMerge/>
          </w:tcPr>
          <w:p w14:paraId="3A74C76D" w14:textId="77777777" w:rsidR="00B11E91" w:rsidRPr="006D6727" w:rsidRDefault="00B11E91" w:rsidP="00C869E5">
            <w:pPr>
              <w:pStyle w:val="ECCTabletext"/>
              <w:spacing w:after="0"/>
              <w:rPr>
                <w:noProof/>
              </w:rPr>
            </w:pPr>
          </w:p>
        </w:tc>
        <w:tc>
          <w:tcPr>
            <w:tcW w:w="2796" w:type="pct"/>
          </w:tcPr>
          <w:p w14:paraId="2D137C29" w14:textId="77777777" w:rsidR="00B11E91" w:rsidRPr="006D6727" w:rsidRDefault="00B11E91" w:rsidP="00C869E5">
            <w:pPr>
              <w:pStyle w:val="ECCTabletext"/>
              <w:spacing w:after="0"/>
              <w:jc w:val="left"/>
              <w:rPr>
                <w:noProof/>
              </w:rPr>
            </w:pPr>
            <w:r w:rsidRPr="006D6727">
              <w:rPr>
                <w:noProof/>
              </w:rPr>
              <w:t>151</w:t>
            </w:r>
            <w:r w:rsidR="00CF4994">
              <w:rPr>
                <w:noProof/>
              </w:rPr>
              <w:t>.5</w:t>
            </w:r>
            <w:r w:rsidRPr="006D6727">
              <w:rPr>
                <w:noProof/>
              </w:rPr>
              <w:t>−164 GHz</w:t>
            </w:r>
          </w:p>
        </w:tc>
      </w:tr>
      <w:tr w:rsidR="00B11E91" w:rsidRPr="006D6727" w14:paraId="61F1AD9F" w14:textId="77777777" w:rsidTr="008E09A5">
        <w:trPr>
          <w:trHeight w:val="265"/>
        </w:trPr>
        <w:tc>
          <w:tcPr>
            <w:tcW w:w="2204" w:type="pct"/>
            <w:vMerge/>
          </w:tcPr>
          <w:p w14:paraId="0D67E24D" w14:textId="77777777" w:rsidR="00B11E91" w:rsidRPr="006D6727" w:rsidRDefault="00B11E91" w:rsidP="00C869E5">
            <w:pPr>
              <w:pStyle w:val="ECCTabletext"/>
              <w:spacing w:after="0"/>
              <w:rPr>
                <w:noProof/>
              </w:rPr>
            </w:pPr>
          </w:p>
        </w:tc>
        <w:tc>
          <w:tcPr>
            <w:tcW w:w="2796" w:type="pct"/>
          </w:tcPr>
          <w:p w14:paraId="65615473" w14:textId="77777777" w:rsidR="00B11E91" w:rsidRPr="006D6727" w:rsidRDefault="00B11E91" w:rsidP="00C869E5">
            <w:pPr>
              <w:pStyle w:val="ECCTabletext"/>
              <w:spacing w:after="0"/>
              <w:jc w:val="left"/>
              <w:rPr>
                <w:noProof/>
              </w:rPr>
            </w:pPr>
            <w:r w:rsidRPr="006D6727">
              <w:rPr>
                <w:noProof/>
              </w:rPr>
              <w:t>167−182 GHz</w:t>
            </w:r>
          </w:p>
        </w:tc>
      </w:tr>
      <w:tr w:rsidR="00B11E91" w:rsidRPr="006D6727" w14:paraId="75BA51D2" w14:textId="77777777" w:rsidTr="008E09A5">
        <w:trPr>
          <w:trHeight w:val="265"/>
        </w:trPr>
        <w:tc>
          <w:tcPr>
            <w:tcW w:w="2204" w:type="pct"/>
            <w:vMerge/>
          </w:tcPr>
          <w:p w14:paraId="0F9E918B" w14:textId="77777777" w:rsidR="00B11E91" w:rsidRPr="006D6727" w:rsidRDefault="00B11E91" w:rsidP="00C869E5">
            <w:pPr>
              <w:pStyle w:val="ECCTabletext"/>
              <w:spacing w:after="0"/>
              <w:rPr>
                <w:noProof/>
              </w:rPr>
            </w:pPr>
          </w:p>
        </w:tc>
        <w:tc>
          <w:tcPr>
            <w:tcW w:w="2796" w:type="pct"/>
          </w:tcPr>
          <w:p w14:paraId="514240BC" w14:textId="77777777" w:rsidR="00B11E91" w:rsidRPr="006D6727" w:rsidRDefault="00B11E91" w:rsidP="00C869E5">
            <w:pPr>
              <w:pStyle w:val="ECCTabletext"/>
              <w:spacing w:after="0"/>
              <w:jc w:val="left"/>
              <w:rPr>
                <w:noProof/>
              </w:rPr>
            </w:pPr>
            <w:r w:rsidRPr="006D6727">
              <w:rPr>
                <w:noProof/>
              </w:rPr>
              <w:t>185−190 GHz (Note 1)</w:t>
            </w:r>
          </w:p>
        </w:tc>
      </w:tr>
      <w:tr w:rsidR="00B11E91" w:rsidRPr="006D6727" w14:paraId="1EFB91A9" w14:textId="77777777" w:rsidTr="008E09A5">
        <w:trPr>
          <w:trHeight w:val="265"/>
        </w:trPr>
        <w:tc>
          <w:tcPr>
            <w:tcW w:w="2204" w:type="pct"/>
            <w:vMerge/>
          </w:tcPr>
          <w:p w14:paraId="07E1EA37" w14:textId="77777777" w:rsidR="00B11E91" w:rsidRPr="006D6727" w:rsidRDefault="00B11E91" w:rsidP="00C869E5">
            <w:pPr>
              <w:pStyle w:val="ECCTabletext"/>
              <w:spacing w:after="0"/>
              <w:rPr>
                <w:noProof/>
              </w:rPr>
            </w:pPr>
          </w:p>
        </w:tc>
        <w:tc>
          <w:tcPr>
            <w:tcW w:w="2796" w:type="pct"/>
          </w:tcPr>
          <w:p w14:paraId="00E2FC74" w14:textId="77777777" w:rsidR="00B11E91" w:rsidRPr="006D6727" w:rsidRDefault="00B11E91" w:rsidP="00C869E5">
            <w:pPr>
              <w:pStyle w:val="ECCTabletext"/>
              <w:spacing w:after="0"/>
              <w:jc w:val="left"/>
              <w:rPr>
                <w:noProof/>
              </w:rPr>
            </w:pPr>
            <w:r w:rsidRPr="006D6727">
              <w:rPr>
                <w:noProof/>
              </w:rPr>
              <w:t>209−226 GHz</w:t>
            </w:r>
          </w:p>
        </w:tc>
      </w:tr>
      <w:tr w:rsidR="00B11E91" w:rsidRPr="006D6727" w14:paraId="67CF54A5" w14:textId="77777777" w:rsidTr="008E09A5">
        <w:trPr>
          <w:trHeight w:val="265"/>
        </w:trPr>
        <w:tc>
          <w:tcPr>
            <w:tcW w:w="2204" w:type="pct"/>
            <w:vMerge/>
          </w:tcPr>
          <w:p w14:paraId="340FB79E" w14:textId="77777777" w:rsidR="00B11E91" w:rsidRPr="006D6727" w:rsidRDefault="00B11E91" w:rsidP="00C869E5">
            <w:pPr>
              <w:pStyle w:val="ECCTabletext"/>
              <w:spacing w:after="0"/>
              <w:rPr>
                <w:noProof/>
              </w:rPr>
            </w:pPr>
          </w:p>
        </w:tc>
        <w:tc>
          <w:tcPr>
            <w:tcW w:w="2796" w:type="pct"/>
          </w:tcPr>
          <w:p w14:paraId="5A0408B8" w14:textId="77777777" w:rsidR="00B11E91" w:rsidRPr="006D6727" w:rsidRDefault="00B11E91" w:rsidP="00C869E5">
            <w:pPr>
              <w:pStyle w:val="ECCTabletext"/>
              <w:spacing w:after="0"/>
              <w:jc w:val="left"/>
              <w:rPr>
                <w:noProof/>
              </w:rPr>
            </w:pPr>
            <w:r w:rsidRPr="006D6727">
              <w:rPr>
                <w:noProof/>
              </w:rPr>
              <w:t>231</w:t>
            </w:r>
            <w:r w:rsidR="00CF4994">
              <w:rPr>
                <w:noProof/>
              </w:rPr>
              <w:t>.5</w:t>
            </w:r>
            <w:r w:rsidRPr="006D6727">
              <w:rPr>
                <w:noProof/>
              </w:rPr>
              <w:t>−250 GHz</w:t>
            </w:r>
          </w:p>
        </w:tc>
      </w:tr>
      <w:tr w:rsidR="00B11E91" w:rsidRPr="006D6727" w14:paraId="4D1CA7DD" w14:textId="77777777" w:rsidTr="008E09A5">
        <w:trPr>
          <w:trHeight w:val="265"/>
        </w:trPr>
        <w:tc>
          <w:tcPr>
            <w:tcW w:w="2204" w:type="pct"/>
          </w:tcPr>
          <w:p w14:paraId="17EF1F5A" w14:textId="77777777" w:rsidR="00B11E91" w:rsidRPr="006D6727" w:rsidRDefault="00B11E91" w:rsidP="00C869E5">
            <w:pPr>
              <w:pStyle w:val="ECCTabletext"/>
              <w:spacing w:after="0"/>
              <w:jc w:val="left"/>
              <w:rPr>
                <w:noProof/>
              </w:rPr>
            </w:pPr>
            <w:r w:rsidRPr="006D6727">
              <w:rPr>
                <w:noProof/>
              </w:rPr>
              <w:t>C</w:t>
            </w:r>
          </w:p>
        </w:tc>
        <w:tc>
          <w:tcPr>
            <w:tcW w:w="2796" w:type="pct"/>
          </w:tcPr>
          <w:p w14:paraId="4B927844" w14:textId="77777777" w:rsidR="00B11E91" w:rsidRPr="006D6727" w:rsidRDefault="00B11E91" w:rsidP="00C869E5">
            <w:pPr>
              <w:pStyle w:val="ECCTabletext"/>
              <w:spacing w:after="0"/>
              <w:jc w:val="left"/>
              <w:rPr>
                <w:noProof/>
              </w:rPr>
            </w:pPr>
            <w:r w:rsidRPr="006D6727">
              <w:rPr>
                <w:noProof/>
              </w:rPr>
              <w:t>116−260 GHz (Note 2)</w:t>
            </w:r>
          </w:p>
        </w:tc>
      </w:tr>
      <w:tr w:rsidR="00243A68" w:rsidRPr="006D6727" w14:paraId="1D743EB7" w14:textId="77777777" w:rsidTr="00243A68">
        <w:trPr>
          <w:trHeight w:val="265"/>
        </w:trPr>
        <w:tc>
          <w:tcPr>
            <w:tcW w:w="5000" w:type="pct"/>
            <w:gridSpan w:val="2"/>
          </w:tcPr>
          <w:p w14:paraId="5F6096FC" w14:textId="2DEC940D" w:rsidR="00243A68" w:rsidRPr="00243A68" w:rsidRDefault="00243A68" w:rsidP="00464AE0">
            <w:pPr>
              <w:pStyle w:val="ECCTablenote"/>
              <w:rPr>
                <w:rStyle w:val="ECCParagraph"/>
                <w:sz w:val="16"/>
              </w:rPr>
            </w:pPr>
            <w:r w:rsidRPr="00243A68">
              <w:t>Note 1: The frequency ranges 141 − 148</w:t>
            </w:r>
            <w:r w:rsidR="00CF4994">
              <w:t>.5</w:t>
            </w:r>
            <w:r w:rsidRPr="00243A68">
              <w:t xml:space="preserve"> GHz for type A applications and 185 − 190 GHz for type A and B applications have been proposed during SE24 M97 in addition to the bands suggested in the SRdoc TR 103 498 </w:t>
            </w:r>
            <w:r w:rsidRPr="00243A68">
              <w:rPr>
                <w:rStyle w:val="ECCParagraph"/>
                <w:sz w:val="16"/>
              </w:rPr>
              <w:fldChar w:fldCharType="begin"/>
            </w:r>
            <w:r w:rsidRPr="00243A68">
              <w:rPr>
                <w:rStyle w:val="ECCParagraph"/>
                <w:sz w:val="16"/>
              </w:rPr>
              <w:instrText xml:space="preserve"> REF ETSITR103498 \w \h  \* MERGEFORMAT </w:instrText>
            </w:r>
            <w:r w:rsidRPr="00243A68">
              <w:rPr>
                <w:rStyle w:val="ECCParagraph"/>
                <w:sz w:val="16"/>
              </w:rPr>
            </w:r>
            <w:r w:rsidRPr="00243A68">
              <w:rPr>
                <w:rStyle w:val="ECCParagraph"/>
                <w:sz w:val="16"/>
              </w:rPr>
              <w:fldChar w:fldCharType="separate"/>
            </w:r>
            <w:r w:rsidR="004F49F9">
              <w:rPr>
                <w:rStyle w:val="ECCParagraph"/>
                <w:sz w:val="16"/>
              </w:rPr>
              <w:t>[1]</w:t>
            </w:r>
            <w:r w:rsidRPr="00243A68">
              <w:rPr>
                <w:rStyle w:val="ECCParagraph"/>
                <w:sz w:val="16"/>
              </w:rPr>
              <w:fldChar w:fldCharType="end"/>
            </w:r>
            <w:r w:rsidRPr="00243A68">
              <w:rPr>
                <w:rStyle w:val="ECCParagraph"/>
                <w:sz w:val="16"/>
              </w:rPr>
              <w:t>.</w:t>
            </w:r>
          </w:p>
          <w:p w14:paraId="178D2940" w14:textId="4447C793" w:rsidR="00243A68" w:rsidRPr="00243A68" w:rsidRDefault="00243A68" w:rsidP="00464AE0">
            <w:pPr>
              <w:pStyle w:val="ECCTablenote"/>
              <w:rPr>
                <w:sz w:val="20"/>
              </w:rPr>
            </w:pPr>
            <w:r w:rsidRPr="00243A68">
              <w:rPr>
                <w:rStyle w:val="ECCParagraph"/>
                <w:sz w:val="16"/>
              </w:rPr>
              <w:t xml:space="preserve">Note 2: </w:t>
            </w:r>
            <w:r w:rsidRPr="00243A68">
              <w:t xml:space="preserve">SE24 M97 agreed to request WG SE and WG FM to change the lower edge of the frequency band from 120 GHz, proposed in TR </w:t>
            </w:r>
            <w:r w:rsidRPr="00243A68">
              <w:rPr>
                <w:rStyle w:val="ECCParagraph"/>
                <w:sz w:val="16"/>
              </w:rPr>
              <w:t>103 498 </w:t>
            </w:r>
            <w:r w:rsidRPr="00243A68">
              <w:rPr>
                <w:rStyle w:val="ECCParagraph"/>
                <w:sz w:val="16"/>
              </w:rPr>
              <w:fldChar w:fldCharType="begin"/>
            </w:r>
            <w:r w:rsidRPr="00243A68">
              <w:rPr>
                <w:rStyle w:val="ECCParagraph"/>
                <w:sz w:val="16"/>
              </w:rPr>
              <w:instrText xml:space="preserve"> REF ETSITR103498 \w \h  \* MERGEFORMAT </w:instrText>
            </w:r>
            <w:r w:rsidRPr="00243A68">
              <w:rPr>
                <w:rStyle w:val="ECCParagraph"/>
                <w:sz w:val="16"/>
              </w:rPr>
            </w:r>
            <w:r w:rsidRPr="00243A68">
              <w:rPr>
                <w:rStyle w:val="ECCParagraph"/>
                <w:sz w:val="16"/>
              </w:rPr>
              <w:fldChar w:fldCharType="separate"/>
            </w:r>
            <w:r w:rsidR="004F49F9">
              <w:rPr>
                <w:rStyle w:val="ECCParagraph"/>
                <w:sz w:val="16"/>
              </w:rPr>
              <w:t>[1]</w:t>
            </w:r>
            <w:r w:rsidRPr="00243A68">
              <w:rPr>
                <w:rStyle w:val="ECCParagraph"/>
                <w:sz w:val="16"/>
              </w:rPr>
              <w:fldChar w:fldCharType="end"/>
            </w:r>
            <w:r w:rsidRPr="00243A68">
              <w:rPr>
                <w:rStyle w:val="ECCParagraph"/>
                <w:sz w:val="16"/>
              </w:rPr>
              <w:t>, to 116 GHz. This request was endorsed both, by WG FM and WG SE at their recent meetings.</w:t>
            </w:r>
          </w:p>
        </w:tc>
      </w:tr>
    </w:tbl>
    <w:p w14:paraId="0F96AA61" w14:textId="77777777" w:rsidR="00E333D4" w:rsidRPr="006D6727" w:rsidRDefault="00D93343" w:rsidP="00E333D4">
      <w:pPr>
        <w:pStyle w:val="Heading2"/>
        <w:rPr>
          <w:noProof/>
          <w:lang w:val="en-GB"/>
        </w:rPr>
      </w:pPr>
      <w:bookmarkStart w:id="398" w:name="_Ref15647073"/>
      <w:bookmarkStart w:id="399" w:name="_Toc84325324"/>
      <w:bookmarkStart w:id="400" w:name="_Toc127346256"/>
      <w:r w:rsidRPr="006D6727">
        <w:rPr>
          <w:noProof/>
          <w:lang w:val="en-GB"/>
        </w:rPr>
        <w:t xml:space="preserve">European </w:t>
      </w:r>
      <w:r w:rsidR="002259BC" w:rsidRPr="006D6727">
        <w:rPr>
          <w:noProof/>
          <w:lang w:val="en-GB"/>
        </w:rPr>
        <w:t>Frequency allocations and applications</w:t>
      </w:r>
      <w:r w:rsidR="002259BC" w:rsidRPr="006D6727" w:rsidDel="002259BC">
        <w:rPr>
          <w:noProof/>
          <w:lang w:val="en-GB"/>
        </w:rPr>
        <w:t xml:space="preserve"> </w:t>
      </w:r>
      <w:r w:rsidR="002259BC" w:rsidRPr="006D6727">
        <w:rPr>
          <w:noProof/>
          <w:lang w:val="en-GB"/>
        </w:rPr>
        <w:t>in the frequency range of interest</w:t>
      </w:r>
      <w:bookmarkEnd w:id="398"/>
      <w:bookmarkEnd w:id="399"/>
      <w:bookmarkEnd w:id="400"/>
    </w:p>
    <w:p w14:paraId="34E48DA8" w14:textId="260619F3" w:rsidR="00910F77" w:rsidRPr="00D575AF" w:rsidRDefault="00103415" w:rsidP="00D575AF">
      <w:pPr>
        <w:pStyle w:val="Caption"/>
        <w:rPr>
          <w:rFonts w:eastAsia="Calibri"/>
          <w:b w:val="0"/>
          <w:bCs w:val="0"/>
          <w:color w:val="auto"/>
          <w:szCs w:val="22"/>
          <w:lang w:val="en-GB"/>
        </w:rPr>
      </w:pPr>
      <w:bookmarkStart w:id="401" w:name="_Ref12449270"/>
      <w:bookmarkStart w:id="402" w:name="_Ref89700361"/>
      <w:r w:rsidRPr="006D6727">
        <w:rPr>
          <w:noProof/>
          <w:lang w:val="en-GB"/>
        </w:rPr>
        <w:t>Table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34</w:t>
      </w:r>
      <w:r w:rsidR="00616942" w:rsidRPr="006D6727">
        <w:rPr>
          <w:noProof/>
          <w:lang w:val="en-GB"/>
        </w:rPr>
        <w:fldChar w:fldCharType="end"/>
      </w:r>
      <w:bookmarkEnd w:id="401"/>
      <w:r w:rsidRPr="006D6727">
        <w:rPr>
          <w:noProof/>
          <w:lang w:val="en-GB"/>
        </w:rPr>
        <w:t xml:space="preserve">: </w:t>
      </w:r>
      <w:r w:rsidR="00D93343" w:rsidRPr="006D6727">
        <w:rPr>
          <w:noProof/>
          <w:lang w:val="en-GB"/>
        </w:rPr>
        <w:t>European f</w:t>
      </w:r>
      <w:r w:rsidR="00E766DB" w:rsidRPr="006D6727">
        <w:rPr>
          <w:noProof/>
          <w:lang w:val="en-GB"/>
        </w:rPr>
        <w:t>requency allocations</w:t>
      </w:r>
      <w:r w:rsidR="00D93343" w:rsidRPr="006D6727">
        <w:rPr>
          <w:noProof/>
          <w:lang w:val="en-GB"/>
        </w:rPr>
        <w:t xml:space="preserve"> and</w:t>
      </w:r>
      <w:r w:rsidR="00E766DB" w:rsidRPr="006D6727">
        <w:rPr>
          <w:noProof/>
          <w:lang w:val="en-GB"/>
        </w:rPr>
        <w:t xml:space="preserve"> applications and p</w:t>
      </w:r>
      <w:r w:rsidR="002259BC" w:rsidRPr="006D6727">
        <w:rPr>
          <w:noProof/>
          <w:lang w:val="en-GB"/>
        </w:rPr>
        <w:t>roposed</w:t>
      </w:r>
      <w:r w:rsidR="00E766DB" w:rsidRPr="006D6727">
        <w:rPr>
          <w:noProof/>
          <w:lang w:val="en-GB"/>
        </w:rPr>
        <w:t xml:space="preserve"> bands for type A, B and C </w:t>
      </w:r>
      <w:r w:rsidR="00D93343" w:rsidRPr="006D6727">
        <w:rPr>
          <w:noProof/>
          <w:lang w:val="en-GB"/>
        </w:rPr>
        <w:t xml:space="preserve">radiodetermination </w:t>
      </w:r>
      <w:r w:rsidR="00E766DB" w:rsidRPr="006D6727">
        <w:rPr>
          <w:noProof/>
          <w:lang w:val="en-GB"/>
        </w:rPr>
        <w:t>applications</w:t>
      </w:r>
      <w:bookmarkEnd w:id="402"/>
    </w:p>
    <w:tbl>
      <w:tblPr>
        <w:tblStyle w:val="ECCTable-redheader"/>
        <w:tblW w:w="0" w:type="auto"/>
        <w:tblInd w:w="0" w:type="dxa"/>
        <w:tblLook w:val="0620" w:firstRow="1" w:lastRow="0" w:firstColumn="0" w:lastColumn="0" w:noHBand="1" w:noVBand="1"/>
      </w:tblPr>
      <w:tblGrid>
        <w:gridCol w:w="1677"/>
        <w:gridCol w:w="3596"/>
        <w:gridCol w:w="2149"/>
        <w:gridCol w:w="405"/>
        <w:gridCol w:w="405"/>
        <w:gridCol w:w="402"/>
        <w:gridCol w:w="995"/>
      </w:tblGrid>
      <w:tr w:rsidR="00B63F0E" w:rsidRPr="00D61104" w14:paraId="5265D194" w14:textId="77777777" w:rsidTr="00B63F0E">
        <w:trPr>
          <w:cnfStyle w:val="100000000000" w:firstRow="1" w:lastRow="0" w:firstColumn="0" w:lastColumn="0" w:oddVBand="0" w:evenVBand="0" w:oddHBand="0" w:evenHBand="0" w:firstRowFirstColumn="0" w:firstRowLastColumn="0" w:lastRowFirstColumn="0" w:lastRowLastColumn="0"/>
        </w:trPr>
        <w:tc>
          <w:tcPr>
            <w:tcW w:w="1677" w:type="dxa"/>
          </w:tcPr>
          <w:p w14:paraId="50A822C9" w14:textId="77777777" w:rsidR="00B63F0E" w:rsidRPr="00243A68" w:rsidRDefault="00B63F0E" w:rsidP="00876039">
            <w:pPr>
              <w:pStyle w:val="ECCTableHeaderwhitefont"/>
            </w:pPr>
            <w:r w:rsidRPr="00243A68">
              <w:t>Frequency band in GHz</w:t>
            </w:r>
          </w:p>
        </w:tc>
        <w:tc>
          <w:tcPr>
            <w:tcW w:w="3596" w:type="dxa"/>
          </w:tcPr>
          <w:p w14:paraId="5D4B5D59" w14:textId="77777777" w:rsidR="00B63F0E" w:rsidRPr="00243A68" w:rsidRDefault="00B63F0E" w:rsidP="00EA11B9">
            <w:pPr>
              <w:pStyle w:val="ECCTableHeaderwhitefont"/>
            </w:pPr>
            <w:r w:rsidRPr="00243A68">
              <w:t>Allocation</w:t>
            </w:r>
          </w:p>
        </w:tc>
        <w:tc>
          <w:tcPr>
            <w:tcW w:w="2149" w:type="dxa"/>
          </w:tcPr>
          <w:p w14:paraId="2F49017D" w14:textId="77777777" w:rsidR="00B63F0E" w:rsidRPr="00243A68" w:rsidRDefault="00B63F0E" w:rsidP="00EA11B9">
            <w:pPr>
              <w:pStyle w:val="ECCTableHeaderwhitefont"/>
            </w:pPr>
            <w:r w:rsidRPr="00243A68">
              <w:t>Applications</w:t>
            </w:r>
          </w:p>
        </w:tc>
        <w:tc>
          <w:tcPr>
            <w:tcW w:w="1212" w:type="dxa"/>
            <w:gridSpan w:val="3"/>
          </w:tcPr>
          <w:p w14:paraId="1ECAF04E" w14:textId="77777777" w:rsidR="00B63F0E" w:rsidRPr="00243A68" w:rsidRDefault="00B63F0E" w:rsidP="00EA11B9">
            <w:pPr>
              <w:pStyle w:val="ECCTableHeaderwhitefont"/>
            </w:pPr>
            <w:r w:rsidRPr="00243A68">
              <w:t>UWB type</w:t>
            </w:r>
          </w:p>
          <w:p w14:paraId="6A719648" w14:textId="77777777" w:rsidR="00B63F0E" w:rsidRPr="00243A68" w:rsidRDefault="00B63F0E" w:rsidP="00EA11B9">
            <w:pPr>
              <w:pStyle w:val="ECCTableHeaderwhitefont"/>
            </w:pPr>
            <w:r w:rsidRPr="00243A68">
              <w:t>A     B     C</w:t>
            </w:r>
          </w:p>
        </w:tc>
        <w:tc>
          <w:tcPr>
            <w:tcW w:w="995" w:type="dxa"/>
          </w:tcPr>
          <w:p w14:paraId="229F3FF8" w14:textId="77777777" w:rsidR="00B63F0E" w:rsidRPr="00243A68" w:rsidRDefault="00B63F0E" w:rsidP="00EA11B9">
            <w:pPr>
              <w:pStyle w:val="ECCTableHeaderwhitefont"/>
            </w:pPr>
            <w:r w:rsidRPr="00243A68">
              <w:t>Notes</w:t>
            </w:r>
          </w:p>
        </w:tc>
      </w:tr>
      <w:tr w:rsidR="00B63F0E" w:rsidRPr="00D61104" w14:paraId="4991A68D" w14:textId="77777777" w:rsidTr="00B63F0E">
        <w:tc>
          <w:tcPr>
            <w:tcW w:w="1677" w:type="dxa"/>
          </w:tcPr>
          <w:p w14:paraId="2725F55B" w14:textId="66BAD992" w:rsidR="00B63F0E" w:rsidRPr="00DB2DF5" w:rsidRDefault="00B63F0E" w:rsidP="009E678F">
            <w:pPr>
              <w:pStyle w:val="ECCTabletext"/>
              <w:spacing w:after="0"/>
              <w:jc w:val="left"/>
            </w:pPr>
            <w:r w:rsidRPr="00DB2DF5">
              <w:t>114.25</w:t>
            </w:r>
            <w:r w:rsidR="001D7996">
              <w:t>-</w:t>
            </w:r>
            <w:r w:rsidRPr="00DB2DF5">
              <w:t>116</w:t>
            </w:r>
          </w:p>
          <w:p w14:paraId="76426EAF" w14:textId="77777777" w:rsidR="00B63F0E" w:rsidRPr="006165A1" w:rsidRDefault="00B63F0E" w:rsidP="009E678F">
            <w:pPr>
              <w:pStyle w:val="ECCTabletext"/>
              <w:spacing w:after="0"/>
              <w:jc w:val="left"/>
              <w:rPr>
                <w:rStyle w:val="ECCParagraph"/>
              </w:rPr>
            </w:pPr>
            <w:r w:rsidRPr="00605764">
              <w:t>(5.340)</w:t>
            </w:r>
            <w:r w:rsidR="008F3E72" w:rsidRPr="006165A1">
              <w:t xml:space="preserve"> </w:t>
            </w:r>
            <w:r w:rsidRPr="006165A1">
              <w:t>(5.341)</w:t>
            </w:r>
          </w:p>
        </w:tc>
        <w:tc>
          <w:tcPr>
            <w:tcW w:w="3596" w:type="dxa"/>
            <w:vAlign w:val="bottom"/>
          </w:tcPr>
          <w:p w14:paraId="6D9D2C7A" w14:textId="77777777" w:rsidR="00B63F0E" w:rsidRPr="00B2765F" w:rsidRDefault="00B63F0E" w:rsidP="009E678F">
            <w:pPr>
              <w:pStyle w:val="ECCTabletext"/>
              <w:spacing w:after="0"/>
              <w:jc w:val="left"/>
            </w:pPr>
            <w:r w:rsidRPr="006165A1">
              <w:t>SPACE RESEARCH (PASSIVE)</w:t>
            </w:r>
          </w:p>
          <w:p w14:paraId="41C03CBB" w14:textId="77777777" w:rsidR="00B63F0E" w:rsidRPr="00ED63D6" w:rsidRDefault="00B63F0E" w:rsidP="009E678F">
            <w:pPr>
              <w:pStyle w:val="ECCTabletext"/>
              <w:spacing w:after="0"/>
              <w:jc w:val="left"/>
            </w:pPr>
            <w:r w:rsidRPr="00ED63D6">
              <w:t>RADIO ASTRONOMY</w:t>
            </w:r>
          </w:p>
          <w:p w14:paraId="06E6A7E1" w14:textId="77777777" w:rsidR="00B63F0E" w:rsidRPr="00BD371E" w:rsidRDefault="00B63F0E" w:rsidP="009E678F">
            <w:pPr>
              <w:pStyle w:val="ECCTabletext"/>
              <w:spacing w:after="0"/>
              <w:jc w:val="left"/>
              <w:rPr>
                <w:rStyle w:val="ECCHLyellow"/>
              </w:rPr>
            </w:pPr>
            <w:r w:rsidRPr="00A44046">
              <w:t>EARTH EXPLORATION-SATELLITE (PASSIVE)</w:t>
            </w:r>
          </w:p>
        </w:tc>
        <w:tc>
          <w:tcPr>
            <w:tcW w:w="2149" w:type="dxa"/>
            <w:vAlign w:val="bottom"/>
          </w:tcPr>
          <w:p w14:paraId="59C32353" w14:textId="77777777" w:rsidR="00B63F0E" w:rsidRPr="00D86561" w:rsidRDefault="00B63F0E" w:rsidP="009E678F">
            <w:pPr>
              <w:pStyle w:val="ECCTabletext"/>
              <w:spacing w:after="0"/>
              <w:jc w:val="left"/>
            </w:pPr>
            <w:r w:rsidRPr="005C3D16">
              <w:t>Radio astronomy</w:t>
            </w:r>
          </w:p>
        </w:tc>
        <w:tc>
          <w:tcPr>
            <w:tcW w:w="405" w:type="dxa"/>
          </w:tcPr>
          <w:p w14:paraId="2E2F1706" w14:textId="77777777" w:rsidR="00B63F0E" w:rsidRPr="00794DA6" w:rsidRDefault="00B63F0E" w:rsidP="009E678F">
            <w:pPr>
              <w:pStyle w:val="ECCTabletext"/>
              <w:spacing w:after="0"/>
            </w:pPr>
          </w:p>
        </w:tc>
        <w:tc>
          <w:tcPr>
            <w:tcW w:w="405" w:type="dxa"/>
          </w:tcPr>
          <w:p w14:paraId="5F92FBEC" w14:textId="77777777" w:rsidR="00B63F0E" w:rsidRPr="00794DA6" w:rsidRDefault="00B63F0E" w:rsidP="009E678F">
            <w:pPr>
              <w:pStyle w:val="ECCTabletext"/>
              <w:spacing w:after="0"/>
            </w:pPr>
          </w:p>
        </w:tc>
        <w:tc>
          <w:tcPr>
            <w:tcW w:w="402" w:type="dxa"/>
          </w:tcPr>
          <w:p w14:paraId="24D77629" w14:textId="77777777" w:rsidR="00B63F0E" w:rsidRPr="00794DA6" w:rsidRDefault="00B63F0E" w:rsidP="009E678F">
            <w:pPr>
              <w:pStyle w:val="ECCTabletext"/>
              <w:spacing w:after="0"/>
            </w:pPr>
          </w:p>
        </w:tc>
        <w:tc>
          <w:tcPr>
            <w:tcW w:w="995" w:type="dxa"/>
          </w:tcPr>
          <w:p w14:paraId="78DCCC2C" w14:textId="77777777" w:rsidR="00B63F0E" w:rsidRPr="00E4615B" w:rsidRDefault="00B63F0E" w:rsidP="009E678F">
            <w:pPr>
              <w:pStyle w:val="ECCTabletext"/>
              <w:spacing w:after="0"/>
            </w:pPr>
          </w:p>
        </w:tc>
      </w:tr>
      <w:tr w:rsidR="00B63F0E" w:rsidRPr="00D61104" w14:paraId="7A16CDB1" w14:textId="77777777" w:rsidTr="00B63F0E">
        <w:tc>
          <w:tcPr>
            <w:tcW w:w="1677" w:type="dxa"/>
          </w:tcPr>
          <w:p w14:paraId="73AF3EB8" w14:textId="2939A516" w:rsidR="00B63F0E" w:rsidRPr="00DB2DF5" w:rsidRDefault="00B63F0E" w:rsidP="009E678F">
            <w:pPr>
              <w:pStyle w:val="ECCTabletext"/>
              <w:spacing w:after="0"/>
              <w:jc w:val="left"/>
              <w:rPr>
                <w:rStyle w:val="ECCParagraph"/>
              </w:rPr>
            </w:pPr>
            <w:r w:rsidRPr="00DB2DF5">
              <w:rPr>
                <w:rStyle w:val="ECCParagraph"/>
              </w:rPr>
              <w:t>116.00</w:t>
            </w:r>
            <w:r w:rsidR="001D7996">
              <w:rPr>
                <w:rStyle w:val="ECCParagraph"/>
              </w:rPr>
              <w:t>-</w:t>
            </w:r>
            <w:r w:rsidRPr="00DB2DF5">
              <w:rPr>
                <w:rStyle w:val="ECCParagraph"/>
              </w:rPr>
              <w:t>119.98</w:t>
            </w:r>
          </w:p>
          <w:p w14:paraId="25060E55" w14:textId="77777777" w:rsidR="00B63F0E" w:rsidRPr="006165A1" w:rsidRDefault="00B63F0E" w:rsidP="009E678F">
            <w:pPr>
              <w:pStyle w:val="ECCTabletext"/>
              <w:spacing w:after="0"/>
              <w:jc w:val="left"/>
              <w:rPr>
                <w:rStyle w:val="ECCParagraph"/>
              </w:rPr>
            </w:pPr>
            <w:r w:rsidRPr="00605764">
              <w:rPr>
                <w:rStyle w:val="ECCParagraph"/>
              </w:rPr>
              <w:t>(5.340)</w:t>
            </w:r>
            <w:r w:rsidR="008F3E72" w:rsidRPr="006165A1">
              <w:rPr>
                <w:rStyle w:val="ECCParagraph"/>
              </w:rPr>
              <w:t xml:space="preserve"> </w:t>
            </w:r>
            <w:r w:rsidRPr="006165A1">
              <w:rPr>
                <w:rStyle w:val="ECCParagraph"/>
              </w:rPr>
              <w:t>(5.341)</w:t>
            </w:r>
          </w:p>
        </w:tc>
        <w:tc>
          <w:tcPr>
            <w:tcW w:w="3596" w:type="dxa"/>
            <w:vAlign w:val="bottom"/>
          </w:tcPr>
          <w:p w14:paraId="7460A586" w14:textId="77777777" w:rsidR="00B63F0E" w:rsidRPr="00B2765F" w:rsidRDefault="00B63F0E" w:rsidP="009E678F">
            <w:pPr>
              <w:pStyle w:val="ECCTabletext"/>
              <w:spacing w:after="0"/>
              <w:jc w:val="left"/>
            </w:pPr>
            <w:r w:rsidRPr="006165A1">
              <w:t>EARTH EXPLORATION-SATELLITE (PASSIVE)</w:t>
            </w:r>
          </w:p>
          <w:p w14:paraId="3ABAECEE" w14:textId="77777777" w:rsidR="00B63F0E" w:rsidRPr="00BD371E" w:rsidRDefault="00B63F0E" w:rsidP="009E678F">
            <w:pPr>
              <w:pStyle w:val="ECCTabletext"/>
              <w:spacing w:after="0"/>
              <w:jc w:val="left"/>
            </w:pPr>
            <w:r w:rsidRPr="00ED63D6">
              <w:t>INTER-SATELLITE</w:t>
            </w:r>
            <w:r w:rsidR="008F3E72" w:rsidRPr="00ED63D6">
              <w:t xml:space="preserve"> </w:t>
            </w:r>
            <w:r w:rsidRPr="00A44046">
              <w:t>(5.562C)</w:t>
            </w:r>
          </w:p>
        </w:tc>
        <w:tc>
          <w:tcPr>
            <w:tcW w:w="2149" w:type="dxa"/>
            <w:vAlign w:val="bottom"/>
          </w:tcPr>
          <w:p w14:paraId="30204BFD" w14:textId="77777777" w:rsidR="00B63F0E" w:rsidRPr="00D86561" w:rsidRDefault="00B63F0E" w:rsidP="009E678F">
            <w:pPr>
              <w:pStyle w:val="ECCTabletext"/>
              <w:spacing w:after="0"/>
              <w:jc w:val="left"/>
            </w:pPr>
            <w:r w:rsidRPr="005C3D16">
              <w:t>Passive sensors (satellite)</w:t>
            </w:r>
          </w:p>
        </w:tc>
        <w:tc>
          <w:tcPr>
            <w:tcW w:w="405" w:type="dxa"/>
          </w:tcPr>
          <w:p w14:paraId="62100778" w14:textId="77777777" w:rsidR="00B63F0E" w:rsidRPr="00794DA6" w:rsidRDefault="00B63F0E" w:rsidP="009E678F">
            <w:pPr>
              <w:pStyle w:val="ECCTabletext"/>
              <w:spacing w:after="0"/>
              <w:jc w:val="left"/>
            </w:pPr>
            <w:r w:rsidRPr="00794DA6">
              <w:t>X</w:t>
            </w:r>
          </w:p>
        </w:tc>
        <w:tc>
          <w:tcPr>
            <w:tcW w:w="405" w:type="dxa"/>
          </w:tcPr>
          <w:p w14:paraId="1BFB6947" w14:textId="77777777" w:rsidR="00B63F0E" w:rsidRPr="00E4615B" w:rsidRDefault="00B63F0E" w:rsidP="009E678F">
            <w:pPr>
              <w:pStyle w:val="ECCTabletext"/>
              <w:spacing w:after="0"/>
              <w:jc w:val="left"/>
            </w:pPr>
            <w:r w:rsidRPr="00794DA6">
              <w:t>X</w:t>
            </w:r>
          </w:p>
        </w:tc>
        <w:tc>
          <w:tcPr>
            <w:tcW w:w="402" w:type="dxa"/>
          </w:tcPr>
          <w:p w14:paraId="170284BD" w14:textId="77777777" w:rsidR="00B63F0E" w:rsidRPr="000812B4" w:rsidRDefault="00B63F0E" w:rsidP="009E678F">
            <w:pPr>
              <w:pStyle w:val="ECCTabletext"/>
              <w:spacing w:after="0"/>
              <w:jc w:val="left"/>
            </w:pPr>
            <w:r w:rsidRPr="0082594A">
              <w:t>X</w:t>
            </w:r>
          </w:p>
        </w:tc>
        <w:tc>
          <w:tcPr>
            <w:tcW w:w="995" w:type="dxa"/>
          </w:tcPr>
          <w:p w14:paraId="56AB0620" w14:textId="77777777" w:rsidR="00B63F0E" w:rsidRPr="005A5261" w:rsidRDefault="00B63F0E" w:rsidP="009E678F">
            <w:pPr>
              <w:pStyle w:val="ECCTabletext"/>
              <w:spacing w:after="0"/>
            </w:pPr>
          </w:p>
        </w:tc>
      </w:tr>
      <w:tr w:rsidR="00B63F0E" w:rsidRPr="00D61104" w14:paraId="50B35EE0" w14:textId="77777777" w:rsidTr="00B63F0E">
        <w:tc>
          <w:tcPr>
            <w:tcW w:w="1677" w:type="dxa"/>
          </w:tcPr>
          <w:p w14:paraId="57DDF7DC" w14:textId="237EF7D0" w:rsidR="00B63F0E" w:rsidRPr="00DB2DF5" w:rsidRDefault="00B63F0E" w:rsidP="009E678F">
            <w:pPr>
              <w:pStyle w:val="ECCTabletext"/>
              <w:spacing w:after="0"/>
              <w:jc w:val="left"/>
              <w:rPr>
                <w:rStyle w:val="ECCParagraph"/>
              </w:rPr>
            </w:pPr>
            <w:r w:rsidRPr="00DB2DF5">
              <w:rPr>
                <w:rStyle w:val="ECCParagraph"/>
              </w:rPr>
              <w:t>119.98</w:t>
            </w:r>
            <w:r w:rsidR="001D7996">
              <w:rPr>
                <w:rStyle w:val="ECCParagraph"/>
              </w:rPr>
              <w:t>-</w:t>
            </w:r>
            <w:r w:rsidRPr="00DB2DF5">
              <w:rPr>
                <w:rStyle w:val="ECCParagraph"/>
              </w:rPr>
              <w:t>120.02</w:t>
            </w:r>
          </w:p>
          <w:p w14:paraId="797A96CC" w14:textId="77777777" w:rsidR="00B63F0E" w:rsidRPr="006165A1" w:rsidRDefault="00B63F0E" w:rsidP="009E678F">
            <w:pPr>
              <w:pStyle w:val="ECCTabletext"/>
              <w:spacing w:after="0"/>
              <w:jc w:val="left"/>
              <w:rPr>
                <w:rStyle w:val="ECCParagraph"/>
              </w:rPr>
            </w:pPr>
            <w:r w:rsidRPr="00605764">
              <w:rPr>
                <w:rStyle w:val="ECCParagraph"/>
              </w:rPr>
              <w:t>(5.341)</w:t>
            </w:r>
          </w:p>
        </w:tc>
        <w:tc>
          <w:tcPr>
            <w:tcW w:w="3596" w:type="dxa"/>
            <w:vAlign w:val="bottom"/>
          </w:tcPr>
          <w:p w14:paraId="6EF8152E" w14:textId="77777777" w:rsidR="00B63F0E" w:rsidRPr="00A24E00" w:rsidRDefault="00B63F0E" w:rsidP="009E678F">
            <w:pPr>
              <w:pStyle w:val="ECCTabletext"/>
              <w:spacing w:after="0"/>
              <w:jc w:val="left"/>
            </w:pPr>
            <w:r w:rsidRPr="006165A1">
              <w:t>INTER-SATELLITE</w:t>
            </w:r>
            <w:r w:rsidR="008F3E72" w:rsidRPr="006165A1">
              <w:t xml:space="preserve"> </w:t>
            </w:r>
            <w:r w:rsidRPr="00B2765F">
              <w:t>(5.562C)</w:t>
            </w:r>
          </w:p>
          <w:p w14:paraId="3E517654" w14:textId="77777777" w:rsidR="00B63F0E" w:rsidRPr="00ED63D6" w:rsidRDefault="00B63F0E" w:rsidP="009E678F">
            <w:pPr>
              <w:pStyle w:val="ECCTabletext"/>
              <w:spacing w:after="0"/>
              <w:jc w:val="left"/>
            </w:pPr>
            <w:r w:rsidRPr="00ED63D6">
              <w:t>EARTH EXPLORATION-SATELLITE (PASSIVE)</w:t>
            </w:r>
          </w:p>
        </w:tc>
        <w:tc>
          <w:tcPr>
            <w:tcW w:w="2149" w:type="dxa"/>
            <w:vAlign w:val="bottom"/>
          </w:tcPr>
          <w:p w14:paraId="56354EA7" w14:textId="77777777" w:rsidR="00B63F0E" w:rsidRPr="00BD371E" w:rsidRDefault="00B63F0E" w:rsidP="009E678F">
            <w:pPr>
              <w:pStyle w:val="ECCTabletext"/>
              <w:spacing w:after="0"/>
              <w:jc w:val="left"/>
            </w:pPr>
            <w:r w:rsidRPr="00A44046">
              <w:t>Passive sensors (satellite)</w:t>
            </w:r>
          </w:p>
        </w:tc>
        <w:tc>
          <w:tcPr>
            <w:tcW w:w="405" w:type="dxa"/>
          </w:tcPr>
          <w:p w14:paraId="56174A36" w14:textId="77777777" w:rsidR="00B63F0E" w:rsidRPr="00D86561" w:rsidRDefault="00B63F0E" w:rsidP="009E678F">
            <w:pPr>
              <w:pStyle w:val="ECCTabletext"/>
              <w:spacing w:after="0"/>
              <w:jc w:val="left"/>
            </w:pPr>
            <w:r w:rsidRPr="005C3D16">
              <w:t>X</w:t>
            </w:r>
          </w:p>
        </w:tc>
        <w:tc>
          <w:tcPr>
            <w:tcW w:w="405" w:type="dxa"/>
          </w:tcPr>
          <w:p w14:paraId="5686E8E2" w14:textId="77777777" w:rsidR="00B63F0E" w:rsidRPr="00794DA6" w:rsidRDefault="00B63F0E" w:rsidP="009E678F">
            <w:pPr>
              <w:pStyle w:val="ECCTabletext"/>
              <w:spacing w:after="0"/>
              <w:jc w:val="left"/>
            </w:pPr>
            <w:r w:rsidRPr="00794DA6">
              <w:t>X</w:t>
            </w:r>
          </w:p>
        </w:tc>
        <w:tc>
          <w:tcPr>
            <w:tcW w:w="402" w:type="dxa"/>
          </w:tcPr>
          <w:p w14:paraId="10A11C31" w14:textId="77777777" w:rsidR="00B63F0E" w:rsidRPr="00E4615B" w:rsidRDefault="00B63F0E" w:rsidP="009E678F">
            <w:pPr>
              <w:pStyle w:val="ECCTabletext"/>
              <w:spacing w:after="0"/>
              <w:jc w:val="left"/>
            </w:pPr>
            <w:r w:rsidRPr="00794DA6">
              <w:t>X</w:t>
            </w:r>
          </w:p>
        </w:tc>
        <w:tc>
          <w:tcPr>
            <w:tcW w:w="995" w:type="dxa"/>
          </w:tcPr>
          <w:p w14:paraId="0FC34178" w14:textId="77777777" w:rsidR="00B63F0E" w:rsidRPr="0082594A" w:rsidRDefault="00B63F0E" w:rsidP="009E678F">
            <w:pPr>
              <w:pStyle w:val="ECCTabletext"/>
              <w:spacing w:after="0"/>
            </w:pPr>
          </w:p>
        </w:tc>
      </w:tr>
      <w:tr w:rsidR="00B63F0E" w:rsidRPr="00D61104" w14:paraId="5E22DB21" w14:textId="77777777" w:rsidTr="00B63F0E">
        <w:tc>
          <w:tcPr>
            <w:tcW w:w="1677" w:type="dxa"/>
          </w:tcPr>
          <w:p w14:paraId="0C4B9FC1" w14:textId="58F5B097" w:rsidR="00B63F0E" w:rsidRPr="00DB2DF5" w:rsidRDefault="00B63F0E" w:rsidP="009E678F">
            <w:pPr>
              <w:pStyle w:val="ECCTabletext"/>
              <w:spacing w:after="0"/>
              <w:jc w:val="left"/>
              <w:rPr>
                <w:rStyle w:val="ECCParagraph"/>
              </w:rPr>
            </w:pPr>
            <w:r w:rsidRPr="00DB2DF5">
              <w:rPr>
                <w:rStyle w:val="ECCParagraph"/>
              </w:rPr>
              <w:t>120.02</w:t>
            </w:r>
            <w:r w:rsidR="001D7996">
              <w:rPr>
                <w:rStyle w:val="ECCParagraph"/>
              </w:rPr>
              <w:t>-</w:t>
            </w:r>
            <w:r w:rsidRPr="00DB2DF5">
              <w:rPr>
                <w:rStyle w:val="ECCParagraph"/>
              </w:rPr>
              <w:t>122.25</w:t>
            </w:r>
          </w:p>
          <w:p w14:paraId="4C3C6390" w14:textId="77777777" w:rsidR="00B63F0E" w:rsidRPr="00DB2DF5" w:rsidRDefault="00B63F0E" w:rsidP="009E678F">
            <w:pPr>
              <w:pStyle w:val="ECCTabletext"/>
              <w:spacing w:after="0"/>
              <w:jc w:val="left"/>
              <w:rPr>
                <w:rStyle w:val="ECCParagraph"/>
              </w:rPr>
            </w:pPr>
            <w:r w:rsidRPr="00DB2DF5">
              <w:rPr>
                <w:rStyle w:val="ECCParagraph"/>
              </w:rPr>
              <w:t>(5.138)</w:t>
            </w:r>
          </w:p>
        </w:tc>
        <w:tc>
          <w:tcPr>
            <w:tcW w:w="3596" w:type="dxa"/>
            <w:vAlign w:val="bottom"/>
          </w:tcPr>
          <w:p w14:paraId="43C46AD9" w14:textId="77777777" w:rsidR="00B63F0E" w:rsidRPr="00DB2DF5" w:rsidRDefault="00B63F0E" w:rsidP="009E678F">
            <w:pPr>
              <w:pStyle w:val="ECCTabletext"/>
              <w:spacing w:after="0"/>
              <w:jc w:val="left"/>
            </w:pPr>
            <w:r w:rsidRPr="00DB2DF5">
              <w:t>EARTH EXPLORATION-SATELLITE (PASSIVE)</w:t>
            </w:r>
          </w:p>
          <w:p w14:paraId="6143D102" w14:textId="77777777" w:rsidR="00B63F0E" w:rsidRPr="00DB2DF5" w:rsidRDefault="00B63F0E" w:rsidP="009E678F">
            <w:pPr>
              <w:pStyle w:val="ECCTabletext"/>
              <w:spacing w:after="0"/>
              <w:jc w:val="left"/>
            </w:pPr>
            <w:r w:rsidRPr="00DB2DF5">
              <w:t>INTER-SATELLITE</w:t>
            </w:r>
            <w:r w:rsidR="008F3E72" w:rsidRPr="00DB2DF5">
              <w:t xml:space="preserve"> </w:t>
            </w:r>
            <w:r w:rsidRPr="00DB2DF5">
              <w:t>(5.562C)</w:t>
            </w:r>
          </w:p>
          <w:p w14:paraId="01B63330" w14:textId="77777777" w:rsidR="00B63F0E" w:rsidRPr="00DB2DF5" w:rsidRDefault="00B63F0E" w:rsidP="009E678F">
            <w:pPr>
              <w:pStyle w:val="ECCTabletext"/>
              <w:spacing w:after="0"/>
              <w:jc w:val="left"/>
              <w:rPr>
                <w:rStyle w:val="ECCHLyellow"/>
              </w:rPr>
            </w:pPr>
            <w:r w:rsidRPr="00DB2DF5">
              <w:t>SPACE RESEARCH (PASSIVE)</w:t>
            </w:r>
          </w:p>
        </w:tc>
        <w:tc>
          <w:tcPr>
            <w:tcW w:w="2149" w:type="dxa"/>
            <w:vAlign w:val="bottom"/>
          </w:tcPr>
          <w:p w14:paraId="45D67CC6" w14:textId="77777777" w:rsidR="00B63F0E" w:rsidRPr="005A5261" w:rsidRDefault="00B63F0E" w:rsidP="009E678F">
            <w:pPr>
              <w:pStyle w:val="ECCTabletext"/>
              <w:spacing w:after="0"/>
              <w:jc w:val="left"/>
              <w:rPr>
                <w:lang w:val="fr-FR"/>
              </w:rPr>
            </w:pPr>
            <w:r w:rsidRPr="005A5261">
              <w:rPr>
                <w:lang w:val="fr-FR"/>
              </w:rPr>
              <w:t>Non-specific SRDs</w:t>
            </w:r>
          </w:p>
          <w:p w14:paraId="507D8495" w14:textId="77777777" w:rsidR="00B63F0E" w:rsidRPr="005A5261" w:rsidRDefault="00B63F0E" w:rsidP="009E678F">
            <w:pPr>
              <w:pStyle w:val="ECCTabletext"/>
              <w:spacing w:after="0"/>
              <w:jc w:val="left"/>
              <w:rPr>
                <w:lang w:val="fr-FR"/>
              </w:rPr>
            </w:pPr>
            <w:r w:rsidRPr="005A5261">
              <w:rPr>
                <w:lang w:val="fr-FR"/>
              </w:rPr>
              <w:t>Passive sensors (satellite)</w:t>
            </w:r>
          </w:p>
        </w:tc>
        <w:tc>
          <w:tcPr>
            <w:tcW w:w="405" w:type="dxa"/>
          </w:tcPr>
          <w:p w14:paraId="7A543200" w14:textId="77777777" w:rsidR="00B63F0E" w:rsidRPr="00DB2DF5" w:rsidRDefault="00B63F0E" w:rsidP="009E678F">
            <w:pPr>
              <w:pStyle w:val="ECCTabletext"/>
              <w:spacing w:after="0"/>
              <w:jc w:val="left"/>
            </w:pPr>
            <w:r w:rsidRPr="00DB2DF5">
              <w:t>X</w:t>
            </w:r>
          </w:p>
        </w:tc>
        <w:tc>
          <w:tcPr>
            <w:tcW w:w="405" w:type="dxa"/>
          </w:tcPr>
          <w:p w14:paraId="0B0F1D18" w14:textId="77777777" w:rsidR="00B63F0E" w:rsidRPr="00DB2DF5" w:rsidRDefault="00B63F0E" w:rsidP="009E678F">
            <w:pPr>
              <w:pStyle w:val="ECCTabletext"/>
              <w:spacing w:after="0"/>
              <w:jc w:val="left"/>
            </w:pPr>
            <w:r w:rsidRPr="00DB2DF5">
              <w:t>X</w:t>
            </w:r>
          </w:p>
        </w:tc>
        <w:tc>
          <w:tcPr>
            <w:tcW w:w="402" w:type="dxa"/>
          </w:tcPr>
          <w:p w14:paraId="5DDBD531" w14:textId="77777777" w:rsidR="00B63F0E" w:rsidRPr="00DB2DF5" w:rsidRDefault="00B63F0E" w:rsidP="009E678F">
            <w:pPr>
              <w:pStyle w:val="ECCTabletext"/>
              <w:spacing w:after="0"/>
              <w:jc w:val="left"/>
            </w:pPr>
            <w:r w:rsidRPr="00DB2DF5">
              <w:t>X</w:t>
            </w:r>
          </w:p>
        </w:tc>
        <w:tc>
          <w:tcPr>
            <w:tcW w:w="995" w:type="dxa"/>
          </w:tcPr>
          <w:p w14:paraId="558EB0D6" w14:textId="77777777" w:rsidR="00B63F0E" w:rsidRPr="00DB2DF5" w:rsidRDefault="00B63F0E" w:rsidP="009E678F">
            <w:pPr>
              <w:pStyle w:val="ECCTabletext"/>
              <w:spacing w:after="0"/>
            </w:pPr>
          </w:p>
        </w:tc>
      </w:tr>
      <w:tr w:rsidR="00B63F0E" w:rsidRPr="00D61104" w14:paraId="6F39C006" w14:textId="77777777" w:rsidTr="00B63F0E">
        <w:tc>
          <w:tcPr>
            <w:tcW w:w="1677" w:type="dxa"/>
          </w:tcPr>
          <w:p w14:paraId="7A3D7593" w14:textId="64847C60" w:rsidR="00B63F0E" w:rsidRPr="00DB2DF5" w:rsidRDefault="00B63F0E" w:rsidP="009E678F">
            <w:pPr>
              <w:pStyle w:val="ECCTabletext"/>
              <w:spacing w:after="0"/>
              <w:jc w:val="left"/>
              <w:rPr>
                <w:rStyle w:val="ECCParagraph"/>
              </w:rPr>
            </w:pPr>
            <w:r w:rsidRPr="00DB2DF5">
              <w:rPr>
                <w:rStyle w:val="ECCParagraph"/>
              </w:rPr>
              <w:t>122.25</w:t>
            </w:r>
            <w:r w:rsidR="001D7996">
              <w:rPr>
                <w:rStyle w:val="ECCParagraph"/>
              </w:rPr>
              <w:t>-</w:t>
            </w:r>
            <w:r w:rsidRPr="00DB2DF5">
              <w:rPr>
                <w:rStyle w:val="ECCParagraph"/>
              </w:rPr>
              <w:t>123.00</w:t>
            </w:r>
          </w:p>
          <w:p w14:paraId="22D47A85" w14:textId="77777777" w:rsidR="00B63F0E" w:rsidRPr="00DB2DF5" w:rsidRDefault="00B63F0E" w:rsidP="009E678F">
            <w:pPr>
              <w:pStyle w:val="ECCTabletext"/>
              <w:spacing w:after="0"/>
              <w:jc w:val="left"/>
              <w:rPr>
                <w:rStyle w:val="ECCParagraph"/>
              </w:rPr>
            </w:pPr>
            <w:r w:rsidRPr="00DB2DF5">
              <w:rPr>
                <w:rStyle w:val="ECCParagraph"/>
              </w:rPr>
              <w:t>(5.138)</w:t>
            </w:r>
          </w:p>
        </w:tc>
        <w:tc>
          <w:tcPr>
            <w:tcW w:w="3596" w:type="dxa"/>
            <w:vAlign w:val="bottom"/>
          </w:tcPr>
          <w:p w14:paraId="4C6D0C5E" w14:textId="77777777" w:rsidR="00B63F0E" w:rsidRPr="005A5261" w:rsidRDefault="00B63F0E" w:rsidP="009E678F">
            <w:pPr>
              <w:pStyle w:val="ECCTabletext"/>
              <w:spacing w:after="0"/>
              <w:jc w:val="left"/>
              <w:rPr>
                <w:lang w:val="fr-FR"/>
              </w:rPr>
            </w:pPr>
            <w:r w:rsidRPr="005A5261">
              <w:rPr>
                <w:lang w:val="fr-FR"/>
              </w:rPr>
              <w:t>INTER-SATELLITE</w:t>
            </w:r>
          </w:p>
          <w:p w14:paraId="0E805A01" w14:textId="77777777" w:rsidR="00B63F0E" w:rsidRPr="005A5261" w:rsidRDefault="00B63F0E" w:rsidP="009E678F">
            <w:pPr>
              <w:pStyle w:val="ECCTabletext"/>
              <w:spacing w:after="0"/>
              <w:jc w:val="left"/>
              <w:rPr>
                <w:lang w:val="fr-FR"/>
              </w:rPr>
            </w:pPr>
            <w:r w:rsidRPr="005A5261">
              <w:rPr>
                <w:lang w:val="fr-FR"/>
              </w:rPr>
              <w:t>MOBILE</w:t>
            </w:r>
            <w:r w:rsidR="008F3E72" w:rsidRPr="005A5261">
              <w:rPr>
                <w:lang w:val="fr-FR"/>
              </w:rPr>
              <w:t xml:space="preserve"> </w:t>
            </w:r>
            <w:r w:rsidRPr="005A5261">
              <w:rPr>
                <w:lang w:val="fr-FR"/>
              </w:rPr>
              <w:t>(5.558)</w:t>
            </w:r>
          </w:p>
          <w:p w14:paraId="6D098265" w14:textId="77777777" w:rsidR="00B63F0E" w:rsidRPr="005A5261" w:rsidRDefault="00B63F0E" w:rsidP="009E678F">
            <w:pPr>
              <w:pStyle w:val="ECCTabletext"/>
              <w:spacing w:after="0"/>
              <w:jc w:val="left"/>
              <w:rPr>
                <w:lang w:val="fr-FR"/>
              </w:rPr>
            </w:pPr>
            <w:r w:rsidRPr="005A5261">
              <w:rPr>
                <w:lang w:val="fr-FR"/>
              </w:rPr>
              <w:t>FIXED</w:t>
            </w:r>
          </w:p>
          <w:p w14:paraId="20DC5913" w14:textId="77777777" w:rsidR="00B63F0E" w:rsidRPr="005A5261" w:rsidRDefault="00B63F0E" w:rsidP="009E678F">
            <w:pPr>
              <w:pStyle w:val="ECCTabletext"/>
              <w:spacing w:after="0"/>
              <w:jc w:val="left"/>
              <w:rPr>
                <w:lang w:val="fr-FR"/>
              </w:rPr>
            </w:pPr>
            <w:r w:rsidRPr="005A5261">
              <w:rPr>
                <w:lang w:val="fr-FR"/>
              </w:rPr>
              <w:t>Amateur</w:t>
            </w:r>
          </w:p>
          <w:p w14:paraId="4051F576" w14:textId="77777777" w:rsidR="00B63F0E" w:rsidRPr="005A5261" w:rsidRDefault="00B63F0E" w:rsidP="009E678F">
            <w:pPr>
              <w:pStyle w:val="ECCTabletext"/>
              <w:spacing w:after="0"/>
              <w:jc w:val="left"/>
              <w:rPr>
                <w:rStyle w:val="ECCHLyellow"/>
                <w:lang w:val="fr-FR"/>
              </w:rPr>
            </w:pPr>
            <w:r w:rsidRPr="005A5261">
              <w:rPr>
                <w:lang w:val="fr-FR"/>
              </w:rPr>
              <w:t>Amateur-Satellite</w:t>
            </w:r>
          </w:p>
        </w:tc>
        <w:tc>
          <w:tcPr>
            <w:tcW w:w="2149" w:type="dxa"/>
            <w:vAlign w:val="bottom"/>
          </w:tcPr>
          <w:p w14:paraId="23427541" w14:textId="77777777" w:rsidR="00B63F0E" w:rsidRPr="005A5261" w:rsidRDefault="00B63F0E" w:rsidP="009E678F">
            <w:pPr>
              <w:pStyle w:val="ECCTabletext"/>
              <w:spacing w:after="0"/>
              <w:jc w:val="left"/>
              <w:rPr>
                <w:lang w:val="fr-FR"/>
              </w:rPr>
            </w:pPr>
            <w:r w:rsidRPr="005A5261">
              <w:rPr>
                <w:lang w:val="fr-FR"/>
              </w:rPr>
              <w:t>Non-specific SRDs</w:t>
            </w:r>
          </w:p>
          <w:p w14:paraId="4798F9BB" w14:textId="77777777" w:rsidR="00B63F0E" w:rsidRPr="005A5261" w:rsidRDefault="00B63F0E" w:rsidP="009E678F">
            <w:pPr>
              <w:pStyle w:val="ECCTabletext"/>
              <w:spacing w:after="0"/>
              <w:jc w:val="left"/>
              <w:rPr>
                <w:lang w:val="fr-FR"/>
              </w:rPr>
            </w:pPr>
            <w:r w:rsidRPr="005A5261">
              <w:rPr>
                <w:lang w:val="fr-FR"/>
              </w:rPr>
              <w:t>Amateur</w:t>
            </w:r>
          </w:p>
          <w:p w14:paraId="52B160D6" w14:textId="77777777" w:rsidR="00B63F0E" w:rsidRPr="005A5261" w:rsidRDefault="00B63F0E" w:rsidP="009E678F">
            <w:pPr>
              <w:pStyle w:val="ECCTabletext"/>
              <w:spacing w:after="0"/>
              <w:jc w:val="left"/>
              <w:rPr>
                <w:lang w:val="fr-FR"/>
              </w:rPr>
            </w:pPr>
            <w:r w:rsidRPr="005A5261">
              <w:rPr>
                <w:lang w:val="fr-FR"/>
              </w:rPr>
              <w:t>Amateur-satellite</w:t>
            </w:r>
          </w:p>
        </w:tc>
        <w:tc>
          <w:tcPr>
            <w:tcW w:w="405" w:type="dxa"/>
          </w:tcPr>
          <w:p w14:paraId="79DCCCC7" w14:textId="77777777" w:rsidR="00B63F0E" w:rsidRPr="00DB2DF5" w:rsidRDefault="00B63F0E" w:rsidP="009E678F">
            <w:pPr>
              <w:pStyle w:val="ECCTabletext"/>
              <w:spacing w:after="0"/>
              <w:jc w:val="left"/>
            </w:pPr>
            <w:r w:rsidRPr="00DB2DF5">
              <w:t>X</w:t>
            </w:r>
          </w:p>
        </w:tc>
        <w:tc>
          <w:tcPr>
            <w:tcW w:w="405" w:type="dxa"/>
          </w:tcPr>
          <w:p w14:paraId="26A8E2BC" w14:textId="77777777" w:rsidR="00B63F0E" w:rsidRPr="00DB2DF5" w:rsidRDefault="00B63F0E" w:rsidP="009E678F">
            <w:pPr>
              <w:pStyle w:val="ECCTabletext"/>
              <w:spacing w:after="0"/>
              <w:jc w:val="left"/>
            </w:pPr>
            <w:r w:rsidRPr="00DB2DF5">
              <w:t>X</w:t>
            </w:r>
          </w:p>
        </w:tc>
        <w:tc>
          <w:tcPr>
            <w:tcW w:w="402" w:type="dxa"/>
          </w:tcPr>
          <w:p w14:paraId="380F0443" w14:textId="77777777" w:rsidR="00B63F0E" w:rsidRPr="00DB2DF5" w:rsidRDefault="00B63F0E" w:rsidP="009E678F">
            <w:pPr>
              <w:pStyle w:val="ECCTabletext"/>
              <w:spacing w:after="0"/>
              <w:jc w:val="left"/>
            </w:pPr>
            <w:r w:rsidRPr="00DB2DF5">
              <w:t>X</w:t>
            </w:r>
          </w:p>
        </w:tc>
        <w:tc>
          <w:tcPr>
            <w:tcW w:w="995" w:type="dxa"/>
          </w:tcPr>
          <w:p w14:paraId="3323607F" w14:textId="77777777" w:rsidR="00B63F0E" w:rsidRPr="00DB2DF5" w:rsidRDefault="00B63F0E" w:rsidP="009E678F">
            <w:pPr>
              <w:pStyle w:val="ECCTabletext"/>
              <w:spacing w:after="0"/>
            </w:pPr>
          </w:p>
        </w:tc>
      </w:tr>
      <w:tr w:rsidR="00B63F0E" w:rsidRPr="00D61104" w14:paraId="0281E560" w14:textId="77777777" w:rsidTr="00B63F0E">
        <w:tc>
          <w:tcPr>
            <w:tcW w:w="1677" w:type="dxa"/>
          </w:tcPr>
          <w:p w14:paraId="1588A8DC" w14:textId="49A461D1" w:rsidR="00B63F0E" w:rsidRPr="00DB2DF5" w:rsidRDefault="00B63F0E" w:rsidP="009E678F">
            <w:pPr>
              <w:pStyle w:val="ECCTabletext"/>
              <w:spacing w:after="0"/>
              <w:jc w:val="left"/>
              <w:rPr>
                <w:rStyle w:val="ECCParagraph"/>
              </w:rPr>
            </w:pPr>
            <w:r w:rsidRPr="00DB2DF5">
              <w:rPr>
                <w:rStyle w:val="ECCParagraph"/>
              </w:rPr>
              <w:t>123.00</w:t>
            </w:r>
            <w:r w:rsidR="001D7996">
              <w:rPr>
                <w:rStyle w:val="ECCParagraph"/>
              </w:rPr>
              <w:t>-</w:t>
            </w:r>
            <w:r w:rsidRPr="00DB2DF5">
              <w:rPr>
                <w:rStyle w:val="ECCParagraph"/>
              </w:rPr>
              <w:t>130.00</w:t>
            </w:r>
          </w:p>
          <w:p w14:paraId="36C2AB02" w14:textId="77777777" w:rsidR="00B63F0E" w:rsidRPr="006165A1" w:rsidRDefault="00B63F0E" w:rsidP="009E678F">
            <w:pPr>
              <w:pStyle w:val="ECCTabletext"/>
              <w:spacing w:after="0"/>
              <w:jc w:val="left"/>
              <w:rPr>
                <w:rStyle w:val="ECCParagraph"/>
              </w:rPr>
            </w:pPr>
            <w:r w:rsidRPr="00605764">
              <w:rPr>
                <w:rStyle w:val="ECCParagraph"/>
              </w:rPr>
              <w:t>(5.149) (5.554)</w:t>
            </w:r>
          </w:p>
        </w:tc>
        <w:tc>
          <w:tcPr>
            <w:tcW w:w="3596" w:type="dxa"/>
            <w:vAlign w:val="bottom"/>
          </w:tcPr>
          <w:p w14:paraId="65273036" w14:textId="77777777" w:rsidR="00B63F0E" w:rsidRPr="006165A1" w:rsidRDefault="00B63F0E" w:rsidP="009E678F">
            <w:pPr>
              <w:pStyle w:val="ECCTabletext"/>
              <w:spacing w:after="0"/>
              <w:jc w:val="left"/>
            </w:pPr>
            <w:r w:rsidRPr="006165A1">
              <w:t>FIXED-SATELLITE (SPACE-TO-EARTH)</w:t>
            </w:r>
          </w:p>
          <w:p w14:paraId="2B716235" w14:textId="77777777" w:rsidR="00B63F0E" w:rsidRPr="00A24E00" w:rsidRDefault="00B63F0E" w:rsidP="009E678F">
            <w:pPr>
              <w:pStyle w:val="ECCTabletext"/>
              <w:spacing w:after="0"/>
              <w:jc w:val="left"/>
            </w:pPr>
            <w:r w:rsidRPr="00B2765F">
              <w:t>RADIONAVIGATION-SATELLITE</w:t>
            </w:r>
          </w:p>
          <w:p w14:paraId="37D155E2" w14:textId="77777777" w:rsidR="00B63F0E" w:rsidRPr="00ED63D6" w:rsidRDefault="00B63F0E" w:rsidP="009E678F">
            <w:pPr>
              <w:pStyle w:val="ECCTabletext"/>
              <w:spacing w:after="0"/>
              <w:jc w:val="left"/>
            </w:pPr>
            <w:r w:rsidRPr="00ED63D6">
              <w:t>RADIONAVIGATION</w:t>
            </w:r>
          </w:p>
          <w:p w14:paraId="74D895A4" w14:textId="77777777" w:rsidR="00B63F0E" w:rsidRPr="00BD371E" w:rsidRDefault="00B63F0E" w:rsidP="009E678F">
            <w:pPr>
              <w:pStyle w:val="ECCTabletext"/>
              <w:spacing w:after="0"/>
              <w:jc w:val="left"/>
            </w:pPr>
            <w:r w:rsidRPr="00A44046">
              <w:t>MOBILE-SATELLITE (SPACE-TO-EARTH)</w:t>
            </w:r>
          </w:p>
          <w:p w14:paraId="33F1ACEA" w14:textId="77777777" w:rsidR="00B63F0E" w:rsidRPr="00D86561" w:rsidRDefault="00B63F0E" w:rsidP="009E678F">
            <w:pPr>
              <w:pStyle w:val="ECCTabletext"/>
              <w:spacing w:after="0"/>
              <w:jc w:val="left"/>
            </w:pPr>
            <w:r w:rsidRPr="005C3D16">
              <w:t>Radio Astronomy</w:t>
            </w:r>
          </w:p>
        </w:tc>
        <w:tc>
          <w:tcPr>
            <w:tcW w:w="2149" w:type="dxa"/>
            <w:vAlign w:val="bottom"/>
          </w:tcPr>
          <w:p w14:paraId="59835C0E" w14:textId="77777777" w:rsidR="00B63F0E" w:rsidRPr="00794DA6" w:rsidRDefault="00B63F0E" w:rsidP="009E678F">
            <w:pPr>
              <w:pStyle w:val="ECCTabletext"/>
              <w:spacing w:after="0"/>
              <w:jc w:val="left"/>
            </w:pPr>
            <w:r w:rsidRPr="00794DA6">
              <w:t>Radio astronomy</w:t>
            </w:r>
          </w:p>
        </w:tc>
        <w:tc>
          <w:tcPr>
            <w:tcW w:w="405" w:type="dxa"/>
          </w:tcPr>
          <w:p w14:paraId="1F6F7721" w14:textId="77777777" w:rsidR="00B63F0E" w:rsidRPr="00E4615B" w:rsidRDefault="00B63F0E" w:rsidP="009E678F">
            <w:pPr>
              <w:pStyle w:val="ECCTabletext"/>
              <w:spacing w:after="0"/>
              <w:jc w:val="left"/>
            </w:pPr>
            <w:r w:rsidRPr="00794DA6">
              <w:t>X</w:t>
            </w:r>
          </w:p>
        </w:tc>
        <w:tc>
          <w:tcPr>
            <w:tcW w:w="405" w:type="dxa"/>
          </w:tcPr>
          <w:p w14:paraId="1239F200" w14:textId="77777777" w:rsidR="00B63F0E" w:rsidRPr="000812B4" w:rsidRDefault="00B63F0E" w:rsidP="009E678F">
            <w:pPr>
              <w:pStyle w:val="ECCTabletext"/>
              <w:spacing w:after="0"/>
              <w:jc w:val="left"/>
            </w:pPr>
            <w:r w:rsidRPr="0082594A">
              <w:t>X</w:t>
            </w:r>
          </w:p>
        </w:tc>
        <w:tc>
          <w:tcPr>
            <w:tcW w:w="402" w:type="dxa"/>
          </w:tcPr>
          <w:p w14:paraId="5405A8A4" w14:textId="77777777" w:rsidR="00B63F0E" w:rsidRPr="005A5261" w:rsidRDefault="00B63F0E" w:rsidP="009E678F">
            <w:pPr>
              <w:pStyle w:val="ECCTabletext"/>
              <w:spacing w:after="0"/>
              <w:jc w:val="left"/>
            </w:pPr>
            <w:r w:rsidRPr="005A5261">
              <w:t>X</w:t>
            </w:r>
          </w:p>
        </w:tc>
        <w:tc>
          <w:tcPr>
            <w:tcW w:w="995" w:type="dxa"/>
          </w:tcPr>
          <w:p w14:paraId="78236FB8" w14:textId="77777777" w:rsidR="00B63F0E" w:rsidRPr="00DB2DF5" w:rsidRDefault="00B63F0E" w:rsidP="009E678F">
            <w:pPr>
              <w:pStyle w:val="ECCTabletext"/>
              <w:spacing w:after="0"/>
            </w:pPr>
          </w:p>
        </w:tc>
      </w:tr>
      <w:tr w:rsidR="00B63F0E" w:rsidRPr="00D61104" w14:paraId="46F71972" w14:textId="77777777" w:rsidTr="00B63F0E">
        <w:tc>
          <w:tcPr>
            <w:tcW w:w="1677" w:type="dxa"/>
          </w:tcPr>
          <w:p w14:paraId="4C494D58" w14:textId="42495AD4" w:rsidR="00B63F0E" w:rsidRPr="00DB2DF5" w:rsidRDefault="00B63F0E" w:rsidP="009E678F">
            <w:pPr>
              <w:pStyle w:val="ECCTabletext"/>
              <w:spacing w:after="0"/>
              <w:jc w:val="left"/>
              <w:rPr>
                <w:rStyle w:val="ECCParagraph"/>
              </w:rPr>
            </w:pPr>
            <w:r w:rsidRPr="00DB2DF5">
              <w:rPr>
                <w:rStyle w:val="ECCParagraph"/>
              </w:rPr>
              <w:t>130.00</w:t>
            </w:r>
            <w:r w:rsidR="001D7996">
              <w:rPr>
                <w:rStyle w:val="ECCParagraph"/>
              </w:rPr>
              <w:t>-</w:t>
            </w:r>
            <w:r w:rsidRPr="00DB2DF5">
              <w:rPr>
                <w:rStyle w:val="ECCParagraph"/>
              </w:rPr>
              <w:t>134.00</w:t>
            </w:r>
          </w:p>
          <w:p w14:paraId="33290F06" w14:textId="77777777" w:rsidR="00B63F0E" w:rsidRPr="006165A1" w:rsidRDefault="00B63F0E" w:rsidP="009E678F">
            <w:pPr>
              <w:pStyle w:val="ECCTabletext"/>
              <w:spacing w:after="0"/>
              <w:jc w:val="left"/>
              <w:rPr>
                <w:rStyle w:val="ECCParagraph"/>
              </w:rPr>
            </w:pPr>
            <w:r w:rsidRPr="00605764">
              <w:rPr>
                <w:rStyle w:val="ECCParagraph"/>
              </w:rPr>
              <w:t>(5.149) (5.562A)</w:t>
            </w:r>
          </w:p>
        </w:tc>
        <w:tc>
          <w:tcPr>
            <w:tcW w:w="3596" w:type="dxa"/>
            <w:vAlign w:val="bottom"/>
          </w:tcPr>
          <w:p w14:paraId="493232CB" w14:textId="77777777" w:rsidR="00B63F0E" w:rsidRPr="006165A1" w:rsidRDefault="00B63F0E" w:rsidP="009E678F">
            <w:pPr>
              <w:pStyle w:val="ECCTabletext"/>
              <w:spacing w:after="0"/>
              <w:jc w:val="left"/>
            </w:pPr>
            <w:r w:rsidRPr="006165A1">
              <w:t>RADIO ASTRONOMY</w:t>
            </w:r>
          </w:p>
          <w:p w14:paraId="25D378E1" w14:textId="77777777" w:rsidR="00B63F0E" w:rsidRPr="00A24E00" w:rsidRDefault="00B63F0E" w:rsidP="009E678F">
            <w:pPr>
              <w:pStyle w:val="ECCTabletext"/>
              <w:spacing w:after="0"/>
              <w:jc w:val="left"/>
            </w:pPr>
            <w:r w:rsidRPr="00B2765F">
              <w:t>FIX</w:t>
            </w:r>
            <w:r w:rsidRPr="00A24E00">
              <w:t>ED</w:t>
            </w:r>
          </w:p>
          <w:p w14:paraId="3CD10F21" w14:textId="77777777" w:rsidR="00B63F0E" w:rsidRPr="00BD371E" w:rsidRDefault="00B63F0E" w:rsidP="009E678F">
            <w:pPr>
              <w:pStyle w:val="ECCTabletext"/>
              <w:spacing w:after="0"/>
              <w:jc w:val="left"/>
            </w:pPr>
            <w:r w:rsidRPr="00ED63D6">
              <w:t>MOBILE</w:t>
            </w:r>
            <w:r w:rsidR="00D61104" w:rsidRPr="00ED63D6">
              <w:t xml:space="preserve"> </w:t>
            </w:r>
            <w:r w:rsidRPr="00A44046">
              <w:t>(5.558)</w:t>
            </w:r>
          </w:p>
          <w:p w14:paraId="3B3E3217" w14:textId="77777777" w:rsidR="00B63F0E" w:rsidRPr="00D86561" w:rsidRDefault="00B63F0E" w:rsidP="009E678F">
            <w:pPr>
              <w:pStyle w:val="ECCTabletext"/>
              <w:spacing w:after="0"/>
              <w:jc w:val="left"/>
            </w:pPr>
            <w:r w:rsidRPr="005C3D16">
              <w:t>INTER-SATELLITE</w:t>
            </w:r>
          </w:p>
          <w:p w14:paraId="5C1472AC" w14:textId="77777777" w:rsidR="00B63F0E" w:rsidRPr="00E4615B" w:rsidRDefault="00B63F0E" w:rsidP="009E678F">
            <w:pPr>
              <w:pStyle w:val="ECCTabletext"/>
              <w:spacing w:after="0"/>
              <w:jc w:val="left"/>
            </w:pPr>
            <w:r w:rsidRPr="00794DA6">
              <w:t>EARTH EXPLORATION-SATELLITE (ACTIVE)</w:t>
            </w:r>
            <w:r w:rsidR="008F3E72" w:rsidRPr="00794DA6">
              <w:t xml:space="preserve"> </w:t>
            </w:r>
            <w:r w:rsidRPr="00794DA6">
              <w:t>(5.562E)</w:t>
            </w:r>
          </w:p>
        </w:tc>
        <w:tc>
          <w:tcPr>
            <w:tcW w:w="2149" w:type="dxa"/>
            <w:vAlign w:val="bottom"/>
          </w:tcPr>
          <w:p w14:paraId="178013EB" w14:textId="77777777" w:rsidR="00B63F0E" w:rsidRPr="000812B4" w:rsidRDefault="00B63F0E" w:rsidP="009E678F">
            <w:pPr>
              <w:pStyle w:val="ECCTabletext"/>
              <w:spacing w:after="0"/>
              <w:jc w:val="left"/>
            </w:pPr>
            <w:r w:rsidRPr="0082594A">
              <w:t>Fixed</w:t>
            </w:r>
          </w:p>
          <w:p w14:paraId="2788D346" w14:textId="77777777" w:rsidR="00B63F0E" w:rsidRPr="005A5261" w:rsidRDefault="00B63F0E" w:rsidP="009E678F">
            <w:pPr>
              <w:pStyle w:val="ECCTabletext"/>
              <w:spacing w:after="0"/>
              <w:jc w:val="left"/>
            </w:pPr>
            <w:r w:rsidRPr="005A5261">
              <w:t>Radio astronomy</w:t>
            </w:r>
          </w:p>
        </w:tc>
        <w:tc>
          <w:tcPr>
            <w:tcW w:w="405" w:type="dxa"/>
          </w:tcPr>
          <w:p w14:paraId="471DE10C" w14:textId="77777777" w:rsidR="00B63F0E" w:rsidRPr="00DB2DF5" w:rsidRDefault="00B63F0E" w:rsidP="009E678F">
            <w:pPr>
              <w:pStyle w:val="ECCTabletext"/>
              <w:spacing w:after="0"/>
            </w:pPr>
          </w:p>
        </w:tc>
        <w:tc>
          <w:tcPr>
            <w:tcW w:w="405" w:type="dxa"/>
          </w:tcPr>
          <w:p w14:paraId="604F612C" w14:textId="77777777" w:rsidR="00B63F0E" w:rsidRPr="00DB2DF5" w:rsidRDefault="00B63F0E" w:rsidP="009E678F">
            <w:pPr>
              <w:pStyle w:val="ECCTabletext"/>
              <w:spacing w:after="0"/>
              <w:jc w:val="left"/>
            </w:pPr>
            <w:r w:rsidRPr="00DB2DF5">
              <w:t>X</w:t>
            </w:r>
          </w:p>
        </w:tc>
        <w:tc>
          <w:tcPr>
            <w:tcW w:w="402" w:type="dxa"/>
          </w:tcPr>
          <w:p w14:paraId="604FD0B0" w14:textId="77777777" w:rsidR="00B63F0E" w:rsidRPr="00DB2DF5" w:rsidRDefault="00B63F0E" w:rsidP="009E678F">
            <w:pPr>
              <w:pStyle w:val="ECCTabletext"/>
              <w:spacing w:after="0"/>
              <w:jc w:val="left"/>
            </w:pPr>
            <w:r w:rsidRPr="00DB2DF5">
              <w:t>X</w:t>
            </w:r>
          </w:p>
        </w:tc>
        <w:tc>
          <w:tcPr>
            <w:tcW w:w="995" w:type="dxa"/>
          </w:tcPr>
          <w:p w14:paraId="7105EBDE" w14:textId="77777777" w:rsidR="00B63F0E" w:rsidRPr="00DB2DF5" w:rsidRDefault="00B63F0E" w:rsidP="009E678F">
            <w:pPr>
              <w:pStyle w:val="ECCTabletext"/>
              <w:spacing w:after="0"/>
              <w:jc w:val="left"/>
            </w:pPr>
            <w:r w:rsidRPr="00DB2DF5">
              <w:t>Note 1</w:t>
            </w:r>
          </w:p>
          <w:p w14:paraId="0B368E20" w14:textId="77777777" w:rsidR="00B63F0E" w:rsidRPr="00DB2DF5" w:rsidRDefault="00B63F0E" w:rsidP="009E678F">
            <w:pPr>
              <w:pStyle w:val="ECCTabletext"/>
              <w:spacing w:after="0"/>
              <w:jc w:val="left"/>
            </w:pPr>
            <w:r w:rsidRPr="00DB2DF5">
              <w:t>Note 2</w:t>
            </w:r>
          </w:p>
        </w:tc>
      </w:tr>
      <w:tr w:rsidR="00B63F0E" w:rsidRPr="00D61104" w14:paraId="70C28BD4" w14:textId="77777777" w:rsidTr="00B63F0E">
        <w:tc>
          <w:tcPr>
            <w:tcW w:w="1677" w:type="dxa"/>
          </w:tcPr>
          <w:p w14:paraId="1098109F" w14:textId="132E50EF" w:rsidR="00B63F0E" w:rsidRPr="00DB2DF5" w:rsidRDefault="00B63F0E" w:rsidP="009E678F">
            <w:pPr>
              <w:pStyle w:val="ECCTabletext"/>
              <w:spacing w:after="0"/>
              <w:jc w:val="left"/>
              <w:rPr>
                <w:rStyle w:val="ECCParagraph"/>
              </w:rPr>
            </w:pPr>
            <w:r w:rsidRPr="00DB2DF5">
              <w:rPr>
                <w:rStyle w:val="ECCParagraph"/>
              </w:rPr>
              <w:t>134.00</w:t>
            </w:r>
            <w:r w:rsidR="001D7996">
              <w:rPr>
                <w:rStyle w:val="ECCParagraph"/>
              </w:rPr>
              <w:t>-</w:t>
            </w:r>
            <w:r w:rsidRPr="00DB2DF5">
              <w:rPr>
                <w:rStyle w:val="ECCParagraph"/>
              </w:rPr>
              <w:t>136.00</w:t>
            </w:r>
          </w:p>
        </w:tc>
        <w:tc>
          <w:tcPr>
            <w:tcW w:w="3596" w:type="dxa"/>
            <w:vAlign w:val="bottom"/>
          </w:tcPr>
          <w:p w14:paraId="34C24DF3" w14:textId="77777777" w:rsidR="00B63F0E" w:rsidRPr="005A5261" w:rsidRDefault="00B63F0E" w:rsidP="009E678F">
            <w:pPr>
              <w:pStyle w:val="ECCTabletext"/>
              <w:spacing w:after="0"/>
              <w:jc w:val="left"/>
              <w:rPr>
                <w:lang w:val="fr-FR"/>
              </w:rPr>
            </w:pPr>
            <w:r w:rsidRPr="005A5261">
              <w:rPr>
                <w:lang w:val="fr-FR"/>
              </w:rPr>
              <w:t>AMATEUR-SATELLITE</w:t>
            </w:r>
          </w:p>
          <w:p w14:paraId="1D3520DF" w14:textId="77777777" w:rsidR="00B63F0E" w:rsidRPr="005A5261" w:rsidRDefault="00B63F0E" w:rsidP="009E678F">
            <w:pPr>
              <w:pStyle w:val="ECCTabletext"/>
              <w:spacing w:after="0"/>
              <w:jc w:val="left"/>
              <w:rPr>
                <w:lang w:val="fr-FR"/>
              </w:rPr>
            </w:pPr>
            <w:r w:rsidRPr="005A5261">
              <w:rPr>
                <w:lang w:val="fr-FR"/>
              </w:rPr>
              <w:t>AMATEUR</w:t>
            </w:r>
          </w:p>
          <w:p w14:paraId="1A3ACA54" w14:textId="77777777" w:rsidR="00B63F0E" w:rsidRPr="005A5261" w:rsidRDefault="00B63F0E" w:rsidP="009E678F">
            <w:pPr>
              <w:pStyle w:val="ECCTabletext"/>
              <w:spacing w:after="0"/>
              <w:jc w:val="left"/>
              <w:rPr>
                <w:lang w:val="fr-FR"/>
              </w:rPr>
            </w:pPr>
            <w:r w:rsidRPr="005A5261">
              <w:rPr>
                <w:lang w:val="fr-FR"/>
              </w:rPr>
              <w:t>Radio Astronomy</w:t>
            </w:r>
          </w:p>
        </w:tc>
        <w:tc>
          <w:tcPr>
            <w:tcW w:w="2149" w:type="dxa"/>
            <w:vAlign w:val="bottom"/>
          </w:tcPr>
          <w:p w14:paraId="5C70BEA6" w14:textId="77777777" w:rsidR="00B63F0E" w:rsidRPr="005A5261" w:rsidRDefault="00B63F0E" w:rsidP="009E678F">
            <w:pPr>
              <w:pStyle w:val="ECCTabletext"/>
              <w:spacing w:after="0"/>
              <w:jc w:val="left"/>
              <w:rPr>
                <w:lang w:val="fr-FR"/>
              </w:rPr>
            </w:pPr>
            <w:r w:rsidRPr="005A5261">
              <w:rPr>
                <w:lang w:val="fr-FR"/>
              </w:rPr>
              <w:t>Amateur</w:t>
            </w:r>
          </w:p>
          <w:p w14:paraId="6C4EC0BE" w14:textId="77777777" w:rsidR="00B63F0E" w:rsidRPr="005A5261" w:rsidRDefault="00B63F0E" w:rsidP="009E678F">
            <w:pPr>
              <w:pStyle w:val="ECCTabletext"/>
              <w:spacing w:after="0"/>
              <w:jc w:val="left"/>
              <w:rPr>
                <w:lang w:val="fr-FR"/>
              </w:rPr>
            </w:pPr>
            <w:r w:rsidRPr="005A5261">
              <w:rPr>
                <w:lang w:val="fr-FR"/>
              </w:rPr>
              <w:t>Amateur-satellite</w:t>
            </w:r>
          </w:p>
          <w:p w14:paraId="24451C15" w14:textId="77777777" w:rsidR="00B63F0E" w:rsidRPr="005A5261" w:rsidRDefault="00B63F0E" w:rsidP="009E678F">
            <w:pPr>
              <w:pStyle w:val="ECCTabletext"/>
              <w:spacing w:after="0"/>
              <w:jc w:val="left"/>
              <w:rPr>
                <w:lang w:val="fr-FR"/>
              </w:rPr>
            </w:pPr>
            <w:r w:rsidRPr="005A5261">
              <w:rPr>
                <w:lang w:val="fr-FR"/>
              </w:rPr>
              <w:t>Radio astronomy</w:t>
            </w:r>
          </w:p>
        </w:tc>
        <w:tc>
          <w:tcPr>
            <w:tcW w:w="405" w:type="dxa"/>
          </w:tcPr>
          <w:p w14:paraId="0A530A34" w14:textId="77777777" w:rsidR="00B63F0E" w:rsidRPr="00DB2DF5" w:rsidRDefault="00B63F0E" w:rsidP="009E678F">
            <w:pPr>
              <w:pStyle w:val="ECCTabletext"/>
              <w:spacing w:after="0"/>
              <w:jc w:val="left"/>
            </w:pPr>
            <w:r w:rsidRPr="00DB2DF5">
              <w:t>X</w:t>
            </w:r>
          </w:p>
        </w:tc>
        <w:tc>
          <w:tcPr>
            <w:tcW w:w="405" w:type="dxa"/>
          </w:tcPr>
          <w:p w14:paraId="2EBB25B0" w14:textId="77777777" w:rsidR="00B63F0E" w:rsidRPr="00DB2DF5" w:rsidRDefault="00B63F0E" w:rsidP="009E678F">
            <w:pPr>
              <w:pStyle w:val="ECCTabletext"/>
              <w:spacing w:after="0"/>
              <w:jc w:val="left"/>
            </w:pPr>
            <w:r w:rsidRPr="00DB2DF5">
              <w:t>X</w:t>
            </w:r>
          </w:p>
        </w:tc>
        <w:tc>
          <w:tcPr>
            <w:tcW w:w="402" w:type="dxa"/>
          </w:tcPr>
          <w:p w14:paraId="5CA19EA3" w14:textId="77777777" w:rsidR="00B63F0E" w:rsidRPr="00DB2DF5" w:rsidRDefault="00B63F0E" w:rsidP="009E678F">
            <w:pPr>
              <w:pStyle w:val="ECCTabletext"/>
              <w:spacing w:after="0"/>
              <w:jc w:val="left"/>
            </w:pPr>
            <w:r w:rsidRPr="00DB2DF5">
              <w:t>X</w:t>
            </w:r>
          </w:p>
        </w:tc>
        <w:tc>
          <w:tcPr>
            <w:tcW w:w="995" w:type="dxa"/>
          </w:tcPr>
          <w:p w14:paraId="3F4FBAEA" w14:textId="77777777" w:rsidR="00B63F0E" w:rsidRPr="00DB2DF5" w:rsidRDefault="00B63F0E" w:rsidP="009E678F">
            <w:pPr>
              <w:pStyle w:val="ECCTabletext"/>
              <w:spacing w:after="0"/>
            </w:pPr>
          </w:p>
        </w:tc>
      </w:tr>
      <w:tr w:rsidR="00B63F0E" w:rsidRPr="00D61104" w14:paraId="6787B72E" w14:textId="77777777" w:rsidTr="00B63F0E">
        <w:tc>
          <w:tcPr>
            <w:tcW w:w="1677" w:type="dxa"/>
          </w:tcPr>
          <w:p w14:paraId="727B48A3" w14:textId="72E39319" w:rsidR="00B63F0E" w:rsidRPr="00DB2DF5" w:rsidRDefault="00B63F0E" w:rsidP="009E678F">
            <w:pPr>
              <w:pStyle w:val="ECCTabletext"/>
              <w:spacing w:after="0"/>
              <w:jc w:val="left"/>
              <w:rPr>
                <w:rStyle w:val="ECCParagraph"/>
              </w:rPr>
            </w:pPr>
            <w:r w:rsidRPr="00DB2DF5">
              <w:rPr>
                <w:rStyle w:val="ECCParagraph"/>
              </w:rPr>
              <w:t>136.00</w:t>
            </w:r>
            <w:r w:rsidR="001D7996">
              <w:rPr>
                <w:rStyle w:val="ECCParagraph"/>
              </w:rPr>
              <w:t>-</w:t>
            </w:r>
            <w:r w:rsidRPr="00DB2DF5">
              <w:rPr>
                <w:rStyle w:val="ECCParagraph"/>
              </w:rPr>
              <w:t>141.00</w:t>
            </w:r>
          </w:p>
          <w:p w14:paraId="7E9E8288" w14:textId="77777777" w:rsidR="00B63F0E" w:rsidRPr="00DB2DF5" w:rsidRDefault="00B63F0E" w:rsidP="009E678F">
            <w:pPr>
              <w:pStyle w:val="ECCTabletext"/>
              <w:spacing w:after="0"/>
              <w:jc w:val="left"/>
              <w:rPr>
                <w:rStyle w:val="ECCParagraph"/>
              </w:rPr>
            </w:pPr>
            <w:r w:rsidRPr="00DB2DF5">
              <w:rPr>
                <w:rStyle w:val="ECCParagraph"/>
              </w:rPr>
              <w:t>(5.149)</w:t>
            </w:r>
          </w:p>
        </w:tc>
        <w:tc>
          <w:tcPr>
            <w:tcW w:w="3596" w:type="dxa"/>
            <w:vAlign w:val="bottom"/>
          </w:tcPr>
          <w:p w14:paraId="22029C36" w14:textId="77777777" w:rsidR="00B63F0E" w:rsidRPr="005A5261" w:rsidRDefault="00B63F0E" w:rsidP="009E678F">
            <w:pPr>
              <w:pStyle w:val="ECCTabletext"/>
              <w:spacing w:after="0"/>
              <w:jc w:val="left"/>
              <w:rPr>
                <w:lang w:val="fr-FR"/>
              </w:rPr>
            </w:pPr>
            <w:r w:rsidRPr="005A5261">
              <w:rPr>
                <w:lang w:val="fr-FR"/>
              </w:rPr>
              <w:t>RADIO ASTRONOMY</w:t>
            </w:r>
          </w:p>
          <w:p w14:paraId="592F8062" w14:textId="77777777" w:rsidR="00B63F0E" w:rsidRPr="005A5261" w:rsidRDefault="00B63F0E" w:rsidP="009E678F">
            <w:pPr>
              <w:pStyle w:val="ECCTabletext"/>
              <w:spacing w:after="0"/>
              <w:jc w:val="left"/>
              <w:rPr>
                <w:lang w:val="fr-FR"/>
              </w:rPr>
            </w:pPr>
            <w:r w:rsidRPr="005A5261">
              <w:rPr>
                <w:lang w:val="fr-FR"/>
              </w:rPr>
              <w:t>RADIOLOCATION</w:t>
            </w:r>
          </w:p>
          <w:p w14:paraId="0E5D155C" w14:textId="77777777" w:rsidR="00B63F0E" w:rsidRPr="005A5261" w:rsidRDefault="00B63F0E" w:rsidP="009E678F">
            <w:pPr>
              <w:pStyle w:val="ECCTabletext"/>
              <w:spacing w:after="0"/>
              <w:jc w:val="left"/>
              <w:rPr>
                <w:lang w:val="fr-FR"/>
              </w:rPr>
            </w:pPr>
            <w:r w:rsidRPr="005A5261">
              <w:rPr>
                <w:lang w:val="fr-FR"/>
              </w:rPr>
              <w:t>Amateur</w:t>
            </w:r>
          </w:p>
          <w:p w14:paraId="24091129" w14:textId="77777777" w:rsidR="00B63F0E" w:rsidRPr="005A5261" w:rsidRDefault="00B63F0E" w:rsidP="009E678F">
            <w:pPr>
              <w:pStyle w:val="ECCTabletext"/>
              <w:spacing w:after="0"/>
              <w:jc w:val="left"/>
              <w:rPr>
                <w:rStyle w:val="ECCHLyellow"/>
                <w:lang w:val="fr-FR"/>
              </w:rPr>
            </w:pPr>
            <w:r w:rsidRPr="005A5261">
              <w:rPr>
                <w:lang w:val="fr-FR"/>
              </w:rPr>
              <w:t>Amateur-Satellite</w:t>
            </w:r>
          </w:p>
        </w:tc>
        <w:tc>
          <w:tcPr>
            <w:tcW w:w="2149" w:type="dxa"/>
            <w:vAlign w:val="bottom"/>
          </w:tcPr>
          <w:p w14:paraId="0AE42837" w14:textId="77777777" w:rsidR="00B63F0E" w:rsidRPr="005A5261" w:rsidRDefault="00B63F0E" w:rsidP="009E678F">
            <w:pPr>
              <w:pStyle w:val="ECCTabletext"/>
              <w:spacing w:after="0"/>
              <w:jc w:val="left"/>
              <w:rPr>
                <w:lang w:val="fr-FR"/>
              </w:rPr>
            </w:pPr>
            <w:r w:rsidRPr="005A5261">
              <w:rPr>
                <w:lang w:val="fr-FR"/>
              </w:rPr>
              <w:t>Amateur-satellite</w:t>
            </w:r>
          </w:p>
          <w:p w14:paraId="6DE7830B" w14:textId="77777777" w:rsidR="00B63F0E" w:rsidRPr="005A5261" w:rsidRDefault="00B63F0E" w:rsidP="009E678F">
            <w:pPr>
              <w:pStyle w:val="ECCTabletext"/>
              <w:spacing w:after="0"/>
              <w:jc w:val="left"/>
              <w:rPr>
                <w:lang w:val="fr-FR"/>
              </w:rPr>
            </w:pPr>
            <w:r w:rsidRPr="005A5261">
              <w:rPr>
                <w:lang w:val="fr-FR"/>
              </w:rPr>
              <w:t>Amateur</w:t>
            </w:r>
          </w:p>
          <w:p w14:paraId="659B3E9F" w14:textId="77777777" w:rsidR="00B63F0E" w:rsidRPr="005A5261" w:rsidRDefault="00B63F0E" w:rsidP="009E678F">
            <w:pPr>
              <w:pStyle w:val="ECCTabletext"/>
              <w:spacing w:after="0"/>
              <w:jc w:val="left"/>
              <w:rPr>
                <w:lang w:val="fr-FR"/>
              </w:rPr>
            </w:pPr>
            <w:r w:rsidRPr="005A5261">
              <w:rPr>
                <w:lang w:val="fr-FR"/>
              </w:rPr>
              <w:t>Radio astronomy</w:t>
            </w:r>
          </w:p>
        </w:tc>
        <w:tc>
          <w:tcPr>
            <w:tcW w:w="405" w:type="dxa"/>
          </w:tcPr>
          <w:p w14:paraId="0FBE3CE5" w14:textId="77777777" w:rsidR="00B63F0E" w:rsidRPr="00DB2DF5" w:rsidRDefault="00B63F0E" w:rsidP="009E678F">
            <w:pPr>
              <w:pStyle w:val="ECCTabletext"/>
              <w:spacing w:after="0"/>
              <w:jc w:val="left"/>
            </w:pPr>
            <w:r w:rsidRPr="00DB2DF5">
              <w:t>X</w:t>
            </w:r>
          </w:p>
        </w:tc>
        <w:tc>
          <w:tcPr>
            <w:tcW w:w="405" w:type="dxa"/>
          </w:tcPr>
          <w:p w14:paraId="1032DC96" w14:textId="77777777" w:rsidR="00B63F0E" w:rsidRPr="00DB2DF5" w:rsidRDefault="00B63F0E" w:rsidP="009E678F">
            <w:pPr>
              <w:pStyle w:val="ECCTabletext"/>
              <w:spacing w:after="0"/>
              <w:jc w:val="left"/>
            </w:pPr>
            <w:r w:rsidRPr="00DB2DF5">
              <w:t>X</w:t>
            </w:r>
          </w:p>
        </w:tc>
        <w:tc>
          <w:tcPr>
            <w:tcW w:w="402" w:type="dxa"/>
          </w:tcPr>
          <w:p w14:paraId="0A450D3C" w14:textId="77777777" w:rsidR="00B63F0E" w:rsidRPr="00DB2DF5" w:rsidRDefault="00B63F0E" w:rsidP="009E678F">
            <w:pPr>
              <w:pStyle w:val="ECCTabletext"/>
              <w:spacing w:after="0"/>
              <w:jc w:val="left"/>
            </w:pPr>
            <w:r w:rsidRPr="00DB2DF5">
              <w:t>X</w:t>
            </w:r>
          </w:p>
        </w:tc>
        <w:tc>
          <w:tcPr>
            <w:tcW w:w="995" w:type="dxa"/>
          </w:tcPr>
          <w:p w14:paraId="161966C1" w14:textId="77777777" w:rsidR="00B63F0E" w:rsidRPr="00DB2DF5" w:rsidRDefault="00B63F0E" w:rsidP="009E678F">
            <w:pPr>
              <w:pStyle w:val="ECCTabletext"/>
              <w:spacing w:after="0"/>
            </w:pPr>
          </w:p>
        </w:tc>
      </w:tr>
      <w:tr w:rsidR="00B63F0E" w:rsidRPr="00D61104" w14:paraId="0D1818F0" w14:textId="77777777" w:rsidTr="00B63F0E">
        <w:tc>
          <w:tcPr>
            <w:tcW w:w="1677" w:type="dxa"/>
          </w:tcPr>
          <w:p w14:paraId="5C8B3AF9" w14:textId="1F8F21B7" w:rsidR="00B63F0E" w:rsidRPr="00DB2DF5" w:rsidRDefault="00B63F0E" w:rsidP="009E678F">
            <w:pPr>
              <w:pStyle w:val="ECCTabletext"/>
              <w:spacing w:after="0"/>
              <w:jc w:val="left"/>
              <w:rPr>
                <w:rStyle w:val="ECCParagraph"/>
              </w:rPr>
            </w:pPr>
            <w:r w:rsidRPr="00DB2DF5">
              <w:rPr>
                <w:rStyle w:val="ECCParagraph"/>
              </w:rPr>
              <w:t>141.00</w:t>
            </w:r>
            <w:r w:rsidR="001D7996">
              <w:rPr>
                <w:rStyle w:val="ECCParagraph"/>
              </w:rPr>
              <w:t>-</w:t>
            </w:r>
            <w:r w:rsidRPr="00DB2DF5">
              <w:rPr>
                <w:rStyle w:val="ECCParagraph"/>
              </w:rPr>
              <w:t>148.50</w:t>
            </w:r>
          </w:p>
          <w:p w14:paraId="6462456F" w14:textId="77777777" w:rsidR="00B63F0E" w:rsidRPr="006165A1" w:rsidRDefault="00B63F0E" w:rsidP="009E678F">
            <w:pPr>
              <w:pStyle w:val="ECCTabletext"/>
              <w:spacing w:after="0"/>
              <w:jc w:val="left"/>
            </w:pPr>
            <w:r w:rsidRPr="00605764">
              <w:t>(5.149)</w:t>
            </w:r>
          </w:p>
        </w:tc>
        <w:tc>
          <w:tcPr>
            <w:tcW w:w="3596" w:type="dxa"/>
            <w:vAlign w:val="bottom"/>
          </w:tcPr>
          <w:p w14:paraId="290EB181" w14:textId="77777777" w:rsidR="00B63F0E" w:rsidRPr="006165A1" w:rsidRDefault="00B63F0E" w:rsidP="009E678F">
            <w:pPr>
              <w:pStyle w:val="ECCTabletext"/>
              <w:spacing w:after="0"/>
              <w:jc w:val="left"/>
            </w:pPr>
            <w:r w:rsidRPr="006165A1">
              <w:t>MOBILE</w:t>
            </w:r>
          </w:p>
          <w:p w14:paraId="33BC7735" w14:textId="77777777" w:rsidR="00B63F0E" w:rsidRPr="00A24E00" w:rsidRDefault="00B63F0E" w:rsidP="009E678F">
            <w:pPr>
              <w:pStyle w:val="ECCTabletext"/>
              <w:spacing w:after="0"/>
              <w:jc w:val="left"/>
            </w:pPr>
            <w:r w:rsidRPr="00B2765F">
              <w:t>FIXED</w:t>
            </w:r>
          </w:p>
          <w:p w14:paraId="603601D2" w14:textId="77777777" w:rsidR="00B63F0E" w:rsidRPr="00ED63D6" w:rsidRDefault="00B63F0E" w:rsidP="009E678F">
            <w:pPr>
              <w:pStyle w:val="ECCTabletext"/>
              <w:spacing w:after="0"/>
              <w:jc w:val="left"/>
            </w:pPr>
            <w:r w:rsidRPr="00ED63D6">
              <w:t>RADIOLOCATION</w:t>
            </w:r>
          </w:p>
          <w:p w14:paraId="12F0BFC4" w14:textId="77777777" w:rsidR="00B63F0E" w:rsidRPr="00BD371E" w:rsidRDefault="00B63F0E" w:rsidP="009E678F">
            <w:pPr>
              <w:pStyle w:val="ECCTabletext"/>
              <w:spacing w:after="0"/>
              <w:jc w:val="left"/>
              <w:rPr>
                <w:rStyle w:val="ECCHLyellow"/>
              </w:rPr>
            </w:pPr>
            <w:r w:rsidRPr="00A44046">
              <w:t>RADIO ASTRONOMY</w:t>
            </w:r>
          </w:p>
        </w:tc>
        <w:tc>
          <w:tcPr>
            <w:tcW w:w="2149" w:type="dxa"/>
            <w:vAlign w:val="bottom"/>
          </w:tcPr>
          <w:p w14:paraId="38F979F3" w14:textId="77777777" w:rsidR="00B63F0E" w:rsidRPr="00D86561" w:rsidRDefault="00B63F0E" w:rsidP="009E678F">
            <w:pPr>
              <w:pStyle w:val="ECCTabletext"/>
              <w:spacing w:after="0"/>
              <w:jc w:val="left"/>
            </w:pPr>
            <w:r w:rsidRPr="005C3D16">
              <w:t>Radio astronomy</w:t>
            </w:r>
          </w:p>
          <w:p w14:paraId="55C83E83" w14:textId="77777777" w:rsidR="00B63F0E" w:rsidRPr="00794DA6" w:rsidRDefault="00B63F0E" w:rsidP="009E678F">
            <w:pPr>
              <w:pStyle w:val="ECCTabletext"/>
              <w:spacing w:after="0"/>
              <w:jc w:val="left"/>
            </w:pPr>
            <w:r w:rsidRPr="00794DA6">
              <w:t>Fixed</w:t>
            </w:r>
          </w:p>
        </w:tc>
        <w:tc>
          <w:tcPr>
            <w:tcW w:w="405" w:type="dxa"/>
          </w:tcPr>
          <w:p w14:paraId="7E12FC41" w14:textId="77777777" w:rsidR="00B63F0E" w:rsidRPr="00E4615B" w:rsidRDefault="00B63F0E" w:rsidP="009E678F">
            <w:pPr>
              <w:pStyle w:val="ECCTabletext"/>
              <w:spacing w:after="0"/>
              <w:jc w:val="left"/>
            </w:pPr>
            <w:r w:rsidRPr="00794DA6">
              <w:t>X</w:t>
            </w:r>
          </w:p>
        </w:tc>
        <w:tc>
          <w:tcPr>
            <w:tcW w:w="405" w:type="dxa"/>
          </w:tcPr>
          <w:p w14:paraId="3964538F" w14:textId="77777777" w:rsidR="00B63F0E" w:rsidRPr="000812B4" w:rsidRDefault="00B63F0E" w:rsidP="009E678F">
            <w:pPr>
              <w:pStyle w:val="ECCTabletext"/>
              <w:spacing w:after="0"/>
              <w:jc w:val="left"/>
            </w:pPr>
            <w:r w:rsidRPr="0082594A">
              <w:t>X</w:t>
            </w:r>
          </w:p>
        </w:tc>
        <w:tc>
          <w:tcPr>
            <w:tcW w:w="402" w:type="dxa"/>
          </w:tcPr>
          <w:p w14:paraId="58E657DC" w14:textId="77777777" w:rsidR="00B63F0E" w:rsidRPr="005A5261" w:rsidRDefault="00B63F0E" w:rsidP="009E678F">
            <w:pPr>
              <w:pStyle w:val="ECCTabletext"/>
              <w:spacing w:after="0"/>
              <w:jc w:val="left"/>
            </w:pPr>
            <w:r w:rsidRPr="005A5261">
              <w:t>X</w:t>
            </w:r>
          </w:p>
        </w:tc>
        <w:tc>
          <w:tcPr>
            <w:tcW w:w="995" w:type="dxa"/>
          </w:tcPr>
          <w:p w14:paraId="17C574A2" w14:textId="77777777" w:rsidR="00B63F0E" w:rsidRPr="00DB2DF5" w:rsidRDefault="00B63F0E" w:rsidP="009E678F">
            <w:pPr>
              <w:pStyle w:val="ECCTabletext"/>
              <w:spacing w:after="0"/>
              <w:jc w:val="left"/>
            </w:pPr>
            <w:r w:rsidRPr="00DB2DF5">
              <w:t>Note 1</w:t>
            </w:r>
          </w:p>
        </w:tc>
      </w:tr>
      <w:tr w:rsidR="00B63F0E" w:rsidRPr="00D61104" w14:paraId="2E850C6E" w14:textId="77777777" w:rsidTr="00B63F0E">
        <w:tc>
          <w:tcPr>
            <w:tcW w:w="1677" w:type="dxa"/>
          </w:tcPr>
          <w:p w14:paraId="7081577F" w14:textId="510D383B" w:rsidR="00B63F0E" w:rsidRPr="00DB2DF5" w:rsidRDefault="00B63F0E" w:rsidP="009E678F">
            <w:pPr>
              <w:pStyle w:val="ECCTabletext"/>
              <w:spacing w:after="0"/>
              <w:jc w:val="left"/>
            </w:pPr>
            <w:r w:rsidRPr="00DB2DF5">
              <w:t>148.50</w:t>
            </w:r>
            <w:r w:rsidR="001D7996">
              <w:t>-</w:t>
            </w:r>
            <w:r w:rsidRPr="00DB2DF5">
              <w:t>151.50</w:t>
            </w:r>
          </w:p>
          <w:p w14:paraId="2D0698B3" w14:textId="77777777" w:rsidR="00B63F0E" w:rsidRPr="00DB2DF5" w:rsidRDefault="00B63F0E" w:rsidP="009E678F">
            <w:pPr>
              <w:pStyle w:val="ECCTabletext"/>
              <w:spacing w:after="0"/>
              <w:jc w:val="left"/>
            </w:pPr>
            <w:r w:rsidRPr="00DB2DF5">
              <w:t>(5.340)</w:t>
            </w:r>
          </w:p>
        </w:tc>
        <w:tc>
          <w:tcPr>
            <w:tcW w:w="3596" w:type="dxa"/>
            <w:vAlign w:val="bottom"/>
          </w:tcPr>
          <w:p w14:paraId="711CE4B7" w14:textId="77777777" w:rsidR="00B63F0E" w:rsidRPr="00DB2DF5" w:rsidRDefault="00B63F0E" w:rsidP="009E678F">
            <w:pPr>
              <w:pStyle w:val="ECCTabletext"/>
              <w:spacing w:after="0"/>
              <w:jc w:val="left"/>
            </w:pPr>
            <w:r w:rsidRPr="00DB2DF5">
              <w:t>RADIO ASTRONOMY</w:t>
            </w:r>
          </w:p>
          <w:p w14:paraId="7C7F2A93" w14:textId="77777777" w:rsidR="00B63F0E" w:rsidRPr="00DB2DF5" w:rsidRDefault="00B63F0E" w:rsidP="009E678F">
            <w:pPr>
              <w:pStyle w:val="ECCTabletext"/>
              <w:spacing w:after="0"/>
              <w:jc w:val="left"/>
            </w:pPr>
            <w:r w:rsidRPr="00DB2DF5">
              <w:t>SPACE RESEARCH (PASSIVE)</w:t>
            </w:r>
          </w:p>
          <w:p w14:paraId="35915166" w14:textId="77777777" w:rsidR="00B63F0E" w:rsidRPr="00DB2DF5" w:rsidRDefault="00B63F0E" w:rsidP="009E678F">
            <w:pPr>
              <w:pStyle w:val="ECCTabletext"/>
              <w:spacing w:after="0"/>
              <w:jc w:val="left"/>
              <w:rPr>
                <w:rStyle w:val="ECCHLyellow"/>
              </w:rPr>
            </w:pPr>
            <w:r w:rsidRPr="00DB2DF5">
              <w:t>EARTH EXPLORATION-SATELLITE (PASSIVE)</w:t>
            </w:r>
          </w:p>
        </w:tc>
        <w:tc>
          <w:tcPr>
            <w:tcW w:w="2149" w:type="dxa"/>
            <w:vAlign w:val="bottom"/>
          </w:tcPr>
          <w:p w14:paraId="22EC839C" w14:textId="77777777" w:rsidR="00B63F0E" w:rsidRPr="005A5261" w:rsidRDefault="00B63F0E" w:rsidP="009E678F">
            <w:pPr>
              <w:pStyle w:val="ECCTabletext"/>
              <w:spacing w:after="0"/>
              <w:jc w:val="left"/>
              <w:rPr>
                <w:lang w:val="fr-FR"/>
              </w:rPr>
            </w:pPr>
            <w:r w:rsidRPr="005A5261">
              <w:rPr>
                <w:lang w:val="fr-FR"/>
              </w:rPr>
              <w:t>Passive sensors (satellite)</w:t>
            </w:r>
          </w:p>
          <w:p w14:paraId="6681AB12" w14:textId="77777777" w:rsidR="00B63F0E" w:rsidRPr="005A5261" w:rsidRDefault="00B63F0E" w:rsidP="009E678F">
            <w:pPr>
              <w:pStyle w:val="ECCTabletext"/>
              <w:spacing w:after="0"/>
              <w:jc w:val="left"/>
              <w:rPr>
                <w:lang w:val="fr-FR"/>
              </w:rPr>
            </w:pPr>
            <w:r w:rsidRPr="005A5261">
              <w:rPr>
                <w:lang w:val="fr-FR"/>
              </w:rPr>
              <w:t>Radio astronomy</w:t>
            </w:r>
          </w:p>
        </w:tc>
        <w:tc>
          <w:tcPr>
            <w:tcW w:w="405" w:type="dxa"/>
          </w:tcPr>
          <w:p w14:paraId="178CC29C" w14:textId="77777777" w:rsidR="00B63F0E" w:rsidRPr="005A5261" w:rsidRDefault="00B63F0E" w:rsidP="009E678F">
            <w:pPr>
              <w:pStyle w:val="ECCTabletext"/>
              <w:spacing w:after="0"/>
              <w:rPr>
                <w:lang w:val="fr-FR"/>
              </w:rPr>
            </w:pPr>
          </w:p>
        </w:tc>
        <w:tc>
          <w:tcPr>
            <w:tcW w:w="405" w:type="dxa"/>
          </w:tcPr>
          <w:p w14:paraId="0E1291D3" w14:textId="77777777" w:rsidR="00B63F0E" w:rsidRPr="005A5261" w:rsidRDefault="00B63F0E" w:rsidP="009E678F">
            <w:pPr>
              <w:pStyle w:val="ECCTabletext"/>
              <w:spacing w:after="0"/>
              <w:rPr>
                <w:lang w:val="fr-FR"/>
              </w:rPr>
            </w:pPr>
          </w:p>
        </w:tc>
        <w:tc>
          <w:tcPr>
            <w:tcW w:w="402" w:type="dxa"/>
          </w:tcPr>
          <w:p w14:paraId="7970F323" w14:textId="77777777" w:rsidR="00B63F0E" w:rsidRPr="00DB2DF5" w:rsidRDefault="00B63F0E" w:rsidP="009E678F">
            <w:pPr>
              <w:pStyle w:val="ECCTabletext"/>
              <w:spacing w:after="0"/>
              <w:jc w:val="left"/>
            </w:pPr>
            <w:r w:rsidRPr="00DB2DF5">
              <w:t>X</w:t>
            </w:r>
          </w:p>
        </w:tc>
        <w:tc>
          <w:tcPr>
            <w:tcW w:w="995" w:type="dxa"/>
          </w:tcPr>
          <w:p w14:paraId="7D2C7B59" w14:textId="77777777" w:rsidR="00B63F0E" w:rsidRPr="00DB2DF5" w:rsidRDefault="00B63F0E" w:rsidP="009E678F">
            <w:pPr>
              <w:pStyle w:val="ECCTabletext"/>
              <w:spacing w:after="0"/>
            </w:pPr>
          </w:p>
        </w:tc>
      </w:tr>
      <w:tr w:rsidR="00B63F0E" w:rsidRPr="00D61104" w14:paraId="71635C9D" w14:textId="77777777" w:rsidTr="00B63F0E">
        <w:tc>
          <w:tcPr>
            <w:tcW w:w="1677" w:type="dxa"/>
          </w:tcPr>
          <w:p w14:paraId="413A9E9E" w14:textId="0333059B" w:rsidR="00B63F0E" w:rsidRPr="00DB2DF5" w:rsidRDefault="00B63F0E" w:rsidP="009E678F">
            <w:pPr>
              <w:pStyle w:val="ECCTabletext"/>
              <w:spacing w:after="0"/>
              <w:jc w:val="left"/>
            </w:pPr>
            <w:r w:rsidRPr="00DB2DF5">
              <w:t>151.50</w:t>
            </w:r>
            <w:r w:rsidR="001D7996">
              <w:t>-</w:t>
            </w:r>
            <w:r w:rsidRPr="00DB2DF5">
              <w:t>155.50</w:t>
            </w:r>
          </w:p>
          <w:p w14:paraId="00E3F842" w14:textId="77777777" w:rsidR="00B63F0E" w:rsidRPr="006165A1" w:rsidRDefault="00B63F0E" w:rsidP="009E678F">
            <w:pPr>
              <w:pStyle w:val="ECCTabletext"/>
              <w:spacing w:after="0"/>
              <w:jc w:val="left"/>
            </w:pPr>
            <w:r w:rsidRPr="00605764">
              <w:t>(5.149)</w:t>
            </w:r>
          </w:p>
        </w:tc>
        <w:tc>
          <w:tcPr>
            <w:tcW w:w="3596" w:type="dxa"/>
            <w:vAlign w:val="bottom"/>
          </w:tcPr>
          <w:p w14:paraId="44B79BD2" w14:textId="77777777" w:rsidR="00B63F0E" w:rsidRPr="006165A1" w:rsidRDefault="00B63F0E" w:rsidP="009E678F">
            <w:pPr>
              <w:pStyle w:val="ECCTabletext"/>
              <w:spacing w:after="0"/>
              <w:jc w:val="left"/>
            </w:pPr>
            <w:r w:rsidRPr="006165A1">
              <w:t>FIXED</w:t>
            </w:r>
          </w:p>
          <w:p w14:paraId="52E1A8B2" w14:textId="77777777" w:rsidR="00B63F0E" w:rsidRPr="00A24E00" w:rsidRDefault="00B63F0E" w:rsidP="009E678F">
            <w:pPr>
              <w:pStyle w:val="ECCTabletext"/>
              <w:spacing w:after="0"/>
              <w:jc w:val="left"/>
            </w:pPr>
            <w:r w:rsidRPr="00B2765F">
              <w:t>MOBILE</w:t>
            </w:r>
          </w:p>
          <w:p w14:paraId="36119F10" w14:textId="77777777" w:rsidR="00B63F0E" w:rsidRPr="00ED63D6" w:rsidRDefault="00B63F0E" w:rsidP="009E678F">
            <w:pPr>
              <w:pStyle w:val="ECCTabletext"/>
              <w:spacing w:after="0"/>
              <w:jc w:val="left"/>
            </w:pPr>
            <w:r w:rsidRPr="00ED63D6">
              <w:t>RADIO ASTRONOMY</w:t>
            </w:r>
          </w:p>
          <w:p w14:paraId="5D0FFFF4" w14:textId="77777777" w:rsidR="00B63F0E" w:rsidRPr="00BD371E" w:rsidRDefault="00B63F0E" w:rsidP="009E678F">
            <w:pPr>
              <w:pStyle w:val="ECCTabletext"/>
              <w:spacing w:after="0"/>
              <w:jc w:val="left"/>
              <w:rPr>
                <w:rStyle w:val="ECCHLyellow"/>
              </w:rPr>
            </w:pPr>
            <w:r w:rsidRPr="00A44046">
              <w:t>RADIOLOCATION</w:t>
            </w:r>
          </w:p>
        </w:tc>
        <w:tc>
          <w:tcPr>
            <w:tcW w:w="2149" w:type="dxa"/>
            <w:vAlign w:val="bottom"/>
          </w:tcPr>
          <w:p w14:paraId="49DB16FF" w14:textId="77777777" w:rsidR="00B63F0E" w:rsidRPr="00D86561" w:rsidRDefault="00B63F0E" w:rsidP="009E678F">
            <w:pPr>
              <w:pStyle w:val="ECCTabletext"/>
              <w:spacing w:after="0"/>
              <w:jc w:val="left"/>
            </w:pPr>
            <w:r w:rsidRPr="005C3D16">
              <w:t>Radio astronomy</w:t>
            </w:r>
          </w:p>
          <w:p w14:paraId="750E08EE" w14:textId="77777777" w:rsidR="00B63F0E" w:rsidRPr="00794DA6" w:rsidRDefault="00B63F0E" w:rsidP="009E678F">
            <w:pPr>
              <w:pStyle w:val="ECCTabletext"/>
              <w:spacing w:after="0"/>
              <w:jc w:val="left"/>
            </w:pPr>
            <w:r w:rsidRPr="00794DA6">
              <w:t>Fixed</w:t>
            </w:r>
          </w:p>
        </w:tc>
        <w:tc>
          <w:tcPr>
            <w:tcW w:w="405" w:type="dxa"/>
          </w:tcPr>
          <w:p w14:paraId="36797990" w14:textId="77777777" w:rsidR="00B63F0E" w:rsidRPr="00794DA6" w:rsidRDefault="00B63F0E" w:rsidP="009E678F">
            <w:pPr>
              <w:pStyle w:val="ECCTabletext"/>
              <w:spacing w:after="0"/>
            </w:pPr>
          </w:p>
        </w:tc>
        <w:tc>
          <w:tcPr>
            <w:tcW w:w="405" w:type="dxa"/>
          </w:tcPr>
          <w:p w14:paraId="6D3960C0" w14:textId="77777777" w:rsidR="00B63F0E" w:rsidRPr="00D8559F" w:rsidRDefault="00B63F0E" w:rsidP="009E678F">
            <w:pPr>
              <w:pStyle w:val="ECCTabletext"/>
              <w:spacing w:after="0"/>
              <w:jc w:val="left"/>
            </w:pPr>
            <w:r w:rsidRPr="00E4615B">
              <w:t>X</w:t>
            </w:r>
          </w:p>
        </w:tc>
        <w:tc>
          <w:tcPr>
            <w:tcW w:w="402" w:type="dxa"/>
          </w:tcPr>
          <w:p w14:paraId="4D41A4FA" w14:textId="77777777" w:rsidR="00B63F0E" w:rsidRPr="000812B4" w:rsidRDefault="00B63F0E" w:rsidP="009E678F">
            <w:pPr>
              <w:pStyle w:val="ECCTabletext"/>
              <w:spacing w:after="0"/>
              <w:jc w:val="left"/>
            </w:pPr>
            <w:r w:rsidRPr="0082594A">
              <w:t>X</w:t>
            </w:r>
          </w:p>
        </w:tc>
        <w:tc>
          <w:tcPr>
            <w:tcW w:w="995" w:type="dxa"/>
          </w:tcPr>
          <w:p w14:paraId="6A62F524" w14:textId="77777777" w:rsidR="00B63F0E" w:rsidRPr="005A5261" w:rsidRDefault="00B63F0E" w:rsidP="009E678F">
            <w:pPr>
              <w:pStyle w:val="ECCTabletext"/>
              <w:spacing w:after="0"/>
              <w:jc w:val="left"/>
            </w:pPr>
            <w:r w:rsidRPr="005A5261">
              <w:t>Note 1</w:t>
            </w:r>
          </w:p>
        </w:tc>
      </w:tr>
      <w:tr w:rsidR="00B63F0E" w:rsidRPr="00D61104" w14:paraId="6646B0AB" w14:textId="77777777" w:rsidTr="00B63F0E">
        <w:tc>
          <w:tcPr>
            <w:tcW w:w="1677" w:type="dxa"/>
          </w:tcPr>
          <w:p w14:paraId="0BE4DA84" w14:textId="576ABA70" w:rsidR="00B63F0E" w:rsidRPr="00DB2DF5" w:rsidRDefault="00B63F0E" w:rsidP="009E678F">
            <w:pPr>
              <w:pStyle w:val="ECCTabletext"/>
              <w:spacing w:after="0"/>
              <w:jc w:val="left"/>
            </w:pPr>
            <w:r w:rsidRPr="00DB2DF5">
              <w:t>155.50</w:t>
            </w:r>
            <w:r w:rsidR="001D7996">
              <w:t>-</w:t>
            </w:r>
            <w:r w:rsidRPr="00DB2DF5">
              <w:t>158.50</w:t>
            </w:r>
          </w:p>
          <w:p w14:paraId="659FA795" w14:textId="77777777" w:rsidR="00B63F0E" w:rsidRPr="006165A1" w:rsidRDefault="00B63F0E" w:rsidP="009E678F">
            <w:pPr>
              <w:pStyle w:val="ECCTabletext"/>
              <w:spacing w:after="0"/>
              <w:jc w:val="left"/>
            </w:pPr>
            <w:r w:rsidRPr="00605764">
              <w:t>(5.149)</w:t>
            </w:r>
          </w:p>
        </w:tc>
        <w:tc>
          <w:tcPr>
            <w:tcW w:w="3596" w:type="dxa"/>
            <w:vAlign w:val="bottom"/>
          </w:tcPr>
          <w:p w14:paraId="38ECF0B9" w14:textId="77777777" w:rsidR="00B63F0E" w:rsidRPr="006165A1" w:rsidRDefault="00B63F0E" w:rsidP="009E678F">
            <w:pPr>
              <w:pStyle w:val="ECCTabletext"/>
              <w:spacing w:after="0"/>
              <w:jc w:val="left"/>
            </w:pPr>
            <w:r w:rsidRPr="006165A1">
              <w:t>MOBILE</w:t>
            </w:r>
          </w:p>
          <w:p w14:paraId="74DBAAC4" w14:textId="77777777" w:rsidR="00B63F0E" w:rsidRPr="00A24E00" w:rsidRDefault="00B63F0E" w:rsidP="009E678F">
            <w:pPr>
              <w:pStyle w:val="ECCTabletext"/>
              <w:spacing w:after="0"/>
              <w:jc w:val="left"/>
            </w:pPr>
            <w:r w:rsidRPr="00B2765F">
              <w:t>RADIO ASTRONOMY</w:t>
            </w:r>
          </w:p>
          <w:p w14:paraId="2A331EEF" w14:textId="77777777" w:rsidR="00B63F0E" w:rsidRPr="00D86561" w:rsidRDefault="00B63F0E" w:rsidP="009E678F">
            <w:pPr>
              <w:pStyle w:val="ECCTabletext"/>
              <w:spacing w:after="0"/>
              <w:jc w:val="left"/>
            </w:pPr>
            <w:r w:rsidRPr="00ED63D6">
              <w:t xml:space="preserve">SPACE RESEARCH </w:t>
            </w:r>
            <w:r w:rsidRPr="00A44046">
              <w:t>(PASSIVE)</w:t>
            </w:r>
            <w:r w:rsidR="00D61104" w:rsidRPr="00BD371E">
              <w:t xml:space="preserve"> </w:t>
            </w:r>
            <w:r w:rsidRPr="005C3D16">
              <w:t>(5.562B)</w:t>
            </w:r>
          </w:p>
          <w:p w14:paraId="063688E0" w14:textId="77777777" w:rsidR="00B63F0E" w:rsidRPr="00794DA6" w:rsidRDefault="00B63F0E" w:rsidP="009E678F">
            <w:pPr>
              <w:pStyle w:val="ECCTabletext"/>
              <w:spacing w:after="0"/>
              <w:jc w:val="left"/>
            </w:pPr>
            <w:r w:rsidRPr="00794DA6">
              <w:t>FIXED</w:t>
            </w:r>
          </w:p>
          <w:p w14:paraId="752DA8E0" w14:textId="77777777" w:rsidR="00B63F0E" w:rsidRPr="00E4615B" w:rsidRDefault="00B63F0E" w:rsidP="009E678F">
            <w:pPr>
              <w:pStyle w:val="ECCTabletext"/>
              <w:spacing w:after="0"/>
              <w:jc w:val="left"/>
            </w:pPr>
            <w:r w:rsidRPr="00794DA6">
              <w:t>EARTH EXPLORATION-SATELLITE (PASSIVE)</w:t>
            </w:r>
          </w:p>
        </w:tc>
        <w:tc>
          <w:tcPr>
            <w:tcW w:w="2149" w:type="dxa"/>
            <w:vAlign w:val="bottom"/>
          </w:tcPr>
          <w:p w14:paraId="73B49FB8" w14:textId="77777777" w:rsidR="00B63F0E" w:rsidRPr="000812B4" w:rsidRDefault="00B63F0E" w:rsidP="009E678F">
            <w:pPr>
              <w:pStyle w:val="ECCTabletext"/>
              <w:spacing w:after="0"/>
              <w:jc w:val="left"/>
            </w:pPr>
            <w:r w:rsidRPr="0082594A">
              <w:t>Fixed</w:t>
            </w:r>
          </w:p>
          <w:p w14:paraId="736049E8" w14:textId="77777777" w:rsidR="00B63F0E" w:rsidRPr="00DB2DF5" w:rsidRDefault="00B63F0E" w:rsidP="009E678F">
            <w:pPr>
              <w:pStyle w:val="ECCTabletext"/>
              <w:spacing w:after="0"/>
              <w:jc w:val="left"/>
            </w:pPr>
            <w:r w:rsidRPr="005A5261">
              <w:t>Passive sensors (satellite)</w:t>
            </w:r>
          </w:p>
          <w:p w14:paraId="5000310E" w14:textId="77777777" w:rsidR="00B63F0E" w:rsidRPr="00DB2DF5" w:rsidRDefault="00B63F0E" w:rsidP="009E678F">
            <w:pPr>
              <w:pStyle w:val="ECCTabletext"/>
              <w:spacing w:after="0"/>
              <w:jc w:val="left"/>
            </w:pPr>
            <w:r w:rsidRPr="00DB2DF5">
              <w:t>Radio astronomy</w:t>
            </w:r>
          </w:p>
        </w:tc>
        <w:tc>
          <w:tcPr>
            <w:tcW w:w="405" w:type="dxa"/>
          </w:tcPr>
          <w:p w14:paraId="3266D5F4" w14:textId="77777777" w:rsidR="00B63F0E" w:rsidRPr="00DB2DF5" w:rsidRDefault="00B63F0E" w:rsidP="009E678F">
            <w:pPr>
              <w:pStyle w:val="ECCTabletext"/>
              <w:spacing w:after="0"/>
            </w:pPr>
          </w:p>
        </w:tc>
        <w:tc>
          <w:tcPr>
            <w:tcW w:w="405" w:type="dxa"/>
          </w:tcPr>
          <w:p w14:paraId="2E2AD2C0" w14:textId="77777777" w:rsidR="00B63F0E" w:rsidRPr="00DB2DF5" w:rsidRDefault="00B63F0E" w:rsidP="009E678F">
            <w:pPr>
              <w:pStyle w:val="ECCTabletext"/>
              <w:spacing w:after="0"/>
              <w:jc w:val="left"/>
            </w:pPr>
            <w:r w:rsidRPr="00DB2DF5">
              <w:t>X</w:t>
            </w:r>
          </w:p>
        </w:tc>
        <w:tc>
          <w:tcPr>
            <w:tcW w:w="402" w:type="dxa"/>
          </w:tcPr>
          <w:p w14:paraId="3BE3D2D0" w14:textId="77777777" w:rsidR="00B63F0E" w:rsidRPr="00DB2DF5" w:rsidRDefault="00B63F0E" w:rsidP="009E678F">
            <w:pPr>
              <w:pStyle w:val="ECCTabletext"/>
              <w:spacing w:after="0"/>
              <w:jc w:val="left"/>
            </w:pPr>
            <w:r w:rsidRPr="00DB2DF5">
              <w:t>X</w:t>
            </w:r>
          </w:p>
        </w:tc>
        <w:tc>
          <w:tcPr>
            <w:tcW w:w="995" w:type="dxa"/>
          </w:tcPr>
          <w:p w14:paraId="2E1B3ED8" w14:textId="77777777" w:rsidR="00B63F0E" w:rsidRPr="00DB2DF5" w:rsidRDefault="00B63F0E" w:rsidP="009E678F">
            <w:pPr>
              <w:pStyle w:val="ECCTabletext"/>
              <w:spacing w:after="0"/>
              <w:jc w:val="left"/>
            </w:pPr>
            <w:r w:rsidRPr="00DB2DF5">
              <w:t>Note 1</w:t>
            </w:r>
          </w:p>
        </w:tc>
      </w:tr>
      <w:tr w:rsidR="00B63F0E" w:rsidRPr="00D61104" w14:paraId="0018233F" w14:textId="77777777" w:rsidTr="00B63F0E">
        <w:tc>
          <w:tcPr>
            <w:tcW w:w="1677" w:type="dxa"/>
          </w:tcPr>
          <w:p w14:paraId="40F485E9" w14:textId="347F3E32" w:rsidR="00B63F0E" w:rsidRPr="00DB2DF5" w:rsidRDefault="00B63F0E" w:rsidP="009E678F">
            <w:pPr>
              <w:pStyle w:val="ECCTabletext"/>
              <w:spacing w:after="0"/>
              <w:jc w:val="left"/>
            </w:pPr>
            <w:r w:rsidRPr="00DB2DF5">
              <w:t>158.50</w:t>
            </w:r>
            <w:r w:rsidR="001D7996">
              <w:t>-</w:t>
            </w:r>
            <w:r w:rsidRPr="00DB2DF5">
              <w:t>164.00</w:t>
            </w:r>
          </w:p>
        </w:tc>
        <w:tc>
          <w:tcPr>
            <w:tcW w:w="3596" w:type="dxa"/>
            <w:vAlign w:val="bottom"/>
          </w:tcPr>
          <w:p w14:paraId="7FC203CC" w14:textId="77777777" w:rsidR="00B63F0E" w:rsidRPr="006165A1" w:rsidRDefault="00B63F0E" w:rsidP="009E678F">
            <w:pPr>
              <w:pStyle w:val="ECCTabletext"/>
              <w:spacing w:after="0"/>
              <w:jc w:val="left"/>
            </w:pPr>
            <w:r w:rsidRPr="00605764">
              <w:t>FIXED</w:t>
            </w:r>
          </w:p>
          <w:p w14:paraId="5118A63D" w14:textId="77777777" w:rsidR="00B63F0E" w:rsidRPr="006165A1" w:rsidRDefault="00B63F0E" w:rsidP="009E678F">
            <w:pPr>
              <w:pStyle w:val="ECCTabletext"/>
              <w:spacing w:after="0"/>
              <w:jc w:val="left"/>
            </w:pPr>
            <w:r w:rsidRPr="006165A1">
              <w:t>FIXED-SATELLITE (SPACE-TO-EARTH)</w:t>
            </w:r>
          </w:p>
          <w:p w14:paraId="39AE5930" w14:textId="77777777" w:rsidR="00B63F0E" w:rsidRPr="00A24E00" w:rsidRDefault="00B63F0E" w:rsidP="009E678F">
            <w:pPr>
              <w:pStyle w:val="ECCTabletext"/>
              <w:spacing w:after="0"/>
              <w:jc w:val="left"/>
            </w:pPr>
            <w:r w:rsidRPr="00B2765F">
              <w:t>MOBILE</w:t>
            </w:r>
          </w:p>
          <w:p w14:paraId="70A056E8" w14:textId="77777777" w:rsidR="00B63F0E" w:rsidRPr="00ED63D6" w:rsidRDefault="00B63F0E" w:rsidP="009E678F">
            <w:pPr>
              <w:pStyle w:val="ECCTabletext"/>
              <w:spacing w:after="0"/>
              <w:jc w:val="left"/>
            </w:pPr>
            <w:r w:rsidRPr="00ED63D6">
              <w:t>MOBILE-SATELLITE (SPACE-TO-EARTH)</w:t>
            </w:r>
          </w:p>
        </w:tc>
        <w:tc>
          <w:tcPr>
            <w:tcW w:w="2149" w:type="dxa"/>
            <w:vAlign w:val="bottom"/>
          </w:tcPr>
          <w:p w14:paraId="523305A1" w14:textId="77777777" w:rsidR="00B63F0E" w:rsidRPr="00BD371E" w:rsidRDefault="00B63F0E" w:rsidP="009E678F">
            <w:pPr>
              <w:pStyle w:val="ECCTabletext"/>
              <w:spacing w:after="0"/>
              <w:jc w:val="left"/>
            </w:pPr>
            <w:r w:rsidRPr="00A44046">
              <w:t>Fixed</w:t>
            </w:r>
          </w:p>
        </w:tc>
        <w:tc>
          <w:tcPr>
            <w:tcW w:w="405" w:type="dxa"/>
          </w:tcPr>
          <w:p w14:paraId="0A6BDB5E" w14:textId="77777777" w:rsidR="00B63F0E" w:rsidRPr="005C3D16" w:rsidRDefault="00B63F0E" w:rsidP="009E678F">
            <w:pPr>
              <w:pStyle w:val="ECCTabletext"/>
              <w:spacing w:after="0"/>
            </w:pPr>
          </w:p>
        </w:tc>
        <w:tc>
          <w:tcPr>
            <w:tcW w:w="405" w:type="dxa"/>
          </w:tcPr>
          <w:p w14:paraId="66CB4B82" w14:textId="77777777" w:rsidR="00B63F0E" w:rsidRPr="00794DA6" w:rsidRDefault="00B63F0E" w:rsidP="009E678F">
            <w:pPr>
              <w:pStyle w:val="ECCTabletext"/>
              <w:spacing w:after="0"/>
              <w:jc w:val="left"/>
            </w:pPr>
            <w:r w:rsidRPr="00D86561">
              <w:t>X</w:t>
            </w:r>
          </w:p>
        </w:tc>
        <w:tc>
          <w:tcPr>
            <w:tcW w:w="402" w:type="dxa"/>
          </w:tcPr>
          <w:p w14:paraId="201CBA6E" w14:textId="77777777" w:rsidR="00B63F0E" w:rsidRPr="00794DA6" w:rsidRDefault="00B63F0E" w:rsidP="009E678F">
            <w:pPr>
              <w:pStyle w:val="ECCTabletext"/>
              <w:spacing w:after="0"/>
              <w:jc w:val="left"/>
            </w:pPr>
            <w:r w:rsidRPr="00794DA6">
              <w:t>X</w:t>
            </w:r>
          </w:p>
        </w:tc>
        <w:tc>
          <w:tcPr>
            <w:tcW w:w="995" w:type="dxa"/>
          </w:tcPr>
          <w:p w14:paraId="0928DFA3" w14:textId="77777777" w:rsidR="00B63F0E" w:rsidRPr="00D8559F" w:rsidRDefault="00B63F0E" w:rsidP="009E678F">
            <w:pPr>
              <w:pStyle w:val="ECCTabletext"/>
              <w:spacing w:after="0"/>
              <w:jc w:val="left"/>
            </w:pPr>
            <w:r w:rsidRPr="00E4615B">
              <w:t>Note 1</w:t>
            </w:r>
          </w:p>
        </w:tc>
      </w:tr>
      <w:tr w:rsidR="00B63F0E" w:rsidRPr="00D61104" w14:paraId="41011129" w14:textId="77777777" w:rsidTr="00B63F0E">
        <w:tc>
          <w:tcPr>
            <w:tcW w:w="1677" w:type="dxa"/>
          </w:tcPr>
          <w:p w14:paraId="390CCFC0" w14:textId="425F7C7D" w:rsidR="00B63F0E" w:rsidRPr="00DB2DF5" w:rsidRDefault="00B63F0E" w:rsidP="009E678F">
            <w:pPr>
              <w:pStyle w:val="ECCTabletext"/>
              <w:spacing w:after="0"/>
              <w:jc w:val="left"/>
            </w:pPr>
            <w:r w:rsidRPr="00DB2DF5">
              <w:t>164.00</w:t>
            </w:r>
            <w:r w:rsidR="001D7996">
              <w:t>-</w:t>
            </w:r>
            <w:r w:rsidRPr="00DB2DF5">
              <w:t>167.00</w:t>
            </w:r>
          </w:p>
          <w:p w14:paraId="3B8AC481" w14:textId="77777777" w:rsidR="00B63F0E" w:rsidRPr="00DB2DF5" w:rsidRDefault="00B63F0E" w:rsidP="009E678F">
            <w:pPr>
              <w:pStyle w:val="ECCTabletext"/>
              <w:spacing w:after="0"/>
              <w:jc w:val="left"/>
            </w:pPr>
            <w:r w:rsidRPr="00DB2DF5">
              <w:t>(5.340)</w:t>
            </w:r>
          </w:p>
        </w:tc>
        <w:tc>
          <w:tcPr>
            <w:tcW w:w="3596" w:type="dxa"/>
            <w:vAlign w:val="bottom"/>
          </w:tcPr>
          <w:p w14:paraId="55A1627A" w14:textId="77777777" w:rsidR="00B63F0E" w:rsidRPr="00DB2DF5" w:rsidRDefault="00B63F0E" w:rsidP="009E678F">
            <w:pPr>
              <w:pStyle w:val="ECCTabletext"/>
              <w:spacing w:after="0"/>
              <w:jc w:val="left"/>
            </w:pPr>
            <w:r w:rsidRPr="00DB2DF5">
              <w:t>RADIO ASTRONOMY</w:t>
            </w:r>
          </w:p>
          <w:p w14:paraId="2B4BC574" w14:textId="77777777" w:rsidR="00B63F0E" w:rsidRPr="00DB2DF5" w:rsidRDefault="00B63F0E" w:rsidP="009E678F">
            <w:pPr>
              <w:pStyle w:val="ECCTabletext"/>
              <w:spacing w:after="0"/>
              <w:jc w:val="left"/>
            </w:pPr>
            <w:r w:rsidRPr="00DB2DF5">
              <w:t>SPACE RESEARCH (PASSIVE)</w:t>
            </w:r>
          </w:p>
          <w:p w14:paraId="14E2B288" w14:textId="77777777" w:rsidR="00B63F0E" w:rsidRPr="00DB2DF5" w:rsidRDefault="00B63F0E" w:rsidP="009E678F">
            <w:pPr>
              <w:pStyle w:val="ECCTabletext"/>
              <w:spacing w:after="0"/>
              <w:jc w:val="left"/>
              <w:rPr>
                <w:rStyle w:val="ECCHLyellow"/>
              </w:rPr>
            </w:pPr>
            <w:r w:rsidRPr="00DB2DF5">
              <w:t>EARTH EXPLORATION-SATELLITE (PASSIVE)</w:t>
            </w:r>
          </w:p>
        </w:tc>
        <w:tc>
          <w:tcPr>
            <w:tcW w:w="2149" w:type="dxa"/>
            <w:vAlign w:val="bottom"/>
          </w:tcPr>
          <w:p w14:paraId="57E7D882" w14:textId="77777777" w:rsidR="00B63F0E" w:rsidRPr="005A5261" w:rsidRDefault="00B63F0E" w:rsidP="009E678F">
            <w:pPr>
              <w:pStyle w:val="ECCTabletext"/>
              <w:spacing w:after="0"/>
              <w:jc w:val="left"/>
              <w:rPr>
                <w:lang w:val="fr-FR"/>
              </w:rPr>
            </w:pPr>
            <w:r w:rsidRPr="005A5261">
              <w:rPr>
                <w:lang w:val="fr-FR"/>
              </w:rPr>
              <w:t>Passive sensors (satellite)</w:t>
            </w:r>
          </w:p>
          <w:p w14:paraId="7469C98B" w14:textId="77777777" w:rsidR="00B63F0E" w:rsidRPr="005A5261" w:rsidRDefault="00B63F0E" w:rsidP="009E678F">
            <w:pPr>
              <w:pStyle w:val="ECCTabletext"/>
              <w:spacing w:after="0"/>
              <w:jc w:val="left"/>
              <w:rPr>
                <w:lang w:val="fr-FR"/>
              </w:rPr>
            </w:pPr>
            <w:r w:rsidRPr="005A5261">
              <w:rPr>
                <w:lang w:val="fr-FR"/>
              </w:rPr>
              <w:t>Radio astronomy</w:t>
            </w:r>
          </w:p>
        </w:tc>
        <w:tc>
          <w:tcPr>
            <w:tcW w:w="405" w:type="dxa"/>
          </w:tcPr>
          <w:p w14:paraId="1965BCEE" w14:textId="77777777" w:rsidR="00B63F0E" w:rsidRPr="005A5261" w:rsidRDefault="00B63F0E" w:rsidP="009E678F">
            <w:pPr>
              <w:pStyle w:val="ECCTabletext"/>
              <w:spacing w:after="0"/>
              <w:rPr>
                <w:lang w:val="fr-FR"/>
              </w:rPr>
            </w:pPr>
          </w:p>
        </w:tc>
        <w:tc>
          <w:tcPr>
            <w:tcW w:w="405" w:type="dxa"/>
          </w:tcPr>
          <w:p w14:paraId="6F0DAB6F" w14:textId="77777777" w:rsidR="00B63F0E" w:rsidRPr="005A5261" w:rsidRDefault="00B63F0E" w:rsidP="009E678F">
            <w:pPr>
              <w:pStyle w:val="ECCTabletext"/>
              <w:spacing w:after="0"/>
              <w:rPr>
                <w:lang w:val="fr-FR"/>
              </w:rPr>
            </w:pPr>
          </w:p>
        </w:tc>
        <w:tc>
          <w:tcPr>
            <w:tcW w:w="402" w:type="dxa"/>
          </w:tcPr>
          <w:p w14:paraId="7A76AB45" w14:textId="77777777" w:rsidR="00B63F0E" w:rsidRPr="00DB2DF5" w:rsidRDefault="00B63F0E" w:rsidP="009E678F">
            <w:pPr>
              <w:pStyle w:val="ECCTabletext"/>
              <w:spacing w:after="0"/>
              <w:jc w:val="left"/>
            </w:pPr>
            <w:r w:rsidRPr="00DB2DF5">
              <w:t>X</w:t>
            </w:r>
          </w:p>
        </w:tc>
        <w:tc>
          <w:tcPr>
            <w:tcW w:w="995" w:type="dxa"/>
          </w:tcPr>
          <w:p w14:paraId="35957047" w14:textId="77777777" w:rsidR="00B63F0E" w:rsidRPr="00DB2DF5" w:rsidRDefault="00B63F0E" w:rsidP="009E678F">
            <w:pPr>
              <w:pStyle w:val="ECCTabletext"/>
              <w:spacing w:after="0"/>
            </w:pPr>
          </w:p>
        </w:tc>
      </w:tr>
      <w:tr w:rsidR="00B63F0E" w:rsidRPr="00D61104" w14:paraId="0481B6D1" w14:textId="77777777" w:rsidTr="00B63F0E">
        <w:tc>
          <w:tcPr>
            <w:tcW w:w="1677" w:type="dxa"/>
          </w:tcPr>
          <w:p w14:paraId="60FC22AA" w14:textId="6437A24C" w:rsidR="00B63F0E" w:rsidRPr="00DB2DF5" w:rsidRDefault="00B63F0E" w:rsidP="009E678F">
            <w:pPr>
              <w:pStyle w:val="ECCTabletext"/>
              <w:spacing w:after="0"/>
              <w:jc w:val="left"/>
            </w:pPr>
            <w:r w:rsidRPr="00DB2DF5">
              <w:t>167.00</w:t>
            </w:r>
            <w:r w:rsidR="001D7996">
              <w:t>-</w:t>
            </w:r>
            <w:r w:rsidRPr="00DB2DF5">
              <w:t>174.50</w:t>
            </w:r>
          </w:p>
          <w:p w14:paraId="43CACC9E" w14:textId="77777777" w:rsidR="00B63F0E" w:rsidRPr="006165A1" w:rsidRDefault="00B63F0E" w:rsidP="009E678F">
            <w:pPr>
              <w:pStyle w:val="ECCTabletext"/>
              <w:spacing w:after="0"/>
              <w:jc w:val="left"/>
            </w:pPr>
            <w:r w:rsidRPr="00605764">
              <w:t>(5.149)</w:t>
            </w:r>
          </w:p>
        </w:tc>
        <w:tc>
          <w:tcPr>
            <w:tcW w:w="3596" w:type="dxa"/>
            <w:vAlign w:val="bottom"/>
          </w:tcPr>
          <w:p w14:paraId="5618A2B6" w14:textId="77777777" w:rsidR="00B63F0E" w:rsidRPr="006165A1" w:rsidRDefault="00B63F0E" w:rsidP="009E678F">
            <w:pPr>
              <w:pStyle w:val="ECCTabletext"/>
              <w:spacing w:after="0"/>
              <w:jc w:val="left"/>
            </w:pPr>
            <w:r w:rsidRPr="006165A1">
              <w:t>INTER-SATELLITE</w:t>
            </w:r>
          </w:p>
          <w:p w14:paraId="0A270DBE" w14:textId="77777777" w:rsidR="00B63F0E" w:rsidRPr="00ED63D6" w:rsidRDefault="00B63F0E" w:rsidP="009E678F">
            <w:pPr>
              <w:pStyle w:val="ECCTabletext"/>
              <w:spacing w:after="0"/>
              <w:jc w:val="left"/>
            </w:pPr>
            <w:r w:rsidRPr="00B2765F">
              <w:t>FIXED-SATELLITE (SPACE-TO-EARTH)</w:t>
            </w:r>
          </w:p>
          <w:p w14:paraId="1746DB89" w14:textId="77777777" w:rsidR="00B63F0E" w:rsidRPr="00A44046" w:rsidRDefault="00B63F0E" w:rsidP="009E678F">
            <w:pPr>
              <w:pStyle w:val="ECCTabletext"/>
              <w:spacing w:after="0"/>
              <w:jc w:val="left"/>
            </w:pPr>
            <w:r w:rsidRPr="00ED63D6">
              <w:t>FIXED</w:t>
            </w:r>
          </w:p>
          <w:p w14:paraId="1460E260" w14:textId="77777777" w:rsidR="00B63F0E" w:rsidRPr="00794DA6" w:rsidRDefault="00B63F0E" w:rsidP="009E678F">
            <w:pPr>
              <w:pStyle w:val="ECCTabletext"/>
              <w:spacing w:after="0"/>
              <w:jc w:val="left"/>
              <w:rPr>
                <w:rStyle w:val="ECCHLyellow"/>
              </w:rPr>
            </w:pPr>
            <w:r w:rsidRPr="00BD371E">
              <w:t>MOBILE</w:t>
            </w:r>
            <w:r w:rsidR="00D61104" w:rsidRPr="005C3D16">
              <w:t xml:space="preserve"> </w:t>
            </w:r>
            <w:r w:rsidRPr="00D86561">
              <w:t>(5.558)</w:t>
            </w:r>
          </w:p>
        </w:tc>
        <w:tc>
          <w:tcPr>
            <w:tcW w:w="2149" w:type="dxa"/>
            <w:vAlign w:val="bottom"/>
          </w:tcPr>
          <w:p w14:paraId="63D93AEA" w14:textId="77777777" w:rsidR="00B63F0E" w:rsidRPr="00D8559F" w:rsidRDefault="00B63F0E" w:rsidP="009E678F">
            <w:pPr>
              <w:pStyle w:val="ECCTabletext"/>
              <w:spacing w:after="0"/>
              <w:jc w:val="left"/>
            </w:pPr>
            <w:r w:rsidRPr="00794DA6">
              <w:t>Radio astron</w:t>
            </w:r>
            <w:r w:rsidRPr="00E4615B">
              <w:t>omy</w:t>
            </w:r>
          </w:p>
          <w:p w14:paraId="1FB60C22" w14:textId="77777777" w:rsidR="00B63F0E" w:rsidRPr="000812B4" w:rsidRDefault="00B63F0E" w:rsidP="009E678F">
            <w:pPr>
              <w:pStyle w:val="ECCTabletext"/>
              <w:spacing w:after="0"/>
              <w:jc w:val="left"/>
            </w:pPr>
            <w:r w:rsidRPr="0082594A">
              <w:t>Fixed</w:t>
            </w:r>
          </w:p>
        </w:tc>
        <w:tc>
          <w:tcPr>
            <w:tcW w:w="405" w:type="dxa"/>
          </w:tcPr>
          <w:p w14:paraId="25FC4820" w14:textId="77777777" w:rsidR="00B63F0E" w:rsidRPr="005A5261" w:rsidRDefault="00B63F0E" w:rsidP="009E678F">
            <w:pPr>
              <w:pStyle w:val="ECCTabletext"/>
              <w:spacing w:after="0"/>
            </w:pPr>
          </w:p>
        </w:tc>
        <w:tc>
          <w:tcPr>
            <w:tcW w:w="405" w:type="dxa"/>
          </w:tcPr>
          <w:p w14:paraId="5A67A9F2" w14:textId="77777777" w:rsidR="00B63F0E" w:rsidRPr="00DB2DF5" w:rsidRDefault="00B63F0E" w:rsidP="009E678F">
            <w:pPr>
              <w:pStyle w:val="ECCTabletext"/>
              <w:spacing w:after="0"/>
              <w:jc w:val="left"/>
            </w:pPr>
            <w:r w:rsidRPr="00DB2DF5">
              <w:t>X</w:t>
            </w:r>
          </w:p>
        </w:tc>
        <w:tc>
          <w:tcPr>
            <w:tcW w:w="402" w:type="dxa"/>
          </w:tcPr>
          <w:p w14:paraId="55EF9D34" w14:textId="77777777" w:rsidR="00B63F0E" w:rsidRPr="00DB2DF5" w:rsidRDefault="00B63F0E" w:rsidP="009E678F">
            <w:pPr>
              <w:pStyle w:val="ECCTabletext"/>
              <w:spacing w:after="0"/>
              <w:jc w:val="left"/>
            </w:pPr>
            <w:r w:rsidRPr="00DB2DF5">
              <w:t>X</w:t>
            </w:r>
          </w:p>
        </w:tc>
        <w:tc>
          <w:tcPr>
            <w:tcW w:w="995" w:type="dxa"/>
          </w:tcPr>
          <w:p w14:paraId="646EAA22" w14:textId="77777777" w:rsidR="00B63F0E" w:rsidRPr="00DB2DF5" w:rsidRDefault="00B63F0E" w:rsidP="009E678F">
            <w:pPr>
              <w:pStyle w:val="ECCTabletext"/>
              <w:spacing w:after="0"/>
              <w:jc w:val="left"/>
            </w:pPr>
            <w:r w:rsidRPr="00DB2DF5">
              <w:t>Note 1</w:t>
            </w:r>
          </w:p>
        </w:tc>
      </w:tr>
      <w:tr w:rsidR="00B63F0E" w:rsidRPr="00D61104" w14:paraId="22472AEA" w14:textId="77777777" w:rsidTr="00B63F0E">
        <w:tc>
          <w:tcPr>
            <w:tcW w:w="1677" w:type="dxa"/>
          </w:tcPr>
          <w:p w14:paraId="7F4F28F1" w14:textId="455A241C" w:rsidR="00B63F0E" w:rsidRPr="00DB2DF5" w:rsidRDefault="00B63F0E" w:rsidP="009E678F">
            <w:pPr>
              <w:pStyle w:val="ECCTabletext"/>
              <w:spacing w:after="0"/>
              <w:jc w:val="left"/>
            </w:pPr>
            <w:r w:rsidRPr="00DB2DF5">
              <w:t>174.50</w:t>
            </w:r>
            <w:r w:rsidR="001D7996">
              <w:t>-</w:t>
            </w:r>
            <w:r w:rsidRPr="00DB2DF5">
              <w:t>174.80</w:t>
            </w:r>
          </w:p>
        </w:tc>
        <w:tc>
          <w:tcPr>
            <w:tcW w:w="3596" w:type="dxa"/>
            <w:vAlign w:val="bottom"/>
          </w:tcPr>
          <w:p w14:paraId="1AE2AE86" w14:textId="77777777" w:rsidR="00B63F0E" w:rsidRPr="006165A1" w:rsidRDefault="00B63F0E" w:rsidP="009E678F">
            <w:pPr>
              <w:pStyle w:val="ECCTabletext"/>
              <w:spacing w:after="0"/>
              <w:jc w:val="left"/>
            </w:pPr>
            <w:r w:rsidRPr="00605764">
              <w:t>MOBILE</w:t>
            </w:r>
            <w:r w:rsidR="00D61104" w:rsidRPr="006165A1">
              <w:t xml:space="preserve"> </w:t>
            </w:r>
            <w:r w:rsidRPr="006165A1">
              <w:t>(5.558)</w:t>
            </w:r>
          </w:p>
          <w:p w14:paraId="054DFFA8" w14:textId="77777777" w:rsidR="00B63F0E" w:rsidRPr="006165A1" w:rsidRDefault="00B63F0E" w:rsidP="009E678F">
            <w:pPr>
              <w:pStyle w:val="ECCTabletext"/>
              <w:spacing w:after="0"/>
              <w:jc w:val="left"/>
            </w:pPr>
            <w:r w:rsidRPr="006165A1">
              <w:t>INTER-SATELLITE</w:t>
            </w:r>
          </w:p>
          <w:p w14:paraId="1C55939E" w14:textId="77777777" w:rsidR="00B63F0E" w:rsidRPr="00A24E00" w:rsidRDefault="00B63F0E" w:rsidP="009E678F">
            <w:pPr>
              <w:pStyle w:val="ECCTabletext"/>
              <w:spacing w:after="0"/>
              <w:jc w:val="left"/>
            </w:pPr>
            <w:r w:rsidRPr="00B2765F">
              <w:t>FIXED</w:t>
            </w:r>
          </w:p>
        </w:tc>
        <w:tc>
          <w:tcPr>
            <w:tcW w:w="2149" w:type="dxa"/>
            <w:vAlign w:val="bottom"/>
          </w:tcPr>
          <w:p w14:paraId="1A0CE819" w14:textId="77777777" w:rsidR="00B63F0E" w:rsidRPr="00ED63D6" w:rsidRDefault="00B63F0E" w:rsidP="009E678F">
            <w:pPr>
              <w:pStyle w:val="ECCTabletext"/>
              <w:spacing w:after="0"/>
              <w:jc w:val="left"/>
            </w:pPr>
            <w:r w:rsidRPr="00ED63D6">
              <w:t>Fixed</w:t>
            </w:r>
          </w:p>
        </w:tc>
        <w:tc>
          <w:tcPr>
            <w:tcW w:w="405" w:type="dxa"/>
          </w:tcPr>
          <w:p w14:paraId="7C30B66F" w14:textId="77777777" w:rsidR="00B63F0E" w:rsidRPr="00A44046" w:rsidRDefault="00B63F0E" w:rsidP="009E678F">
            <w:pPr>
              <w:pStyle w:val="ECCTabletext"/>
              <w:spacing w:after="0"/>
            </w:pPr>
          </w:p>
        </w:tc>
        <w:tc>
          <w:tcPr>
            <w:tcW w:w="405" w:type="dxa"/>
          </w:tcPr>
          <w:p w14:paraId="73D3B8BB" w14:textId="77777777" w:rsidR="00B63F0E" w:rsidRPr="005C3D16" w:rsidRDefault="00B63F0E" w:rsidP="009E678F">
            <w:pPr>
              <w:pStyle w:val="ECCTabletext"/>
              <w:spacing w:after="0"/>
              <w:jc w:val="left"/>
            </w:pPr>
            <w:r w:rsidRPr="00BD371E">
              <w:t>X</w:t>
            </w:r>
          </w:p>
        </w:tc>
        <w:tc>
          <w:tcPr>
            <w:tcW w:w="402" w:type="dxa"/>
          </w:tcPr>
          <w:p w14:paraId="1C62DA3E" w14:textId="77777777" w:rsidR="00B63F0E" w:rsidRPr="00794DA6" w:rsidRDefault="00B63F0E" w:rsidP="009E678F">
            <w:pPr>
              <w:pStyle w:val="ECCTabletext"/>
              <w:spacing w:after="0"/>
              <w:jc w:val="left"/>
            </w:pPr>
            <w:r w:rsidRPr="00D86561">
              <w:t>X</w:t>
            </w:r>
          </w:p>
        </w:tc>
        <w:tc>
          <w:tcPr>
            <w:tcW w:w="995" w:type="dxa"/>
          </w:tcPr>
          <w:p w14:paraId="175B3D30" w14:textId="77777777" w:rsidR="00B63F0E" w:rsidRPr="00794DA6" w:rsidRDefault="00B63F0E" w:rsidP="009E678F">
            <w:pPr>
              <w:pStyle w:val="ECCTabletext"/>
              <w:spacing w:after="0"/>
              <w:jc w:val="left"/>
            </w:pPr>
            <w:r w:rsidRPr="00794DA6">
              <w:t>Note 1</w:t>
            </w:r>
          </w:p>
        </w:tc>
      </w:tr>
      <w:tr w:rsidR="00B63F0E" w:rsidRPr="00D61104" w14:paraId="3DCBA973" w14:textId="77777777" w:rsidTr="00B63F0E">
        <w:tc>
          <w:tcPr>
            <w:tcW w:w="1677" w:type="dxa"/>
          </w:tcPr>
          <w:p w14:paraId="1F4609A2" w14:textId="2E283298" w:rsidR="00B63F0E" w:rsidRPr="00DB2DF5" w:rsidRDefault="00B63F0E" w:rsidP="009E678F">
            <w:pPr>
              <w:pStyle w:val="ECCTabletext"/>
              <w:spacing w:after="0"/>
              <w:jc w:val="left"/>
            </w:pPr>
            <w:r w:rsidRPr="00DB2DF5">
              <w:t>174.80</w:t>
            </w:r>
            <w:r w:rsidR="001D7996">
              <w:t>-</w:t>
            </w:r>
            <w:r w:rsidRPr="00DB2DF5">
              <w:t>182.00</w:t>
            </w:r>
          </w:p>
        </w:tc>
        <w:tc>
          <w:tcPr>
            <w:tcW w:w="3596" w:type="dxa"/>
            <w:vAlign w:val="bottom"/>
          </w:tcPr>
          <w:p w14:paraId="5CEC4F49" w14:textId="77777777" w:rsidR="00B63F0E" w:rsidRPr="006165A1" w:rsidRDefault="00B63F0E" w:rsidP="009E678F">
            <w:pPr>
              <w:pStyle w:val="ECCTabletext"/>
              <w:spacing w:after="0"/>
              <w:jc w:val="left"/>
            </w:pPr>
            <w:r w:rsidRPr="00605764">
              <w:t>EARTH EXPLORATION-SATELLITE (PASSIVE)</w:t>
            </w:r>
          </w:p>
          <w:p w14:paraId="70AA8FA3" w14:textId="77777777" w:rsidR="00B63F0E" w:rsidRPr="00A24E00" w:rsidRDefault="00B63F0E" w:rsidP="009E678F">
            <w:pPr>
              <w:pStyle w:val="ECCTabletext"/>
              <w:spacing w:after="0"/>
              <w:jc w:val="left"/>
            </w:pPr>
            <w:r w:rsidRPr="006165A1">
              <w:t>INTER-SATELLITE</w:t>
            </w:r>
            <w:r w:rsidR="00D61104" w:rsidRPr="006165A1">
              <w:t xml:space="preserve"> </w:t>
            </w:r>
            <w:r w:rsidRPr="00B2765F">
              <w:t>(5.562H)</w:t>
            </w:r>
          </w:p>
          <w:p w14:paraId="5A556489" w14:textId="77777777" w:rsidR="00B63F0E" w:rsidRPr="00ED63D6" w:rsidRDefault="00B63F0E" w:rsidP="009E678F">
            <w:pPr>
              <w:pStyle w:val="ECCTabletext"/>
              <w:spacing w:after="0"/>
              <w:jc w:val="left"/>
            </w:pPr>
            <w:r w:rsidRPr="00ED63D6">
              <w:t>SPACE RESEARCH (PASSIVE)</w:t>
            </w:r>
          </w:p>
        </w:tc>
        <w:tc>
          <w:tcPr>
            <w:tcW w:w="2149" w:type="dxa"/>
            <w:vAlign w:val="bottom"/>
          </w:tcPr>
          <w:p w14:paraId="18FED395" w14:textId="77777777" w:rsidR="00B63F0E" w:rsidRPr="00BD371E" w:rsidRDefault="00B63F0E" w:rsidP="009E678F">
            <w:pPr>
              <w:pStyle w:val="ECCTabletext"/>
              <w:spacing w:after="0"/>
              <w:jc w:val="left"/>
            </w:pPr>
            <w:r w:rsidRPr="00A44046">
              <w:t>Passive sensors (satellite)</w:t>
            </w:r>
          </w:p>
        </w:tc>
        <w:tc>
          <w:tcPr>
            <w:tcW w:w="405" w:type="dxa"/>
          </w:tcPr>
          <w:p w14:paraId="0307BF9E" w14:textId="77777777" w:rsidR="00B63F0E" w:rsidRPr="00D86561" w:rsidRDefault="00B63F0E" w:rsidP="009E678F">
            <w:pPr>
              <w:pStyle w:val="ECCTabletext"/>
              <w:spacing w:after="0"/>
              <w:jc w:val="left"/>
            </w:pPr>
            <w:r w:rsidRPr="005C3D16">
              <w:t>X</w:t>
            </w:r>
          </w:p>
        </w:tc>
        <w:tc>
          <w:tcPr>
            <w:tcW w:w="405" w:type="dxa"/>
          </w:tcPr>
          <w:p w14:paraId="5B4EC49F" w14:textId="77777777" w:rsidR="00B63F0E" w:rsidRPr="00794DA6" w:rsidRDefault="00B63F0E" w:rsidP="009E678F">
            <w:pPr>
              <w:pStyle w:val="ECCTabletext"/>
              <w:spacing w:after="0"/>
              <w:jc w:val="left"/>
            </w:pPr>
            <w:r w:rsidRPr="00794DA6">
              <w:t>X</w:t>
            </w:r>
          </w:p>
        </w:tc>
        <w:tc>
          <w:tcPr>
            <w:tcW w:w="402" w:type="dxa"/>
          </w:tcPr>
          <w:p w14:paraId="77D9F8C1" w14:textId="77777777" w:rsidR="00B63F0E" w:rsidRPr="00E4615B" w:rsidRDefault="00B63F0E" w:rsidP="009E678F">
            <w:pPr>
              <w:pStyle w:val="ECCTabletext"/>
              <w:spacing w:after="0"/>
              <w:jc w:val="left"/>
            </w:pPr>
            <w:r w:rsidRPr="00794DA6">
              <w:t>X</w:t>
            </w:r>
          </w:p>
        </w:tc>
        <w:tc>
          <w:tcPr>
            <w:tcW w:w="995" w:type="dxa"/>
          </w:tcPr>
          <w:p w14:paraId="0028F1AA" w14:textId="77777777" w:rsidR="00B63F0E" w:rsidRPr="0082594A" w:rsidRDefault="00B63F0E" w:rsidP="009E678F">
            <w:pPr>
              <w:pStyle w:val="ECCTabletext"/>
              <w:spacing w:after="0"/>
            </w:pPr>
          </w:p>
        </w:tc>
      </w:tr>
      <w:tr w:rsidR="00B63F0E" w:rsidRPr="00D61104" w14:paraId="37989ADB" w14:textId="77777777" w:rsidTr="00B63F0E">
        <w:tc>
          <w:tcPr>
            <w:tcW w:w="1677" w:type="dxa"/>
          </w:tcPr>
          <w:p w14:paraId="49307E70" w14:textId="5729C4B0" w:rsidR="00B63F0E" w:rsidRPr="00DB2DF5" w:rsidRDefault="00B63F0E" w:rsidP="009E678F">
            <w:pPr>
              <w:pStyle w:val="ECCTabletext"/>
              <w:spacing w:after="0"/>
              <w:jc w:val="left"/>
            </w:pPr>
            <w:r w:rsidRPr="00DB2DF5">
              <w:t>182.00</w:t>
            </w:r>
            <w:r w:rsidR="001D7996">
              <w:t>-</w:t>
            </w:r>
            <w:r w:rsidRPr="00DB2DF5">
              <w:t>185.00</w:t>
            </w:r>
          </w:p>
          <w:p w14:paraId="646F78DC" w14:textId="77777777" w:rsidR="00B63F0E" w:rsidRPr="00DB2DF5" w:rsidRDefault="00B63F0E" w:rsidP="009E678F">
            <w:pPr>
              <w:pStyle w:val="ECCTabletext"/>
              <w:spacing w:after="0"/>
              <w:jc w:val="left"/>
            </w:pPr>
            <w:r w:rsidRPr="00DB2DF5">
              <w:t>(5.340)</w:t>
            </w:r>
          </w:p>
        </w:tc>
        <w:tc>
          <w:tcPr>
            <w:tcW w:w="3596" w:type="dxa"/>
            <w:vAlign w:val="bottom"/>
          </w:tcPr>
          <w:p w14:paraId="237C7886" w14:textId="77777777" w:rsidR="00B63F0E" w:rsidRPr="00DB2DF5" w:rsidRDefault="00B63F0E" w:rsidP="009E678F">
            <w:pPr>
              <w:pStyle w:val="ECCTabletext"/>
              <w:spacing w:after="0"/>
              <w:jc w:val="left"/>
            </w:pPr>
            <w:r w:rsidRPr="00DB2DF5">
              <w:t>SPACE RESEARCH (PASSIVE)</w:t>
            </w:r>
          </w:p>
          <w:p w14:paraId="79287608" w14:textId="77777777" w:rsidR="00B63F0E" w:rsidRPr="00DB2DF5" w:rsidRDefault="00B63F0E" w:rsidP="009E678F">
            <w:pPr>
              <w:pStyle w:val="ECCTabletext"/>
              <w:spacing w:after="0"/>
              <w:jc w:val="left"/>
            </w:pPr>
            <w:r w:rsidRPr="00DB2DF5">
              <w:t>RADIO ASTRONOMY</w:t>
            </w:r>
          </w:p>
          <w:p w14:paraId="20450A71" w14:textId="77777777" w:rsidR="00B63F0E" w:rsidRPr="00DB2DF5" w:rsidRDefault="00B63F0E" w:rsidP="009E678F">
            <w:pPr>
              <w:pStyle w:val="ECCTabletext"/>
              <w:spacing w:after="0"/>
              <w:jc w:val="left"/>
              <w:rPr>
                <w:rStyle w:val="ECCHLyellow"/>
              </w:rPr>
            </w:pPr>
            <w:r w:rsidRPr="00DB2DF5">
              <w:t>EARTH EXPLORATION-SATELLITE (PASSIVE)</w:t>
            </w:r>
          </w:p>
        </w:tc>
        <w:tc>
          <w:tcPr>
            <w:tcW w:w="2149" w:type="dxa"/>
            <w:vAlign w:val="bottom"/>
          </w:tcPr>
          <w:p w14:paraId="13AE5C82" w14:textId="77777777" w:rsidR="00B63F0E" w:rsidRPr="005A5261" w:rsidRDefault="00B63F0E" w:rsidP="009E678F">
            <w:pPr>
              <w:pStyle w:val="ECCTabletext"/>
              <w:spacing w:after="0"/>
              <w:jc w:val="left"/>
              <w:rPr>
                <w:lang w:val="fr-FR"/>
              </w:rPr>
            </w:pPr>
            <w:r w:rsidRPr="005A5261">
              <w:rPr>
                <w:lang w:val="fr-FR"/>
              </w:rPr>
              <w:t>Passive sensors (satellite)</w:t>
            </w:r>
          </w:p>
          <w:p w14:paraId="231F9755" w14:textId="77777777" w:rsidR="00B63F0E" w:rsidRPr="005A5261" w:rsidRDefault="00B63F0E" w:rsidP="009E678F">
            <w:pPr>
              <w:pStyle w:val="ECCTabletext"/>
              <w:spacing w:after="0"/>
              <w:jc w:val="left"/>
              <w:rPr>
                <w:lang w:val="fr-FR"/>
              </w:rPr>
            </w:pPr>
            <w:r w:rsidRPr="005A5261">
              <w:rPr>
                <w:lang w:val="fr-FR"/>
              </w:rPr>
              <w:t>Radio astronomy</w:t>
            </w:r>
          </w:p>
        </w:tc>
        <w:tc>
          <w:tcPr>
            <w:tcW w:w="405" w:type="dxa"/>
          </w:tcPr>
          <w:p w14:paraId="0DFD62E3" w14:textId="77777777" w:rsidR="00B63F0E" w:rsidRPr="005A5261" w:rsidRDefault="00B63F0E" w:rsidP="009E678F">
            <w:pPr>
              <w:pStyle w:val="ECCTabletext"/>
              <w:spacing w:after="0"/>
              <w:rPr>
                <w:lang w:val="fr-FR"/>
              </w:rPr>
            </w:pPr>
          </w:p>
        </w:tc>
        <w:tc>
          <w:tcPr>
            <w:tcW w:w="405" w:type="dxa"/>
          </w:tcPr>
          <w:p w14:paraId="4CC74B1F" w14:textId="77777777" w:rsidR="00B63F0E" w:rsidRPr="005A5261" w:rsidRDefault="00B63F0E" w:rsidP="009E678F">
            <w:pPr>
              <w:pStyle w:val="ECCTabletext"/>
              <w:spacing w:after="0"/>
              <w:rPr>
                <w:lang w:val="fr-FR"/>
              </w:rPr>
            </w:pPr>
          </w:p>
        </w:tc>
        <w:tc>
          <w:tcPr>
            <w:tcW w:w="402" w:type="dxa"/>
          </w:tcPr>
          <w:p w14:paraId="1499C7FF" w14:textId="77777777" w:rsidR="00B63F0E" w:rsidRPr="00DB2DF5" w:rsidRDefault="00B63F0E" w:rsidP="009E678F">
            <w:pPr>
              <w:pStyle w:val="ECCTabletext"/>
              <w:spacing w:after="0"/>
              <w:jc w:val="left"/>
            </w:pPr>
            <w:r w:rsidRPr="00DB2DF5">
              <w:t>X</w:t>
            </w:r>
          </w:p>
        </w:tc>
        <w:tc>
          <w:tcPr>
            <w:tcW w:w="995" w:type="dxa"/>
          </w:tcPr>
          <w:p w14:paraId="6A9A2C0B" w14:textId="77777777" w:rsidR="00B63F0E" w:rsidRPr="00DB2DF5" w:rsidRDefault="00B63F0E" w:rsidP="009E678F">
            <w:pPr>
              <w:pStyle w:val="ECCTabletext"/>
              <w:spacing w:after="0"/>
            </w:pPr>
          </w:p>
        </w:tc>
      </w:tr>
      <w:tr w:rsidR="00B63F0E" w:rsidRPr="00D61104" w14:paraId="5C5ED823" w14:textId="77777777" w:rsidTr="00B63F0E">
        <w:tc>
          <w:tcPr>
            <w:tcW w:w="1677" w:type="dxa"/>
          </w:tcPr>
          <w:p w14:paraId="74799CDF" w14:textId="786B7B1C" w:rsidR="00B63F0E" w:rsidRPr="00DB2DF5" w:rsidRDefault="00B63F0E" w:rsidP="009E678F">
            <w:pPr>
              <w:pStyle w:val="ECCTabletext"/>
              <w:spacing w:after="0"/>
              <w:jc w:val="left"/>
            </w:pPr>
            <w:r w:rsidRPr="00DB2DF5">
              <w:t>185.00</w:t>
            </w:r>
            <w:r w:rsidR="001D7996">
              <w:t>-</w:t>
            </w:r>
            <w:r w:rsidRPr="00DB2DF5">
              <w:t>190.00</w:t>
            </w:r>
          </w:p>
        </w:tc>
        <w:tc>
          <w:tcPr>
            <w:tcW w:w="3596" w:type="dxa"/>
            <w:vAlign w:val="bottom"/>
          </w:tcPr>
          <w:p w14:paraId="788404A1" w14:textId="77777777" w:rsidR="00B63F0E" w:rsidRPr="006165A1" w:rsidRDefault="00B63F0E" w:rsidP="009E678F">
            <w:pPr>
              <w:pStyle w:val="ECCTabletext"/>
              <w:spacing w:after="0"/>
              <w:jc w:val="left"/>
            </w:pPr>
            <w:r w:rsidRPr="00605764">
              <w:t>EARTH EXPLORATION-SATELLITE (PASSIVE)</w:t>
            </w:r>
          </w:p>
          <w:p w14:paraId="7BB28ACC" w14:textId="77777777" w:rsidR="00B63F0E" w:rsidRPr="00A24E00" w:rsidRDefault="00B63F0E" w:rsidP="009E678F">
            <w:pPr>
              <w:pStyle w:val="ECCTabletext"/>
              <w:spacing w:after="0"/>
              <w:jc w:val="left"/>
            </w:pPr>
            <w:r w:rsidRPr="006165A1">
              <w:t>INTER-SATELLITE</w:t>
            </w:r>
            <w:r w:rsidR="00D61104" w:rsidRPr="006165A1">
              <w:t xml:space="preserve"> </w:t>
            </w:r>
            <w:r w:rsidRPr="00B2765F">
              <w:t>(5.562H)</w:t>
            </w:r>
          </w:p>
          <w:p w14:paraId="0B83AD1F" w14:textId="77777777" w:rsidR="00B63F0E" w:rsidRPr="00ED63D6" w:rsidRDefault="00B63F0E" w:rsidP="009E678F">
            <w:pPr>
              <w:pStyle w:val="ECCTabletext"/>
              <w:spacing w:after="0"/>
              <w:jc w:val="left"/>
            </w:pPr>
            <w:r w:rsidRPr="00ED63D6">
              <w:t>SPACE RESEARCH (PASSIVE)</w:t>
            </w:r>
          </w:p>
        </w:tc>
        <w:tc>
          <w:tcPr>
            <w:tcW w:w="2149" w:type="dxa"/>
            <w:vAlign w:val="bottom"/>
          </w:tcPr>
          <w:p w14:paraId="55953F39" w14:textId="77777777" w:rsidR="00B63F0E" w:rsidRPr="005C3D16" w:rsidRDefault="00B63F0E" w:rsidP="009E678F">
            <w:pPr>
              <w:pStyle w:val="ECCTabletext"/>
              <w:spacing w:after="0"/>
              <w:jc w:val="left"/>
            </w:pPr>
            <w:r w:rsidRPr="00A44046">
              <w:t>Passive sensors (sat</w:t>
            </w:r>
            <w:r w:rsidRPr="00BD371E">
              <w:t>ellite)</w:t>
            </w:r>
          </w:p>
        </w:tc>
        <w:tc>
          <w:tcPr>
            <w:tcW w:w="405" w:type="dxa"/>
          </w:tcPr>
          <w:p w14:paraId="59A75A0D" w14:textId="77777777" w:rsidR="00B63F0E" w:rsidRPr="00794DA6" w:rsidRDefault="00B63F0E" w:rsidP="009E678F">
            <w:pPr>
              <w:pStyle w:val="ECCTabletext"/>
              <w:spacing w:after="0"/>
              <w:jc w:val="left"/>
            </w:pPr>
            <w:r w:rsidRPr="00D86561">
              <w:t>X</w:t>
            </w:r>
          </w:p>
        </w:tc>
        <w:tc>
          <w:tcPr>
            <w:tcW w:w="405" w:type="dxa"/>
          </w:tcPr>
          <w:p w14:paraId="04369797" w14:textId="77777777" w:rsidR="00B63F0E" w:rsidRPr="00794DA6" w:rsidRDefault="00B63F0E" w:rsidP="009E678F">
            <w:pPr>
              <w:pStyle w:val="ECCTabletext"/>
              <w:spacing w:after="0"/>
              <w:jc w:val="left"/>
            </w:pPr>
            <w:r w:rsidRPr="00794DA6">
              <w:t>X</w:t>
            </w:r>
          </w:p>
        </w:tc>
        <w:tc>
          <w:tcPr>
            <w:tcW w:w="402" w:type="dxa"/>
          </w:tcPr>
          <w:p w14:paraId="3D6240CA" w14:textId="77777777" w:rsidR="00B63F0E" w:rsidRPr="00D8559F" w:rsidRDefault="00B63F0E" w:rsidP="009E678F">
            <w:pPr>
              <w:pStyle w:val="ECCTabletext"/>
              <w:spacing w:after="0"/>
              <w:jc w:val="left"/>
            </w:pPr>
            <w:r w:rsidRPr="00E4615B">
              <w:t>X</w:t>
            </w:r>
          </w:p>
        </w:tc>
        <w:tc>
          <w:tcPr>
            <w:tcW w:w="995" w:type="dxa"/>
          </w:tcPr>
          <w:p w14:paraId="7D5C636A" w14:textId="77777777" w:rsidR="00B63F0E" w:rsidRPr="0082594A" w:rsidRDefault="00B63F0E" w:rsidP="009E678F">
            <w:pPr>
              <w:pStyle w:val="ECCTabletext"/>
              <w:spacing w:after="0"/>
            </w:pPr>
          </w:p>
        </w:tc>
      </w:tr>
      <w:tr w:rsidR="00B63F0E" w:rsidRPr="00D61104" w14:paraId="0DF5AB4F" w14:textId="77777777" w:rsidTr="00B63F0E">
        <w:tc>
          <w:tcPr>
            <w:tcW w:w="1677" w:type="dxa"/>
          </w:tcPr>
          <w:p w14:paraId="3D968FA8" w14:textId="4E5EE5F2" w:rsidR="00B63F0E" w:rsidRPr="00DB2DF5" w:rsidRDefault="00B63F0E" w:rsidP="009E678F">
            <w:pPr>
              <w:pStyle w:val="ECCTabletext"/>
              <w:spacing w:after="0"/>
              <w:jc w:val="left"/>
            </w:pPr>
            <w:r w:rsidRPr="00DB2DF5">
              <w:t>190.00</w:t>
            </w:r>
            <w:r w:rsidR="001D7996">
              <w:t>-</w:t>
            </w:r>
            <w:r w:rsidRPr="00DB2DF5">
              <w:t>191.80</w:t>
            </w:r>
          </w:p>
          <w:p w14:paraId="5411EACF" w14:textId="77777777" w:rsidR="00B63F0E" w:rsidRPr="00DB2DF5" w:rsidRDefault="00B63F0E" w:rsidP="009E678F">
            <w:pPr>
              <w:pStyle w:val="ECCTabletext"/>
              <w:spacing w:after="0"/>
              <w:jc w:val="left"/>
            </w:pPr>
            <w:r w:rsidRPr="00DB2DF5">
              <w:t>(5.340)</w:t>
            </w:r>
          </w:p>
        </w:tc>
        <w:tc>
          <w:tcPr>
            <w:tcW w:w="3596" w:type="dxa"/>
            <w:vAlign w:val="bottom"/>
          </w:tcPr>
          <w:p w14:paraId="4E69EBAD" w14:textId="77777777" w:rsidR="00B63F0E" w:rsidRPr="00DB2DF5" w:rsidRDefault="00B63F0E" w:rsidP="009E678F">
            <w:pPr>
              <w:pStyle w:val="ECCTabletext"/>
              <w:spacing w:after="0"/>
              <w:jc w:val="left"/>
            </w:pPr>
            <w:r w:rsidRPr="00DB2DF5">
              <w:t>SPACE RESEARCH (PASSIVE)</w:t>
            </w:r>
          </w:p>
          <w:p w14:paraId="50833BF1" w14:textId="77777777" w:rsidR="00B63F0E" w:rsidRPr="00DB2DF5" w:rsidRDefault="00B63F0E" w:rsidP="009E678F">
            <w:pPr>
              <w:pStyle w:val="ECCTabletext"/>
              <w:spacing w:after="0"/>
              <w:jc w:val="left"/>
            </w:pPr>
            <w:r w:rsidRPr="00DB2DF5">
              <w:t>EARTH EXPLORATION-SATELLITE (PASSIVE)</w:t>
            </w:r>
          </w:p>
        </w:tc>
        <w:tc>
          <w:tcPr>
            <w:tcW w:w="2149" w:type="dxa"/>
            <w:vAlign w:val="bottom"/>
          </w:tcPr>
          <w:p w14:paraId="559F5C33" w14:textId="77777777" w:rsidR="00B63F0E" w:rsidRPr="005A5261" w:rsidRDefault="00B63F0E" w:rsidP="009E678F">
            <w:pPr>
              <w:pStyle w:val="ECCTabletext"/>
              <w:spacing w:after="0"/>
              <w:jc w:val="left"/>
              <w:rPr>
                <w:lang w:val="fr-FR"/>
              </w:rPr>
            </w:pPr>
            <w:r w:rsidRPr="005A5261">
              <w:rPr>
                <w:lang w:val="fr-FR"/>
              </w:rPr>
              <w:t>Passive sensors (satellite)</w:t>
            </w:r>
          </w:p>
          <w:p w14:paraId="5DA0ED96" w14:textId="77777777" w:rsidR="00B63F0E" w:rsidRPr="005A5261" w:rsidRDefault="00B63F0E" w:rsidP="009E678F">
            <w:pPr>
              <w:pStyle w:val="ECCTabletext"/>
              <w:spacing w:after="0"/>
              <w:jc w:val="left"/>
              <w:rPr>
                <w:lang w:val="fr-FR"/>
              </w:rPr>
            </w:pPr>
            <w:r w:rsidRPr="005A5261">
              <w:rPr>
                <w:lang w:val="fr-FR"/>
              </w:rPr>
              <w:t>Radio astronomy</w:t>
            </w:r>
          </w:p>
        </w:tc>
        <w:tc>
          <w:tcPr>
            <w:tcW w:w="405" w:type="dxa"/>
          </w:tcPr>
          <w:p w14:paraId="01C78443" w14:textId="77777777" w:rsidR="00B63F0E" w:rsidRPr="005A5261" w:rsidRDefault="00B63F0E" w:rsidP="009E678F">
            <w:pPr>
              <w:pStyle w:val="ECCTabletext"/>
              <w:spacing w:after="0"/>
              <w:rPr>
                <w:lang w:val="fr-FR"/>
              </w:rPr>
            </w:pPr>
          </w:p>
        </w:tc>
        <w:tc>
          <w:tcPr>
            <w:tcW w:w="405" w:type="dxa"/>
          </w:tcPr>
          <w:p w14:paraId="5E29BFFA" w14:textId="77777777" w:rsidR="00B63F0E" w:rsidRPr="005A5261" w:rsidRDefault="00B63F0E" w:rsidP="009E678F">
            <w:pPr>
              <w:pStyle w:val="ECCTabletext"/>
              <w:spacing w:after="0"/>
              <w:rPr>
                <w:lang w:val="fr-FR"/>
              </w:rPr>
            </w:pPr>
          </w:p>
        </w:tc>
        <w:tc>
          <w:tcPr>
            <w:tcW w:w="402" w:type="dxa"/>
          </w:tcPr>
          <w:p w14:paraId="02B6B829" w14:textId="77777777" w:rsidR="00B63F0E" w:rsidRPr="00DB2DF5" w:rsidRDefault="00B63F0E" w:rsidP="009E678F">
            <w:pPr>
              <w:pStyle w:val="ECCTabletext"/>
              <w:spacing w:after="0"/>
              <w:jc w:val="left"/>
            </w:pPr>
            <w:r w:rsidRPr="00DB2DF5">
              <w:t>X</w:t>
            </w:r>
          </w:p>
        </w:tc>
        <w:tc>
          <w:tcPr>
            <w:tcW w:w="995" w:type="dxa"/>
          </w:tcPr>
          <w:p w14:paraId="36C3BB50" w14:textId="77777777" w:rsidR="00B63F0E" w:rsidRPr="00DB2DF5" w:rsidRDefault="00B63F0E" w:rsidP="009E678F">
            <w:pPr>
              <w:pStyle w:val="ECCTabletext"/>
              <w:spacing w:after="0"/>
            </w:pPr>
          </w:p>
        </w:tc>
      </w:tr>
      <w:tr w:rsidR="00B63F0E" w:rsidRPr="00D61104" w14:paraId="10DBB000" w14:textId="77777777" w:rsidTr="00B63F0E">
        <w:tc>
          <w:tcPr>
            <w:tcW w:w="1677" w:type="dxa"/>
          </w:tcPr>
          <w:p w14:paraId="24B9A581" w14:textId="29A849A9" w:rsidR="00B63F0E" w:rsidRPr="00DB2DF5" w:rsidRDefault="00B63F0E" w:rsidP="009E678F">
            <w:pPr>
              <w:pStyle w:val="ECCTabletext"/>
              <w:spacing w:after="0"/>
              <w:jc w:val="left"/>
            </w:pPr>
            <w:r w:rsidRPr="00DB2DF5">
              <w:t>191.80</w:t>
            </w:r>
            <w:r w:rsidR="001D7996">
              <w:t>-</w:t>
            </w:r>
            <w:r w:rsidRPr="00DB2DF5">
              <w:t>200.00</w:t>
            </w:r>
          </w:p>
          <w:p w14:paraId="010F1B5C" w14:textId="77777777" w:rsidR="00B63F0E" w:rsidRPr="006165A1" w:rsidRDefault="00B63F0E" w:rsidP="009E678F">
            <w:pPr>
              <w:pStyle w:val="ECCTabletext"/>
              <w:spacing w:after="0"/>
              <w:jc w:val="left"/>
            </w:pPr>
            <w:r w:rsidRPr="00605764">
              <w:t>(5.149)</w:t>
            </w:r>
            <w:r w:rsidR="00D61104" w:rsidRPr="006165A1">
              <w:t xml:space="preserve"> </w:t>
            </w:r>
            <w:r w:rsidRPr="006165A1">
              <w:t>(5.341) (5.554)</w:t>
            </w:r>
          </w:p>
        </w:tc>
        <w:tc>
          <w:tcPr>
            <w:tcW w:w="3596" w:type="dxa"/>
            <w:vAlign w:val="bottom"/>
          </w:tcPr>
          <w:p w14:paraId="3B995590" w14:textId="77777777" w:rsidR="00B63F0E" w:rsidRPr="005A5261" w:rsidRDefault="00B63F0E" w:rsidP="009E678F">
            <w:pPr>
              <w:pStyle w:val="ECCTabletext"/>
              <w:spacing w:after="0"/>
              <w:jc w:val="left"/>
              <w:rPr>
                <w:lang w:val="fr-FR"/>
              </w:rPr>
            </w:pPr>
            <w:r w:rsidRPr="005A5261">
              <w:rPr>
                <w:lang w:val="fr-FR"/>
              </w:rPr>
              <w:t>FIXED</w:t>
            </w:r>
          </w:p>
          <w:p w14:paraId="0474578C" w14:textId="77777777" w:rsidR="00B63F0E" w:rsidRPr="005A5261" w:rsidRDefault="00B63F0E" w:rsidP="009E678F">
            <w:pPr>
              <w:pStyle w:val="ECCTabletext"/>
              <w:spacing w:after="0"/>
              <w:jc w:val="left"/>
              <w:rPr>
                <w:lang w:val="fr-FR"/>
              </w:rPr>
            </w:pPr>
            <w:r w:rsidRPr="005A5261">
              <w:rPr>
                <w:lang w:val="fr-FR"/>
              </w:rPr>
              <w:t>MOBILE</w:t>
            </w:r>
            <w:r w:rsidR="00D61104" w:rsidRPr="005A5261">
              <w:rPr>
                <w:lang w:val="fr-FR"/>
              </w:rPr>
              <w:t xml:space="preserve"> </w:t>
            </w:r>
            <w:r w:rsidRPr="005A5261">
              <w:rPr>
                <w:lang w:val="fr-FR"/>
              </w:rPr>
              <w:t>(5.558)</w:t>
            </w:r>
          </w:p>
          <w:p w14:paraId="7E4F59D1" w14:textId="77777777" w:rsidR="00B63F0E" w:rsidRPr="005A5261" w:rsidRDefault="00B63F0E" w:rsidP="009E678F">
            <w:pPr>
              <w:pStyle w:val="ECCTabletext"/>
              <w:spacing w:after="0"/>
              <w:jc w:val="left"/>
              <w:rPr>
                <w:lang w:val="fr-FR"/>
              </w:rPr>
            </w:pPr>
            <w:r w:rsidRPr="005A5261">
              <w:rPr>
                <w:lang w:val="fr-FR"/>
              </w:rPr>
              <w:t>INTER-SATELLITE</w:t>
            </w:r>
          </w:p>
          <w:p w14:paraId="45359D76" w14:textId="77777777" w:rsidR="00B63F0E" w:rsidRPr="005A5261" w:rsidRDefault="00B63F0E" w:rsidP="009E678F">
            <w:pPr>
              <w:pStyle w:val="ECCTabletext"/>
              <w:spacing w:after="0"/>
              <w:jc w:val="left"/>
              <w:rPr>
                <w:lang w:val="fr-FR"/>
              </w:rPr>
            </w:pPr>
            <w:r w:rsidRPr="005A5261">
              <w:rPr>
                <w:lang w:val="fr-FR"/>
              </w:rPr>
              <w:t>RADIONAVIGATION</w:t>
            </w:r>
          </w:p>
          <w:p w14:paraId="34E69F7E" w14:textId="77777777" w:rsidR="00B63F0E" w:rsidRPr="005A5261" w:rsidRDefault="00B63F0E" w:rsidP="009E678F">
            <w:pPr>
              <w:pStyle w:val="ECCTabletext"/>
              <w:spacing w:after="0"/>
              <w:jc w:val="left"/>
              <w:rPr>
                <w:lang w:val="fr-FR"/>
              </w:rPr>
            </w:pPr>
            <w:r w:rsidRPr="005A5261">
              <w:rPr>
                <w:lang w:val="fr-FR"/>
              </w:rPr>
              <w:t>RADIONAVIGATION-SATELLITE</w:t>
            </w:r>
          </w:p>
          <w:p w14:paraId="0E8186A2" w14:textId="77777777" w:rsidR="00B63F0E" w:rsidRPr="00DB2DF5" w:rsidRDefault="00B63F0E" w:rsidP="009E678F">
            <w:pPr>
              <w:pStyle w:val="ECCTabletext"/>
              <w:spacing w:after="0"/>
              <w:jc w:val="left"/>
            </w:pPr>
            <w:r w:rsidRPr="00DB2DF5">
              <w:t>MOBILE-SATELLITE</w:t>
            </w:r>
          </w:p>
        </w:tc>
        <w:tc>
          <w:tcPr>
            <w:tcW w:w="2149" w:type="dxa"/>
            <w:vAlign w:val="bottom"/>
          </w:tcPr>
          <w:p w14:paraId="1A16B0DF" w14:textId="77777777" w:rsidR="00B63F0E" w:rsidRPr="006165A1" w:rsidRDefault="00B63F0E" w:rsidP="009E678F">
            <w:pPr>
              <w:pStyle w:val="ECCTabletext"/>
              <w:spacing w:after="0"/>
              <w:jc w:val="left"/>
            </w:pPr>
            <w:r w:rsidRPr="00605764">
              <w:t>Radio astronomy</w:t>
            </w:r>
          </w:p>
        </w:tc>
        <w:tc>
          <w:tcPr>
            <w:tcW w:w="405" w:type="dxa"/>
          </w:tcPr>
          <w:p w14:paraId="738C2171" w14:textId="77777777" w:rsidR="00B63F0E" w:rsidRPr="006165A1" w:rsidRDefault="00B63F0E" w:rsidP="009E678F">
            <w:pPr>
              <w:pStyle w:val="ECCTabletext"/>
              <w:spacing w:after="0"/>
            </w:pPr>
          </w:p>
        </w:tc>
        <w:tc>
          <w:tcPr>
            <w:tcW w:w="405" w:type="dxa"/>
          </w:tcPr>
          <w:p w14:paraId="61EBE25C" w14:textId="77777777" w:rsidR="00B63F0E" w:rsidRPr="006165A1" w:rsidRDefault="00B63F0E" w:rsidP="009E678F">
            <w:pPr>
              <w:pStyle w:val="ECCTabletext"/>
              <w:spacing w:after="0"/>
            </w:pPr>
          </w:p>
        </w:tc>
        <w:tc>
          <w:tcPr>
            <w:tcW w:w="402" w:type="dxa"/>
          </w:tcPr>
          <w:p w14:paraId="3157DC6F" w14:textId="77777777" w:rsidR="00B63F0E" w:rsidRPr="00A24E00" w:rsidRDefault="00B63F0E" w:rsidP="009E678F">
            <w:pPr>
              <w:pStyle w:val="ECCTabletext"/>
              <w:spacing w:after="0"/>
              <w:jc w:val="left"/>
            </w:pPr>
            <w:r w:rsidRPr="00B2765F">
              <w:t>X</w:t>
            </w:r>
          </w:p>
        </w:tc>
        <w:tc>
          <w:tcPr>
            <w:tcW w:w="995" w:type="dxa"/>
          </w:tcPr>
          <w:p w14:paraId="12B04F37" w14:textId="77777777" w:rsidR="00B63F0E" w:rsidRPr="00ED63D6" w:rsidRDefault="00B63F0E" w:rsidP="009E678F">
            <w:pPr>
              <w:pStyle w:val="ECCTabletext"/>
              <w:spacing w:after="0"/>
            </w:pPr>
          </w:p>
        </w:tc>
      </w:tr>
      <w:tr w:rsidR="00B63F0E" w:rsidRPr="00D61104" w14:paraId="78E1E403" w14:textId="77777777" w:rsidTr="00B63F0E">
        <w:tc>
          <w:tcPr>
            <w:tcW w:w="1677" w:type="dxa"/>
          </w:tcPr>
          <w:p w14:paraId="56FB9A42" w14:textId="381E9C95" w:rsidR="00B63F0E" w:rsidRPr="00DB2DF5" w:rsidRDefault="00B63F0E" w:rsidP="009E678F">
            <w:pPr>
              <w:pStyle w:val="ECCTabletext"/>
              <w:spacing w:after="0"/>
              <w:jc w:val="left"/>
            </w:pPr>
            <w:r w:rsidRPr="00DB2DF5">
              <w:t>200.00</w:t>
            </w:r>
            <w:r w:rsidR="001D7996">
              <w:t>-</w:t>
            </w:r>
            <w:r w:rsidRPr="00DB2DF5">
              <w:t>202.00</w:t>
            </w:r>
          </w:p>
          <w:p w14:paraId="0D59C0E7" w14:textId="77777777" w:rsidR="00B63F0E" w:rsidRPr="006165A1" w:rsidRDefault="00B63F0E" w:rsidP="009E678F">
            <w:pPr>
              <w:pStyle w:val="ECCTabletext"/>
              <w:spacing w:after="0"/>
              <w:jc w:val="left"/>
            </w:pPr>
            <w:r w:rsidRPr="00605764">
              <w:t>(5.340)</w:t>
            </w:r>
            <w:r w:rsidR="00D61104" w:rsidRPr="006165A1">
              <w:t xml:space="preserve"> </w:t>
            </w:r>
            <w:r w:rsidRPr="006165A1">
              <w:t>(5.341) (5.563A)</w:t>
            </w:r>
          </w:p>
        </w:tc>
        <w:tc>
          <w:tcPr>
            <w:tcW w:w="3596" w:type="dxa"/>
            <w:vAlign w:val="bottom"/>
          </w:tcPr>
          <w:p w14:paraId="474A191C" w14:textId="77777777" w:rsidR="00B63F0E" w:rsidRPr="00B2765F" w:rsidRDefault="00B63F0E" w:rsidP="009E678F">
            <w:pPr>
              <w:pStyle w:val="ECCTabletext"/>
              <w:spacing w:after="0"/>
              <w:jc w:val="left"/>
            </w:pPr>
            <w:r w:rsidRPr="006165A1">
              <w:t>RADIO ASTRONOMY</w:t>
            </w:r>
          </w:p>
          <w:p w14:paraId="00B2340C" w14:textId="77777777" w:rsidR="00B63F0E" w:rsidRPr="00ED63D6" w:rsidRDefault="00B63F0E" w:rsidP="009E678F">
            <w:pPr>
              <w:pStyle w:val="ECCTabletext"/>
              <w:spacing w:after="0"/>
              <w:jc w:val="left"/>
            </w:pPr>
            <w:r w:rsidRPr="00ED63D6">
              <w:t>SPACE RESEARCH (PASSIVE)</w:t>
            </w:r>
          </w:p>
          <w:p w14:paraId="4F8360EA" w14:textId="77777777" w:rsidR="00B63F0E" w:rsidRPr="00BD371E" w:rsidRDefault="00B63F0E" w:rsidP="009E678F">
            <w:pPr>
              <w:pStyle w:val="ECCTabletext"/>
              <w:spacing w:after="0"/>
              <w:jc w:val="left"/>
            </w:pPr>
            <w:r w:rsidRPr="00A44046">
              <w:t>EARTH EXPLORATION-SATELLITE (PASSIVE)</w:t>
            </w:r>
          </w:p>
        </w:tc>
        <w:tc>
          <w:tcPr>
            <w:tcW w:w="2149" w:type="dxa"/>
            <w:vAlign w:val="bottom"/>
          </w:tcPr>
          <w:p w14:paraId="7E29BF75" w14:textId="77777777" w:rsidR="00B63F0E" w:rsidRPr="00D86561" w:rsidRDefault="00B63F0E" w:rsidP="009E678F">
            <w:pPr>
              <w:pStyle w:val="ECCTabletext"/>
              <w:spacing w:after="0"/>
              <w:jc w:val="left"/>
            </w:pPr>
            <w:r w:rsidRPr="005C3D16">
              <w:t>Radio astronomy</w:t>
            </w:r>
          </w:p>
          <w:p w14:paraId="22A2D7A1" w14:textId="77777777" w:rsidR="00B63F0E" w:rsidRPr="00794DA6" w:rsidRDefault="00B63F0E" w:rsidP="009E678F">
            <w:pPr>
              <w:pStyle w:val="ECCTabletext"/>
              <w:spacing w:after="0"/>
              <w:jc w:val="left"/>
            </w:pPr>
            <w:r w:rsidRPr="00794DA6">
              <w:t>Earth exploration-satellite</w:t>
            </w:r>
          </w:p>
        </w:tc>
        <w:tc>
          <w:tcPr>
            <w:tcW w:w="405" w:type="dxa"/>
          </w:tcPr>
          <w:p w14:paraId="5C36F329" w14:textId="77777777" w:rsidR="00B63F0E" w:rsidRPr="00E4615B" w:rsidRDefault="00B63F0E" w:rsidP="009E678F">
            <w:pPr>
              <w:pStyle w:val="ECCTabletext"/>
              <w:spacing w:after="0"/>
            </w:pPr>
          </w:p>
        </w:tc>
        <w:tc>
          <w:tcPr>
            <w:tcW w:w="405" w:type="dxa"/>
          </w:tcPr>
          <w:p w14:paraId="431B4429" w14:textId="77777777" w:rsidR="00B63F0E" w:rsidRPr="0082594A" w:rsidRDefault="00B63F0E" w:rsidP="009E678F">
            <w:pPr>
              <w:pStyle w:val="ECCTabletext"/>
              <w:spacing w:after="0"/>
            </w:pPr>
          </w:p>
        </w:tc>
        <w:tc>
          <w:tcPr>
            <w:tcW w:w="402" w:type="dxa"/>
          </w:tcPr>
          <w:p w14:paraId="0812B1B0" w14:textId="77777777" w:rsidR="00B63F0E" w:rsidRPr="005A5261" w:rsidRDefault="00B63F0E" w:rsidP="009E678F">
            <w:pPr>
              <w:pStyle w:val="ECCTabletext"/>
              <w:spacing w:after="0"/>
              <w:jc w:val="left"/>
            </w:pPr>
            <w:r w:rsidRPr="000812B4">
              <w:t>X</w:t>
            </w:r>
          </w:p>
        </w:tc>
        <w:tc>
          <w:tcPr>
            <w:tcW w:w="995" w:type="dxa"/>
          </w:tcPr>
          <w:p w14:paraId="503769C7" w14:textId="77777777" w:rsidR="00B63F0E" w:rsidRPr="00DB2DF5" w:rsidRDefault="00B63F0E" w:rsidP="009E678F">
            <w:pPr>
              <w:pStyle w:val="ECCTabletext"/>
              <w:spacing w:after="0"/>
            </w:pPr>
          </w:p>
        </w:tc>
      </w:tr>
      <w:tr w:rsidR="00B63F0E" w:rsidRPr="00D61104" w14:paraId="65E04C05" w14:textId="77777777" w:rsidTr="00B63F0E">
        <w:tc>
          <w:tcPr>
            <w:tcW w:w="1677" w:type="dxa"/>
          </w:tcPr>
          <w:p w14:paraId="0CF53670" w14:textId="0969BED9" w:rsidR="00B63F0E" w:rsidRPr="00DB2DF5" w:rsidRDefault="00B63F0E" w:rsidP="009E678F">
            <w:pPr>
              <w:pStyle w:val="ECCTabletext"/>
              <w:spacing w:after="0"/>
              <w:jc w:val="left"/>
            </w:pPr>
            <w:r w:rsidRPr="00DB2DF5">
              <w:t>202.00</w:t>
            </w:r>
            <w:r w:rsidR="001D7996">
              <w:t>-</w:t>
            </w:r>
            <w:r w:rsidRPr="00DB2DF5">
              <w:t>209.00</w:t>
            </w:r>
          </w:p>
          <w:p w14:paraId="3636172B" w14:textId="77777777" w:rsidR="00B63F0E" w:rsidRPr="006165A1" w:rsidRDefault="00B63F0E" w:rsidP="009E678F">
            <w:pPr>
              <w:pStyle w:val="ECCTabletext"/>
              <w:spacing w:after="0"/>
              <w:jc w:val="left"/>
            </w:pPr>
            <w:r w:rsidRPr="00605764">
              <w:t>(5.340)</w:t>
            </w:r>
            <w:r w:rsidR="00D61104" w:rsidRPr="006165A1">
              <w:t xml:space="preserve"> </w:t>
            </w:r>
            <w:r w:rsidRPr="006165A1">
              <w:t>(5.341) (5.563A)</w:t>
            </w:r>
          </w:p>
        </w:tc>
        <w:tc>
          <w:tcPr>
            <w:tcW w:w="3596" w:type="dxa"/>
            <w:vAlign w:val="bottom"/>
          </w:tcPr>
          <w:p w14:paraId="5423941A" w14:textId="77777777" w:rsidR="00B63F0E" w:rsidRPr="00B2765F" w:rsidRDefault="00B63F0E" w:rsidP="009E678F">
            <w:pPr>
              <w:pStyle w:val="ECCTabletext"/>
              <w:spacing w:after="0"/>
              <w:jc w:val="left"/>
            </w:pPr>
            <w:r w:rsidRPr="006165A1">
              <w:t>EARTH EXPLORATION-SATELLITE (PASSIVE)</w:t>
            </w:r>
          </w:p>
          <w:p w14:paraId="73F58E39" w14:textId="77777777" w:rsidR="00B63F0E" w:rsidRPr="00ED63D6" w:rsidRDefault="00B63F0E" w:rsidP="009E678F">
            <w:pPr>
              <w:pStyle w:val="ECCTabletext"/>
              <w:spacing w:after="0"/>
              <w:jc w:val="left"/>
            </w:pPr>
            <w:r w:rsidRPr="00ED63D6">
              <w:t>SPACE RESEARCH (PASSIVE)</w:t>
            </w:r>
          </w:p>
          <w:p w14:paraId="2E5E0650" w14:textId="77777777" w:rsidR="00B63F0E" w:rsidRPr="00BD371E" w:rsidRDefault="00B63F0E" w:rsidP="009E678F">
            <w:pPr>
              <w:pStyle w:val="ECCTabletext"/>
              <w:spacing w:after="0"/>
              <w:jc w:val="left"/>
            </w:pPr>
            <w:r w:rsidRPr="00A44046">
              <w:t>RADIO ASTRONOMY</w:t>
            </w:r>
          </w:p>
        </w:tc>
        <w:tc>
          <w:tcPr>
            <w:tcW w:w="2149" w:type="dxa"/>
            <w:vAlign w:val="bottom"/>
          </w:tcPr>
          <w:p w14:paraId="6824EA3A" w14:textId="77777777" w:rsidR="00B63F0E" w:rsidRPr="00D86561" w:rsidRDefault="00B63F0E" w:rsidP="009E678F">
            <w:pPr>
              <w:pStyle w:val="ECCTabletext"/>
              <w:spacing w:after="0"/>
              <w:jc w:val="left"/>
            </w:pPr>
            <w:r w:rsidRPr="005C3D16">
              <w:t>Earth exploration-satellite</w:t>
            </w:r>
          </w:p>
          <w:p w14:paraId="6B3A91A1" w14:textId="77777777" w:rsidR="00B63F0E" w:rsidRPr="00794DA6" w:rsidRDefault="00B63F0E" w:rsidP="009E678F">
            <w:pPr>
              <w:pStyle w:val="ECCTabletext"/>
              <w:spacing w:after="0"/>
              <w:jc w:val="left"/>
            </w:pPr>
            <w:r w:rsidRPr="00794DA6">
              <w:t>Radio astronomy</w:t>
            </w:r>
          </w:p>
        </w:tc>
        <w:tc>
          <w:tcPr>
            <w:tcW w:w="405" w:type="dxa"/>
          </w:tcPr>
          <w:p w14:paraId="40F1B02B" w14:textId="77777777" w:rsidR="00B63F0E" w:rsidRPr="00794DA6" w:rsidRDefault="00B63F0E" w:rsidP="009E678F">
            <w:pPr>
              <w:pStyle w:val="ECCTabletext"/>
              <w:spacing w:after="0"/>
            </w:pPr>
          </w:p>
        </w:tc>
        <w:tc>
          <w:tcPr>
            <w:tcW w:w="405" w:type="dxa"/>
          </w:tcPr>
          <w:p w14:paraId="13004401" w14:textId="77777777" w:rsidR="00B63F0E" w:rsidRPr="00E4615B" w:rsidRDefault="00B63F0E" w:rsidP="009E678F">
            <w:pPr>
              <w:pStyle w:val="ECCTabletext"/>
              <w:spacing w:after="0"/>
            </w:pPr>
          </w:p>
        </w:tc>
        <w:tc>
          <w:tcPr>
            <w:tcW w:w="402" w:type="dxa"/>
          </w:tcPr>
          <w:p w14:paraId="0C3DA0CD" w14:textId="77777777" w:rsidR="00B63F0E" w:rsidRPr="000812B4" w:rsidRDefault="00B63F0E" w:rsidP="009E678F">
            <w:pPr>
              <w:pStyle w:val="ECCTabletext"/>
              <w:spacing w:after="0"/>
              <w:jc w:val="left"/>
            </w:pPr>
            <w:r w:rsidRPr="0082594A">
              <w:t>X</w:t>
            </w:r>
          </w:p>
        </w:tc>
        <w:tc>
          <w:tcPr>
            <w:tcW w:w="995" w:type="dxa"/>
          </w:tcPr>
          <w:p w14:paraId="334E820F" w14:textId="77777777" w:rsidR="00B63F0E" w:rsidRPr="005A5261" w:rsidRDefault="00B63F0E" w:rsidP="009E678F">
            <w:pPr>
              <w:pStyle w:val="ECCTabletext"/>
              <w:spacing w:after="0"/>
            </w:pPr>
          </w:p>
        </w:tc>
      </w:tr>
      <w:tr w:rsidR="00B63F0E" w:rsidRPr="00D61104" w14:paraId="27578F22" w14:textId="77777777" w:rsidTr="00B63F0E">
        <w:tc>
          <w:tcPr>
            <w:tcW w:w="1677" w:type="dxa"/>
          </w:tcPr>
          <w:p w14:paraId="68D13C19" w14:textId="38CB3F95" w:rsidR="00B63F0E" w:rsidRPr="00DB2DF5" w:rsidRDefault="00B63F0E" w:rsidP="009E678F">
            <w:pPr>
              <w:pStyle w:val="ECCTabletext"/>
              <w:spacing w:after="0"/>
              <w:jc w:val="left"/>
            </w:pPr>
            <w:r w:rsidRPr="00DB2DF5">
              <w:t>209.00</w:t>
            </w:r>
            <w:r w:rsidR="001D7996">
              <w:t>-</w:t>
            </w:r>
            <w:r w:rsidRPr="00DB2DF5">
              <w:t>217.00</w:t>
            </w:r>
          </w:p>
          <w:p w14:paraId="3DFB7495" w14:textId="77777777" w:rsidR="00B63F0E" w:rsidRPr="006165A1" w:rsidRDefault="00B63F0E" w:rsidP="009E678F">
            <w:pPr>
              <w:pStyle w:val="ECCTabletext"/>
              <w:spacing w:after="0"/>
              <w:jc w:val="left"/>
            </w:pPr>
            <w:r w:rsidRPr="00605764">
              <w:t>(5.149)</w:t>
            </w:r>
            <w:r w:rsidR="00D61104" w:rsidRPr="006165A1">
              <w:t xml:space="preserve"> </w:t>
            </w:r>
            <w:r w:rsidRPr="006165A1">
              <w:t>(5.341)</w:t>
            </w:r>
          </w:p>
        </w:tc>
        <w:tc>
          <w:tcPr>
            <w:tcW w:w="3596" w:type="dxa"/>
            <w:vAlign w:val="bottom"/>
          </w:tcPr>
          <w:p w14:paraId="72B44860" w14:textId="77777777" w:rsidR="00B63F0E" w:rsidRPr="006165A1" w:rsidRDefault="00B63F0E" w:rsidP="009E678F">
            <w:pPr>
              <w:pStyle w:val="ECCTabletext"/>
              <w:spacing w:after="0"/>
              <w:jc w:val="left"/>
            </w:pPr>
            <w:r w:rsidRPr="006165A1">
              <w:t>RADIO ASTRONOMY</w:t>
            </w:r>
          </w:p>
          <w:p w14:paraId="09497953" w14:textId="77777777" w:rsidR="00B63F0E" w:rsidRPr="00A24E00" w:rsidRDefault="00B63F0E" w:rsidP="009E678F">
            <w:pPr>
              <w:pStyle w:val="ECCTabletext"/>
              <w:spacing w:after="0"/>
              <w:jc w:val="left"/>
            </w:pPr>
            <w:r w:rsidRPr="00B2765F">
              <w:t>FIXED</w:t>
            </w:r>
          </w:p>
          <w:p w14:paraId="62C00EBC" w14:textId="77777777" w:rsidR="00B63F0E" w:rsidRPr="00ED63D6" w:rsidRDefault="00B63F0E" w:rsidP="009E678F">
            <w:pPr>
              <w:pStyle w:val="ECCTabletext"/>
              <w:spacing w:after="0"/>
              <w:jc w:val="left"/>
            </w:pPr>
            <w:r w:rsidRPr="00ED63D6">
              <w:t>FIXED-SATELLITE (EARTH-TO-SPACE)</w:t>
            </w:r>
          </w:p>
          <w:p w14:paraId="7D023B3A" w14:textId="77777777" w:rsidR="00B63F0E" w:rsidRPr="00BD371E" w:rsidRDefault="00B63F0E" w:rsidP="009E678F">
            <w:pPr>
              <w:pStyle w:val="ECCTabletext"/>
              <w:spacing w:after="0"/>
              <w:jc w:val="left"/>
            </w:pPr>
            <w:r w:rsidRPr="00A44046">
              <w:t>MOBILE</w:t>
            </w:r>
          </w:p>
        </w:tc>
        <w:tc>
          <w:tcPr>
            <w:tcW w:w="2149" w:type="dxa"/>
            <w:vAlign w:val="bottom"/>
          </w:tcPr>
          <w:p w14:paraId="59A726B7" w14:textId="77777777" w:rsidR="00B63F0E" w:rsidRPr="00D86561" w:rsidRDefault="00B63F0E" w:rsidP="009E678F">
            <w:pPr>
              <w:pStyle w:val="ECCTabletext"/>
              <w:spacing w:after="0"/>
              <w:jc w:val="left"/>
            </w:pPr>
            <w:r w:rsidRPr="005C3D16">
              <w:t>Radio astronomy</w:t>
            </w:r>
          </w:p>
        </w:tc>
        <w:tc>
          <w:tcPr>
            <w:tcW w:w="405" w:type="dxa"/>
          </w:tcPr>
          <w:p w14:paraId="7C85240D" w14:textId="77777777" w:rsidR="00B63F0E" w:rsidRPr="00794DA6" w:rsidRDefault="00B63F0E" w:rsidP="009E678F">
            <w:pPr>
              <w:pStyle w:val="ECCTabletext"/>
              <w:spacing w:after="0"/>
              <w:jc w:val="left"/>
            </w:pPr>
            <w:r w:rsidRPr="00794DA6">
              <w:t>X</w:t>
            </w:r>
          </w:p>
        </w:tc>
        <w:tc>
          <w:tcPr>
            <w:tcW w:w="405" w:type="dxa"/>
          </w:tcPr>
          <w:p w14:paraId="1AC5044E" w14:textId="77777777" w:rsidR="00B63F0E" w:rsidRPr="00E4615B" w:rsidRDefault="00B63F0E" w:rsidP="009E678F">
            <w:pPr>
              <w:pStyle w:val="ECCTabletext"/>
              <w:spacing w:after="0"/>
              <w:jc w:val="left"/>
            </w:pPr>
            <w:r w:rsidRPr="00794DA6">
              <w:t>X</w:t>
            </w:r>
          </w:p>
        </w:tc>
        <w:tc>
          <w:tcPr>
            <w:tcW w:w="402" w:type="dxa"/>
          </w:tcPr>
          <w:p w14:paraId="1342E84D" w14:textId="77777777" w:rsidR="00B63F0E" w:rsidRPr="000812B4" w:rsidRDefault="00B63F0E" w:rsidP="009E678F">
            <w:pPr>
              <w:pStyle w:val="ECCTabletext"/>
              <w:spacing w:after="0"/>
              <w:jc w:val="left"/>
            </w:pPr>
            <w:r w:rsidRPr="0082594A">
              <w:t>X</w:t>
            </w:r>
          </w:p>
        </w:tc>
        <w:tc>
          <w:tcPr>
            <w:tcW w:w="995" w:type="dxa"/>
          </w:tcPr>
          <w:p w14:paraId="08D67BC9" w14:textId="77777777" w:rsidR="00B63F0E" w:rsidRPr="005A5261" w:rsidRDefault="00B63F0E" w:rsidP="009E678F">
            <w:pPr>
              <w:pStyle w:val="ECCTabletext"/>
              <w:spacing w:after="0"/>
            </w:pPr>
          </w:p>
        </w:tc>
      </w:tr>
      <w:tr w:rsidR="00B63F0E" w:rsidRPr="00D61104" w14:paraId="50F5C7C0" w14:textId="77777777" w:rsidTr="00B63F0E">
        <w:tc>
          <w:tcPr>
            <w:tcW w:w="1677" w:type="dxa"/>
          </w:tcPr>
          <w:p w14:paraId="651ADF45" w14:textId="68530C2C" w:rsidR="00B63F0E" w:rsidRPr="00DB2DF5" w:rsidRDefault="00B63F0E" w:rsidP="009E678F">
            <w:pPr>
              <w:pStyle w:val="ECCTabletext"/>
              <w:spacing w:after="0"/>
              <w:jc w:val="left"/>
            </w:pPr>
            <w:r w:rsidRPr="00DB2DF5">
              <w:t>217.00</w:t>
            </w:r>
            <w:r w:rsidR="001D7996">
              <w:t>-</w:t>
            </w:r>
            <w:r w:rsidRPr="00DB2DF5">
              <w:t>226.00</w:t>
            </w:r>
          </w:p>
          <w:p w14:paraId="52F444B0" w14:textId="77777777" w:rsidR="00B63F0E" w:rsidRPr="006165A1" w:rsidRDefault="00B63F0E" w:rsidP="009E678F">
            <w:pPr>
              <w:pStyle w:val="ECCTabletext"/>
              <w:spacing w:after="0"/>
              <w:jc w:val="left"/>
            </w:pPr>
            <w:r w:rsidRPr="00605764">
              <w:t>(5.149)</w:t>
            </w:r>
            <w:r w:rsidR="00D61104" w:rsidRPr="006165A1">
              <w:t xml:space="preserve"> </w:t>
            </w:r>
            <w:r w:rsidRPr="006165A1">
              <w:t>(5.341)</w:t>
            </w:r>
          </w:p>
        </w:tc>
        <w:tc>
          <w:tcPr>
            <w:tcW w:w="3596" w:type="dxa"/>
            <w:vAlign w:val="bottom"/>
          </w:tcPr>
          <w:p w14:paraId="7FFBFFFB" w14:textId="77777777" w:rsidR="00B63F0E" w:rsidRPr="006165A1" w:rsidRDefault="00B63F0E" w:rsidP="009E678F">
            <w:pPr>
              <w:pStyle w:val="ECCTabletext"/>
              <w:spacing w:after="0"/>
              <w:jc w:val="left"/>
            </w:pPr>
            <w:r w:rsidRPr="006165A1">
              <w:t>MOBILE</w:t>
            </w:r>
          </w:p>
          <w:p w14:paraId="01983D8B" w14:textId="77777777" w:rsidR="00B63F0E" w:rsidRPr="00ED63D6" w:rsidRDefault="00B63F0E" w:rsidP="009E678F">
            <w:pPr>
              <w:pStyle w:val="ECCTabletext"/>
              <w:spacing w:after="0"/>
              <w:jc w:val="left"/>
            </w:pPr>
            <w:r w:rsidRPr="00B2765F">
              <w:t>FIXED-SATELLITE (EARTH-TO-SPACE)</w:t>
            </w:r>
          </w:p>
          <w:p w14:paraId="487DACA0" w14:textId="77777777" w:rsidR="00B63F0E" w:rsidRPr="00A44046" w:rsidRDefault="00B63F0E" w:rsidP="009E678F">
            <w:pPr>
              <w:pStyle w:val="ECCTabletext"/>
              <w:spacing w:after="0"/>
              <w:jc w:val="left"/>
            </w:pPr>
            <w:r w:rsidRPr="00ED63D6">
              <w:t>FIXED</w:t>
            </w:r>
          </w:p>
          <w:p w14:paraId="185459A2" w14:textId="77777777" w:rsidR="00B63F0E" w:rsidRPr="005C3D16" w:rsidRDefault="00B63F0E" w:rsidP="009E678F">
            <w:pPr>
              <w:pStyle w:val="ECCTabletext"/>
              <w:spacing w:after="0"/>
              <w:jc w:val="left"/>
            </w:pPr>
            <w:r w:rsidRPr="00BD371E">
              <w:t>RADIO ASTRONOMY</w:t>
            </w:r>
          </w:p>
          <w:p w14:paraId="76FF632E" w14:textId="77777777" w:rsidR="00B63F0E" w:rsidRPr="00794DA6" w:rsidRDefault="00B63F0E" w:rsidP="009E678F">
            <w:pPr>
              <w:pStyle w:val="ECCTabletext"/>
              <w:spacing w:after="0"/>
              <w:jc w:val="left"/>
            </w:pPr>
            <w:r w:rsidRPr="00D86561">
              <w:t>SPACE RESEARCH (PASSIVE)</w:t>
            </w:r>
            <w:r w:rsidR="00D61104" w:rsidRPr="00794DA6">
              <w:t xml:space="preserve"> </w:t>
            </w:r>
            <w:r w:rsidRPr="00794DA6">
              <w:t>(5.562B)</w:t>
            </w:r>
          </w:p>
        </w:tc>
        <w:tc>
          <w:tcPr>
            <w:tcW w:w="2149" w:type="dxa"/>
            <w:vAlign w:val="bottom"/>
          </w:tcPr>
          <w:p w14:paraId="3E8CD8EB" w14:textId="77777777" w:rsidR="00B63F0E" w:rsidRPr="00D8559F" w:rsidRDefault="00B63F0E" w:rsidP="009E678F">
            <w:pPr>
              <w:pStyle w:val="ECCTabletext"/>
              <w:spacing w:after="0"/>
              <w:jc w:val="left"/>
            </w:pPr>
            <w:r w:rsidRPr="00E4615B">
              <w:t>Radio astronomy</w:t>
            </w:r>
          </w:p>
        </w:tc>
        <w:tc>
          <w:tcPr>
            <w:tcW w:w="405" w:type="dxa"/>
          </w:tcPr>
          <w:p w14:paraId="3C6A76EE" w14:textId="77777777" w:rsidR="00B63F0E" w:rsidRPr="000812B4" w:rsidRDefault="00B63F0E" w:rsidP="009E678F">
            <w:pPr>
              <w:pStyle w:val="ECCTabletext"/>
              <w:spacing w:after="0"/>
              <w:jc w:val="left"/>
            </w:pPr>
            <w:r w:rsidRPr="0082594A">
              <w:t>X</w:t>
            </w:r>
          </w:p>
        </w:tc>
        <w:tc>
          <w:tcPr>
            <w:tcW w:w="405" w:type="dxa"/>
          </w:tcPr>
          <w:p w14:paraId="5B614DD8" w14:textId="77777777" w:rsidR="00B63F0E" w:rsidRPr="005A5261" w:rsidRDefault="00B63F0E" w:rsidP="009E678F">
            <w:pPr>
              <w:pStyle w:val="ECCTabletext"/>
              <w:spacing w:after="0"/>
              <w:jc w:val="left"/>
            </w:pPr>
            <w:r w:rsidRPr="005A5261">
              <w:t>X</w:t>
            </w:r>
          </w:p>
        </w:tc>
        <w:tc>
          <w:tcPr>
            <w:tcW w:w="402" w:type="dxa"/>
          </w:tcPr>
          <w:p w14:paraId="3EF438F3" w14:textId="77777777" w:rsidR="00B63F0E" w:rsidRPr="00DB2DF5" w:rsidRDefault="00B63F0E" w:rsidP="009E678F">
            <w:pPr>
              <w:pStyle w:val="ECCTabletext"/>
              <w:spacing w:after="0"/>
              <w:jc w:val="left"/>
            </w:pPr>
            <w:r w:rsidRPr="00DB2DF5">
              <w:t>X</w:t>
            </w:r>
          </w:p>
        </w:tc>
        <w:tc>
          <w:tcPr>
            <w:tcW w:w="995" w:type="dxa"/>
          </w:tcPr>
          <w:p w14:paraId="3A39A82E" w14:textId="77777777" w:rsidR="00B63F0E" w:rsidRPr="00DB2DF5" w:rsidRDefault="00B63F0E" w:rsidP="009E678F">
            <w:pPr>
              <w:pStyle w:val="ECCTabletext"/>
              <w:spacing w:after="0"/>
            </w:pPr>
          </w:p>
        </w:tc>
      </w:tr>
      <w:tr w:rsidR="00B63F0E" w:rsidRPr="00D61104" w14:paraId="73610535" w14:textId="77777777" w:rsidTr="00B63F0E">
        <w:tc>
          <w:tcPr>
            <w:tcW w:w="1677" w:type="dxa"/>
          </w:tcPr>
          <w:p w14:paraId="7FFCDED2" w14:textId="5506D40B" w:rsidR="00B63F0E" w:rsidRPr="00DB2DF5" w:rsidRDefault="00B63F0E" w:rsidP="009E678F">
            <w:pPr>
              <w:pStyle w:val="ECCTabletext"/>
              <w:spacing w:after="0"/>
              <w:jc w:val="left"/>
            </w:pPr>
            <w:r w:rsidRPr="00DB2DF5">
              <w:t>226.00</w:t>
            </w:r>
            <w:r w:rsidR="001D7996">
              <w:t>-</w:t>
            </w:r>
            <w:r w:rsidRPr="00DB2DF5">
              <w:t>231.50</w:t>
            </w:r>
          </w:p>
          <w:p w14:paraId="22FD28D5" w14:textId="77777777" w:rsidR="00B63F0E" w:rsidRPr="006165A1" w:rsidRDefault="00B63F0E" w:rsidP="009E678F">
            <w:pPr>
              <w:pStyle w:val="ECCTabletext"/>
              <w:spacing w:after="0"/>
              <w:jc w:val="left"/>
            </w:pPr>
            <w:r w:rsidRPr="00605764">
              <w:t>(5.340)</w:t>
            </w:r>
          </w:p>
        </w:tc>
        <w:tc>
          <w:tcPr>
            <w:tcW w:w="3596" w:type="dxa"/>
            <w:vAlign w:val="bottom"/>
          </w:tcPr>
          <w:p w14:paraId="651447AC" w14:textId="77777777" w:rsidR="00B63F0E" w:rsidRPr="00B2765F" w:rsidRDefault="00B63F0E" w:rsidP="009E678F">
            <w:pPr>
              <w:pStyle w:val="ECCTabletext"/>
              <w:spacing w:after="0"/>
              <w:jc w:val="left"/>
            </w:pPr>
            <w:r w:rsidRPr="006165A1">
              <w:t>SPACE RESEARCH (PASSIVE)</w:t>
            </w:r>
          </w:p>
          <w:p w14:paraId="560E7896" w14:textId="77777777" w:rsidR="00B63F0E" w:rsidRPr="00ED63D6" w:rsidRDefault="00B63F0E" w:rsidP="009E678F">
            <w:pPr>
              <w:pStyle w:val="ECCTabletext"/>
              <w:spacing w:after="0"/>
              <w:jc w:val="left"/>
            </w:pPr>
            <w:r w:rsidRPr="00ED63D6">
              <w:t>RADIO ASTRONOMY</w:t>
            </w:r>
          </w:p>
          <w:p w14:paraId="0434E9F0" w14:textId="77777777" w:rsidR="00B63F0E" w:rsidRPr="00BD371E" w:rsidRDefault="00B63F0E" w:rsidP="009E678F">
            <w:pPr>
              <w:pStyle w:val="ECCTabletext"/>
              <w:spacing w:after="0"/>
              <w:jc w:val="left"/>
              <w:rPr>
                <w:rStyle w:val="ECCHLyellow"/>
              </w:rPr>
            </w:pPr>
            <w:r w:rsidRPr="00A44046">
              <w:t>EARTH EXPLORATION-SATELLITE (PASSIVE)</w:t>
            </w:r>
          </w:p>
        </w:tc>
        <w:tc>
          <w:tcPr>
            <w:tcW w:w="2149" w:type="dxa"/>
            <w:vAlign w:val="bottom"/>
          </w:tcPr>
          <w:p w14:paraId="7CFF4EB0" w14:textId="77777777" w:rsidR="00B63F0E" w:rsidRPr="00D86561" w:rsidRDefault="00B63F0E" w:rsidP="009E678F">
            <w:pPr>
              <w:pStyle w:val="ECCTabletext"/>
              <w:spacing w:after="0"/>
              <w:jc w:val="left"/>
            </w:pPr>
            <w:r w:rsidRPr="005C3D16">
              <w:t>Radio astronomy</w:t>
            </w:r>
          </w:p>
          <w:p w14:paraId="697AA01C" w14:textId="77777777" w:rsidR="00B63F0E" w:rsidRPr="00794DA6" w:rsidRDefault="00B63F0E" w:rsidP="009E678F">
            <w:pPr>
              <w:pStyle w:val="ECCTabletext"/>
              <w:spacing w:after="0"/>
              <w:jc w:val="left"/>
            </w:pPr>
            <w:r w:rsidRPr="00794DA6">
              <w:t>Passive sensors (satellite)</w:t>
            </w:r>
          </w:p>
        </w:tc>
        <w:tc>
          <w:tcPr>
            <w:tcW w:w="405" w:type="dxa"/>
          </w:tcPr>
          <w:p w14:paraId="205D3AD9" w14:textId="77777777" w:rsidR="00B63F0E" w:rsidRPr="00794DA6" w:rsidRDefault="00B63F0E" w:rsidP="009E678F">
            <w:pPr>
              <w:pStyle w:val="ECCTabletext"/>
              <w:spacing w:after="0"/>
            </w:pPr>
          </w:p>
        </w:tc>
        <w:tc>
          <w:tcPr>
            <w:tcW w:w="405" w:type="dxa"/>
          </w:tcPr>
          <w:p w14:paraId="33A76728" w14:textId="77777777" w:rsidR="00B63F0E" w:rsidRPr="00E4615B" w:rsidRDefault="00B63F0E" w:rsidP="009E678F">
            <w:pPr>
              <w:pStyle w:val="ECCTabletext"/>
              <w:spacing w:after="0"/>
            </w:pPr>
          </w:p>
        </w:tc>
        <w:tc>
          <w:tcPr>
            <w:tcW w:w="402" w:type="dxa"/>
          </w:tcPr>
          <w:p w14:paraId="382D3895" w14:textId="77777777" w:rsidR="00B63F0E" w:rsidRPr="000812B4" w:rsidRDefault="00B63F0E" w:rsidP="009E678F">
            <w:pPr>
              <w:pStyle w:val="ECCTabletext"/>
              <w:spacing w:after="0"/>
              <w:jc w:val="left"/>
            </w:pPr>
            <w:r w:rsidRPr="0082594A">
              <w:t>X</w:t>
            </w:r>
          </w:p>
        </w:tc>
        <w:tc>
          <w:tcPr>
            <w:tcW w:w="995" w:type="dxa"/>
          </w:tcPr>
          <w:p w14:paraId="39E077CF" w14:textId="77777777" w:rsidR="00B63F0E" w:rsidRPr="005A5261" w:rsidRDefault="00B63F0E" w:rsidP="009E678F">
            <w:pPr>
              <w:pStyle w:val="ECCTabletext"/>
              <w:spacing w:after="0"/>
            </w:pPr>
          </w:p>
        </w:tc>
      </w:tr>
      <w:tr w:rsidR="00B63F0E" w:rsidRPr="00D61104" w14:paraId="2B831C2E" w14:textId="77777777" w:rsidTr="00B63F0E">
        <w:tc>
          <w:tcPr>
            <w:tcW w:w="1677" w:type="dxa"/>
          </w:tcPr>
          <w:p w14:paraId="6C11A741" w14:textId="02017E98" w:rsidR="00B63F0E" w:rsidRPr="00DB2DF5" w:rsidRDefault="00B63F0E" w:rsidP="009E678F">
            <w:pPr>
              <w:pStyle w:val="ECCTabletext"/>
              <w:spacing w:after="0"/>
              <w:jc w:val="left"/>
            </w:pPr>
            <w:r w:rsidRPr="00DB2DF5">
              <w:t>231.50</w:t>
            </w:r>
            <w:r w:rsidR="001D7996">
              <w:t>-</w:t>
            </w:r>
            <w:r w:rsidRPr="00DB2DF5">
              <w:t>232.00</w:t>
            </w:r>
          </w:p>
        </w:tc>
        <w:tc>
          <w:tcPr>
            <w:tcW w:w="3596" w:type="dxa"/>
            <w:vAlign w:val="bottom"/>
          </w:tcPr>
          <w:p w14:paraId="7C4A631E" w14:textId="77777777" w:rsidR="00B63F0E" w:rsidRPr="006165A1" w:rsidRDefault="00B63F0E" w:rsidP="009E678F">
            <w:pPr>
              <w:pStyle w:val="ECCTabletext"/>
              <w:spacing w:after="0"/>
              <w:jc w:val="left"/>
            </w:pPr>
            <w:r w:rsidRPr="00605764">
              <w:t>FIXED</w:t>
            </w:r>
          </w:p>
          <w:p w14:paraId="4CC97580" w14:textId="77777777" w:rsidR="00B63F0E" w:rsidRPr="006165A1" w:rsidRDefault="00B63F0E" w:rsidP="009E678F">
            <w:pPr>
              <w:pStyle w:val="ECCTabletext"/>
              <w:spacing w:after="0"/>
              <w:jc w:val="left"/>
            </w:pPr>
            <w:r w:rsidRPr="006165A1">
              <w:t>MOBILE</w:t>
            </w:r>
          </w:p>
          <w:p w14:paraId="67AD9639" w14:textId="77777777" w:rsidR="00B63F0E" w:rsidRPr="00A24E00" w:rsidRDefault="00B63F0E" w:rsidP="009E678F">
            <w:pPr>
              <w:pStyle w:val="ECCTabletext"/>
              <w:spacing w:after="0"/>
              <w:jc w:val="left"/>
            </w:pPr>
            <w:r w:rsidRPr="00B2765F">
              <w:t>Radiolocation</w:t>
            </w:r>
          </w:p>
        </w:tc>
        <w:tc>
          <w:tcPr>
            <w:tcW w:w="2149" w:type="dxa"/>
            <w:vAlign w:val="bottom"/>
          </w:tcPr>
          <w:p w14:paraId="09690A09" w14:textId="77777777" w:rsidR="00B63F0E" w:rsidRPr="00ED63D6" w:rsidRDefault="00B63F0E" w:rsidP="009E678F">
            <w:pPr>
              <w:pStyle w:val="ECCTabletext"/>
              <w:spacing w:after="0"/>
            </w:pPr>
          </w:p>
        </w:tc>
        <w:tc>
          <w:tcPr>
            <w:tcW w:w="405" w:type="dxa"/>
          </w:tcPr>
          <w:p w14:paraId="1DB2C261" w14:textId="77777777" w:rsidR="00B63F0E" w:rsidRPr="00A44046" w:rsidRDefault="00B63F0E" w:rsidP="009E678F">
            <w:pPr>
              <w:pStyle w:val="ECCTabletext"/>
              <w:spacing w:after="0"/>
              <w:jc w:val="left"/>
            </w:pPr>
            <w:r w:rsidRPr="00ED63D6">
              <w:t>X</w:t>
            </w:r>
          </w:p>
        </w:tc>
        <w:tc>
          <w:tcPr>
            <w:tcW w:w="405" w:type="dxa"/>
          </w:tcPr>
          <w:p w14:paraId="6DD7C52C" w14:textId="77777777" w:rsidR="00B63F0E" w:rsidRPr="005C3D16" w:rsidRDefault="00B63F0E" w:rsidP="009E678F">
            <w:pPr>
              <w:pStyle w:val="ECCTabletext"/>
              <w:spacing w:after="0"/>
              <w:jc w:val="left"/>
            </w:pPr>
            <w:r w:rsidRPr="00BD371E">
              <w:t>X</w:t>
            </w:r>
          </w:p>
        </w:tc>
        <w:tc>
          <w:tcPr>
            <w:tcW w:w="402" w:type="dxa"/>
          </w:tcPr>
          <w:p w14:paraId="09B42332" w14:textId="77777777" w:rsidR="00B63F0E" w:rsidRPr="00794DA6" w:rsidRDefault="00B63F0E" w:rsidP="009E678F">
            <w:pPr>
              <w:pStyle w:val="ECCTabletext"/>
              <w:spacing w:after="0"/>
              <w:jc w:val="left"/>
            </w:pPr>
            <w:r w:rsidRPr="00D86561">
              <w:t>X</w:t>
            </w:r>
          </w:p>
        </w:tc>
        <w:tc>
          <w:tcPr>
            <w:tcW w:w="995" w:type="dxa"/>
          </w:tcPr>
          <w:p w14:paraId="5EB6F287" w14:textId="77777777" w:rsidR="00B63F0E" w:rsidRPr="00794DA6" w:rsidRDefault="00B63F0E" w:rsidP="009E678F">
            <w:pPr>
              <w:pStyle w:val="ECCTabletext"/>
              <w:spacing w:after="0"/>
            </w:pPr>
          </w:p>
        </w:tc>
      </w:tr>
      <w:tr w:rsidR="00B63F0E" w:rsidRPr="00D61104" w14:paraId="365F45CA" w14:textId="77777777" w:rsidTr="00B63F0E">
        <w:tc>
          <w:tcPr>
            <w:tcW w:w="1677" w:type="dxa"/>
          </w:tcPr>
          <w:p w14:paraId="5FDCE335" w14:textId="0E624378" w:rsidR="00B63F0E" w:rsidRPr="00DB2DF5" w:rsidRDefault="00B63F0E" w:rsidP="009E678F">
            <w:pPr>
              <w:pStyle w:val="ECCTabletext"/>
              <w:spacing w:after="0"/>
              <w:jc w:val="left"/>
            </w:pPr>
            <w:r w:rsidRPr="00DB2DF5">
              <w:t>232.00</w:t>
            </w:r>
            <w:r w:rsidR="001D7996">
              <w:t>-</w:t>
            </w:r>
            <w:r w:rsidRPr="00DB2DF5">
              <w:t>235.00</w:t>
            </w:r>
          </w:p>
        </w:tc>
        <w:tc>
          <w:tcPr>
            <w:tcW w:w="3596" w:type="dxa"/>
            <w:vAlign w:val="bottom"/>
          </w:tcPr>
          <w:p w14:paraId="38054192" w14:textId="77777777" w:rsidR="00B63F0E" w:rsidRPr="006165A1" w:rsidRDefault="00B63F0E" w:rsidP="009E678F">
            <w:pPr>
              <w:pStyle w:val="ECCTabletext"/>
              <w:spacing w:after="0"/>
              <w:jc w:val="left"/>
            </w:pPr>
            <w:r w:rsidRPr="00605764">
              <w:t>Radiolocation</w:t>
            </w:r>
          </w:p>
          <w:p w14:paraId="3CB1454C" w14:textId="77777777" w:rsidR="00B63F0E" w:rsidRPr="006165A1" w:rsidRDefault="00B63F0E" w:rsidP="009E678F">
            <w:pPr>
              <w:pStyle w:val="ECCTabletext"/>
              <w:spacing w:after="0"/>
              <w:jc w:val="left"/>
            </w:pPr>
            <w:r w:rsidRPr="006165A1">
              <w:t>MOBILE</w:t>
            </w:r>
          </w:p>
          <w:p w14:paraId="77BC447B" w14:textId="77777777" w:rsidR="00B63F0E" w:rsidRPr="00ED63D6" w:rsidRDefault="00B63F0E" w:rsidP="009E678F">
            <w:pPr>
              <w:pStyle w:val="ECCTabletext"/>
              <w:spacing w:after="0"/>
              <w:jc w:val="left"/>
            </w:pPr>
            <w:r w:rsidRPr="00B2765F">
              <w:t xml:space="preserve">FIXED-SATELLITE </w:t>
            </w:r>
            <w:r w:rsidRPr="00A24E00">
              <w:t>(SPACE-TO-EARTH)</w:t>
            </w:r>
          </w:p>
          <w:p w14:paraId="0C9C14A7" w14:textId="77777777" w:rsidR="00B63F0E" w:rsidRPr="00A44046" w:rsidRDefault="00B63F0E" w:rsidP="009E678F">
            <w:pPr>
              <w:pStyle w:val="ECCTabletext"/>
              <w:spacing w:after="0"/>
              <w:jc w:val="left"/>
            </w:pPr>
            <w:r w:rsidRPr="00ED63D6">
              <w:t>FIXED</w:t>
            </w:r>
          </w:p>
        </w:tc>
        <w:tc>
          <w:tcPr>
            <w:tcW w:w="2149" w:type="dxa"/>
            <w:vAlign w:val="bottom"/>
          </w:tcPr>
          <w:p w14:paraId="5AD108C8" w14:textId="77777777" w:rsidR="00B63F0E" w:rsidRPr="00BD371E" w:rsidRDefault="00B63F0E" w:rsidP="009E678F">
            <w:pPr>
              <w:pStyle w:val="ECCTabletext"/>
              <w:spacing w:after="0"/>
            </w:pPr>
          </w:p>
        </w:tc>
        <w:tc>
          <w:tcPr>
            <w:tcW w:w="405" w:type="dxa"/>
          </w:tcPr>
          <w:p w14:paraId="204AD0C0" w14:textId="77777777" w:rsidR="00B63F0E" w:rsidRPr="00D86561" w:rsidRDefault="00B63F0E" w:rsidP="009E678F">
            <w:pPr>
              <w:pStyle w:val="ECCTabletext"/>
              <w:spacing w:after="0"/>
              <w:jc w:val="left"/>
            </w:pPr>
            <w:r w:rsidRPr="005C3D16">
              <w:t>X</w:t>
            </w:r>
          </w:p>
        </w:tc>
        <w:tc>
          <w:tcPr>
            <w:tcW w:w="405" w:type="dxa"/>
          </w:tcPr>
          <w:p w14:paraId="71372565" w14:textId="77777777" w:rsidR="00B63F0E" w:rsidRPr="00794DA6" w:rsidRDefault="00B63F0E" w:rsidP="009E678F">
            <w:pPr>
              <w:pStyle w:val="ECCTabletext"/>
              <w:spacing w:after="0"/>
              <w:jc w:val="left"/>
            </w:pPr>
            <w:r w:rsidRPr="00794DA6">
              <w:t>X</w:t>
            </w:r>
          </w:p>
        </w:tc>
        <w:tc>
          <w:tcPr>
            <w:tcW w:w="402" w:type="dxa"/>
          </w:tcPr>
          <w:p w14:paraId="6BA2971D" w14:textId="77777777" w:rsidR="00B63F0E" w:rsidRPr="00E4615B" w:rsidRDefault="00B63F0E" w:rsidP="009E678F">
            <w:pPr>
              <w:pStyle w:val="ECCTabletext"/>
              <w:spacing w:after="0"/>
              <w:jc w:val="left"/>
            </w:pPr>
            <w:r w:rsidRPr="00794DA6">
              <w:t>X</w:t>
            </w:r>
          </w:p>
        </w:tc>
        <w:tc>
          <w:tcPr>
            <w:tcW w:w="995" w:type="dxa"/>
          </w:tcPr>
          <w:p w14:paraId="578C2473" w14:textId="77777777" w:rsidR="00B63F0E" w:rsidRPr="0082594A" w:rsidRDefault="00B63F0E" w:rsidP="009E678F">
            <w:pPr>
              <w:pStyle w:val="ECCTabletext"/>
              <w:spacing w:after="0"/>
            </w:pPr>
          </w:p>
        </w:tc>
      </w:tr>
      <w:tr w:rsidR="00B63F0E" w:rsidRPr="00D61104" w14:paraId="01C6EFD5" w14:textId="77777777" w:rsidTr="00B63F0E">
        <w:tc>
          <w:tcPr>
            <w:tcW w:w="1677" w:type="dxa"/>
          </w:tcPr>
          <w:p w14:paraId="00053373" w14:textId="6AC3198D" w:rsidR="00B63F0E" w:rsidRPr="00DB2DF5" w:rsidRDefault="00B63F0E" w:rsidP="009E678F">
            <w:pPr>
              <w:pStyle w:val="ECCTabletext"/>
              <w:spacing w:after="0"/>
              <w:jc w:val="left"/>
            </w:pPr>
            <w:r w:rsidRPr="00DB2DF5">
              <w:t>235.00</w:t>
            </w:r>
            <w:r w:rsidR="001D7996">
              <w:t>-</w:t>
            </w:r>
            <w:r w:rsidRPr="00DB2DF5">
              <w:t>238.00</w:t>
            </w:r>
          </w:p>
          <w:p w14:paraId="629366D1" w14:textId="77777777" w:rsidR="00B63F0E" w:rsidRPr="00DB2DF5" w:rsidRDefault="00B63F0E" w:rsidP="009E678F">
            <w:pPr>
              <w:pStyle w:val="ECCTabletext"/>
              <w:spacing w:after="0"/>
              <w:jc w:val="left"/>
            </w:pPr>
            <w:r w:rsidRPr="00DB2DF5">
              <w:t>(5.563A) (5.563B)</w:t>
            </w:r>
          </w:p>
        </w:tc>
        <w:tc>
          <w:tcPr>
            <w:tcW w:w="3596" w:type="dxa"/>
            <w:vAlign w:val="bottom"/>
          </w:tcPr>
          <w:p w14:paraId="4BDC47ED" w14:textId="77777777" w:rsidR="00B63F0E" w:rsidRPr="00DB2DF5" w:rsidRDefault="00B63F0E" w:rsidP="009E678F">
            <w:pPr>
              <w:pStyle w:val="ECCTabletext"/>
              <w:spacing w:after="0"/>
              <w:jc w:val="left"/>
            </w:pPr>
            <w:r w:rsidRPr="00DB2DF5">
              <w:t>EARTH EXPLORATION-SATELLITE (PASSIVE)</w:t>
            </w:r>
          </w:p>
          <w:p w14:paraId="5CC03B4B" w14:textId="77777777" w:rsidR="00B63F0E" w:rsidRPr="00DB2DF5" w:rsidRDefault="00B63F0E" w:rsidP="009E678F">
            <w:pPr>
              <w:pStyle w:val="ECCTabletext"/>
              <w:spacing w:after="0"/>
              <w:jc w:val="left"/>
            </w:pPr>
            <w:r w:rsidRPr="00DB2DF5">
              <w:t>FIXED-SATELLITE (SPACE-TO-EARTH)</w:t>
            </w:r>
          </w:p>
          <w:p w14:paraId="55AF912C" w14:textId="77777777" w:rsidR="00B63F0E" w:rsidRPr="00DB2DF5" w:rsidRDefault="00B63F0E" w:rsidP="009E678F">
            <w:pPr>
              <w:pStyle w:val="ECCTabletext"/>
              <w:spacing w:after="0"/>
              <w:jc w:val="left"/>
            </w:pPr>
            <w:r w:rsidRPr="00DB2DF5">
              <w:t>SPACE RESEARCH (PASSIVE)</w:t>
            </w:r>
          </w:p>
        </w:tc>
        <w:tc>
          <w:tcPr>
            <w:tcW w:w="2149" w:type="dxa"/>
            <w:vAlign w:val="bottom"/>
          </w:tcPr>
          <w:p w14:paraId="4B613886" w14:textId="77777777" w:rsidR="00B63F0E" w:rsidRPr="005A5261" w:rsidRDefault="00B63F0E" w:rsidP="009E678F">
            <w:pPr>
              <w:pStyle w:val="ECCTabletext"/>
              <w:spacing w:after="0"/>
              <w:jc w:val="left"/>
              <w:rPr>
                <w:lang w:val="fr-FR"/>
              </w:rPr>
            </w:pPr>
            <w:r w:rsidRPr="005A5261">
              <w:rPr>
                <w:lang w:val="fr-FR"/>
              </w:rPr>
              <w:t>Passive sensors (satellite)</w:t>
            </w:r>
          </w:p>
          <w:p w14:paraId="6BC249F7" w14:textId="77777777" w:rsidR="00B63F0E" w:rsidRPr="005A5261" w:rsidRDefault="00B63F0E" w:rsidP="009E678F">
            <w:pPr>
              <w:pStyle w:val="ECCTabletext"/>
              <w:spacing w:after="0"/>
              <w:jc w:val="left"/>
              <w:rPr>
                <w:lang w:val="fr-FR"/>
              </w:rPr>
            </w:pPr>
            <w:r w:rsidRPr="005A5261">
              <w:rPr>
                <w:lang w:val="fr-FR"/>
              </w:rPr>
              <w:t>Radio astronomy</w:t>
            </w:r>
          </w:p>
        </w:tc>
        <w:tc>
          <w:tcPr>
            <w:tcW w:w="405" w:type="dxa"/>
          </w:tcPr>
          <w:p w14:paraId="179C680B" w14:textId="77777777" w:rsidR="00B63F0E" w:rsidRPr="00DB2DF5" w:rsidRDefault="00B63F0E" w:rsidP="009E678F">
            <w:pPr>
              <w:pStyle w:val="ECCTabletext"/>
              <w:spacing w:after="0"/>
              <w:jc w:val="left"/>
            </w:pPr>
            <w:r w:rsidRPr="00DB2DF5">
              <w:t>X</w:t>
            </w:r>
          </w:p>
        </w:tc>
        <w:tc>
          <w:tcPr>
            <w:tcW w:w="405" w:type="dxa"/>
          </w:tcPr>
          <w:p w14:paraId="66502345" w14:textId="77777777" w:rsidR="00B63F0E" w:rsidRPr="00DB2DF5" w:rsidRDefault="00B63F0E" w:rsidP="009E678F">
            <w:pPr>
              <w:pStyle w:val="ECCTabletext"/>
              <w:spacing w:after="0"/>
              <w:jc w:val="left"/>
            </w:pPr>
            <w:r w:rsidRPr="00DB2DF5">
              <w:t>X</w:t>
            </w:r>
          </w:p>
        </w:tc>
        <w:tc>
          <w:tcPr>
            <w:tcW w:w="402" w:type="dxa"/>
          </w:tcPr>
          <w:p w14:paraId="2B65ED87" w14:textId="77777777" w:rsidR="00B63F0E" w:rsidRPr="00DB2DF5" w:rsidRDefault="00B63F0E" w:rsidP="009E678F">
            <w:pPr>
              <w:pStyle w:val="ECCTabletext"/>
              <w:spacing w:after="0"/>
              <w:jc w:val="left"/>
            </w:pPr>
            <w:r w:rsidRPr="00DB2DF5">
              <w:t>X</w:t>
            </w:r>
          </w:p>
        </w:tc>
        <w:tc>
          <w:tcPr>
            <w:tcW w:w="995" w:type="dxa"/>
          </w:tcPr>
          <w:p w14:paraId="00561742" w14:textId="77777777" w:rsidR="00B63F0E" w:rsidRPr="00DB2DF5" w:rsidRDefault="00B63F0E" w:rsidP="009E678F">
            <w:pPr>
              <w:pStyle w:val="ECCTabletext"/>
              <w:spacing w:after="0"/>
            </w:pPr>
          </w:p>
        </w:tc>
      </w:tr>
      <w:tr w:rsidR="00B63F0E" w:rsidRPr="00D61104" w14:paraId="28A454E9" w14:textId="77777777" w:rsidTr="00B63F0E">
        <w:tc>
          <w:tcPr>
            <w:tcW w:w="1677" w:type="dxa"/>
          </w:tcPr>
          <w:p w14:paraId="47EB8257" w14:textId="59B82797" w:rsidR="00B63F0E" w:rsidRPr="00DB2DF5" w:rsidRDefault="00B63F0E" w:rsidP="009E678F">
            <w:pPr>
              <w:pStyle w:val="ECCTabletext"/>
              <w:spacing w:after="0"/>
              <w:jc w:val="left"/>
            </w:pPr>
            <w:r w:rsidRPr="00DB2DF5">
              <w:t>238.00</w:t>
            </w:r>
            <w:r w:rsidR="001D7996">
              <w:t>-</w:t>
            </w:r>
            <w:r w:rsidRPr="00DB2DF5">
              <w:t>240.00</w:t>
            </w:r>
          </w:p>
        </w:tc>
        <w:tc>
          <w:tcPr>
            <w:tcW w:w="3596" w:type="dxa"/>
            <w:vAlign w:val="bottom"/>
          </w:tcPr>
          <w:p w14:paraId="30F42228" w14:textId="77777777" w:rsidR="00B63F0E" w:rsidRPr="006165A1" w:rsidRDefault="00B63F0E" w:rsidP="009E678F">
            <w:pPr>
              <w:pStyle w:val="ECCTabletext"/>
              <w:spacing w:after="0"/>
              <w:jc w:val="left"/>
            </w:pPr>
            <w:r w:rsidRPr="00605764">
              <w:t>RADIONAVIGATION</w:t>
            </w:r>
          </w:p>
          <w:p w14:paraId="20CF14ED" w14:textId="77777777" w:rsidR="00B63F0E" w:rsidRPr="006165A1" w:rsidRDefault="00B63F0E" w:rsidP="009E678F">
            <w:pPr>
              <w:pStyle w:val="ECCTabletext"/>
              <w:spacing w:after="0"/>
              <w:jc w:val="left"/>
            </w:pPr>
            <w:r w:rsidRPr="006165A1">
              <w:t>RADIONAVIGATION-SATELLITE</w:t>
            </w:r>
          </w:p>
          <w:p w14:paraId="43628B02" w14:textId="77777777" w:rsidR="00B63F0E" w:rsidRPr="00A24E00" w:rsidRDefault="00B63F0E" w:rsidP="009E678F">
            <w:pPr>
              <w:pStyle w:val="ECCTabletext"/>
              <w:spacing w:after="0"/>
              <w:jc w:val="left"/>
            </w:pPr>
            <w:r w:rsidRPr="00B2765F">
              <w:t>RADIOLOCATION</w:t>
            </w:r>
          </w:p>
          <w:p w14:paraId="367BAD6F" w14:textId="77777777" w:rsidR="00B63F0E" w:rsidRPr="00ED63D6" w:rsidRDefault="00B63F0E" w:rsidP="009E678F">
            <w:pPr>
              <w:pStyle w:val="ECCTabletext"/>
              <w:spacing w:after="0"/>
              <w:jc w:val="left"/>
            </w:pPr>
            <w:r w:rsidRPr="00ED63D6">
              <w:t>FIXED-SATELLITE (SPACE-TO-EARTH)</w:t>
            </w:r>
          </w:p>
          <w:p w14:paraId="41B94FC5" w14:textId="77777777" w:rsidR="00B63F0E" w:rsidRPr="00BD371E" w:rsidRDefault="00B63F0E" w:rsidP="009E678F">
            <w:pPr>
              <w:pStyle w:val="ECCTabletext"/>
              <w:spacing w:after="0"/>
              <w:jc w:val="left"/>
            </w:pPr>
            <w:r w:rsidRPr="00A44046">
              <w:t>MOBILE</w:t>
            </w:r>
          </w:p>
          <w:p w14:paraId="7D36073D" w14:textId="77777777" w:rsidR="00B63F0E" w:rsidRPr="00D86561" w:rsidRDefault="00B63F0E" w:rsidP="009E678F">
            <w:pPr>
              <w:pStyle w:val="ECCTabletext"/>
              <w:spacing w:after="0"/>
              <w:jc w:val="left"/>
            </w:pPr>
            <w:r w:rsidRPr="005C3D16">
              <w:t>FIXED</w:t>
            </w:r>
          </w:p>
        </w:tc>
        <w:tc>
          <w:tcPr>
            <w:tcW w:w="2149" w:type="dxa"/>
            <w:vAlign w:val="bottom"/>
          </w:tcPr>
          <w:p w14:paraId="1CC0A4BA" w14:textId="77777777" w:rsidR="00B63F0E" w:rsidRPr="00794DA6" w:rsidRDefault="00B63F0E" w:rsidP="009E678F">
            <w:pPr>
              <w:pStyle w:val="ECCTabletext"/>
              <w:spacing w:after="0"/>
            </w:pPr>
          </w:p>
        </w:tc>
        <w:tc>
          <w:tcPr>
            <w:tcW w:w="405" w:type="dxa"/>
          </w:tcPr>
          <w:p w14:paraId="257C26E6" w14:textId="77777777" w:rsidR="00B63F0E" w:rsidRPr="00794DA6" w:rsidRDefault="00B63F0E" w:rsidP="009E678F">
            <w:pPr>
              <w:pStyle w:val="ECCTabletext"/>
              <w:spacing w:after="0"/>
              <w:jc w:val="left"/>
            </w:pPr>
            <w:r w:rsidRPr="00794DA6">
              <w:t>X</w:t>
            </w:r>
          </w:p>
        </w:tc>
        <w:tc>
          <w:tcPr>
            <w:tcW w:w="405" w:type="dxa"/>
          </w:tcPr>
          <w:p w14:paraId="26ED094B" w14:textId="77777777" w:rsidR="00B63F0E" w:rsidRPr="00D8559F" w:rsidRDefault="00B63F0E" w:rsidP="009E678F">
            <w:pPr>
              <w:pStyle w:val="ECCTabletext"/>
              <w:spacing w:after="0"/>
              <w:jc w:val="left"/>
            </w:pPr>
            <w:r w:rsidRPr="00E4615B">
              <w:t>X</w:t>
            </w:r>
          </w:p>
        </w:tc>
        <w:tc>
          <w:tcPr>
            <w:tcW w:w="402" w:type="dxa"/>
          </w:tcPr>
          <w:p w14:paraId="6E8A3D83" w14:textId="77777777" w:rsidR="00B63F0E" w:rsidRPr="000812B4" w:rsidRDefault="00B63F0E" w:rsidP="009E678F">
            <w:pPr>
              <w:pStyle w:val="ECCTabletext"/>
              <w:spacing w:after="0"/>
              <w:jc w:val="left"/>
            </w:pPr>
            <w:r w:rsidRPr="0082594A">
              <w:t>X</w:t>
            </w:r>
          </w:p>
        </w:tc>
        <w:tc>
          <w:tcPr>
            <w:tcW w:w="995" w:type="dxa"/>
          </w:tcPr>
          <w:p w14:paraId="4866BE6E" w14:textId="77777777" w:rsidR="00B63F0E" w:rsidRPr="005A5261" w:rsidRDefault="00B63F0E" w:rsidP="009E678F">
            <w:pPr>
              <w:pStyle w:val="ECCTabletext"/>
              <w:spacing w:after="0"/>
            </w:pPr>
          </w:p>
        </w:tc>
      </w:tr>
      <w:tr w:rsidR="00B63F0E" w:rsidRPr="00D61104" w14:paraId="032DC882" w14:textId="77777777" w:rsidTr="00B63F0E">
        <w:tc>
          <w:tcPr>
            <w:tcW w:w="1677" w:type="dxa"/>
          </w:tcPr>
          <w:p w14:paraId="435A250B" w14:textId="08D39EE1" w:rsidR="00B63F0E" w:rsidRPr="00DB2DF5" w:rsidRDefault="00B63F0E" w:rsidP="009E678F">
            <w:pPr>
              <w:pStyle w:val="ECCTabletext"/>
              <w:spacing w:after="0"/>
              <w:jc w:val="left"/>
            </w:pPr>
            <w:r w:rsidRPr="00DB2DF5">
              <w:t>240.00</w:t>
            </w:r>
            <w:r w:rsidR="001D7996">
              <w:t>-</w:t>
            </w:r>
            <w:r w:rsidRPr="00DB2DF5">
              <w:t>241.00</w:t>
            </w:r>
          </w:p>
        </w:tc>
        <w:tc>
          <w:tcPr>
            <w:tcW w:w="3596" w:type="dxa"/>
            <w:vAlign w:val="bottom"/>
          </w:tcPr>
          <w:p w14:paraId="744BEBE3" w14:textId="77777777" w:rsidR="00B63F0E" w:rsidRPr="006165A1" w:rsidRDefault="00B63F0E" w:rsidP="009E678F">
            <w:pPr>
              <w:pStyle w:val="ECCTabletext"/>
              <w:spacing w:after="0"/>
              <w:jc w:val="left"/>
            </w:pPr>
            <w:r w:rsidRPr="00605764">
              <w:t>FIXED</w:t>
            </w:r>
          </w:p>
          <w:p w14:paraId="1FA55BF4" w14:textId="77777777" w:rsidR="00B63F0E" w:rsidRPr="006165A1" w:rsidRDefault="00B63F0E" w:rsidP="009E678F">
            <w:pPr>
              <w:pStyle w:val="ECCTabletext"/>
              <w:spacing w:after="0"/>
              <w:jc w:val="left"/>
            </w:pPr>
            <w:r w:rsidRPr="006165A1">
              <w:t>MOBILE</w:t>
            </w:r>
          </w:p>
          <w:p w14:paraId="25C5561E" w14:textId="77777777" w:rsidR="00B63F0E" w:rsidRPr="00A24E00" w:rsidRDefault="00B63F0E" w:rsidP="009E678F">
            <w:pPr>
              <w:pStyle w:val="ECCTabletext"/>
              <w:spacing w:after="0"/>
              <w:jc w:val="left"/>
            </w:pPr>
            <w:r w:rsidRPr="00B2765F">
              <w:t>RADIOLOCATION</w:t>
            </w:r>
          </w:p>
        </w:tc>
        <w:tc>
          <w:tcPr>
            <w:tcW w:w="2149" w:type="dxa"/>
            <w:vAlign w:val="bottom"/>
          </w:tcPr>
          <w:p w14:paraId="1E857266" w14:textId="77777777" w:rsidR="00B63F0E" w:rsidRPr="00ED63D6" w:rsidRDefault="00B63F0E" w:rsidP="009E678F">
            <w:pPr>
              <w:pStyle w:val="ECCTabletext"/>
              <w:spacing w:after="0"/>
            </w:pPr>
          </w:p>
        </w:tc>
        <w:tc>
          <w:tcPr>
            <w:tcW w:w="405" w:type="dxa"/>
          </w:tcPr>
          <w:p w14:paraId="0082810F" w14:textId="77777777" w:rsidR="00B63F0E" w:rsidRPr="00A44046" w:rsidRDefault="00B63F0E" w:rsidP="009E678F">
            <w:pPr>
              <w:pStyle w:val="ECCTabletext"/>
              <w:spacing w:after="0"/>
              <w:jc w:val="left"/>
            </w:pPr>
            <w:r w:rsidRPr="00ED63D6">
              <w:t>X</w:t>
            </w:r>
          </w:p>
        </w:tc>
        <w:tc>
          <w:tcPr>
            <w:tcW w:w="405" w:type="dxa"/>
          </w:tcPr>
          <w:p w14:paraId="299DD34C" w14:textId="77777777" w:rsidR="00B63F0E" w:rsidRPr="005C3D16" w:rsidRDefault="00B63F0E" w:rsidP="009E678F">
            <w:pPr>
              <w:pStyle w:val="ECCTabletext"/>
              <w:spacing w:after="0"/>
              <w:jc w:val="left"/>
            </w:pPr>
            <w:r w:rsidRPr="00BD371E">
              <w:t>X</w:t>
            </w:r>
          </w:p>
        </w:tc>
        <w:tc>
          <w:tcPr>
            <w:tcW w:w="402" w:type="dxa"/>
          </w:tcPr>
          <w:p w14:paraId="26BFE2F4" w14:textId="77777777" w:rsidR="00B63F0E" w:rsidRPr="00794DA6" w:rsidRDefault="00B63F0E" w:rsidP="009E678F">
            <w:pPr>
              <w:pStyle w:val="ECCTabletext"/>
              <w:spacing w:after="0"/>
              <w:jc w:val="left"/>
            </w:pPr>
            <w:r w:rsidRPr="00D86561">
              <w:t>X</w:t>
            </w:r>
          </w:p>
        </w:tc>
        <w:tc>
          <w:tcPr>
            <w:tcW w:w="995" w:type="dxa"/>
          </w:tcPr>
          <w:p w14:paraId="2A726F8A" w14:textId="77777777" w:rsidR="00B63F0E" w:rsidRPr="00794DA6" w:rsidRDefault="00B63F0E" w:rsidP="009E678F">
            <w:pPr>
              <w:pStyle w:val="ECCTabletext"/>
              <w:spacing w:after="0"/>
            </w:pPr>
          </w:p>
        </w:tc>
      </w:tr>
      <w:tr w:rsidR="00B63F0E" w:rsidRPr="00D61104" w14:paraId="68E2E5A7" w14:textId="77777777" w:rsidTr="00B63F0E">
        <w:tc>
          <w:tcPr>
            <w:tcW w:w="1677" w:type="dxa"/>
          </w:tcPr>
          <w:p w14:paraId="0E71C403" w14:textId="3982DB1B" w:rsidR="00B63F0E" w:rsidRPr="00DB2DF5" w:rsidRDefault="00B63F0E" w:rsidP="009E678F">
            <w:pPr>
              <w:pStyle w:val="ECCTabletext"/>
              <w:spacing w:after="0"/>
              <w:jc w:val="left"/>
            </w:pPr>
            <w:r w:rsidRPr="00DB2DF5">
              <w:t>241.00</w:t>
            </w:r>
            <w:r w:rsidR="001D7996">
              <w:t>-</w:t>
            </w:r>
            <w:r w:rsidRPr="00DB2DF5">
              <w:t>248.00</w:t>
            </w:r>
          </w:p>
          <w:p w14:paraId="3D795955" w14:textId="77777777" w:rsidR="00B63F0E" w:rsidRPr="006165A1" w:rsidRDefault="00B63F0E" w:rsidP="009E678F">
            <w:pPr>
              <w:pStyle w:val="ECCTabletext"/>
              <w:spacing w:after="0"/>
              <w:jc w:val="left"/>
            </w:pPr>
            <w:r w:rsidRPr="00605764">
              <w:t>(5.138) (5.149)</w:t>
            </w:r>
          </w:p>
        </w:tc>
        <w:tc>
          <w:tcPr>
            <w:tcW w:w="3596" w:type="dxa"/>
            <w:vAlign w:val="bottom"/>
          </w:tcPr>
          <w:p w14:paraId="7364E77B" w14:textId="77777777" w:rsidR="00B63F0E" w:rsidRPr="008459EC" w:rsidRDefault="00B63F0E" w:rsidP="009E678F">
            <w:pPr>
              <w:pStyle w:val="ECCTabletext"/>
              <w:spacing w:after="0"/>
              <w:jc w:val="left"/>
            </w:pPr>
            <w:r w:rsidRPr="008459EC">
              <w:t>RADIOLOCATION</w:t>
            </w:r>
          </w:p>
          <w:p w14:paraId="01115ADD" w14:textId="77777777" w:rsidR="00B63F0E" w:rsidRPr="008459EC" w:rsidRDefault="00B63F0E" w:rsidP="009E678F">
            <w:pPr>
              <w:pStyle w:val="ECCTabletext"/>
              <w:spacing w:after="0"/>
              <w:jc w:val="left"/>
            </w:pPr>
            <w:r w:rsidRPr="008459EC">
              <w:t>RADIO ASTRONOMY</w:t>
            </w:r>
          </w:p>
          <w:p w14:paraId="11D78975" w14:textId="77777777" w:rsidR="00B63F0E" w:rsidRPr="008459EC" w:rsidRDefault="00B63F0E" w:rsidP="009E678F">
            <w:pPr>
              <w:pStyle w:val="ECCTabletext"/>
              <w:spacing w:after="0"/>
              <w:jc w:val="left"/>
            </w:pPr>
            <w:r w:rsidRPr="008459EC">
              <w:t>Amateur-Satellite</w:t>
            </w:r>
          </w:p>
          <w:p w14:paraId="14C117B0" w14:textId="77777777" w:rsidR="00B63F0E" w:rsidRPr="008459EC" w:rsidRDefault="00B63F0E" w:rsidP="009E678F">
            <w:pPr>
              <w:pStyle w:val="ECCTabletext"/>
              <w:spacing w:after="0"/>
              <w:jc w:val="left"/>
            </w:pPr>
            <w:r w:rsidRPr="008459EC">
              <w:t>Amateur</w:t>
            </w:r>
          </w:p>
        </w:tc>
        <w:tc>
          <w:tcPr>
            <w:tcW w:w="2149" w:type="dxa"/>
            <w:vAlign w:val="bottom"/>
          </w:tcPr>
          <w:p w14:paraId="4EB6732C" w14:textId="77777777" w:rsidR="00B63F0E" w:rsidRPr="00D86561" w:rsidRDefault="00B63F0E" w:rsidP="009E678F">
            <w:pPr>
              <w:pStyle w:val="ECCTabletext"/>
              <w:spacing w:after="0"/>
              <w:jc w:val="left"/>
            </w:pPr>
            <w:r w:rsidRPr="005C3D16">
              <w:t>Amateur</w:t>
            </w:r>
          </w:p>
          <w:p w14:paraId="486D31F8" w14:textId="77777777" w:rsidR="00B63F0E" w:rsidRPr="00794DA6" w:rsidRDefault="00B63F0E" w:rsidP="009E678F">
            <w:pPr>
              <w:pStyle w:val="ECCTabletext"/>
              <w:spacing w:after="0"/>
              <w:jc w:val="left"/>
            </w:pPr>
            <w:r w:rsidRPr="00794DA6">
              <w:t>Radio astronomy</w:t>
            </w:r>
          </w:p>
          <w:p w14:paraId="2022C41F" w14:textId="77777777" w:rsidR="00B63F0E" w:rsidRPr="00E4615B" w:rsidRDefault="00B63F0E" w:rsidP="009E678F">
            <w:pPr>
              <w:pStyle w:val="ECCTabletext"/>
              <w:spacing w:after="0"/>
              <w:jc w:val="left"/>
            </w:pPr>
            <w:r w:rsidRPr="00794DA6">
              <w:t>Amateur-satellite</w:t>
            </w:r>
          </w:p>
          <w:p w14:paraId="70CAA89C" w14:textId="77777777" w:rsidR="00B63F0E" w:rsidRPr="000812B4" w:rsidRDefault="00B63F0E" w:rsidP="009E678F">
            <w:pPr>
              <w:pStyle w:val="ECCTabletext"/>
              <w:spacing w:after="0"/>
              <w:jc w:val="left"/>
            </w:pPr>
            <w:r w:rsidRPr="0082594A">
              <w:t>Non-specific SRDs</w:t>
            </w:r>
          </w:p>
        </w:tc>
        <w:tc>
          <w:tcPr>
            <w:tcW w:w="405" w:type="dxa"/>
          </w:tcPr>
          <w:p w14:paraId="29B35039" w14:textId="77777777" w:rsidR="00B63F0E" w:rsidRPr="005A5261" w:rsidRDefault="00B63F0E" w:rsidP="009E678F">
            <w:pPr>
              <w:pStyle w:val="ECCTabletext"/>
              <w:spacing w:after="0"/>
              <w:jc w:val="left"/>
            </w:pPr>
            <w:r w:rsidRPr="005A5261">
              <w:t>X</w:t>
            </w:r>
          </w:p>
        </w:tc>
        <w:tc>
          <w:tcPr>
            <w:tcW w:w="405" w:type="dxa"/>
          </w:tcPr>
          <w:p w14:paraId="5F1975BE" w14:textId="77777777" w:rsidR="00B63F0E" w:rsidRPr="00DB2DF5" w:rsidRDefault="00B63F0E" w:rsidP="009E678F">
            <w:pPr>
              <w:pStyle w:val="ECCTabletext"/>
              <w:spacing w:after="0"/>
              <w:jc w:val="left"/>
            </w:pPr>
            <w:r w:rsidRPr="00DB2DF5">
              <w:t>X</w:t>
            </w:r>
          </w:p>
        </w:tc>
        <w:tc>
          <w:tcPr>
            <w:tcW w:w="402" w:type="dxa"/>
          </w:tcPr>
          <w:p w14:paraId="6EC6EE76" w14:textId="77777777" w:rsidR="00B63F0E" w:rsidRPr="00DB2DF5" w:rsidRDefault="00B63F0E" w:rsidP="009E678F">
            <w:pPr>
              <w:pStyle w:val="ECCTabletext"/>
              <w:spacing w:after="0"/>
              <w:jc w:val="left"/>
            </w:pPr>
            <w:r w:rsidRPr="00DB2DF5">
              <w:t>X</w:t>
            </w:r>
          </w:p>
        </w:tc>
        <w:tc>
          <w:tcPr>
            <w:tcW w:w="995" w:type="dxa"/>
          </w:tcPr>
          <w:p w14:paraId="60B7090B" w14:textId="77777777" w:rsidR="00B63F0E" w:rsidRPr="00DB2DF5" w:rsidRDefault="00B63F0E" w:rsidP="009E678F">
            <w:pPr>
              <w:pStyle w:val="ECCTabletext"/>
              <w:spacing w:after="0"/>
            </w:pPr>
          </w:p>
        </w:tc>
      </w:tr>
      <w:tr w:rsidR="00B63F0E" w:rsidRPr="00D61104" w14:paraId="38E23C1B" w14:textId="77777777" w:rsidTr="00B63F0E">
        <w:tc>
          <w:tcPr>
            <w:tcW w:w="1677" w:type="dxa"/>
          </w:tcPr>
          <w:p w14:paraId="63911EC4" w14:textId="6C1C6B94" w:rsidR="00B63F0E" w:rsidRPr="00DB2DF5" w:rsidRDefault="00B63F0E" w:rsidP="009E678F">
            <w:pPr>
              <w:pStyle w:val="ECCTabletext"/>
              <w:spacing w:after="0"/>
              <w:jc w:val="left"/>
            </w:pPr>
            <w:r w:rsidRPr="00DB2DF5">
              <w:t>248.00</w:t>
            </w:r>
            <w:r w:rsidR="001D7996">
              <w:t>-</w:t>
            </w:r>
            <w:r w:rsidRPr="00DB2DF5">
              <w:t>250.00</w:t>
            </w:r>
          </w:p>
          <w:p w14:paraId="51564302" w14:textId="77777777" w:rsidR="00B63F0E" w:rsidRPr="00DB2DF5" w:rsidRDefault="00B63F0E" w:rsidP="009E678F">
            <w:pPr>
              <w:pStyle w:val="ECCTabletext"/>
              <w:spacing w:after="0"/>
              <w:jc w:val="left"/>
            </w:pPr>
            <w:r w:rsidRPr="00DB2DF5">
              <w:t>(5.149)</w:t>
            </w:r>
          </w:p>
        </w:tc>
        <w:tc>
          <w:tcPr>
            <w:tcW w:w="3596" w:type="dxa"/>
            <w:vAlign w:val="bottom"/>
          </w:tcPr>
          <w:p w14:paraId="75557C97" w14:textId="77777777" w:rsidR="00B63F0E" w:rsidRPr="005A5261" w:rsidRDefault="00B63F0E" w:rsidP="009E678F">
            <w:pPr>
              <w:pStyle w:val="ECCTabletext"/>
              <w:spacing w:after="0"/>
              <w:jc w:val="left"/>
              <w:rPr>
                <w:lang w:val="fr-FR"/>
              </w:rPr>
            </w:pPr>
            <w:r w:rsidRPr="005A5261">
              <w:rPr>
                <w:lang w:val="fr-FR"/>
              </w:rPr>
              <w:t>AMATEUR</w:t>
            </w:r>
          </w:p>
          <w:p w14:paraId="6B999707" w14:textId="77777777" w:rsidR="00B63F0E" w:rsidRPr="005A5261" w:rsidRDefault="00B63F0E" w:rsidP="009E678F">
            <w:pPr>
              <w:pStyle w:val="ECCTabletext"/>
              <w:spacing w:after="0"/>
              <w:jc w:val="left"/>
              <w:rPr>
                <w:lang w:val="fr-FR"/>
              </w:rPr>
            </w:pPr>
            <w:r w:rsidRPr="005A5261">
              <w:rPr>
                <w:lang w:val="fr-FR"/>
              </w:rPr>
              <w:t>AMATEUR-SATELLITE</w:t>
            </w:r>
          </w:p>
          <w:p w14:paraId="7E43D037" w14:textId="77777777" w:rsidR="00B63F0E" w:rsidRPr="005A5261" w:rsidRDefault="00B63F0E" w:rsidP="009E678F">
            <w:pPr>
              <w:pStyle w:val="ECCTabletext"/>
              <w:spacing w:after="0"/>
              <w:jc w:val="left"/>
              <w:rPr>
                <w:rStyle w:val="ECCHLyellow"/>
                <w:lang w:val="fr-FR"/>
              </w:rPr>
            </w:pPr>
            <w:r w:rsidRPr="005A5261">
              <w:rPr>
                <w:lang w:val="fr-FR"/>
              </w:rPr>
              <w:t>Radio Astronomy</w:t>
            </w:r>
          </w:p>
        </w:tc>
        <w:tc>
          <w:tcPr>
            <w:tcW w:w="2149" w:type="dxa"/>
            <w:vAlign w:val="bottom"/>
          </w:tcPr>
          <w:p w14:paraId="0A97C4BF" w14:textId="77777777" w:rsidR="00B63F0E" w:rsidRPr="008459EC" w:rsidRDefault="00B63F0E" w:rsidP="009E678F">
            <w:pPr>
              <w:pStyle w:val="ECCTabletext"/>
              <w:spacing w:after="0"/>
              <w:jc w:val="left"/>
            </w:pPr>
            <w:r w:rsidRPr="008459EC">
              <w:t>Amateur-satellite</w:t>
            </w:r>
          </w:p>
          <w:p w14:paraId="7B63831D" w14:textId="77777777" w:rsidR="00B63F0E" w:rsidRPr="008459EC" w:rsidRDefault="00B63F0E" w:rsidP="009E678F">
            <w:pPr>
              <w:pStyle w:val="ECCTabletext"/>
              <w:spacing w:after="0"/>
              <w:jc w:val="left"/>
            </w:pPr>
            <w:r w:rsidRPr="008459EC">
              <w:t>Radio astronomy</w:t>
            </w:r>
          </w:p>
          <w:p w14:paraId="33A9E46D" w14:textId="77777777" w:rsidR="00B63F0E" w:rsidRPr="008459EC" w:rsidRDefault="00B63F0E" w:rsidP="009E678F">
            <w:pPr>
              <w:pStyle w:val="ECCTabletext"/>
              <w:spacing w:after="0"/>
              <w:jc w:val="left"/>
            </w:pPr>
            <w:r w:rsidRPr="008459EC">
              <w:t>Amateur</w:t>
            </w:r>
          </w:p>
        </w:tc>
        <w:tc>
          <w:tcPr>
            <w:tcW w:w="405" w:type="dxa"/>
          </w:tcPr>
          <w:p w14:paraId="17ACEADD" w14:textId="77777777" w:rsidR="00B63F0E" w:rsidRPr="00DB2DF5" w:rsidRDefault="00B63F0E" w:rsidP="009E678F">
            <w:pPr>
              <w:pStyle w:val="ECCTabletext"/>
              <w:spacing w:after="0"/>
              <w:jc w:val="left"/>
            </w:pPr>
            <w:r w:rsidRPr="00DB2DF5">
              <w:t>X</w:t>
            </w:r>
          </w:p>
        </w:tc>
        <w:tc>
          <w:tcPr>
            <w:tcW w:w="405" w:type="dxa"/>
          </w:tcPr>
          <w:p w14:paraId="5FBADBC7" w14:textId="77777777" w:rsidR="00B63F0E" w:rsidRPr="00DB2DF5" w:rsidRDefault="00B63F0E" w:rsidP="009E678F">
            <w:pPr>
              <w:pStyle w:val="ECCTabletext"/>
              <w:spacing w:after="0"/>
              <w:jc w:val="left"/>
            </w:pPr>
            <w:r w:rsidRPr="00DB2DF5">
              <w:t>X</w:t>
            </w:r>
          </w:p>
        </w:tc>
        <w:tc>
          <w:tcPr>
            <w:tcW w:w="402" w:type="dxa"/>
          </w:tcPr>
          <w:p w14:paraId="1E8E43AD" w14:textId="77777777" w:rsidR="00B63F0E" w:rsidRPr="00DB2DF5" w:rsidRDefault="00B63F0E" w:rsidP="009E678F">
            <w:pPr>
              <w:pStyle w:val="ECCTabletext"/>
              <w:spacing w:after="0"/>
              <w:jc w:val="left"/>
            </w:pPr>
            <w:r w:rsidRPr="00DB2DF5">
              <w:t>X</w:t>
            </w:r>
          </w:p>
        </w:tc>
        <w:tc>
          <w:tcPr>
            <w:tcW w:w="995" w:type="dxa"/>
          </w:tcPr>
          <w:p w14:paraId="52C70A48" w14:textId="77777777" w:rsidR="00B63F0E" w:rsidRPr="00DB2DF5" w:rsidRDefault="00B63F0E" w:rsidP="009E678F">
            <w:pPr>
              <w:pStyle w:val="ECCTabletext"/>
              <w:spacing w:after="0"/>
            </w:pPr>
          </w:p>
        </w:tc>
      </w:tr>
      <w:tr w:rsidR="00B63F0E" w:rsidRPr="00D61104" w14:paraId="30566A38" w14:textId="77777777" w:rsidTr="00B63F0E">
        <w:tc>
          <w:tcPr>
            <w:tcW w:w="1677" w:type="dxa"/>
          </w:tcPr>
          <w:p w14:paraId="5A28AA61" w14:textId="3EC89FCE" w:rsidR="00B63F0E" w:rsidRPr="00605764" w:rsidRDefault="00B63F0E" w:rsidP="009E678F">
            <w:pPr>
              <w:pStyle w:val="ECCTabletext"/>
              <w:spacing w:after="0"/>
              <w:jc w:val="left"/>
            </w:pPr>
            <w:r w:rsidRPr="00DB2DF5">
              <w:t>250.00</w:t>
            </w:r>
            <w:r w:rsidR="001D7996">
              <w:t>-</w:t>
            </w:r>
            <w:r w:rsidRPr="00DB2DF5">
              <w:t>252.00 (5.340) (5.563A)</w:t>
            </w:r>
          </w:p>
        </w:tc>
        <w:tc>
          <w:tcPr>
            <w:tcW w:w="3596" w:type="dxa"/>
            <w:vAlign w:val="bottom"/>
          </w:tcPr>
          <w:p w14:paraId="651D2B85" w14:textId="77777777" w:rsidR="00B63F0E" w:rsidRPr="006165A1" w:rsidRDefault="00B63F0E" w:rsidP="009E678F">
            <w:pPr>
              <w:pStyle w:val="ECCTabletext"/>
              <w:spacing w:after="0"/>
              <w:jc w:val="left"/>
            </w:pPr>
            <w:r w:rsidRPr="006165A1">
              <w:t>RADIO ASTRONOMY</w:t>
            </w:r>
          </w:p>
          <w:p w14:paraId="2B1B76D1" w14:textId="77777777" w:rsidR="00B63F0E" w:rsidRPr="006165A1" w:rsidRDefault="00B63F0E" w:rsidP="009E678F">
            <w:pPr>
              <w:pStyle w:val="ECCTabletext"/>
              <w:spacing w:after="0"/>
              <w:jc w:val="left"/>
            </w:pPr>
            <w:r w:rsidRPr="006165A1">
              <w:t>SPACE RESEARCH (PASSIVE)</w:t>
            </w:r>
          </w:p>
          <w:p w14:paraId="57AA002C" w14:textId="77777777" w:rsidR="00B63F0E" w:rsidRPr="00ED63D6" w:rsidRDefault="00B63F0E" w:rsidP="009E678F">
            <w:pPr>
              <w:pStyle w:val="ECCTabletext"/>
              <w:spacing w:after="0"/>
              <w:jc w:val="left"/>
            </w:pPr>
            <w:r w:rsidRPr="00B2765F">
              <w:t>EARTH EXPLORATION-SATELLITE (PASSIVE)</w:t>
            </w:r>
          </w:p>
        </w:tc>
        <w:tc>
          <w:tcPr>
            <w:tcW w:w="2149" w:type="dxa"/>
            <w:vAlign w:val="bottom"/>
          </w:tcPr>
          <w:p w14:paraId="2FD5866E" w14:textId="77777777" w:rsidR="00B63F0E" w:rsidRPr="00A44046" w:rsidRDefault="00B63F0E" w:rsidP="009E678F">
            <w:pPr>
              <w:pStyle w:val="ECCTabletext"/>
              <w:spacing w:after="0"/>
              <w:jc w:val="left"/>
            </w:pPr>
            <w:r w:rsidRPr="00ED63D6">
              <w:t>Radio astronomy</w:t>
            </w:r>
          </w:p>
          <w:p w14:paraId="2D92F9C3" w14:textId="77777777" w:rsidR="00B63F0E" w:rsidRPr="005C3D16" w:rsidRDefault="00B63F0E" w:rsidP="009E678F">
            <w:pPr>
              <w:pStyle w:val="ECCTabletext"/>
              <w:spacing w:after="0"/>
              <w:jc w:val="left"/>
            </w:pPr>
            <w:r w:rsidRPr="00BD371E">
              <w:t>Earth exploration-satellite</w:t>
            </w:r>
          </w:p>
        </w:tc>
        <w:tc>
          <w:tcPr>
            <w:tcW w:w="405" w:type="dxa"/>
          </w:tcPr>
          <w:p w14:paraId="7A847279" w14:textId="77777777" w:rsidR="00B63F0E" w:rsidRPr="00D86561" w:rsidRDefault="00B63F0E" w:rsidP="009E678F">
            <w:pPr>
              <w:pStyle w:val="ECCTabletext"/>
              <w:spacing w:after="0"/>
            </w:pPr>
          </w:p>
        </w:tc>
        <w:tc>
          <w:tcPr>
            <w:tcW w:w="405" w:type="dxa"/>
          </w:tcPr>
          <w:p w14:paraId="4628747B" w14:textId="77777777" w:rsidR="00B63F0E" w:rsidRPr="00794DA6" w:rsidRDefault="00B63F0E" w:rsidP="009E678F">
            <w:pPr>
              <w:pStyle w:val="ECCTabletext"/>
              <w:spacing w:after="0"/>
            </w:pPr>
          </w:p>
        </w:tc>
        <w:tc>
          <w:tcPr>
            <w:tcW w:w="402" w:type="dxa"/>
          </w:tcPr>
          <w:p w14:paraId="19097B83" w14:textId="77777777" w:rsidR="00B63F0E" w:rsidRPr="00794DA6" w:rsidRDefault="00B63F0E" w:rsidP="009E678F">
            <w:pPr>
              <w:pStyle w:val="ECCTabletext"/>
              <w:spacing w:after="0"/>
              <w:jc w:val="left"/>
            </w:pPr>
            <w:r w:rsidRPr="00794DA6">
              <w:t>X</w:t>
            </w:r>
          </w:p>
        </w:tc>
        <w:tc>
          <w:tcPr>
            <w:tcW w:w="995" w:type="dxa"/>
          </w:tcPr>
          <w:p w14:paraId="1BD4087D" w14:textId="77777777" w:rsidR="00B63F0E" w:rsidRPr="00E4615B" w:rsidRDefault="00B63F0E" w:rsidP="009E678F">
            <w:pPr>
              <w:pStyle w:val="ECCTabletext"/>
              <w:spacing w:after="0"/>
            </w:pPr>
          </w:p>
        </w:tc>
      </w:tr>
      <w:tr w:rsidR="00B63F0E" w:rsidRPr="00D61104" w14:paraId="108CB5F5" w14:textId="77777777" w:rsidTr="00B63F0E">
        <w:tc>
          <w:tcPr>
            <w:tcW w:w="1677" w:type="dxa"/>
          </w:tcPr>
          <w:p w14:paraId="7E35B2C4" w14:textId="31A76ECA" w:rsidR="00B63F0E" w:rsidRPr="00DB2DF5" w:rsidRDefault="00B63F0E" w:rsidP="009E678F">
            <w:pPr>
              <w:pStyle w:val="ECCTabletext"/>
              <w:spacing w:after="0"/>
              <w:jc w:val="left"/>
            </w:pPr>
            <w:r w:rsidRPr="00DB2DF5">
              <w:t>252.00</w:t>
            </w:r>
            <w:r w:rsidR="001D7996">
              <w:t>-</w:t>
            </w:r>
            <w:r w:rsidRPr="00DB2DF5">
              <w:t>265.00</w:t>
            </w:r>
          </w:p>
          <w:p w14:paraId="6D1813E5" w14:textId="77777777" w:rsidR="00B63F0E" w:rsidRPr="006165A1" w:rsidRDefault="00B63F0E" w:rsidP="009E678F">
            <w:pPr>
              <w:pStyle w:val="ECCTabletext"/>
              <w:spacing w:after="0"/>
              <w:jc w:val="left"/>
            </w:pPr>
            <w:r w:rsidRPr="00605764">
              <w:t>(5.149) (5.554)</w:t>
            </w:r>
          </w:p>
        </w:tc>
        <w:tc>
          <w:tcPr>
            <w:tcW w:w="3596" w:type="dxa"/>
            <w:vAlign w:val="bottom"/>
          </w:tcPr>
          <w:p w14:paraId="4FC01A6C" w14:textId="77777777" w:rsidR="00B63F0E" w:rsidRPr="006165A1" w:rsidRDefault="00B63F0E" w:rsidP="009E678F">
            <w:pPr>
              <w:pStyle w:val="ECCTabletext"/>
              <w:spacing w:after="0"/>
              <w:jc w:val="left"/>
            </w:pPr>
            <w:r w:rsidRPr="006165A1">
              <w:t>FIXED</w:t>
            </w:r>
          </w:p>
          <w:p w14:paraId="17C2802C" w14:textId="77777777" w:rsidR="00B63F0E" w:rsidRPr="00ED63D6" w:rsidRDefault="00B63F0E" w:rsidP="009E678F">
            <w:pPr>
              <w:pStyle w:val="ECCTabletext"/>
              <w:spacing w:after="0"/>
              <w:jc w:val="left"/>
            </w:pPr>
            <w:r w:rsidRPr="00B2765F">
              <w:t>MOBI</w:t>
            </w:r>
            <w:r w:rsidRPr="00A24E00">
              <w:t>LE</w:t>
            </w:r>
          </w:p>
          <w:p w14:paraId="1BBBD0C8" w14:textId="77777777" w:rsidR="00B63F0E" w:rsidRPr="00A44046" w:rsidRDefault="00B63F0E" w:rsidP="009E678F">
            <w:pPr>
              <w:pStyle w:val="ECCTabletext"/>
              <w:spacing w:after="0"/>
              <w:jc w:val="left"/>
            </w:pPr>
            <w:r w:rsidRPr="00ED63D6">
              <w:t>RADIONAVIGATION</w:t>
            </w:r>
          </w:p>
          <w:p w14:paraId="0F45565C" w14:textId="77777777" w:rsidR="00B63F0E" w:rsidRPr="005C3D16" w:rsidRDefault="00B63F0E" w:rsidP="009E678F">
            <w:pPr>
              <w:pStyle w:val="ECCTabletext"/>
              <w:spacing w:after="0"/>
              <w:jc w:val="left"/>
            </w:pPr>
            <w:r w:rsidRPr="00BD371E">
              <w:t>RADIONAVIGATION-SATELLITE</w:t>
            </w:r>
          </w:p>
          <w:p w14:paraId="720EC8C2" w14:textId="77777777" w:rsidR="00B63F0E" w:rsidRPr="00794DA6" w:rsidRDefault="00B63F0E" w:rsidP="009E678F">
            <w:pPr>
              <w:pStyle w:val="ECCTabletext"/>
              <w:spacing w:after="0"/>
              <w:jc w:val="left"/>
            </w:pPr>
            <w:r w:rsidRPr="00D86561">
              <w:t xml:space="preserve">MOBILE-SATELLITE </w:t>
            </w:r>
            <w:r w:rsidRPr="00794DA6">
              <w:t>(EARTH-TO-SPACE)</w:t>
            </w:r>
          </w:p>
          <w:p w14:paraId="3C38A34D" w14:textId="77777777" w:rsidR="00B63F0E" w:rsidRPr="00E4615B" w:rsidRDefault="00B63F0E" w:rsidP="009E678F">
            <w:pPr>
              <w:pStyle w:val="ECCTabletext"/>
              <w:spacing w:after="0"/>
              <w:jc w:val="left"/>
            </w:pPr>
            <w:r w:rsidRPr="00794DA6">
              <w:t>RADIO ASTRONOMY</w:t>
            </w:r>
          </w:p>
        </w:tc>
        <w:tc>
          <w:tcPr>
            <w:tcW w:w="2149" w:type="dxa"/>
            <w:vAlign w:val="bottom"/>
          </w:tcPr>
          <w:p w14:paraId="63DD9F4E" w14:textId="77777777" w:rsidR="00B63F0E" w:rsidRPr="000812B4" w:rsidRDefault="00B63F0E" w:rsidP="009E678F">
            <w:pPr>
              <w:pStyle w:val="ECCTabletext"/>
              <w:spacing w:after="0"/>
              <w:jc w:val="left"/>
            </w:pPr>
            <w:r w:rsidRPr="0082594A">
              <w:t>Radio astronomy</w:t>
            </w:r>
          </w:p>
        </w:tc>
        <w:tc>
          <w:tcPr>
            <w:tcW w:w="405" w:type="dxa"/>
          </w:tcPr>
          <w:p w14:paraId="4835677A" w14:textId="77777777" w:rsidR="00B63F0E" w:rsidRPr="005A5261" w:rsidRDefault="00B63F0E" w:rsidP="009E678F">
            <w:pPr>
              <w:pStyle w:val="ECCTabletext"/>
              <w:spacing w:after="0"/>
            </w:pPr>
          </w:p>
        </w:tc>
        <w:tc>
          <w:tcPr>
            <w:tcW w:w="405" w:type="dxa"/>
          </w:tcPr>
          <w:p w14:paraId="43CF7BA0" w14:textId="77777777" w:rsidR="00B63F0E" w:rsidRPr="00DB2DF5" w:rsidRDefault="00B63F0E" w:rsidP="009E678F">
            <w:pPr>
              <w:pStyle w:val="ECCTabletext"/>
              <w:spacing w:after="0"/>
            </w:pPr>
          </w:p>
        </w:tc>
        <w:tc>
          <w:tcPr>
            <w:tcW w:w="402" w:type="dxa"/>
          </w:tcPr>
          <w:p w14:paraId="09C68DD5" w14:textId="77777777" w:rsidR="00B63F0E" w:rsidRPr="00DB2DF5" w:rsidRDefault="00B63F0E" w:rsidP="009E678F">
            <w:pPr>
              <w:pStyle w:val="ECCTabletext"/>
              <w:spacing w:after="0"/>
              <w:jc w:val="left"/>
            </w:pPr>
            <w:r w:rsidRPr="00DB2DF5">
              <w:t>X</w:t>
            </w:r>
          </w:p>
        </w:tc>
        <w:tc>
          <w:tcPr>
            <w:tcW w:w="995" w:type="dxa"/>
          </w:tcPr>
          <w:p w14:paraId="213BDCA7" w14:textId="77777777" w:rsidR="00B63F0E" w:rsidRPr="00DB2DF5" w:rsidRDefault="00B63F0E" w:rsidP="009E678F">
            <w:pPr>
              <w:pStyle w:val="ECCTabletext"/>
              <w:spacing w:after="0"/>
            </w:pPr>
          </w:p>
        </w:tc>
      </w:tr>
      <w:tr w:rsidR="00243A68" w:rsidRPr="00D61104" w14:paraId="4CBD13FF" w14:textId="77777777" w:rsidTr="00200700">
        <w:tc>
          <w:tcPr>
            <w:tcW w:w="9629" w:type="dxa"/>
            <w:gridSpan w:val="7"/>
          </w:tcPr>
          <w:p w14:paraId="012D2FD4" w14:textId="351DF2D6" w:rsidR="00243A68" w:rsidRPr="00243A68" w:rsidRDefault="00243A68" w:rsidP="00851E9A">
            <w:pPr>
              <w:pStyle w:val="ECCTablenote"/>
            </w:pPr>
            <w:r w:rsidRPr="00243A68">
              <w:t xml:space="preserve">Note 1: </w:t>
            </w:r>
            <w:r w:rsidR="005544E4" w:rsidRPr="00A45E2D">
              <w:t>ECC Recommendation</w:t>
            </w:r>
            <w:r w:rsidR="005544E4">
              <w:t xml:space="preserve"> </w:t>
            </w:r>
            <w:r w:rsidRPr="00243A68">
              <w:t xml:space="preserve">(18)01 </w:t>
            </w:r>
            <w:r w:rsidRPr="00243A68">
              <w:rPr>
                <w:rStyle w:val="ECCParagraph"/>
                <w:sz w:val="16"/>
              </w:rPr>
              <w:fldChar w:fldCharType="begin"/>
            </w:r>
            <w:r w:rsidRPr="00243A68">
              <w:rPr>
                <w:rStyle w:val="ECCParagraph"/>
                <w:sz w:val="16"/>
              </w:rPr>
              <w:instrText xml:space="preserve"> REF  ECCRec_18_01 \h \w  \* MERGEFORMAT </w:instrText>
            </w:r>
            <w:r w:rsidRPr="00243A68">
              <w:rPr>
                <w:rStyle w:val="ECCParagraph"/>
                <w:sz w:val="16"/>
              </w:rPr>
            </w:r>
            <w:r w:rsidRPr="00243A68">
              <w:rPr>
                <w:rStyle w:val="ECCParagraph"/>
                <w:sz w:val="16"/>
              </w:rPr>
              <w:fldChar w:fldCharType="separate"/>
            </w:r>
            <w:r w:rsidR="004F49F9">
              <w:rPr>
                <w:rStyle w:val="ECCParagraph"/>
                <w:sz w:val="16"/>
              </w:rPr>
              <w:t>[22]</w:t>
            </w:r>
            <w:r w:rsidRPr="00243A68">
              <w:rPr>
                <w:rStyle w:val="ECCParagraph"/>
                <w:sz w:val="16"/>
              </w:rPr>
              <w:fldChar w:fldCharType="end"/>
            </w:r>
            <w:r w:rsidRPr="00243A68">
              <w:t xml:space="preserve"> Bandwidth is a multiple of 0.250 GHz.</w:t>
            </w:r>
          </w:p>
          <w:p w14:paraId="3D9097DB" w14:textId="042FFF0C" w:rsidR="00243A68" w:rsidRPr="00243A68" w:rsidRDefault="00243A68" w:rsidP="00851E9A">
            <w:pPr>
              <w:pStyle w:val="ECCTablenote"/>
            </w:pPr>
            <w:r w:rsidRPr="00243A68">
              <w:t xml:space="preserve">Note 2: Some characteristics are available in Appendix 2 to </w:t>
            </w:r>
            <w:r w:rsidR="005544E4">
              <w:t>Report ITU-R</w:t>
            </w:r>
            <w:r w:rsidRPr="00243A68">
              <w:t xml:space="preserve"> F.2107 </w:t>
            </w:r>
            <w:r w:rsidRPr="00243A68">
              <w:rPr>
                <w:rStyle w:val="ECCParagraph"/>
                <w:sz w:val="16"/>
              </w:rPr>
              <w:fldChar w:fldCharType="begin"/>
            </w:r>
            <w:r w:rsidRPr="00243A68">
              <w:rPr>
                <w:rStyle w:val="ECCParagraph"/>
                <w:sz w:val="16"/>
              </w:rPr>
              <w:instrText xml:space="preserve"> REF  ITU_R_F_2107_2 \h \w  \* MERGEFORMAT </w:instrText>
            </w:r>
            <w:r w:rsidRPr="00243A68">
              <w:rPr>
                <w:rStyle w:val="ECCParagraph"/>
                <w:sz w:val="16"/>
              </w:rPr>
            </w:r>
            <w:r w:rsidRPr="00243A68">
              <w:rPr>
                <w:rStyle w:val="ECCParagraph"/>
                <w:sz w:val="16"/>
              </w:rPr>
              <w:fldChar w:fldCharType="separate"/>
            </w:r>
            <w:r w:rsidR="004F49F9">
              <w:rPr>
                <w:rStyle w:val="ECCParagraph"/>
                <w:sz w:val="16"/>
              </w:rPr>
              <w:t>[19]</w:t>
            </w:r>
            <w:r w:rsidRPr="00243A68">
              <w:rPr>
                <w:rStyle w:val="ECCParagraph"/>
                <w:sz w:val="16"/>
              </w:rPr>
              <w:fldChar w:fldCharType="end"/>
            </w:r>
            <w:r w:rsidRPr="00243A68">
              <w:rPr>
                <w:rStyle w:val="ECCParagraph"/>
                <w:sz w:val="16"/>
              </w:rPr>
              <w:t>.</w:t>
            </w:r>
          </w:p>
          <w:p w14:paraId="6F1E7D1B" w14:textId="77777777" w:rsidR="00243A68" w:rsidRPr="00243A68" w:rsidRDefault="00243A68" w:rsidP="00851E9A">
            <w:pPr>
              <w:pStyle w:val="ECCTablenote"/>
            </w:pPr>
          </w:p>
          <w:p w14:paraId="7FB26439" w14:textId="266EB28F" w:rsidR="00243A68" w:rsidRPr="00243A68" w:rsidRDefault="00243A68" w:rsidP="00851E9A">
            <w:pPr>
              <w:pStyle w:val="ECCTablenote"/>
            </w:pPr>
            <w:r w:rsidRPr="00243A68">
              <w:t xml:space="preserve">Relevant RR Footnotes included in </w:t>
            </w:r>
            <w:r w:rsidRPr="00243A68">
              <w:rPr>
                <w:rStyle w:val="ECCHLyellow"/>
              </w:rPr>
              <w:fldChar w:fldCharType="begin"/>
            </w:r>
            <w:r w:rsidRPr="00243A68">
              <w:instrText xml:space="preserve"> REF _Ref12449270 \h </w:instrText>
            </w:r>
            <w:r w:rsidRPr="00243A68">
              <w:rPr>
                <w:rStyle w:val="ECCHLyellow"/>
              </w:rPr>
              <w:instrText xml:space="preserve"> \* MERGEFORMAT </w:instrText>
            </w:r>
            <w:r w:rsidRPr="00243A68">
              <w:rPr>
                <w:rStyle w:val="ECCHLyellow"/>
              </w:rPr>
            </w:r>
            <w:r w:rsidRPr="00243A68">
              <w:rPr>
                <w:rStyle w:val="ECCHLyellow"/>
              </w:rPr>
              <w:fldChar w:fldCharType="separate"/>
            </w:r>
            <w:r w:rsidR="0041125F" w:rsidRPr="006D6727">
              <w:t>Table </w:t>
            </w:r>
            <w:r w:rsidR="0041125F">
              <w:t>34</w:t>
            </w:r>
            <w:r w:rsidRPr="00243A68">
              <w:rPr>
                <w:rStyle w:val="ECCHLyellow"/>
              </w:rPr>
              <w:fldChar w:fldCharType="end"/>
            </w:r>
            <w:r w:rsidRPr="00243A68">
              <w:t>:</w:t>
            </w:r>
          </w:p>
          <w:p w14:paraId="79BBE2CD" w14:textId="1F404D79" w:rsidR="00243A68" w:rsidRPr="00243A68" w:rsidRDefault="00243A68" w:rsidP="00851E9A">
            <w:pPr>
              <w:pStyle w:val="ECCTablenote"/>
            </w:pPr>
            <w:r w:rsidRPr="00243A68">
              <w:t>5.138: The following bands: 6765-6795 kHz (centre frequency 6780 kHz), 433.05-434.79 MHz (centre frequency 433.92 MHz) in Region 1 except in the countries mentioned in No. 5.280, 61-61.5 GHz (centre frequency 61.25 GHz), 122-123 GHz (centre frequency 122.5 GHz), and 244-246 GHz (centre frequency 245 GHz) are designated for industrial, scientific and medical (ISM) applications. The use of these frequency bands for ISM applications shall be subject to special authorisation by the administration concerned, in agreement with other administrations whose radiocommunication services might be affected. In applying this provision, administrations shall have due regard to the latest relevant ITU-R Recommendations.</w:t>
            </w:r>
          </w:p>
          <w:p w14:paraId="37F8DBAB" w14:textId="77777777" w:rsidR="00243A68" w:rsidRPr="00243A68" w:rsidRDefault="00243A68" w:rsidP="00851E9A">
            <w:pPr>
              <w:pStyle w:val="ECCTablenote"/>
            </w:pPr>
            <w:r w:rsidRPr="00243A68">
              <w:t>5.149: In making assignments to stations of other services to which the bands:13360-13410 kHz, 25550-25670 kHz, 37.5-38.25 MHz, 73-74.6 MHz in Regions 1 and 3, 150.05-153 MHz in Region 1, 322-328.6 MHz, 406.1-410 MHz, 608-614 MHz in Regions 1 and 3, 1330-1400 MHz, 1610.6-1613.8 MHz, 1660-1670 MHz, 1718.8-1722.2 MHz, 2655-2690 MHz, 3260-3267 MHz, 3332-3339 MHz, 3345.8-3352.5 MHz, 4825-4835 MHz, 4950-4990 MHz, 4990-5000 MHz, 6650-6675.2 MHz, 10.6-10.68 GHz, 14.47-14.5 GHz, 22.01-22.21 GHz, 22.21-22.5 GHz, 22.81-22.86 GHz, 23.07-23.12 GHz, 31.2-31.3 GHz, 31.5-31.8 GHz in Regions 1 and 3, 36.43-36.5 GHz, 42.5-43.5 GHz, 48.94-49.04 GHz, 76-86 GHz, 92-94 GHz, 94.1-100 GHz, 102-109.5 GHz, 111.8-114.25 GHz, 128.33-128.59 GHz, 129.23-129.49 GHz, 130-134 GHz, 136-148.5 GHz, 151.5-158.5 GHz, 168.59-168.93 GHz, 171.11-171.45 GHz, 172.31-172.65 GHz, 173.52-173.85 GHz, 195.75-196.15 GHz, 209-226 GHz, 241-250 GHz, 252-275 GHz are allocated, administrations are urged to take all practicable steps to protect the radio astronomy service from harmful interference. Emissions from spaceborne or airborne stations can be particularly serious sources of interference to the radio astronomy service (see Nos. 4.5 and 4.6 and Article 29). (WRC-07)</w:t>
            </w:r>
          </w:p>
          <w:p w14:paraId="610FF913" w14:textId="77777777" w:rsidR="00243A68" w:rsidRPr="00243A68" w:rsidRDefault="00243A68" w:rsidP="00851E9A">
            <w:pPr>
              <w:pStyle w:val="ECCTablenote"/>
            </w:pPr>
            <w:r w:rsidRPr="00243A68">
              <w:t>5.340: All emissions are prohibited in the following bands: 1400-1427 MHz 2690-2700 MHz, except those provided for by No. 5.422 10.68-10.7 GHz, except those provided for by No. 5.483 15.35-15.4 GHz, except those provided for by No. 5.511 23.6-24 GHz 31.3-31.5 GHz 31.5-31.8 GHz, in Region 2 48.94-49.04 GHz, from airborne stations 50.2-50.4 GHz (1) 52.6-54.25 GHz 86-92 GHz 100-102 GHz 109.5-111.8 GHz 114.25-116 GHz 148.5-151.5 GHz 164-167 GHz 182-185 GHz 190-191.8 GHz 200-209 GHz, 226-231.5 GHz 250-252 GHz. (WRC-03) (1) 5.340 The allocation to the Earth exploration-satellite service (passive) and the space research service (passive) in the band 50.2-50.4 GHz should not impose undue constraints on the use of the adjacent bands by the primary allocated services in those bands. (WRC-97)</w:t>
            </w:r>
          </w:p>
          <w:p w14:paraId="3CD33275" w14:textId="77777777" w:rsidR="00243A68" w:rsidRPr="00243A68" w:rsidRDefault="00243A68" w:rsidP="00851E9A">
            <w:pPr>
              <w:pStyle w:val="ECCTablenote"/>
            </w:pPr>
            <w:r w:rsidRPr="00243A68">
              <w:t>5.341: In the bands 1400-1727 MHz, 101-120 GHz and 197-220 GHz, passive research is being conducted by some countries in a programme for the search for intentional emissions of extraterrestrial origin.</w:t>
            </w:r>
          </w:p>
          <w:p w14:paraId="0D438335" w14:textId="77777777" w:rsidR="00243A68" w:rsidRPr="00243A68" w:rsidRDefault="00243A68" w:rsidP="00851E9A">
            <w:pPr>
              <w:pStyle w:val="ECCTablenote"/>
            </w:pPr>
            <w:r w:rsidRPr="00243A68">
              <w:t>5.554: In the bands 43.5-47 GHz, 66-71 GHz, 95-100 GHz, 123-130 GHz, 191.8-200 GHz and 252-265 GHz, satellite links connecting land stations at specified fixed points are also authorized when used in conjunction with the mobile-satellite service or the radionavigation-satellite service. (WRC-2000)</w:t>
            </w:r>
          </w:p>
          <w:p w14:paraId="720D2D6A" w14:textId="77777777" w:rsidR="00243A68" w:rsidRPr="00243A68" w:rsidRDefault="00243A68" w:rsidP="00851E9A">
            <w:pPr>
              <w:pStyle w:val="ECCTablenote"/>
            </w:pPr>
            <w:r w:rsidRPr="00243A68">
              <w:t>5.558: In the bands 55.78-58.2 GHz, 59-64 GHz, 66-71 GHz, 122.25-123 GHz, 130-134 GHz, 167-174.8 GHz and 191.8-200 GHz, stations in the aeronautical mobile service may be operated subject to not causing harmful interference to the intersatellite service (see No. 5.43). (WRC-2000)</w:t>
            </w:r>
          </w:p>
          <w:p w14:paraId="7E943F4E" w14:textId="77777777" w:rsidR="00243A68" w:rsidRPr="00243A68" w:rsidRDefault="00243A68" w:rsidP="00851E9A">
            <w:pPr>
              <w:pStyle w:val="ECCTablenote"/>
            </w:pPr>
            <w:r w:rsidRPr="00243A68">
              <w:t>5.562A: In the bands 94-94.1 GHz and 130-134 GHz, transmissions from space stations of the Earth exploration-satellite service (active) that are directed into the main beam of a radio astronomy antenna have the potential to damage some radio astronomy receivers. Space agencies operating the transmitters and the radio astronomy stations concerned should mutually plan their operations so as to avoid such occurrences to the maximum extent possible. (WRC-2000)</w:t>
            </w:r>
          </w:p>
          <w:p w14:paraId="184D80A9" w14:textId="77777777" w:rsidR="00243A68" w:rsidRPr="00243A68" w:rsidRDefault="00243A68" w:rsidP="00851E9A">
            <w:pPr>
              <w:pStyle w:val="ECCTablenote"/>
            </w:pPr>
            <w:r w:rsidRPr="00243A68">
              <w:t>5.562B: In the frequency bands 105-109.5 GHz, 111.8-114.25 GHz and 217-226 GHz, the use of this allocation is limited to space-based radio astronomy only. (WRC-19)</w:t>
            </w:r>
          </w:p>
          <w:p w14:paraId="704D8778" w14:textId="77777777" w:rsidR="00243A68" w:rsidRPr="00243A68" w:rsidRDefault="00243A68" w:rsidP="00851E9A">
            <w:pPr>
              <w:pStyle w:val="ECCTablenote"/>
            </w:pPr>
            <w:r w:rsidRPr="00243A68">
              <w:t>5.562C: Use of the band 116-122.25 GHz by the inter-satellite service is limited to satellites in the geostationary-satellite orbit. The single-entry power flux-density produced by a station in the inter-satellite service, for all conditions and for all methods of modulation, at all altitudes from 0 km to 1 000 km above the Earth's surface and in the vicinity of all geostationary orbital positions occupied by passive sensors, shall not exceed -148 dB(W/(m² · MHz)) for all angles of arrival. (WRC-2000)</w:t>
            </w:r>
          </w:p>
          <w:p w14:paraId="6952E9A6" w14:textId="77777777" w:rsidR="00243A68" w:rsidRPr="00243A68" w:rsidRDefault="00243A68" w:rsidP="00851E9A">
            <w:pPr>
              <w:pStyle w:val="ECCTablenote"/>
            </w:pPr>
            <w:r w:rsidRPr="00243A68">
              <w:t>5.562E: The allocation to the Earth exploration-satellite service (active) is limited to the band 133.5-134 GHz. (WRC-2000)</w:t>
            </w:r>
          </w:p>
          <w:p w14:paraId="2CDA643E" w14:textId="77777777" w:rsidR="00243A68" w:rsidRPr="00243A68" w:rsidRDefault="00243A68" w:rsidP="00851E9A">
            <w:pPr>
              <w:pStyle w:val="ECCTablenote"/>
            </w:pPr>
            <w:r w:rsidRPr="00243A68">
              <w:t>5.562F: In the band 155.5-158.5 GHz, the allocation to the Earth exploration-satellite (passive) and space research (passive) services shall terminate on 1 January 2018. (WRC-2000)</w:t>
            </w:r>
          </w:p>
          <w:p w14:paraId="51445751" w14:textId="77777777" w:rsidR="00243A68" w:rsidRPr="00243A68" w:rsidRDefault="00243A68" w:rsidP="00851E9A">
            <w:pPr>
              <w:pStyle w:val="ECCTablenote"/>
            </w:pPr>
            <w:r w:rsidRPr="00243A68">
              <w:t>5.562H: Use of the bands 174.8-182 GHz and 185-190 GHz by the inter-satellite service is limited to satellites in the geostationary-satellite orbit. The single-entry power flux density produced by a station in the inter-satellite service, for all conditions and for all methods of modulation, at all altitudes from 0 km to 1000 km above the Earth's surface and in the vicinity of all geostationary orbital positions occupied by passive sensors, shall not exceed -144 dB(W/(m² · MHz)) for all angles of arrival. (WRC-2000)</w:t>
            </w:r>
          </w:p>
          <w:p w14:paraId="45D6B27D" w14:textId="77777777" w:rsidR="00243A68" w:rsidRPr="00243A68" w:rsidRDefault="00243A68" w:rsidP="00851E9A">
            <w:pPr>
              <w:pStyle w:val="ECCTablenote"/>
            </w:pPr>
            <w:r w:rsidRPr="00243A68">
              <w:t>5.563A: In the bands 200-209 GHz, 235-238 GHz, 250-252 GHz and 265-275 GHz, ground-based passive atmospheric sensing is carried out to monitor atmospheric constituents. (WRC-2000)</w:t>
            </w:r>
          </w:p>
          <w:p w14:paraId="588A4D1C" w14:textId="77777777" w:rsidR="00243A68" w:rsidRPr="00243A68" w:rsidRDefault="00243A68" w:rsidP="00851E9A">
            <w:pPr>
              <w:pStyle w:val="ECCTablenote"/>
            </w:pPr>
            <w:r w:rsidRPr="00243A68">
              <w:t>5.563B: The band 237.9-238 GHz is also allocated to the Earth exploration-satellite service (active) and the space research service (active) for spaceborne cloud radars only. (WRC-2000)</w:t>
            </w:r>
          </w:p>
        </w:tc>
      </w:tr>
    </w:tbl>
    <w:p w14:paraId="0CB4FBE6" w14:textId="77777777" w:rsidR="00B90C87" w:rsidRPr="006D6727" w:rsidRDefault="00B90C87" w:rsidP="00B90C87">
      <w:pPr>
        <w:pStyle w:val="Heading2"/>
        <w:rPr>
          <w:noProof/>
          <w:lang w:val="en-GB"/>
        </w:rPr>
      </w:pPr>
      <w:bookmarkStart w:id="403" w:name="_Ref66361706"/>
      <w:bookmarkStart w:id="404" w:name="_Toc84325325"/>
      <w:bookmarkStart w:id="405" w:name="_Toc127346257"/>
      <w:r w:rsidRPr="006D6727">
        <w:rPr>
          <w:noProof/>
          <w:lang w:val="en-GB"/>
        </w:rPr>
        <w:t>Compatibility schemes overview inside and nearby the candidate frequency bands</w:t>
      </w:r>
      <w:bookmarkEnd w:id="403"/>
      <w:bookmarkEnd w:id="404"/>
      <w:bookmarkEnd w:id="405"/>
    </w:p>
    <w:p w14:paraId="16306D5D" w14:textId="42A623EF" w:rsidR="00B90C87" w:rsidRPr="006D6727" w:rsidRDefault="009D5FA2" w:rsidP="00B242BE">
      <w:pPr>
        <w:rPr>
          <w:rStyle w:val="ECCParagraph"/>
          <w:noProof/>
        </w:rPr>
      </w:pPr>
      <w:r>
        <w:rPr>
          <w:rStyle w:val="ECCParagraph"/>
          <w:noProof/>
        </w:rPr>
        <w:t>Section</w:t>
      </w:r>
      <w:r w:rsidR="00B242BE" w:rsidRPr="006D6727">
        <w:rPr>
          <w:rStyle w:val="ECCParagraph"/>
          <w:noProof/>
        </w:rPr>
        <w:t xml:space="preserve"> </w:t>
      </w:r>
      <w:r w:rsidR="00142B18" w:rsidRPr="006D6727">
        <w:rPr>
          <w:rStyle w:val="ECCParagraph"/>
          <w:noProof/>
        </w:rPr>
        <w:fldChar w:fldCharType="begin"/>
      </w:r>
      <w:r w:rsidR="00142B18" w:rsidRPr="006D6727">
        <w:rPr>
          <w:rStyle w:val="ECCParagraph"/>
          <w:noProof/>
        </w:rPr>
        <w:instrText xml:space="preserve"> REF _Ref12610323 \r \h </w:instrText>
      </w:r>
      <w:r w:rsidR="00142B18" w:rsidRPr="006D6727">
        <w:rPr>
          <w:rStyle w:val="ECCParagraph"/>
          <w:noProof/>
        </w:rPr>
      </w:r>
      <w:r w:rsidR="00142B18" w:rsidRPr="006D6727">
        <w:rPr>
          <w:rStyle w:val="ECCParagraph"/>
          <w:noProof/>
        </w:rPr>
        <w:fldChar w:fldCharType="separate"/>
      </w:r>
      <w:r w:rsidR="004F49F9">
        <w:rPr>
          <w:rStyle w:val="ECCParagraph"/>
          <w:noProof/>
        </w:rPr>
        <w:t>3.1</w:t>
      </w:r>
      <w:r w:rsidR="00142B18" w:rsidRPr="006D6727">
        <w:rPr>
          <w:rStyle w:val="ECCParagraph"/>
          <w:noProof/>
        </w:rPr>
        <w:fldChar w:fldCharType="end"/>
      </w:r>
      <w:r w:rsidR="00B242BE" w:rsidRPr="006D6727">
        <w:rPr>
          <w:rStyle w:val="ECCParagraph"/>
          <w:noProof/>
        </w:rPr>
        <w:t xml:space="preserve"> gives an overview of the considered frequency bands within the frequency range 116 to 260 GHz for the new Radiodetermination applications described in-depth in </w:t>
      </w:r>
      <w:r>
        <w:rPr>
          <w:rStyle w:val="ECCParagraph"/>
          <w:noProof/>
        </w:rPr>
        <w:t>section</w:t>
      </w:r>
      <w:r w:rsidR="00B242BE" w:rsidRPr="006D6727">
        <w:rPr>
          <w:rStyle w:val="ECCParagraph"/>
          <w:noProof/>
        </w:rPr>
        <w:t xml:space="preserve"> </w:t>
      </w:r>
      <w:r w:rsidR="00B242BE" w:rsidRPr="006D6727">
        <w:rPr>
          <w:rStyle w:val="ECCParagraph"/>
          <w:noProof/>
        </w:rPr>
        <w:fldChar w:fldCharType="begin"/>
      </w:r>
      <w:r w:rsidR="00B242BE" w:rsidRPr="006D6727">
        <w:rPr>
          <w:rStyle w:val="ECCParagraph"/>
          <w:noProof/>
        </w:rPr>
        <w:instrText xml:space="preserve"> REF _Ref9415617 \r \h  \* MERGEFORMAT </w:instrText>
      </w:r>
      <w:r w:rsidR="00B242BE" w:rsidRPr="006D6727">
        <w:rPr>
          <w:rStyle w:val="ECCParagraph"/>
          <w:noProof/>
        </w:rPr>
      </w:r>
      <w:r w:rsidR="00B242BE" w:rsidRPr="006D6727">
        <w:rPr>
          <w:rStyle w:val="ECCParagraph"/>
          <w:noProof/>
        </w:rPr>
        <w:fldChar w:fldCharType="separate"/>
      </w:r>
      <w:r w:rsidR="004F49F9">
        <w:rPr>
          <w:rStyle w:val="ECCParagraph"/>
          <w:noProof/>
        </w:rPr>
        <w:t>2.2</w:t>
      </w:r>
      <w:r w:rsidR="00B242BE" w:rsidRPr="006D6727">
        <w:rPr>
          <w:rStyle w:val="ECCParagraph"/>
          <w:noProof/>
        </w:rPr>
        <w:fldChar w:fldCharType="end"/>
      </w:r>
      <w:r w:rsidR="00B242BE" w:rsidRPr="006D6727">
        <w:rPr>
          <w:rStyle w:val="ECCParagraph"/>
          <w:noProof/>
        </w:rPr>
        <w:t xml:space="preserve">. In </w:t>
      </w:r>
      <w:r w:rsidR="00B242BE" w:rsidRPr="006D6727">
        <w:rPr>
          <w:rStyle w:val="ECCParagraph"/>
          <w:noProof/>
        </w:rPr>
        <w:fldChar w:fldCharType="begin"/>
      </w:r>
      <w:r w:rsidR="00B242BE" w:rsidRPr="006D6727">
        <w:rPr>
          <w:rStyle w:val="ECCParagraph"/>
          <w:noProof/>
        </w:rPr>
        <w:instrText xml:space="preserve"> REF _Ref9426549 \h  \* MERGEFORMAT </w:instrText>
      </w:r>
      <w:r w:rsidR="00B242BE" w:rsidRPr="006D6727">
        <w:rPr>
          <w:rStyle w:val="ECCParagraph"/>
          <w:noProof/>
        </w:rPr>
      </w:r>
      <w:r w:rsidR="00B242BE" w:rsidRPr="006D6727">
        <w:rPr>
          <w:rStyle w:val="ECCParagraph"/>
          <w:noProof/>
        </w:rPr>
        <w:fldChar w:fldCharType="separate"/>
      </w:r>
      <w:r w:rsidR="0041125F" w:rsidRPr="0041125F">
        <w:rPr>
          <w:rStyle w:val="ECCParagraph"/>
          <w:noProof/>
        </w:rPr>
        <w:t>Figure 76</w:t>
      </w:r>
      <w:r w:rsidR="00B242BE" w:rsidRPr="006D6727">
        <w:rPr>
          <w:rStyle w:val="ECCParagraph"/>
          <w:noProof/>
        </w:rPr>
        <w:fldChar w:fldCharType="end"/>
      </w:r>
      <w:r w:rsidR="00B242BE" w:rsidRPr="006D6727">
        <w:rPr>
          <w:rStyle w:val="ECCParagraph"/>
          <w:noProof/>
        </w:rPr>
        <w:t xml:space="preserve"> to </w:t>
      </w:r>
      <w:r w:rsidR="00B242BE" w:rsidRPr="006D6727">
        <w:rPr>
          <w:rStyle w:val="ECCParagraph"/>
          <w:noProof/>
        </w:rPr>
        <w:fldChar w:fldCharType="begin"/>
      </w:r>
      <w:r w:rsidR="00B242BE" w:rsidRPr="006D6727">
        <w:rPr>
          <w:rStyle w:val="ECCParagraph"/>
          <w:noProof/>
        </w:rPr>
        <w:instrText xml:space="preserve"> REF _Ref9426568 \h  \* MERGEFORMAT </w:instrText>
      </w:r>
      <w:r w:rsidR="00B242BE" w:rsidRPr="006D6727">
        <w:rPr>
          <w:rStyle w:val="ECCParagraph"/>
          <w:noProof/>
        </w:rPr>
      </w:r>
      <w:r w:rsidR="00B242BE" w:rsidRPr="006D6727">
        <w:rPr>
          <w:rStyle w:val="ECCParagraph"/>
          <w:noProof/>
        </w:rPr>
        <w:fldChar w:fldCharType="separate"/>
      </w:r>
      <w:r w:rsidR="0041125F" w:rsidRPr="0041125F">
        <w:rPr>
          <w:rStyle w:val="ECCParagraph"/>
          <w:noProof/>
        </w:rPr>
        <w:t>Figure 79</w:t>
      </w:r>
      <w:r w:rsidR="00B242BE" w:rsidRPr="006D6727">
        <w:rPr>
          <w:rStyle w:val="ECCParagraph"/>
          <w:noProof/>
        </w:rPr>
        <w:fldChar w:fldCharType="end"/>
      </w:r>
      <w:r w:rsidR="000C3B6C">
        <w:rPr>
          <w:rStyle w:val="ECCParagraph"/>
          <w:noProof/>
        </w:rPr>
        <w:t>,</w:t>
      </w:r>
      <w:r w:rsidR="00B242BE" w:rsidRPr="006D6727">
        <w:rPr>
          <w:rStyle w:val="ECCParagraph"/>
          <w:noProof/>
        </w:rPr>
        <w:t xml:space="preserve"> a graphical overview of the compatibility schemes inside and nearby each requested candidate band is given.</w:t>
      </w:r>
    </w:p>
    <w:p w14:paraId="5AE05536" w14:textId="77777777" w:rsidR="00233CC4" w:rsidRDefault="00233CC4" w:rsidP="00876039">
      <w:pPr>
        <w:pStyle w:val="ECCTableHeaderwhitefont"/>
        <w:rPr>
          <w:noProof/>
        </w:rPr>
      </w:pPr>
    </w:p>
    <w:p w14:paraId="6B31DCF2" w14:textId="77777777" w:rsidR="00A93F20" w:rsidRPr="006D6727" w:rsidRDefault="00A93F20" w:rsidP="00876039">
      <w:pPr>
        <w:pStyle w:val="ECCTableHeaderwhitefont"/>
        <w:rPr>
          <w:noProof/>
        </w:rPr>
      </w:pPr>
      <w:r w:rsidRPr="00A93F20">
        <w:rPr>
          <w:noProof/>
          <w:lang w:val="de-DE"/>
        </w:rPr>
        <w:drawing>
          <wp:inline distT="0" distB="0" distL="0" distR="0" wp14:anchorId="6B6CC908" wp14:editId="346756F4">
            <wp:extent cx="6096000" cy="3117883"/>
            <wp:effectExtent l="0" t="0" r="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6112150" cy="3126143"/>
                    </a:xfrm>
                    <a:prstGeom prst="rect">
                      <a:avLst/>
                    </a:prstGeom>
                  </pic:spPr>
                </pic:pic>
              </a:graphicData>
            </a:graphic>
          </wp:inline>
        </w:drawing>
      </w:r>
    </w:p>
    <w:p w14:paraId="72F61211" w14:textId="3F53C353" w:rsidR="00103930" w:rsidRPr="006D6727" w:rsidRDefault="00103930" w:rsidP="00103930">
      <w:pPr>
        <w:pStyle w:val="Caption"/>
        <w:rPr>
          <w:noProof/>
          <w:lang w:val="en-GB"/>
        </w:rPr>
      </w:pPr>
      <w:bookmarkStart w:id="406" w:name="_Ref9426549"/>
      <w:r w:rsidRPr="006D6727">
        <w:rPr>
          <w:noProof/>
          <w:lang w:val="en-GB"/>
        </w:rPr>
        <w:t>Figure </w:t>
      </w:r>
      <w:r w:rsidR="00B92AB8" w:rsidRPr="006D6727">
        <w:rPr>
          <w:noProof/>
          <w:lang w:val="en-GB"/>
        </w:rPr>
        <w:fldChar w:fldCharType="begin"/>
      </w:r>
      <w:r w:rsidR="00B92AB8" w:rsidRPr="006D6727">
        <w:rPr>
          <w:noProof/>
          <w:lang w:val="en-GB"/>
        </w:rPr>
        <w:instrText xml:space="preserve"> SEQ Figure \*ARABIC \* MERGEFORMAT  \* MERGEFORMAT </w:instrText>
      </w:r>
      <w:r w:rsidR="00B92AB8" w:rsidRPr="006D6727">
        <w:rPr>
          <w:noProof/>
          <w:lang w:val="en-GB"/>
        </w:rPr>
        <w:fldChar w:fldCharType="separate"/>
      </w:r>
      <w:r w:rsidR="004F49F9">
        <w:rPr>
          <w:noProof/>
          <w:lang w:val="en-GB"/>
        </w:rPr>
        <w:t>76</w:t>
      </w:r>
      <w:r w:rsidR="00B92AB8" w:rsidRPr="006D6727">
        <w:rPr>
          <w:noProof/>
          <w:lang w:val="en-GB"/>
        </w:rPr>
        <w:fldChar w:fldCharType="end"/>
      </w:r>
      <w:bookmarkEnd w:id="406"/>
      <w:r w:rsidRPr="006D6727">
        <w:rPr>
          <w:noProof/>
          <w:lang w:val="en-GB"/>
        </w:rPr>
        <w:t xml:space="preserve">: </w:t>
      </w:r>
      <w:r w:rsidR="007C32AC" w:rsidRPr="006D6727">
        <w:rPr>
          <w:noProof/>
          <w:lang w:val="en-GB"/>
        </w:rPr>
        <w:t>Compatibility scheme</w:t>
      </w:r>
      <w:r w:rsidRPr="006D6727">
        <w:rPr>
          <w:noProof/>
          <w:lang w:val="en-GB"/>
        </w:rPr>
        <w:t xml:space="preserve"> for the frequency </w:t>
      </w:r>
      <w:r w:rsidR="001E56B1" w:rsidRPr="006D6727">
        <w:rPr>
          <w:noProof/>
          <w:lang w:val="en-GB"/>
        </w:rPr>
        <w:t>range</w:t>
      </w:r>
      <w:r w:rsidRPr="006D6727">
        <w:rPr>
          <w:noProof/>
          <w:lang w:val="en-GB"/>
        </w:rPr>
        <w:t xml:space="preserve"> </w:t>
      </w:r>
      <w:r w:rsidR="000C1AE9" w:rsidRPr="006D6727">
        <w:rPr>
          <w:noProof/>
          <w:lang w:val="en-GB"/>
        </w:rPr>
        <w:t>116</w:t>
      </w:r>
      <w:r w:rsidRPr="006D6727">
        <w:rPr>
          <w:noProof/>
          <w:lang w:val="en-GB"/>
        </w:rPr>
        <w:t xml:space="preserve"> to </w:t>
      </w:r>
      <w:r w:rsidR="000C1AE9" w:rsidRPr="006D6727">
        <w:rPr>
          <w:noProof/>
          <w:lang w:val="en-GB"/>
        </w:rPr>
        <w:t>148</w:t>
      </w:r>
      <w:r w:rsidR="00CF4994">
        <w:rPr>
          <w:noProof/>
          <w:lang w:val="en-GB"/>
        </w:rPr>
        <w:t>.5</w:t>
      </w:r>
      <w:r w:rsidRPr="006D6727">
        <w:rPr>
          <w:noProof/>
          <w:lang w:val="en-GB"/>
        </w:rPr>
        <w:t> GHz</w:t>
      </w:r>
    </w:p>
    <w:p w14:paraId="1AC25C17" w14:textId="77777777" w:rsidR="00A93F20" w:rsidRPr="00A93F20" w:rsidRDefault="0074674A" w:rsidP="00E7212C">
      <w:pPr>
        <w:jc w:val="center"/>
        <w:rPr>
          <w:lang w:eastAsia="de-DE"/>
        </w:rPr>
      </w:pPr>
      <w:r w:rsidRPr="0074674A">
        <w:rPr>
          <w:noProof/>
          <w:lang w:val="de-DE" w:eastAsia="de-DE"/>
        </w:rPr>
        <w:drawing>
          <wp:inline distT="0" distB="0" distL="0" distR="0" wp14:anchorId="256777B9" wp14:editId="0D68C37C">
            <wp:extent cx="6120765" cy="3352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0765" cy="3352800"/>
                    </a:xfrm>
                    <a:prstGeom prst="rect">
                      <a:avLst/>
                    </a:prstGeom>
                  </pic:spPr>
                </pic:pic>
              </a:graphicData>
            </a:graphic>
          </wp:inline>
        </w:drawing>
      </w:r>
    </w:p>
    <w:p w14:paraId="2D53AE88" w14:textId="42FD6734" w:rsidR="000266A5" w:rsidRPr="006D6727" w:rsidRDefault="000266A5" w:rsidP="000266A5">
      <w:pPr>
        <w:pStyle w:val="Caption"/>
        <w:rPr>
          <w:noProof/>
          <w:lang w:val="en-GB"/>
        </w:rPr>
      </w:pPr>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F49F9">
        <w:rPr>
          <w:noProof/>
          <w:lang w:val="en-GB"/>
        </w:rPr>
        <w:t>77</w:t>
      </w:r>
      <w:r w:rsidR="0028290E" w:rsidRPr="006D6727">
        <w:rPr>
          <w:noProof/>
          <w:lang w:val="en-GB"/>
        </w:rPr>
        <w:fldChar w:fldCharType="end"/>
      </w:r>
      <w:r w:rsidRPr="006D6727">
        <w:rPr>
          <w:noProof/>
          <w:lang w:val="en-GB"/>
        </w:rPr>
        <w:t xml:space="preserve">: Compatibility scheme for the frequency </w:t>
      </w:r>
      <w:r w:rsidR="001E56B1" w:rsidRPr="006D6727">
        <w:rPr>
          <w:noProof/>
          <w:lang w:val="en-GB"/>
        </w:rPr>
        <w:t>range</w:t>
      </w:r>
      <w:r w:rsidRPr="006D6727">
        <w:rPr>
          <w:noProof/>
          <w:lang w:val="en-GB"/>
        </w:rPr>
        <w:t xml:space="preserve"> 1</w:t>
      </w:r>
      <w:r w:rsidR="00B15780" w:rsidRPr="006D6727">
        <w:rPr>
          <w:noProof/>
          <w:lang w:val="en-GB"/>
        </w:rPr>
        <w:t>51</w:t>
      </w:r>
      <w:r w:rsidR="00CF4994">
        <w:rPr>
          <w:noProof/>
          <w:lang w:val="en-GB"/>
        </w:rPr>
        <w:t>.5</w:t>
      </w:r>
      <w:r w:rsidRPr="006D6727">
        <w:rPr>
          <w:noProof/>
          <w:lang w:val="en-GB"/>
        </w:rPr>
        <w:t xml:space="preserve"> to </w:t>
      </w:r>
      <w:r w:rsidR="00B15780" w:rsidRPr="006D6727">
        <w:rPr>
          <w:noProof/>
          <w:lang w:val="en-GB"/>
        </w:rPr>
        <w:t>164</w:t>
      </w:r>
      <w:r w:rsidRPr="006D6727">
        <w:rPr>
          <w:noProof/>
          <w:lang w:val="en-GB"/>
        </w:rPr>
        <w:t> GHz</w:t>
      </w:r>
    </w:p>
    <w:p w14:paraId="7E5B5884" w14:textId="77777777" w:rsidR="005842D2" w:rsidRPr="005842D2" w:rsidRDefault="005842D2" w:rsidP="005842D2">
      <w:pPr>
        <w:rPr>
          <w:lang w:eastAsia="de-DE"/>
        </w:rPr>
      </w:pPr>
      <w:r w:rsidRPr="005842D2">
        <w:rPr>
          <w:noProof/>
          <w:lang w:val="de-DE" w:eastAsia="de-DE"/>
        </w:rPr>
        <w:drawing>
          <wp:inline distT="0" distB="0" distL="0" distR="0" wp14:anchorId="07202645" wp14:editId="7768DDB6">
            <wp:extent cx="6120765" cy="352933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a:ext>
                      </a:extLst>
                    </a:blip>
                    <a:stretch>
                      <a:fillRect/>
                    </a:stretch>
                  </pic:blipFill>
                  <pic:spPr>
                    <a:xfrm>
                      <a:off x="0" y="0"/>
                      <a:ext cx="6120765" cy="3529330"/>
                    </a:xfrm>
                    <a:prstGeom prst="rect">
                      <a:avLst/>
                    </a:prstGeom>
                  </pic:spPr>
                </pic:pic>
              </a:graphicData>
            </a:graphic>
          </wp:inline>
        </w:drawing>
      </w:r>
    </w:p>
    <w:p w14:paraId="115FBA3D" w14:textId="33E1BC35" w:rsidR="004B437B" w:rsidRPr="006D6727" w:rsidRDefault="00D404AF" w:rsidP="00F94D26">
      <w:pPr>
        <w:pStyle w:val="Caption"/>
        <w:rPr>
          <w:noProof/>
          <w:lang w:val="en-GB"/>
        </w:rPr>
      </w:pPr>
      <w:r w:rsidRPr="006D6727">
        <w:rPr>
          <w:noProof/>
          <w:lang w:val="en-GB"/>
        </w:rPr>
        <w:t>Figure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78</w:t>
      </w:r>
      <w:r w:rsidR="00616942" w:rsidRPr="006D6727">
        <w:rPr>
          <w:noProof/>
          <w:lang w:val="en-GB"/>
        </w:rPr>
        <w:fldChar w:fldCharType="end"/>
      </w:r>
      <w:r w:rsidRPr="006D6727">
        <w:rPr>
          <w:noProof/>
          <w:lang w:val="en-GB"/>
        </w:rPr>
        <w:t xml:space="preserve">: </w:t>
      </w:r>
      <w:r w:rsidR="00CF38B1" w:rsidRPr="006D6727">
        <w:rPr>
          <w:noProof/>
          <w:lang w:val="en-GB"/>
        </w:rPr>
        <w:t xml:space="preserve">Compatibility scheme for the frequency </w:t>
      </w:r>
      <w:r w:rsidR="001E56B1" w:rsidRPr="006D6727">
        <w:rPr>
          <w:noProof/>
          <w:lang w:val="en-GB"/>
        </w:rPr>
        <w:t>range</w:t>
      </w:r>
      <w:r w:rsidR="00CF38B1" w:rsidRPr="006D6727">
        <w:rPr>
          <w:noProof/>
          <w:lang w:val="en-GB"/>
        </w:rPr>
        <w:t xml:space="preserve"> </w:t>
      </w:r>
      <w:r w:rsidR="001E56B1" w:rsidRPr="006D6727">
        <w:rPr>
          <w:noProof/>
          <w:lang w:val="en-GB"/>
        </w:rPr>
        <w:t>167</w:t>
      </w:r>
      <w:r w:rsidR="00CF38B1" w:rsidRPr="006D6727">
        <w:rPr>
          <w:noProof/>
          <w:lang w:val="en-GB"/>
        </w:rPr>
        <w:t xml:space="preserve"> to </w:t>
      </w:r>
      <w:r w:rsidR="001E56B1" w:rsidRPr="006D6727">
        <w:rPr>
          <w:noProof/>
          <w:lang w:val="en-GB"/>
        </w:rPr>
        <w:t>190</w:t>
      </w:r>
      <w:r w:rsidR="00CF38B1" w:rsidRPr="006D6727">
        <w:rPr>
          <w:noProof/>
          <w:lang w:val="en-GB"/>
        </w:rPr>
        <w:t> GHz</w:t>
      </w:r>
    </w:p>
    <w:p w14:paraId="20787A6C" w14:textId="77777777" w:rsidR="00D404AF" w:rsidRPr="006D6727" w:rsidRDefault="00A13778" w:rsidP="00D404AF">
      <w:pPr>
        <w:pStyle w:val="ECCFiguregraphcentered"/>
        <w:rPr>
          <w:lang w:val="en-GB"/>
        </w:rPr>
      </w:pPr>
      <w:r w:rsidRPr="006D6727">
        <w:drawing>
          <wp:inline distT="0" distB="0" distL="0" distR="0" wp14:anchorId="0D0E753F" wp14:editId="7EB4BB8A">
            <wp:extent cx="6120765" cy="33909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screen">
                      <a:extLst>
                        <a:ext uri="{28A0092B-C50C-407E-A947-70E740481C1C}">
                          <a14:useLocalDpi xmlns:a14="http://schemas.microsoft.com/office/drawing/2010/main"/>
                        </a:ext>
                      </a:extLst>
                    </a:blip>
                    <a:stretch>
                      <a:fillRect/>
                    </a:stretch>
                  </pic:blipFill>
                  <pic:spPr>
                    <a:xfrm>
                      <a:off x="0" y="0"/>
                      <a:ext cx="6120765" cy="3390900"/>
                    </a:xfrm>
                    <a:prstGeom prst="rect">
                      <a:avLst/>
                    </a:prstGeom>
                  </pic:spPr>
                </pic:pic>
              </a:graphicData>
            </a:graphic>
          </wp:inline>
        </w:drawing>
      </w:r>
    </w:p>
    <w:p w14:paraId="48FD46EB" w14:textId="3370B5E7" w:rsidR="00D404AF" w:rsidRPr="006D6727" w:rsidRDefault="00D404AF" w:rsidP="00CF38B1">
      <w:pPr>
        <w:pStyle w:val="Caption"/>
        <w:rPr>
          <w:noProof/>
          <w:lang w:val="en-GB"/>
        </w:rPr>
      </w:pPr>
      <w:bookmarkStart w:id="407" w:name="_Ref9426568"/>
      <w:r w:rsidRPr="006D6727">
        <w:rPr>
          <w:noProof/>
          <w:lang w:val="en-GB"/>
        </w:rPr>
        <w:t>Figure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79</w:t>
      </w:r>
      <w:r w:rsidR="00616942" w:rsidRPr="006D6727">
        <w:rPr>
          <w:noProof/>
          <w:lang w:val="en-GB"/>
        </w:rPr>
        <w:fldChar w:fldCharType="end"/>
      </w:r>
      <w:bookmarkEnd w:id="407"/>
      <w:r w:rsidRPr="006D6727">
        <w:rPr>
          <w:noProof/>
          <w:lang w:val="en-GB"/>
        </w:rPr>
        <w:t xml:space="preserve">: </w:t>
      </w:r>
      <w:r w:rsidR="00CF38B1" w:rsidRPr="006D6727">
        <w:rPr>
          <w:noProof/>
          <w:lang w:val="en-GB"/>
        </w:rPr>
        <w:t xml:space="preserve">Compatibility scheme for the frequency </w:t>
      </w:r>
      <w:r w:rsidR="001E56B1" w:rsidRPr="006D6727">
        <w:rPr>
          <w:noProof/>
          <w:lang w:val="en-GB"/>
        </w:rPr>
        <w:t>range</w:t>
      </w:r>
      <w:r w:rsidR="00CF38B1" w:rsidRPr="006D6727">
        <w:rPr>
          <w:noProof/>
          <w:lang w:val="en-GB"/>
        </w:rPr>
        <w:t xml:space="preserve"> 231</w:t>
      </w:r>
      <w:r w:rsidR="00CF4994">
        <w:rPr>
          <w:noProof/>
          <w:lang w:val="en-GB"/>
        </w:rPr>
        <w:t>.5</w:t>
      </w:r>
      <w:r w:rsidR="00CF38B1" w:rsidRPr="006D6727">
        <w:rPr>
          <w:noProof/>
          <w:lang w:val="en-GB"/>
        </w:rPr>
        <w:t xml:space="preserve"> to 250 GHz</w:t>
      </w:r>
    </w:p>
    <w:p w14:paraId="37967C5D" w14:textId="77777777" w:rsidR="00EB114C" w:rsidRPr="006D6727" w:rsidRDefault="00EB114C" w:rsidP="00EB79D9">
      <w:pPr>
        <w:pStyle w:val="Heading2"/>
        <w:rPr>
          <w:noProof/>
          <w:lang w:val="en-GB"/>
        </w:rPr>
      </w:pPr>
      <w:bookmarkStart w:id="408" w:name="_Ref20310777"/>
      <w:bookmarkStart w:id="409" w:name="_Toc84325326"/>
      <w:bookmarkStart w:id="410" w:name="_Toc127346258"/>
      <w:r w:rsidRPr="006D6727">
        <w:rPr>
          <w:noProof/>
          <w:lang w:val="en-GB"/>
        </w:rPr>
        <w:t>Interference Scenarios</w:t>
      </w:r>
      <w:bookmarkEnd w:id="408"/>
      <w:bookmarkEnd w:id="409"/>
      <w:bookmarkEnd w:id="410"/>
    </w:p>
    <w:p w14:paraId="232DD135" w14:textId="77777777" w:rsidR="00FD17DC" w:rsidRPr="006D6727" w:rsidRDefault="00FD17DC" w:rsidP="00FD17DC">
      <w:pPr>
        <w:pStyle w:val="Heading3"/>
        <w:rPr>
          <w:noProof/>
          <w:lang w:val="en-GB"/>
        </w:rPr>
      </w:pPr>
      <w:bookmarkStart w:id="411" w:name="_Toc84325327"/>
      <w:bookmarkStart w:id="412" w:name="_Toc127346259"/>
      <w:r w:rsidRPr="006D6727">
        <w:rPr>
          <w:noProof/>
          <w:lang w:val="en-GB"/>
        </w:rPr>
        <w:t>Introduction</w:t>
      </w:r>
      <w:bookmarkEnd w:id="411"/>
      <w:bookmarkEnd w:id="412"/>
    </w:p>
    <w:p w14:paraId="2FBF946E" w14:textId="2F1C4D27" w:rsidR="00FD17DC" w:rsidRPr="006D6727" w:rsidRDefault="00FD17DC" w:rsidP="00FD17DC">
      <w:pPr>
        <w:rPr>
          <w:noProof/>
        </w:rPr>
      </w:pPr>
      <w:r w:rsidRPr="006D6727">
        <w:rPr>
          <w:noProof/>
        </w:rPr>
        <w:t xml:space="preserve">When considering the range of the identified victim services in </w:t>
      </w:r>
      <w:r w:rsidR="009D5FA2">
        <w:rPr>
          <w:rStyle w:val="ECCParagraph"/>
          <w:noProof/>
        </w:rPr>
        <w:t>section</w:t>
      </w:r>
      <w:r w:rsidRPr="006D6727">
        <w:rPr>
          <w:rStyle w:val="ECCParagraph"/>
          <w:noProof/>
        </w:rPr>
        <w:t xml:space="preserve"> </w:t>
      </w:r>
      <w:r w:rsidR="00764217" w:rsidRPr="006D6727">
        <w:rPr>
          <w:rStyle w:val="ECCParagraph"/>
          <w:noProof/>
          <w:highlight w:val="yellow"/>
        </w:rPr>
        <w:fldChar w:fldCharType="begin"/>
      </w:r>
      <w:r w:rsidR="00764217" w:rsidRPr="006D6727">
        <w:rPr>
          <w:rStyle w:val="ECCParagraph"/>
          <w:noProof/>
        </w:rPr>
        <w:instrText xml:space="preserve"> REF _Ref20321120 \r \h </w:instrText>
      </w:r>
      <w:r w:rsidR="00764217" w:rsidRPr="006D6727">
        <w:rPr>
          <w:rStyle w:val="ECCParagraph"/>
          <w:noProof/>
          <w:highlight w:val="yellow"/>
        </w:rPr>
      </w:r>
      <w:r w:rsidR="00764217" w:rsidRPr="006D6727">
        <w:rPr>
          <w:rStyle w:val="ECCParagraph"/>
          <w:noProof/>
          <w:highlight w:val="yellow"/>
        </w:rPr>
        <w:fldChar w:fldCharType="separate"/>
      </w:r>
      <w:r w:rsidR="004F49F9">
        <w:rPr>
          <w:rStyle w:val="ECCParagraph"/>
          <w:noProof/>
        </w:rPr>
        <w:t>3.5</w:t>
      </w:r>
      <w:r w:rsidR="00764217" w:rsidRPr="006D6727">
        <w:rPr>
          <w:rStyle w:val="ECCParagraph"/>
          <w:noProof/>
          <w:highlight w:val="yellow"/>
        </w:rPr>
        <w:fldChar w:fldCharType="end"/>
      </w:r>
      <w:r w:rsidRPr="006D6727">
        <w:rPr>
          <w:noProof/>
        </w:rPr>
        <w:t>, it may be suggested to divide the possible interference scenarios into two categories:</w:t>
      </w:r>
    </w:p>
    <w:p w14:paraId="63ADFFF3" w14:textId="53F4598E" w:rsidR="00FD17DC" w:rsidRPr="006D6727" w:rsidRDefault="00FD17DC" w:rsidP="00FD17DC">
      <w:pPr>
        <w:pStyle w:val="ECCBulletsLv1"/>
        <w:rPr>
          <w:noProof/>
        </w:rPr>
      </w:pPr>
      <w:r w:rsidRPr="006D6727">
        <w:rPr>
          <w:noProof/>
        </w:rPr>
        <w:t>Interference over terrestrial line-of-sight (LOS) paths</w:t>
      </w:r>
      <w:r w:rsidR="000C3B6C">
        <w:rPr>
          <w:noProof/>
        </w:rPr>
        <w:t>;</w:t>
      </w:r>
    </w:p>
    <w:p w14:paraId="2540EBC4" w14:textId="77777777" w:rsidR="00FD17DC" w:rsidRPr="006D6727" w:rsidRDefault="00FD17DC" w:rsidP="00FD17DC">
      <w:pPr>
        <w:pStyle w:val="ECCBulletsLv1"/>
        <w:rPr>
          <w:noProof/>
        </w:rPr>
      </w:pPr>
      <w:r w:rsidRPr="006D6727">
        <w:rPr>
          <w:noProof/>
        </w:rPr>
        <w:t>Interference to spaceborne passive satellite receivers over LOS paths.</w:t>
      </w:r>
    </w:p>
    <w:p w14:paraId="46A1738D" w14:textId="0B83A7FD" w:rsidR="00FD17DC" w:rsidRPr="006D6727" w:rsidRDefault="00FD17DC" w:rsidP="00FD17DC">
      <w:pPr>
        <w:rPr>
          <w:rStyle w:val="ECCParagraph"/>
          <w:noProof/>
        </w:rPr>
      </w:pPr>
      <w:r w:rsidRPr="006D6727">
        <w:rPr>
          <w:rStyle w:val="ECCParagraph"/>
          <w:noProof/>
        </w:rPr>
        <w:t xml:space="preserve">The terrestrial interference scenario where victim station receivers are affected through emissions in horizontal direction along the Earth's surface and the space-based scenario where spaceborne receivers are affected by emissions in vertical or slantwise upward direction can be in turn divided into four different cases, taking into account the three different types of applications defined in </w:t>
      </w:r>
      <w:r w:rsidR="009D5FA2">
        <w:rPr>
          <w:rStyle w:val="ECCParagraph"/>
          <w:noProof/>
        </w:rPr>
        <w:t>section</w:t>
      </w:r>
      <w:r w:rsidR="00764217" w:rsidRPr="006D6727">
        <w:rPr>
          <w:rStyle w:val="ECCParagraph"/>
          <w:noProof/>
        </w:rPr>
        <w:t xml:space="preserve">s </w:t>
      </w:r>
      <w:r w:rsidR="00764217" w:rsidRPr="006D6727">
        <w:rPr>
          <w:rStyle w:val="ECCParagraph"/>
          <w:noProof/>
        </w:rPr>
        <w:fldChar w:fldCharType="begin"/>
      </w:r>
      <w:r w:rsidR="00764217" w:rsidRPr="006D6727">
        <w:rPr>
          <w:rStyle w:val="ECCParagraph"/>
          <w:noProof/>
        </w:rPr>
        <w:instrText xml:space="preserve"> REF _Ref7786850 \r \h </w:instrText>
      </w:r>
      <w:r w:rsidR="00764217" w:rsidRPr="006D6727">
        <w:rPr>
          <w:rStyle w:val="ECCParagraph"/>
          <w:noProof/>
        </w:rPr>
      </w:r>
      <w:r w:rsidR="00764217" w:rsidRPr="006D6727">
        <w:rPr>
          <w:rStyle w:val="ECCParagraph"/>
          <w:noProof/>
        </w:rPr>
        <w:fldChar w:fldCharType="separate"/>
      </w:r>
      <w:r w:rsidR="004F49F9">
        <w:rPr>
          <w:rStyle w:val="ECCParagraph"/>
          <w:noProof/>
        </w:rPr>
        <w:t>2.1</w:t>
      </w:r>
      <w:r w:rsidR="00764217" w:rsidRPr="006D6727">
        <w:rPr>
          <w:rStyle w:val="ECCParagraph"/>
          <w:noProof/>
        </w:rPr>
        <w:fldChar w:fldCharType="end"/>
      </w:r>
      <w:r w:rsidR="00764217" w:rsidRPr="006D6727">
        <w:rPr>
          <w:rStyle w:val="ECCParagraph"/>
          <w:noProof/>
        </w:rPr>
        <w:t xml:space="preserve"> and</w:t>
      </w:r>
      <w:r w:rsidRPr="006D6727">
        <w:rPr>
          <w:rStyle w:val="ECCParagraph"/>
          <w:noProof/>
        </w:rPr>
        <w:t xml:space="preserve"> </w:t>
      </w:r>
      <w:r w:rsidR="00764217" w:rsidRPr="006D6727">
        <w:rPr>
          <w:rStyle w:val="ECCParagraph"/>
          <w:noProof/>
          <w:highlight w:val="yellow"/>
        </w:rPr>
        <w:fldChar w:fldCharType="begin"/>
      </w:r>
      <w:r w:rsidR="00764217" w:rsidRPr="006D6727">
        <w:rPr>
          <w:rStyle w:val="ECCParagraph"/>
          <w:noProof/>
        </w:rPr>
        <w:instrText xml:space="preserve"> REF _Ref20321176 \r \h </w:instrText>
      </w:r>
      <w:r w:rsidR="00764217" w:rsidRPr="006D6727">
        <w:rPr>
          <w:rStyle w:val="ECCParagraph"/>
          <w:noProof/>
          <w:highlight w:val="yellow"/>
        </w:rPr>
      </w:r>
      <w:r w:rsidR="00764217" w:rsidRPr="006D6727">
        <w:rPr>
          <w:rStyle w:val="ECCParagraph"/>
          <w:noProof/>
          <w:highlight w:val="yellow"/>
        </w:rPr>
        <w:fldChar w:fldCharType="separate"/>
      </w:r>
      <w:r w:rsidR="004F49F9">
        <w:rPr>
          <w:rStyle w:val="ECCParagraph"/>
          <w:noProof/>
        </w:rPr>
        <w:t>2.2</w:t>
      </w:r>
      <w:r w:rsidR="00764217" w:rsidRPr="006D6727">
        <w:rPr>
          <w:rStyle w:val="ECCParagraph"/>
          <w:noProof/>
          <w:highlight w:val="yellow"/>
        </w:rPr>
        <w:fldChar w:fldCharType="end"/>
      </w:r>
      <w:r w:rsidRPr="006D6727">
        <w:rPr>
          <w:rStyle w:val="ECCParagraph"/>
          <w:noProof/>
        </w:rPr>
        <w:t>:</w:t>
      </w:r>
    </w:p>
    <w:p w14:paraId="3ADACEA6" w14:textId="56446117" w:rsidR="00FD17DC" w:rsidRPr="006D6727" w:rsidRDefault="00FD17DC" w:rsidP="00FD17DC">
      <w:pPr>
        <w:pStyle w:val="ECCBulletsLv1"/>
        <w:rPr>
          <w:rStyle w:val="ECCParagraph"/>
          <w:noProof/>
        </w:rPr>
      </w:pPr>
      <w:r w:rsidRPr="006D6727">
        <w:rPr>
          <w:rStyle w:val="ECCParagraph"/>
          <w:noProof/>
        </w:rPr>
        <w:t>Direct LOS link between interferer and victim antenna (typical for type A applications)</w:t>
      </w:r>
      <w:r w:rsidR="000C3B6C">
        <w:rPr>
          <w:rStyle w:val="ECCParagraph"/>
          <w:noProof/>
        </w:rPr>
        <w:t>;</w:t>
      </w:r>
    </w:p>
    <w:p w14:paraId="77369BC1" w14:textId="42EAA9C1" w:rsidR="00FD17DC" w:rsidRPr="006D6727" w:rsidRDefault="00FD17DC" w:rsidP="00FD17DC">
      <w:pPr>
        <w:pStyle w:val="ECCBulletsLv1"/>
        <w:rPr>
          <w:rStyle w:val="ECCParagraph"/>
          <w:noProof/>
        </w:rPr>
      </w:pPr>
      <w:r w:rsidRPr="006D6727">
        <w:rPr>
          <w:rStyle w:val="ECCParagraph"/>
          <w:noProof/>
        </w:rPr>
        <w:t>Interference caused by reflections from the measured surface (typical for type B applications)</w:t>
      </w:r>
      <w:r w:rsidR="000C3B6C">
        <w:rPr>
          <w:rStyle w:val="ECCParagraph"/>
          <w:noProof/>
        </w:rPr>
        <w:t>;</w:t>
      </w:r>
      <w:r w:rsidRPr="006D6727">
        <w:rPr>
          <w:rStyle w:val="ECCParagraph"/>
          <w:noProof/>
        </w:rPr>
        <w:t xml:space="preserve"> </w:t>
      </w:r>
    </w:p>
    <w:p w14:paraId="05023912" w14:textId="5A055346" w:rsidR="00FD17DC" w:rsidRPr="006D6727" w:rsidRDefault="00FD17DC" w:rsidP="00FD17DC">
      <w:pPr>
        <w:pStyle w:val="ECCBulletsLv1"/>
        <w:rPr>
          <w:rStyle w:val="ECCParagraph"/>
          <w:noProof/>
        </w:rPr>
      </w:pPr>
      <w:r w:rsidRPr="006D6727">
        <w:rPr>
          <w:rStyle w:val="ECCParagraph"/>
          <w:noProof/>
        </w:rPr>
        <w:t>Interference caused by emissions over antenna side lobes or back lobe (typical for type B; can also occur for type A applications)</w:t>
      </w:r>
      <w:r w:rsidR="000C3B6C">
        <w:rPr>
          <w:rStyle w:val="ECCParagraph"/>
          <w:noProof/>
        </w:rPr>
        <w:t>;</w:t>
      </w:r>
    </w:p>
    <w:p w14:paraId="4154280D" w14:textId="2446AA5A" w:rsidR="00FD17DC" w:rsidRPr="006D6727" w:rsidRDefault="00FD17DC" w:rsidP="00FD17DC">
      <w:pPr>
        <w:pStyle w:val="ECCBulletsLv1"/>
        <w:rPr>
          <w:rStyle w:val="ECCParagraph"/>
          <w:noProof/>
        </w:rPr>
      </w:pPr>
      <w:r w:rsidRPr="006D6727">
        <w:rPr>
          <w:rStyle w:val="ECCParagraph"/>
          <w:noProof/>
        </w:rPr>
        <w:t>Interference caused by leakage from shielded environments in all directions (only applicable for type C applications)</w:t>
      </w:r>
      <w:r w:rsidR="000C3B6C">
        <w:rPr>
          <w:rStyle w:val="ECCParagraph"/>
          <w:noProof/>
        </w:rPr>
        <w:t>.</w:t>
      </w:r>
    </w:p>
    <w:p w14:paraId="5491639F" w14:textId="77777777" w:rsidR="009A4372" w:rsidRPr="006D6727" w:rsidRDefault="009A4372" w:rsidP="009A4372">
      <w:pPr>
        <w:pStyle w:val="Heading3"/>
        <w:rPr>
          <w:noProof/>
          <w:lang w:val="en-GB"/>
        </w:rPr>
      </w:pPr>
      <w:bookmarkStart w:id="413" w:name="_Ref15293384"/>
      <w:bookmarkStart w:id="414" w:name="_Toc84325328"/>
      <w:bookmarkStart w:id="415" w:name="_Toc127346260"/>
      <w:r w:rsidRPr="006D6727">
        <w:rPr>
          <w:noProof/>
          <w:lang w:val="en-GB"/>
        </w:rPr>
        <w:t>Terrestrial interference scenario</w:t>
      </w:r>
      <w:bookmarkEnd w:id="413"/>
      <w:bookmarkEnd w:id="414"/>
      <w:bookmarkEnd w:id="415"/>
    </w:p>
    <w:p w14:paraId="68A7AFFD" w14:textId="77777777" w:rsidR="009A4372" w:rsidRPr="006D6727" w:rsidRDefault="009A4372" w:rsidP="009A4372">
      <w:pPr>
        <w:rPr>
          <w:noProof/>
        </w:rPr>
      </w:pPr>
      <w:r w:rsidRPr="006D6727">
        <w:rPr>
          <w:noProof/>
        </w:rPr>
        <w:t>The scenario where the interference signal propagates along horizontal terrestrial paths near the Earth's surface is probably the most typical case. It is relevant when evaluating the compatibility of devices with the following victim systems:</w:t>
      </w:r>
    </w:p>
    <w:p w14:paraId="041765F7" w14:textId="777943FD" w:rsidR="009A4372" w:rsidRPr="006D6727" w:rsidRDefault="009A4372" w:rsidP="009A4372">
      <w:pPr>
        <w:pStyle w:val="ECCBulletsLv1"/>
        <w:rPr>
          <w:noProof/>
        </w:rPr>
      </w:pPr>
      <w:r w:rsidRPr="006D6727">
        <w:rPr>
          <w:noProof/>
        </w:rPr>
        <w:t>Radio astronomy service (conducted from the Earth's surface)</w:t>
      </w:r>
      <w:r w:rsidR="000C3B6C">
        <w:rPr>
          <w:noProof/>
        </w:rPr>
        <w:t>;</w:t>
      </w:r>
    </w:p>
    <w:p w14:paraId="10AF5B2C" w14:textId="1F5B4C9D" w:rsidR="009A4372" w:rsidRPr="006D6727" w:rsidRDefault="009A4372" w:rsidP="009A4372">
      <w:pPr>
        <w:pStyle w:val="ECCBulletsLv1"/>
        <w:rPr>
          <w:noProof/>
        </w:rPr>
      </w:pPr>
      <w:r w:rsidRPr="006D6727">
        <w:rPr>
          <w:noProof/>
        </w:rPr>
        <w:t xml:space="preserve">Fixed service </w:t>
      </w:r>
      <w:r w:rsidRPr="006D6727">
        <w:rPr>
          <w:rStyle w:val="ECCParagraph"/>
          <w:noProof/>
        </w:rPr>
        <w:t>(e.g. point-to-point (PP) and broadband wireless access (BWA)</w:t>
      </w:r>
      <w:r w:rsidRPr="006D6727">
        <w:rPr>
          <w:noProof/>
        </w:rPr>
        <w:t>)</w:t>
      </w:r>
      <w:r w:rsidR="000C3B6C">
        <w:rPr>
          <w:noProof/>
        </w:rPr>
        <w:t>;</w:t>
      </w:r>
    </w:p>
    <w:p w14:paraId="3249616E" w14:textId="762A8C4A" w:rsidR="009A4372" w:rsidRPr="006D6727" w:rsidRDefault="009A4372" w:rsidP="009A4372">
      <w:pPr>
        <w:pStyle w:val="ECCBulletsLv1"/>
        <w:rPr>
          <w:noProof/>
        </w:rPr>
      </w:pPr>
      <w:r w:rsidRPr="006D6727">
        <w:rPr>
          <w:noProof/>
        </w:rPr>
        <w:t>Amateur service</w:t>
      </w:r>
      <w:r w:rsidR="000C3B6C">
        <w:rPr>
          <w:noProof/>
        </w:rPr>
        <w:t>;</w:t>
      </w:r>
    </w:p>
    <w:p w14:paraId="442B8683" w14:textId="046611B5" w:rsidR="009A4372" w:rsidRPr="006D6727" w:rsidRDefault="009A4372" w:rsidP="009A4372">
      <w:pPr>
        <w:pStyle w:val="ECCBulletsLv1"/>
        <w:rPr>
          <w:noProof/>
        </w:rPr>
      </w:pPr>
      <w:r w:rsidRPr="006D6727">
        <w:rPr>
          <w:noProof/>
        </w:rPr>
        <w:t xml:space="preserve">Non-specific </w:t>
      </w:r>
      <w:r w:rsidR="000C3B6C">
        <w:rPr>
          <w:noProof/>
        </w:rPr>
        <w:t>Short Range Devices</w:t>
      </w:r>
      <w:r w:rsidRPr="006D6727">
        <w:rPr>
          <w:noProof/>
        </w:rPr>
        <w:t>.</w:t>
      </w:r>
    </w:p>
    <w:p w14:paraId="54D4295A" w14:textId="77777777" w:rsidR="00EB114C" w:rsidRPr="006D6727" w:rsidRDefault="00EB114C" w:rsidP="00EB114C">
      <w:pPr>
        <w:rPr>
          <w:noProof/>
        </w:rPr>
      </w:pPr>
    </w:p>
    <w:p w14:paraId="6A4352C3" w14:textId="77777777" w:rsidR="009A4372" w:rsidRPr="006D6727" w:rsidRDefault="009A4372" w:rsidP="009A4372">
      <w:pPr>
        <w:pStyle w:val="ECCBulletsLv1"/>
        <w:numPr>
          <w:ilvl w:val="0"/>
          <w:numId w:val="0"/>
        </w:numPr>
        <w:ind w:left="340" w:hanging="340"/>
        <w:rPr>
          <w:rStyle w:val="ECCHLbold"/>
          <w:noProof/>
        </w:rPr>
      </w:pPr>
      <w:r w:rsidRPr="006D6727">
        <w:rPr>
          <w:rStyle w:val="ECCHLbold"/>
          <w:noProof/>
        </w:rPr>
        <w:t>MCL-based calculation method for terrestrial interference paths</w:t>
      </w:r>
    </w:p>
    <w:p w14:paraId="33CAE05A" w14:textId="77777777" w:rsidR="009A4372" w:rsidRPr="006D6727" w:rsidRDefault="009A4372" w:rsidP="009A4372">
      <w:pPr>
        <w:pStyle w:val="ECCBulletsLv1"/>
        <w:numPr>
          <w:ilvl w:val="0"/>
          <w:numId w:val="0"/>
        </w:numPr>
        <w:ind w:left="340" w:hanging="340"/>
        <w:rPr>
          <w:rStyle w:val="ECCHLyellow"/>
          <w:noProof/>
        </w:rPr>
      </w:pPr>
    </w:p>
    <w:p w14:paraId="090DAA8D" w14:textId="77777777" w:rsidR="009A4372" w:rsidRPr="006D6727" w:rsidRDefault="009A4372" w:rsidP="009A4372">
      <w:pPr>
        <w:pStyle w:val="ECCBulletsLv1"/>
        <w:numPr>
          <w:ilvl w:val="0"/>
          <w:numId w:val="0"/>
        </w:numPr>
        <w:ind w:left="340" w:hanging="340"/>
        <w:rPr>
          <w:rStyle w:val="ECCHLunderlined"/>
          <w:noProof/>
        </w:rPr>
      </w:pPr>
      <w:r w:rsidRPr="006D6727">
        <w:rPr>
          <w:rStyle w:val="ECCHLunderlined"/>
          <w:noProof/>
        </w:rPr>
        <w:t>Step 1: Evaluation of the noise floor and maximum permissible interference power level at the victim receiver</w:t>
      </w:r>
    </w:p>
    <w:p w14:paraId="6C548C22" w14:textId="77777777" w:rsidR="009A4372" w:rsidRPr="006D6727" w:rsidRDefault="009A4372" w:rsidP="009A4372">
      <w:pPr>
        <w:pStyle w:val="ECCBulletsLv1"/>
        <w:numPr>
          <w:ilvl w:val="0"/>
          <w:numId w:val="0"/>
        </w:numPr>
        <w:ind w:left="340" w:hanging="340"/>
        <w:rPr>
          <w:rStyle w:val="ECCParagraph"/>
          <w:noProof/>
        </w:rPr>
      </w:pPr>
      <w:r w:rsidRPr="006D6727">
        <w:rPr>
          <w:rStyle w:val="ECCParagraph"/>
          <w:noProof/>
        </w:rPr>
        <w:t>The evaluation of a receiver's noise floor is obtained by applying the fundamental equation of thermal noise: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035002C2" w14:textId="77777777" w:rsidTr="00A3777E">
        <w:tc>
          <w:tcPr>
            <w:tcW w:w="4761" w:type="pct"/>
          </w:tcPr>
          <w:p w14:paraId="60A73E45" w14:textId="14451423" w:rsidR="00034148" w:rsidRPr="00144C97" w:rsidRDefault="00A3777E" w:rsidP="008A2884">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noProof/>
                  </w:rPr>
                  <m:t>N=kBT</m:t>
                </m:r>
              </m:oMath>
            </m:oMathPara>
          </w:p>
        </w:tc>
        <w:tc>
          <w:tcPr>
            <w:tcW w:w="239" w:type="pct"/>
          </w:tcPr>
          <w:p w14:paraId="0B0CC0E0" w14:textId="1055CE88"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4</w:t>
            </w:r>
            <w:r>
              <w:fldChar w:fldCharType="end"/>
            </w:r>
            <w:r>
              <w:t>)</w:t>
            </w:r>
          </w:p>
        </w:tc>
      </w:tr>
    </w:tbl>
    <w:p w14:paraId="59953DB0" w14:textId="77777777" w:rsidR="009A4372" w:rsidRPr="006D6727" w:rsidRDefault="009A4372" w:rsidP="009A4372">
      <w:pPr>
        <w:pStyle w:val="ECCBulletsLv1"/>
        <w:numPr>
          <w:ilvl w:val="0"/>
          <w:numId w:val="0"/>
        </w:numPr>
        <w:ind w:left="340" w:hanging="340"/>
        <w:rPr>
          <w:rStyle w:val="ECCParagraph"/>
          <w:noProof/>
        </w:rPr>
      </w:pPr>
      <w:r w:rsidRPr="006D6727">
        <w:rPr>
          <w:rStyle w:val="ECCParagraph"/>
          <w:noProof/>
        </w:rPr>
        <w:t>where:</w:t>
      </w:r>
    </w:p>
    <w:p w14:paraId="4D6C7F66" w14:textId="71E9F313" w:rsidR="009A4372" w:rsidRPr="006D6727" w:rsidRDefault="009A4372" w:rsidP="00A3777E">
      <w:pPr>
        <w:pStyle w:val="ECCBulletsLv1"/>
        <w:rPr>
          <w:rStyle w:val="ECCParagraph"/>
          <w:noProof/>
        </w:rPr>
      </w:pPr>
      <m:oMath>
        <m:r>
          <w:rPr>
            <w:rStyle w:val="ECCParagraph"/>
            <w:rFonts w:ascii="Cambria Math" w:hAnsi="Cambria Math"/>
            <w:noProof/>
          </w:rPr>
          <m:t>N-</m:t>
        </m:r>
      </m:oMath>
      <w:r w:rsidRPr="006D6727">
        <w:rPr>
          <w:rStyle w:val="ECCParagraph"/>
          <w:noProof/>
        </w:rPr>
        <w:t xml:space="preserve"> noise power in W</w:t>
      </w:r>
      <w:r w:rsidR="009D708E">
        <w:rPr>
          <w:rStyle w:val="ECCParagraph"/>
          <w:noProof/>
        </w:rPr>
        <w:t>;</w:t>
      </w:r>
    </w:p>
    <w:p w14:paraId="56604C90" w14:textId="2EF3B8CC" w:rsidR="009A4372" w:rsidRPr="00C240BC" w:rsidRDefault="009A4372" w:rsidP="00A3777E">
      <w:pPr>
        <w:pStyle w:val="ECCBulletsLv1"/>
        <w:rPr>
          <w:rStyle w:val="ECCParagraph"/>
          <w:noProof/>
          <w:lang w:val="fr-FR"/>
        </w:rPr>
      </w:pPr>
      <m:oMath>
        <m:r>
          <w:rPr>
            <w:rStyle w:val="ECCParagraph"/>
            <w:rFonts w:ascii="Cambria Math" w:hAnsi="Cambria Math"/>
            <w:noProof/>
          </w:rPr>
          <m:t>k</m:t>
        </m:r>
        <m:r>
          <w:rPr>
            <w:rStyle w:val="ECCParagraph"/>
            <w:rFonts w:ascii="Cambria Math" w:hAnsi="Cambria Math"/>
            <w:noProof/>
            <w:lang w:val="fr-FR"/>
          </w:rPr>
          <m:t>-</m:t>
        </m:r>
      </m:oMath>
      <w:r w:rsidRPr="00C240BC">
        <w:rPr>
          <w:rStyle w:val="ECCParagraph"/>
          <w:noProof/>
          <w:lang w:val="fr-FR"/>
        </w:rPr>
        <w:t xml:space="preserve"> Boltzmann constant, </w:t>
      </w:r>
      <m:oMath>
        <m:r>
          <w:rPr>
            <w:rStyle w:val="ECCParagraph"/>
            <w:rFonts w:ascii="Cambria Math" w:hAnsi="Cambria Math"/>
            <w:noProof/>
            <w:lang w:val="fr-FR"/>
          </w:rPr>
          <m:t xml:space="preserve">1.381 ∙ </m:t>
        </m:r>
        <m:sSup>
          <m:sSupPr>
            <m:ctrlPr>
              <w:rPr>
                <w:rStyle w:val="ECCParagraph"/>
                <w:rFonts w:ascii="Cambria Math" w:hAnsi="Cambria Math"/>
                <w:noProof/>
              </w:rPr>
            </m:ctrlPr>
          </m:sSupPr>
          <m:e>
            <m:r>
              <w:rPr>
                <w:rStyle w:val="ECCParagraph"/>
                <w:rFonts w:ascii="Cambria Math" w:hAnsi="Cambria Math"/>
                <w:noProof/>
                <w:lang w:val="fr-FR"/>
              </w:rPr>
              <m:t>10</m:t>
            </m:r>
          </m:e>
          <m:sup>
            <m:r>
              <w:rPr>
                <w:rStyle w:val="ECCParagraph"/>
                <w:rFonts w:ascii="Cambria Math" w:hAnsi="Cambria Math"/>
                <w:noProof/>
                <w:lang w:val="fr-FR"/>
              </w:rPr>
              <m:t>-23</m:t>
            </m:r>
          </m:sup>
        </m:sSup>
        <m:r>
          <w:rPr>
            <w:rStyle w:val="ECCParagraph"/>
            <w:rFonts w:ascii="Cambria Math" w:hAnsi="Cambria Math"/>
            <w:noProof/>
            <w:lang w:val="fr-FR"/>
          </w:rPr>
          <m:t xml:space="preserve"> </m:t>
        </m:r>
        <m:f>
          <m:fPr>
            <m:type m:val="skw"/>
            <m:ctrlPr>
              <w:rPr>
                <w:rStyle w:val="ECCParagraph"/>
                <w:rFonts w:ascii="Cambria Math" w:hAnsi="Cambria Math"/>
                <w:noProof/>
              </w:rPr>
            </m:ctrlPr>
          </m:fPr>
          <m:num>
            <m:r>
              <w:rPr>
                <w:rStyle w:val="ECCParagraph"/>
                <w:rFonts w:ascii="Cambria Math" w:hAnsi="Cambria Math"/>
                <w:noProof/>
              </w:rPr>
              <m:t>J</m:t>
            </m:r>
          </m:num>
          <m:den>
            <m:r>
              <w:rPr>
                <w:rStyle w:val="ECCParagraph"/>
                <w:rFonts w:ascii="Cambria Math" w:hAnsi="Cambria Math"/>
                <w:noProof/>
              </w:rPr>
              <m:t>K</m:t>
            </m:r>
          </m:den>
        </m:f>
        <m:r>
          <w:rPr>
            <w:rStyle w:val="ECCParagraph"/>
            <w:rFonts w:ascii="Cambria Math" w:hAnsi="Cambria Math"/>
            <w:noProof/>
          </w:rPr>
          <m:t>;</m:t>
        </m:r>
      </m:oMath>
    </w:p>
    <w:p w14:paraId="4766085A" w14:textId="570D43A7" w:rsidR="009A4372" w:rsidRPr="003A5613" w:rsidRDefault="009A4372" w:rsidP="00A3777E">
      <w:pPr>
        <w:pStyle w:val="ECCBulletsLv1"/>
        <w:rPr>
          <w:rStyle w:val="ECCParagraph"/>
          <w:noProof/>
        </w:rPr>
      </w:pPr>
      <m:oMath>
        <m:r>
          <w:rPr>
            <w:rStyle w:val="ECCParagraph"/>
            <w:rFonts w:ascii="Cambria Math" w:hAnsi="Cambria Math"/>
            <w:noProof/>
          </w:rPr>
          <m:t>B-</m:t>
        </m:r>
      </m:oMath>
      <w:r w:rsidRPr="003A5613">
        <w:rPr>
          <w:rStyle w:val="ECCParagraph"/>
          <w:noProof/>
        </w:rPr>
        <w:t xml:space="preserve"> bandwidth in Hz</w:t>
      </w:r>
      <w:r w:rsidR="009D708E">
        <w:rPr>
          <w:rStyle w:val="ECCParagraph"/>
          <w:noProof/>
        </w:rPr>
        <w:t>;</w:t>
      </w:r>
    </w:p>
    <w:p w14:paraId="305B4EF2" w14:textId="54FBD4DE" w:rsidR="009A4372" w:rsidRPr="003A5613" w:rsidRDefault="009A4372" w:rsidP="00A3777E">
      <w:pPr>
        <w:pStyle w:val="ECCBulletsLv1"/>
        <w:rPr>
          <w:rStyle w:val="ECCParagraph"/>
          <w:noProof/>
        </w:rPr>
      </w:pPr>
      <m:oMath>
        <m:r>
          <w:rPr>
            <w:rStyle w:val="ECCParagraph"/>
            <w:rFonts w:ascii="Cambria Math" w:hAnsi="Cambria Math"/>
            <w:noProof/>
          </w:rPr>
          <m:t>T-</m:t>
        </m:r>
      </m:oMath>
      <w:r w:rsidRPr="003A5613">
        <w:rPr>
          <w:rStyle w:val="ECCParagraph"/>
          <w:noProof/>
        </w:rPr>
        <w:t xml:space="preserve"> noise temperature in K</w:t>
      </w:r>
      <w:r w:rsidR="009D708E">
        <w:rPr>
          <w:rStyle w:val="ECCParagraph"/>
          <w:noProof/>
        </w:rPr>
        <w:t>.</w:t>
      </w:r>
    </w:p>
    <w:p w14:paraId="39F0631F" w14:textId="77777777" w:rsidR="009A4372" w:rsidRPr="003A5613" w:rsidRDefault="009A4372" w:rsidP="009A4372">
      <w:pPr>
        <w:pStyle w:val="ECCBulletsLv1"/>
        <w:numPr>
          <w:ilvl w:val="0"/>
          <w:numId w:val="0"/>
        </w:numPr>
        <w:ind w:left="340" w:hanging="340"/>
        <w:rPr>
          <w:rStyle w:val="ECCParagraph"/>
          <w:noProof/>
        </w:rPr>
      </w:pPr>
    </w:p>
    <w:p w14:paraId="5617617F" w14:textId="77777777" w:rsidR="009A4372" w:rsidRPr="006D6727" w:rsidRDefault="009A4372" w:rsidP="009A4372">
      <w:pPr>
        <w:pStyle w:val="ECCBulletsLv1"/>
        <w:numPr>
          <w:ilvl w:val="0"/>
          <w:numId w:val="0"/>
        </w:numPr>
        <w:ind w:left="340" w:hanging="340"/>
        <w:rPr>
          <w:rStyle w:val="ECCParagraph"/>
          <w:noProof/>
        </w:rPr>
      </w:pPr>
      <w:bookmarkStart w:id="416" w:name="_Toc12518282"/>
      <w:r w:rsidRPr="006D6727">
        <w:rPr>
          <w:rStyle w:val="ECCParagraph"/>
          <w:noProof/>
        </w:rPr>
        <w:t>If the victim receiver's noise is given by the noise figure (</w:t>
      </w:r>
      <m:oMath>
        <m:r>
          <w:rPr>
            <w:rStyle w:val="ECCParagraph"/>
            <w:rFonts w:ascii="Cambria Math" w:hAnsi="Cambria Math"/>
            <w:noProof/>
          </w:rPr>
          <m:t>NF</m:t>
        </m:r>
      </m:oMath>
      <w:r w:rsidRPr="006D6727">
        <w:rPr>
          <w:rStyle w:val="ECCParagraph"/>
          <w:noProof/>
        </w:rPr>
        <w:t>) the equation above can be rearranged to:</w:t>
      </w:r>
    </w:p>
    <w:p w14:paraId="5A0418AE" w14:textId="604FBC55" w:rsidR="009A4372" w:rsidRDefault="009A4372" w:rsidP="009A4372">
      <w:pPr>
        <w:pStyle w:val="ECCBulletsLv1"/>
        <w:numPr>
          <w:ilvl w:val="0"/>
          <w:numId w:val="0"/>
        </w:numPr>
        <w:ind w:left="340" w:hanging="340"/>
        <w:rPr>
          <w:rStyle w:val="ECCParagraph"/>
          <w:noProof/>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A3777E" w14:paraId="22FBF984" w14:textId="77777777" w:rsidTr="008A2884">
        <w:tc>
          <w:tcPr>
            <w:tcW w:w="4761" w:type="pct"/>
          </w:tcPr>
          <w:p w14:paraId="74B939AC" w14:textId="2F909A48" w:rsidR="00A3777E" w:rsidRPr="00144C97" w:rsidRDefault="00E55534"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N</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dBm</m:t>
                    </m:r>
                  </m:e>
                </m:d>
                <m:r>
                  <w:rPr>
                    <w:rStyle w:val="ECCParagraph"/>
                    <w:rFonts w:ascii="Cambria Math" w:hAnsi="Cambria Math"/>
                    <w:noProof/>
                  </w:rPr>
                  <m:t>=-113.83 dBm+10∙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MHz</m:t>
                        </m:r>
                      </m:e>
                    </m:d>
                  </m:e>
                </m:d>
                <m:r>
                  <w:rPr>
                    <w:rStyle w:val="ECCParagraph"/>
                    <w:rFonts w:ascii="Cambria Math" w:hAnsi="Cambria Math"/>
                    <w:noProof/>
                  </w:rPr>
                  <m:t xml:space="preserve">+NF </m:t>
                </m:r>
                <m:d>
                  <m:dPr>
                    <m:begChr m:val="["/>
                    <m:endChr m:val="]"/>
                    <m:ctrlPr>
                      <w:rPr>
                        <w:rStyle w:val="ECCParagraph"/>
                        <w:rFonts w:ascii="Cambria Math" w:hAnsi="Cambria Math"/>
                        <w:noProof/>
                      </w:rPr>
                    </m:ctrlPr>
                  </m:dPr>
                  <m:e>
                    <m:r>
                      <w:rPr>
                        <w:rStyle w:val="ECCParagraph"/>
                        <w:rFonts w:ascii="Cambria Math" w:hAnsi="Cambria Math"/>
                        <w:noProof/>
                      </w:rPr>
                      <m:t>dB</m:t>
                    </m:r>
                  </m:e>
                </m:d>
              </m:oMath>
            </m:oMathPara>
          </w:p>
        </w:tc>
        <w:tc>
          <w:tcPr>
            <w:tcW w:w="239" w:type="pct"/>
          </w:tcPr>
          <w:p w14:paraId="00E66D4E" w14:textId="6F54AE37" w:rsidR="00A3777E" w:rsidRDefault="00A3777E"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5</w:t>
            </w:r>
            <w:r>
              <w:fldChar w:fldCharType="end"/>
            </w:r>
            <w:r>
              <w:t>)</w:t>
            </w:r>
          </w:p>
        </w:tc>
      </w:tr>
    </w:tbl>
    <w:p w14:paraId="7B78D573" w14:textId="77777777" w:rsidR="009A4372" w:rsidRPr="006D6727" w:rsidRDefault="009A4372" w:rsidP="009A4372">
      <w:pPr>
        <w:rPr>
          <w:rStyle w:val="ECCParagraph"/>
          <w:noProof/>
        </w:rPr>
      </w:pPr>
      <w:r w:rsidRPr="006D6727">
        <w:rPr>
          <w:rStyle w:val="ECCParagraph"/>
          <w:noProof/>
        </w:rPr>
        <w:t>It should be noted that the equation above requires a receiver input termination on standard noise temperature of 290 K.</w:t>
      </w:r>
    </w:p>
    <w:p w14:paraId="65A183CD" w14:textId="77777777" w:rsidR="009A4372" w:rsidRPr="006D6727" w:rsidRDefault="009A4372" w:rsidP="009A4372">
      <w:pPr>
        <w:pStyle w:val="ECCBulletsLv1"/>
        <w:numPr>
          <w:ilvl w:val="0"/>
          <w:numId w:val="0"/>
        </w:numPr>
        <w:ind w:left="340" w:hanging="340"/>
        <w:rPr>
          <w:rStyle w:val="ECCParagraph"/>
          <w:noProof/>
        </w:rPr>
      </w:pPr>
      <w:r w:rsidRPr="006D6727">
        <w:rPr>
          <w:rStyle w:val="ECCParagraph"/>
          <w:noProof/>
        </w:rPr>
        <w:t xml:space="preserve">If the victim receiver's noise is given by the system noise temperature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s</m:t>
            </m:r>
          </m:sub>
        </m:sSub>
        <m:r>
          <w:rPr>
            <w:rStyle w:val="ECCParagraph"/>
            <w:rFonts w:ascii="Cambria Math" w:hAnsi="Cambria Math"/>
            <w:noProof/>
          </w:rPr>
          <m:t xml:space="preserve"> </m:t>
        </m:r>
      </m:oMath>
      <w:r w:rsidRPr="006D6727">
        <w:rPr>
          <w:rStyle w:val="ECCParagraph"/>
          <w:noProof/>
        </w:rPr>
        <w:t>the following equation applies:</w:t>
      </w:r>
    </w:p>
    <w:p w14:paraId="004A4663" w14:textId="5E32F653" w:rsidR="009A4372" w:rsidRDefault="009A4372" w:rsidP="009A4372">
      <w:pPr>
        <w:pStyle w:val="ECCBulletsLv1"/>
        <w:numPr>
          <w:ilvl w:val="0"/>
          <w:numId w:val="0"/>
        </w:numPr>
        <w:ind w:left="340" w:hanging="340"/>
        <w:rPr>
          <w:rStyle w:val="ECCParagraph"/>
          <w:noProof/>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5F973D5B" w14:textId="77777777" w:rsidTr="008A2884">
        <w:tc>
          <w:tcPr>
            <w:tcW w:w="4761" w:type="pct"/>
          </w:tcPr>
          <w:p w14:paraId="6E5F379D" w14:textId="5801FFF5" w:rsidR="00034148" w:rsidRPr="00144C97" w:rsidRDefault="00E55534"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N</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dBm</m:t>
                    </m:r>
                  </m:e>
                </m:d>
                <m:r>
                  <w:rPr>
                    <w:rStyle w:val="ECCParagraph"/>
                    <w:rFonts w:ascii="Cambria Math" w:hAnsi="Cambria Math"/>
                    <w:noProof/>
                  </w:rPr>
                  <m:t>=-138.60 dBm+10∙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MHz</m:t>
                        </m:r>
                      </m:e>
                    </m:d>
                  </m:e>
                </m:d>
                <m:r>
                  <w:rPr>
                    <w:rStyle w:val="ECCParagraph"/>
                    <w:rFonts w:ascii="Cambria Math" w:hAnsi="Cambria Math"/>
                    <w:noProof/>
                  </w:rPr>
                  <m:t>+10∙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S</m:t>
                        </m:r>
                      </m:sub>
                    </m:sSub>
                  </m:e>
                </m:d>
                <m:d>
                  <m:dPr>
                    <m:begChr m:val="["/>
                    <m:endChr m:val="]"/>
                    <m:ctrlPr>
                      <w:rPr>
                        <w:rStyle w:val="ECCParagraph"/>
                        <w:rFonts w:ascii="Cambria Math" w:hAnsi="Cambria Math"/>
                        <w:noProof/>
                      </w:rPr>
                    </m:ctrlPr>
                  </m:dPr>
                  <m:e>
                    <m:r>
                      <w:rPr>
                        <w:rStyle w:val="ECCParagraph"/>
                        <w:rFonts w:ascii="Cambria Math" w:hAnsi="Cambria Math"/>
                        <w:noProof/>
                      </w:rPr>
                      <m:t>K</m:t>
                    </m:r>
                  </m:e>
                </m:d>
              </m:oMath>
            </m:oMathPara>
          </w:p>
        </w:tc>
        <w:tc>
          <w:tcPr>
            <w:tcW w:w="239" w:type="pct"/>
          </w:tcPr>
          <w:p w14:paraId="55E57A72" w14:textId="0F7EDB13"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6</w:t>
            </w:r>
            <w:r>
              <w:fldChar w:fldCharType="end"/>
            </w:r>
            <w:r>
              <w:t>)</w:t>
            </w:r>
          </w:p>
        </w:tc>
      </w:tr>
    </w:tbl>
    <w:p w14:paraId="6420A97D" w14:textId="77777777" w:rsidR="00034148" w:rsidRPr="006D6727" w:rsidRDefault="00034148" w:rsidP="009A4372">
      <w:pPr>
        <w:pStyle w:val="ECCBulletsLv1"/>
        <w:numPr>
          <w:ilvl w:val="0"/>
          <w:numId w:val="0"/>
        </w:numPr>
        <w:ind w:left="340" w:hanging="340"/>
        <w:rPr>
          <w:rStyle w:val="ECCParagraph"/>
          <w:noProof/>
        </w:rPr>
      </w:pPr>
    </w:p>
    <w:p w14:paraId="1480273A" w14:textId="77777777" w:rsidR="009A4372" w:rsidRPr="006D6727" w:rsidRDefault="009A4372" w:rsidP="00755979">
      <w:pPr>
        <w:pStyle w:val="ECCTabletext"/>
        <w:rPr>
          <w:rStyle w:val="ECCParagraph"/>
          <w:noProof/>
        </w:rPr>
      </w:pPr>
      <w:r w:rsidRPr="006D6727">
        <w:rPr>
          <w:rStyle w:val="ECCParagraph"/>
          <w:noProof/>
        </w:rPr>
        <w:t xml:space="preserve">The </w:t>
      </w:r>
      <w:bookmarkStart w:id="417" w:name="_Hlk14089718"/>
      <w:r w:rsidRPr="006D6727">
        <w:rPr>
          <w:rStyle w:val="ECCParagraph"/>
          <w:noProof/>
        </w:rPr>
        <w:t xml:space="preserve">maximum permissible interference power </w:t>
      </w:r>
      <w:bookmarkEnd w:id="417"/>
      <w:r w:rsidRPr="006D6727">
        <w:rPr>
          <w:rStyle w:val="ECCParagraph"/>
          <w:noProof/>
        </w:rPr>
        <w:t xml:space="preserve">level </w:t>
      </w: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oMath>
      <w:r w:rsidRPr="006D6727">
        <w:rPr>
          <w:rStyle w:val="ECCParagraph"/>
          <w:noProof/>
        </w:rPr>
        <w:t xml:space="preserve"> at the victim system in front of the receiving antenna is obtained by taking into account the given </w:t>
      </w:r>
      <m:oMath>
        <m:f>
          <m:fPr>
            <m:type m:val="lin"/>
            <m:ctrlPr>
              <w:rPr>
                <w:rStyle w:val="ECCParagraph"/>
                <w:rFonts w:ascii="Cambria Math" w:hAnsi="Cambria Math"/>
                <w:noProof/>
              </w:rPr>
            </m:ctrlPr>
          </m:fPr>
          <m:num>
            <m:r>
              <w:rPr>
                <w:rStyle w:val="ECCParagraph"/>
                <w:rFonts w:ascii="Cambria Math" w:hAnsi="Cambria Math"/>
                <w:noProof/>
              </w:rPr>
              <m:t>I</m:t>
            </m:r>
          </m:num>
          <m:den>
            <m:r>
              <w:rPr>
                <w:rStyle w:val="ECCParagraph"/>
                <w:rFonts w:ascii="Cambria Math" w:hAnsi="Cambria Math"/>
                <w:noProof/>
              </w:rPr>
              <m:t>N</m:t>
            </m:r>
          </m:den>
        </m:f>
      </m:oMath>
      <w:r w:rsidRPr="006D6727">
        <w:rPr>
          <w:rStyle w:val="ECCParagraph"/>
          <w:noProof/>
        </w:rPr>
        <w:t xml:space="preserve"> threshold (protection criterion), the gain of the receiving antenna </w:t>
      </w:r>
      <m:oMath>
        <m:sSubSup>
          <m:sSubSupPr>
            <m:ctrlPr>
              <w:rPr>
                <w:rStyle w:val="ECCParagraph"/>
                <w:rFonts w:ascii="Cambria Math" w:hAnsi="Cambria Math"/>
                <w:noProof/>
              </w:rPr>
            </m:ctrlPr>
          </m:sSubSupPr>
          <m:e>
            <m:r>
              <w:rPr>
                <w:rStyle w:val="ECCParagraph"/>
                <w:rFonts w:ascii="Cambria Math" w:hAnsi="Cambria Math"/>
                <w:noProof/>
              </w:rPr>
              <m:t>G</m:t>
            </m:r>
          </m:e>
          <m:sub>
            <m:r>
              <w:rPr>
                <w:rStyle w:val="ECCParagraph"/>
                <w:rFonts w:ascii="Cambria Math" w:hAnsi="Cambria Math"/>
                <w:noProof/>
              </w:rPr>
              <m:t>a</m:t>
            </m:r>
          </m:sub>
          <m:sup>
            <m:r>
              <w:rPr>
                <w:rStyle w:val="ECCParagraph"/>
                <w:rFonts w:ascii="Cambria Math" w:hAnsi="Cambria Math"/>
                <w:noProof/>
              </w:rPr>
              <m:t>Rx</m:t>
            </m:r>
          </m:sup>
        </m:sSubSup>
      </m:oMath>
      <w:r w:rsidRPr="006D6727">
        <w:rPr>
          <w:rStyle w:val="ECCParagraph"/>
          <w:noProof/>
        </w:rPr>
        <w:t xml:space="preserve"> and possible feeder losses </w:t>
      </w:r>
      <m:oMath>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feeder</m:t>
            </m:r>
          </m:sub>
        </m:sSub>
      </m:oMath>
      <w:r w:rsidRPr="006D6727">
        <w:rPr>
          <w:rStyle w:val="ECCParagraph"/>
          <w:noProof/>
        </w:rPr>
        <w:t xml:space="preserve"> and additional losses in the atmosphere </w:t>
      </w:r>
      <m:oMath>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oMath>
      <w:r w:rsidRPr="006D6727">
        <w:rPr>
          <w:rStyle w:val="ECCParagraph"/>
          <w:noProof/>
        </w:rPr>
        <w:t xml:space="preserve"> for the terrestrial case along horizontal or slightly inclined paths close to the Earth's surface caused by atmospheric gases: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63C7AD2D" w14:textId="77777777" w:rsidTr="008A2884">
        <w:tc>
          <w:tcPr>
            <w:tcW w:w="4761" w:type="pct"/>
          </w:tcPr>
          <w:p w14:paraId="46F3F8D1" w14:textId="7B640A5B" w:rsidR="00034148" w:rsidRPr="00144C97" w:rsidRDefault="00E55534"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d>
                  <m:dPr>
                    <m:begChr m:val="["/>
                    <m:endChr m:val="]"/>
                    <m:ctrlPr>
                      <w:rPr>
                        <w:rStyle w:val="ECCParagraph"/>
                        <w:rFonts w:ascii="Cambria Math" w:hAnsi="Cambria Math"/>
                        <w:noProof/>
                      </w:rPr>
                    </m:ctrlPr>
                  </m:dPr>
                  <m:e>
                    <m:r>
                      <w:rPr>
                        <w:rStyle w:val="ECCParagraph"/>
                        <w:rFonts w:ascii="Cambria Math" w:hAnsi="Cambria Math"/>
                        <w:noProof/>
                      </w:rPr>
                      <m:t>dBm</m:t>
                    </m:r>
                  </m:e>
                </m:d>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N</m:t>
                    </m:r>
                  </m:e>
                  <m:sub>
                    <m:r>
                      <w:rPr>
                        <w:rStyle w:val="ECCParagraph"/>
                        <w:rFonts w:ascii="Cambria Math" w:hAnsi="Cambria Math"/>
                        <w:noProof/>
                      </w:rPr>
                      <m:t>Rx</m:t>
                    </m:r>
                  </m:sub>
                </m:sSub>
                <m:r>
                  <w:rPr>
                    <w:rStyle w:val="ECCParagraph"/>
                    <w:rFonts w:ascii="Cambria Math" w:hAnsi="Cambria Math"/>
                    <w:noProof/>
                  </w:rPr>
                  <m:t>+</m:t>
                </m:r>
                <m:f>
                  <m:fPr>
                    <m:type m:val="skw"/>
                    <m:ctrlPr>
                      <w:rPr>
                        <w:rStyle w:val="ECCParagraph"/>
                        <w:rFonts w:ascii="Cambria Math" w:hAnsi="Cambria Math"/>
                        <w:noProof/>
                      </w:rPr>
                    </m:ctrlPr>
                  </m:fPr>
                  <m:num>
                    <m:r>
                      <w:rPr>
                        <w:rStyle w:val="ECCParagraph"/>
                        <w:rFonts w:ascii="Cambria Math" w:hAnsi="Cambria Math"/>
                        <w:noProof/>
                      </w:rPr>
                      <m:t>I</m:t>
                    </m:r>
                  </m:num>
                  <m:den>
                    <m:r>
                      <w:rPr>
                        <w:rStyle w:val="ECCParagraph"/>
                        <w:rFonts w:ascii="Cambria Math" w:hAnsi="Cambria Math"/>
                        <w:noProof/>
                      </w:rPr>
                      <m:t>N</m:t>
                    </m:r>
                  </m:den>
                </m:f>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G</m:t>
                    </m:r>
                  </m:e>
                  <m:sub>
                    <m:r>
                      <w:rPr>
                        <w:rStyle w:val="ECCParagraph"/>
                        <w:rFonts w:ascii="Cambria Math" w:hAnsi="Cambria Math"/>
                        <w:noProof/>
                      </w:rPr>
                      <m:t>a</m:t>
                    </m:r>
                  </m:sub>
                  <m:sup>
                    <m:r>
                      <w:rPr>
                        <w:rStyle w:val="ECCParagraph"/>
                        <w:rFonts w:ascii="Cambria Math" w:hAnsi="Cambria Math"/>
                        <w:noProof/>
                      </w:rPr>
                      <m:t>Rx</m:t>
                    </m:r>
                  </m:sup>
                </m:sSubSup>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feeder</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oMath>
            </m:oMathPara>
          </w:p>
        </w:tc>
        <w:tc>
          <w:tcPr>
            <w:tcW w:w="239" w:type="pct"/>
          </w:tcPr>
          <w:p w14:paraId="189D40B2" w14:textId="4DA3EB55"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7</w:t>
            </w:r>
            <w:r>
              <w:fldChar w:fldCharType="end"/>
            </w:r>
            <w:r>
              <w:t>)</w:t>
            </w:r>
          </w:p>
        </w:tc>
      </w:tr>
    </w:tbl>
    <w:p w14:paraId="2FE173EB" w14:textId="77777777" w:rsidR="009A4372" w:rsidRPr="006D6727" w:rsidRDefault="009A4372" w:rsidP="009A4372">
      <w:pPr>
        <w:pStyle w:val="ECCBulletsLv1"/>
        <w:numPr>
          <w:ilvl w:val="0"/>
          <w:numId w:val="0"/>
        </w:numPr>
        <w:ind w:left="340" w:hanging="340"/>
        <w:rPr>
          <w:rStyle w:val="ECCParagraph"/>
          <w:noProof/>
        </w:rPr>
      </w:pPr>
    </w:p>
    <w:p w14:paraId="7728DE0D" w14:textId="77777777" w:rsidR="009A4372" w:rsidRPr="006D6727" w:rsidRDefault="009A4372" w:rsidP="009A4372">
      <w:pPr>
        <w:pStyle w:val="ECCBulletsLv1"/>
        <w:numPr>
          <w:ilvl w:val="0"/>
          <w:numId w:val="0"/>
        </w:numPr>
        <w:ind w:left="340" w:hanging="340"/>
        <w:rPr>
          <w:rStyle w:val="ECCHLunderlined"/>
          <w:noProof/>
        </w:rPr>
      </w:pPr>
      <w:r w:rsidRPr="006D6727">
        <w:rPr>
          <w:rStyle w:val="ECCHLunderlined"/>
          <w:noProof/>
        </w:rPr>
        <w:t>Step 2: Calculation of the minimum coupling loss (MCL)</w:t>
      </w:r>
    </w:p>
    <w:p w14:paraId="75DB9733" w14:textId="77777777" w:rsidR="009A4372" w:rsidRPr="006D6727" w:rsidRDefault="009A4372" w:rsidP="009A4372">
      <w:pPr>
        <w:rPr>
          <w:rStyle w:val="ECCParagraph"/>
          <w:noProof/>
        </w:rPr>
      </w:pPr>
      <w:r w:rsidRPr="006D6727">
        <w:rPr>
          <w:rStyle w:val="ECCParagraph"/>
          <w:noProof/>
        </w:rPr>
        <w:t xml:space="preserve">The minimum coupling loss is the path loss attenuation that is at least necessary to keep the interfering signal power at the victim receiver to below the interference threshold </w:t>
      </w: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oMath>
      <w:r w:rsidRPr="006D6727">
        <w:rPr>
          <w:rStyle w:val="ECCParagraph"/>
          <w:noProof/>
        </w:rPr>
        <w:t>, identified in step 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07DC51AC" w14:textId="77777777" w:rsidTr="008A2884">
        <w:tc>
          <w:tcPr>
            <w:tcW w:w="4761" w:type="pct"/>
          </w:tcPr>
          <w:p w14:paraId="7DC34ECA" w14:textId="29966F22" w:rsidR="00034148" w:rsidRPr="00144C97" w:rsidRDefault="00BC32E2" w:rsidP="008A2884">
            <w:pPr>
              <w:spacing w:before="120" w:after="60"/>
              <w:rPr>
                <w:rStyle w:val="ECCParagraph"/>
                <w:rFonts w:eastAsiaTheme="minorEastAsia" w:cstheme="minorBidi"/>
                <w:lang w:eastAsia="da-DK"/>
              </w:rPr>
            </w:pPr>
            <m:oMathPara>
              <m:oMathParaPr>
                <m:jc m:val="center"/>
              </m:oMathParaPr>
              <m:oMath>
                <m:r>
                  <m:rPr>
                    <m:sty m:val="p"/>
                  </m:rPr>
                  <w:rPr>
                    <w:rStyle w:val="ECCParagraph"/>
                    <w:rFonts w:ascii="Cambria Math" w:hAnsi="Cambria Math"/>
                    <w:noProof/>
                  </w:rPr>
                  <m:t>MCL=</m:t>
                </m:r>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oMath>
            </m:oMathPara>
          </w:p>
        </w:tc>
        <w:tc>
          <w:tcPr>
            <w:tcW w:w="239" w:type="pct"/>
          </w:tcPr>
          <w:p w14:paraId="48B2A121" w14:textId="3DBD649A"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8</w:t>
            </w:r>
            <w:r>
              <w:fldChar w:fldCharType="end"/>
            </w:r>
            <w:r>
              <w:t>)</w:t>
            </w:r>
          </w:p>
        </w:tc>
      </w:tr>
    </w:tbl>
    <w:p w14:paraId="0E6F0B70" w14:textId="5AC1ED6C" w:rsidR="009A4372" w:rsidRPr="006D6727" w:rsidRDefault="000C3B6C" w:rsidP="009A4372">
      <w:pPr>
        <w:rPr>
          <w:rStyle w:val="ECCParagraph"/>
          <w:noProof/>
        </w:rPr>
      </w:pPr>
      <w:r>
        <w:rPr>
          <w:rStyle w:val="ECCParagraph"/>
          <w:noProof/>
        </w:rPr>
        <w:t>W</w:t>
      </w:r>
      <w:r w:rsidR="009A4372" w:rsidRPr="006D6727">
        <w:rPr>
          <w:rStyle w:val="ECCParagraph"/>
          <w:noProof/>
        </w:rPr>
        <w:t>here:</w:t>
      </w:r>
    </w:p>
    <w:p w14:paraId="55169397" w14:textId="48632E2A" w:rsidR="009A4372" w:rsidRPr="006D6727" w:rsidRDefault="00E55534" w:rsidP="00BC32E2">
      <w:pPr>
        <w:pStyle w:val="ECCBulletsLv1"/>
        <w:rPr>
          <w:rStyle w:val="ECCParagraph"/>
          <w:noProof/>
        </w:rPr>
      </w:pPr>
      <m:oMath>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r>
          <w:rPr>
            <w:rStyle w:val="ECCParagraph"/>
            <w:rFonts w:ascii="Cambria Math" w:hAnsi="Cambria Math"/>
            <w:noProof/>
          </w:rPr>
          <m:t>-</m:t>
        </m:r>
      </m:oMath>
      <w:r w:rsidR="009A4372" w:rsidRPr="006D6727">
        <w:rPr>
          <w:rStyle w:val="ECCParagraph"/>
          <w:noProof/>
        </w:rPr>
        <w:t xml:space="preserve"> equivalent isotropically radiated mean power of the interferer in the direction of the victim service</w:t>
      </w:r>
      <w:r w:rsidR="00BC32E2">
        <w:rPr>
          <w:rStyle w:val="ECCParagraph"/>
          <w:noProof/>
        </w:rPr>
        <w:t>;</w:t>
      </w:r>
    </w:p>
    <w:p w14:paraId="5E28E1C5" w14:textId="49C3CAF5" w:rsidR="009A4372" w:rsidRDefault="00E55534" w:rsidP="00BC32E2">
      <w:pPr>
        <w:pStyle w:val="ECCBulletsLv1"/>
        <w:rPr>
          <w:rStyle w:val="ECCParagraph"/>
          <w:noProof/>
        </w:rPr>
      </w:pPr>
      <m:oMath>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r>
          <w:rPr>
            <w:rStyle w:val="ECCParagraph"/>
            <w:rFonts w:ascii="Cambria Math" w:hAnsi="Cambria Math"/>
            <w:noProof/>
          </w:rPr>
          <m:t xml:space="preserve">- </m:t>
        </m:r>
      </m:oMath>
      <w:r w:rsidR="009A4372" w:rsidRPr="006D6727">
        <w:rPr>
          <w:rStyle w:val="ECCParagraph"/>
          <w:noProof/>
        </w:rPr>
        <w:t>bandwidth correction factor for correcting the mean power of the interferer's UWB transmit signal as a conditional function of its pulse repetition frequency (PRF):</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0B4BCFDB" w14:textId="77777777" w:rsidTr="008A2884">
        <w:tc>
          <w:tcPr>
            <w:tcW w:w="4761" w:type="pct"/>
          </w:tcPr>
          <w:p w14:paraId="00D5CCB3" w14:textId="79DFA8F0" w:rsidR="00034148" w:rsidRPr="00144C97" w:rsidRDefault="00E55534"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r>
                  <w:rPr>
                    <w:rStyle w:val="ECCParagraph"/>
                    <w:rFonts w:ascii="Cambria Math" w:hAnsi="Cambria Math"/>
                    <w:noProof/>
                  </w:rPr>
                  <m:t>=</m:t>
                </m:r>
                <m:d>
                  <m:dPr>
                    <m:begChr m:val="{"/>
                    <m:endChr m:val=""/>
                    <m:ctrlPr>
                      <w:rPr>
                        <w:rStyle w:val="ECCParagraph"/>
                        <w:rFonts w:ascii="Cambria Math" w:hAnsi="Cambria Math"/>
                        <w:noProof/>
                      </w:rPr>
                    </m:ctrlPr>
                  </m:dPr>
                  <m:e>
                    <m:eqArr>
                      <m:eqArrPr>
                        <m:ctrlPr>
                          <w:rPr>
                            <w:rStyle w:val="ECCParagraph"/>
                            <w:rFonts w:ascii="Cambria Math" w:hAnsi="Cambria Math"/>
                            <w:noProof/>
                          </w:rPr>
                        </m:ctrlPr>
                      </m:eqArrPr>
                      <m:e>
                        <m:r>
                          <w:rPr>
                            <w:rStyle w:val="ECCParagraph"/>
                            <w:rFonts w:ascii="Cambria Math" w:hAnsi="Cambria Math"/>
                            <w:noProof/>
                          </w:rPr>
                          <m:t>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f>
                              <m:fPr>
                                <m:type m:val="skw"/>
                                <m:ctrlPr>
                                  <w:rPr>
                                    <w:rStyle w:val="ECCParagraph"/>
                                    <w:rFonts w:ascii="Cambria Math" w:hAnsi="Cambria Math"/>
                                    <w:noProof/>
                                  </w:rPr>
                                </m:ctrlPr>
                              </m:fPr>
                              <m:num>
                                <m:r>
                                  <w:rPr>
                                    <w:rStyle w:val="ECCParagraph"/>
                                    <w:rFonts w:ascii="Cambria Math" w:hAnsi="Cambria Math"/>
                                    <w:noProof/>
                                  </w:rPr>
                                  <m:t>PRF</m:t>
                                </m:r>
                              </m:num>
                              <m:den>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den>
                            </m:f>
                          </m:e>
                        </m:d>
                        <m:r>
                          <w:rPr>
                            <w:rStyle w:val="ECCParagraph"/>
                            <w:rFonts w:ascii="Cambria Math" w:hAnsi="Cambria Math"/>
                            <w:noProof/>
                          </w:rPr>
                          <m:t xml:space="preserve">,if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r>
                          <w:rPr>
                            <w:rStyle w:val="ECCParagraph"/>
                            <w:rFonts w:ascii="Cambria Math" w:hAnsi="Cambria Math"/>
                            <w:noProof/>
                          </w:rPr>
                          <m:t xml:space="preserve">≤PRF and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r>
                          <w:rPr>
                            <w:rStyle w:val="ECCParagraph"/>
                            <w:rFonts w:ascii="Cambria Math" w:hAnsi="Cambria Math"/>
                            <w:noProof/>
                          </w:rPr>
                          <m:t xml:space="preserve">≥PRF </m:t>
                        </m:r>
                      </m:e>
                      <m:e>
                        <m:r>
                          <w:rPr>
                            <w:rStyle w:val="ECCParagraph"/>
                            <w:rFonts w:ascii="Cambria Math" w:hAnsi="Cambria Math"/>
                            <w:noProof/>
                          </w:rPr>
                          <m:t>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f>
                              <m:fPr>
                                <m:type m:val="skw"/>
                                <m:ctrlPr>
                                  <w:rPr>
                                    <w:rStyle w:val="ECCParagraph"/>
                                    <w:rFonts w:ascii="Cambria Math" w:hAnsi="Cambria Math"/>
                                    <w:noProof/>
                                  </w:rPr>
                                </m:ctrlPr>
                              </m:fPr>
                              <m:num>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num>
                              <m:den>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den>
                            </m:f>
                          </m:e>
                        </m:d>
                        <m:r>
                          <w:rPr>
                            <w:rStyle w:val="ECCParagraph"/>
                            <w:rFonts w:ascii="Cambria Math" w:hAnsi="Cambria Math"/>
                            <w:noProof/>
                          </w:rPr>
                          <m:t xml:space="preserve">,if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r>
                          <w:rPr>
                            <w:rStyle w:val="ECCParagraph"/>
                            <w:rFonts w:ascii="Cambria Math" w:hAnsi="Cambria Math"/>
                            <w:noProof/>
                          </w:rPr>
                          <m:t xml:space="preserve">&gt;PRF and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r>
                          <w:rPr>
                            <w:rStyle w:val="ECCParagraph"/>
                            <w:rFonts w:ascii="Cambria Math" w:hAnsi="Cambria Math"/>
                            <w:noProof/>
                          </w:rPr>
                          <m:t>≥PRF</m:t>
                        </m:r>
                      </m:e>
                    </m:eqArr>
                  </m:e>
                </m:d>
              </m:oMath>
            </m:oMathPara>
          </w:p>
        </w:tc>
        <w:tc>
          <w:tcPr>
            <w:tcW w:w="239" w:type="pct"/>
          </w:tcPr>
          <w:p w14:paraId="251AAC2C" w14:textId="58540BA8"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9</w:t>
            </w:r>
            <w:r>
              <w:fldChar w:fldCharType="end"/>
            </w:r>
            <w:r>
              <w:t>)</w:t>
            </w:r>
          </w:p>
        </w:tc>
      </w:tr>
    </w:tbl>
    <w:p w14:paraId="3EA29586" w14:textId="3C567BA3" w:rsidR="009A4372" w:rsidRDefault="00125FD4" w:rsidP="009A4372">
      <w:pPr>
        <w:rPr>
          <w:rStyle w:val="ECCParagraph"/>
          <w:noProof/>
        </w:rPr>
      </w:pPr>
      <w:r w:rsidRPr="006D6727">
        <w:rPr>
          <w:rStyle w:val="ECCParagraph"/>
          <w:noProof/>
        </w:rPr>
        <w:t xml:space="preserve">ECC Report 064 </w:t>
      </w:r>
      <w:r w:rsidR="000C3B6C">
        <w:rPr>
          <w:rStyle w:val="ECCParagraph"/>
          <w:noProof/>
        </w:rPr>
        <w:t>,</w:t>
      </w:r>
      <w:r w:rsidRPr="006D6727">
        <w:rPr>
          <w:rStyle w:val="ECCParagraph"/>
          <w:noProof/>
        </w:rPr>
        <w:t xml:space="preserve"> </w:t>
      </w:r>
      <w:r w:rsidR="009D5FA2">
        <w:rPr>
          <w:rStyle w:val="ECCParagraph"/>
          <w:noProof/>
        </w:rPr>
        <w:t>section</w:t>
      </w:r>
      <w:r w:rsidRPr="006D6727">
        <w:rPr>
          <w:rStyle w:val="ECCParagraph"/>
          <w:noProof/>
        </w:rPr>
        <w:t xml:space="preserve"> 6.3.3.2 </w:t>
      </w:r>
      <w:r w:rsidR="000C3B6C" w:rsidRPr="006D6727">
        <w:rPr>
          <w:rStyle w:val="ECCParagraph"/>
          <w:noProof/>
        </w:rPr>
        <w:fldChar w:fldCharType="begin"/>
      </w:r>
      <w:r w:rsidR="000C3B6C" w:rsidRPr="006D6727">
        <w:rPr>
          <w:rStyle w:val="ECCParagraph"/>
          <w:noProof/>
        </w:rPr>
        <w:instrText xml:space="preserve"> REF  ECCRep064 \h \w  \* MERGEFORMAT </w:instrText>
      </w:r>
      <w:r w:rsidR="000C3B6C" w:rsidRPr="006D6727">
        <w:rPr>
          <w:rStyle w:val="ECCParagraph"/>
          <w:noProof/>
        </w:rPr>
      </w:r>
      <w:r w:rsidR="000C3B6C" w:rsidRPr="006D6727">
        <w:rPr>
          <w:rStyle w:val="ECCParagraph"/>
          <w:noProof/>
        </w:rPr>
        <w:fldChar w:fldCharType="separate"/>
      </w:r>
      <w:r w:rsidR="004F49F9">
        <w:rPr>
          <w:rStyle w:val="ECCParagraph"/>
          <w:noProof/>
        </w:rPr>
        <w:t>[17]</w:t>
      </w:r>
      <w:r w:rsidR="000C3B6C" w:rsidRPr="006D6727">
        <w:rPr>
          <w:rStyle w:val="ECCParagraph"/>
          <w:noProof/>
        </w:rPr>
        <w:fldChar w:fldCharType="end"/>
      </w:r>
      <w:r w:rsidR="000C3B6C">
        <w:rPr>
          <w:rStyle w:val="ECCParagraph"/>
          <w:noProof/>
        </w:rPr>
        <w:t xml:space="preserve"> </w:t>
      </w:r>
      <w:r w:rsidRPr="006D6727">
        <w:rPr>
          <w:rStyle w:val="ECCParagraph"/>
          <w:noProof/>
        </w:rPr>
        <w:t xml:space="preserve">gives two more conditions for calculating </w:t>
      </w:r>
      <m:oMath>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oMath>
      <w:r w:rsidRPr="006D6727">
        <w:rPr>
          <w:rStyle w:val="ECCParagraph"/>
          <w:noProof/>
        </w:rPr>
        <w:t xml:space="preserve">, which are not mentioned here as they address cases where </w:t>
      </w:r>
      <m:oMath>
        <m:sSub>
          <m:sSubPr>
            <m:ctrlPr>
              <w:rPr>
                <w:rStyle w:val="ECCParagraph"/>
                <w:rFonts w:ascii="Cambria Math" w:hAnsi="Cambria Math"/>
                <w:noProof/>
              </w:rPr>
            </m:ctrlPr>
          </m:sSubPr>
          <m:e>
            <m:r>
              <w:rPr>
                <w:rStyle w:val="ECCParagraph"/>
                <w:rFonts w:ascii="Cambria Math" w:hAnsi="Cambria Math"/>
                <w:noProof/>
              </w:rPr>
              <m:t>PRF</m:t>
            </m:r>
            <m:r>
              <m:rPr>
                <m:sty m:val="p"/>
              </m:rPr>
              <w:rPr>
                <w:rStyle w:val="ECCParagraph"/>
                <w:rFonts w:ascii="Cambria Math" w:hAnsi="Cambria Math"/>
                <w:noProof/>
              </w:rPr>
              <m:t>&gt;</m:t>
            </m:r>
            <m:r>
              <w:rPr>
                <w:rStyle w:val="ECCParagraph"/>
                <w:rFonts w:ascii="Cambria Math" w:hAnsi="Cambria Math"/>
                <w:noProof/>
              </w:rPr>
              <m:t>B</m:t>
            </m:r>
          </m:e>
          <m:sub>
            <m:r>
              <w:rPr>
                <w:rStyle w:val="ECCParagraph"/>
                <w:rFonts w:ascii="Cambria Math" w:hAnsi="Cambria Math"/>
                <w:noProof/>
              </w:rPr>
              <m:t>Tx</m:t>
            </m:r>
          </m:sub>
        </m:sSub>
      </m:oMath>
      <w:r w:rsidRPr="006D6727">
        <w:rPr>
          <w:rStyle w:val="ECCParagraph"/>
          <w:noProof/>
        </w:rPr>
        <w:t xml:space="preserve"> which is considered as not relevant to radiodetermination devices in the higher frequency range 116 to 260 GHz.</w:t>
      </w:r>
    </w:p>
    <w:p w14:paraId="7E4F0447" w14:textId="77777777" w:rsidR="000F3C42" w:rsidRPr="000F3C42" w:rsidRDefault="000F3C42" w:rsidP="000F3C42">
      <w:pPr>
        <w:rPr>
          <w:lang w:eastAsia="de-DE"/>
        </w:rPr>
      </w:pPr>
      <w:r w:rsidRPr="000F3C42">
        <w:rPr>
          <w:lang w:eastAsia="de-DE"/>
        </w:rPr>
        <w:t>In order to correctly evaluate the peak interference criterion for FS, the bandwidth correction factor was not applied when evaluating the peak interference criterion.</w:t>
      </w:r>
    </w:p>
    <w:p w14:paraId="38640663" w14:textId="77777777" w:rsidR="009A4372" w:rsidRDefault="009A4372" w:rsidP="009A4372">
      <w:pPr>
        <w:rPr>
          <w:rStyle w:val="ECCParagraph"/>
          <w:noProof/>
        </w:rPr>
      </w:pPr>
      <w:r w:rsidRPr="006D6727">
        <w:rPr>
          <w:rStyle w:val="ECCParagraph"/>
          <w:noProof/>
        </w:rPr>
        <w:t>In this case the radiated power of the interferer in the direction of the victim service can consist of several components due to a potential multipath propagation environment in the used interference scenario. The interference scenario should be derived individually taking into account the peculiarities of every different radiodetermination application.</w:t>
      </w:r>
    </w:p>
    <w:p w14:paraId="7055E1B3" w14:textId="77777777" w:rsidR="009A4372" w:rsidRPr="006D6727" w:rsidRDefault="009A4372" w:rsidP="009A4372">
      <w:pPr>
        <w:rPr>
          <w:rStyle w:val="ECCHLunderlined"/>
          <w:noProof/>
        </w:rPr>
      </w:pPr>
      <w:r w:rsidRPr="006D6727">
        <w:rPr>
          <w:rStyle w:val="ECCHLunderlined"/>
          <w:noProof/>
        </w:rPr>
        <w:t>Step 3: Evaluation of the interference range</w:t>
      </w:r>
    </w:p>
    <w:p w14:paraId="29C072C9" w14:textId="77777777" w:rsidR="009A4372" w:rsidRPr="006D6727" w:rsidRDefault="009A4372" w:rsidP="009A4372">
      <w:pPr>
        <w:rPr>
          <w:rStyle w:val="ECCParagraph"/>
          <w:noProof/>
        </w:rPr>
      </w:pPr>
      <w:r w:rsidRPr="006D6727">
        <w:rPr>
          <w:rStyle w:val="ECCParagraph"/>
          <w:noProof/>
        </w:rPr>
        <w:t xml:space="preserve">The final evaluation of the minimum interference range </w:t>
      </w:r>
      <m:oMath>
        <m:sSub>
          <m:sSubPr>
            <m:ctrlPr>
              <w:rPr>
                <w:rStyle w:val="ECCParagraph"/>
                <w:rFonts w:ascii="Cambria Math" w:hAnsi="Cambria Math"/>
                <w:noProof/>
              </w:rPr>
            </m:ctrlPr>
          </m:sSubPr>
          <m:e>
            <m:r>
              <w:rPr>
                <w:rStyle w:val="ECCParagraph"/>
                <w:rFonts w:ascii="Cambria Math" w:hAnsi="Cambria Math"/>
                <w:noProof/>
              </w:rPr>
              <m:t>r</m:t>
            </m:r>
          </m:e>
          <m:sub>
            <m:r>
              <w:rPr>
                <w:rStyle w:val="ECCParagraph"/>
                <w:rFonts w:ascii="Cambria Math" w:hAnsi="Cambria Math"/>
                <w:noProof/>
              </w:rPr>
              <m:t>min</m:t>
            </m:r>
          </m:sub>
        </m:sSub>
      </m:oMath>
      <w:r w:rsidRPr="006D6727">
        <w:rPr>
          <w:rStyle w:val="ECCParagraph"/>
          <w:noProof/>
        </w:rPr>
        <w:t xml:space="preserve"> is achieved by solving the inverted free space path loss model for the previously determined MCL value: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4C7C6B19" w14:textId="77777777" w:rsidTr="003832A1">
        <w:tc>
          <w:tcPr>
            <w:tcW w:w="4761" w:type="pct"/>
          </w:tcPr>
          <w:p w14:paraId="7228E30C" w14:textId="75566836" w:rsidR="00034148" w:rsidRPr="00144C97" w:rsidRDefault="00E55534" w:rsidP="00BC32E2">
            <w:pPr>
              <w:pStyle w:val="ECCBulletsLv1"/>
              <w:numPr>
                <w:ilvl w:val="0"/>
                <w:numId w:val="0"/>
              </w:numPr>
              <w:ind w:left="34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r</m:t>
                    </m:r>
                  </m:e>
                  <m:sub>
                    <m:r>
                      <w:rPr>
                        <w:rStyle w:val="ECCParagraph"/>
                        <w:rFonts w:ascii="Cambria Math" w:hAnsi="Cambria Math"/>
                        <w:noProof/>
                      </w:rPr>
                      <m:t>min</m:t>
                    </m:r>
                  </m:sub>
                </m:sSub>
                <m:d>
                  <m:dPr>
                    <m:begChr m:val="["/>
                    <m:endChr m:val="]"/>
                    <m:ctrlPr>
                      <w:rPr>
                        <w:rStyle w:val="ECCParagraph"/>
                        <w:rFonts w:ascii="Cambria Math" w:hAnsi="Cambria Math"/>
                        <w:noProof/>
                      </w:rPr>
                    </m:ctrlPr>
                  </m:dPr>
                  <m:e>
                    <m:r>
                      <w:rPr>
                        <w:rStyle w:val="ECCParagraph"/>
                        <w:rFonts w:ascii="Cambria Math" w:hAnsi="Cambria Math"/>
                        <w:noProof/>
                      </w:rPr>
                      <m:t>km</m:t>
                    </m:r>
                  </m:e>
                </m:d>
                <m:r>
                  <m:rPr>
                    <m:sty m:val="p"/>
                  </m:rPr>
                  <w:rPr>
                    <w:rStyle w:val="ECCParagraph"/>
                    <w:rFonts w:ascii="Cambria Math" w:hAnsi="Cambria Math"/>
                    <w:noProof/>
                  </w:rPr>
                  <m:t>=</m:t>
                </m:r>
                <m:sSup>
                  <m:sSupPr>
                    <m:ctrlPr>
                      <w:rPr>
                        <w:rStyle w:val="ECCParagraph"/>
                        <w:rFonts w:ascii="Cambria Math" w:hAnsi="Cambria Math"/>
                        <w:noProof/>
                      </w:rPr>
                    </m:ctrlPr>
                  </m:sSupPr>
                  <m:e>
                    <m:r>
                      <w:rPr>
                        <w:rStyle w:val="ECCParagraph"/>
                        <w:rFonts w:ascii="Cambria Math" w:hAnsi="Cambria Math"/>
                        <w:noProof/>
                      </w:rPr>
                      <m:t>10</m:t>
                    </m:r>
                  </m:e>
                  <m:sup>
                    <m:f>
                      <m:fPr>
                        <m:ctrlPr>
                          <w:rPr>
                            <w:rStyle w:val="ECCParagraph"/>
                            <w:rFonts w:ascii="Cambria Math" w:hAnsi="Cambria Math"/>
                            <w:noProof/>
                          </w:rPr>
                        </m:ctrlPr>
                      </m:fPr>
                      <m:num>
                        <m:r>
                          <w:rPr>
                            <w:rStyle w:val="ECCParagraph"/>
                            <w:rFonts w:ascii="Cambria Math" w:hAnsi="Cambria Math"/>
                            <w:noProof/>
                          </w:rPr>
                          <m:t>MCL</m:t>
                        </m:r>
                        <m:d>
                          <m:dPr>
                            <m:begChr m:val="["/>
                            <m:endChr m:val="]"/>
                            <m:ctrlPr>
                              <w:rPr>
                                <w:rStyle w:val="ECCParagraph"/>
                                <w:rFonts w:ascii="Cambria Math" w:hAnsi="Cambria Math"/>
                                <w:noProof/>
                              </w:rPr>
                            </m:ctrlPr>
                          </m:dPr>
                          <m:e>
                            <m:r>
                              <w:rPr>
                                <w:rStyle w:val="ECCParagraph"/>
                                <w:rFonts w:ascii="Cambria Math" w:hAnsi="Cambria Math"/>
                                <w:noProof/>
                              </w:rPr>
                              <m:t>dB</m:t>
                            </m:r>
                          </m:e>
                        </m:d>
                        <m:r>
                          <w:rPr>
                            <w:rStyle w:val="ECCParagraph"/>
                            <w:rFonts w:ascii="Cambria Math" w:hAnsi="Cambria Math"/>
                            <w:noProof/>
                          </w:rPr>
                          <m:t>-32.44 dB-20∙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r>
                              <w:rPr>
                                <w:rStyle w:val="ECCParagraph"/>
                                <w:rFonts w:ascii="Cambria Math" w:hAnsi="Cambria Math"/>
                                <w:noProof/>
                              </w:rPr>
                              <m:t>f</m:t>
                            </m:r>
                            <m:d>
                              <m:dPr>
                                <m:begChr m:val="["/>
                                <m:endChr m:val="]"/>
                                <m:ctrlPr>
                                  <w:rPr>
                                    <w:rStyle w:val="ECCParagraph"/>
                                    <w:rFonts w:ascii="Cambria Math" w:hAnsi="Cambria Math"/>
                                    <w:noProof/>
                                  </w:rPr>
                                </m:ctrlPr>
                              </m:dPr>
                              <m:e>
                                <m:r>
                                  <w:rPr>
                                    <w:rStyle w:val="ECCParagraph"/>
                                    <w:rFonts w:ascii="Cambria Math" w:hAnsi="Cambria Math"/>
                                    <w:noProof/>
                                  </w:rPr>
                                  <m:t>MHz</m:t>
                                </m:r>
                              </m:e>
                            </m:d>
                          </m:e>
                        </m:d>
                      </m:num>
                      <m:den>
                        <m:r>
                          <w:rPr>
                            <w:rStyle w:val="ECCParagraph"/>
                            <w:rFonts w:ascii="Cambria Math" w:hAnsi="Cambria Math"/>
                            <w:noProof/>
                          </w:rPr>
                          <m:t>20</m:t>
                        </m:r>
                      </m:den>
                    </m:f>
                  </m:sup>
                </m:sSup>
              </m:oMath>
            </m:oMathPara>
          </w:p>
        </w:tc>
        <w:tc>
          <w:tcPr>
            <w:tcW w:w="239" w:type="pct"/>
          </w:tcPr>
          <w:p w14:paraId="259B28E4" w14:textId="49EA4D65"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10</w:t>
            </w:r>
            <w:r>
              <w:fldChar w:fldCharType="end"/>
            </w:r>
            <w:r>
              <w:t>)</w:t>
            </w:r>
          </w:p>
        </w:tc>
      </w:tr>
    </w:tbl>
    <w:p w14:paraId="08A4D8DA" w14:textId="77777777" w:rsidR="009A4372" w:rsidRPr="006D6727" w:rsidRDefault="009A4372" w:rsidP="00BC32E2">
      <w:pPr>
        <w:pStyle w:val="Heading3"/>
        <w:rPr>
          <w:noProof/>
          <w:lang w:val="en-GB"/>
        </w:rPr>
      </w:pPr>
      <w:bookmarkStart w:id="418" w:name="_Ref386650125"/>
      <w:bookmarkStart w:id="419" w:name="_Toc398822029"/>
      <w:bookmarkStart w:id="420" w:name="_Toc84325329"/>
      <w:bookmarkStart w:id="421" w:name="_Toc127346261"/>
      <w:r w:rsidRPr="006D6727">
        <w:rPr>
          <w:noProof/>
          <w:lang w:val="en-GB"/>
        </w:rPr>
        <w:t>The radio horizon</w:t>
      </w:r>
      <w:bookmarkEnd w:id="418"/>
      <w:bookmarkEnd w:id="419"/>
      <w:bookmarkEnd w:id="420"/>
      <w:bookmarkEnd w:id="421"/>
    </w:p>
    <w:p w14:paraId="371FCC42" w14:textId="031D66CD" w:rsidR="009A4372" w:rsidRPr="006D6727" w:rsidRDefault="009A4372" w:rsidP="00B772A1">
      <w:pPr>
        <w:rPr>
          <w:noProof/>
        </w:rPr>
      </w:pPr>
      <w:r w:rsidRPr="006D6727">
        <w:rPr>
          <w:noProof/>
        </w:rPr>
        <w:t xml:space="preserve">The MCL calculation procedure outlined in </w:t>
      </w:r>
      <w:r w:rsidR="009D5FA2">
        <w:rPr>
          <w:noProof/>
        </w:rPr>
        <w:t>section</w:t>
      </w:r>
      <w:r w:rsidRPr="006D6727">
        <w:rPr>
          <w:noProof/>
        </w:rPr>
        <w:t xml:space="preserve"> </w:t>
      </w:r>
      <w:r w:rsidRPr="006D6727">
        <w:rPr>
          <w:noProof/>
        </w:rPr>
        <w:fldChar w:fldCharType="begin"/>
      </w:r>
      <w:r w:rsidRPr="006D6727">
        <w:rPr>
          <w:noProof/>
        </w:rPr>
        <w:instrText xml:space="preserve"> REF _Ref15293384 \r \h </w:instrText>
      </w:r>
      <w:r w:rsidRPr="006D6727">
        <w:rPr>
          <w:noProof/>
        </w:rPr>
      </w:r>
      <w:r w:rsidRPr="006D6727">
        <w:rPr>
          <w:noProof/>
        </w:rPr>
        <w:fldChar w:fldCharType="separate"/>
      </w:r>
      <w:r w:rsidR="004F49F9">
        <w:rPr>
          <w:noProof/>
        </w:rPr>
        <w:t>3.4.2</w:t>
      </w:r>
      <w:r w:rsidRPr="006D6727">
        <w:rPr>
          <w:noProof/>
        </w:rPr>
        <w:fldChar w:fldCharType="end"/>
      </w:r>
      <w:r w:rsidRPr="006D6727">
        <w:rPr>
          <w:noProof/>
        </w:rPr>
        <w:t xml:space="preserve"> assumes a flat terrain and line-of-sight (LOS) conditions from the interferer to the victim receiver. The radio horizon of a certain radio link depends on the antenna heights of the transmitter and receiver above the flat </w:t>
      </w:r>
      <w:r w:rsidRPr="006D6727">
        <w:rPr>
          <w:rStyle w:val="ECCParagraph"/>
          <w:noProof/>
        </w:rPr>
        <w:t xml:space="preserve">ground. </w:t>
      </w:r>
      <w:r w:rsidR="00E94795" w:rsidRPr="006D6727">
        <w:rPr>
          <w:rStyle w:val="ECCParagraph"/>
          <w:noProof/>
        </w:rPr>
        <w:fldChar w:fldCharType="begin"/>
      </w:r>
      <w:r w:rsidR="00E94795" w:rsidRPr="006D6727">
        <w:rPr>
          <w:rStyle w:val="ECCParagraph"/>
          <w:noProof/>
        </w:rPr>
        <w:instrText xml:space="preserve"> REF _Ref20321444 \h </w:instrText>
      </w:r>
      <w:r w:rsidR="00B772A1" w:rsidRPr="006D6727">
        <w:rPr>
          <w:rStyle w:val="ECCParagraph"/>
          <w:noProof/>
        </w:rPr>
        <w:instrText xml:space="preserve"> \* MERGEFORMAT </w:instrText>
      </w:r>
      <w:r w:rsidR="00E94795" w:rsidRPr="006D6727">
        <w:rPr>
          <w:rStyle w:val="ECCParagraph"/>
          <w:noProof/>
        </w:rPr>
      </w:r>
      <w:r w:rsidR="00E94795" w:rsidRPr="006D6727">
        <w:rPr>
          <w:rStyle w:val="ECCParagraph"/>
          <w:noProof/>
        </w:rPr>
        <w:fldChar w:fldCharType="separate"/>
      </w:r>
      <w:r w:rsidR="0041125F" w:rsidRPr="0041125F">
        <w:rPr>
          <w:rStyle w:val="ECCParagraph"/>
          <w:noProof/>
        </w:rPr>
        <w:t>Figure 80</w:t>
      </w:r>
      <w:r w:rsidR="00E94795" w:rsidRPr="006D6727">
        <w:rPr>
          <w:rStyle w:val="ECCParagraph"/>
          <w:noProof/>
        </w:rPr>
        <w:fldChar w:fldCharType="end"/>
      </w:r>
      <w:r w:rsidR="00E94795" w:rsidRPr="006D6727">
        <w:rPr>
          <w:rStyle w:val="ECCParagraph"/>
          <w:noProof/>
        </w:rPr>
        <w:t xml:space="preserve"> </w:t>
      </w:r>
      <w:r w:rsidRPr="006D6727">
        <w:rPr>
          <w:rStyle w:val="ECCParagraph"/>
          <w:noProof/>
        </w:rPr>
        <w:t>shows</w:t>
      </w:r>
      <w:r w:rsidRPr="006D6727">
        <w:rPr>
          <w:noProof/>
        </w:rPr>
        <w:t xml:space="preserve"> the simplified geometrical model for determining the radio horizon. This model does not take into account any obstacles in the line of sight nor any effect of the atmosphere on the propagation of the radio frequency signal.</w:t>
      </w:r>
    </w:p>
    <w:p w14:paraId="59EBC822" w14:textId="77777777" w:rsidR="009A4372" w:rsidRPr="006D6727" w:rsidRDefault="009A4372" w:rsidP="00A3777E">
      <w:pPr>
        <w:jc w:val="center"/>
        <w:rPr>
          <w:rStyle w:val="ECCHLyellow"/>
          <w:noProof/>
        </w:rPr>
      </w:pPr>
      <w:r w:rsidRPr="006D6727">
        <w:rPr>
          <w:noProof/>
          <w:lang w:val="de-DE" w:eastAsia="de-DE"/>
        </w:rPr>
        <w:drawing>
          <wp:inline distT="0" distB="0" distL="0" distR="0" wp14:anchorId="768B8C2C" wp14:editId="224E4B69">
            <wp:extent cx="6017801" cy="1882942"/>
            <wp:effectExtent l="0" t="0" r="254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screen">
                      <a:extLst>
                        <a:ext uri="{28A0092B-C50C-407E-A947-70E740481C1C}">
                          <a14:useLocalDpi xmlns:a14="http://schemas.microsoft.com/office/drawing/2010/main"/>
                        </a:ext>
                      </a:extLst>
                    </a:blip>
                    <a:stretch>
                      <a:fillRect/>
                    </a:stretch>
                  </pic:blipFill>
                  <pic:spPr>
                    <a:xfrm>
                      <a:off x="0" y="0"/>
                      <a:ext cx="6066198" cy="1898085"/>
                    </a:xfrm>
                    <a:prstGeom prst="rect">
                      <a:avLst/>
                    </a:prstGeom>
                  </pic:spPr>
                </pic:pic>
              </a:graphicData>
            </a:graphic>
          </wp:inline>
        </w:drawing>
      </w:r>
    </w:p>
    <w:p w14:paraId="4569971E" w14:textId="7A4777AB" w:rsidR="009A4372" w:rsidRPr="006D6727" w:rsidRDefault="009A4372" w:rsidP="00E94795">
      <w:pPr>
        <w:pStyle w:val="Caption"/>
        <w:rPr>
          <w:rStyle w:val="ECCParagraph"/>
          <w:rFonts w:eastAsia="Calibri"/>
          <w:noProof/>
        </w:rPr>
      </w:pPr>
      <w:bookmarkStart w:id="422" w:name="_Ref20321444"/>
      <w:r w:rsidRPr="006D6727">
        <w:rPr>
          <w:rStyle w:val="ECCHLmagenta"/>
          <w:noProof/>
          <w:color w:val="D2232A"/>
          <w:shd w:val="clear" w:color="auto" w:fill="auto"/>
        </w:rPr>
        <w:t>Figure </w:t>
      </w:r>
      <w:r w:rsidRPr="006D6727">
        <w:rPr>
          <w:rStyle w:val="ECCHLmagenta"/>
          <w:noProof/>
          <w:color w:val="D2232A"/>
          <w:shd w:val="clear" w:color="auto" w:fill="auto"/>
        </w:rPr>
        <w:fldChar w:fldCharType="begin"/>
      </w:r>
      <w:r w:rsidRPr="006D6727">
        <w:rPr>
          <w:rStyle w:val="ECCHLmagenta"/>
          <w:noProof/>
          <w:color w:val="D2232A"/>
          <w:shd w:val="clear" w:color="auto" w:fill="auto"/>
        </w:rPr>
        <w:instrText xml:space="preserve"> SEQ Figure \*ARABIC \* MERGEFORMAT  \* MERGEFORMAT </w:instrText>
      </w:r>
      <w:r w:rsidRPr="006D6727">
        <w:rPr>
          <w:rStyle w:val="ECCHLmagenta"/>
          <w:noProof/>
          <w:color w:val="D2232A"/>
          <w:shd w:val="clear" w:color="auto" w:fill="auto"/>
        </w:rPr>
        <w:fldChar w:fldCharType="separate"/>
      </w:r>
      <w:r w:rsidR="004F49F9">
        <w:rPr>
          <w:rStyle w:val="ECCHLmagenta"/>
          <w:noProof/>
          <w:color w:val="D2232A"/>
          <w:shd w:val="clear" w:color="auto" w:fill="auto"/>
        </w:rPr>
        <w:t>80</w:t>
      </w:r>
      <w:r w:rsidRPr="006D6727">
        <w:rPr>
          <w:rStyle w:val="ECCHLmagenta"/>
          <w:noProof/>
          <w:color w:val="D2232A"/>
          <w:shd w:val="clear" w:color="auto" w:fill="auto"/>
        </w:rPr>
        <w:fldChar w:fldCharType="end"/>
      </w:r>
      <w:bookmarkEnd w:id="422"/>
      <w:r w:rsidRPr="006D6727">
        <w:rPr>
          <w:rStyle w:val="ECCParagraph"/>
          <w:rFonts w:eastAsia="Calibri"/>
          <w:noProof/>
        </w:rPr>
        <w:t>: Geometrical illustration of the radio horizon</w:t>
      </w:r>
    </w:p>
    <w:p w14:paraId="22DCD4D5" w14:textId="4ACE6FBF" w:rsidR="009A4372" w:rsidRDefault="009A4372" w:rsidP="009A4372">
      <w:pPr>
        <w:rPr>
          <w:rStyle w:val="ECCParagraph"/>
          <w:noProof/>
        </w:rPr>
      </w:pPr>
      <w:r w:rsidRPr="006D6727">
        <w:rPr>
          <w:rStyle w:val="ECCParagraph"/>
          <w:noProof/>
        </w:rPr>
        <w:t xml:space="preserve">The radio horizon </w:t>
      </w:r>
      <m:oMath>
        <m:r>
          <w:rPr>
            <w:rStyle w:val="ECCParagraph"/>
            <w:rFonts w:ascii="Cambria Math" w:hAnsi="Cambria Math"/>
            <w:noProof/>
          </w:rPr>
          <m:t>d</m:t>
        </m:r>
      </m:oMath>
      <w:r w:rsidRPr="006D6727">
        <w:rPr>
          <w:rStyle w:val="ECCParagraph"/>
          <w:noProof/>
        </w:rPr>
        <w:t xml:space="preserve"> is 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7E69F54F" w14:textId="77777777" w:rsidTr="008A2884">
        <w:tc>
          <w:tcPr>
            <w:tcW w:w="4761" w:type="pct"/>
          </w:tcPr>
          <w:p w14:paraId="72EDA98C" w14:textId="50567341" w:rsidR="00BC32E2" w:rsidRPr="006D6727" w:rsidRDefault="00E55534" w:rsidP="00BC32E2">
            <w:pPr>
              <w:pStyle w:val="ECCBulletsLv1"/>
              <w:numPr>
                <w:ilvl w:val="0"/>
                <w:numId w:val="0"/>
              </w:numPr>
              <w:ind w:left="340"/>
              <w:rPr>
                <w:rStyle w:val="ECCParagraph"/>
                <w:noProof/>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1</m:t>
                    </m:r>
                  </m:sub>
                </m:sSub>
                <m:r>
                  <w:rPr>
                    <w:rStyle w:val="ECCParagraph"/>
                    <w:rFonts w:ascii="Cambria Math" w:hAnsi="Cambria Math"/>
                    <w:noProof/>
                  </w:rPr>
                  <m:t>=</m:t>
                </m:r>
                <m:rad>
                  <m:radPr>
                    <m:degHide m:val="1"/>
                    <m:ctrlPr>
                      <w:rPr>
                        <w:rStyle w:val="ECCParagraph"/>
                        <w:rFonts w:ascii="Cambria Math" w:hAnsi="Cambria Math"/>
                        <w:noProof/>
                      </w:rPr>
                    </m:ctrlPr>
                  </m:radPr>
                  <m:deg/>
                  <m:e>
                    <m:f>
                      <m:fPr>
                        <m:ctrlPr>
                          <w:rPr>
                            <w:rStyle w:val="ECCParagraph"/>
                            <w:rFonts w:ascii="Cambria Math" w:hAnsi="Cambria Math"/>
                            <w:noProof/>
                          </w:rPr>
                        </m:ctrlPr>
                      </m:fPr>
                      <m:num>
                        <m:r>
                          <w:rPr>
                            <w:rStyle w:val="ECCParagraph"/>
                            <w:rFonts w:ascii="Cambria Math" w:hAnsi="Cambria Math"/>
                            <w:noProof/>
                          </w:rPr>
                          <m:t>8</m:t>
                        </m:r>
                      </m:num>
                      <m:den>
                        <m:r>
                          <w:rPr>
                            <w:rStyle w:val="ECCParagraph"/>
                            <w:rFonts w:ascii="Cambria Math" w:hAnsi="Cambria Math"/>
                            <w:noProof/>
                          </w:rPr>
                          <m:t>3</m:t>
                        </m:r>
                      </m:den>
                    </m:f>
                    <m:r>
                      <w:rPr>
                        <w:rStyle w:val="ECCParagraph"/>
                        <w:rFonts w:ascii="Cambria Math" w:hAnsi="Cambria Math"/>
                        <w:noProof/>
                      </w:rPr>
                      <m:t>R</m:t>
                    </m:r>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1</m:t>
                        </m:r>
                      </m:sub>
                    </m:sSub>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h</m:t>
                        </m:r>
                      </m:e>
                      <m:sub>
                        <m:r>
                          <w:rPr>
                            <w:rStyle w:val="ECCParagraph"/>
                            <w:rFonts w:ascii="Cambria Math" w:hAnsi="Cambria Math"/>
                            <w:noProof/>
                          </w:rPr>
                          <m:t>1</m:t>
                        </m:r>
                      </m:sub>
                      <m:sup>
                        <m:r>
                          <w:rPr>
                            <w:rStyle w:val="ECCParagraph"/>
                            <w:rFonts w:ascii="Cambria Math" w:hAnsi="Cambria Math"/>
                            <w:noProof/>
                          </w:rPr>
                          <m:t>2</m:t>
                        </m:r>
                      </m:sup>
                    </m:sSubSup>
                  </m:e>
                </m:rad>
                <m:r>
                  <w:rPr>
                    <w:rStyle w:val="ECCParagraph"/>
                    <w:rFonts w:ascii="Cambria Math" w:hAnsi="Cambria Math"/>
                    <w:noProof/>
                  </w:rPr>
                  <m:t xml:space="preserve">                     </m:t>
                </m:r>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2</m:t>
                    </m:r>
                  </m:sub>
                </m:sSub>
                <m:r>
                  <w:rPr>
                    <w:rStyle w:val="ECCParagraph"/>
                    <w:rFonts w:ascii="Cambria Math" w:hAnsi="Cambria Math"/>
                    <w:noProof/>
                  </w:rPr>
                  <m:t>=</m:t>
                </m:r>
                <m:rad>
                  <m:radPr>
                    <m:degHide m:val="1"/>
                    <m:ctrlPr>
                      <w:rPr>
                        <w:rStyle w:val="ECCParagraph"/>
                        <w:rFonts w:ascii="Cambria Math" w:hAnsi="Cambria Math"/>
                        <w:noProof/>
                      </w:rPr>
                    </m:ctrlPr>
                  </m:radPr>
                  <m:deg/>
                  <m:e>
                    <m:f>
                      <m:fPr>
                        <m:ctrlPr>
                          <w:rPr>
                            <w:rStyle w:val="ECCParagraph"/>
                            <w:rFonts w:ascii="Cambria Math" w:hAnsi="Cambria Math"/>
                            <w:noProof/>
                          </w:rPr>
                        </m:ctrlPr>
                      </m:fPr>
                      <m:num>
                        <m:r>
                          <w:rPr>
                            <w:rStyle w:val="ECCParagraph"/>
                            <w:rFonts w:ascii="Cambria Math" w:hAnsi="Cambria Math"/>
                            <w:noProof/>
                          </w:rPr>
                          <m:t>8</m:t>
                        </m:r>
                      </m:num>
                      <m:den>
                        <m:r>
                          <w:rPr>
                            <w:rStyle w:val="ECCParagraph"/>
                            <w:rFonts w:ascii="Cambria Math" w:hAnsi="Cambria Math"/>
                            <w:noProof/>
                          </w:rPr>
                          <m:t>3</m:t>
                        </m:r>
                      </m:den>
                    </m:f>
                    <m:r>
                      <w:rPr>
                        <w:rStyle w:val="ECCParagraph"/>
                        <w:rFonts w:ascii="Cambria Math" w:hAnsi="Cambria Math"/>
                        <w:noProof/>
                      </w:rPr>
                      <m:t>R</m:t>
                    </m:r>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2</m:t>
                        </m:r>
                      </m:sub>
                    </m:sSub>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h</m:t>
                        </m:r>
                      </m:e>
                      <m:sub>
                        <m:r>
                          <w:rPr>
                            <w:rStyle w:val="ECCParagraph"/>
                            <w:rFonts w:ascii="Cambria Math" w:hAnsi="Cambria Math"/>
                            <w:noProof/>
                          </w:rPr>
                          <m:t>2</m:t>
                        </m:r>
                      </m:sub>
                      <m:sup>
                        <m:r>
                          <w:rPr>
                            <w:rStyle w:val="ECCParagraph"/>
                            <w:rFonts w:ascii="Cambria Math" w:hAnsi="Cambria Math"/>
                            <w:noProof/>
                          </w:rPr>
                          <m:t>2</m:t>
                        </m:r>
                      </m:sup>
                    </m:sSubSup>
                  </m:e>
                </m:rad>
              </m:oMath>
            </m:oMathPara>
          </w:p>
          <w:p w14:paraId="228E4431" w14:textId="77777777" w:rsidR="00BC32E2" w:rsidRPr="006D6727" w:rsidRDefault="00BC32E2" w:rsidP="00BC32E2">
            <w:pPr>
              <w:pStyle w:val="ECCBulletsLv1"/>
              <w:numPr>
                <w:ilvl w:val="0"/>
                <w:numId w:val="0"/>
              </w:numPr>
              <w:ind w:left="340" w:hanging="340"/>
              <w:rPr>
                <w:rStyle w:val="ECCParagraph"/>
                <w:noProof/>
              </w:rPr>
            </w:pPr>
          </w:p>
          <w:p w14:paraId="2137DB6D" w14:textId="304CC449" w:rsidR="00034148" w:rsidRPr="00144C97" w:rsidRDefault="00BC32E2" w:rsidP="008A2884">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noProof/>
                  </w:rPr>
                  <m:t>d=</m:t>
                </m:r>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1</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2</m:t>
                    </m:r>
                  </m:sub>
                </m:sSub>
              </m:oMath>
            </m:oMathPara>
          </w:p>
        </w:tc>
        <w:tc>
          <w:tcPr>
            <w:tcW w:w="239" w:type="pct"/>
          </w:tcPr>
          <w:p w14:paraId="76E9B24C" w14:textId="5B03FFB0"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11</w:t>
            </w:r>
            <w:r>
              <w:fldChar w:fldCharType="end"/>
            </w:r>
            <w:r>
              <w:t>)</w:t>
            </w:r>
          </w:p>
        </w:tc>
      </w:tr>
    </w:tbl>
    <w:p w14:paraId="0E2C4095" w14:textId="77777777" w:rsidR="009A4372" w:rsidRPr="006D6727" w:rsidRDefault="009A4372" w:rsidP="009A4372">
      <w:pPr>
        <w:rPr>
          <w:noProof/>
        </w:rPr>
      </w:pPr>
      <w:r w:rsidRPr="006D6727">
        <w:rPr>
          <w:noProof/>
        </w:rPr>
        <w:t>where:</w:t>
      </w:r>
    </w:p>
    <w:p w14:paraId="52B64787" w14:textId="4F7E7666" w:rsidR="009A4372" w:rsidRPr="006D6727" w:rsidRDefault="00E55534" w:rsidP="00BC32E2">
      <w:pPr>
        <w:pStyle w:val="ECCBulletsLv1"/>
        <w:rPr>
          <w:rStyle w:val="ECCParagraph"/>
          <w:noProof/>
        </w:rPr>
      </w:pPr>
      <m:oMath>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1</m:t>
            </m:r>
          </m:sub>
        </m:sSub>
        <m:r>
          <w:rPr>
            <w:rStyle w:val="ECCParagraph"/>
            <w:rFonts w:ascii="Cambria Math" w:hAnsi="Cambria Math"/>
            <w:noProof/>
          </w:rPr>
          <m:t>-</m:t>
        </m:r>
      </m:oMath>
      <w:r w:rsidR="009A4372" w:rsidRPr="006D6727">
        <w:rPr>
          <w:rStyle w:val="ECCParagraph"/>
          <w:noProof/>
        </w:rPr>
        <w:t xml:space="preserve"> antenna height above ground of interferer</w:t>
      </w:r>
      <w:r w:rsidR="00BC32E2">
        <w:rPr>
          <w:rStyle w:val="ECCParagraph"/>
          <w:noProof/>
        </w:rPr>
        <w:t>;</w:t>
      </w:r>
    </w:p>
    <w:p w14:paraId="35E2F71C" w14:textId="41911101" w:rsidR="009A4372" w:rsidRPr="006D6727" w:rsidRDefault="00E55534" w:rsidP="00BC32E2">
      <w:pPr>
        <w:pStyle w:val="ECCBulletsLv1"/>
        <w:rPr>
          <w:rStyle w:val="ECCParagraph"/>
          <w:noProof/>
        </w:rPr>
      </w:pPr>
      <m:oMath>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2</m:t>
            </m:r>
          </m:sub>
        </m:sSub>
        <m:r>
          <w:rPr>
            <w:rStyle w:val="ECCParagraph"/>
            <w:rFonts w:ascii="Cambria Math" w:hAnsi="Cambria Math"/>
            <w:noProof/>
          </w:rPr>
          <m:t>-</m:t>
        </m:r>
      </m:oMath>
      <w:r w:rsidR="009A4372" w:rsidRPr="006D6727">
        <w:rPr>
          <w:rStyle w:val="ECCParagraph"/>
          <w:noProof/>
        </w:rPr>
        <w:t xml:space="preserve"> antenna height above ground of victim</w:t>
      </w:r>
      <w:r w:rsidR="00BC32E2">
        <w:rPr>
          <w:rStyle w:val="ECCParagraph"/>
          <w:noProof/>
        </w:rPr>
        <w:t>;</w:t>
      </w:r>
    </w:p>
    <w:p w14:paraId="5F2ECAAE" w14:textId="77777777" w:rsidR="009A4372" w:rsidRPr="006D6727" w:rsidRDefault="009A4372" w:rsidP="00BC32E2">
      <w:pPr>
        <w:pStyle w:val="ECCBulletsLv1"/>
        <w:rPr>
          <w:rStyle w:val="ECCParagraph"/>
          <w:noProof/>
        </w:rPr>
      </w:pPr>
      <m:oMath>
        <m:r>
          <w:rPr>
            <w:rStyle w:val="ECCParagraph"/>
            <w:rFonts w:ascii="Cambria Math" w:hAnsi="Cambria Math"/>
            <w:noProof/>
          </w:rPr>
          <m:t>R-</m:t>
        </m:r>
      </m:oMath>
      <w:r w:rsidRPr="006D6727">
        <w:rPr>
          <w:rStyle w:val="ECCParagraph"/>
          <w:noProof/>
        </w:rPr>
        <w:t xml:space="preserve"> radius of the Earth, 6371 km.</w:t>
      </w:r>
    </w:p>
    <w:p w14:paraId="2122696D" w14:textId="61CD269D" w:rsidR="009A4372" w:rsidRPr="006D6727" w:rsidRDefault="009A4372" w:rsidP="009A4372">
      <w:pPr>
        <w:rPr>
          <w:noProof/>
        </w:rPr>
      </w:pPr>
      <w:r w:rsidRPr="006D6727">
        <w:rPr>
          <w:noProof/>
        </w:rPr>
        <w:t xml:space="preserve">The equations above take into account the refractive effects of atmospheric layers with different temperatures under normal conditions. Under these conditions, RF signals do not propagate in straight lines but rather follow the Earth's curvature and can propagate beyond the geometrical horizon. Therefore, the radio horizon can be increased by approximately a factor of 4/3 compared to the geometrical horizon. </w:t>
      </w:r>
      <w:r w:rsidRPr="006D6727">
        <w:rPr>
          <w:rStyle w:val="ECCHLyellow"/>
          <w:noProof/>
        </w:rPr>
        <w:fldChar w:fldCharType="begin"/>
      </w:r>
      <w:r w:rsidRPr="006D6727">
        <w:rPr>
          <w:noProof/>
        </w:rPr>
        <w:instrText xml:space="preserve"> REF _Ref386648351 \h </w:instrText>
      </w:r>
      <w:r w:rsidRPr="006D6727">
        <w:rPr>
          <w:rStyle w:val="ECCHLyellow"/>
          <w:noProof/>
        </w:rPr>
      </w:r>
      <w:r w:rsidRPr="006D6727">
        <w:rPr>
          <w:rStyle w:val="ECCHLyellow"/>
          <w:noProof/>
        </w:rPr>
        <w:fldChar w:fldCharType="separate"/>
      </w:r>
      <w:r w:rsidR="0041125F" w:rsidRPr="006D6727">
        <w:rPr>
          <w:noProof/>
        </w:rPr>
        <w:t>Table </w:t>
      </w:r>
      <w:r w:rsidR="0041125F">
        <w:rPr>
          <w:noProof/>
        </w:rPr>
        <w:t>35</w:t>
      </w:r>
      <w:r w:rsidRPr="006D6727">
        <w:rPr>
          <w:rStyle w:val="ECCHLyellow"/>
          <w:noProof/>
        </w:rPr>
        <w:fldChar w:fldCharType="end"/>
      </w:r>
      <w:r w:rsidRPr="006D6727">
        <w:rPr>
          <w:rStyle w:val="ECCParagraph"/>
          <w:noProof/>
        </w:rPr>
        <w:t xml:space="preserve"> </w:t>
      </w:r>
      <w:r w:rsidRPr="006D6727">
        <w:rPr>
          <w:noProof/>
        </w:rPr>
        <w:t>shows the calculated radio horizon for a representative set of interferer and victim antenna heights.</w:t>
      </w:r>
    </w:p>
    <w:p w14:paraId="403349DF" w14:textId="04985FEA" w:rsidR="009A4372" w:rsidRPr="006D6727" w:rsidRDefault="009A4372" w:rsidP="009A4372">
      <w:pPr>
        <w:pStyle w:val="Caption"/>
        <w:rPr>
          <w:noProof/>
          <w:lang w:val="en-GB"/>
        </w:rPr>
      </w:pPr>
      <w:bookmarkStart w:id="423" w:name="_Ref386648351"/>
      <w:r w:rsidRPr="006D6727">
        <w:rPr>
          <w:noProof/>
          <w:lang w:val="en-GB"/>
        </w:rPr>
        <w:t>Table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35</w:t>
      </w:r>
      <w:r w:rsidR="00616942" w:rsidRPr="006D6727">
        <w:rPr>
          <w:noProof/>
          <w:lang w:val="en-GB"/>
        </w:rPr>
        <w:fldChar w:fldCharType="end"/>
      </w:r>
      <w:bookmarkEnd w:id="423"/>
      <w:r w:rsidRPr="006D6727">
        <w:rPr>
          <w:noProof/>
          <w:lang w:val="en-GB"/>
        </w:rPr>
        <w:t>: Calculation of the radio horizon for different antenna heights of interferer and victim</w:t>
      </w:r>
    </w:p>
    <w:tbl>
      <w:tblPr>
        <w:tblStyle w:val="ECCTable-redheader"/>
        <w:tblW w:w="5000" w:type="pct"/>
        <w:tblInd w:w="0" w:type="dxa"/>
        <w:tblLook w:val="0020" w:firstRow="1" w:lastRow="0" w:firstColumn="0" w:lastColumn="0" w:noHBand="0" w:noVBand="0"/>
      </w:tblPr>
      <w:tblGrid>
        <w:gridCol w:w="1746"/>
        <w:gridCol w:w="1615"/>
        <w:gridCol w:w="1234"/>
        <w:gridCol w:w="1656"/>
        <w:gridCol w:w="1541"/>
        <w:gridCol w:w="1837"/>
      </w:tblGrid>
      <w:tr w:rsidR="009A4372" w:rsidRPr="006D6727" w14:paraId="7455A0CC" w14:textId="77777777" w:rsidTr="004F1887">
        <w:trPr>
          <w:cnfStyle w:val="100000000000" w:firstRow="1" w:lastRow="0" w:firstColumn="0" w:lastColumn="0" w:oddVBand="0" w:evenVBand="0" w:oddHBand="0" w:evenHBand="0" w:firstRowFirstColumn="0" w:firstRowLastColumn="0" w:lastRowFirstColumn="0" w:lastRowLastColumn="0"/>
        </w:trPr>
        <w:tc>
          <w:tcPr>
            <w:tcW w:w="1746" w:type="dxa"/>
          </w:tcPr>
          <w:p w14:paraId="0AA5D099" w14:textId="77777777" w:rsidR="009A4372" w:rsidRPr="006D6727" w:rsidRDefault="009A4372" w:rsidP="009A4372">
            <w:pPr>
              <w:rPr>
                <w:noProof/>
              </w:rPr>
            </w:pPr>
            <w:r w:rsidRPr="006D6727">
              <w:rPr>
                <w:noProof/>
              </w:rPr>
              <w:t xml:space="preserve">Antenna height </w:t>
            </w:r>
            <m:oMath>
              <m:sSub>
                <m:sSubPr>
                  <m:ctrlPr>
                    <w:rPr>
                      <w:rStyle w:val="ECCParagraph"/>
                      <w:rFonts w:ascii="Cambria Math" w:hAnsi="Cambria Math"/>
                      <w:noProof/>
                      <w:lang w:eastAsia="en-US"/>
                    </w:rPr>
                  </m:ctrlPr>
                </m:sSubPr>
                <m:e>
                  <m:r>
                    <m:rPr>
                      <m:sty m:val="bi"/>
                    </m:rPr>
                    <w:rPr>
                      <w:rStyle w:val="ECCParagraph"/>
                      <w:rFonts w:ascii="Cambria Math" w:hAnsi="Cambria Math"/>
                      <w:noProof/>
                    </w:rPr>
                    <m:t>h</m:t>
                  </m:r>
                </m:e>
                <m:sub>
                  <m:r>
                    <m:rPr>
                      <m:sty m:val="bi"/>
                    </m:rPr>
                    <w:rPr>
                      <w:rStyle w:val="ECCParagraph"/>
                      <w:rFonts w:ascii="Cambria Math" w:hAnsi="Cambria Math"/>
                      <w:noProof/>
                    </w:rPr>
                    <m:t>1</m:t>
                  </m:r>
                </m:sub>
              </m:sSub>
            </m:oMath>
            <w:r w:rsidRPr="006D6727">
              <w:rPr>
                <w:noProof/>
              </w:rPr>
              <w:t xml:space="preserve"> of interferer above ground</w:t>
            </w:r>
            <w:r w:rsidRPr="006D6727">
              <w:rPr>
                <w:noProof/>
              </w:rPr>
              <w:br/>
              <w:t>(m)</w:t>
            </w:r>
          </w:p>
        </w:tc>
        <w:tc>
          <w:tcPr>
            <w:tcW w:w="1615" w:type="dxa"/>
          </w:tcPr>
          <w:p w14:paraId="1640363B" w14:textId="77777777" w:rsidR="009A4372" w:rsidRPr="006D6727" w:rsidRDefault="009A4372" w:rsidP="009A4372">
            <w:pPr>
              <w:rPr>
                <w:noProof/>
              </w:rPr>
            </w:pPr>
            <w:r w:rsidRPr="006D6727">
              <w:rPr>
                <w:noProof/>
              </w:rPr>
              <w:t xml:space="preserve">Antenna height </w:t>
            </w:r>
            <m:oMath>
              <m:sSub>
                <m:sSubPr>
                  <m:ctrlPr>
                    <w:rPr>
                      <w:rStyle w:val="ECCParagraph"/>
                      <w:rFonts w:ascii="Cambria Math" w:hAnsi="Cambria Math"/>
                      <w:noProof/>
                      <w:lang w:eastAsia="en-US"/>
                    </w:rPr>
                  </m:ctrlPr>
                </m:sSubPr>
                <m:e>
                  <m:r>
                    <m:rPr>
                      <m:sty m:val="bi"/>
                    </m:rPr>
                    <w:rPr>
                      <w:rStyle w:val="ECCParagraph"/>
                      <w:rFonts w:ascii="Cambria Math" w:hAnsi="Cambria Math"/>
                      <w:noProof/>
                    </w:rPr>
                    <m:t>h</m:t>
                  </m:r>
                </m:e>
                <m:sub>
                  <m:r>
                    <m:rPr>
                      <m:sty m:val="bi"/>
                    </m:rPr>
                    <w:rPr>
                      <w:rStyle w:val="ECCParagraph"/>
                      <w:rFonts w:ascii="Cambria Math" w:hAnsi="Cambria Math"/>
                      <w:noProof/>
                    </w:rPr>
                    <m:t>2</m:t>
                  </m:r>
                </m:sub>
              </m:sSub>
            </m:oMath>
            <w:r w:rsidRPr="006D6727">
              <w:rPr>
                <w:noProof/>
              </w:rPr>
              <w:t xml:space="preserve"> of victim </w:t>
            </w:r>
            <w:r w:rsidR="00A755DC" w:rsidRPr="006D6727">
              <w:rPr>
                <w:noProof/>
              </w:rPr>
              <w:t xml:space="preserve">including terrain height </w:t>
            </w:r>
            <w:r w:rsidRPr="006D6727">
              <w:rPr>
                <w:noProof/>
              </w:rPr>
              <w:br/>
              <w:t xml:space="preserve">(m) </w:t>
            </w:r>
          </w:p>
        </w:tc>
        <w:tc>
          <w:tcPr>
            <w:tcW w:w="1234" w:type="dxa"/>
          </w:tcPr>
          <w:p w14:paraId="386D3533" w14:textId="77777777" w:rsidR="009A4372" w:rsidRPr="006D6727" w:rsidRDefault="009A4372" w:rsidP="009A4372">
            <w:pPr>
              <w:rPr>
                <w:noProof/>
              </w:rPr>
            </w:pPr>
            <w:r w:rsidRPr="006D6727">
              <w:rPr>
                <w:noProof/>
              </w:rPr>
              <w:t xml:space="preserve">Radio horizon </w:t>
            </w:r>
            <m:oMath>
              <m:r>
                <m:rPr>
                  <m:sty m:val="bi"/>
                </m:rPr>
                <w:rPr>
                  <w:rStyle w:val="ECCParagraph"/>
                  <w:rFonts w:ascii="Cambria Math" w:hAnsi="Cambria Math"/>
                  <w:noProof/>
                </w:rPr>
                <m:t>d</m:t>
              </m:r>
            </m:oMath>
            <w:r w:rsidRPr="006D6727">
              <w:rPr>
                <w:noProof/>
              </w:rPr>
              <w:br/>
              <w:t>(km)</w:t>
            </w:r>
          </w:p>
        </w:tc>
        <w:tc>
          <w:tcPr>
            <w:tcW w:w="1656" w:type="dxa"/>
          </w:tcPr>
          <w:p w14:paraId="509EAF1B" w14:textId="77777777" w:rsidR="009A4372" w:rsidRPr="006D6727" w:rsidRDefault="009A4372" w:rsidP="009A4372">
            <w:pPr>
              <w:rPr>
                <w:noProof/>
              </w:rPr>
            </w:pPr>
            <w:r w:rsidRPr="006D6727">
              <w:rPr>
                <w:noProof/>
              </w:rPr>
              <w:t>Path loss FSL+0</w:t>
            </w:r>
            <w:r w:rsidR="00CF4994">
              <w:rPr>
                <w:noProof/>
              </w:rPr>
              <w:t>.8</w:t>
            </w:r>
            <w:r w:rsidRPr="006D6727">
              <w:rPr>
                <w:noProof/>
              </w:rPr>
              <w:t> dB/km</w:t>
            </w:r>
            <w:r w:rsidR="002B7E97" w:rsidRPr="006D6727">
              <w:rPr>
                <w:noProof/>
              </w:rPr>
              <w:t xml:space="preserve"> (dB)</w:t>
            </w:r>
            <w:r w:rsidR="0031748A" w:rsidRPr="006D6727">
              <w:rPr>
                <w:noProof/>
              </w:rPr>
              <w:t xml:space="preserve"> (Note 1)</w:t>
            </w:r>
          </w:p>
          <w:p w14:paraId="72B086E2" w14:textId="77777777" w:rsidR="009A4372" w:rsidRPr="006D6727" w:rsidRDefault="009A4372" w:rsidP="009A4372">
            <w:pPr>
              <w:rPr>
                <w:noProof/>
              </w:rPr>
            </w:pPr>
            <w:r w:rsidRPr="006D6727">
              <w:rPr>
                <w:noProof/>
              </w:rPr>
              <w:t>(f = 136 GHz)</w:t>
            </w:r>
          </w:p>
        </w:tc>
        <w:tc>
          <w:tcPr>
            <w:tcW w:w="1541" w:type="dxa"/>
          </w:tcPr>
          <w:p w14:paraId="79337167" w14:textId="77777777" w:rsidR="009A4372" w:rsidRPr="006D6727" w:rsidRDefault="009A4372" w:rsidP="009A4372">
            <w:pPr>
              <w:rPr>
                <w:noProof/>
              </w:rPr>
            </w:pPr>
            <w:r w:rsidRPr="006D6727">
              <w:rPr>
                <w:noProof/>
              </w:rPr>
              <w:t>Path loss FSL+1 dB/km</w:t>
            </w:r>
            <w:r w:rsidR="002B7E97" w:rsidRPr="006D6727">
              <w:rPr>
                <w:noProof/>
              </w:rPr>
              <w:t xml:space="preserve"> (dB)</w:t>
            </w:r>
            <w:r w:rsidR="0031748A" w:rsidRPr="006D6727">
              <w:rPr>
                <w:noProof/>
              </w:rPr>
              <w:t xml:space="preserve"> (Note 1)</w:t>
            </w:r>
          </w:p>
          <w:p w14:paraId="45926C70" w14:textId="77777777" w:rsidR="009A4372" w:rsidRPr="006D6727" w:rsidRDefault="009A4372" w:rsidP="009A4372">
            <w:pPr>
              <w:rPr>
                <w:noProof/>
              </w:rPr>
            </w:pPr>
            <w:r w:rsidRPr="006D6727">
              <w:rPr>
                <w:noProof/>
              </w:rPr>
              <w:t>(f = 171 GHz)</w:t>
            </w:r>
          </w:p>
        </w:tc>
        <w:tc>
          <w:tcPr>
            <w:tcW w:w="1837" w:type="dxa"/>
          </w:tcPr>
          <w:p w14:paraId="1D56CD72" w14:textId="77777777" w:rsidR="009A4372" w:rsidRPr="006D6727" w:rsidRDefault="009A4372" w:rsidP="009A4372">
            <w:pPr>
              <w:rPr>
                <w:noProof/>
              </w:rPr>
            </w:pPr>
            <w:r w:rsidRPr="006D6727">
              <w:rPr>
                <w:noProof/>
              </w:rPr>
              <w:t>Path loss FSL+3 dB/km</w:t>
            </w:r>
            <w:r w:rsidR="002B7E97" w:rsidRPr="006D6727">
              <w:rPr>
                <w:noProof/>
              </w:rPr>
              <w:t xml:space="preserve"> (dB)</w:t>
            </w:r>
            <w:r w:rsidR="0031748A" w:rsidRPr="006D6727">
              <w:rPr>
                <w:noProof/>
              </w:rPr>
              <w:t xml:space="preserve"> (Note 1)</w:t>
            </w:r>
          </w:p>
          <w:p w14:paraId="26145034" w14:textId="77777777" w:rsidR="009A4372" w:rsidRPr="006D6727" w:rsidRDefault="009A4372" w:rsidP="009A4372">
            <w:pPr>
              <w:rPr>
                <w:noProof/>
              </w:rPr>
            </w:pPr>
            <w:r w:rsidRPr="006D6727">
              <w:rPr>
                <w:noProof/>
              </w:rPr>
              <w:t>(f = 237 GHz)</w:t>
            </w:r>
          </w:p>
        </w:tc>
      </w:tr>
      <w:tr w:rsidR="009A4372" w:rsidRPr="006D6727" w14:paraId="29F40834" w14:textId="77777777" w:rsidTr="004F1887">
        <w:tc>
          <w:tcPr>
            <w:tcW w:w="1746" w:type="dxa"/>
          </w:tcPr>
          <w:p w14:paraId="14069E02" w14:textId="77777777" w:rsidR="009A4372" w:rsidRPr="006D6727" w:rsidRDefault="009A4372" w:rsidP="00B856BB">
            <w:pPr>
              <w:pStyle w:val="ECCTabletext"/>
              <w:jc w:val="left"/>
              <w:rPr>
                <w:noProof/>
              </w:rPr>
            </w:pPr>
            <w:r w:rsidRPr="006D6727">
              <w:rPr>
                <w:noProof/>
              </w:rPr>
              <w:t>15</w:t>
            </w:r>
          </w:p>
        </w:tc>
        <w:tc>
          <w:tcPr>
            <w:tcW w:w="1615" w:type="dxa"/>
          </w:tcPr>
          <w:p w14:paraId="5CE87BC8" w14:textId="77777777" w:rsidR="009A4372" w:rsidRPr="006D6727" w:rsidRDefault="009A4372" w:rsidP="00B856BB">
            <w:pPr>
              <w:pStyle w:val="ECCTabletext"/>
              <w:jc w:val="left"/>
              <w:rPr>
                <w:noProof/>
              </w:rPr>
            </w:pPr>
            <w:r w:rsidRPr="006D6727">
              <w:rPr>
                <w:noProof/>
              </w:rPr>
              <w:t>500</w:t>
            </w:r>
          </w:p>
        </w:tc>
        <w:tc>
          <w:tcPr>
            <w:tcW w:w="1234" w:type="dxa"/>
          </w:tcPr>
          <w:p w14:paraId="5DE18551" w14:textId="77777777" w:rsidR="009A4372" w:rsidRPr="006D6727" w:rsidRDefault="009A4372" w:rsidP="00B856BB">
            <w:pPr>
              <w:pStyle w:val="ECCTabletext"/>
              <w:jc w:val="left"/>
              <w:rPr>
                <w:noProof/>
              </w:rPr>
            </w:pPr>
            <w:r w:rsidRPr="006D6727">
              <w:rPr>
                <w:noProof/>
              </w:rPr>
              <w:t>108</w:t>
            </w:r>
          </w:p>
        </w:tc>
        <w:tc>
          <w:tcPr>
            <w:tcW w:w="1656" w:type="dxa"/>
          </w:tcPr>
          <w:p w14:paraId="2FC45037" w14:textId="77777777" w:rsidR="009A4372" w:rsidRPr="006D6727" w:rsidRDefault="009A4372" w:rsidP="00B856BB">
            <w:pPr>
              <w:pStyle w:val="ECCTabletext"/>
              <w:jc w:val="left"/>
              <w:rPr>
                <w:rStyle w:val="ECCHLyellow"/>
                <w:noProof/>
              </w:rPr>
            </w:pPr>
            <w:r w:rsidRPr="006D6727">
              <w:rPr>
                <w:rStyle w:val="ECCParagraph"/>
                <w:noProof/>
              </w:rPr>
              <w:t>219</w:t>
            </w:r>
          </w:p>
        </w:tc>
        <w:tc>
          <w:tcPr>
            <w:tcW w:w="1541" w:type="dxa"/>
          </w:tcPr>
          <w:p w14:paraId="19461504" w14:textId="77777777" w:rsidR="009A4372" w:rsidRPr="006D6727" w:rsidRDefault="009A4372" w:rsidP="00B856BB">
            <w:pPr>
              <w:pStyle w:val="ECCTabletext"/>
              <w:jc w:val="left"/>
              <w:rPr>
                <w:rStyle w:val="ECCHLyellow"/>
                <w:noProof/>
              </w:rPr>
            </w:pPr>
            <w:r w:rsidRPr="006D6727">
              <w:rPr>
                <w:rStyle w:val="ECCParagraph"/>
                <w:noProof/>
              </w:rPr>
              <w:t>221</w:t>
            </w:r>
          </w:p>
        </w:tc>
        <w:tc>
          <w:tcPr>
            <w:tcW w:w="1837" w:type="dxa"/>
          </w:tcPr>
          <w:p w14:paraId="30A0F56C" w14:textId="77777777" w:rsidR="009A4372" w:rsidRPr="006D6727" w:rsidRDefault="009A4372" w:rsidP="00B856BB">
            <w:pPr>
              <w:pStyle w:val="ECCTabletext"/>
              <w:jc w:val="left"/>
              <w:rPr>
                <w:rStyle w:val="ECCParagraph"/>
                <w:noProof/>
              </w:rPr>
            </w:pPr>
            <w:r w:rsidRPr="006D6727">
              <w:rPr>
                <w:rStyle w:val="ECCParagraph"/>
                <w:noProof/>
              </w:rPr>
              <w:t>224</w:t>
            </w:r>
          </w:p>
        </w:tc>
      </w:tr>
      <w:tr w:rsidR="009A4372" w:rsidRPr="006D6727" w14:paraId="5A0BDAC2" w14:textId="77777777" w:rsidTr="004F1887">
        <w:tc>
          <w:tcPr>
            <w:tcW w:w="1746" w:type="dxa"/>
          </w:tcPr>
          <w:p w14:paraId="11EB6FCF" w14:textId="77777777" w:rsidR="009A4372" w:rsidRPr="006D6727" w:rsidRDefault="009A4372" w:rsidP="00B856BB">
            <w:pPr>
              <w:pStyle w:val="ECCTabletext"/>
              <w:jc w:val="left"/>
              <w:rPr>
                <w:noProof/>
              </w:rPr>
            </w:pPr>
            <w:r w:rsidRPr="006D6727">
              <w:rPr>
                <w:noProof/>
              </w:rPr>
              <w:t>15</w:t>
            </w:r>
          </w:p>
        </w:tc>
        <w:tc>
          <w:tcPr>
            <w:tcW w:w="1615" w:type="dxa"/>
          </w:tcPr>
          <w:p w14:paraId="102D2587" w14:textId="77777777" w:rsidR="009A4372" w:rsidRPr="006D6727" w:rsidRDefault="009A4372" w:rsidP="00B856BB">
            <w:pPr>
              <w:pStyle w:val="ECCTabletext"/>
              <w:jc w:val="left"/>
              <w:rPr>
                <w:noProof/>
              </w:rPr>
            </w:pPr>
            <w:r w:rsidRPr="006D6727">
              <w:rPr>
                <w:noProof/>
              </w:rPr>
              <w:t>100</w:t>
            </w:r>
          </w:p>
        </w:tc>
        <w:tc>
          <w:tcPr>
            <w:tcW w:w="1234" w:type="dxa"/>
          </w:tcPr>
          <w:p w14:paraId="2F0570E7" w14:textId="77777777" w:rsidR="009A4372" w:rsidRPr="006D6727" w:rsidRDefault="009A4372" w:rsidP="00B856BB">
            <w:pPr>
              <w:pStyle w:val="ECCTabletext"/>
              <w:jc w:val="left"/>
              <w:rPr>
                <w:noProof/>
              </w:rPr>
            </w:pPr>
            <w:r w:rsidRPr="006D6727">
              <w:rPr>
                <w:noProof/>
              </w:rPr>
              <w:t>57</w:t>
            </w:r>
          </w:p>
        </w:tc>
        <w:tc>
          <w:tcPr>
            <w:tcW w:w="1656" w:type="dxa"/>
          </w:tcPr>
          <w:p w14:paraId="7EC924FB" w14:textId="77777777" w:rsidR="009A4372" w:rsidRPr="006D6727" w:rsidRDefault="009A4372" w:rsidP="00B856BB">
            <w:pPr>
              <w:pStyle w:val="ECCTabletext"/>
              <w:jc w:val="left"/>
              <w:rPr>
                <w:rStyle w:val="ECCHLyellow"/>
                <w:noProof/>
              </w:rPr>
            </w:pPr>
            <w:r w:rsidRPr="006D6727">
              <w:rPr>
                <w:rStyle w:val="ECCParagraph"/>
                <w:noProof/>
              </w:rPr>
              <w:t>193</w:t>
            </w:r>
          </w:p>
        </w:tc>
        <w:tc>
          <w:tcPr>
            <w:tcW w:w="1541" w:type="dxa"/>
          </w:tcPr>
          <w:p w14:paraId="059CB3F0" w14:textId="77777777" w:rsidR="009A4372" w:rsidRPr="006D6727" w:rsidRDefault="009A4372" w:rsidP="00B856BB">
            <w:pPr>
              <w:pStyle w:val="ECCTabletext"/>
              <w:jc w:val="left"/>
              <w:rPr>
                <w:rStyle w:val="ECCHLyellow"/>
                <w:noProof/>
              </w:rPr>
            </w:pPr>
            <w:r w:rsidRPr="006D6727">
              <w:rPr>
                <w:rStyle w:val="ECCParagraph"/>
                <w:noProof/>
              </w:rPr>
              <w:t>195</w:t>
            </w:r>
          </w:p>
        </w:tc>
        <w:tc>
          <w:tcPr>
            <w:tcW w:w="1837" w:type="dxa"/>
          </w:tcPr>
          <w:p w14:paraId="67AFB050" w14:textId="77777777" w:rsidR="009A4372" w:rsidRPr="006D6727" w:rsidRDefault="009A4372" w:rsidP="00B856BB">
            <w:pPr>
              <w:pStyle w:val="ECCTabletext"/>
              <w:jc w:val="left"/>
              <w:rPr>
                <w:rStyle w:val="ECCParagraph"/>
                <w:noProof/>
              </w:rPr>
            </w:pPr>
            <w:r w:rsidRPr="006D6727">
              <w:rPr>
                <w:rStyle w:val="ECCParagraph"/>
                <w:noProof/>
              </w:rPr>
              <w:t>198</w:t>
            </w:r>
          </w:p>
        </w:tc>
      </w:tr>
      <w:tr w:rsidR="009A4372" w:rsidRPr="006D6727" w14:paraId="0502C7FB" w14:textId="77777777" w:rsidTr="004F1887">
        <w:tc>
          <w:tcPr>
            <w:tcW w:w="1746" w:type="dxa"/>
          </w:tcPr>
          <w:p w14:paraId="13D41B52" w14:textId="77777777" w:rsidR="009A4372" w:rsidRPr="006D6727" w:rsidRDefault="009A4372" w:rsidP="00B856BB">
            <w:pPr>
              <w:pStyle w:val="ECCTabletext"/>
              <w:jc w:val="left"/>
              <w:rPr>
                <w:noProof/>
              </w:rPr>
            </w:pPr>
            <w:r w:rsidRPr="006D6727">
              <w:rPr>
                <w:noProof/>
              </w:rPr>
              <w:t>10</w:t>
            </w:r>
          </w:p>
        </w:tc>
        <w:tc>
          <w:tcPr>
            <w:tcW w:w="1615" w:type="dxa"/>
          </w:tcPr>
          <w:p w14:paraId="4B28E045" w14:textId="77777777" w:rsidR="009A4372" w:rsidRPr="006D6727" w:rsidRDefault="009A4372" w:rsidP="00B856BB">
            <w:pPr>
              <w:pStyle w:val="ECCTabletext"/>
              <w:jc w:val="left"/>
              <w:rPr>
                <w:noProof/>
              </w:rPr>
            </w:pPr>
            <w:r w:rsidRPr="006D6727">
              <w:rPr>
                <w:noProof/>
              </w:rPr>
              <w:t>100</w:t>
            </w:r>
          </w:p>
        </w:tc>
        <w:tc>
          <w:tcPr>
            <w:tcW w:w="1234" w:type="dxa"/>
          </w:tcPr>
          <w:p w14:paraId="7A309BD7" w14:textId="77777777" w:rsidR="009A4372" w:rsidRPr="006D6727" w:rsidRDefault="009A4372" w:rsidP="00B856BB">
            <w:pPr>
              <w:pStyle w:val="ECCTabletext"/>
              <w:jc w:val="left"/>
              <w:rPr>
                <w:noProof/>
              </w:rPr>
            </w:pPr>
            <w:r w:rsidRPr="006D6727">
              <w:rPr>
                <w:noProof/>
              </w:rPr>
              <w:t>54</w:t>
            </w:r>
          </w:p>
        </w:tc>
        <w:tc>
          <w:tcPr>
            <w:tcW w:w="1656" w:type="dxa"/>
          </w:tcPr>
          <w:p w14:paraId="35D79313" w14:textId="77777777" w:rsidR="009A4372" w:rsidRPr="006D6727" w:rsidRDefault="009A4372" w:rsidP="00B856BB">
            <w:pPr>
              <w:pStyle w:val="ECCTabletext"/>
              <w:jc w:val="left"/>
              <w:rPr>
                <w:rStyle w:val="ECCHLyellow"/>
                <w:noProof/>
              </w:rPr>
            </w:pPr>
            <w:r w:rsidRPr="006D6727">
              <w:rPr>
                <w:rStyle w:val="ECCParagraph"/>
                <w:noProof/>
              </w:rPr>
              <w:t>192</w:t>
            </w:r>
          </w:p>
        </w:tc>
        <w:tc>
          <w:tcPr>
            <w:tcW w:w="1541" w:type="dxa"/>
          </w:tcPr>
          <w:p w14:paraId="2A31FF12" w14:textId="77777777" w:rsidR="009A4372" w:rsidRPr="006D6727" w:rsidRDefault="009A4372" w:rsidP="00B856BB">
            <w:pPr>
              <w:pStyle w:val="ECCTabletext"/>
              <w:jc w:val="left"/>
              <w:rPr>
                <w:rStyle w:val="ECCHLyellow"/>
                <w:noProof/>
              </w:rPr>
            </w:pPr>
            <w:r w:rsidRPr="006D6727">
              <w:rPr>
                <w:rStyle w:val="ECCParagraph"/>
                <w:noProof/>
              </w:rPr>
              <w:t>194</w:t>
            </w:r>
          </w:p>
        </w:tc>
        <w:tc>
          <w:tcPr>
            <w:tcW w:w="1837" w:type="dxa"/>
          </w:tcPr>
          <w:p w14:paraId="5B130DBC" w14:textId="77777777" w:rsidR="009A4372" w:rsidRPr="006D6727" w:rsidRDefault="009A4372" w:rsidP="00B856BB">
            <w:pPr>
              <w:pStyle w:val="ECCTabletext"/>
              <w:jc w:val="left"/>
              <w:rPr>
                <w:rStyle w:val="ECCParagraph"/>
                <w:noProof/>
              </w:rPr>
            </w:pPr>
            <w:r w:rsidRPr="006D6727">
              <w:rPr>
                <w:rStyle w:val="ECCParagraph"/>
                <w:noProof/>
              </w:rPr>
              <w:t>196</w:t>
            </w:r>
          </w:p>
        </w:tc>
      </w:tr>
      <w:tr w:rsidR="009A4372" w:rsidRPr="006D6727" w14:paraId="61DF5D34" w14:textId="77777777" w:rsidTr="004F1887">
        <w:tc>
          <w:tcPr>
            <w:tcW w:w="1746" w:type="dxa"/>
          </w:tcPr>
          <w:p w14:paraId="56BEA420" w14:textId="77777777" w:rsidR="009A4372" w:rsidRPr="006D6727" w:rsidRDefault="009A4372" w:rsidP="00B856BB">
            <w:pPr>
              <w:pStyle w:val="ECCTabletext"/>
              <w:jc w:val="left"/>
              <w:rPr>
                <w:noProof/>
              </w:rPr>
            </w:pPr>
            <w:r w:rsidRPr="006D6727">
              <w:rPr>
                <w:noProof/>
              </w:rPr>
              <w:t>10</w:t>
            </w:r>
          </w:p>
        </w:tc>
        <w:tc>
          <w:tcPr>
            <w:tcW w:w="1615" w:type="dxa"/>
          </w:tcPr>
          <w:p w14:paraId="6AAB4573" w14:textId="77777777" w:rsidR="009A4372" w:rsidRPr="006D6727" w:rsidRDefault="009A4372" w:rsidP="00B856BB">
            <w:pPr>
              <w:pStyle w:val="ECCTabletext"/>
              <w:jc w:val="left"/>
              <w:rPr>
                <w:noProof/>
              </w:rPr>
            </w:pPr>
            <w:r w:rsidRPr="006D6727">
              <w:rPr>
                <w:noProof/>
              </w:rPr>
              <w:t>50</w:t>
            </w:r>
          </w:p>
        </w:tc>
        <w:tc>
          <w:tcPr>
            <w:tcW w:w="1234" w:type="dxa"/>
          </w:tcPr>
          <w:p w14:paraId="47944736" w14:textId="77777777" w:rsidR="009A4372" w:rsidRPr="006D6727" w:rsidRDefault="009A4372" w:rsidP="00B856BB">
            <w:pPr>
              <w:pStyle w:val="ECCTabletext"/>
              <w:jc w:val="left"/>
              <w:rPr>
                <w:noProof/>
              </w:rPr>
            </w:pPr>
            <w:r w:rsidRPr="006D6727">
              <w:rPr>
                <w:noProof/>
              </w:rPr>
              <w:t>42</w:t>
            </w:r>
          </w:p>
        </w:tc>
        <w:tc>
          <w:tcPr>
            <w:tcW w:w="1656" w:type="dxa"/>
          </w:tcPr>
          <w:p w14:paraId="1E7CB4D1" w14:textId="77777777" w:rsidR="009A4372" w:rsidRPr="006D6727" w:rsidRDefault="009A4372" w:rsidP="00B856BB">
            <w:pPr>
              <w:pStyle w:val="ECCTabletext"/>
              <w:jc w:val="left"/>
              <w:rPr>
                <w:noProof/>
              </w:rPr>
            </w:pPr>
            <w:r w:rsidRPr="006D6727">
              <w:rPr>
                <w:rStyle w:val="ECCParagraph"/>
                <w:noProof/>
              </w:rPr>
              <w:t>185</w:t>
            </w:r>
          </w:p>
        </w:tc>
        <w:tc>
          <w:tcPr>
            <w:tcW w:w="1541" w:type="dxa"/>
          </w:tcPr>
          <w:p w14:paraId="3131735E" w14:textId="77777777" w:rsidR="009A4372" w:rsidRPr="006D6727" w:rsidRDefault="009A4372" w:rsidP="00B856BB">
            <w:pPr>
              <w:pStyle w:val="ECCTabletext"/>
              <w:jc w:val="left"/>
              <w:rPr>
                <w:noProof/>
              </w:rPr>
            </w:pPr>
            <w:r w:rsidRPr="006D6727">
              <w:rPr>
                <w:rStyle w:val="ECCParagraph"/>
                <w:noProof/>
              </w:rPr>
              <w:t>187</w:t>
            </w:r>
          </w:p>
        </w:tc>
        <w:tc>
          <w:tcPr>
            <w:tcW w:w="1837" w:type="dxa"/>
          </w:tcPr>
          <w:p w14:paraId="5123B4E4" w14:textId="77777777" w:rsidR="009A4372" w:rsidRPr="006D6727" w:rsidRDefault="009A4372" w:rsidP="00B856BB">
            <w:pPr>
              <w:pStyle w:val="ECCTabletext"/>
              <w:jc w:val="left"/>
              <w:rPr>
                <w:rStyle w:val="ECCParagraph"/>
                <w:noProof/>
              </w:rPr>
            </w:pPr>
            <w:r w:rsidRPr="006D6727">
              <w:rPr>
                <w:rStyle w:val="ECCParagraph"/>
                <w:noProof/>
              </w:rPr>
              <w:t>189</w:t>
            </w:r>
          </w:p>
        </w:tc>
      </w:tr>
      <w:tr w:rsidR="009A4372" w:rsidRPr="006D6727" w14:paraId="2EB22F33" w14:textId="77777777" w:rsidTr="004F1887">
        <w:tc>
          <w:tcPr>
            <w:tcW w:w="1746" w:type="dxa"/>
          </w:tcPr>
          <w:p w14:paraId="51076D94" w14:textId="77777777" w:rsidR="009A4372" w:rsidRPr="006D6727" w:rsidRDefault="009A4372" w:rsidP="00B856BB">
            <w:pPr>
              <w:pStyle w:val="ECCTabletext"/>
              <w:jc w:val="left"/>
              <w:rPr>
                <w:noProof/>
              </w:rPr>
            </w:pPr>
            <w:r w:rsidRPr="006D6727">
              <w:rPr>
                <w:noProof/>
              </w:rPr>
              <w:t>5</w:t>
            </w:r>
          </w:p>
        </w:tc>
        <w:tc>
          <w:tcPr>
            <w:tcW w:w="1615" w:type="dxa"/>
          </w:tcPr>
          <w:p w14:paraId="2503B0DE" w14:textId="77777777" w:rsidR="009A4372" w:rsidRPr="006D6727" w:rsidRDefault="009A4372" w:rsidP="00B856BB">
            <w:pPr>
              <w:pStyle w:val="ECCTabletext"/>
              <w:jc w:val="left"/>
              <w:rPr>
                <w:noProof/>
              </w:rPr>
            </w:pPr>
            <w:r w:rsidRPr="006D6727">
              <w:rPr>
                <w:noProof/>
              </w:rPr>
              <w:t>20</w:t>
            </w:r>
          </w:p>
        </w:tc>
        <w:tc>
          <w:tcPr>
            <w:tcW w:w="1234" w:type="dxa"/>
          </w:tcPr>
          <w:p w14:paraId="19A4EFEB" w14:textId="77777777" w:rsidR="009A4372" w:rsidRPr="006D6727" w:rsidRDefault="009A4372" w:rsidP="00B856BB">
            <w:pPr>
              <w:pStyle w:val="ECCTabletext"/>
              <w:jc w:val="left"/>
              <w:rPr>
                <w:noProof/>
              </w:rPr>
            </w:pPr>
            <w:r w:rsidRPr="006D6727">
              <w:rPr>
                <w:noProof/>
              </w:rPr>
              <w:t>28</w:t>
            </w:r>
          </w:p>
        </w:tc>
        <w:tc>
          <w:tcPr>
            <w:tcW w:w="1656" w:type="dxa"/>
          </w:tcPr>
          <w:p w14:paraId="6794D7D8" w14:textId="77777777" w:rsidR="009A4372" w:rsidRPr="006D6727" w:rsidRDefault="009A4372" w:rsidP="00B856BB">
            <w:pPr>
              <w:pStyle w:val="ECCTabletext"/>
              <w:jc w:val="left"/>
              <w:rPr>
                <w:noProof/>
              </w:rPr>
            </w:pPr>
            <w:r w:rsidRPr="006D6727">
              <w:rPr>
                <w:rStyle w:val="ECCParagraph"/>
                <w:noProof/>
              </w:rPr>
              <w:t>175</w:t>
            </w:r>
          </w:p>
        </w:tc>
        <w:tc>
          <w:tcPr>
            <w:tcW w:w="1541" w:type="dxa"/>
          </w:tcPr>
          <w:p w14:paraId="542972A0" w14:textId="77777777" w:rsidR="009A4372" w:rsidRPr="006D6727" w:rsidRDefault="009A4372" w:rsidP="00B856BB">
            <w:pPr>
              <w:pStyle w:val="ECCTabletext"/>
              <w:jc w:val="left"/>
              <w:rPr>
                <w:noProof/>
              </w:rPr>
            </w:pPr>
            <w:r w:rsidRPr="006D6727">
              <w:rPr>
                <w:rStyle w:val="ECCParagraph"/>
                <w:noProof/>
              </w:rPr>
              <w:t>177</w:t>
            </w:r>
          </w:p>
        </w:tc>
        <w:tc>
          <w:tcPr>
            <w:tcW w:w="1837" w:type="dxa"/>
          </w:tcPr>
          <w:p w14:paraId="551F5950" w14:textId="77777777" w:rsidR="009A4372" w:rsidRPr="006D6727" w:rsidRDefault="009A4372" w:rsidP="00B856BB">
            <w:pPr>
              <w:pStyle w:val="ECCTabletext"/>
              <w:jc w:val="left"/>
              <w:rPr>
                <w:rStyle w:val="ECCParagraph"/>
                <w:noProof/>
              </w:rPr>
            </w:pPr>
            <w:r w:rsidRPr="006D6727">
              <w:rPr>
                <w:rStyle w:val="ECCParagraph"/>
                <w:noProof/>
              </w:rPr>
              <w:t>180</w:t>
            </w:r>
          </w:p>
        </w:tc>
      </w:tr>
      <w:tr w:rsidR="009A4372" w:rsidRPr="006D6727" w14:paraId="034BC8FA" w14:textId="77777777" w:rsidTr="004F1887">
        <w:tc>
          <w:tcPr>
            <w:tcW w:w="1746" w:type="dxa"/>
          </w:tcPr>
          <w:p w14:paraId="04C988E7" w14:textId="77777777" w:rsidR="009A4372" w:rsidRPr="006D6727" w:rsidRDefault="009A4372" w:rsidP="00B856BB">
            <w:pPr>
              <w:pStyle w:val="ECCTabletext"/>
              <w:jc w:val="left"/>
              <w:rPr>
                <w:noProof/>
              </w:rPr>
            </w:pPr>
            <w:r w:rsidRPr="006D6727">
              <w:rPr>
                <w:noProof/>
              </w:rPr>
              <w:t>5</w:t>
            </w:r>
          </w:p>
        </w:tc>
        <w:tc>
          <w:tcPr>
            <w:tcW w:w="1615" w:type="dxa"/>
          </w:tcPr>
          <w:p w14:paraId="4295C36F" w14:textId="77777777" w:rsidR="009A4372" w:rsidRPr="006D6727" w:rsidRDefault="009A4372" w:rsidP="00B856BB">
            <w:pPr>
              <w:pStyle w:val="ECCTabletext"/>
              <w:jc w:val="left"/>
              <w:rPr>
                <w:noProof/>
              </w:rPr>
            </w:pPr>
            <w:r w:rsidRPr="006D6727">
              <w:rPr>
                <w:noProof/>
              </w:rPr>
              <w:t>10</w:t>
            </w:r>
          </w:p>
        </w:tc>
        <w:tc>
          <w:tcPr>
            <w:tcW w:w="1234" w:type="dxa"/>
          </w:tcPr>
          <w:p w14:paraId="0677580A" w14:textId="77777777" w:rsidR="009A4372" w:rsidRPr="006D6727" w:rsidRDefault="009A4372" w:rsidP="00B856BB">
            <w:pPr>
              <w:pStyle w:val="ECCTabletext"/>
              <w:jc w:val="left"/>
              <w:rPr>
                <w:noProof/>
              </w:rPr>
            </w:pPr>
            <w:r w:rsidRPr="006D6727">
              <w:rPr>
                <w:noProof/>
              </w:rPr>
              <w:t>22</w:t>
            </w:r>
          </w:p>
        </w:tc>
        <w:tc>
          <w:tcPr>
            <w:tcW w:w="1656" w:type="dxa"/>
          </w:tcPr>
          <w:p w14:paraId="2B791B86" w14:textId="77777777" w:rsidR="009A4372" w:rsidRPr="006D6727" w:rsidRDefault="009A4372" w:rsidP="00B856BB">
            <w:pPr>
              <w:pStyle w:val="ECCTabletext"/>
              <w:jc w:val="left"/>
              <w:rPr>
                <w:noProof/>
              </w:rPr>
            </w:pPr>
            <w:r w:rsidRPr="006D6727">
              <w:rPr>
                <w:rStyle w:val="ECCParagraph"/>
                <w:noProof/>
              </w:rPr>
              <w:t>171</w:t>
            </w:r>
          </w:p>
        </w:tc>
        <w:tc>
          <w:tcPr>
            <w:tcW w:w="1541" w:type="dxa"/>
          </w:tcPr>
          <w:p w14:paraId="6021BDBE" w14:textId="77777777" w:rsidR="009A4372" w:rsidRPr="006D6727" w:rsidRDefault="009A4372" w:rsidP="00B856BB">
            <w:pPr>
              <w:pStyle w:val="ECCTabletext"/>
              <w:jc w:val="left"/>
              <w:rPr>
                <w:noProof/>
              </w:rPr>
            </w:pPr>
            <w:r w:rsidRPr="006D6727">
              <w:rPr>
                <w:rStyle w:val="ECCParagraph"/>
                <w:noProof/>
              </w:rPr>
              <w:t>173</w:t>
            </w:r>
          </w:p>
        </w:tc>
        <w:tc>
          <w:tcPr>
            <w:tcW w:w="1837" w:type="dxa"/>
          </w:tcPr>
          <w:p w14:paraId="0979089B" w14:textId="77777777" w:rsidR="009A4372" w:rsidRPr="006D6727" w:rsidRDefault="009A4372" w:rsidP="00B856BB">
            <w:pPr>
              <w:pStyle w:val="ECCTabletext"/>
              <w:jc w:val="left"/>
              <w:rPr>
                <w:rStyle w:val="ECCParagraph"/>
                <w:noProof/>
              </w:rPr>
            </w:pPr>
            <w:r w:rsidRPr="006D6727">
              <w:rPr>
                <w:rStyle w:val="ECCParagraph"/>
                <w:noProof/>
              </w:rPr>
              <w:t>176</w:t>
            </w:r>
          </w:p>
        </w:tc>
      </w:tr>
      <w:tr w:rsidR="009A4372" w:rsidRPr="006D6727" w14:paraId="6B0B8253" w14:textId="77777777" w:rsidTr="004F1887">
        <w:tc>
          <w:tcPr>
            <w:tcW w:w="1746" w:type="dxa"/>
          </w:tcPr>
          <w:p w14:paraId="0D69C7CF" w14:textId="77777777" w:rsidR="009A4372" w:rsidRPr="006D6727" w:rsidRDefault="009A4372" w:rsidP="00B856BB">
            <w:pPr>
              <w:pStyle w:val="ECCTabletext"/>
              <w:jc w:val="left"/>
              <w:rPr>
                <w:noProof/>
              </w:rPr>
            </w:pPr>
            <w:r w:rsidRPr="006D6727">
              <w:rPr>
                <w:noProof/>
              </w:rPr>
              <w:t>3</w:t>
            </w:r>
          </w:p>
        </w:tc>
        <w:tc>
          <w:tcPr>
            <w:tcW w:w="1615" w:type="dxa"/>
          </w:tcPr>
          <w:p w14:paraId="2E231164" w14:textId="77777777" w:rsidR="009A4372" w:rsidRPr="006D6727" w:rsidRDefault="009A4372" w:rsidP="00B856BB">
            <w:pPr>
              <w:pStyle w:val="ECCTabletext"/>
              <w:jc w:val="left"/>
              <w:rPr>
                <w:noProof/>
              </w:rPr>
            </w:pPr>
            <w:r w:rsidRPr="006D6727">
              <w:rPr>
                <w:noProof/>
              </w:rPr>
              <w:t>10</w:t>
            </w:r>
          </w:p>
        </w:tc>
        <w:tc>
          <w:tcPr>
            <w:tcW w:w="1234" w:type="dxa"/>
          </w:tcPr>
          <w:p w14:paraId="125EF4DC" w14:textId="77777777" w:rsidR="009A4372" w:rsidRPr="006D6727" w:rsidRDefault="009A4372" w:rsidP="00B856BB">
            <w:pPr>
              <w:pStyle w:val="ECCTabletext"/>
              <w:jc w:val="left"/>
              <w:rPr>
                <w:noProof/>
              </w:rPr>
            </w:pPr>
            <w:r w:rsidRPr="006D6727">
              <w:rPr>
                <w:noProof/>
              </w:rPr>
              <w:t>20</w:t>
            </w:r>
          </w:p>
        </w:tc>
        <w:tc>
          <w:tcPr>
            <w:tcW w:w="1656" w:type="dxa"/>
          </w:tcPr>
          <w:p w14:paraId="5FE452FE" w14:textId="77777777" w:rsidR="009A4372" w:rsidRPr="006D6727" w:rsidRDefault="009A4372" w:rsidP="00B856BB">
            <w:pPr>
              <w:pStyle w:val="ECCTabletext"/>
              <w:jc w:val="left"/>
              <w:rPr>
                <w:noProof/>
              </w:rPr>
            </w:pPr>
            <w:r w:rsidRPr="006D6727">
              <w:rPr>
                <w:rStyle w:val="ECCParagraph"/>
                <w:noProof/>
              </w:rPr>
              <w:t>169</w:t>
            </w:r>
          </w:p>
        </w:tc>
        <w:tc>
          <w:tcPr>
            <w:tcW w:w="1541" w:type="dxa"/>
          </w:tcPr>
          <w:p w14:paraId="5550C785" w14:textId="77777777" w:rsidR="009A4372" w:rsidRPr="006D6727" w:rsidRDefault="009A4372" w:rsidP="00B856BB">
            <w:pPr>
              <w:pStyle w:val="ECCTabletext"/>
              <w:jc w:val="left"/>
              <w:rPr>
                <w:noProof/>
              </w:rPr>
            </w:pPr>
            <w:r w:rsidRPr="006D6727">
              <w:rPr>
                <w:rStyle w:val="ECCParagraph"/>
                <w:noProof/>
              </w:rPr>
              <w:t>171</w:t>
            </w:r>
          </w:p>
        </w:tc>
        <w:tc>
          <w:tcPr>
            <w:tcW w:w="1837" w:type="dxa"/>
          </w:tcPr>
          <w:p w14:paraId="17030CB7" w14:textId="77777777" w:rsidR="009A4372" w:rsidRPr="006D6727" w:rsidRDefault="009A4372" w:rsidP="00B856BB">
            <w:pPr>
              <w:pStyle w:val="ECCTabletext"/>
              <w:jc w:val="left"/>
              <w:rPr>
                <w:rStyle w:val="ECCParagraph"/>
                <w:noProof/>
              </w:rPr>
            </w:pPr>
            <w:r w:rsidRPr="006D6727">
              <w:rPr>
                <w:rStyle w:val="ECCParagraph"/>
                <w:noProof/>
              </w:rPr>
              <w:t>174</w:t>
            </w:r>
          </w:p>
        </w:tc>
      </w:tr>
      <w:tr w:rsidR="009A4372" w:rsidRPr="006D6727" w14:paraId="193CA0E0" w14:textId="77777777" w:rsidTr="004F1887">
        <w:tc>
          <w:tcPr>
            <w:tcW w:w="1746" w:type="dxa"/>
          </w:tcPr>
          <w:p w14:paraId="33938CAF" w14:textId="77777777" w:rsidR="009A4372" w:rsidRPr="006D6727" w:rsidRDefault="009A4372" w:rsidP="00B856BB">
            <w:pPr>
              <w:pStyle w:val="ECCTabletext"/>
              <w:jc w:val="left"/>
              <w:rPr>
                <w:noProof/>
              </w:rPr>
            </w:pPr>
            <w:r w:rsidRPr="006D6727">
              <w:rPr>
                <w:noProof/>
              </w:rPr>
              <w:t>2</w:t>
            </w:r>
          </w:p>
        </w:tc>
        <w:tc>
          <w:tcPr>
            <w:tcW w:w="1615" w:type="dxa"/>
          </w:tcPr>
          <w:p w14:paraId="3E88EA05" w14:textId="77777777" w:rsidR="009A4372" w:rsidRPr="006D6727" w:rsidRDefault="009A4372" w:rsidP="00B856BB">
            <w:pPr>
              <w:pStyle w:val="ECCTabletext"/>
              <w:jc w:val="left"/>
              <w:rPr>
                <w:noProof/>
              </w:rPr>
            </w:pPr>
            <w:r w:rsidRPr="006D6727">
              <w:rPr>
                <w:noProof/>
              </w:rPr>
              <w:t>10</w:t>
            </w:r>
          </w:p>
        </w:tc>
        <w:tc>
          <w:tcPr>
            <w:tcW w:w="1234" w:type="dxa"/>
          </w:tcPr>
          <w:p w14:paraId="2586907E" w14:textId="77777777" w:rsidR="009A4372" w:rsidRPr="006D6727" w:rsidRDefault="009A4372" w:rsidP="00B856BB">
            <w:pPr>
              <w:pStyle w:val="ECCTabletext"/>
              <w:jc w:val="left"/>
              <w:rPr>
                <w:noProof/>
              </w:rPr>
            </w:pPr>
            <w:r w:rsidRPr="006D6727">
              <w:rPr>
                <w:noProof/>
              </w:rPr>
              <w:t>19</w:t>
            </w:r>
          </w:p>
        </w:tc>
        <w:tc>
          <w:tcPr>
            <w:tcW w:w="1656" w:type="dxa"/>
          </w:tcPr>
          <w:p w14:paraId="366200F9" w14:textId="77777777" w:rsidR="009A4372" w:rsidRPr="006D6727" w:rsidRDefault="009A4372" w:rsidP="00B856BB">
            <w:pPr>
              <w:pStyle w:val="ECCTabletext"/>
              <w:jc w:val="left"/>
              <w:rPr>
                <w:noProof/>
              </w:rPr>
            </w:pPr>
            <w:r w:rsidRPr="006D6727">
              <w:rPr>
                <w:rStyle w:val="ECCParagraph"/>
                <w:noProof/>
              </w:rPr>
              <w:t>168</w:t>
            </w:r>
          </w:p>
        </w:tc>
        <w:tc>
          <w:tcPr>
            <w:tcW w:w="1541" w:type="dxa"/>
          </w:tcPr>
          <w:p w14:paraId="68CC2A12" w14:textId="77777777" w:rsidR="009A4372" w:rsidRPr="006D6727" w:rsidRDefault="009A4372" w:rsidP="00B856BB">
            <w:pPr>
              <w:pStyle w:val="ECCTabletext"/>
              <w:jc w:val="left"/>
              <w:rPr>
                <w:noProof/>
              </w:rPr>
            </w:pPr>
            <w:r w:rsidRPr="006D6727">
              <w:rPr>
                <w:rStyle w:val="ECCParagraph"/>
                <w:noProof/>
              </w:rPr>
              <w:t>170</w:t>
            </w:r>
          </w:p>
        </w:tc>
        <w:tc>
          <w:tcPr>
            <w:tcW w:w="1837" w:type="dxa"/>
          </w:tcPr>
          <w:p w14:paraId="7B76D7AA" w14:textId="77777777" w:rsidR="009A4372" w:rsidRPr="006D6727" w:rsidRDefault="009A4372" w:rsidP="00B856BB">
            <w:pPr>
              <w:pStyle w:val="ECCTabletext"/>
              <w:jc w:val="left"/>
              <w:rPr>
                <w:rStyle w:val="ECCParagraph"/>
                <w:noProof/>
              </w:rPr>
            </w:pPr>
            <w:r w:rsidRPr="006D6727">
              <w:rPr>
                <w:rStyle w:val="ECCParagraph"/>
                <w:noProof/>
              </w:rPr>
              <w:t>173</w:t>
            </w:r>
          </w:p>
        </w:tc>
      </w:tr>
      <w:tr w:rsidR="009A4372" w:rsidRPr="006D6727" w14:paraId="13C636D2" w14:textId="77777777" w:rsidTr="004F1887">
        <w:tc>
          <w:tcPr>
            <w:tcW w:w="1746" w:type="dxa"/>
          </w:tcPr>
          <w:p w14:paraId="45F47EA0" w14:textId="77777777" w:rsidR="009A4372" w:rsidRPr="006D6727" w:rsidRDefault="009A4372" w:rsidP="00B856BB">
            <w:pPr>
              <w:pStyle w:val="ECCTabletext"/>
              <w:jc w:val="left"/>
              <w:rPr>
                <w:noProof/>
              </w:rPr>
            </w:pPr>
            <w:r w:rsidRPr="006D6727">
              <w:rPr>
                <w:noProof/>
              </w:rPr>
              <w:t>1</w:t>
            </w:r>
            <w:r w:rsidR="00CF4994">
              <w:rPr>
                <w:noProof/>
              </w:rPr>
              <w:t>.5</w:t>
            </w:r>
          </w:p>
        </w:tc>
        <w:tc>
          <w:tcPr>
            <w:tcW w:w="1615" w:type="dxa"/>
          </w:tcPr>
          <w:p w14:paraId="4FAAA461" w14:textId="77777777" w:rsidR="009A4372" w:rsidRPr="006D6727" w:rsidRDefault="009A4372" w:rsidP="00B856BB">
            <w:pPr>
              <w:pStyle w:val="ECCTabletext"/>
              <w:jc w:val="left"/>
              <w:rPr>
                <w:noProof/>
              </w:rPr>
            </w:pPr>
            <w:r w:rsidRPr="006D6727">
              <w:rPr>
                <w:noProof/>
              </w:rPr>
              <w:t>10</w:t>
            </w:r>
          </w:p>
        </w:tc>
        <w:tc>
          <w:tcPr>
            <w:tcW w:w="1234" w:type="dxa"/>
          </w:tcPr>
          <w:p w14:paraId="6070F86D" w14:textId="77777777" w:rsidR="009A4372" w:rsidRPr="006D6727" w:rsidRDefault="009A4372" w:rsidP="00B856BB">
            <w:pPr>
              <w:pStyle w:val="ECCTabletext"/>
              <w:jc w:val="left"/>
              <w:rPr>
                <w:noProof/>
              </w:rPr>
            </w:pPr>
            <w:r w:rsidRPr="006D6727">
              <w:rPr>
                <w:noProof/>
              </w:rPr>
              <w:t>18</w:t>
            </w:r>
          </w:p>
        </w:tc>
        <w:tc>
          <w:tcPr>
            <w:tcW w:w="1656" w:type="dxa"/>
          </w:tcPr>
          <w:p w14:paraId="68F7499C" w14:textId="77777777" w:rsidR="009A4372" w:rsidRPr="006D6727" w:rsidRDefault="009A4372" w:rsidP="00B856BB">
            <w:pPr>
              <w:pStyle w:val="ECCTabletext"/>
              <w:jc w:val="left"/>
              <w:rPr>
                <w:noProof/>
              </w:rPr>
            </w:pPr>
            <w:r w:rsidRPr="006D6727">
              <w:rPr>
                <w:rStyle w:val="ECCParagraph"/>
                <w:noProof/>
              </w:rPr>
              <w:t>168</w:t>
            </w:r>
          </w:p>
        </w:tc>
        <w:tc>
          <w:tcPr>
            <w:tcW w:w="1541" w:type="dxa"/>
          </w:tcPr>
          <w:p w14:paraId="71CFC19B" w14:textId="77777777" w:rsidR="009A4372" w:rsidRPr="006D6727" w:rsidRDefault="009A4372" w:rsidP="00B856BB">
            <w:pPr>
              <w:pStyle w:val="ECCTabletext"/>
              <w:jc w:val="left"/>
              <w:rPr>
                <w:noProof/>
              </w:rPr>
            </w:pPr>
            <w:r w:rsidRPr="006D6727">
              <w:rPr>
                <w:rStyle w:val="ECCParagraph"/>
                <w:noProof/>
              </w:rPr>
              <w:t>170</w:t>
            </w:r>
          </w:p>
        </w:tc>
        <w:tc>
          <w:tcPr>
            <w:tcW w:w="1837" w:type="dxa"/>
          </w:tcPr>
          <w:p w14:paraId="4A4352A4" w14:textId="77777777" w:rsidR="009A4372" w:rsidRPr="006D6727" w:rsidRDefault="009A4372" w:rsidP="00B856BB">
            <w:pPr>
              <w:pStyle w:val="ECCTabletext"/>
              <w:jc w:val="left"/>
              <w:rPr>
                <w:rStyle w:val="ECCParagraph"/>
                <w:noProof/>
              </w:rPr>
            </w:pPr>
            <w:r w:rsidRPr="006D6727">
              <w:rPr>
                <w:rStyle w:val="ECCParagraph"/>
                <w:noProof/>
              </w:rPr>
              <w:t>172</w:t>
            </w:r>
          </w:p>
        </w:tc>
      </w:tr>
      <w:tr w:rsidR="009A4372" w:rsidRPr="006D6727" w14:paraId="2455168B" w14:textId="77777777" w:rsidTr="004F1887">
        <w:tc>
          <w:tcPr>
            <w:tcW w:w="1746" w:type="dxa"/>
          </w:tcPr>
          <w:p w14:paraId="3631D694" w14:textId="77777777" w:rsidR="009A4372" w:rsidRPr="006D6727" w:rsidRDefault="009A4372" w:rsidP="00B856BB">
            <w:pPr>
              <w:pStyle w:val="ECCTabletext"/>
              <w:jc w:val="left"/>
              <w:rPr>
                <w:noProof/>
              </w:rPr>
            </w:pPr>
            <w:r w:rsidRPr="006D6727">
              <w:rPr>
                <w:noProof/>
              </w:rPr>
              <w:t>5</w:t>
            </w:r>
          </w:p>
        </w:tc>
        <w:tc>
          <w:tcPr>
            <w:tcW w:w="1615" w:type="dxa"/>
          </w:tcPr>
          <w:p w14:paraId="3101BFC3" w14:textId="77777777" w:rsidR="009A4372" w:rsidRPr="006D6727" w:rsidRDefault="009A4372" w:rsidP="00B856BB">
            <w:pPr>
              <w:pStyle w:val="ECCTabletext"/>
              <w:jc w:val="left"/>
              <w:rPr>
                <w:noProof/>
              </w:rPr>
            </w:pPr>
            <w:r w:rsidRPr="006D6727">
              <w:rPr>
                <w:noProof/>
              </w:rPr>
              <w:t>2187</w:t>
            </w:r>
          </w:p>
        </w:tc>
        <w:tc>
          <w:tcPr>
            <w:tcW w:w="1234" w:type="dxa"/>
          </w:tcPr>
          <w:p w14:paraId="2B266712" w14:textId="77777777" w:rsidR="009A4372" w:rsidRPr="006D6727" w:rsidRDefault="009A4372" w:rsidP="00B856BB">
            <w:pPr>
              <w:pStyle w:val="ECCTabletext"/>
              <w:jc w:val="left"/>
              <w:rPr>
                <w:noProof/>
              </w:rPr>
            </w:pPr>
            <w:r w:rsidRPr="006D6727">
              <w:rPr>
                <w:noProof/>
              </w:rPr>
              <w:t>202</w:t>
            </w:r>
          </w:p>
        </w:tc>
        <w:tc>
          <w:tcPr>
            <w:tcW w:w="1656" w:type="dxa"/>
          </w:tcPr>
          <w:p w14:paraId="7B4CDF19" w14:textId="77777777" w:rsidR="009A4372" w:rsidRPr="006D6727" w:rsidRDefault="009A4372" w:rsidP="00B856BB">
            <w:pPr>
              <w:pStyle w:val="ECCTabletext"/>
              <w:jc w:val="left"/>
              <w:rPr>
                <w:rStyle w:val="ECCParagraph"/>
                <w:noProof/>
              </w:rPr>
            </w:pPr>
            <w:r w:rsidRPr="006D6727">
              <w:rPr>
                <w:rStyle w:val="ECCParagraph"/>
                <w:noProof/>
              </w:rPr>
              <w:t>262</w:t>
            </w:r>
          </w:p>
        </w:tc>
        <w:tc>
          <w:tcPr>
            <w:tcW w:w="1541" w:type="dxa"/>
          </w:tcPr>
          <w:p w14:paraId="4F17BFD0" w14:textId="77777777" w:rsidR="009A4372" w:rsidRPr="006D6727" w:rsidRDefault="009A4372" w:rsidP="00B856BB">
            <w:pPr>
              <w:pStyle w:val="ECCTabletext"/>
              <w:jc w:val="left"/>
              <w:rPr>
                <w:rStyle w:val="ECCParagraph"/>
                <w:noProof/>
              </w:rPr>
            </w:pPr>
            <w:r w:rsidRPr="006D6727">
              <w:rPr>
                <w:rStyle w:val="ECCParagraph"/>
                <w:noProof/>
              </w:rPr>
              <w:t>264</w:t>
            </w:r>
          </w:p>
        </w:tc>
        <w:tc>
          <w:tcPr>
            <w:tcW w:w="1837" w:type="dxa"/>
          </w:tcPr>
          <w:p w14:paraId="5D26609C" w14:textId="77777777" w:rsidR="009A4372" w:rsidRPr="006D6727" w:rsidRDefault="009A4372" w:rsidP="00B856BB">
            <w:pPr>
              <w:pStyle w:val="ECCTabletext"/>
              <w:jc w:val="left"/>
              <w:rPr>
                <w:rStyle w:val="ECCParagraph"/>
                <w:noProof/>
              </w:rPr>
            </w:pPr>
            <w:r w:rsidRPr="006D6727">
              <w:rPr>
                <w:rStyle w:val="ECCParagraph"/>
                <w:noProof/>
              </w:rPr>
              <w:t>267</w:t>
            </w:r>
          </w:p>
        </w:tc>
      </w:tr>
      <w:tr w:rsidR="00243A68" w:rsidRPr="006D6727" w14:paraId="33622886" w14:textId="77777777" w:rsidTr="00200700">
        <w:tc>
          <w:tcPr>
            <w:tcW w:w="9629" w:type="dxa"/>
            <w:gridSpan w:val="6"/>
          </w:tcPr>
          <w:p w14:paraId="6F4E8C1D" w14:textId="77777777" w:rsidR="00243A68" w:rsidRPr="00243A68" w:rsidRDefault="00243A68" w:rsidP="00464AE0">
            <w:pPr>
              <w:pStyle w:val="ECCTablenote"/>
              <w:rPr>
                <w:rStyle w:val="ECCParagraph"/>
                <w:sz w:val="16"/>
              </w:rPr>
            </w:pPr>
            <w:r w:rsidRPr="00243A68">
              <w:t>Note 1: The attenuation in excess of free space attenuation corresponds to gas absorption in the atmosphere.</w:t>
            </w:r>
          </w:p>
        </w:tc>
      </w:tr>
    </w:tbl>
    <w:p w14:paraId="57B97D69" w14:textId="4C4EE0EF" w:rsidR="009A4372" w:rsidRPr="006D6727" w:rsidRDefault="009A4372" w:rsidP="009A4372">
      <w:pPr>
        <w:rPr>
          <w:noProof/>
        </w:rPr>
      </w:pPr>
      <w:r w:rsidRPr="006D6727">
        <w:rPr>
          <w:noProof/>
        </w:rPr>
        <w:t xml:space="preserve">From </w:t>
      </w:r>
      <w:r w:rsidRPr="006D6727">
        <w:rPr>
          <w:noProof/>
        </w:rPr>
        <w:fldChar w:fldCharType="begin"/>
      </w:r>
      <w:r w:rsidRPr="006D6727">
        <w:rPr>
          <w:noProof/>
        </w:rPr>
        <w:instrText xml:space="preserve"> REF _Ref386648351 \h </w:instrText>
      </w:r>
      <w:r w:rsidRPr="006D6727">
        <w:rPr>
          <w:noProof/>
        </w:rPr>
      </w:r>
      <w:r w:rsidRPr="006D6727">
        <w:rPr>
          <w:noProof/>
        </w:rPr>
        <w:fldChar w:fldCharType="separate"/>
      </w:r>
      <w:r w:rsidR="0041125F" w:rsidRPr="006D6727">
        <w:rPr>
          <w:noProof/>
        </w:rPr>
        <w:t>Table </w:t>
      </w:r>
      <w:r w:rsidR="0041125F">
        <w:rPr>
          <w:noProof/>
        </w:rPr>
        <w:t>35</w:t>
      </w:r>
      <w:r w:rsidRPr="006D6727">
        <w:rPr>
          <w:noProof/>
        </w:rPr>
        <w:fldChar w:fldCharType="end"/>
      </w:r>
      <w:r w:rsidR="000C3B6C">
        <w:rPr>
          <w:noProof/>
        </w:rPr>
        <w:t>,</w:t>
      </w:r>
      <w:r w:rsidRPr="006D6727">
        <w:rPr>
          <w:noProof/>
        </w:rPr>
        <w:t xml:space="preserve"> it can be concluded that even for small antenna heights of 1</w:t>
      </w:r>
      <w:r w:rsidR="00CF4994">
        <w:rPr>
          <w:noProof/>
        </w:rPr>
        <w:t>.5</w:t>
      </w:r>
      <w:r w:rsidR="006944AE" w:rsidRPr="006D6727">
        <w:rPr>
          <w:noProof/>
        </w:rPr>
        <w:t> </w:t>
      </w:r>
      <w:r w:rsidRPr="006D6727">
        <w:rPr>
          <w:noProof/>
        </w:rPr>
        <w:t>m for the interferer and 10 m for the victim still a radio horizon of 18 km exists. This is in the same range as the maximum impact ranges calculated for example for the industry automation sensors in open air applications. Therefore, the assumed free-space-loss (FSL) propagation model, which represents the most critical case, seems to be valid for this study.</w:t>
      </w:r>
    </w:p>
    <w:p w14:paraId="020D1218" w14:textId="028F8CA2" w:rsidR="009A4372" w:rsidRPr="006D6727" w:rsidRDefault="009A4372" w:rsidP="009A4372">
      <w:pPr>
        <w:rPr>
          <w:noProof/>
        </w:rPr>
      </w:pPr>
      <w:r w:rsidRPr="006D6727">
        <w:rPr>
          <w:noProof/>
        </w:rPr>
        <w:t xml:space="preserve">The last row of </w:t>
      </w:r>
      <w:r w:rsidRPr="006D6727">
        <w:rPr>
          <w:noProof/>
        </w:rPr>
        <w:fldChar w:fldCharType="begin"/>
      </w:r>
      <w:r w:rsidRPr="006D6727">
        <w:rPr>
          <w:noProof/>
        </w:rPr>
        <w:instrText xml:space="preserve"> REF _Ref386648351 \h </w:instrText>
      </w:r>
      <w:r w:rsidRPr="006D6727">
        <w:rPr>
          <w:noProof/>
        </w:rPr>
      </w:r>
      <w:r w:rsidRPr="006D6727">
        <w:rPr>
          <w:noProof/>
        </w:rPr>
        <w:fldChar w:fldCharType="separate"/>
      </w:r>
      <w:r w:rsidR="0041125F" w:rsidRPr="006D6727">
        <w:rPr>
          <w:noProof/>
        </w:rPr>
        <w:t>Table </w:t>
      </w:r>
      <w:r w:rsidR="0041125F">
        <w:rPr>
          <w:noProof/>
        </w:rPr>
        <w:t>35</w:t>
      </w:r>
      <w:r w:rsidRPr="006D6727">
        <w:rPr>
          <w:noProof/>
        </w:rPr>
        <w:fldChar w:fldCharType="end"/>
      </w:r>
      <w:r w:rsidRPr="006D6727">
        <w:rPr>
          <w:noProof/>
        </w:rPr>
        <w:t xml:space="preserve"> characteri</w:t>
      </w:r>
      <w:r w:rsidR="00310783">
        <w:rPr>
          <w:noProof/>
        </w:rPr>
        <w:t>s</w:t>
      </w:r>
      <w:r w:rsidRPr="006D6727">
        <w:rPr>
          <w:noProof/>
        </w:rPr>
        <w:t>es the example of an interfering device in the city of Granada and the 30 m-telescope on Pico del Veleta in the Spanish Sierra Nevada (at an elevation of 2850</w:t>
      </w:r>
      <w:r w:rsidR="006944AE" w:rsidRPr="006D6727">
        <w:rPr>
          <w:noProof/>
        </w:rPr>
        <w:t> </w:t>
      </w:r>
      <w:r w:rsidRPr="006D6727">
        <w:rPr>
          <w:noProof/>
        </w:rPr>
        <w:t>m above sea level) as the potential victim. The theoretical radio horizon of 202 km shows that in this scenario the application of the free-space-loss (FSL) propagation model is valid, provided that of course no obstacles within the relevant Fresnel zones interrupt the transmission.</w:t>
      </w:r>
    </w:p>
    <w:p w14:paraId="4A7BDA3E" w14:textId="77777777" w:rsidR="00A349A9" w:rsidRPr="006D6727" w:rsidRDefault="00A349A9" w:rsidP="00A349A9">
      <w:pPr>
        <w:pStyle w:val="Heading3"/>
        <w:rPr>
          <w:noProof/>
          <w:lang w:val="en-GB"/>
        </w:rPr>
      </w:pPr>
      <w:bookmarkStart w:id="424" w:name="_Ref66361724"/>
      <w:bookmarkStart w:id="425" w:name="_Toc84325330"/>
      <w:bookmarkStart w:id="426" w:name="_Toc127346262"/>
      <w:r w:rsidRPr="006D6727">
        <w:rPr>
          <w:noProof/>
          <w:lang w:val="en-GB"/>
        </w:rPr>
        <w:t>Interference scenario to spaceborne passive satellite receivers</w:t>
      </w:r>
      <w:bookmarkEnd w:id="424"/>
      <w:bookmarkEnd w:id="425"/>
      <w:bookmarkEnd w:id="426"/>
    </w:p>
    <w:p w14:paraId="0C7046DC" w14:textId="77777777" w:rsidR="00A349A9" w:rsidRPr="00303BE0" w:rsidRDefault="00A349A9" w:rsidP="00303BE0">
      <w:pPr>
        <w:rPr>
          <w:rStyle w:val="ECCParagraph"/>
        </w:rPr>
      </w:pPr>
      <w:r w:rsidRPr="00303BE0">
        <w:rPr>
          <w:rStyle w:val="ECCParagraph"/>
        </w:rPr>
        <w:t>The scenario where the interference signal propagates along a slant path or a path in zenith direction towards the spaceborne satellite receiver is relevant when evaluating the compatibility of interferers with the earth exploration satellite service (EESS).</w:t>
      </w:r>
    </w:p>
    <w:p w14:paraId="4A5B113B" w14:textId="77777777" w:rsidR="00A349A9" w:rsidRPr="00303BE0" w:rsidRDefault="00A349A9" w:rsidP="00303BE0">
      <w:pPr>
        <w:rPr>
          <w:rStyle w:val="ECCHLunderlined"/>
        </w:rPr>
      </w:pPr>
      <w:r w:rsidRPr="00303BE0">
        <w:rPr>
          <w:rStyle w:val="ECCHLunderlined"/>
        </w:rPr>
        <w:t>Step 1: Evaluation of the maximum permissible interference power level at the victim receiver</w:t>
      </w:r>
    </w:p>
    <w:p w14:paraId="22B0DDD3" w14:textId="77777777" w:rsidR="0031748A" w:rsidRPr="006D6727" w:rsidRDefault="0031748A" w:rsidP="0031748A">
      <w:pPr>
        <w:rPr>
          <w:rStyle w:val="ECCParagraph"/>
          <w:noProof/>
        </w:rPr>
      </w:pPr>
      <w:r w:rsidRPr="006D6727">
        <w:rPr>
          <w:rStyle w:val="ECCParagraph"/>
          <w:noProof/>
        </w:rPr>
        <w:t>The protection criteria for satellite passive receivers are given as maximum interference power levels at the victim receiver over a certain reference bandwidth. These levels should not be exceeded for a given percentage of measurement time or sensor viewing area.</w:t>
      </w:r>
    </w:p>
    <w:p w14:paraId="763AB5E0" w14:textId="77777777" w:rsidR="00A349A9" w:rsidRPr="00303BE0" w:rsidRDefault="00A349A9" w:rsidP="00303BE0">
      <w:pPr>
        <w:rPr>
          <w:rStyle w:val="ECCHLunderlined"/>
        </w:rPr>
      </w:pPr>
      <w:r w:rsidRPr="00303BE0">
        <w:rPr>
          <w:rStyle w:val="ECCHLunderlined"/>
        </w:rPr>
        <w:t>Step 2: Calculation of the interference level at the victim receiver</w:t>
      </w:r>
    </w:p>
    <w:p w14:paraId="4560447E" w14:textId="77777777" w:rsidR="00A349A9" w:rsidRPr="006D6727" w:rsidRDefault="00A349A9" w:rsidP="00A349A9">
      <w:pPr>
        <w:rPr>
          <w:rStyle w:val="ECCParagraph"/>
          <w:noProof/>
        </w:rPr>
      </w:pPr>
      <w:r w:rsidRPr="006D6727">
        <w:rPr>
          <w:rStyle w:val="ECCParagraph"/>
          <w:noProof/>
        </w:rPr>
        <w:t xml:space="preserve">For passive satellite receivers an MCL-based approach and the calculation of an impact range is less applicable as the distance between the interferer and the victim receiver is determined by the </w:t>
      </w:r>
      <w:r w:rsidR="00355627">
        <w:rPr>
          <w:rStyle w:val="ECCParagraph"/>
        </w:rPr>
        <w:t>orbital parameters</w:t>
      </w:r>
      <w:r w:rsidR="00355627" w:rsidRPr="006D6727">
        <w:rPr>
          <w:rStyle w:val="ECCParagraph"/>
          <w:noProof/>
        </w:rPr>
        <w:t xml:space="preserve"> </w:t>
      </w:r>
      <w:r w:rsidRPr="006D6727">
        <w:rPr>
          <w:rStyle w:val="ECCParagraph"/>
          <w:noProof/>
        </w:rPr>
        <w:t xml:space="preserve">of the satellite. Therefore, the power level at the victim receiver generated by the interferer may be calculated utilizing the free-space-loss </w:t>
      </w:r>
      <w:r w:rsidR="00355627">
        <w:rPr>
          <w:rStyle w:val="ECCParagraph"/>
        </w:rPr>
        <w:t xml:space="preserve">and the atmospheric attenuation models; then it is </w:t>
      </w:r>
      <w:r w:rsidRPr="006D6727">
        <w:rPr>
          <w:rStyle w:val="ECCParagraph"/>
          <w:noProof/>
        </w:rPr>
        <w:t xml:space="preserve">compared to the </w:t>
      </w:r>
      <w:r w:rsidR="00355627">
        <w:rPr>
          <w:rStyle w:val="ECCParagraph"/>
        </w:rPr>
        <w:t>relevant</w:t>
      </w:r>
      <w:r w:rsidR="00355627" w:rsidRPr="006D6727">
        <w:rPr>
          <w:rStyle w:val="ECCParagraph"/>
          <w:noProof/>
        </w:rPr>
        <w:t xml:space="preserve"> </w:t>
      </w:r>
      <w:r w:rsidRPr="006D6727">
        <w:rPr>
          <w:rStyle w:val="ECCParagraph"/>
          <w:noProof/>
        </w:rPr>
        <w:t>maximum interference level.</w:t>
      </w:r>
    </w:p>
    <w:p w14:paraId="193061D4" w14:textId="77777777" w:rsidR="00A349A9" w:rsidRPr="006D6727" w:rsidRDefault="00A349A9" w:rsidP="00A349A9">
      <w:pPr>
        <w:rPr>
          <w:rStyle w:val="ECCParagraph"/>
          <w:noProof/>
        </w:rPr>
      </w:pPr>
      <w:r w:rsidRPr="006D6727">
        <w:rPr>
          <w:rStyle w:val="ECCParagraph"/>
          <w:noProof/>
        </w:rPr>
        <w:t>Since passive satellite sensors usually monitor larger areas of the Earth's surface or atmosphere, aggregation effects of several interferers within the satellite's instantaneous field of view (IFOV) may be considered from the beginning.</w:t>
      </w:r>
    </w:p>
    <w:p w14:paraId="7025C380" w14:textId="77777777" w:rsidR="00A349A9" w:rsidRPr="006D6727" w:rsidRDefault="00A349A9" w:rsidP="00B856BB">
      <w:pPr>
        <w:pStyle w:val="ECCTabletext"/>
        <w:rPr>
          <w:rStyle w:val="ECCParagraph"/>
          <w:noProof/>
        </w:rPr>
      </w:pPr>
      <w:r w:rsidRPr="006D6727">
        <w:rPr>
          <w:rStyle w:val="ECCParagraph"/>
          <w:noProof/>
        </w:rPr>
        <w:t xml:space="preserve">The interference power </w:t>
      </w:r>
      <m:oMath>
        <m:r>
          <m:rPr>
            <m:sty m:val="p"/>
          </m:rPr>
          <w:rPr>
            <w:rStyle w:val="ECCParagraph"/>
            <w:rFonts w:ascii="Cambria Math" w:hAnsi="Cambria Math"/>
            <w:noProof/>
          </w:rPr>
          <m:t>I</m:t>
        </m:r>
      </m:oMath>
      <w:r w:rsidRPr="006D6727">
        <w:rPr>
          <w:rStyle w:val="ECCParagraph"/>
          <w:noProof/>
        </w:rPr>
        <w:t xml:space="preserve"> at the satellite receiver usually given in dBW can be calculated using the following equation, taking into account additional losses </w:t>
      </w:r>
      <m:oMath>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oMath>
      <w:r w:rsidRPr="006D6727">
        <w:rPr>
          <w:rStyle w:val="ECCParagraph"/>
          <w:noProof/>
        </w:rPr>
        <w:t xml:space="preserve"> for the spaceborne case along slant paths through the Earth's atmosphere caused by atmospheric gases: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27126DB9" w14:textId="77777777" w:rsidTr="008A2884">
        <w:tc>
          <w:tcPr>
            <w:tcW w:w="4761" w:type="pct"/>
          </w:tcPr>
          <w:p w14:paraId="44202CA7" w14:textId="07145181" w:rsidR="00034148" w:rsidRPr="00144C97" w:rsidRDefault="00BC32E2" w:rsidP="008A2884">
            <w:pPr>
              <w:spacing w:before="120" w:after="60"/>
              <w:rPr>
                <w:rStyle w:val="ECCParagraph"/>
                <w:rFonts w:eastAsiaTheme="minorEastAsia" w:cstheme="minorBidi"/>
                <w:lang w:eastAsia="da-DK"/>
              </w:rPr>
            </w:pPr>
            <m:oMathPara>
              <m:oMathParaPr>
                <m:jc m:val="center"/>
              </m:oMathParaPr>
              <m:oMath>
                <m:r>
                  <m:rPr>
                    <m:sty m:val="p"/>
                  </m:rPr>
                  <w:rPr>
                    <w:rStyle w:val="ECCParagraph"/>
                    <w:rFonts w:ascii="Cambria Math" w:hAnsi="Cambria Math"/>
                    <w:noProof/>
                  </w:rPr>
                  <m:t>I</m:t>
                </m:r>
                <m:d>
                  <m:dPr>
                    <m:begChr m:val="["/>
                    <m:endChr m:val="]"/>
                    <m:ctrlPr>
                      <w:rPr>
                        <w:rStyle w:val="ECCParagraph"/>
                        <w:rFonts w:ascii="Cambria Math" w:hAnsi="Cambria Math"/>
                        <w:noProof/>
                      </w:rPr>
                    </m:ctrlPr>
                  </m:dPr>
                  <m:e>
                    <m:r>
                      <w:rPr>
                        <w:rStyle w:val="ECCParagraph"/>
                        <w:rFonts w:ascii="Cambria Math" w:hAnsi="Cambria Math"/>
                        <w:noProof/>
                      </w:rPr>
                      <m:t>dBW</m:t>
                    </m:r>
                  </m:e>
                </m:d>
                <m:r>
                  <w:rPr>
                    <w:rStyle w:val="ECCParagraph"/>
                    <w:rFonts w:ascii="Cambria Math" w:hAnsi="Cambria Math"/>
                    <w:noProof/>
                  </w:rPr>
                  <m:t>=</m:t>
                </m:r>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FSL+G</m:t>
                    </m:r>
                  </m:e>
                  <m:sub>
                    <m:r>
                      <w:rPr>
                        <w:rStyle w:val="ECCParagraph"/>
                        <w:rFonts w:ascii="Cambria Math" w:hAnsi="Cambria Math"/>
                        <w:noProof/>
                      </w:rPr>
                      <m:t>a</m:t>
                    </m:r>
                  </m:sub>
                  <m:sup>
                    <m:r>
                      <w:rPr>
                        <w:rStyle w:val="ECCParagraph"/>
                        <w:rFonts w:ascii="Cambria Math" w:hAnsi="Cambria Math"/>
                        <w:noProof/>
                      </w:rPr>
                      <m:t>Rx</m:t>
                    </m:r>
                  </m:sup>
                </m:sSubSup>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oMath>
            </m:oMathPara>
          </w:p>
        </w:tc>
        <w:tc>
          <w:tcPr>
            <w:tcW w:w="239" w:type="pct"/>
          </w:tcPr>
          <w:p w14:paraId="215DD072" w14:textId="11ED3DFD"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12</w:t>
            </w:r>
            <w:r>
              <w:fldChar w:fldCharType="end"/>
            </w:r>
            <w:r>
              <w:t>)</w:t>
            </w:r>
          </w:p>
        </w:tc>
      </w:tr>
    </w:tbl>
    <w:p w14:paraId="5FA9C854" w14:textId="684116B0" w:rsidR="00A349A9" w:rsidRPr="006D6727" w:rsidRDefault="000C3B6C" w:rsidP="00A349A9">
      <w:pPr>
        <w:rPr>
          <w:rStyle w:val="ECCParagraph"/>
          <w:noProof/>
        </w:rPr>
      </w:pPr>
      <w:r>
        <w:rPr>
          <w:rStyle w:val="ECCParagraph"/>
          <w:noProof/>
        </w:rPr>
        <w:t>W</w:t>
      </w:r>
      <w:r w:rsidR="00A349A9" w:rsidRPr="006D6727">
        <w:rPr>
          <w:rStyle w:val="ECCParagraph"/>
          <w:noProof/>
        </w:rPr>
        <w:t>here:</w:t>
      </w:r>
    </w:p>
    <w:p w14:paraId="0F771C41" w14:textId="77777777" w:rsidR="00A349A9" w:rsidRPr="006D6727" w:rsidRDefault="00A349A9" w:rsidP="00BC32E2">
      <w:pPr>
        <w:pStyle w:val="ECCBulletsLv1"/>
        <w:rPr>
          <w:rStyle w:val="ECCParagraph"/>
          <w:noProof/>
        </w:rPr>
      </w:pPr>
      <m:oMath>
        <m:r>
          <w:rPr>
            <w:rStyle w:val="ECCParagraph"/>
            <w:rFonts w:ascii="Cambria Math" w:hAnsi="Cambria Math"/>
            <w:noProof/>
          </w:rPr>
          <m:t>FSL-</m:t>
        </m:r>
      </m:oMath>
      <w:r w:rsidRPr="006D6727">
        <w:rPr>
          <w:rStyle w:val="ECCParagraph"/>
          <w:noProof/>
        </w:rPr>
        <w:t xml:space="preserve"> free space loss on the LOS path from the interferer to the victim receiver in a distance 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59598101" w14:textId="77777777" w:rsidTr="008A2884">
        <w:tc>
          <w:tcPr>
            <w:tcW w:w="4761" w:type="pct"/>
          </w:tcPr>
          <w:p w14:paraId="7706E7E3" w14:textId="2B58FE41" w:rsidR="00034148" w:rsidRPr="00144C97" w:rsidRDefault="00BC32E2" w:rsidP="00BC32E2">
            <w:pPr>
              <w:rPr>
                <w:rStyle w:val="ECCParagraph"/>
                <w:rFonts w:eastAsiaTheme="minorEastAsia" w:cstheme="minorBidi"/>
                <w:lang w:eastAsia="da-DK"/>
              </w:rPr>
            </w:pPr>
            <m:oMathPara>
              <m:oMathParaPr>
                <m:jc m:val="center"/>
              </m:oMathParaPr>
              <m:oMath>
                <m:r>
                  <w:rPr>
                    <w:rStyle w:val="ECCParagraph"/>
                    <w:rFonts w:ascii="Cambria Math" w:hAnsi="Cambria Math"/>
                    <w:noProof/>
                  </w:rPr>
                  <m:t xml:space="preserve">FSL=20 </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f>
                      <m:fPr>
                        <m:ctrlPr>
                          <w:rPr>
                            <w:rStyle w:val="ECCParagraph"/>
                            <w:rFonts w:ascii="Cambria Math" w:hAnsi="Cambria Math"/>
                            <w:noProof/>
                          </w:rPr>
                        </m:ctrlPr>
                      </m:fPr>
                      <m:num>
                        <m:r>
                          <w:rPr>
                            <w:rStyle w:val="ECCParagraph"/>
                            <w:rFonts w:ascii="Cambria Math" w:hAnsi="Cambria Math"/>
                            <w:noProof/>
                          </w:rPr>
                          <m:t>4πR</m:t>
                        </m:r>
                      </m:num>
                      <m:den>
                        <m:r>
                          <w:rPr>
                            <w:rStyle w:val="ECCParagraph"/>
                            <w:rFonts w:ascii="Cambria Math" w:hAnsi="Cambria Math"/>
                            <w:noProof/>
                          </w:rPr>
                          <m:t>λ</m:t>
                        </m:r>
                      </m:den>
                    </m:f>
                  </m:e>
                </m:d>
                <m:r>
                  <w:rPr>
                    <w:rStyle w:val="ECCParagraph"/>
                    <w:rFonts w:ascii="Cambria Math" w:hAnsi="Cambria Math"/>
                    <w:noProof/>
                  </w:rPr>
                  <m:t>.</m:t>
                </m:r>
              </m:oMath>
            </m:oMathPara>
          </w:p>
        </w:tc>
        <w:tc>
          <w:tcPr>
            <w:tcW w:w="239" w:type="pct"/>
          </w:tcPr>
          <w:p w14:paraId="5EFADF68" w14:textId="7A11CBCF"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13</w:t>
            </w:r>
            <w:r>
              <w:fldChar w:fldCharType="end"/>
            </w:r>
            <w:r>
              <w:t>)</w:t>
            </w:r>
          </w:p>
        </w:tc>
      </w:tr>
    </w:tbl>
    <w:p w14:paraId="40845DA3" w14:textId="77777777" w:rsidR="00A349A9" w:rsidRPr="006D6727" w:rsidRDefault="00A349A9" w:rsidP="00BC32E2">
      <w:pPr>
        <w:rPr>
          <w:rStyle w:val="ECCParagraph"/>
          <w:noProof/>
        </w:rPr>
      </w:pPr>
      <w:r w:rsidRPr="006D6727">
        <w:rPr>
          <w:rStyle w:val="ECCParagraph"/>
          <w:noProof/>
        </w:rPr>
        <w:t xml:space="preserve">The radiated mean power of the interferer in the direction of the victim service </w:t>
      </w:r>
      <m:oMath>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oMath>
      <w:r w:rsidRPr="006D6727">
        <w:rPr>
          <w:rStyle w:val="ECCParagraph"/>
          <w:noProof/>
        </w:rPr>
        <w:t xml:space="preserve"> can also in this case consist of several components due to a potential multipath propagation environment in the used interference scenario or in addition due to aggregation of several interferers inside the satellite's FOV. The interference scenario should be derived individually taking into account the peculiarities of every different radiodetermination application.</w:t>
      </w:r>
    </w:p>
    <w:p w14:paraId="310917EC" w14:textId="77777777" w:rsidR="00A349A9" w:rsidRPr="006D6727" w:rsidRDefault="00A349A9" w:rsidP="00A349A9">
      <w:pPr>
        <w:rPr>
          <w:rStyle w:val="ECCHLunderlined"/>
          <w:noProof/>
        </w:rPr>
      </w:pPr>
      <w:r w:rsidRPr="006D6727">
        <w:rPr>
          <w:rStyle w:val="ECCHLunderlined"/>
          <w:noProof/>
        </w:rPr>
        <w:t>Step 3: Evaluating the residual margin</w:t>
      </w:r>
    </w:p>
    <w:p w14:paraId="44E78D2E" w14:textId="77777777" w:rsidR="0094336C" w:rsidRPr="006D6727" w:rsidRDefault="00A349A9" w:rsidP="00A349A9">
      <w:pPr>
        <w:rPr>
          <w:rStyle w:val="ECCParagraph"/>
          <w:noProof/>
        </w:rPr>
      </w:pPr>
      <w:r w:rsidRPr="006D6727">
        <w:rPr>
          <w:rStyle w:val="ECCParagraph"/>
          <w:noProof/>
        </w:rPr>
        <w:t xml:space="preserve">In a last step the actual obtained interference power level </w:t>
      </w:r>
      <m:oMath>
        <m:r>
          <m:rPr>
            <m:sty m:val="p"/>
          </m:rPr>
          <w:rPr>
            <w:rStyle w:val="ECCParagraph"/>
            <w:rFonts w:ascii="Cambria Math" w:hAnsi="Cambria Math"/>
            <w:noProof/>
          </w:rPr>
          <m:t>I</m:t>
        </m:r>
      </m:oMath>
      <w:r w:rsidRPr="006D6727">
        <w:rPr>
          <w:rStyle w:val="ECCParagraph"/>
          <w:noProof/>
        </w:rPr>
        <w:t xml:space="preserve"> is compared with the maximum permissible interference power level at the victim receiver </w:t>
      </w: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oMath>
      <w:r w:rsidRPr="006D6727">
        <w:rPr>
          <w:rStyle w:val="ECCParagraph"/>
          <w:noProof/>
        </w:rPr>
        <w:t xml:space="preserve"> evaluating the residual margin</w:t>
      </w:r>
      <w:r w:rsidR="00FF004A" w:rsidRPr="006D6727">
        <w:rPr>
          <w:rStyle w:val="ECCParagraph"/>
          <w:noProof/>
        </w:rPr>
        <w:t>.</w:t>
      </w:r>
    </w:p>
    <w:p w14:paraId="021FEC64" w14:textId="77777777" w:rsidR="00DA07B5" w:rsidRPr="006D6727" w:rsidRDefault="00DA07B5" w:rsidP="00DA07B5">
      <w:pPr>
        <w:pStyle w:val="Heading3"/>
        <w:rPr>
          <w:noProof/>
          <w:lang w:val="en-GB"/>
        </w:rPr>
      </w:pPr>
      <w:bookmarkStart w:id="427" w:name="_Toc84325331"/>
      <w:bookmarkStart w:id="428" w:name="_Toc127346263"/>
      <w:r w:rsidRPr="006D6727">
        <w:rPr>
          <w:noProof/>
          <w:lang w:val="en-GB"/>
        </w:rPr>
        <w:t>Interference scenario to</w:t>
      </w:r>
      <w:r w:rsidR="00D824B8" w:rsidRPr="006D6727">
        <w:rPr>
          <w:noProof/>
          <w:lang w:val="en-GB"/>
        </w:rPr>
        <w:t xml:space="preserve"> limb sounding systems</w:t>
      </w:r>
      <w:bookmarkEnd w:id="427"/>
      <w:bookmarkEnd w:id="428"/>
    </w:p>
    <w:p w14:paraId="1DBC612B" w14:textId="0A3CB2C5" w:rsidR="005842B5" w:rsidRDefault="00825F19" w:rsidP="005842B5">
      <w:r>
        <w:rPr>
          <w:rStyle w:val="ECCParagraph"/>
        </w:rPr>
        <w:t>Recommendation ITU-R</w:t>
      </w:r>
      <w:r w:rsidR="005842B5">
        <w:rPr>
          <w:rStyle w:val="ECCParagraph"/>
        </w:rPr>
        <w:t xml:space="preserve"> RS.1861 provides </w:t>
      </w:r>
      <w:r w:rsidR="004563EF">
        <w:rPr>
          <w:rStyle w:val="ECCParagraph"/>
        </w:rPr>
        <w:t xml:space="preserve">e.g. </w:t>
      </w:r>
      <w:r w:rsidR="005842B5">
        <w:rPr>
          <w:rStyle w:val="ECCParagraph"/>
        </w:rPr>
        <w:t xml:space="preserve">the characteristics for sensor M1 which is a </w:t>
      </w:r>
      <w:r w:rsidR="00F35332">
        <w:rPr>
          <w:rStyle w:val="ECCParagraph"/>
        </w:rPr>
        <w:t>l</w:t>
      </w:r>
      <w:r w:rsidR="005842B5" w:rsidRPr="00F61C36">
        <w:rPr>
          <w:rStyle w:val="ECCParagraph"/>
        </w:rPr>
        <w:t>imb sound</w:t>
      </w:r>
      <w:r w:rsidR="005842B5">
        <w:rPr>
          <w:rStyle w:val="ECCParagraph"/>
        </w:rPr>
        <w:t>er operat</w:t>
      </w:r>
      <w:r w:rsidR="005842B5" w:rsidRPr="00F61C36">
        <w:rPr>
          <w:rStyle w:val="ECCParagraph"/>
        </w:rPr>
        <w:t xml:space="preserve">ing </w:t>
      </w:r>
      <w:r w:rsidR="005842B5">
        <w:rPr>
          <w:rStyle w:val="ECCParagraph"/>
        </w:rPr>
        <w:t>between 114</w:t>
      </w:r>
      <w:r w:rsidR="00CF4994">
        <w:rPr>
          <w:rStyle w:val="ECCParagraph"/>
        </w:rPr>
        <w:t>.2</w:t>
      </w:r>
      <w:r w:rsidR="005842B5">
        <w:rPr>
          <w:rStyle w:val="ECCParagraph"/>
        </w:rPr>
        <w:t>5 and 122</w:t>
      </w:r>
      <w:r w:rsidR="00CF4994">
        <w:rPr>
          <w:rStyle w:val="ECCParagraph"/>
        </w:rPr>
        <w:t>.2</w:t>
      </w:r>
      <w:r w:rsidR="005842B5">
        <w:rPr>
          <w:rStyle w:val="ECCParagraph"/>
        </w:rPr>
        <w:t xml:space="preserve">5 GHz. These </w:t>
      </w:r>
      <w:r w:rsidR="005842B5" w:rsidRPr="00F61C36">
        <w:rPr>
          <w:rStyle w:val="ECCParagraph"/>
        </w:rPr>
        <w:t>systems</w:t>
      </w:r>
      <w:r w:rsidR="005842B5" w:rsidRPr="00F61C36">
        <w:t xml:space="preserve"> </w:t>
      </w:r>
      <w:r w:rsidR="005842B5" w:rsidRPr="0001084F">
        <w:t>measure naturally-occurring microwave thermal emission from the limb (edge) of Earth's atmosphere to remotely sense vertical profiles of atmospheric gases, temperature, pressure, and cloud ice</w:t>
      </w:r>
      <w:r w:rsidR="000C3B6C">
        <w:t xml:space="preserve"> </w:t>
      </w:r>
      <w:r w:rsidR="000C3B6C" w:rsidRPr="000C3B6C">
        <w:t>https://mls.jpl.nasa.gov/</w:t>
      </w:r>
      <w:r w:rsidR="004F7D02">
        <w:t xml:space="preserve"> </w:t>
      </w:r>
      <w:r w:rsidR="004F7D02">
        <w:fldChar w:fldCharType="begin"/>
      </w:r>
      <w:r w:rsidR="004F7D02">
        <w:instrText xml:space="preserve"> REF _Ref90642878 \r \h </w:instrText>
      </w:r>
      <w:r w:rsidR="004F7D02">
        <w:fldChar w:fldCharType="separate"/>
      </w:r>
      <w:r w:rsidR="004F49F9">
        <w:t>[34]</w:t>
      </w:r>
      <w:r w:rsidR="004F7D02">
        <w:fldChar w:fldCharType="end"/>
      </w:r>
      <w:r w:rsidR="005842B5">
        <w:t>.</w:t>
      </w:r>
    </w:p>
    <w:p w14:paraId="5EE861DF" w14:textId="4A3B3C6B" w:rsidR="005842B5" w:rsidRDefault="00963676" w:rsidP="005842B5">
      <w:r>
        <w:rPr>
          <w:rStyle w:val="ECCParagraph"/>
        </w:rPr>
        <w:fldChar w:fldCharType="begin"/>
      </w:r>
      <w:r>
        <w:rPr>
          <w:rStyle w:val="ECCParagraph"/>
        </w:rPr>
        <w:instrText xml:space="preserve"> REF _Ref59034732 \h </w:instrText>
      </w:r>
      <w:r>
        <w:rPr>
          <w:rStyle w:val="ECCParagraph"/>
        </w:rPr>
      </w:r>
      <w:r>
        <w:rPr>
          <w:rStyle w:val="ECCParagraph"/>
        </w:rPr>
        <w:fldChar w:fldCharType="separate"/>
      </w:r>
      <w:r w:rsidR="0041125F" w:rsidRPr="00963676">
        <w:rPr>
          <w:rStyle w:val="ECCParagraph"/>
          <w:lang w:val="da-DK"/>
        </w:rPr>
        <w:t>Figure </w:t>
      </w:r>
      <w:r w:rsidR="0041125F">
        <w:rPr>
          <w:rStyle w:val="ECCParagraph"/>
          <w:noProof/>
          <w:lang w:val="da-DK"/>
        </w:rPr>
        <w:t>81</w:t>
      </w:r>
      <w:r>
        <w:rPr>
          <w:rStyle w:val="ECCParagraph"/>
        </w:rPr>
        <w:fldChar w:fldCharType="end"/>
      </w:r>
      <w:r>
        <w:rPr>
          <w:rStyle w:val="ECCParagraph"/>
        </w:rPr>
        <w:t xml:space="preserve"> </w:t>
      </w:r>
      <w:r w:rsidR="005842B5" w:rsidRPr="00963676">
        <w:rPr>
          <w:rStyle w:val="ECCParagraph"/>
        </w:rPr>
        <w:t>(left)</w:t>
      </w:r>
      <w:r w:rsidR="005842B5">
        <w:t xml:space="preserve"> illustrates the operation of a Limb sounder.</w:t>
      </w:r>
      <w:r w:rsidR="005842B5" w:rsidRPr="00027C43">
        <w:t xml:space="preserve"> </w:t>
      </w:r>
      <w:r w:rsidR="005842B5">
        <w:t xml:space="preserve">To calculate the power level at the sounder receiver, its antenna gain in the direction from where interference would be originated on the surface of the earth should be estimated. Unfortunately, </w:t>
      </w:r>
      <w:r w:rsidR="00825F19">
        <w:t>Recommendation ITU-R</w:t>
      </w:r>
      <w:r w:rsidR="005842B5">
        <w:t xml:space="preserve"> RS.1681 does not provide information on the sensor antenna pattern. According to </w:t>
      </w:r>
      <w:r w:rsidR="00825F19">
        <w:t>Recommendation ITU-R</w:t>
      </w:r>
      <w:r w:rsidR="005842B5">
        <w:t xml:space="preserve"> RS. 515, "</w:t>
      </w:r>
      <w:r w:rsidR="005842B5" w:rsidRPr="00027C43">
        <w:t>Limb scan modes view the atmosphere “on edge” and terminate in space rather than at the surface, and accordingly are weighted zero at the surface and maximum at the tangent point height.</w:t>
      </w:r>
      <w:r w:rsidR="005842B5">
        <w:t>" Since this behaviour seems be difficult to achieve from a physical point of view, the following reasoning was made to calculate the receiver antenna gain in the direction of interest.</w:t>
      </w:r>
    </w:p>
    <w:p w14:paraId="13FFA226" w14:textId="601B3AB0" w:rsidR="005842B5" w:rsidRDefault="005842B5" w:rsidP="005842B5">
      <w:pPr>
        <w:rPr>
          <w:rStyle w:val="ECCParagraph"/>
        </w:rPr>
      </w:pPr>
      <w:r>
        <w:t xml:space="preserve">The limb sounder gain is maximum at the tangent point height. According to </w:t>
      </w:r>
      <w:r w:rsidR="0015272F">
        <w:rPr>
          <w:rStyle w:val="ECCParagraph"/>
        </w:rPr>
        <w:fldChar w:fldCharType="begin"/>
      </w:r>
      <w:r w:rsidR="0015272F">
        <w:rPr>
          <w:rStyle w:val="ECCParagraph"/>
        </w:rPr>
        <w:instrText xml:space="preserve"> REF  Limb_sounding_satellite \h \w  \* MERGEFORMAT </w:instrText>
      </w:r>
      <w:r w:rsidR="0015272F">
        <w:rPr>
          <w:rStyle w:val="ECCParagraph"/>
        </w:rPr>
      </w:r>
      <w:r w:rsidR="0015272F">
        <w:rPr>
          <w:rStyle w:val="ECCParagraph"/>
        </w:rPr>
        <w:fldChar w:fldCharType="separate"/>
      </w:r>
      <w:r w:rsidR="004F49F9">
        <w:rPr>
          <w:rStyle w:val="ECCParagraph"/>
        </w:rPr>
        <w:t>[62]</w:t>
      </w:r>
      <w:r w:rsidR="0015272F">
        <w:rPr>
          <w:rStyle w:val="ECCParagraph"/>
        </w:rPr>
        <w:fldChar w:fldCharType="end"/>
      </w:r>
      <w:r>
        <w:t>, the satellite instrument acquires an instantaneous set of measurements at different tangent heights (TH). This height can be as low as 5 km and can go up to several tenths of km with the same instrument using sampling steps as low as 0</w:t>
      </w:r>
      <w:r w:rsidR="00CF4994">
        <w:t>.2</w:t>
      </w:r>
      <w:r>
        <w:t> km. For the rest of the geometry, information on "Instantaneous field of view", "</w:t>
      </w:r>
      <w:r w:rsidRPr="005842B5">
        <w:t>−</w:t>
      </w:r>
      <w:r>
        <w:t>3 dB beam width" and "</w:t>
      </w:r>
      <w:r w:rsidRPr="005842B5">
        <w:t>−</w:t>
      </w:r>
      <w:r>
        <w:t xml:space="preserve">3 dB beam dimensions" provided in </w:t>
      </w:r>
      <w:r>
        <w:rPr>
          <w:rStyle w:val="ECCParagraph"/>
        </w:rPr>
        <w:t xml:space="preserve">ITU-R RS.1861 can be used as illustrated in </w:t>
      </w:r>
      <w:r w:rsidR="00963676">
        <w:rPr>
          <w:rStyle w:val="ECCParagraph"/>
        </w:rPr>
        <w:fldChar w:fldCharType="begin"/>
      </w:r>
      <w:r w:rsidR="00963676">
        <w:rPr>
          <w:rStyle w:val="ECCParagraph"/>
        </w:rPr>
        <w:instrText xml:space="preserve"> REF _Ref59034732 \h </w:instrText>
      </w:r>
      <w:r w:rsidR="00963676">
        <w:rPr>
          <w:rStyle w:val="ECCParagraph"/>
        </w:rPr>
      </w:r>
      <w:r w:rsidR="00963676">
        <w:rPr>
          <w:rStyle w:val="ECCParagraph"/>
        </w:rPr>
        <w:fldChar w:fldCharType="separate"/>
      </w:r>
      <w:r w:rsidR="0041125F" w:rsidRPr="00963676">
        <w:rPr>
          <w:rStyle w:val="ECCParagraph"/>
          <w:lang w:val="da-DK"/>
        </w:rPr>
        <w:t>Figure </w:t>
      </w:r>
      <w:r w:rsidR="0041125F">
        <w:rPr>
          <w:rStyle w:val="ECCParagraph"/>
          <w:noProof/>
          <w:lang w:val="da-DK"/>
        </w:rPr>
        <w:t>81</w:t>
      </w:r>
      <w:r w:rsidR="00963676">
        <w:rPr>
          <w:rStyle w:val="ECCParagraph"/>
        </w:rPr>
        <w:fldChar w:fldCharType="end"/>
      </w:r>
      <w:r w:rsidR="00963676">
        <w:rPr>
          <w:rStyle w:val="ECCParagraph"/>
        </w:rPr>
        <w:t xml:space="preserve"> </w:t>
      </w:r>
      <w:r>
        <w:rPr>
          <w:rStyle w:val="ECCParagraph"/>
        </w:rPr>
        <w:t>(right).</w:t>
      </w:r>
    </w:p>
    <w:p w14:paraId="50FC4221" w14:textId="326D2A3B" w:rsidR="005842B5" w:rsidRDefault="005842B5" w:rsidP="005842B5">
      <w:r>
        <w:rPr>
          <w:rStyle w:val="ECCParagraph"/>
        </w:rPr>
        <w:t xml:space="preserve">In </w:t>
      </w:r>
      <w:r w:rsidR="00963676">
        <w:rPr>
          <w:rStyle w:val="ECCHLyellow"/>
        </w:rPr>
        <w:fldChar w:fldCharType="begin"/>
      </w:r>
      <w:r w:rsidR="00963676">
        <w:rPr>
          <w:rStyle w:val="ECCParagraph"/>
        </w:rPr>
        <w:instrText xml:space="preserve"> REF _Ref59034732 \h </w:instrText>
      </w:r>
      <w:r w:rsidR="00963676">
        <w:rPr>
          <w:rStyle w:val="ECCHLyellow"/>
        </w:rPr>
      </w:r>
      <w:r w:rsidR="00963676">
        <w:rPr>
          <w:rStyle w:val="ECCHLyellow"/>
        </w:rPr>
        <w:fldChar w:fldCharType="separate"/>
      </w:r>
      <w:r w:rsidR="0041125F" w:rsidRPr="00963676">
        <w:rPr>
          <w:rStyle w:val="ECCParagraph"/>
          <w:lang w:val="da-DK"/>
        </w:rPr>
        <w:t>Figure </w:t>
      </w:r>
      <w:r w:rsidR="0041125F">
        <w:rPr>
          <w:rStyle w:val="ECCParagraph"/>
          <w:noProof/>
          <w:lang w:val="da-DK"/>
        </w:rPr>
        <w:t>81</w:t>
      </w:r>
      <w:r w:rsidR="00963676">
        <w:rPr>
          <w:rStyle w:val="ECCHLyellow"/>
        </w:rPr>
        <w:fldChar w:fldCharType="end"/>
      </w:r>
      <w:r>
        <w:rPr>
          <w:rStyle w:val="ECCParagraph"/>
        </w:rPr>
        <w:t xml:space="preserve">, angle </w:t>
      </w:r>
      <w:r w:rsidRPr="00274A0C">
        <w:rPr>
          <w:rStyle w:val="ECCParagraph"/>
        </w:rPr>
        <w:t>β</w:t>
      </w:r>
      <w:r>
        <w:rPr>
          <w:rStyle w:val="ECCParagraph"/>
        </w:rPr>
        <w:t xml:space="preserve"> is the one defined between the direction of maximum gain and the direction of the ground. With the previous information, it is calculated as 0</w:t>
      </w:r>
      <w:r w:rsidR="00CF4994">
        <w:rPr>
          <w:rStyle w:val="ECCParagraph"/>
        </w:rPr>
        <w:t>.5</w:t>
      </w:r>
      <w:r>
        <w:rPr>
          <w:rStyle w:val="ECCParagraph"/>
        </w:rPr>
        <w:t xml:space="preserve">2°. Assuming the </w:t>
      </w:r>
      <w:r>
        <w:t xml:space="preserve">typical antenna pattern for EESS (passive) sensors described in </w:t>
      </w:r>
      <w:r w:rsidR="00825F19">
        <w:t>Recommendation ITU-R</w:t>
      </w:r>
      <w:r>
        <w:t xml:space="preserve"> RS.1813, and the maximum antenna gain of 60 dBi from the Recommendation, the limb sensor antenna gain in the relevant direction is calculated as 33 dBi.</w:t>
      </w:r>
    </w:p>
    <w:p w14:paraId="7881B9E9" w14:textId="77777777" w:rsidR="005842B5" w:rsidRDefault="005842B5" w:rsidP="005842B5">
      <w:r w:rsidRPr="005842B5">
        <w:rPr>
          <w:noProof/>
          <w:lang w:val="de-DE" w:eastAsia="de-DE"/>
        </w:rPr>
        <w:drawing>
          <wp:inline distT="0" distB="0" distL="0" distR="0" wp14:anchorId="68CE9A40" wp14:editId="5900737F">
            <wp:extent cx="3348589" cy="1687830"/>
            <wp:effectExtent l="0" t="0" r="4445" b="7620"/>
            <wp:docPr id="101"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3374102" cy="1700690"/>
                    </a:xfrm>
                    <a:prstGeom prst="rect">
                      <a:avLst/>
                    </a:prstGeom>
                    <a:noFill/>
                    <a:ln>
                      <a:noFill/>
                    </a:ln>
                    <a:extLst>
                      <a:ext uri="{53640926-AAD7-44D8-BBD7-CCE9431645EC}">
                        <a14:shadowObscured xmlns:a14="http://schemas.microsoft.com/office/drawing/2010/main"/>
                      </a:ext>
                    </a:extLst>
                  </pic:spPr>
                </pic:pic>
              </a:graphicData>
            </a:graphic>
          </wp:inline>
        </w:drawing>
      </w:r>
      <w:r w:rsidRPr="00C66E35">
        <w:t xml:space="preserve"> </w:t>
      </w:r>
      <w:r w:rsidRPr="005842B5">
        <w:rPr>
          <w:noProof/>
          <w:lang w:val="de-DE" w:eastAsia="de-DE"/>
        </w:rPr>
        <w:drawing>
          <wp:inline distT="0" distB="0" distL="0" distR="0" wp14:anchorId="015BBEB6" wp14:editId="37AFEAFD">
            <wp:extent cx="2730500" cy="1291850"/>
            <wp:effectExtent l="0" t="0" r="0" b="3810"/>
            <wp:docPr id="190"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2792201" cy="1321042"/>
                    </a:xfrm>
                    <a:prstGeom prst="rect">
                      <a:avLst/>
                    </a:prstGeom>
                    <a:noFill/>
                    <a:ln>
                      <a:noFill/>
                    </a:ln>
                    <a:extLst>
                      <a:ext uri="{53640926-AAD7-44D8-BBD7-CCE9431645EC}">
                        <a14:shadowObscured xmlns:a14="http://schemas.microsoft.com/office/drawing/2010/main"/>
                      </a:ext>
                    </a:extLst>
                  </pic:spPr>
                </pic:pic>
              </a:graphicData>
            </a:graphic>
          </wp:inline>
        </w:drawing>
      </w:r>
    </w:p>
    <w:p w14:paraId="23C61C41" w14:textId="703AAA8E" w:rsidR="005842B5" w:rsidRPr="00963676" w:rsidRDefault="00963676" w:rsidP="00963676">
      <w:pPr>
        <w:pStyle w:val="Caption"/>
      </w:pPr>
      <w:bookmarkStart w:id="429" w:name="_Ref59034732"/>
      <w:r w:rsidRPr="00963676">
        <w:rPr>
          <w:rStyle w:val="ECCParagraph"/>
          <w:lang w:val="da-DK"/>
        </w:rPr>
        <w:t>Figure </w:t>
      </w:r>
      <w:r w:rsidRPr="00963676">
        <w:rPr>
          <w:rStyle w:val="ECCParagraph"/>
          <w:lang w:val="da-DK"/>
        </w:rPr>
        <w:fldChar w:fldCharType="begin"/>
      </w:r>
      <w:r w:rsidRPr="00963676">
        <w:rPr>
          <w:rStyle w:val="ECCParagraph"/>
          <w:lang w:val="da-DK"/>
        </w:rPr>
        <w:instrText xml:space="preserve"> SEQ Figure \*ARABIC \* MERGEFORMAT  \* MERGEFORMAT </w:instrText>
      </w:r>
      <w:r w:rsidRPr="00963676">
        <w:rPr>
          <w:rStyle w:val="ECCParagraph"/>
          <w:lang w:val="da-DK"/>
        </w:rPr>
        <w:fldChar w:fldCharType="separate"/>
      </w:r>
      <w:r w:rsidR="004F49F9">
        <w:rPr>
          <w:rStyle w:val="ECCParagraph"/>
          <w:noProof/>
          <w:lang w:val="da-DK"/>
        </w:rPr>
        <w:t>81</w:t>
      </w:r>
      <w:r w:rsidRPr="00963676">
        <w:rPr>
          <w:rStyle w:val="ECCParagraph"/>
          <w:lang w:val="da-DK"/>
        </w:rPr>
        <w:fldChar w:fldCharType="end"/>
      </w:r>
      <w:bookmarkEnd w:id="429"/>
      <w:r w:rsidR="005842B5" w:rsidRPr="00963676">
        <w:rPr>
          <w:rStyle w:val="ECCParagraph"/>
          <w:rFonts w:eastAsia="Calibri"/>
          <w:lang w:val="da-DK"/>
        </w:rPr>
        <w:t>:</w:t>
      </w:r>
      <w:r w:rsidR="005842B5" w:rsidRPr="00963676">
        <w:t xml:space="preserve"> Operation of </w:t>
      </w:r>
      <w:r w:rsidR="004563EF" w:rsidRPr="00963676">
        <w:t xml:space="preserve">a </w:t>
      </w:r>
      <w:r w:rsidR="005842B5" w:rsidRPr="00963676">
        <w:t>Limb sounder sensor</w:t>
      </w:r>
    </w:p>
    <w:p w14:paraId="02369FCA" w14:textId="77777777" w:rsidR="00EB79D9" w:rsidRPr="006D6727" w:rsidRDefault="00EB79D9" w:rsidP="00EB79D9">
      <w:pPr>
        <w:pStyle w:val="Heading2"/>
        <w:rPr>
          <w:noProof/>
          <w:lang w:val="en-GB"/>
        </w:rPr>
      </w:pPr>
      <w:bookmarkStart w:id="430" w:name="_Ref20321120"/>
      <w:bookmarkStart w:id="431" w:name="_Toc84325332"/>
      <w:bookmarkStart w:id="432" w:name="_Toc127346264"/>
      <w:r w:rsidRPr="006D6727">
        <w:rPr>
          <w:noProof/>
          <w:lang w:val="en-GB"/>
        </w:rPr>
        <w:t>Technical Parameters and Protection Criteria for Radio Services</w:t>
      </w:r>
      <w:bookmarkEnd w:id="416"/>
      <w:bookmarkEnd w:id="430"/>
      <w:bookmarkEnd w:id="431"/>
      <w:bookmarkEnd w:id="432"/>
    </w:p>
    <w:p w14:paraId="049CC860" w14:textId="77777777" w:rsidR="00EB79D9" w:rsidRPr="006D6727" w:rsidRDefault="00EB79D9" w:rsidP="00EB79D9">
      <w:pPr>
        <w:pStyle w:val="Heading3"/>
        <w:rPr>
          <w:noProof/>
          <w:lang w:val="en-GB"/>
        </w:rPr>
      </w:pPr>
      <w:bookmarkStart w:id="433" w:name="_Toc84325333"/>
      <w:bookmarkStart w:id="434" w:name="_Toc127346265"/>
      <w:r w:rsidRPr="006D6727">
        <w:rPr>
          <w:noProof/>
          <w:lang w:val="en-GB"/>
        </w:rPr>
        <w:t>Introduction</w:t>
      </w:r>
      <w:bookmarkEnd w:id="433"/>
      <w:bookmarkEnd w:id="434"/>
    </w:p>
    <w:p w14:paraId="0DBFC301" w14:textId="676E6549" w:rsidR="00EB79D9" w:rsidRPr="006D6727" w:rsidRDefault="00A52E0C" w:rsidP="00EB79D9">
      <w:pPr>
        <w:rPr>
          <w:noProof/>
        </w:rPr>
      </w:pPr>
      <w:r w:rsidRPr="006D6727">
        <w:rPr>
          <w:noProof/>
          <w:highlight w:val="yellow"/>
        </w:rPr>
        <w:fldChar w:fldCharType="begin"/>
      </w:r>
      <w:r w:rsidRPr="006D6727">
        <w:rPr>
          <w:noProof/>
        </w:rPr>
        <w:instrText xml:space="preserve"> REF _Ref12449270 \h </w:instrText>
      </w:r>
      <w:r w:rsidRPr="006D6727">
        <w:rPr>
          <w:noProof/>
          <w:highlight w:val="yellow"/>
        </w:rPr>
      </w:r>
      <w:r w:rsidRPr="006D6727">
        <w:rPr>
          <w:noProof/>
          <w:highlight w:val="yellow"/>
        </w:rPr>
        <w:fldChar w:fldCharType="separate"/>
      </w:r>
      <w:r w:rsidR="0041125F" w:rsidRPr="006D6727">
        <w:rPr>
          <w:noProof/>
        </w:rPr>
        <w:t>Table </w:t>
      </w:r>
      <w:r w:rsidR="0041125F">
        <w:rPr>
          <w:noProof/>
        </w:rPr>
        <w:t>34</w:t>
      </w:r>
      <w:r w:rsidRPr="006D6727">
        <w:rPr>
          <w:noProof/>
          <w:highlight w:val="yellow"/>
        </w:rPr>
        <w:fldChar w:fldCharType="end"/>
      </w:r>
      <w:r w:rsidRPr="006D6727">
        <w:rPr>
          <w:noProof/>
        </w:rPr>
        <w:t xml:space="preserve"> </w:t>
      </w:r>
      <w:r w:rsidR="00EB79D9" w:rsidRPr="006D6727">
        <w:rPr>
          <w:noProof/>
        </w:rPr>
        <w:t>in</w:t>
      </w:r>
      <w:r w:rsidRPr="006D6727">
        <w:rPr>
          <w:noProof/>
        </w:rPr>
        <w:t xml:space="preserve"> </w:t>
      </w:r>
      <w:r w:rsidR="009D5FA2">
        <w:rPr>
          <w:noProof/>
        </w:rPr>
        <w:t>section</w:t>
      </w:r>
      <w:r w:rsidR="00EB79D9" w:rsidRPr="006D6727">
        <w:rPr>
          <w:noProof/>
        </w:rPr>
        <w:t xml:space="preserve"> </w:t>
      </w:r>
      <w:r w:rsidRPr="006D6727">
        <w:rPr>
          <w:noProof/>
          <w:highlight w:val="yellow"/>
        </w:rPr>
        <w:fldChar w:fldCharType="begin"/>
      </w:r>
      <w:r w:rsidRPr="006D6727">
        <w:rPr>
          <w:noProof/>
        </w:rPr>
        <w:instrText xml:space="preserve"> REF _Ref15647073 \r \h </w:instrText>
      </w:r>
      <w:r w:rsidRPr="006D6727">
        <w:rPr>
          <w:noProof/>
          <w:highlight w:val="yellow"/>
        </w:rPr>
      </w:r>
      <w:r w:rsidRPr="006D6727">
        <w:rPr>
          <w:noProof/>
          <w:highlight w:val="yellow"/>
        </w:rPr>
        <w:fldChar w:fldCharType="separate"/>
      </w:r>
      <w:r w:rsidR="004F49F9">
        <w:rPr>
          <w:noProof/>
        </w:rPr>
        <w:t>3.2</w:t>
      </w:r>
      <w:r w:rsidRPr="006D6727">
        <w:rPr>
          <w:noProof/>
          <w:highlight w:val="yellow"/>
        </w:rPr>
        <w:fldChar w:fldCharType="end"/>
      </w:r>
      <w:r w:rsidRPr="006D6727">
        <w:rPr>
          <w:noProof/>
        </w:rPr>
        <w:t xml:space="preserve"> </w:t>
      </w:r>
      <w:r w:rsidR="00EB79D9" w:rsidRPr="006D6727">
        <w:rPr>
          <w:noProof/>
        </w:rPr>
        <w:t xml:space="preserve">shows an extract from the European Common Allocations (ECA) table in ERC Report 025 </w:t>
      </w:r>
      <w:r w:rsidR="00EB79D9" w:rsidRPr="006D6727">
        <w:rPr>
          <w:rStyle w:val="ECCParagraph"/>
          <w:noProof/>
        </w:rPr>
        <w:fldChar w:fldCharType="begin"/>
      </w:r>
      <w:r w:rsidR="00EB79D9" w:rsidRPr="006D6727">
        <w:rPr>
          <w:rStyle w:val="ECCParagraph"/>
          <w:noProof/>
        </w:rPr>
        <w:instrText xml:space="preserve"> REF  ERCRep025 \h \w  \* MERGEFORMAT </w:instrText>
      </w:r>
      <w:r w:rsidR="00EB79D9" w:rsidRPr="006D6727">
        <w:rPr>
          <w:rStyle w:val="ECCParagraph"/>
          <w:noProof/>
        </w:rPr>
      </w:r>
      <w:r w:rsidR="00EB79D9" w:rsidRPr="006D6727">
        <w:rPr>
          <w:rStyle w:val="ECCParagraph"/>
          <w:noProof/>
        </w:rPr>
        <w:fldChar w:fldCharType="separate"/>
      </w:r>
      <w:r w:rsidR="004F49F9">
        <w:rPr>
          <w:rStyle w:val="ECCParagraph"/>
          <w:noProof/>
        </w:rPr>
        <w:t>[3]</w:t>
      </w:r>
      <w:r w:rsidR="00EB79D9" w:rsidRPr="006D6727">
        <w:rPr>
          <w:rStyle w:val="ECCParagraph"/>
          <w:noProof/>
        </w:rPr>
        <w:fldChar w:fldCharType="end"/>
      </w:r>
      <w:r w:rsidR="00EB79D9" w:rsidRPr="006D6727">
        <w:rPr>
          <w:noProof/>
        </w:rPr>
        <w:t xml:space="preserve">. In the relevant frequency range from 116 to 260 GHz a very broad range of primary and secondary allocations to various radio services is defined. However, in order to limit the amount of addressed </w:t>
      </w:r>
      <w:r w:rsidR="009D5FA2">
        <w:rPr>
          <w:noProof/>
        </w:rPr>
        <w:t>coexistence</w:t>
      </w:r>
      <w:r w:rsidR="00EB79D9" w:rsidRPr="006D6727">
        <w:rPr>
          <w:noProof/>
        </w:rPr>
        <w:t xml:space="preserve"> considerations to a practical degree, it is proposed to limit the studies for the candidate bands to the defined applications in the ECA table which are:</w:t>
      </w:r>
    </w:p>
    <w:p w14:paraId="10A8A359" w14:textId="7985D34C" w:rsidR="00EB79D9" w:rsidRPr="006D6727" w:rsidRDefault="00EB79D9" w:rsidP="00EB79D9">
      <w:pPr>
        <w:pStyle w:val="ECCBulletsLv1"/>
        <w:rPr>
          <w:noProof/>
        </w:rPr>
      </w:pPr>
      <w:r w:rsidRPr="006D6727">
        <w:rPr>
          <w:noProof/>
        </w:rPr>
        <w:t xml:space="preserve">Radio </w:t>
      </w:r>
      <w:r w:rsidR="002B428D">
        <w:rPr>
          <w:noProof/>
        </w:rPr>
        <w:t>A</w:t>
      </w:r>
      <w:r w:rsidRPr="006D6727">
        <w:rPr>
          <w:noProof/>
        </w:rPr>
        <w:t xml:space="preserve">stronomy </w:t>
      </w:r>
      <w:r w:rsidR="002B428D">
        <w:rPr>
          <w:noProof/>
        </w:rPr>
        <w:t>S</w:t>
      </w:r>
      <w:r w:rsidRPr="006D6727">
        <w:rPr>
          <w:noProof/>
        </w:rPr>
        <w:t>ervice (RAS)</w:t>
      </w:r>
      <w:r w:rsidR="002B428D">
        <w:rPr>
          <w:noProof/>
        </w:rPr>
        <w:t>;</w:t>
      </w:r>
    </w:p>
    <w:p w14:paraId="308F3515" w14:textId="1E07F71C" w:rsidR="00EB79D9" w:rsidRPr="006D6727" w:rsidRDefault="00EB79D9" w:rsidP="00EB79D9">
      <w:pPr>
        <w:pStyle w:val="ECCBulletsLv1"/>
        <w:rPr>
          <w:noProof/>
        </w:rPr>
      </w:pPr>
      <w:r w:rsidRPr="006D6727">
        <w:rPr>
          <w:noProof/>
        </w:rPr>
        <w:t xml:space="preserve">Fixed </w:t>
      </w:r>
      <w:r w:rsidR="002B428D">
        <w:rPr>
          <w:noProof/>
        </w:rPr>
        <w:t>S</w:t>
      </w:r>
      <w:r w:rsidRPr="006D6727">
        <w:rPr>
          <w:noProof/>
        </w:rPr>
        <w:t>ervice (FS)</w:t>
      </w:r>
      <w:r w:rsidR="002B428D">
        <w:rPr>
          <w:noProof/>
        </w:rPr>
        <w:t>;</w:t>
      </w:r>
    </w:p>
    <w:p w14:paraId="00F43B1D" w14:textId="3BAA879B" w:rsidR="00EB79D9" w:rsidRPr="006D6727" w:rsidRDefault="00EB79D9" w:rsidP="00EB79D9">
      <w:pPr>
        <w:pStyle w:val="ECCBulletsLv1"/>
        <w:rPr>
          <w:noProof/>
        </w:rPr>
      </w:pPr>
      <w:r w:rsidRPr="006D6727">
        <w:rPr>
          <w:noProof/>
        </w:rPr>
        <w:t>Earth exploration satellite service (EESS)</w:t>
      </w:r>
      <w:r w:rsidR="002B428D">
        <w:rPr>
          <w:noProof/>
        </w:rPr>
        <w:t>;</w:t>
      </w:r>
    </w:p>
    <w:p w14:paraId="348C8683" w14:textId="329FA140" w:rsidR="00EB79D9" w:rsidRPr="006D6727" w:rsidRDefault="00EB79D9" w:rsidP="00EB79D9">
      <w:pPr>
        <w:pStyle w:val="ECCBulletsLv1"/>
        <w:rPr>
          <w:noProof/>
        </w:rPr>
      </w:pPr>
      <w:r w:rsidRPr="006D6727">
        <w:rPr>
          <w:noProof/>
        </w:rPr>
        <w:t xml:space="preserve">Amateur </w:t>
      </w:r>
      <w:r w:rsidR="002B428D">
        <w:rPr>
          <w:noProof/>
        </w:rPr>
        <w:t>S</w:t>
      </w:r>
      <w:r w:rsidRPr="006D6727">
        <w:rPr>
          <w:noProof/>
        </w:rPr>
        <w:t>ervice</w:t>
      </w:r>
      <w:r w:rsidR="002B428D">
        <w:rPr>
          <w:noProof/>
        </w:rPr>
        <w:t>;</w:t>
      </w:r>
    </w:p>
    <w:p w14:paraId="0E112FEA" w14:textId="30F9D0F1" w:rsidR="00EB79D9" w:rsidRPr="006D6727" w:rsidRDefault="00EB79D9" w:rsidP="00EB79D9">
      <w:pPr>
        <w:pStyle w:val="ECCBulletsLv1"/>
        <w:rPr>
          <w:noProof/>
        </w:rPr>
      </w:pPr>
      <w:r w:rsidRPr="006D6727">
        <w:rPr>
          <w:noProof/>
        </w:rPr>
        <w:t>Non-specific shortrange devices.</w:t>
      </w:r>
    </w:p>
    <w:p w14:paraId="4467E2F3" w14:textId="05848CDB" w:rsidR="00EB79D9" w:rsidRPr="006D6727" w:rsidRDefault="00EB79D9" w:rsidP="00EB79D9">
      <w:pPr>
        <w:rPr>
          <w:noProof/>
        </w:rPr>
      </w:pPr>
      <w:r w:rsidRPr="006D6727">
        <w:rPr>
          <w:noProof/>
        </w:rPr>
        <w:t xml:space="preserve">An overview of the frequency ranges of these applications together with the proposed candidate bands (see </w:t>
      </w:r>
      <w:r w:rsidR="00A52E0C" w:rsidRPr="006D6727">
        <w:rPr>
          <w:noProof/>
          <w:highlight w:val="yellow"/>
        </w:rPr>
        <w:fldChar w:fldCharType="begin"/>
      </w:r>
      <w:r w:rsidR="00A52E0C" w:rsidRPr="006D6727">
        <w:rPr>
          <w:noProof/>
        </w:rPr>
        <w:instrText xml:space="preserve"> REF _Ref15636825 \h </w:instrText>
      </w:r>
      <w:r w:rsidR="00A52E0C" w:rsidRPr="006D6727">
        <w:rPr>
          <w:noProof/>
          <w:highlight w:val="yellow"/>
        </w:rPr>
      </w:r>
      <w:r w:rsidR="00A52E0C" w:rsidRPr="006D6727">
        <w:rPr>
          <w:noProof/>
          <w:highlight w:val="yellow"/>
        </w:rPr>
        <w:fldChar w:fldCharType="separate"/>
      </w:r>
      <w:r w:rsidR="0041125F" w:rsidRPr="006D6727">
        <w:rPr>
          <w:noProof/>
        </w:rPr>
        <w:t>Table </w:t>
      </w:r>
      <w:r w:rsidR="0041125F">
        <w:rPr>
          <w:noProof/>
        </w:rPr>
        <w:t>33</w:t>
      </w:r>
      <w:r w:rsidR="00A52E0C" w:rsidRPr="006D6727">
        <w:rPr>
          <w:noProof/>
          <w:highlight w:val="yellow"/>
        </w:rPr>
        <w:fldChar w:fldCharType="end"/>
      </w:r>
      <w:r w:rsidRPr="006D6727">
        <w:rPr>
          <w:noProof/>
        </w:rPr>
        <w:t xml:space="preserve">) is given in </w:t>
      </w:r>
      <w:r w:rsidR="00A52E0C" w:rsidRPr="006D6727">
        <w:rPr>
          <w:noProof/>
          <w:highlight w:val="yellow"/>
        </w:rPr>
        <w:fldChar w:fldCharType="begin"/>
      </w:r>
      <w:r w:rsidR="00A52E0C" w:rsidRPr="006D6727">
        <w:rPr>
          <w:noProof/>
        </w:rPr>
        <w:instrText xml:space="preserve"> REF _Ref9426549 \h </w:instrText>
      </w:r>
      <w:r w:rsidR="00A52E0C" w:rsidRPr="006D6727">
        <w:rPr>
          <w:noProof/>
          <w:highlight w:val="yellow"/>
        </w:rPr>
      </w:r>
      <w:r w:rsidR="00A52E0C" w:rsidRPr="006D6727">
        <w:rPr>
          <w:noProof/>
          <w:highlight w:val="yellow"/>
        </w:rPr>
        <w:fldChar w:fldCharType="separate"/>
      </w:r>
      <w:r w:rsidR="0041125F" w:rsidRPr="006D6727">
        <w:rPr>
          <w:noProof/>
        </w:rPr>
        <w:t>Figure </w:t>
      </w:r>
      <w:r w:rsidR="0041125F">
        <w:rPr>
          <w:noProof/>
        </w:rPr>
        <w:t>76</w:t>
      </w:r>
      <w:r w:rsidR="00A52E0C" w:rsidRPr="006D6727">
        <w:rPr>
          <w:noProof/>
          <w:highlight w:val="yellow"/>
        </w:rPr>
        <w:fldChar w:fldCharType="end"/>
      </w:r>
      <w:r w:rsidR="00A52E0C" w:rsidRPr="006D6727">
        <w:rPr>
          <w:noProof/>
        </w:rPr>
        <w:t xml:space="preserve"> </w:t>
      </w:r>
      <w:r w:rsidRPr="006D6727">
        <w:rPr>
          <w:noProof/>
        </w:rPr>
        <w:t xml:space="preserve">to </w:t>
      </w:r>
      <w:r w:rsidR="00A52E0C" w:rsidRPr="006D6727">
        <w:rPr>
          <w:noProof/>
          <w:highlight w:val="yellow"/>
        </w:rPr>
        <w:fldChar w:fldCharType="begin"/>
      </w:r>
      <w:r w:rsidR="00A52E0C" w:rsidRPr="006D6727">
        <w:rPr>
          <w:noProof/>
        </w:rPr>
        <w:instrText xml:space="preserve"> REF _Ref9426568 \h </w:instrText>
      </w:r>
      <w:r w:rsidR="00A52E0C" w:rsidRPr="006D6727">
        <w:rPr>
          <w:noProof/>
          <w:highlight w:val="yellow"/>
        </w:rPr>
      </w:r>
      <w:r w:rsidR="00A52E0C" w:rsidRPr="006D6727">
        <w:rPr>
          <w:noProof/>
          <w:highlight w:val="yellow"/>
        </w:rPr>
        <w:fldChar w:fldCharType="separate"/>
      </w:r>
      <w:r w:rsidR="0041125F" w:rsidRPr="006D6727">
        <w:rPr>
          <w:noProof/>
        </w:rPr>
        <w:t>Figure </w:t>
      </w:r>
      <w:r w:rsidR="0041125F">
        <w:rPr>
          <w:noProof/>
        </w:rPr>
        <w:t>79</w:t>
      </w:r>
      <w:r w:rsidR="00A52E0C" w:rsidRPr="006D6727">
        <w:rPr>
          <w:noProof/>
          <w:highlight w:val="yellow"/>
        </w:rPr>
        <w:fldChar w:fldCharType="end"/>
      </w:r>
      <w:r w:rsidRPr="006D6727">
        <w:rPr>
          <w:noProof/>
        </w:rPr>
        <w:t>.</w:t>
      </w:r>
    </w:p>
    <w:p w14:paraId="607A4DEE" w14:textId="77777777" w:rsidR="00EB79D9" w:rsidRPr="006D6727" w:rsidRDefault="00EB79D9" w:rsidP="00EB79D9">
      <w:pPr>
        <w:rPr>
          <w:noProof/>
        </w:rPr>
      </w:pPr>
      <w:r w:rsidRPr="006D6727">
        <w:rPr>
          <w:noProof/>
        </w:rPr>
        <w:t>When considering the range of the above identified victim services, it may be suggested to divide the possible interference scenarios into two categories:</w:t>
      </w:r>
    </w:p>
    <w:p w14:paraId="4F0C9281" w14:textId="3F5F2C6B" w:rsidR="00EB79D9" w:rsidRPr="006D6727" w:rsidRDefault="00EB79D9" w:rsidP="00EB79D9">
      <w:pPr>
        <w:pStyle w:val="ECCBulletsLv1"/>
        <w:rPr>
          <w:noProof/>
        </w:rPr>
      </w:pPr>
      <w:r w:rsidRPr="006D6727">
        <w:rPr>
          <w:noProof/>
        </w:rPr>
        <w:t>Interference over terrestrial paths</w:t>
      </w:r>
      <w:r w:rsidR="00EF3E55">
        <w:rPr>
          <w:noProof/>
        </w:rPr>
        <w:t>;</w:t>
      </w:r>
    </w:p>
    <w:p w14:paraId="305D400C" w14:textId="20D2E97F" w:rsidR="00EB79D9" w:rsidRPr="006D6727" w:rsidRDefault="00EB79D9" w:rsidP="00EB79D9">
      <w:pPr>
        <w:pStyle w:val="ECCBulletsLv1"/>
        <w:rPr>
          <w:noProof/>
        </w:rPr>
      </w:pPr>
      <w:r w:rsidRPr="006D6727">
        <w:rPr>
          <w:noProof/>
        </w:rPr>
        <w:t>Interference to spaceborne passive satellite receivers</w:t>
      </w:r>
      <w:r w:rsidR="00EF3E55">
        <w:rPr>
          <w:noProof/>
        </w:rPr>
        <w:t>;</w:t>
      </w:r>
    </w:p>
    <w:p w14:paraId="046ED664" w14:textId="77777777" w:rsidR="00EB79D9" w:rsidRPr="006D6727" w:rsidRDefault="00EB79D9" w:rsidP="00EB79D9">
      <w:pPr>
        <w:pStyle w:val="ECCBulletsLv1"/>
        <w:rPr>
          <w:noProof/>
        </w:rPr>
      </w:pPr>
      <w:r w:rsidRPr="006D6727">
        <w:rPr>
          <w:noProof/>
        </w:rPr>
        <w:t>For type A applications line-of-sight (LOS) conditions can be assumed for both interference scenarios. In contrast to that for type B and C applications obviously non-line-of-sight conditions (NLOS) prevail. That means the victim can only be reached over antenna sidelobes, reflections, scattering or by penetrating a shielding enclosure.</w:t>
      </w:r>
    </w:p>
    <w:p w14:paraId="2B237F7D" w14:textId="56548181" w:rsidR="00EB79D9" w:rsidRPr="006D6727" w:rsidRDefault="00EB79D9" w:rsidP="00EB79D9">
      <w:pPr>
        <w:pStyle w:val="Heading3"/>
        <w:rPr>
          <w:noProof/>
          <w:lang w:val="en-GB"/>
        </w:rPr>
      </w:pPr>
      <w:bookmarkStart w:id="435" w:name="_Toc127346266"/>
      <w:bookmarkStart w:id="436" w:name="_Ref25574886"/>
      <w:bookmarkStart w:id="437" w:name="_Toc84325334"/>
      <w:r w:rsidRPr="006D6727">
        <w:rPr>
          <w:noProof/>
          <w:lang w:val="en-GB"/>
        </w:rPr>
        <w:t xml:space="preserve">Radio </w:t>
      </w:r>
      <w:r w:rsidR="00BB0742">
        <w:t>A</w:t>
      </w:r>
      <w:r w:rsidRPr="006D6727">
        <w:rPr>
          <w:noProof/>
          <w:lang w:val="en-GB"/>
        </w:rPr>
        <w:t xml:space="preserve">stronomy </w:t>
      </w:r>
      <w:r w:rsidR="00BB0742">
        <w:t>S</w:t>
      </w:r>
      <w:r w:rsidRPr="006D6727">
        <w:rPr>
          <w:noProof/>
          <w:lang w:val="en-GB"/>
        </w:rPr>
        <w:t>ervice</w:t>
      </w:r>
      <w:bookmarkEnd w:id="435"/>
      <w:r w:rsidRPr="006D6727">
        <w:rPr>
          <w:noProof/>
          <w:lang w:val="en-GB"/>
        </w:rPr>
        <w:t xml:space="preserve"> </w:t>
      </w:r>
      <w:bookmarkEnd w:id="436"/>
      <w:bookmarkEnd w:id="437"/>
    </w:p>
    <w:p w14:paraId="0BDEAAFE" w14:textId="7A5D4B9D" w:rsidR="001A3351" w:rsidRPr="006D6727" w:rsidRDefault="00EB79D9" w:rsidP="00EB79D9">
      <w:pPr>
        <w:rPr>
          <w:noProof/>
        </w:rPr>
      </w:pPr>
      <w:r w:rsidRPr="006D6727">
        <w:rPr>
          <w:noProof/>
        </w:rPr>
        <w:t>Radio astronomy systems make observations across the whole of the accessible electromagnetic spectrum, which extends well beyond the visual or “optical” region. Every frequency range provides its own insights and usually requires its own variety of telescopes and detectors. Radio astronomers study objects that radiate or absorb energy at frequencies within the radio spectrum: when ground-based, studies are conducted wherever the atmosphere is at all transparent in the range 13 MHz to 2 THz (compare Handbook on Radio Astronomy</w:t>
      </w:r>
      <w:r w:rsidR="002E3843" w:rsidRPr="006D6727">
        <w:rPr>
          <w:noProof/>
        </w:rPr>
        <w:t xml:space="preserve"> </w:t>
      </w:r>
      <w:r w:rsidR="00461020" w:rsidRPr="006D6727">
        <w:rPr>
          <w:rStyle w:val="ECCParagraph"/>
          <w:noProof/>
        </w:rPr>
        <w:fldChar w:fldCharType="begin"/>
      </w:r>
      <w:r w:rsidR="00461020" w:rsidRPr="006D6727">
        <w:rPr>
          <w:rStyle w:val="ECCParagraph"/>
          <w:noProof/>
        </w:rPr>
        <w:instrText xml:space="preserve"> REF  RAS_Handbook \h \w  \* MERGEFORMAT </w:instrText>
      </w:r>
      <w:r w:rsidR="00461020" w:rsidRPr="006D6727">
        <w:rPr>
          <w:rStyle w:val="ECCParagraph"/>
          <w:noProof/>
        </w:rPr>
      </w:r>
      <w:r w:rsidR="00461020" w:rsidRPr="006D6727">
        <w:rPr>
          <w:rStyle w:val="ECCParagraph"/>
          <w:noProof/>
        </w:rPr>
        <w:fldChar w:fldCharType="separate"/>
      </w:r>
      <w:r w:rsidR="004F49F9">
        <w:rPr>
          <w:rStyle w:val="ECCParagraph"/>
          <w:noProof/>
        </w:rPr>
        <w:t>[8]</w:t>
      </w:r>
      <w:r w:rsidR="00461020" w:rsidRPr="006D6727">
        <w:rPr>
          <w:rStyle w:val="ECCParagraph"/>
          <w:noProof/>
        </w:rPr>
        <w:fldChar w:fldCharType="end"/>
      </w:r>
      <w:r w:rsidRPr="006D6727">
        <w:rPr>
          <w:noProof/>
        </w:rPr>
        <w:t>).</w:t>
      </w:r>
    </w:p>
    <w:p w14:paraId="785277CF" w14:textId="6DBB60C8" w:rsidR="001A3351" w:rsidRPr="006D6727" w:rsidRDefault="001A3351" w:rsidP="001A3351">
      <w:pPr>
        <w:rPr>
          <w:noProof/>
        </w:rPr>
      </w:pPr>
      <w:r w:rsidRPr="006D6727">
        <w:rPr>
          <w:noProof/>
        </w:rPr>
        <w:t>Millimetre radio</w:t>
      </w:r>
      <w:r w:rsidR="008C7CE0" w:rsidRPr="006D6727">
        <w:rPr>
          <w:noProof/>
        </w:rPr>
        <w:t xml:space="preserve"> </w:t>
      </w:r>
      <w:r w:rsidRPr="006D6727">
        <w:rPr>
          <w:noProof/>
        </w:rPr>
        <w:t>astronomy spans the range 72-275</w:t>
      </w:r>
      <w:r w:rsidR="00D97AAA" w:rsidRPr="006D6727">
        <w:rPr>
          <w:noProof/>
        </w:rPr>
        <w:t> </w:t>
      </w:r>
      <w:r w:rsidRPr="006D6727">
        <w:rPr>
          <w:noProof/>
        </w:rPr>
        <w:t xml:space="preserve">GHz (sub-mm above these frequencies). This range gives unique insights into many aspects of the Universe. Unlike at lower frequencies, the main continuum emission mechanism in the mm range is through thermal emission (emission from a </w:t>
      </w:r>
      <w:r w:rsidR="00D94709" w:rsidRPr="006D6727">
        <w:rPr>
          <w:noProof/>
        </w:rPr>
        <w:t>black body</w:t>
      </w:r>
      <w:r w:rsidRPr="006D6727">
        <w:rPr>
          <w:noProof/>
        </w:rPr>
        <w:t xml:space="preserve">), allowing sampling of the distribution and physical properties of dust in various environments. Many molecules, free radicals or ions have their rotation lines within this range (as partly reflected in </w:t>
      </w:r>
      <w:r w:rsidR="00D97AAA" w:rsidRPr="006D6727">
        <w:rPr>
          <w:rStyle w:val="ECCParagraph"/>
          <w:noProof/>
        </w:rPr>
        <w:t>R</w:t>
      </w:r>
      <w:r w:rsidRPr="006D6727">
        <w:rPr>
          <w:rStyle w:val="ECCParagraph"/>
          <w:noProof/>
        </w:rPr>
        <w:t xml:space="preserve">ecommendation </w:t>
      </w:r>
      <w:r w:rsidR="00D97AAA" w:rsidRPr="006D6727">
        <w:rPr>
          <w:rStyle w:val="ECCParagraph"/>
          <w:noProof/>
        </w:rPr>
        <w:t xml:space="preserve">ITU-R </w:t>
      </w:r>
      <w:r w:rsidRPr="006D6727">
        <w:rPr>
          <w:rStyle w:val="ECCParagraph"/>
          <w:noProof/>
        </w:rPr>
        <w:t>RA.314</w:t>
      </w:r>
      <w:r w:rsidR="00547C0B" w:rsidRPr="006D6727">
        <w:rPr>
          <w:rStyle w:val="ECCParagraph"/>
          <w:noProof/>
        </w:rPr>
        <w:t>-10</w:t>
      </w:r>
      <w:r w:rsidR="00DB1429" w:rsidRPr="006D6727">
        <w:rPr>
          <w:rStyle w:val="ECCParagraph"/>
          <w:noProof/>
        </w:rPr>
        <w:t xml:space="preserve"> </w:t>
      </w:r>
      <w:r w:rsidR="00547C0B" w:rsidRPr="006D6727">
        <w:rPr>
          <w:rStyle w:val="ECCParagraph"/>
          <w:noProof/>
        </w:rPr>
        <w:fldChar w:fldCharType="begin"/>
      </w:r>
      <w:r w:rsidR="00547C0B" w:rsidRPr="006D6727">
        <w:rPr>
          <w:rStyle w:val="ECCParagraph"/>
          <w:noProof/>
        </w:rPr>
        <w:instrText xml:space="preserve"> REF  ITU_R_RA_314_10 \h \w  \* MERGEFORMAT </w:instrText>
      </w:r>
      <w:r w:rsidR="00547C0B" w:rsidRPr="006D6727">
        <w:rPr>
          <w:rStyle w:val="ECCParagraph"/>
          <w:noProof/>
        </w:rPr>
      </w:r>
      <w:r w:rsidR="00547C0B" w:rsidRPr="006D6727">
        <w:rPr>
          <w:rStyle w:val="ECCParagraph"/>
          <w:noProof/>
        </w:rPr>
        <w:fldChar w:fldCharType="separate"/>
      </w:r>
      <w:r w:rsidR="004F49F9">
        <w:rPr>
          <w:rStyle w:val="ECCParagraph"/>
          <w:noProof/>
        </w:rPr>
        <w:t>[31]</w:t>
      </w:r>
      <w:r w:rsidR="00547C0B" w:rsidRPr="006D6727">
        <w:rPr>
          <w:rStyle w:val="ECCParagraph"/>
          <w:noProof/>
        </w:rPr>
        <w:fldChar w:fldCharType="end"/>
      </w:r>
      <w:r w:rsidRPr="006D6727">
        <w:rPr>
          <w:rStyle w:val="ECCParagraph"/>
          <w:noProof/>
        </w:rPr>
        <w:t>).</w:t>
      </w:r>
      <w:r w:rsidRPr="006D6727">
        <w:rPr>
          <w:noProof/>
        </w:rPr>
        <w:t xml:space="preserve"> As of February 2019, around 200 molecules (with up to 12 atoms) have been detected in the interstellar medium and circumstellar shells</w:t>
      </w:r>
      <w:r w:rsidR="005737B9" w:rsidRPr="006D6727">
        <w:rPr>
          <w:noProof/>
        </w:rPr>
        <w:t xml:space="preserve"> </w:t>
      </w:r>
      <w:r w:rsidR="005737B9" w:rsidRPr="006D6727">
        <w:rPr>
          <w:rStyle w:val="ECCParagraph"/>
          <w:noProof/>
        </w:rPr>
        <w:fldChar w:fldCharType="begin"/>
      </w:r>
      <w:r w:rsidR="005737B9" w:rsidRPr="006D6727">
        <w:rPr>
          <w:rStyle w:val="ECCParagraph"/>
          <w:noProof/>
        </w:rPr>
        <w:instrText xml:space="preserve"> REF  uni_koeln_molecules \h \w  \* MERGEFORMAT </w:instrText>
      </w:r>
      <w:r w:rsidR="005737B9" w:rsidRPr="006D6727">
        <w:rPr>
          <w:rStyle w:val="ECCParagraph"/>
          <w:noProof/>
        </w:rPr>
      </w:r>
      <w:r w:rsidR="005737B9" w:rsidRPr="006D6727">
        <w:rPr>
          <w:rStyle w:val="ECCParagraph"/>
          <w:noProof/>
        </w:rPr>
        <w:fldChar w:fldCharType="separate"/>
      </w:r>
      <w:r w:rsidR="004F49F9">
        <w:rPr>
          <w:rStyle w:val="ECCParagraph"/>
          <w:noProof/>
        </w:rPr>
        <w:t>[30]</w:t>
      </w:r>
      <w:r w:rsidR="005737B9" w:rsidRPr="006D6727">
        <w:rPr>
          <w:rStyle w:val="ECCParagraph"/>
          <w:noProof/>
        </w:rPr>
        <w:fldChar w:fldCharType="end"/>
      </w:r>
      <w:r w:rsidRPr="006D6727">
        <w:rPr>
          <w:noProof/>
        </w:rPr>
        <w:t xml:space="preserve">. The majority of these detections have been made by </w:t>
      </w:r>
      <w:r w:rsidR="009865B0" w:rsidRPr="006D6727">
        <w:rPr>
          <w:noProof/>
        </w:rPr>
        <w:t>millimetre</w:t>
      </w:r>
      <w:r w:rsidRPr="006D6727">
        <w:rPr>
          <w:noProof/>
        </w:rPr>
        <w:t xml:space="preserve"> </w:t>
      </w:r>
      <w:r w:rsidR="00D97AAA" w:rsidRPr="006D6727">
        <w:rPr>
          <w:noProof/>
        </w:rPr>
        <w:t xml:space="preserve">radio </w:t>
      </w:r>
      <w:r w:rsidR="00D94709" w:rsidRPr="006D6727">
        <w:rPr>
          <w:noProof/>
        </w:rPr>
        <w:t>telescopes;</w:t>
      </w:r>
      <w:r w:rsidRPr="006D6727">
        <w:rPr>
          <w:noProof/>
        </w:rPr>
        <w:t xml:space="preserve"> half of these detections were made by the IRAM 30</w:t>
      </w:r>
      <w:r w:rsidR="009865B0" w:rsidRPr="006D6727">
        <w:rPr>
          <w:noProof/>
        </w:rPr>
        <w:t> </w:t>
      </w:r>
      <w:r w:rsidRPr="006D6727">
        <w:rPr>
          <w:noProof/>
        </w:rPr>
        <w:t>m antenna alone.</w:t>
      </w:r>
    </w:p>
    <w:p w14:paraId="0ECB407B" w14:textId="77777777" w:rsidR="001A3351" w:rsidRPr="006D6727" w:rsidRDefault="001A3351" w:rsidP="001A3351">
      <w:pPr>
        <w:rPr>
          <w:noProof/>
        </w:rPr>
      </w:pPr>
      <w:r w:rsidRPr="006D6727">
        <w:rPr>
          <w:noProof/>
        </w:rPr>
        <w:t xml:space="preserve">The high frequency of observation permits a better angular resolution for a given instrument size. This is one of the main reasons behind the Event Horizon Telescope, a world-wide astronomical collaboration aiming at imaging the event horizon of the supermassive blackhole at the </w:t>
      </w:r>
      <w:r w:rsidR="00D97AAA" w:rsidRPr="006D6727">
        <w:rPr>
          <w:noProof/>
        </w:rPr>
        <w:t>centre</w:t>
      </w:r>
      <w:r w:rsidRPr="006D6727">
        <w:rPr>
          <w:noProof/>
        </w:rPr>
        <w:t xml:space="preserve"> of our galaxy with Very-Long Baseline Interferometry (VLBI).</w:t>
      </w:r>
    </w:p>
    <w:p w14:paraId="267560F6" w14:textId="77777777" w:rsidR="001A3351" w:rsidRPr="006D6727" w:rsidRDefault="001A3351" w:rsidP="001A3351">
      <w:pPr>
        <w:rPr>
          <w:rStyle w:val="ECCParagraph"/>
          <w:noProof/>
        </w:rPr>
      </w:pPr>
      <w:r w:rsidRPr="006D6727">
        <w:rPr>
          <w:noProof/>
        </w:rPr>
        <w:t>Last in this non-exhaustive list, the mm domain is a way to sample the Universe in its infancy since the redshift of the infrared peak of galaxies compensates (or more) for the dimming due to distance. Hence the most distant (and youngest) objects in the Universe are detected in the mm-range.</w:t>
      </w:r>
    </w:p>
    <w:p w14:paraId="001592A4" w14:textId="2FC55D82" w:rsidR="00EB79D9" w:rsidRPr="006D6727" w:rsidRDefault="00EB79D9" w:rsidP="00EB79D9">
      <w:pPr>
        <w:rPr>
          <w:noProof/>
        </w:rPr>
      </w:pPr>
      <w:r w:rsidRPr="006D6727">
        <w:rPr>
          <w:noProof/>
        </w:rPr>
        <w:t xml:space="preserve">The threshold levels of interference detrimental to Radio astronomy continuum observations (CO), spectral-line observations (SLO) and very long baseline interferometry (VLBI) can be found in Recommendation ITU-R </w:t>
      </w:r>
      <w:r w:rsidRPr="006D6727">
        <w:rPr>
          <w:rStyle w:val="ECCParagraph"/>
          <w:noProof/>
        </w:rPr>
        <w:t xml:space="preserve">RA.769-2 </w:t>
      </w:r>
      <w:r w:rsidRPr="006D6727">
        <w:rPr>
          <w:rStyle w:val="ECCParagraph"/>
          <w:noProof/>
        </w:rPr>
        <w:fldChar w:fldCharType="begin"/>
      </w:r>
      <w:r w:rsidRPr="006D6727">
        <w:rPr>
          <w:rStyle w:val="ECCParagraph"/>
          <w:noProof/>
        </w:rPr>
        <w:instrText xml:space="preserve"> REF  ITU_R_RA_769_2 \h \w  \* MERGEFORMAT </w:instrText>
      </w:r>
      <w:r w:rsidRPr="006D6727">
        <w:rPr>
          <w:rStyle w:val="ECCParagraph"/>
          <w:noProof/>
        </w:rPr>
      </w:r>
      <w:r w:rsidRPr="006D6727">
        <w:rPr>
          <w:rStyle w:val="ECCParagraph"/>
          <w:noProof/>
        </w:rPr>
        <w:fldChar w:fldCharType="separate"/>
      </w:r>
      <w:r w:rsidR="004F49F9">
        <w:rPr>
          <w:rStyle w:val="ECCParagraph"/>
          <w:noProof/>
        </w:rPr>
        <w:t>[9]</w:t>
      </w:r>
      <w:r w:rsidRPr="006D6727">
        <w:rPr>
          <w:rStyle w:val="ECCParagraph"/>
          <w:noProof/>
        </w:rPr>
        <w:fldChar w:fldCharType="end"/>
      </w:r>
      <w:r w:rsidRPr="006D6727">
        <w:rPr>
          <w:noProof/>
        </w:rPr>
        <w:t xml:space="preserve"> for centre frequencies from 13</w:t>
      </w:r>
      <w:r w:rsidR="00CF4994">
        <w:rPr>
          <w:noProof/>
        </w:rPr>
        <w:t>.3</w:t>
      </w:r>
      <w:r w:rsidRPr="006D6727">
        <w:rPr>
          <w:noProof/>
        </w:rPr>
        <w:t>85</w:t>
      </w:r>
      <w:r w:rsidR="00D94709" w:rsidRPr="006D6727">
        <w:rPr>
          <w:noProof/>
        </w:rPr>
        <w:t> </w:t>
      </w:r>
      <w:r w:rsidRPr="006D6727">
        <w:rPr>
          <w:noProof/>
        </w:rPr>
        <w:t xml:space="preserve">MHz up to 270 GHz. </w:t>
      </w:r>
      <w:r w:rsidRPr="002541E1">
        <w:rPr>
          <w:noProof/>
        </w:rPr>
        <w:fldChar w:fldCharType="begin"/>
      </w:r>
      <w:r w:rsidRPr="00F96A5B">
        <w:rPr>
          <w:noProof/>
          <w:highlight w:val="yellow"/>
        </w:rPr>
        <w:instrText xml:space="preserve"> REF _Ref15024013 \h </w:instrText>
      </w:r>
      <w:r w:rsidR="00544304">
        <w:rPr>
          <w:noProof/>
          <w:highlight w:val="yellow"/>
        </w:rPr>
        <w:instrText xml:space="preserve"> \* MERGEFORMAT </w:instrText>
      </w:r>
      <w:r w:rsidRPr="002541E1">
        <w:rPr>
          <w:noProof/>
        </w:rPr>
      </w:r>
      <w:r w:rsidRPr="002541E1">
        <w:rPr>
          <w:noProof/>
        </w:rPr>
        <w:fldChar w:fldCharType="separate"/>
      </w:r>
      <w:r w:rsidR="0041125F" w:rsidRPr="006D6727">
        <w:rPr>
          <w:noProof/>
        </w:rPr>
        <w:t>Table </w:t>
      </w:r>
      <w:r w:rsidR="0041125F">
        <w:rPr>
          <w:noProof/>
        </w:rPr>
        <w:t>36</w:t>
      </w:r>
      <w:r w:rsidRPr="002541E1">
        <w:rPr>
          <w:noProof/>
        </w:rPr>
        <w:fldChar w:fldCharType="end"/>
      </w:r>
      <w:r w:rsidRPr="002541E1">
        <w:rPr>
          <w:noProof/>
        </w:rPr>
        <w:t xml:space="preserve"> to </w:t>
      </w:r>
      <w:r w:rsidRPr="00F96A5B">
        <w:rPr>
          <w:noProof/>
        </w:rPr>
        <w:fldChar w:fldCharType="begin"/>
      </w:r>
      <w:r w:rsidRPr="002541E1">
        <w:rPr>
          <w:noProof/>
        </w:rPr>
        <w:instrText xml:space="preserve"> REF _Ref15024026 \h </w:instrText>
      </w:r>
      <w:r w:rsidR="00544304">
        <w:rPr>
          <w:noProof/>
          <w:highlight w:val="yellow"/>
        </w:rPr>
        <w:instrText xml:space="preserve"> \* MERGEFORMAT </w:instrText>
      </w:r>
      <w:r w:rsidRPr="00F96A5B">
        <w:rPr>
          <w:noProof/>
        </w:rPr>
      </w:r>
      <w:r w:rsidRPr="00F96A5B">
        <w:rPr>
          <w:noProof/>
        </w:rPr>
        <w:fldChar w:fldCharType="separate"/>
      </w:r>
      <w:r w:rsidR="0041125F" w:rsidRPr="006D6727">
        <w:rPr>
          <w:noProof/>
        </w:rPr>
        <w:t>Table </w:t>
      </w:r>
      <w:r w:rsidR="0041125F">
        <w:rPr>
          <w:noProof/>
        </w:rPr>
        <w:t>38</w:t>
      </w:r>
      <w:r w:rsidRPr="00F96A5B">
        <w:rPr>
          <w:noProof/>
        </w:rPr>
        <w:fldChar w:fldCharType="end"/>
      </w:r>
      <w:r w:rsidRPr="006D6727">
        <w:rPr>
          <w:noProof/>
        </w:rPr>
        <w:t xml:space="preserve"> show the protection criteria for CO, SLO and VLBI in or near the relevant frequency ranges for this study.</w:t>
      </w:r>
    </w:p>
    <w:p w14:paraId="56A745D0" w14:textId="3EDF490C" w:rsidR="00EB79D9" w:rsidRPr="006D6727" w:rsidRDefault="00EB79D9" w:rsidP="00EB79D9">
      <w:pPr>
        <w:pStyle w:val="Caption"/>
        <w:rPr>
          <w:noProof/>
          <w:lang w:val="en-GB"/>
        </w:rPr>
      </w:pPr>
      <w:bookmarkStart w:id="438" w:name="_Ref15024013"/>
      <w:r w:rsidRPr="006D6727">
        <w:rPr>
          <w:noProof/>
          <w:lang w:val="en-GB"/>
        </w:rPr>
        <w:t>Table</w:t>
      </w:r>
      <w:r w:rsidR="001002CD"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36</w:t>
      </w:r>
      <w:r w:rsidR="00616942" w:rsidRPr="006D6727">
        <w:rPr>
          <w:noProof/>
          <w:lang w:val="en-GB"/>
        </w:rPr>
        <w:fldChar w:fldCharType="end"/>
      </w:r>
      <w:bookmarkEnd w:id="438"/>
      <w:r w:rsidRPr="006D6727">
        <w:rPr>
          <w:noProof/>
          <w:lang w:val="en-GB"/>
        </w:rPr>
        <w:t xml:space="preserve">: Radio astronomy protection criteria for </w:t>
      </w:r>
      <w:r w:rsidR="00DD7BED" w:rsidRPr="006D6727">
        <w:rPr>
          <w:noProof/>
          <w:lang w:val="en-GB"/>
        </w:rPr>
        <w:t>continuum observations</w:t>
      </w:r>
    </w:p>
    <w:tbl>
      <w:tblPr>
        <w:tblStyle w:val="ECCTable-redheader"/>
        <w:tblW w:w="0" w:type="auto"/>
        <w:tblInd w:w="0" w:type="dxa"/>
        <w:tblLayout w:type="fixed"/>
        <w:tblLook w:val="04A0" w:firstRow="1" w:lastRow="0" w:firstColumn="1" w:lastColumn="0" w:noHBand="0" w:noVBand="1"/>
      </w:tblPr>
      <w:tblGrid>
        <w:gridCol w:w="1980"/>
        <w:gridCol w:w="2126"/>
        <w:gridCol w:w="2693"/>
        <w:gridCol w:w="2410"/>
      </w:tblGrid>
      <w:tr w:rsidR="00EB79D9" w:rsidRPr="006D6727" w14:paraId="07A217E8" w14:textId="77777777" w:rsidTr="002E3843">
        <w:trPr>
          <w:cnfStyle w:val="100000000000" w:firstRow="1" w:lastRow="0" w:firstColumn="0" w:lastColumn="0" w:oddVBand="0" w:evenVBand="0" w:oddHBand="0" w:evenHBand="0" w:firstRowFirstColumn="0" w:firstRowLastColumn="0" w:lastRowFirstColumn="0" w:lastRowLastColumn="0"/>
        </w:trPr>
        <w:tc>
          <w:tcPr>
            <w:tcW w:w="1980" w:type="dxa"/>
          </w:tcPr>
          <w:p w14:paraId="6A2E2B28" w14:textId="77777777" w:rsidR="00EB79D9" w:rsidRPr="006D6727" w:rsidRDefault="00EB79D9" w:rsidP="00B856BB">
            <w:pPr>
              <w:pStyle w:val="ECCTabletext"/>
              <w:jc w:val="left"/>
              <w:rPr>
                <w:noProof/>
              </w:rPr>
            </w:pPr>
            <w:r w:rsidRPr="006D6727">
              <w:rPr>
                <w:noProof/>
              </w:rPr>
              <w:t>Centre frequency (GHz)</w:t>
            </w:r>
          </w:p>
        </w:tc>
        <w:tc>
          <w:tcPr>
            <w:tcW w:w="2126" w:type="dxa"/>
          </w:tcPr>
          <w:p w14:paraId="083A88E8" w14:textId="77777777" w:rsidR="00EB79D9" w:rsidRPr="006D6727" w:rsidRDefault="00EB79D9" w:rsidP="00B856BB">
            <w:pPr>
              <w:pStyle w:val="ECCTabletext"/>
              <w:jc w:val="left"/>
              <w:rPr>
                <w:noProof/>
              </w:rPr>
            </w:pPr>
            <w:r w:rsidRPr="006D6727">
              <w:rPr>
                <w:noProof/>
              </w:rPr>
              <w:t>Assumed bandwidth Δf (MHz)</w:t>
            </w:r>
          </w:p>
        </w:tc>
        <w:tc>
          <w:tcPr>
            <w:tcW w:w="2693" w:type="dxa"/>
          </w:tcPr>
          <w:p w14:paraId="48A2EAEC" w14:textId="77777777" w:rsidR="00EB79D9" w:rsidRPr="006D6727" w:rsidRDefault="00EB79D9" w:rsidP="00B856BB">
            <w:pPr>
              <w:pStyle w:val="ECCTabletext"/>
              <w:jc w:val="left"/>
              <w:rPr>
                <w:noProof/>
              </w:rPr>
            </w:pPr>
            <w:r w:rsidRPr="006D6727">
              <w:rPr>
                <w:noProof/>
              </w:rPr>
              <w:t>Threshold Interference input power ΔPH (dBW)</w:t>
            </w:r>
          </w:p>
        </w:tc>
        <w:tc>
          <w:tcPr>
            <w:tcW w:w="2410" w:type="dxa"/>
          </w:tcPr>
          <w:p w14:paraId="2D1B33E1" w14:textId="77777777" w:rsidR="00EB79D9" w:rsidRPr="006D6727" w:rsidRDefault="00EB79D9" w:rsidP="00B856BB">
            <w:pPr>
              <w:pStyle w:val="ECCTabletext"/>
              <w:jc w:val="left"/>
              <w:rPr>
                <w:noProof/>
              </w:rPr>
            </w:pPr>
            <w:r w:rsidRPr="006D6727">
              <w:rPr>
                <w:noProof/>
              </w:rPr>
              <w:t>Reference</w:t>
            </w:r>
          </w:p>
        </w:tc>
      </w:tr>
      <w:tr w:rsidR="00EB79D9" w:rsidRPr="006D6727" w14:paraId="35790BDD" w14:textId="77777777" w:rsidTr="002E3843">
        <w:tc>
          <w:tcPr>
            <w:tcW w:w="1980" w:type="dxa"/>
          </w:tcPr>
          <w:p w14:paraId="707BD899" w14:textId="77777777" w:rsidR="00EB79D9" w:rsidRPr="006D6727" w:rsidRDefault="00EB79D9" w:rsidP="00B856BB">
            <w:pPr>
              <w:pStyle w:val="ECCTabletext"/>
              <w:jc w:val="left"/>
              <w:rPr>
                <w:noProof/>
              </w:rPr>
            </w:pPr>
            <w:r w:rsidRPr="006D6727">
              <w:rPr>
                <w:noProof/>
              </w:rPr>
              <w:t>89</w:t>
            </w:r>
          </w:p>
        </w:tc>
        <w:tc>
          <w:tcPr>
            <w:tcW w:w="2126" w:type="dxa"/>
          </w:tcPr>
          <w:p w14:paraId="5A31640F" w14:textId="77777777" w:rsidR="00EB79D9" w:rsidRPr="006D6727" w:rsidRDefault="00EB79D9" w:rsidP="00B856BB">
            <w:pPr>
              <w:pStyle w:val="ECCTabletext"/>
              <w:jc w:val="left"/>
              <w:rPr>
                <w:noProof/>
              </w:rPr>
            </w:pPr>
            <w:r w:rsidRPr="006D6727">
              <w:rPr>
                <w:noProof/>
              </w:rPr>
              <w:t>8000</w:t>
            </w:r>
          </w:p>
        </w:tc>
        <w:tc>
          <w:tcPr>
            <w:tcW w:w="2693" w:type="dxa"/>
          </w:tcPr>
          <w:p w14:paraId="33D884AB" w14:textId="77777777" w:rsidR="00EB79D9" w:rsidRPr="006D6727" w:rsidRDefault="00EB79D9" w:rsidP="00B856BB">
            <w:pPr>
              <w:pStyle w:val="ECCTabletext"/>
              <w:jc w:val="left"/>
              <w:rPr>
                <w:noProof/>
              </w:rPr>
            </w:pPr>
            <w:r w:rsidRPr="006D6727">
              <w:rPr>
                <w:noProof/>
              </w:rPr>
              <w:t>-189</w:t>
            </w:r>
          </w:p>
        </w:tc>
        <w:tc>
          <w:tcPr>
            <w:tcW w:w="2410" w:type="dxa"/>
            <w:vMerge w:val="restart"/>
          </w:tcPr>
          <w:p w14:paraId="14665935" w14:textId="2541BADF" w:rsidR="00EB79D9" w:rsidRPr="006D6727" w:rsidRDefault="00EB79D9" w:rsidP="00B856BB">
            <w:pPr>
              <w:pStyle w:val="ECCTabletext"/>
              <w:jc w:val="left"/>
              <w:rPr>
                <w:noProof/>
              </w:rPr>
            </w:pPr>
            <w:bookmarkStart w:id="439" w:name="_Hlk27574883"/>
            <w:r w:rsidRPr="006D6727">
              <w:rPr>
                <w:noProof/>
              </w:rPr>
              <w:t>ITU-R RA.769-2</w:t>
            </w:r>
            <w:r w:rsidR="00544304">
              <w:rPr>
                <w:noProof/>
              </w:rPr>
              <w:t xml:space="preserve">, </w:t>
            </w:r>
            <w:r w:rsidRPr="006D6727">
              <w:rPr>
                <w:noProof/>
              </w:rPr>
              <w:t xml:space="preserve"> </w:t>
            </w:r>
            <w:bookmarkEnd w:id="439"/>
            <w:r w:rsidR="00544304">
              <w:rPr>
                <w:noProof/>
              </w:rPr>
              <w:t>t</w:t>
            </w:r>
            <w:r w:rsidRPr="006D6727">
              <w:rPr>
                <w:noProof/>
              </w:rPr>
              <w:t>able 1</w:t>
            </w:r>
          </w:p>
        </w:tc>
      </w:tr>
      <w:tr w:rsidR="00EB79D9" w:rsidRPr="006D6727" w14:paraId="4CCC2460" w14:textId="77777777" w:rsidTr="002E3843">
        <w:tc>
          <w:tcPr>
            <w:tcW w:w="1980" w:type="dxa"/>
          </w:tcPr>
          <w:p w14:paraId="7FC8ED4E" w14:textId="77777777" w:rsidR="00EB79D9" w:rsidRPr="006D6727" w:rsidRDefault="00EB79D9" w:rsidP="00B856BB">
            <w:pPr>
              <w:pStyle w:val="ECCTabletext"/>
              <w:jc w:val="left"/>
              <w:rPr>
                <w:noProof/>
              </w:rPr>
            </w:pPr>
            <w:r w:rsidRPr="006D6727">
              <w:rPr>
                <w:noProof/>
              </w:rPr>
              <w:t>150</w:t>
            </w:r>
          </w:p>
        </w:tc>
        <w:tc>
          <w:tcPr>
            <w:tcW w:w="2126" w:type="dxa"/>
          </w:tcPr>
          <w:p w14:paraId="5A44C93D" w14:textId="77777777" w:rsidR="00EB79D9" w:rsidRPr="006D6727" w:rsidRDefault="00EB79D9" w:rsidP="00B856BB">
            <w:pPr>
              <w:pStyle w:val="ECCTabletext"/>
              <w:jc w:val="left"/>
              <w:rPr>
                <w:noProof/>
              </w:rPr>
            </w:pPr>
            <w:r w:rsidRPr="006D6727">
              <w:rPr>
                <w:noProof/>
              </w:rPr>
              <w:t>8000</w:t>
            </w:r>
          </w:p>
        </w:tc>
        <w:tc>
          <w:tcPr>
            <w:tcW w:w="2693" w:type="dxa"/>
          </w:tcPr>
          <w:p w14:paraId="1BE90566" w14:textId="77777777" w:rsidR="00EB79D9" w:rsidRPr="006D6727" w:rsidRDefault="00EB79D9" w:rsidP="00B856BB">
            <w:pPr>
              <w:pStyle w:val="ECCTabletext"/>
              <w:jc w:val="left"/>
              <w:rPr>
                <w:noProof/>
              </w:rPr>
            </w:pPr>
            <w:r w:rsidRPr="006D6727">
              <w:rPr>
                <w:noProof/>
              </w:rPr>
              <w:t>-189</w:t>
            </w:r>
          </w:p>
        </w:tc>
        <w:tc>
          <w:tcPr>
            <w:tcW w:w="2410" w:type="dxa"/>
            <w:vMerge/>
          </w:tcPr>
          <w:p w14:paraId="5580E488" w14:textId="77777777" w:rsidR="00EB79D9" w:rsidRPr="006D6727" w:rsidRDefault="00EB79D9" w:rsidP="00EB79D9">
            <w:pPr>
              <w:rPr>
                <w:noProof/>
              </w:rPr>
            </w:pPr>
          </w:p>
        </w:tc>
      </w:tr>
      <w:tr w:rsidR="00EB79D9" w:rsidRPr="006D6727" w14:paraId="6DF009F1" w14:textId="77777777" w:rsidTr="002E3843">
        <w:tc>
          <w:tcPr>
            <w:tcW w:w="1980" w:type="dxa"/>
          </w:tcPr>
          <w:p w14:paraId="4E9C5117" w14:textId="77777777" w:rsidR="00EB79D9" w:rsidRPr="006D6727" w:rsidRDefault="00EB79D9" w:rsidP="00B856BB">
            <w:pPr>
              <w:pStyle w:val="ECCTabletext"/>
              <w:jc w:val="left"/>
              <w:rPr>
                <w:noProof/>
              </w:rPr>
            </w:pPr>
            <w:r w:rsidRPr="006D6727">
              <w:rPr>
                <w:noProof/>
              </w:rPr>
              <w:t>224</w:t>
            </w:r>
          </w:p>
        </w:tc>
        <w:tc>
          <w:tcPr>
            <w:tcW w:w="2126" w:type="dxa"/>
          </w:tcPr>
          <w:p w14:paraId="5DDFAD81" w14:textId="77777777" w:rsidR="00EB79D9" w:rsidRPr="006D6727" w:rsidRDefault="00EB79D9" w:rsidP="00B856BB">
            <w:pPr>
              <w:pStyle w:val="ECCTabletext"/>
              <w:jc w:val="left"/>
              <w:rPr>
                <w:noProof/>
              </w:rPr>
            </w:pPr>
            <w:r w:rsidRPr="006D6727">
              <w:rPr>
                <w:noProof/>
              </w:rPr>
              <w:t>8000</w:t>
            </w:r>
          </w:p>
        </w:tc>
        <w:tc>
          <w:tcPr>
            <w:tcW w:w="2693" w:type="dxa"/>
          </w:tcPr>
          <w:p w14:paraId="69101902" w14:textId="77777777" w:rsidR="00EB79D9" w:rsidRPr="006D6727" w:rsidRDefault="00EB79D9" w:rsidP="00B856BB">
            <w:pPr>
              <w:pStyle w:val="ECCTabletext"/>
              <w:jc w:val="left"/>
              <w:rPr>
                <w:noProof/>
              </w:rPr>
            </w:pPr>
            <w:r w:rsidRPr="006D6727">
              <w:rPr>
                <w:noProof/>
              </w:rPr>
              <w:t>-188</w:t>
            </w:r>
          </w:p>
        </w:tc>
        <w:tc>
          <w:tcPr>
            <w:tcW w:w="2410" w:type="dxa"/>
            <w:vMerge/>
          </w:tcPr>
          <w:p w14:paraId="299C5831" w14:textId="77777777" w:rsidR="00EB79D9" w:rsidRPr="006D6727" w:rsidRDefault="00EB79D9" w:rsidP="00EB79D9">
            <w:pPr>
              <w:rPr>
                <w:noProof/>
              </w:rPr>
            </w:pPr>
          </w:p>
        </w:tc>
      </w:tr>
      <w:tr w:rsidR="00EB79D9" w:rsidRPr="006D6727" w14:paraId="5712B49C" w14:textId="77777777" w:rsidTr="002E3843">
        <w:tc>
          <w:tcPr>
            <w:tcW w:w="1980" w:type="dxa"/>
          </w:tcPr>
          <w:p w14:paraId="2CBA60F5" w14:textId="77777777" w:rsidR="00EB79D9" w:rsidRPr="006D6727" w:rsidRDefault="00EB79D9" w:rsidP="00B856BB">
            <w:pPr>
              <w:pStyle w:val="ECCTabletext"/>
              <w:jc w:val="left"/>
              <w:rPr>
                <w:noProof/>
              </w:rPr>
            </w:pPr>
            <w:r w:rsidRPr="006D6727">
              <w:rPr>
                <w:noProof/>
              </w:rPr>
              <w:t>270</w:t>
            </w:r>
          </w:p>
        </w:tc>
        <w:tc>
          <w:tcPr>
            <w:tcW w:w="2126" w:type="dxa"/>
          </w:tcPr>
          <w:p w14:paraId="05265AF8" w14:textId="77777777" w:rsidR="00EB79D9" w:rsidRPr="006D6727" w:rsidRDefault="00EB79D9" w:rsidP="00B856BB">
            <w:pPr>
              <w:pStyle w:val="ECCTabletext"/>
              <w:jc w:val="left"/>
              <w:rPr>
                <w:noProof/>
              </w:rPr>
            </w:pPr>
            <w:r w:rsidRPr="006D6727">
              <w:rPr>
                <w:noProof/>
              </w:rPr>
              <w:t>8000</w:t>
            </w:r>
          </w:p>
        </w:tc>
        <w:tc>
          <w:tcPr>
            <w:tcW w:w="2693" w:type="dxa"/>
          </w:tcPr>
          <w:p w14:paraId="2B7C85E8" w14:textId="77777777" w:rsidR="00EB79D9" w:rsidRPr="006D6727" w:rsidRDefault="00EB79D9" w:rsidP="00B856BB">
            <w:pPr>
              <w:pStyle w:val="ECCTabletext"/>
              <w:jc w:val="left"/>
              <w:rPr>
                <w:noProof/>
              </w:rPr>
            </w:pPr>
            <w:r w:rsidRPr="006D6727">
              <w:rPr>
                <w:noProof/>
              </w:rPr>
              <w:t>-187</w:t>
            </w:r>
          </w:p>
        </w:tc>
        <w:tc>
          <w:tcPr>
            <w:tcW w:w="2410" w:type="dxa"/>
            <w:vMerge/>
          </w:tcPr>
          <w:p w14:paraId="6329D664" w14:textId="77777777" w:rsidR="00EB79D9" w:rsidRPr="006D6727" w:rsidRDefault="00EB79D9" w:rsidP="00EB79D9">
            <w:pPr>
              <w:rPr>
                <w:noProof/>
              </w:rPr>
            </w:pPr>
          </w:p>
        </w:tc>
      </w:tr>
    </w:tbl>
    <w:p w14:paraId="03A7AF4D" w14:textId="23D92529" w:rsidR="00EB79D9" w:rsidRPr="006D6727" w:rsidRDefault="00EB79D9" w:rsidP="00EB79D9">
      <w:pPr>
        <w:pStyle w:val="Caption"/>
        <w:rPr>
          <w:noProof/>
          <w:lang w:val="en-GB"/>
        </w:rPr>
      </w:pPr>
      <w:r w:rsidRPr="006D6727">
        <w:rPr>
          <w:noProof/>
          <w:lang w:val="en-GB"/>
        </w:rPr>
        <w:t>Table</w:t>
      </w:r>
      <w:r w:rsidR="001002CD"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37</w:t>
      </w:r>
      <w:r w:rsidR="00616942" w:rsidRPr="006D6727">
        <w:rPr>
          <w:noProof/>
          <w:lang w:val="en-GB"/>
        </w:rPr>
        <w:fldChar w:fldCharType="end"/>
      </w:r>
      <w:r w:rsidRPr="006D6727">
        <w:rPr>
          <w:noProof/>
          <w:lang w:val="en-GB"/>
        </w:rPr>
        <w:t xml:space="preserve">: Radio astronomy protection criteria for </w:t>
      </w:r>
      <w:r w:rsidR="00DD7BED" w:rsidRPr="006D6727">
        <w:rPr>
          <w:noProof/>
          <w:lang w:val="en-GB"/>
        </w:rPr>
        <w:t>spectral-line observations</w:t>
      </w:r>
    </w:p>
    <w:tbl>
      <w:tblPr>
        <w:tblStyle w:val="ECCTable-redheader"/>
        <w:tblW w:w="0" w:type="auto"/>
        <w:tblInd w:w="0" w:type="dxa"/>
        <w:tblLayout w:type="fixed"/>
        <w:tblLook w:val="04A0" w:firstRow="1" w:lastRow="0" w:firstColumn="1" w:lastColumn="0" w:noHBand="0" w:noVBand="1"/>
      </w:tblPr>
      <w:tblGrid>
        <w:gridCol w:w="1980"/>
        <w:gridCol w:w="2126"/>
        <w:gridCol w:w="2693"/>
        <w:gridCol w:w="2410"/>
      </w:tblGrid>
      <w:tr w:rsidR="00EB79D9" w:rsidRPr="006D6727" w14:paraId="31767353" w14:textId="77777777" w:rsidTr="002E3843">
        <w:trPr>
          <w:cnfStyle w:val="100000000000" w:firstRow="1" w:lastRow="0" w:firstColumn="0" w:lastColumn="0" w:oddVBand="0" w:evenVBand="0" w:oddHBand="0" w:evenHBand="0" w:firstRowFirstColumn="0" w:firstRowLastColumn="0" w:lastRowFirstColumn="0" w:lastRowLastColumn="0"/>
        </w:trPr>
        <w:tc>
          <w:tcPr>
            <w:tcW w:w="1980" w:type="dxa"/>
          </w:tcPr>
          <w:p w14:paraId="52FCBC4B" w14:textId="77777777" w:rsidR="00EB79D9" w:rsidRPr="006D6727" w:rsidRDefault="00EB79D9" w:rsidP="00B856BB">
            <w:pPr>
              <w:pStyle w:val="ECCTabletext"/>
              <w:jc w:val="left"/>
              <w:rPr>
                <w:noProof/>
              </w:rPr>
            </w:pPr>
            <w:r w:rsidRPr="006D6727">
              <w:rPr>
                <w:noProof/>
              </w:rPr>
              <w:t>Frequency (GHz)</w:t>
            </w:r>
          </w:p>
        </w:tc>
        <w:tc>
          <w:tcPr>
            <w:tcW w:w="2126" w:type="dxa"/>
          </w:tcPr>
          <w:p w14:paraId="44D0603D" w14:textId="77777777" w:rsidR="00EB79D9" w:rsidRPr="006D6727" w:rsidRDefault="00EB79D9" w:rsidP="00B856BB">
            <w:pPr>
              <w:pStyle w:val="ECCTabletext"/>
              <w:jc w:val="left"/>
              <w:rPr>
                <w:noProof/>
              </w:rPr>
            </w:pPr>
            <w:r w:rsidRPr="006D6727">
              <w:rPr>
                <w:noProof/>
              </w:rPr>
              <w:t>Assumed bandwidth Δf (MHz)</w:t>
            </w:r>
          </w:p>
        </w:tc>
        <w:tc>
          <w:tcPr>
            <w:tcW w:w="2693" w:type="dxa"/>
          </w:tcPr>
          <w:p w14:paraId="0908D995" w14:textId="77777777" w:rsidR="00EB79D9" w:rsidRPr="006D6727" w:rsidRDefault="00EB79D9" w:rsidP="00B856BB">
            <w:pPr>
              <w:pStyle w:val="ECCTabletext"/>
              <w:jc w:val="left"/>
              <w:rPr>
                <w:noProof/>
              </w:rPr>
            </w:pPr>
            <w:r w:rsidRPr="006D6727">
              <w:rPr>
                <w:noProof/>
              </w:rPr>
              <w:t>Threshold Interference input power ΔPH (dBW)</w:t>
            </w:r>
          </w:p>
        </w:tc>
        <w:tc>
          <w:tcPr>
            <w:tcW w:w="2410" w:type="dxa"/>
          </w:tcPr>
          <w:p w14:paraId="338FDF4E" w14:textId="77777777" w:rsidR="00EB79D9" w:rsidRPr="006D6727" w:rsidRDefault="00EB79D9" w:rsidP="00B856BB">
            <w:pPr>
              <w:pStyle w:val="ECCTabletext"/>
              <w:jc w:val="left"/>
              <w:rPr>
                <w:noProof/>
              </w:rPr>
            </w:pPr>
            <w:r w:rsidRPr="006D6727">
              <w:rPr>
                <w:noProof/>
              </w:rPr>
              <w:t>Reference</w:t>
            </w:r>
          </w:p>
        </w:tc>
      </w:tr>
      <w:tr w:rsidR="00EB79D9" w:rsidRPr="006D6727" w14:paraId="078F8919" w14:textId="77777777" w:rsidTr="002E3843">
        <w:tc>
          <w:tcPr>
            <w:tcW w:w="1980" w:type="dxa"/>
          </w:tcPr>
          <w:p w14:paraId="283315A4" w14:textId="77777777" w:rsidR="00EB79D9" w:rsidRPr="006D6727" w:rsidRDefault="00EB79D9" w:rsidP="00B856BB">
            <w:pPr>
              <w:pStyle w:val="ECCTabletext"/>
              <w:jc w:val="left"/>
              <w:rPr>
                <w:noProof/>
              </w:rPr>
            </w:pPr>
            <w:r w:rsidRPr="006D6727">
              <w:rPr>
                <w:noProof/>
              </w:rPr>
              <w:t>88</w:t>
            </w:r>
            <w:r w:rsidR="00CF4994">
              <w:rPr>
                <w:noProof/>
              </w:rPr>
              <w:t>.6</w:t>
            </w:r>
          </w:p>
        </w:tc>
        <w:tc>
          <w:tcPr>
            <w:tcW w:w="2126" w:type="dxa"/>
          </w:tcPr>
          <w:p w14:paraId="4AD1E9ED" w14:textId="77777777" w:rsidR="00EB79D9" w:rsidRPr="006D6727" w:rsidRDefault="00EB79D9" w:rsidP="00B856BB">
            <w:pPr>
              <w:pStyle w:val="ECCTabletext"/>
              <w:jc w:val="left"/>
              <w:rPr>
                <w:noProof/>
              </w:rPr>
            </w:pPr>
            <w:r w:rsidRPr="006D6727">
              <w:rPr>
                <w:noProof/>
              </w:rPr>
              <w:t>1</w:t>
            </w:r>
          </w:p>
        </w:tc>
        <w:tc>
          <w:tcPr>
            <w:tcW w:w="2693" w:type="dxa"/>
          </w:tcPr>
          <w:p w14:paraId="72080F86" w14:textId="77777777" w:rsidR="00EB79D9" w:rsidRPr="006D6727" w:rsidRDefault="00EB79D9" w:rsidP="00B856BB">
            <w:pPr>
              <w:pStyle w:val="ECCTabletext"/>
              <w:jc w:val="left"/>
              <w:rPr>
                <w:noProof/>
              </w:rPr>
            </w:pPr>
            <w:r w:rsidRPr="006D6727">
              <w:rPr>
                <w:noProof/>
              </w:rPr>
              <w:t>-209</w:t>
            </w:r>
          </w:p>
        </w:tc>
        <w:tc>
          <w:tcPr>
            <w:tcW w:w="2410" w:type="dxa"/>
            <w:vMerge w:val="restart"/>
          </w:tcPr>
          <w:p w14:paraId="3A486D22" w14:textId="65AABE92" w:rsidR="00EB79D9" w:rsidRPr="006D6727" w:rsidRDefault="00EB79D9" w:rsidP="00B856BB">
            <w:pPr>
              <w:pStyle w:val="ECCTabletext"/>
              <w:jc w:val="left"/>
              <w:rPr>
                <w:noProof/>
              </w:rPr>
            </w:pPr>
            <w:r w:rsidRPr="006D6727">
              <w:rPr>
                <w:noProof/>
              </w:rPr>
              <w:t xml:space="preserve">ITU-R RA.769-2 </w:t>
            </w:r>
            <w:r w:rsidR="00544304">
              <w:rPr>
                <w:noProof/>
              </w:rPr>
              <w:t>, t</w:t>
            </w:r>
            <w:r w:rsidRPr="006D6727">
              <w:rPr>
                <w:noProof/>
              </w:rPr>
              <w:t>able 2</w:t>
            </w:r>
          </w:p>
        </w:tc>
      </w:tr>
      <w:tr w:rsidR="00EB79D9" w:rsidRPr="006D6727" w14:paraId="68967BFC" w14:textId="77777777" w:rsidTr="002E3843">
        <w:tc>
          <w:tcPr>
            <w:tcW w:w="1980" w:type="dxa"/>
          </w:tcPr>
          <w:p w14:paraId="288B2C18" w14:textId="77777777" w:rsidR="00EB79D9" w:rsidRPr="006D6727" w:rsidRDefault="00EB79D9" w:rsidP="00B856BB">
            <w:pPr>
              <w:pStyle w:val="ECCTabletext"/>
              <w:jc w:val="left"/>
              <w:rPr>
                <w:noProof/>
              </w:rPr>
            </w:pPr>
            <w:r w:rsidRPr="006D6727">
              <w:rPr>
                <w:noProof/>
              </w:rPr>
              <w:t>150</w:t>
            </w:r>
          </w:p>
        </w:tc>
        <w:tc>
          <w:tcPr>
            <w:tcW w:w="2126" w:type="dxa"/>
          </w:tcPr>
          <w:p w14:paraId="7E276E68" w14:textId="77777777" w:rsidR="00EB79D9" w:rsidRPr="006D6727" w:rsidRDefault="00EB79D9" w:rsidP="00B856BB">
            <w:pPr>
              <w:pStyle w:val="ECCTabletext"/>
              <w:jc w:val="left"/>
              <w:rPr>
                <w:noProof/>
              </w:rPr>
            </w:pPr>
            <w:r w:rsidRPr="006D6727">
              <w:rPr>
                <w:noProof/>
              </w:rPr>
              <w:t>1</w:t>
            </w:r>
          </w:p>
        </w:tc>
        <w:tc>
          <w:tcPr>
            <w:tcW w:w="2693" w:type="dxa"/>
          </w:tcPr>
          <w:p w14:paraId="49C375E1" w14:textId="77777777" w:rsidR="00EB79D9" w:rsidRPr="006D6727" w:rsidRDefault="00EB79D9" w:rsidP="00B856BB">
            <w:pPr>
              <w:pStyle w:val="ECCTabletext"/>
              <w:jc w:val="left"/>
              <w:rPr>
                <w:noProof/>
              </w:rPr>
            </w:pPr>
            <w:r w:rsidRPr="006D6727">
              <w:rPr>
                <w:noProof/>
              </w:rPr>
              <w:t>-209</w:t>
            </w:r>
          </w:p>
        </w:tc>
        <w:tc>
          <w:tcPr>
            <w:tcW w:w="2410" w:type="dxa"/>
            <w:vMerge/>
          </w:tcPr>
          <w:p w14:paraId="6A8E1A5E" w14:textId="77777777" w:rsidR="00EB79D9" w:rsidRPr="006D6727" w:rsidRDefault="00EB79D9" w:rsidP="00EB79D9">
            <w:pPr>
              <w:rPr>
                <w:noProof/>
              </w:rPr>
            </w:pPr>
          </w:p>
        </w:tc>
      </w:tr>
      <w:tr w:rsidR="00EB79D9" w:rsidRPr="006D6727" w14:paraId="1A1D344E" w14:textId="77777777" w:rsidTr="002E3843">
        <w:tc>
          <w:tcPr>
            <w:tcW w:w="1980" w:type="dxa"/>
          </w:tcPr>
          <w:p w14:paraId="701F6BB4" w14:textId="77777777" w:rsidR="00EB79D9" w:rsidRPr="006D6727" w:rsidRDefault="00EB79D9" w:rsidP="00B856BB">
            <w:pPr>
              <w:pStyle w:val="ECCTabletext"/>
              <w:jc w:val="left"/>
              <w:rPr>
                <w:noProof/>
              </w:rPr>
            </w:pPr>
            <w:r w:rsidRPr="006D6727">
              <w:rPr>
                <w:noProof/>
              </w:rPr>
              <w:t>220</w:t>
            </w:r>
          </w:p>
        </w:tc>
        <w:tc>
          <w:tcPr>
            <w:tcW w:w="2126" w:type="dxa"/>
          </w:tcPr>
          <w:p w14:paraId="0073CD95" w14:textId="77777777" w:rsidR="00EB79D9" w:rsidRPr="006D6727" w:rsidRDefault="00EB79D9" w:rsidP="00B856BB">
            <w:pPr>
              <w:pStyle w:val="ECCTabletext"/>
              <w:jc w:val="left"/>
              <w:rPr>
                <w:noProof/>
              </w:rPr>
            </w:pPr>
            <w:r w:rsidRPr="006D6727">
              <w:rPr>
                <w:noProof/>
              </w:rPr>
              <w:t>1</w:t>
            </w:r>
          </w:p>
        </w:tc>
        <w:tc>
          <w:tcPr>
            <w:tcW w:w="2693" w:type="dxa"/>
          </w:tcPr>
          <w:p w14:paraId="75A283E6" w14:textId="77777777" w:rsidR="00EB79D9" w:rsidRPr="006D6727" w:rsidRDefault="00EB79D9" w:rsidP="00B856BB">
            <w:pPr>
              <w:pStyle w:val="ECCTabletext"/>
              <w:jc w:val="left"/>
              <w:rPr>
                <w:noProof/>
              </w:rPr>
            </w:pPr>
            <w:r w:rsidRPr="006D6727">
              <w:rPr>
                <w:noProof/>
              </w:rPr>
              <w:t>-207</w:t>
            </w:r>
          </w:p>
        </w:tc>
        <w:tc>
          <w:tcPr>
            <w:tcW w:w="2410" w:type="dxa"/>
            <w:vMerge/>
          </w:tcPr>
          <w:p w14:paraId="76AB064A" w14:textId="77777777" w:rsidR="00EB79D9" w:rsidRPr="006D6727" w:rsidRDefault="00EB79D9" w:rsidP="00EB79D9">
            <w:pPr>
              <w:rPr>
                <w:noProof/>
              </w:rPr>
            </w:pPr>
          </w:p>
        </w:tc>
      </w:tr>
      <w:tr w:rsidR="00EB79D9" w:rsidRPr="006D6727" w14:paraId="1DDB125A" w14:textId="77777777" w:rsidTr="002E3843">
        <w:tc>
          <w:tcPr>
            <w:tcW w:w="1980" w:type="dxa"/>
          </w:tcPr>
          <w:p w14:paraId="6D6C4BB5" w14:textId="77777777" w:rsidR="00EB79D9" w:rsidRPr="006D6727" w:rsidRDefault="00EB79D9" w:rsidP="00B856BB">
            <w:pPr>
              <w:pStyle w:val="ECCTabletext"/>
              <w:jc w:val="left"/>
              <w:rPr>
                <w:noProof/>
              </w:rPr>
            </w:pPr>
            <w:r w:rsidRPr="006D6727">
              <w:rPr>
                <w:noProof/>
              </w:rPr>
              <w:t>265</w:t>
            </w:r>
          </w:p>
        </w:tc>
        <w:tc>
          <w:tcPr>
            <w:tcW w:w="2126" w:type="dxa"/>
          </w:tcPr>
          <w:p w14:paraId="6EA14182" w14:textId="77777777" w:rsidR="00EB79D9" w:rsidRPr="006D6727" w:rsidRDefault="00EB79D9" w:rsidP="00B856BB">
            <w:pPr>
              <w:pStyle w:val="ECCTabletext"/>
              <w:jc w:val="left"/>
              <w:rPr>
                <w:noProof/>
              </w:rPr>
            </w:pPr>
            <w:r w:rsidRPr="006D6727">
              <w:rPr>
                <w:noProof/>
              </w:rPr>
              <w:t>1</w:t>
            </w:r>
          </w:p>
        </w:tc>
        <w:tc>
          <w:tcPr>
            <w:tcW w:w="2693" w:type="dxa"/>
          </w:tcPr>
          <w:p w14:paraId="3B5B01A7" w14:textId="77777777" w:rsidR="00EB79D9" w:rsidRPr="006D6727" w:rsidRDefault="00EB79D9" w:rsidP="00B856BB">
            <w:pPr>
              <w:pStyle w:val="ECCTabletext"/>
              <w:jc w:val="left"/>
              <w:rPr>
                <w:noProof/>
              </w:rPr>
            </w:pPr>
            <w:r w:rsidRPr="006D6727">
              <w:rPr>
                <w:noProof/>
              </w:rPr>
              <w:t>-206</w:t>
            </w:r>
          </w:p>
        </w:tc>
        <w:tc>
          <w:tcPr>
            <w:tcW w:w="2410" w:type="dxa"/>
            <w:vMerge/>
          </w:tcPr>
          <w:p w14:paraId="2D5B2D06" w14:textId="77777777" w:rsidR="00EB79D9" w:rsidRPr="006D6727" w:rsidRDefault="00EB79D9" w:rsidP="00EB79D9">
            <w:pPr>
              <w:rPr>
                <w:noProof/>
              </w:rPr>
            </w:pPr>
          </w:p>
        </w:tc>
      </w:tr>
    </w:tbl>
    <w:p w14:paraId="785BD1FF" w14:textId="07FC0F57" w:rsidR="00EB79D9" w:rsidRPr="006D6727" w:rsidRDefault="00EB79D9" w:rsidP="00EB79D9">
      <w:pPr>
        <w:pStyle w:val="Caption"/>
        <w:rPr>
          <w:noProof/>
          <w:lang w:val="en-GB"/>
        </w:rPr>
      </w:pPr>
      <w:bookmarkStart w:id="440" w:name="_Ref15024026"/>
      <w:r w:rsidRPr="006D6727">
        <w:rPr>
          <w:noProof/>
          <w:lang w:val="en-GB"/>
        </w:rPr>
        <w:t>Table</w:t>
      </w:r>
      <w:r w:rsidR="005E58AC"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38</w:t>
      </w:r>
      <w:r w:rsidR="00616942" w:rsidRPr="006D6727">
        <w:rPr>
          <w:noProof/>
          <w:lang w:val="en-GB"/>
        </w:rPr>
        <w:fldChar w:fldCharType="end"/>
      </w:r>
      <w:bookmarkEnd w:id="440"/>
      <w:r w:rsidRPr="006D6727">
        <w:rPr>
          <w:noProof/>
          <w:lang w:val="en-GB"/>
        </w:rPr>
        <w:t>: Threshold interference level for VLBI observations</w:t>
      </w:r>
    </w:p>
    <w:tbl>
      <w:tblPr>
        <w:tblStyle w:val="ECCTable-redheader"/>
        <w:tblW w:w="0" w:type="auto"/>
        <w:tblInd w:w="0" w:type="dxa"/>
        <w:tblLayout w:type="fixed"/>
        <w:tblLook w:val="04A0" w:firstRow="1" w:lastRow="0" w:firstColumn="1" w:lastColumn="0" w:noHBand="0" w:noVBand="1"/>
      </w:tblPr>
      <w:tblGrid>
        <w:gridCol w:w="2978"/>
        <w:gridCol w:w="3821"/>
        <w:gridCol w:w="2552"/>
      </w:tblGrid>
      <w:tr w:rsidR="002531CB" w:rsidRPr="006D6727" w14:paraId="026D67D6" w14:textId="77777777" w:rsidTr="00A3777E">
        <w:trPr>
          <w:cnfStyle w:val="100000000000" w:firstRow="1" w:lastRow="0" w:firstColumn="0" w:lastColumn="0" w:oddVBand="0" w:evenVBand="0" w:oddHBand="0" w:evenHBand="0" w:firstRowFirstColumn="0" w:firstRowLastColumn="0" w:lastRowFirstColumn="0" w:lastRowLastColumn="0"/>
        </w:trPr>
        <w:tc>
          <w:tcPr>
            <w:tcW w:w="2978" w:type="dxa"/>
          </w:tcPr>
          <w:p w14:paraId="75941287" w14:textId="77777777" w:rsidR="002531CB" w:rsidRPr="006D6727" w:rsidRDefault="002531CB" w:rsidP="00B856BB">
            <w:pPr>
              <w:pStyle w:val="ECCTabletext"/>
              <w:jc w:val="left"/>
              <w:rPr>
                <w:noProof/>
              </w:rPr>
            </w:pPr>
            <w:r w:rsidRPr="006D6727">
              <w:rPr>
                <w:noProof/>
              </w:rPr>
              <w:t>Centre frequency (GHz)</w:t>
            </w:r>
          </w:p>
        </w:tc>
        <w:tc>
          <w:tcPr>
            <w:tcW w:w="3821" w:type="dxa"/>
          </w:tcPr>
          <w:p w14:paraId="4C97BEA7" w14:textId="77777777" w:rsidR="002531CB" w:rsidRPr="006D6727" w:rsidRDefault="002531CB" w:rsidP="00B856BB">
            <w:pPr>
              <w:pStyle w:val="ECCTabletext"/>
              <w:jc w:val="left"/>
              <w:rPr>
                <w:noProof/>
              </w:rPr>
            </w:pPr>
            <w:r w:rsidRPr="006D6727">
              <w:rPr>
                <w:noProof/>
              </w:rPr>
              <w:t>Threshold level dB(W/(m²·Hz))</w:t>
            </w:r>
          </w:p>
        </w:tc>
        <w:tc>
          <w:tcPr>
            <w:tcW w:w="2552" w:type="dxa"/>
          </w:tcPr>
          <w:p w14:paraId="7479DF03" w14:textId="77777777" w:rsidR="002531CB" w:rsidRPr="006D6727" w:rsidRDefault="002531CB" w:rsidP="00B856BB">
            <w:pPr>
              <w:pStyle w:val="ECCTabletext"/>
              <w:jc w:val="left"/>
              <w:rPr>
                <w:noProof/>
              </w:rPr>
            </w:pPr>
            <w:r w:rsidRPr="006D6727">
              <w:rPr>
                <w:noProof/>
              </w:rPr>
              <w:t>Reference</w:t>
            </w:r>
          </w:p>
        </w:tc>
      </w:tr>
      <w:tr w:rsidR="002531CB" w:rsidRPr="006D6727" w14:paraId="27F2C96B" w14:textId="77777777" w:rsidTr="00A3777E">
        <w:tc>
          <w:tcPr>
            <w:tcW w:w="2978" w:type="dxa"/>
          </w:tcPr>
          <w:p w14:paraId="3A352607" w14:textId="77777777" w:rsidR="002531CB" w:rsidRPr="006D6727" w:rsidRDefault="002531CB" w:rsidP="00B856BB">
            <w:pPr>
              <w:pStyle w:val="ECCTabletext"/>
              <w:jc w:val="left"/>
              <w:rPr>
                <w:noProof/>
              </w:rPr>
            </w:pPr>
            <w:r w:rsidRPr="006D6727">
              <w:rPr>
                <w:noProof/>
              </w:rPr>
              <w:t>86</w:t>
            </w:r>
          </w:p>
        </w:tc>
        <w:tc>
          <w:tcPr>
            <w:tcW w:w="3821" w:type="dxa"/>
          </w:tcPr>
          <w:p w14:paraId="2400B79C" w14:textId="77777777" w:rsidR="002531CB" w:rsidRPr="006D6727" w:rsidRDefault="002531CB" w:rsidP="00B856BB">
            <w:pPr>
              <w:pStyle w:val="ECCTabletext"/>
              <w:jc w:val="left"/>
              <w:rPr>
                <w:noProof/>
              </w:rPr>
            </w:pPr>
            <w:r w:rsidRPr="006D6727">
              <w:rPr>
                <w:noProof/>
              </w:rPr>
              <w:t>-172</w:t>
            </w:r>
          </w:p>
        </w:tc>
        <w:tc>
          <w:tcPr>
            <w:tcW w:w="2552" w:type="dxa"/>
          </w:tcPr>
          <w:p w14:paraId="4A9096B7" w14:textId="625DE4C4" w:rsidR="002531CB" w:rsidRPr="006D6727" w:rsidRDefault="002531CB" w:rsidP="00B856BB">
            <w:pPr>
              <w:pStyle w:val="ECCTabletext"/>
              <w:jc w:val="left"/>
              <w:rPr>
                <w:noProof/>
              </w:rPr>
            </w:pPr>
            <w:r w:rsidRPr="006D6727">
              <w:rPr>
                <w:noProof/>
              </w:rPr>
              <w:t>ITU-R RA.769-2</w:t>
            </w:r>
            <w:r w:rsidR="00456ACD">
              <w:rPr>
                <w:noProof/>
              </w:rPr>
              <w:t>,</w:t>
            </w:r>
            <w:r w:rsidRPr="006D6727">
              <w:rPr>
                <w:noProof/>
              </w:rPr>
              <w:t xml:space="preserve"> </w:t>
            </w:r>
            <w:r w:rsidR="00456ACD">
              <w:rPr>
                <w:noProof/>
              </w:rPr>
              <w:t>t</w:t>
            </w:r>
            <w:r w:rsidRPr="006D6727">
              <w:rPr>
                <w:noProof/>
              </w:rPr>
              <w:t>able 3</w:t>
            </w:r>
          </w:p>
        </w:tc>
      </w:tr>
    </w:tbl>
    <w:p w14:paraId="2825C6AB" w14:textId="4FBB3D33" w:rsidR="00315846" w:rsidRPr="006D6727" w:rsidRDefault="00B15593" w:rsidP="00315846">
      <w:pPr>
        <w:rPr>
          <w:noProof/>
        </w:rPr>
      </w:pPr>
      <w:r w:rsidRPr="006D6727">
        <w:rPr>
          <w:noProof/>
        </w:rPr>
        <w:t xml:space="preserve">For the RAS compatibility studies in this </w:t>
      </w:r>
      <w:r w:rsidR="0090446F" w:rsidRPr="006D6727">
        <w:rPr>
          <w:noProof/>
        </w:rPr>
        <w:t>R</w:t>
      </w:r>
      <w:r w:rsidRPr="006D6727">
        <w:rPr>
          <w:noProof/>
        </w:rPr>
        <w:t>eport continuum observations are assumed, as this is the most sensitive observing mode. The frequency range of interest</w:t>
      </w:r>
      <w:r w:rsidR="001126DB" w:rsidRPr="006D6727">
        <w:rPr>
          <w:noProof/>
        </w:rPr>
        <w:t xml:space="preserve"> (116 </w:t>
      </w:r>
      <w:r w:rsidR="0090446F" w:rsidRPr="006D6727">
        <w:rPr>
          <w:noProof/>
        </w:rPr>
        <w:t>to</w:t>
      </w:r>
      <w:r w:rsidR="001126DB" w:rsidRPr="006D6727">
        <w:rPr>
          <w:noProof/>
        </w:rPr>
        <w:t xml:space="preserve"> 260</w:t>
      </w:r>
      <w:r w:rsidR="0090446F" w:rsidRPr="006D6727">
        <w:rPr>
          <w:noProof/>
        </w:rPr>
        <w:t> </w:t>
      </w:r>
      <w:r w:rsidR="001126DB" w:rsidRPr="006D6727">
        <w:rPr>
          <w:noProof/>
        </w:rPr>
        <w:t>GHz)</w:t>
      </w:r>
      <w:r w:rsidRPr="006D6727">
        <w:rPr>
          <w:noProof/>
        </w:rPr>
        <w:t xml:space="preserve"> is not well sampled by </w:t>
      </w:r>
      <w:r w:rsidR="00AD19AC" w:rsidRPr="006D6727">
        <w:rPr>
          <w:noProof/>
        </w:rPr>
        <w:t>the Recommendation</w:t>
      </w:r>
      <w:r w:rsidRPr="006D6727">
        <w:rPr>
          <w:noProof/>
        </w:rPr>
        <w:t xml:space="preserve"> </w:t>
      </w:r>
      <w:r w:rsidRPr="006D6727">
        <w:rPr>
          <w:rStyle w:val="ECCParagraph"/>
          <w:noProof/>
        </w:rPr>
        <w:t>ITU-R RA.769</w:t>
      </w:r>
      <w:r w:rsidR="0090446F" w:rsidRPr="006D6727">
        <w:rPr>
          <w:rStyle w:val="ECCParagraph"/>
          <w:noProof/>
        </w:rPr>
        <w:t>-2</w:t>
      </w:r>
      <w:r w:rsidR="00456ACD">
        <w:rPr>
          <w:rStyle w:val="ECCParagraph"/>
          <w:noProof/>
        </w:rPr>
        <w:t>, t</w:t>
      </w:r>
      <w:r w:rsidRPr="006D6727">
        <w:rPr>
          <w:rStyle w:val="ECCParagraph"/>
          <w:noProof/>
        </w:rPr>
        <w:t>able</w:t>
      </w:r>
      <w:r w:rsidR="00AD19AC" w:rsidRPr="006D6727">
        <w:rPr>
          <w:noProof/>
        </w:rPr>
        <w:t> </w:t>
      </w:r>
      <w:r w:rsidRPr="006D6727">
        <w:rPr>
          <w:noProof/>
        </w:rPr>
        <w:t>1</w:t>
      </w:r>
      <w:r w:rsidR="00456ACD">
        <w:rPr>
          <w:noProof/>
        </w:rPr>
        <w:t xml:space="preserve"> </w:t>
      </w:r>
      <w:r w:rsidR="00456ACD" w:rsidRPr="006D6727">
        <w:rPr>
          <w:rStyle w:val="ECCParagraph"/>
          <w:noProof/>
        </w:rPr>
        <w:fldChar w:fldCharType="begin"/>
      </w:r>
      <w:r w:rsidR="00456ACD" w:rsidRPr="006D6727">
        <w:rPr>
          <w:rStyle w:val="ECCParagraph"/>
          <w:noProof/>
        </w:rPr>
        <w:instrText xml:space="preserve"> REF  ITU_R_RA_769_2 \h \w  \* MERGEFORMAT </w:instrText>
      </w:r>
      <w:r w:rsidR="00456ACD" w:rsidRPr="006D6727">
        <w:rPr>
          <w:rStyle w:val="ECCParagraph"/>
          <w:noProof/>
        </w:rPr>
      </w:r>
      <w:r w:rsidR="00456ACD" w:rsidRPr="006D6727">
        <w:rPr>
          <w:rStyle w:val="ECCParagraph"/>
          <w:noProof/>
        </w:rPr>
        <w:fldChar w:fldCharType="separate"/>
      </w:r>
      <w:r w:rsidR="004F49F9">
        <w:rPr>
          <w:rStyle w:val="ECCParagraph"/>
          <w:noProof/>
        </w:rPr>
        <w:t>[9]</w:t>
      </w:r>
      <w:r w:rsidR="00456ACD" w:rsidRPr="006D6727">
        <w:rPr>
          <w:rStyle w:val="ECCParagraph"/>
          <w:noProof/>
        </w:rPr>
        <w:fldChar w:fldCharType="end"/>
      </w:r>
      <w:r w:rsidRPr="006D6727">
        <w:rPr>
          <w:noProof/>
        </w:rPr>
        <w:t xml:space="preserve"> entries, but the recommendation </w:t>
      </w:r>
      <w:r w:rsidR="001126DB" w:rsidRPr="006D6727">
        <w:rPr>
          <w:noProof/>
        </w:rPr>
        <w:t xml:space="preserve">also </w:t>
      </w:r>
      <w:r w:rsidRPr="006D6727">
        <w:rPr>
          <w:noProof/>
        </w:rPr>
        <w:t xml:space="preserve">gives guidance on how to calculate the </w:t>
      </w:r>
      <w:r w:rsidR="001126DB" w:rsidRPr="006D6727">
        <w:rPr>
          <w:noProof/>
        </w:rPr>
        <w:t>threshold value</w:t>
      </w:r>
      <w:r w:rsidRPr="006D6727">
        <w:rPr>
          <w:noProof/>
        </w:rPr>
        <w:t>s</w:t>
      </w:r>
      <w:r w:rsidR="001126DB" w:rsidRPr="006D6727">
        <w:rPr>
          <w:noProof/>
        </w:rPr>
        <w:t>, which primarily depend on the atmospheric and receiver contributions to the antenna system temperature</w:t>
      </w:r>
      <w:r w:rsidRPr="006D6727">
        <w:rPr>
          <w:noProof/>
        </w:rPr>
        <w:t>.</w:t>
      </w:r>
    </w:p>
    <w:p w14:paraId="4C435BD2" w14:textId="22DB876E" w:rsidR="00603D55" w:rsidRDefault="00603D55" w:rsidP="00603D55">
      <w:pPr>
        <w:rPr>
          <w:noProof/>
        </w:rPr>
      </w:pPr>
      <w:r w:rsidRPr="006D6727">
        <w:rPr>
          <w:noProof/>
        </w:rPr>
        <w:t xml:space="preserve">Following </w:t>
      </w:r>
      <w:r w:rsidR="00FD7685" w:rsidRPr="006D6727">
        <w:rPr>
          <w:noProof/>
        </w:rPr>
        <w:t xml:space="preserve">Recommendation </w:t>
      </w:r>
      <w:r w:rsidR="00FD7685" w:rsidRPr="006D6727">
        <w:rPr>
          <w:rStyle w:val="ECCParagraph"/>
          <w:noProof/>
        </w:rPr>
        <w:t xml:space="preserve">ITU-R RA.769-2 </w:t>
      </w:r>
      <w:r w:rsidRPr="006D6727">
        <w:rPr>
          <w:noProof/>
        </w:rPr>
        <w:t>and according to the latest information from experts in low-noise receiver developments, the receiver noise temperature can be modelled according to the following formula: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779CAA33" w14:textId="77777777" w:rsidTr="008A2884">
        <w:tc>
          <w:tcPr>
            <w:tcW w:w="4761" w:type="pct"/>
          </w:tcPr>
          <w:p w14:paraId="080AFC62" w14:textId="56156F03" w:rsidR="00034148" w:rsidRPr="00144C97" w:rsidRDefault="00E55534" w:rsidP="008A2884">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noProof/>
                      </w:rPr>
                    </m:ctrlPr>
                  </m:sSubPr>
                  <m:e>
                    <m:r>
                      <w:rPr>
                        <w:rFonts w:ascii="Cambria Math" w:hAnsi="Cambria Math"/>
                        <w:noProof/>
                      </w:rPr>
                      <m:t>T</m:t>
                    </m:r>
                  </m:e>
                  <m:sub>
                    <m:r>
                      <w:rPr>
                        <w:rFonts w:ascii="Cambria Math" w:hAnsi="Cambria Math"/>
                        <w:noProof/>
                      </w:rPr>
                      <m:t>R</m:t>
                    </m:r>
                  </m:sub>
                </m:sSub>
                <m:r>
                  <w:rPr>
                    <w:rFonts w:ascii="Cambria Math" w:hAnsi="Cambria Math"/>
                    <w:noProof/>
                  </w:rPr>
                  <m:t>=</m:t>
                </m:r>
                <m:r>
                  <m:rPr>
                    <m:sty m:val="p"/>
                  </m:rPr>
                  <w:rPr>
                    <w:rFonts w:ascii="Cambria Math" w:hAnsi="Cambria Math"/>
                    <w:noProof/>
                  </w:rPr>
                  <m:t>max⁡</m:t>
                </m:r>
                <m:r>
                  <w:rPr>
                    <w:rFonts w:ascii="Cambria Math" w:hAnsi="Cambria Math"/>
                    <w:noProof/>
                  </w:rPr>
                  <m:t>(30K,</m:t>
                </m:r>
                <m:f>
                  <m:fPr>
                    <m:ctrlPr>
                      <w:rPr>
                        <w:rFonts w:ascii="Cambria Math" w:hAnsi="Cambria Math"/>
                        <w:noProof/>
                      </w:rPr>
                    </m:ctrlPr>
                  </m:fPr>
                  <m:num>
                    <m:r>
                      <w:rPr>
                        <w:rFonts w:ascii="Cambria Math" w:hAnsi="Cambria Math"/>
                        <w:noProof/>
                      </w:rPr>
                      <m:t>4</m:t>
                    </m:r>
                    <m:r>
                      <w:rPr>
                        <w:rFonts w:ascii="Cambria Math" w:hAnsi="Cambria Math"/>
                        <w:noProof/>
                      </w:rPr>
                      <m:t>hf</m:t>
                    </m:r>
                  </m:num>
                  <m:den>
                    <m:sSub>
                      <m:sSubPr>
                        <m:ctrlPr>
                          <w:rPr>
                            <w:rFonts w:ascii="Cambria Math" w:hAnsi="Cambria Math"/>
                            <w:i/>
                            <w:noProof/>
                          </w:rPr>
                        </m:ctrlPr>
                      </m:sSubPr>
                      <m:e>
                        <m:r>
                          <w:rPr>
                            <w:rFonts w:ascii="Cambria Math" w:hAnsi="Cambria Math"/>
                            <w:noProof/>
                          </w:rPr>
                          <m:t>k</m:t>
                        </m:r>
                      </m:e>
                      <m:sub>
                        <m:r>
                          <w:rPr>
                            <w:rFonts w:ascii="Cambria Math" w:hAnsi="Cambria Math"/>
                            <w:noProof/>
                          </w:rPr>
                          <m:t>B</m:t>
                        </m:r>
                      </m:sub>
                    </m:sSub>
                  </m:den>
                </m:f>
                <m:r>
                  <w:rPr>
                    <w:rFonts w:ascii="Cambria Math" w:hAnsi="Cambria Math"/>
                    <w:noProof/>
                  </w:rPr>
                  <m:t>)</m:t>
                </m:r>
              </m:oMath>
            </m:oMathPara>
          </w:p>
        </w:tc>
        <w:tc>
          <w:tcPr>
            <w:tcW w:w="239" w:type="pct"/>
          </w:tcPr>
          <w:p w14:paraId="2880FDFD" w14:textId="2F73140D"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14</w:t>
            </w:r>
            <w:r>
              <w:fldChar w:fldCharType="end"/>
            </w:r>
            <w:r>
              <w:t>)</w:t>
            </w:r>
          </w:p>
        </w:tc>
      </w:tr>
    </w:tbl>
    <w:p w14:paraId="060D9C14" w14:textId="7E0842A1" w:rsidR="00EF3E55" w:rsidRDefault="00DF576F" w:rsidP="00603D55">
      <w:pPr>
        <w:rPr>
          <w:noProof/>
        </w:rPr>
      </w:pPr>
      <w:r>
        <w:rPr>
          <w:noProof/>
        </w:rPr>
        <w:t>w</w:t>
      </w:r>
      <w:r w:rsidR="00603D55" w:rsidRPr="006D6727">
        <w:rPr>
          <w:noProof/>
        </w:rPr>
        <w:t>here</w:t>
      </w:r>
      <w:r w:rsidR="00EF3E55">
        <w:rPr>
          <w:noProof/>
        </w:rPr>
        <w:t>:</w:t>
      </w:r>
    </w:p>
    <w:p w14:paraId="04C49CA2" w14:textId="537513F6" w:rsidR="00EF3E55" w:rsidRDefault="00603D55" w:rsidP="00EF3E55">
      <w:pPr>
        <w:pStyle w:val="ECCBulletsLv1"/>
        <w:rPr>
          <w:noProof/>
        </w:rPr>
      </w:pPr>
      <m:oMath>
        <m:r>
          <w:rPr>
            <w:rFonts w:ascii="Cambria Math" w:hAnsi="Cambria Math"/>
            <w:noProof/>
          </w:rPr>
          <m:t>h</m:t>
        </m:r>
      </m:oMath>
      <w:r w:rsidRPr="006D6727">
        <w:rPr>
          <w:noProof/>
        </w:rPr>
        <w:t xml:space="preserve"> and </w:t>
      </w:r>
      <m:oMath>
        <m:sSub>
          <m:sSubPr>
            <m:ctrlPr>
              <w:rPr>
                <w:rFonts w:ascii="Cambria Math" w:hAnsi="Cambria Math"/>
                <w:i/>
                <w:noProof/>
              </w:rPr>
            </m:ctrlPr>
          </m:sSubPr>
          <m:e>
            <m:r>
              <w:rPr>
                <w:rFonts w:ascii="Cambria Math" w:hAnsi="Cambria Math"/>
                <w:noProof/>
              </w:rPr>
              <m:t>k</m:t>
            </m:r>
          </m:e>
          <m:sub>
            <m:r>
              <w:rPr>
                <w:rFonts w:ascii="Cambria Math" w:hAnsi="Cambria Math"/>
                <w:noProof/>
              </w:rPr>
              <m:t>B</m:t>
            </m:r>
          </m:sub>
        </m:sSub>
      </m:oMath>
      <w:r w:rsidRPr="006D6727">
        <w:rPr>
          <w:noProof/>
        </w:rPr>
        <w:t xml:space="preserve"> are the Planck and Boltzman constants</w:t>
      </w:r>
      <w:r w:rsidR="00DF576F">
        <w:rPr>
          <w:noProof/>
        </w:rPr>
        <w:t>;</w:t>
      </w:r>
    </w:p>
    <w:p w14:paraId="2B31003B" w14:textId="3B1ECDEC" w:rsidR="00EF3E55" w:rsidRDefault="00603D55" w:rsidP="00EF3E55">
      <w:pPr>
        <w:pStyle w:val="ECCBulletsLv1"/>
        <w:rPr>
          <w:noProof/>
        </w:rPr>
      </w:pPr>
      <m:oMath>
        <m:r>
          <w:rPr>
            <w:rFonts w:ascii="Cambria Math" w:hAnsi="Cambria Math"/>
            <w:noProof/>
          </w:rPr>
          <m:t>f</m:t>
        </m:r>
      </m:oMath>
      <w:r w:rsidRPr="006D6727">
        <w:rPr>
          <w:noProof/>
        </w:rPr>
        <w:t xml:space="preserve"> the frequency under consideration.</w:t>
      </w:r>
    </w:p>
    <w:p w14:paraId="53876E3B" w14:textId="77777777" w:rsidR="00EF3E55" w:rsidRPr="002959BB" w:rsidRDefault="00EF3E55" w:rsidP="00EF3E55">
      <w:pPr>
        <w:pStyle w:val="ECCBulletsLv1"/>
        <w:numPr>
          <w:ilvl w:val="0"/>
          <w:numId w:val="0"/>
        </w:numPr>
        <w:rPr>
          <w:noProof/>
        </w:rPr>
      </w:pPr>
    </w:p>
    <w:p w14:paraId="107CC8BD" w14:textId="161D994A" w:rsidR="00603D55" w:rsidRPr="006D6727" w:rsidRDefault="00603D55" w:rsidP="002959BB">
      <w:pPr>
        <w:pStyle w:val="ECCBulletsLv1"/>
        <w:numPr>
          <w:ilvl w:val="0"/>
          <w:numId w:val="0"/>
        </w:numPr>
        <w:rPr>
          <w:noProof/>
        </w:rPr>
      </w:pPr>
      <w:r w:rsidRPr="006D6727">
        <w:rPr>
          <w:noProof/>
        </w:rPr>
        <w:fldChar w:fldCharType="begin"/>
      </w:r>
      <w:r w:rsidRPr="006D6727">
        <w:rPr>
          <w:noProof/>
        </w:rPr>
        <w:instrText xml:space="preserve"> REF _Ref25596187 \h </w:instrText>
      </w:r>
      <w:r w:rsidRPr="006D6727">
        <w:rPr>
          <w:noProof/>
        </w:rPr>
      </w:r>
      <w:r w:rsidRPr="006D6727">
        <w:rPr>
          <w:noProof/>
        </w:rPr>
        <w:fldChar w:fldCharType="separate"/>
      </w:r>
      <w:r w:rsidR="0041125F" w:rsidRPr="006D6727">
        <w:rPr>
          <w:noProof/>
        </w:rPr>
        <w:t>Figure </w:t>
      </w:r>
      <w:r w:rsidR="0041125F">
        <w:rPr>
          <w:noProof/>
        </w:rPr>
        <w:t>82</w:t>
      </w:r>
      <w:r w:rsidRPr="006D6727">
        <w:rPr>
          <w:noProof/>
        </w:rPr>
        <w:fldChar w:fldCharType="end"/>
      </w:r>
      <w:r w:rsidRPr="006D6727">
        <w:rPr>
          <w:noProof/>
        </w:rPr>
        <w:t xml:space="preserve"> shows the evolution of </w:t>
      </w:r>
      <m:oMath>
        <m:sSub>
          <m:sSubPr>
            <m:ctrlPr>
              <w:rPr>
                <w:rFonts w:ascii="Cambria Math" w:hAnsi="Cambria Math"/>
                <w:i/>
                <w:noProof/>
              </w:rPr>
            </m:ctrlPr>
          </m:sSubPr>
          <m:e>
            <m:r>
              <w:rPr>
                <w:rFonts w:ascii="Cambria Math" w:hAnsi="Cambria Math"/>
                <w:noProof/>
              </w:rPr>
              <m:t>T</m:t>
            </m:r>
          </m:e>
          <m:sub>
            <m:r>
              <w:rPr>
                <w:rFonts w:ascii="Cambria Math" w:hAnsi="Cambria Math"/>
                <w:noProof/>
              </w:rPr>
              <m:t>R</m:t>
            </m:r>
          </m:sub>
        </m:sSub>
      </m:oMath>
      <w:r w:rsidRPr="006D6727">
        <w:rPr>
          <w:noProof/>
        </w:rPr>
        <w:t xml:space="preserve"> with frequency.</w:t>
      </w:r>
    </w:p>
    <w:p w14:paraId="1E2DB28F" w14:textId="77777777" w:rsidR="00603D55" w:rsidRPr="006D6727" w:rsidRDefault="00603D55" w:rsidP="00166085">
      <w:pPr>
        <w:pStyle w:val="Caption"/>
        <w:rPr>
          <w:noProof/>
          <w:lang w:val="en-GB"/>
        </w:rPr>
      </w:pPr>
      <w:r w:rsidRPr="006D6727">
        <w:rPr>
          <w:noProof/>
          <w:lang w:val="de-DE" w:eastAsia="de-DE"/>
        </w:rPr>
        <w:drawing>
          <wp:inline distT="0" distB="0" distL="0" distR="0" wp14:anchorId="72D6BF74" wp14:editId="17FA26B6">
            <wp:extent cx="6207270" cy="4340646"/>
            <wp:effectExtent l="0" t="0" r="3175"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7" cstate="screen">
                      <a:extLst>
                        <a:ext uri="{28A0092B-C50C-407E-A947-70E740481C1C}">
                          <a14:useLocalDpi xmlns:a14="http://schemas.microsoft.com/office/drawing/2010/main"/>
                        </a:ext>
                      </a:extLst>
                    </a:blip>
                    <a:stretch>
                      <a:fillRect/>
                    </a:stretch>
                  </pic:blipFill>
                  <pic:spPr>
                    <a:xfrm>
                      <a:off x="0" y="0"/>
                      <a:ext cx="6249573" cy="4370228"/>
                    </a:xfrm>
                    <a:prstGeom prst="rect">
                      <a:avLst/>
                    </a:prstGeom>
                  </pic:spPr>
                </pic:pic>
              </a:graphicData>
            </a:graphic>
          </wp:inline>
        </w:drawing>
      </w:r>
    </w:p>
    <w:p w14:paraId="5A27DEC1" w14:textId="6B4A189F" w:rsidR="00603D55" w:rsidRDefault="00603D55" w:rsidP="00166085">
      <w:pPr>
        <w:pStyle w:val="Caption"/>
        <w:rPr>
          <w:rStyle w:val="ECCParagraph"/>
          <w:noProof/>
        </w:rPr>
      </w:pPr>
      <w:bookmarkStart w:id="441" w:name="_Ref25596187"/>
      <w:r w:rsidRPr="006D6727">
        <w:rPr>
          <w:noProof/>
          <w:lang w:val="en-GB"/>
        </w:rPr>
        <w:t>Figure</w:t>
      </w:r>
      <w:r w:rsidR="00FD7685"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82</w:t>
      </w:r>
      <w:r w:rsidR="00616942" w:rsidRPr="006D6727">
        <w:rPr>
          <w:noProof/>
          <w:lang w:val="en-GB"/>
        </w:rPr>
        <w:fldChar w:fldCharType="end"/>
      </w:r>
      <w:bookmarkEnd w:id="441"/>
      <w:r w:rsidRPr="006D6727">
        <w:rPr>
          <w:noProof/>
          <w:lang w:val="en-GB"/>
        </w:rPr>
        <w:t xml:space="preserve">: </w:t>
      </w:r>
      <w:r w:rsidRPr="006D6727">
        <w:rPr>
          <w:rStyle w:val="ECCParagraph"/>
          <w:noProof/>
        </w:rPr>
        <w:t xml:space="preserve">Receiver noise temperature </w:t>
      </w:r>
      <m:oMath>
        <m:sSub>
          <m:sSubPr>
            <m:ctrlPr>
              <w:rPr>
                <w:rStyle w:val="ECCParagraph"/>
                <w:rFonts w:ascii="Cambria Math" w:hAnsi="Cambria Math"/>
                <w:i/>
                <w:noProof/>
              </w:rPr>
            </m:ctrlPr>
          </m:sSubPr>
          <m:e>
            <m:r>
              <m:rPr>
                <m:sty m:val="bi"/>
              </m:rPr>
              <w:rPr>
                <w:rStyle w:val="ECCParagraph"/>
                <w:rFonts w:ascii="Cambria Math" w:hAnsi="Cambria Math"/>
                <w:noProof/>
              </w:rPr>
              <m:t>T</m:t>
            </m:r>
          </m:e>
          <m:sub>
            <m:r>
              <m:rPr>
                <m:sty m:val="bi"/>
              </m:rPr>
              <w:rPr>
                <w:rStyle w:val="ECCParagraph"/>
                <w:rFonts w:ascii="Cambria Math" w:hAnsi="Cambria Math"/>
                <w:noProof/>
              </w:rPr>
              <m:t>R</m:t>
            </m:r>
          </m:sub>
        </m:sSub>
      </m:oMath>
      <w:r w:rsidRPr="006D6727">
        <w:rPr>
          <w:rStyle w:val="ECCParagraph"/>
          <w:noProof/>
        </w:rPr>
        <w:t xml:space="preserve"> as a function of frequency</w:t>
      </w:r>
    </w:p>
    <w:p w14:paraId="61E78551" w14:textId="3E41C598" w:rsidR="00510D1C" w:rsidRPr="001B5658" w:rsidRDefault="00510D1C" w:rsidP="001B5658">
      <w:r w:rsidRPr="006D6727">
        <w:rPr>
          <w:noProof/>
        </w:rPr>
        <w:t xml:space="preserve">Following </w:t>
      </w:r>
      <w:r w:rsidRPr="006D6727">
        <w:rPr>
          <w:rStyle w:val="ECCParagraph"/>
          <w:noProof/>
        </w:rPr>
        <w:t>Recommendation ITU-R RA.769-2</w:t>
      </w:r>
      <w:r w:rsidRPr="006D6727">
        <w:rPr>
          <w:noProof/>
        </w:rPr>
        <w:t xml:space="preserve">, the minimum atmospheric noise temperatures were computed for the </w:t>
      </w:r>
      <w:r w:rsidRPr="00EF3E55">
        <w:rPr>
          <w:noProof/>
        </w:rPr>
        <w:t xml:space="preserve">Atacama Large Millimeter/submillimeter Array </w:t>
      </w:r>
      <w:r>
        <w:rPr>
          <w:noProof/>
        </w:rPr>
        <w:t>(</w:t>
      </w:r>
      <w:r w:rsidRPr="006D6727">
        <w:rPr>
          <w:rStyle w:val="ECCParagraph"/>
          <w:noProof/>
        </w:rPr>
        <w:t>ALMA</w:t>
      </w:r>
      <w:r>
        <w:rPr>
          <w:rStyle w:val="ECCParagraph"/>
          <w:noProof/>
        </w:rPr>
        <w:t>)</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ALMA \h \w  \* MERGEFORMAT </w:instrText>
      </w:r>
      <w:r w:rsidRPr="006D6727">
        <w:rPr>
          <w:rStyle w:val="ECCParagraph"/>
          <w:noProof/>
        </w:rPr>
      </w:r>
      <w:r w:rsidRPr="006D6727">
        <w:rPr>
          <w:rStyle w:val="ECCParagraph"/>
          <w:noProof/>
        </w:rPr>
        <w:fldChar w:fldCharType="separate"/>
      </w:r>
      <w:r w:rsidR="004F49F9">
        <w:rPr>
          <w:rStyle w:val="ECCParagraph"/>
          <w:noProof/>
        </w:rPr>
        <w:t>[45]</w:t>
      </w:r>
      <w:r w:rsidRPr="006D6727">
        <w:rPr>
          <w:rStyle w:val="ECCParagraph"/>
          <w:noProof/>
        </w:rPr>
        <w:fldChar w:fldCharType="end"/>
      </w:r>
      <w:r w:rsidRPr="006D6727">
        <w:rPr>
          <w:rStyle w:val="ECCParagraph"/>
          <w:noProof/>
        </w:rPr>
        <w:t xml:space="preserve"> site. Our</w:t>
      </w:r>
      <w:r w:rsidRPr="006D6727">
        <w:rPr>
          <w:noProof/>
        </w:rPr>
        <w:t xml:space="preserve"> computations reproduce those indicated in the </w:t>
      </w:r>
      <w:r w:rsidRPr="006D6727">
        <w:rPr>
          <w:rStyle w:val="ECCParagraph"/>
          <w:noProof/>
        </w:rPr>
        <w:t xml:space="preserve">Tables 1 and 2 </w:t>
      </w:r>
      <w:r w:rsidRPr="006D6727">
        <w:rPr>
          <w:noProof/>
        </w:rPr>
        <w:t xml:space="preserve">in </w:t>
      </w:r>
      <w:r w:rsidRPr="006D6727">
        <w:rPr>
          <w:rStyle w:val="ECCParagraph"/>
          <w:noProof/>
        </w:rPr>
        <w:t xml:space="preserve">Recommendation ITU-R RA.769-2 </w:t>
      </w:r>
      <w:r w:rsidRPr="006D6727">
        <w:rPr>
          <w:noProof/>
        </w:rPr>
        <w:t xml:space="preserve">at the specified frequencies. The spectral line channel bandwidth applicable in the 70 GHz to 300 GHz range is 1 MHz. However, the frequency spacing used in </w:t>
      </w:r>
      <w:r w:rsidRPr="006D6727">
        <w:rPr>
          <w:rStyle w:val="ECCParagraph"/>
          <w:noProof/>
        </w:rPr>
        <w:fldChar w:fldCharType="begin"/>
      </w:r>
      <w:r w:rsidRPr="006D6727">
        <w:rPr>
          <w:rStyle w:val="ECCParagraph"/>
          <w:noProof/>
        </w:rPr>
        <w:instrText xml:space="preserve"> REF _Ref25596552 \h  \* MERGEFORMAT </w:instrText>
      </w:r>
      <w:r w:rsidRPr="006D6727">
        <w:rPr>
          <w:rStyle w:val="ECCParagraph"/>
          <w:noProof/>
        </w:rPr>
      </w:r>
      <w:r w:rsidRPr="006D6727">
        <w:rPr>
          <w:rStyle w:val="ECCParagraph"/>
          <w:noProof/>
        </w:rPr>
        <w:fldChar w:fldCharType="separate"/>
      </w:r>
      <w:r w:rsidRPr="006D6727">
        <w:t>Figure </w:t>
      </w:r>
      <w:r>
        <w:t>83</w:t>
      </w:r>
      <w:r w:rsidRPr="006D6727">
        <w:rPr>
          <w:rStyle w:val="ECCParagraph"/>
          <w:noProof/>
        </w:rPr>
        <w:fldChar w:fldCharType="end"/>
      </w:r>
      <w:r w:rsidRPr="006D6727">
        <w:rPr>
          <w:noProof/>
        </w:rPr>
        <w:t xml:space="preserve"> and </w:t>
      </w:r>
      <w:r w:rsidRPr="006D6727">
        <w:rPr>
          <w:rStyle w:val="ECCParagraph"/>
          <w:noProof/>
        </w:rPr>
        <w:fldChar w:fldCharType="begin"/>
      </w:r>
      <w:r w:rsidRPr="006D6727">
        <w:rPr>
          <w:rStyle w:val="ECCParagraph"/>
          <w:noProof/>
        </w:rPr>
        <w:instrText xml:space="preserve"> REF _Ref25596996 \h  \* MERGEFORMAT </w:instrText>
      </w:r>
      <w:r w:rsidRPr="006D6727">
        <w:rPr>
          <w:rStyle w:val="ECCParagraph"/>
          <w:noProof/>
        </w:rPr>
      </w:r>
      <w:r w:rsidRPr="006D6727">
        <w:rPr>
          <w:rStyle w:val="ECCParagraph"/>
          <w:noProof/>
        </w:rPr>
        <w:fldChar w:fldCharType="separate"/>
      </w:r>
      <w:r w:rsidRPr="0041125F">
        <w:rPr>
          <w:rStyle w:val="ECCParagraph"/>
          <w:noProof/>
        </w:rPr>
        <w:t>Figure 84</w:t>
      </w:r>
      <w:r w:rsidRPr="006D6727">
        <w:rPr>
          <w:rStyle w:val="ECCParagraph"/>
          <w:noProof/>
        </w:rPr>
        <w:fldChar w:fldCharType="end"/>
      </w:r>
      <w:r w:rsidRPr="006D6727">
        <w:rPr>
          <w:noProof/>
        </w:rPr>
        <w:t xml:space="preserve"> is 40 MHz for practical reasons. The calculation can be done on a finer grid if needed</w:t>
      </w:r>
    </w:p>
    <w:p w14:paraId="469984E7" w14:textId="1691B41D" w:rsidR="00603D55" w:rsidRPr="006D6727" w:rsidRDefault="000F6BEC" w:rsidP="00074B8A">
      <w:pPr>
        <w:rPr>
          <w:noProof/>
        </w:rPr>
      </w:pPr>
      <w:r w:rsidRPr="006D6727">
        <w:rPr>
          <w:noProof/>
          <w:lang w:val="de-DE" w:eastAsia="de-DE"/>
        </w:rPr>
        <mc:AlternateContent>
          <mc:Choice Requires="wpg">
            <w:drawing>
              <wp:inline distT="0" distB="0" distL="0" distR="0" wp14:anchorId="2D519E19" wp14:editId="19DBFB45">
                <wp:extent cx="5849957" cy="7227065"/>
                <wp:effectExtent l="0" t="0" r="0" b="0"/>
                <wp:docPr id="106" name="Group 106"/>
                <wp:cNvGraphicFramePr/>
                <a:graphic xmlns:a="http://schemas.openxmlformats.org/drawingml/2006/main">
                  <a:graphicData uri="http://schemas.microsoft.com/office/word/2010/wordprocessingGroup">
                    <wpg:wgp>
                      <wpg:cNvGrpSpPr/>
                      <wpg:grpSpPr>
                        <a:xfrm>
                          <a:off x="0" y="0"/>
                          <a:ext cx="5849957" cy="7227065"/>
                          <a:chOff x="0" y="0"/>
                          <a:chExt cx="3830955" cy="5482650"/>
                        </a:xfrm>
                      </wpg:grpSpPr>
                      <pic:pic xmlns:pic="http://schemas.openxmlformats.org/drawingml/2006/picture">
                        <pic:nvPicPr>
                          <pic:cNvPr id="104" name="Picture 104"/>
                          <pic:cNvPicPr>
                            <a:picLocks noChangeAspect="1"/>
                          </pic:cNvPicPr>
                        </pic:nvPicPr>
                        <pic:blipFill>
                          <a:blip r:embed="rId108" cstate="screen">
                            <a:extLst>
                              <a:ext uri="{28A0092B-C50C-407E-A947-70E740481C1C}">
                                <a14:useLocalDpi xmlns:a14="http://schemas.microsoft.com/office/drawing/2010/main"/>
                              </a:ext>
                            </a:extLst>
                          </a:blip>
                          <a:stretch>
                            <a:fillRect/>
                          </a:stretch>
                        </pic:blipFill>
                        <pic:spPr>
                          <a:xfrm>
                            <a:off x="0" y="0"/>
                            <a:ext cx="3830955" cy="2679065"/>
                          </a:xfrm>
                          <a:prstGeom prst="rect">
                            <a:avLst/>
                          </a:prstGeom>
                        </pic:spPr>
                      </pic:pic>
                      <pic:pic xmlns:pic="http://schemas.openxmlformats.org/drawingml/2006/picture">
                        <pic:nvPicPr>
                          <pic:cNvPr id="105" name="Picture 105"/>
                          <pic:cNvPicPr>
                            <a:picLocks noChangeAspect="1"/>
                          </pic:cNvPicPr>
                        </pic:nvPicPr>
                        <pic:blipFill>
                          <a:blip r:embed="rId109" cstate="screen">
                            <a:extLst>
                              <a:ext uri="{28A0092B-C50C-407E-A947-70E740481C1C}">
                                <a14:useLocalDpi xmlns:a14="http://schemas.microsoft.com/office/drawing/2010/main"/>
                              </a:ext>
                            </a:extLst>
                          </a:blip>
                          <a:stretch>
                            <a:fillRect/>
                          </a:stretch>
                        </pic:blipFill>
                        <pic:spPr>
                          <a:xfrm>
                            <a:off x="0" y="2803585"/>
                            <a:ext cx="3830955" cy="2679065"/>
                          </a:xfrm>
                          <a:prstGeom prst="rect">
                            <a:avLst/>
                          </a:prstGeom>
                        </pic:spPr>
                      </pic:pic>
                    </wpg:wgp>
                  </a:graphicData>
                </a:graphic>
              </wp:inline>
            </w:drawing>
          </mc:Choice>
          <mc:Fallback>
            <w:pict>
              <v:group w14:anchorId="7CDC1FED" id="Group 106" o:spid="_x0000_s1026" style="width:460.65pt;height:569.05pt;mso-position-horizontal-relative:char;mso-position-vertical-relative:line" coordsize="38309,5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7" type="#_x0000_t75" style="position:absolute;width:38309;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">
                  <v:imagedata r:id="rId110" o:title=""/>
                </v:shape>
                <v:shape id="Picture 105" o:spid="_x0000_s1028" type="#_x0000_t75" style="position:absolute;top:28035;width:38309;height:26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">
                  <v:imagedata r:id="rId111" o:title=""/>
                </v:shape>
                <w10:anchorlock/>
              </v:group>
            </w:pict>
          </mc:Fallback>
        </mc:AlternateContent>
      </w:r>
      <w:r w:rsidR="00603D55" w:rsidRPr="006D6727">
        <w:rPr>
          <w:noProof/>
        </w:rPr>
        <w:t>.</w:t>
      </w:r>
    </w:p>
    <w:p w14:paraId="577898ED" w14:textId="628B976A" w:rsidR="00EF3E55" w:rsidRDefault="00A45C1C" w:rsidP="00074B8A">
      <w:pPr>
        <w:pStyle w:val="Caption"/>
        <w:rPr>
          <w:noProof/>
          <w:lang w:val="en-GB"/>
        </w:rPr>
      </w:pPr>
      <w:bookmarkStart w:id="442" w:name="_Ref25596552"/>
      <w:r w:rsidRPr="006D6727">
        <w:rPr>
          <w:noProof/>
          <w:lang w:val="en-GB"/>
        </w:rPr>
        <w:t>Figure</w:t>
      </w:r>
      <w:r w:rsidR="009724DA"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83</w:t>
      </w:r>
      <w:r w:rsidR="00616942" w:rsidRPr="006D6727">
        <w:rPr>
          <w:noProof/>
          <w:lang w:val="en-GB"/>
        </w:rPr>
        <w:fldChar w:fldCharType="end"/>
      </w:r>
      <w:bookmarkEnd w:id="442"/>
      <w:r w:rsidRPr="006D6727">
        <w:rPr>
          <w:noProof/>
          <w:lang w:val="en-GB"/>
        </w:rPr>
        <w:t xml:space="preserve">: Minimum atmospheric noise temperature </w:t>
      </w:r>
      <m:oMath>
        <m:sSub>
          <m:sSubPr>
            <m:ctrlPr>
              <w:rPr>
                <w:rFonts w:ascii="Cambria Math" w:hAnsi="Cambria Math"/>
                <w:noProof/>
                <w:lang w:val="en-GB"/>
              </w:rPr>
            </m:ctrlPr>
          </m:sSubPr>
          <m:e>
            <m:r>
              <m:rPr>
                <m:sty m:val="bi"/>
              </m:rPr>
              <w:rPr>
                <w:rFonts w:ascii="Cambria Math" w:hAnsi="Cambria Math"/>
                <w:noProof/>
                <w:lang w:val="en-GB"/>
              </w:rPr>
              <m:t>T</m:t>
            </m:r>
          </m:e>
          <m:sub>
            <m:r>
              <m:rPr>
                <m:sty m:val="bi"/>
              </m:rPr>
              <w:rPr>
                <w:rFonts w:ascii="Cambria Math" w:hAnsi="Cambria Math"/>
                <w:noProof/>
                <w:lang w:val="en-GB"/>
              </w:rPr>
              <m:t>A</m:t>
            </m:r>
          </m:sub>
        </m:sSub>
      </m:oMath>
      <w:r w:rsidRPr="006D6727">
        <w:rPr>
          <w:noProof/>
          <w:lang w:val="en-GB"/>
        </w:rPr>
        <w:t xml:space="preserve"> as a function of frequency. </w:t>
      </w:r>
    </w:p>
    <w:p w14:paraId="1F6F396F" w14:textId="5368C24F" w:rsidR="00EF3E55" w:rsidRDefault="00A45C1C" w:rsidP="00074B8A">
      <w:pPr>
        <w:pStyle w:val="Caption"/>
        <w:rPr>
          <w:noProof/>
          <w:lang w:val="en-GB"/>
        </w:rPr>
      </w:pPr>
      <w:r w:rsidRPr="006D6727">
        <w:rPr>
          <w:noProof/>
          <w:lang w:val="en-GB"/>
        </w:rPr>
        <w:t>Values contained in Rec</w:t>
      </w:r>
      <w:r w:rsidR="00EF3E55">
        <w:rPr>
          <w:noProof/>
          <w:lang w:val="en-GB"/>
        </w:rPr>
        <w:t>ommendation</w:t>
      </w:r>
      <w:r w:rsidRPr="006D6727">
        <w:rPr>
          <w:noProof/>
          <w:lang w:val="en-GB"/>
        </w:rPr>
        <w:t xml:space="preserve"> ITU-R RA.769-2 are indicated by the red crosses </w:t>
      </w:r>
    </w:p>
    <w:p w14:paraId="0A8C7640" w14:textId="3F9A59AE" w:rsidR="00603D55" w:rsidRPr="006D6727" w:rsidRDefault="00A45C1C" w:rsidP="00074B8A">
      <w:pPr>
        <w:pStyle w:val="Caption"/>
        <w:rPr>
          <w:rStyle w:val="ECCHLcyan"/>
          <w:noProof/>
        </w:rPr>
      </w:pPr>
      <w:r w:rsidRPr="006D6727">
        <w:rPr>
          <w:noProof/>
          <w:lang w:val="en-GB"/>
        </w:rPr>
        <w:t>(at 89, 150, 224 and 270</w:t>
      </w:r>
      <w:r w:rsidR="0071447F" w:rsidRPr="006D6727">
        <w:rPr>
          <w:noProof/>
          <w:lang w:val="en-GB"/>
        </w:rPr>
        <w:t> </w:t>
      </w:r>
      <w:r w:rsidRPr="006D6727">
        <w:rPr>
          <w:noProof/>
          <w:lang w:val="en-GB"/>
        </w:rPr>
        <w:t>GHz)</w:t>
      </w:r>
    </w:p>
    <w:p w14:paraId="49A1310B" w14:textId="6F5DD219" w:rsidR="00A45C1C" w:rsidRPr="006D6727" w:rsidRDefault="009C1141" w:rsidP="00315846">
      <w:pPr>
        <w:rPr>
          <w:rStyle w:val="ECCParagraph"/>
          <w:noProof/>
        </w:rPr>
      </w:pPr>
      <w:r w:rsidRPr="006D6727">
        <w:rPr>
          <w:noProof/>
        </w:rPr>
        <w:fldChar w:fldCharType="begin"/>
      </w:r>
      <w:r w:rsidRPr="006D6727">
        <w:rPr>
          <w:noProof/>
        </w:rPr>
        <w:instrText xml:space="preserve"> REF _Ref25596552 \h </w:instrText>
      </w:r>
      <w:r w:rsidRPr="006D6727">
        <w:rPr>
          <w:noProof/>
        </w:rPr>
      </w:r>
      <w:r w:rsidRPr="006D6727">
        <w:rPr>
          <w:noProof/>
        </w:rPr>
        <w:fldChar w:fldCharType="separate"/>
      </w:r>
      <w:r w:rsidR="0041125F" w:rsidRPr="006D6727">
        <w:rPr>
          <w:noProof/>
        </w:rPr>
        <w:t>Figure </w:t>
      </w:r>
      <w:r w:rsidR="0041125F">
        <w:rPr>
          <w:noProof/>
        </w:rPr>
        <w:t>83</w:t>
      </w:r>
      <w:r w:rsidRPr="006D6727">
        <w:rPr>
          <w:noProof/>
        </w:rPr>
        <w:fldChar w:fldCharType="end"/>
      </w:r>
      <w:r w:rsidR="00A45C1C" w:rsidRPr="006D6727">
        <w:rPr>
          <w:noProof/>
        </w:rPr>
        <w:t xml:space="preserve"> shows the evolution of</w:t>
      </w:r>
      <w:r w:rsidR="00A45C1C" w:rsidRPr="00A221C4">
        <w:rPr>
          <w:noProof/>
        </w:rPr>
        <w:t xml:space="preserve"> </w:t>
      </w:r>
      <m:oMath>
        <m:sSub>
          <m:sSubPr>
            <m:ctrlPr>
              <w:rPr>
                <w:rFonts w:ascii="Cambria Math" w:hAnsi="Cambria Math"/>
                <w:noProof/>
              </w:rPr>
            </m:ctrlPr>
          </m:sSubPr>
          <m:e>
            <m:r>
              <w:rPr>
                <w:rFonts w:ascii="Cambria Math" w:hAnsi="Cambria Math"/>
                <w:noProof/>
              </w:rPr>
              <m:t>T</m:t>
            </m:r>
          </m:e>
          <m:sub>
            <m:r>
              <w:rPr>
                <w:rFonts w:ascii="Cambria Math" w:hAnsi="Cambria Math"/>
                <w:noProof/>
              </w:rPr>
              <m:t>A</m:t>
            </m:r>
          </m:sub>
        </m:sSub>
      </m:oMath>
      <w:r w:rsidR="00A45C1C" w:rsidRPr="006D6727">
        <w:rPr>
          <w:noProof/>
        </w:rPr>
        <w:t xml:space="preserve"> with frequency. The prominent atmospheric lines of O2 (below 70</w:t>
      </w:r>
      <w:r w:rsidR="00214AB3" w:rsidRPr="006D6727">
        <w:rPr>
          <w:noProof/>
        </w:rPr>
        <w:t> </w:t>
      </w:r>
      <w:r w:rsidR="00A45C1C" w:rsidRPr="006D6727">
        <w:rPr>
          <w:noProof/>
        </w:rPr>
        <w:t>GHz and at 116</w:t>
      </w:r>
      <w:r w:rsidR="00214AB3" w:rsidRPr="006D6727">
        <w:rPr>
          <w:noProof/>
        </w:rPr>
        <w:t> </w:t>
      </w:r>
      <w:r w:rsidR="00A45C1C" w:rsidRPr="006D6727">
        <w:rPr>
          <w:noProof/>
        </w:rPr>
        <w:t>GHz), H2O (at 183</w:t>
      </w:r>
      <w:r w:rsidR="00214AB3" w:rsidRPr="006D6727">
        <w:rPr>
          <w:noProof/>
        </w:rPr>
        <w:t> </w:t>
      </w:r>
      <w:r w:rsidR="00A45C1C" w:rsidRPr="006D6727">
        <w:rPr>
          <w:noProof/>
        </w:rPr>
        <w:t>GHz) and the many fainter and narrower O3 lines are clearly visible.</w:t>
      </w:r>
      <w:r w:rsidRPr="006D6727">
        <w:rPr>
          <w:noProof/>
        </w:rPr>
        <w:t xml:space="preserve"> </w:t>
      </w:r>
      <w:r w:rsidR="00A45C1C" w:rsidRPr="006D6727">
        <w:rPr>
          <w:rStyle w:val="ECCParagraph"/>
          <w:noProof/>
        </w:rPr>
        <w:t xml:space="preserve">The numbers in </w:t>
      </w:r>
      <w:r w:rsidR="00EC3CD4" w:rsidRPr="006D6727">
        <w:rPr>
          <w:rStyle w:val="ECCParagraph"/>
          <w:noProof/>
        </w:rPr>
        <w:t>Rec</w:t>
      </w:r>
      <w:r w:rsidR="00214AB3" w:rsidRPr="006D6727">
        <w:rPr>
          <w:rStyle w:val="ECCParagraph"/>
          <w:noProof/>
        </w:rPr>
        <w:t>ommendation</w:t>
      </w:r>
      <w:r w:rsidR="00EC3CD4" w:rsidRPr="006D6727">
        <w:rPr>
          <w:rStyle w:val="ECCParagraph"/>
          <w:noProof/>
        </w:rPr>
        <w:t xml:space="preserve"> ITU-R</w:t>
      </w:r>
      <w:r w:rsidR="00A45C1C" w:rsidRPr="006D6727">
        <w:rPr>
          <w:rStyle w:val="ECCParagraph"/>
          <w:noProof/>
        </w:rPr>
        <w:t xml:space="preserve"> RA.769</w:t>
      </w:r>
      <w:r w:rsidR="00EC3CD4" w:rsidRPr="006D6727">
        <w:rPr>
          <w:rStyle w:val="ECCParagraph"/>
          <w:noProof/>
        </w:rPr>
        <w:t>-2</w:t>
      </w:r>
      <w:r w:rsidR="00A45C1C" w:rsidRPr="006D6727">
        <w:rPr>
          <w:rStyle w:val="ECCParagraph"/>
          <w:noProof/>
        </w:rPr>
        <w:t xml:space="preserve"> were computed assuming certain RAS receiver bandwidths. Above 100</w:t>
      </w:r>
      <w:r w:rsidR="00214AB3" w:rsidRPr="006D6727">
        <w:rPr>
          <w:rStyle w:val="ECCParagraph"/>
          <w:noProof/>
        </w:rPr>
        <w:t> </w:t>
      </w:r>
      <w:r w:rsidR="00A45C1C" w:rsidRPr="006D6727">
        <w:rPr>
          <w:rStyle w:val="ECCParagraph"/>
          <w:noProof/>
        </w:rPr>
        <w:t>GHz, a bandwidth of 8</w:t>
      </w:r>
      <w:r w:rsidR="00214AB3" w:rsidRPr="006D6727">
        <w:rPr>
          <w:rStyle w:val="ECCParagraph"/>
          <w:noProof/>
        </w:rPr>
        <w:t> </w:t>
      </w:r>
      <w:r w:rsidR="00A45C1C" w:rsidRPr="006D6727">
        <w:rPr>
          <w:rStyle w:val="ECCParagraph"/>
          <w:noProof/>
        </w:rPr>
        <w:t xml:space="preserve">GHz is typically applied to calculate the entries for continuum observations. Therefore, the effective atmospheric temperature as displayed in </w:t>
      </w:r>
      <w:r w:rsidR="00EC3CD4" w:rsidRPr="006D6727">
        <w:rPr>
          <w:rStyle w:val="ECCParagraph"/>
          <w:noProof/>
        </w:rPr>
        <w:fldChar w:fldCharType="begin"/>
      </w:r>
      <w:r w:rsidR="00EC3CD4" w:rsidRPr="006D6727">
        <w:rPr>
          <w:rStyle w:val="ECCParagraph"/>
          <w:noProof/>
        </w:rPr>
        <w:instrText xml:space="preserve"> REF _Ref25596552 \h </w:instrText>
      </w:r>
      <w:r w:rsidR="00EC3CD4" w:rsidRPr="006D6727">
        <w:rPr>
          <w:rStyle w:val="ECCParagraph"/>
          <w:noProof/>
        </w:rPr>
      </w:r>
      <w:r w:rsidR="00EC3CD4" w:rsidRPr="006D6727">
        <w:rPr>
          <w:rStyle w:val="ECCParagraph"/>
          <w:noProof/>
        </w:rPr>
        <w:fldChar w:fldCharType="separate"/>
      </w:r>
      <w:r w:rsidR="0041125F" w:rsidRPr="006D6727">
        <w:rPr>
          <w:noProof/>
        </w:rPr>
        <w:t>Figure </w:t>
      </w:r>
      <w:r w:rsidR="0041125F">
        <w:rPr>
          <w:noProof/>
        </w:rPr>
        <w:t>83</w:t>
      </w:r>
      <w:r w:rsidR="00EC3CD4" w:rsidRPr="006D6727">
        <w:rPr>
          <w:rStyle w:val="ECCParagraph"/>
          <w:noProof/>
        </w:rPr>
        <w:fldChar w:fldCharType="end"/>
      </w:r>
      <w:r w:rsidR="00A45C1C" w:rsidRPr="006D6727">
        <w:rPr>
          <w:rStyle w:val="ECCParagraph"/>
          <w:noProof/>
        </w:rPr>
        <w:t xml:space="preserve"> needs to be smoothed with a box-car filter of width 8</w:t>
      </w:r>
      <w:r w:rsidR="00214AB3" w:rsidRPr="006D6727">
        <w:rPr>
          <w:rStyle w:val="ECCParagraph"/>
          <w:noProof/>
        </w:rPr>
        <w:t> </w:t>
      </w:r>
      <w:r w:rsidR="00A45C1C" w:rsidRPr="006D6727">
        <w:rPr>
          <w:rStyle w:val="ECCParagraph"/>
          <w:noProof/>
        </w:rPr>
        <w:t xml:space="preserve">GHz before using the numbers for the power threshold calculation. The result of the box-car filtering is presented in </w:t>
      </w:r>
      <w:r w:rsidR="00886ED5" w:rsidRPr="006D6727">
        <w:rPr>
          <w:rStyle w:val="ECCParagraph"/>
          <w:noProof/>
        </w:rPr>
        <w:fldChar w:fldCharType="begin"/>
      </w:r>
      <w:r w:rsidR="00886ED5" w:rsidRPr="006D6727">
        <w:rPr>
          <w:rStyle w:val="ECCParagraph"/>
          <w:noProof/>
        </w:rPr>
        <w:instrText xml:space="preserve"> REF _Ref25596996 \h </w:instrText>
      </w:r>
      <w:r w:rsidR="00886ED5" w:rsidRPr="006D6727">
        <w:rPr>
          <w:rStyle w:val="ECCParagraph"/>
          <w:noProof/>
        </w:rPr>
      </w:r>
      <w:r w:rsidR="00886ED5" w:rsidRPr="006D6727">
        <w:rPr>
          <w:rStyle w:val="ECCParagraph"/>
          <w:noProof/>
        </w:rPr>
        <w:fldChar w:fldCharType="separate"/>
      </w:r>
      <w:r w:rsidR="0041125F" w:rsidRPr="006D6727">
        <w:rPr>
          <w:noProof/>
        </w:rPr>
        <w:t>Figure </w:t>
      </w:r>
      <w:r w:rsidR="0041125F">
        <w:rPr>
          <w:noProof/>
        </w:rPr>
        <w:t>84</w:t>
      </w:r>
      <w:r w:rsidR="00886ED5" w:rsidRPr="006D6727">
        <w:rPr>
          <w:rStyle w:val="ECCParagraph"/>
          <w:noProof/>
        </w:rPr>
        <w:fldChar w:fldCharType="end"/>
      </w:r>
      <w:r w:rsidRPr="006D6727">
        <w:rPr>
          <w:rStyle w:val="ECCParagraph"/>
          <w:noProof/>
        </w:rPr>
        <w:t>.</w:t>
      </w:r>
    </w:p>
    <w:p w14:paraId="47E34AE3" w14:textId="77777777" w:rsidR="00A45C1C" w:rsidRPr="006D6727" w:rsidRDefault="00A45C1C" w:rsidP="00192B13">
      <w:pPr>
        <w:pStyle w:val="Caption"/>
        <w:rPr>
          <w:noProof/>
          <w:lang w:val="en-GB"/>
        </w:rPr>
      </w:pPr>
      <w:r w:rsidRPr="006D6727">
        <w:rPr>
          <w:noProof/>
          <w:lang w:val="de-DE" w:eastAsia="de-DE"/>
        </w:rPr>
        <w:drawing>
          <wp:inline distT="0" distB="0" distL="0" distR="0" wp14:anchorId="1D57AE5E" wp14:editId="56DA5C43">
            <wp:extent cx="4978680" cy="348133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a769-big.png"/>
                    <pic:cNvPicPr/>
                  </pic:nvPicPr>
                  <pic:blipFill>
                    <a:blip r:embed="rId112" cstate="screen">
                      <a:extLst>
                        <a:ext uri="{28A0092B-C50C-407E-A947-70E740481C1C}">
                          <a14:useLocalDpi xmlns:a14="http://schemas.microsoft.com/office/drawing/2010/main"/>
                        </a:ext>
                      </a:extLst>
                    </a:blip>
                    <a:stretch>
                      <a:fillRect/>
                    </a:stretch>
                  </pic:blipFill>
                  <pic:spPr>
                    <a:xfrm>
                      <a:off x="0" y="0"/>
                      <a:ext cx="5030776" cy="3517758"/>
                    </a:xfrm>
                    <a:prstGeom prst="rect">
                      <a:avLst/>
                    </a:prstGeom>
                  </pic:spPr>
                </pic:pic>
              </a:graphicData>
            </a:graphic>
          </wp:inline>
        </w:drawing>
      </w:r>
    </w:p>
    <w:p w14:paraId="7E6DF53B" w14:textId="31AEADAD" w:rsidR="009D708E" w:rsidRDefault="00A45C1C" w:rsidP="009D708E">
      <w:pPr>
        <w:pStyle w:val="Caption"/>
        <w:rPr>
          <w:noProof/>
          <w:lang w:val="en-GB"/>
        </w:rPr>
      </w:pPr>
      <w:bookmarkStart w:id="443" w:name="_Ref25596996"/>
      <w:r w:rsidRPr="006D6727">
        <w:rPr>
          <w:noProof/>
          <w:lang w:val="en-GB"/>
        </w:rPr>
        <w:t>Figure</w:t>
      </w:r>
      <w:r w:rsidR="00214AB3"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84</w:t>
      </w:r>
      <w:r w:rsidR="00616942" w:rsidRPr="006D6727">
        <w:rPr>
          <w:noProof/>
          <w:lang w:val="en-GB"/>
        </w:rPr>
        <w:fldChar w:fldCharType="end"/>
      </w:r>
      <w:bookmarkEnd w:id="443"/>
      <w:r w:rsidRPr="006D6727">
        <w:rPr>
          <w:noProof/>
          <w:lang w:val="en-GB"/>
        </w:rPr>
        <w:t xml:space="preserve">: Minimum atmospheric noise temperature </w:t>
      </w:r>
      <m:oMath>
        <m:sSub>
          <m:sSubPr>
            <m:ctrlPr>
              <w:rPr>
                <w:rFonts w:ascii="Cambria Math" w:hAnsi="Cambria Math"/>
                <w:noProof/>
                <w:lang w:val="en-GB"/>
              </w:rPr>
            </m:ctrlPr>
          </m:sSubPr>
          <m:e>
            <m:r>
              <m:rPr>
                <m:sty m:val="bi"/>
              </m:rPr>
              <w:rPr>
                <w:rFonts w:ascii="Cambria Math" w:hAnsi="Cambria Math"/>
                <w:noProof/>
                <w:lang w:val="en-GB"/>
              </w:rPr>
              <m:t>T</m:t>
            </m:r>
          </m:e>
          <m:sub>
            <m:r>
              <m:rPr>
                <m:sty m:val="bi"/>
              </m:rPr>
              <w:rPr>
                <w:rFonts w:ascii="Cambria Math" w:hAnsi="Cambria Math"/>
                <w:noProof/>
                <w:lang w:val="en-GB"/>
              </w:rPr>
              <m:t>A</m:t>
            </m:r>
          </m:sub>
        </m:sSub>
      </m:oMath>
      <w:r w:rsidRPr="006D6727">
        <w:rPr>
          <w:noProof/>
          <w:lang w:val="en-GB"/>
        </w:rPr>
        <w:t xml:space="preserve"> after smoothing with a box-car filter </w:t>
      </w:r>
    </w:p>
    <w:p w14:paraId="75BCC2C6" w14:textId="36C9FFFA" w:rsidR="00603D55" w:rsidRPr="006D6727" w:rsidRDefault="00A45C1C" w:rsidP="009D708E">
      <w:pPr>
        <w:pStyle w:val="Caption"/>
        <w:rPr>
          <w:rStyle w:val="ECCHLcyan"/>
          <w:noProof/>
        </w:rPr>
      </w:pPr>
      <w:r w:rsidRPr="006D6727">
        <w:rPr>
          <w:noProof/>
          <w:lang w:val="en-GB"/>
        </w:rPr>
        <w:t>(kernel width: 8 GHz)</w:t>
      </w:r>
    </w:p>
    <w:p w14:paraId="65891DBD" w14:textId="26E1D4D7" w:rsidR="00B15593" w:rsidRPr="006D6727" w:rsidRDefault="00B15593" w:rsidP="00B15593">
      <w:pPr>
        <w:rPr>
          <w:rStyle w:val="ECCParagraph"/>
          <w:noProof/>
        </w:rPr>
      </w:pPr>
      <w:r w:rsidRPr="006D6727">
        <w:rPr>
          <w:rStyle w:val="ECCParagraph"/>
          <w:noProof/>
        </w:rPr>
        <w:t>With the atmospheric and receiver contributions to the antenna temperature, RAS power threshold limits can be calculated for any frequency</w:t>
      </w:r>
      <w:r w:rsidR="00FF5163" w:rsidRPr="006D6727">
        <w:rPr>
          <w:rStyle w:val="ECCParagraph"/>
          <w:noProof/>
        </w:rPr>
        <w:t>, assuming a</w:t>
      </w:r>
      <w:r w:rsidR="001126DB" w:rsidRPr="006D6727">
        <w:rPr>
          <w:rStyle w:val="ECCParagraph"/>
          <w:noProof/>
        </w:rPr>
        <w:t xml:space="preserve"> RAS</w:t>
      </w:r>
      <w:r w:rsidR="00FF5163" w:rsidRPr="006D6727">
        <w:rPr>
          <w:rStyle w:val="ECCParagraph"/>
          <w:noProof/>
        </w:rPr>
        <w:t xml:space="preserve"> bandwidth of 8</w:t>
      </w:r>
      <w:r w:rsidR="00C71382" w:rsidRPr="006D6727">
        <w:rPr>
          <w:rStyle w:val="ECCParagraph"/>
          <w:noProof/>
        </w:rPr>
        <w:t> </w:t>
      </w:r>
      <w:r w:rsidR="00FF5163" w:rsidRPr="006D6727">
        <w:rPr>
          <w:rStyle w:val="ECCParagraph"/>
          <w:noProof/>
        </w:rPr>
        <w:t>GHz</w:t>
      </w:r>
      <w:r w:rsidRPr="006D6727">
        <w:rPr>
          <w:rStyle w:val="ECCParagraph"/>
          <w:noProof/>
        </w:rPr>
        <w:t>. For the subsequent studies</w:t>
      </w:r>
      <w:r w:rsidR="00FF5163" w:rsidRPr="006D6727">
        <w:rPr>
          <w:rStyle w:val="ECCParagraph"/>
          <w:noProof/>
        </w:rPr>
        <w:t xml:space="preserve"> in this report</w:t>
      </w:r>
      <w:r w:rsidRPr="006D6727">
        <w:rPr>
          <w:rStyle w:val="ECCParagraph"/>
          <w:noProof/>
        </w:rPr>
        <w:t xml:space="preserve">, the </w:t>
      </w:r>
      <w:r w:rsidR="00FF5163" w:rsidRPr="006D6727">
        <w:rPr>
          <w:rStyle w:val="ECCParagraph"/>
          <w:noProof/>
        </w:rPr>
        <w:t>bands</w:t>
      </w:r>
      <w:r w:rsidR="005C37AD" w:rsidRPr="006D6727">
        <w:rPr>
          <w:rStyle w:val="ECCParagraph"/>
          <w:noProof/>
        </w:rPr>
        <w:t xml:space="preserve"> and resulting power threshold levels</w:t>
      </w:r>
      <w:r w:rsidR="00FF5163" w:rsidRPr="006D6727">
        <w:rPr>
          <w:rStyle w:val="ECCParagraph"/>
          <w:noProof/>
        </w:rPr>
        <w:t xml:space="preserve"> presented in </w:t>
      </w:r>
      <w:r w:rsidR="003A7AC6" w:rsidRPr="006D6727">
        <w:rPr>
          <w:rStyle w:val="ECCParagraph"/>
          <w:noProof/>
        </w:rPr>
        <w:fldChar w:fldCharType="begin"/>
      </w:r>
      <w:r w:rsidR="003A7AC6" w:rsidRPr="006D6727">
        <w:rPr>
          <w:rStyle w:val="ECCParagraph"/>
          <w:noProof/>
        </w:rPr>
        <w:instrText xml:space="preserve"> REF _Ref25573392 \h </w:instrText>
      </w:r>
      <w:r w:rsidR="003A7AC6" w:rsidRPr="006D6727">
        <w:rPr>
          <w:rStyle w:val="ECCParagraph"/>
          <w:noProof/>
        </w:rPr>
      </w:r>
      <w:r w:rsidR="003A7AC6" w:rsidRPr="006D6727">
        <w:rPr>
          <w:rStyle w:val="ECCParagraph"/>
          <w:noProof/>
        </w:rPr>
        <w:fldChar w:fldCharType="separate"/>
      </w:r>
      <w:r w:rsidR="0041125F" w:rsidRPr="006D6727">
        <w:rPr>
          <w:noProof/>
        </w:rPr>
        <w:t>Table </w:t>
      </w:r>
      <w:r w:rsidR="0041125F">
        <w:rPr>
          <w:noProof/>
        </w:rPr>
        <w:t>39</w:t>
      </w:r>
      <w:r w:rsidR="003A7AC6" w:rsidRPr="006D6727">
        <w:rPr>
          <w:rStyle w:val="ECCParagraph"/>
          <w:noProof/>
        </w:rPr>
        <w:fldChar w:fldCharType="end"/>
      </w:r>
      <w:r w:rsidR="005C37AD" w:rsidRPr="006D6727">
        <w:rPr>
          <w:rStyle w:val="ECCParagraph"/>
          <w:noProof/>
        </w:rPr>
        <w:t xml:space="preserve"> are used</w:t>
      </w:r>
      <w:r w:rsidR="003A7AC6" w:rsidRPr="006D6727">
        <w:rPr>
          <w:rStyle w:val="ECCParagraph"/>
          <w:noProof/>
        </w:rPr>
        <w:t>.</w:t>
      </w:r>
      <w:r w:rsidR="00CD61BA" w:rsidRPr="006D6727">
        <w:rPr>
          <w:rStyle w:val="ECCParagraph"/>
          <w:noProof/>
        </w:rPr>
        <w:t xml:space="preserve"> It has to be noted that </w:t>
      </w:r>
      <w:r w:rsidR="00CC1CA1" w:rsidRPr="006D6727">
        <w:rPr>
          <w:rStyle w:val="ECCParagraph"/>
          <w:noProof/>
        </w:rPr>
        <w:t xml:space="preserve">for the RAS compatibility study in </w:t>
      </w:r>
      <w:r w:rsidR="009D5FA2">
        <w:rPr>
          <w:rStyle w:val="ECCParagraph"/>
          <w:noProof/>
        </w:rPr>
        <w:t>section</w:t>
      </w:r>
      <w:r w:rsidR="00CC1CA1" w:rsidRPr="006D6727">
        <w:rPr>
          <w:rStyle w:val="ECCParagraph"/>
          <w:noProof/>
        </w:rPr>
        <w:t xml:space="preserve"> </w:t>
      </w:r>
      <w:r w:rsidR="00CC1CA1" w:rsidRPr="006D6727">
        <w:rPr>
          <w:rStyle w:val="ECCParagraph"/>
          <w:noProof/>
        </w:rPr>
        <w:fldChar w:fldCharType="begin"/>
      </w:r>
      <w:r w:rsidR="00CC1CA1" w:rsidRPr="006D6727">
        <w:rPr>
          <w:rStyle w:val="ECCParagraph"/>
          <w:noProof/>
        </w:rPr>
        <w:instrText xml:space="preserve"> REF _Ref25598043 \r \h </w:instrText>
      </w:r>
      <w:r w:rsidR="00CC1CA1" w:rsidRPr="006D6727">
        <w:rPr>
          <w:rStyle w:val="ECCParagraph"/>
          <w:noProof/>
        </w:rPr>
      </w:r>
      <w:r w:rsidR="00CC1CA1" w:rsidRPr="006D6727">
        <w:rPr>
          <w:rStyle w:val="ECCParagraph"/>
          <w:noProof/>
        </w:rPr>
        <w:fldChar w:fldCharType="separate"/>
      </w:r>
      <w:r w:rsidR="004F49F9">
        <w:rPr>
          <w:rStyle w:val="ECCParagraph"/>
          <w:noProof/>
        </w:rPr>
        <w:t>4</w:t>
      </w:r>
      <w:r w:rsidR="00CC1CA1" w:rsidRPr="006D6727">
        <w:rPr>
          <w:rStyle w:val="ECCParagraph"/>
          <w:noProof/>
        </w:rPr>
        <w:fldChar w:fldCharType="end"/>
      </w:r>
      <w:r w:rsidR="00CC1CA1" w:rsidRPr="006D6727">
        <w:rPr>
          <w:rStyle w:val="ECCParagraph"/>
          <w:noProof/>
        </w:rPr>
        <w:t xml:space="preserve"> a different atmospheric propagation algorithm was used (namely the one proposed in Rec</w:t>
      </w:r>
      <w:r w:rsidR="00C71382" w:rsidRPr="006D6727">
        <w:rPr>
          <w:rStyle w:val="ECCParagraph"/>
          <w:noProof/>
        </w:rPr>
        <w:t>ommendation</w:t>
      </w:r>
      <w:r w:rsidR="00CC1CA1" w:rsidRPr="006D6727">
        <w:rPr>
          <w:rStyle w:val="ECCParagraph"/>
          <w:noProof/>
        </w:rPr>
        <w:t xml:space="preserve"> ITU-R P.676</w:t>
      </w:r>
      <w:r w:rsidR="00C71382" w:rsidRPr="006D6727">
        <w:rPr>
          <w:rStyle w:val="ECCParagraph"/>
          <w:noProof/>
        </w:rPr>
        <w:t>-</w:t>
      </w:r>
      <w:r w:rsidR="00FF6014" w:rsidRPr="006D6727">
        <w:rPr>
          <w:rStyle w:val="ECCParagraph"/>
          <w:noProof/>
        </w:rPr>
        <w:t>1</w:t>
      </w:r>
      <w:r w:rsidR="00C71382" w:rsidRPr="006D6727">
        <w:rPr>
          <w:rStyle w:val="ECCParagraph"/>
          <w:noProof/>
        </w:rPr>
        <w:t>2</w:t>
      </w:r>
      <w:r w:rsidR="00FF6014" w:rsidRPr="006D6727">
        <w:rPr>
          <w:rStyle w:val="ECCParagraph"/>
          <w:noProof/>
        </w:rPr>
        <w:t xml:space="preserve"> </w:t>
      </w:r>
      <w:r w:rsidR="00FF6014" w:rsidRPr="006D6727">
        <w:rPr>
          <w:rStyle w:val="ECCParagraph"/>
          <w:noProof/>
        </w:rPr>
        <w:fldChar w:fldCharType="begin"/>
      </w:r>
      <w:r w:rsidR="00FF6014" w:rsidRPr="006D6727">
        <w:rPr>
          <w:rStyle w:val="ECCParagraph"/>
          <w:noProof/>
        </w:rPr>
        <w:instrText xml:space="preserve"> REF  ITU_R_P_676_12 \h \w  \* MERGEFORMAT </w:instrText>
      </w:r>
      <w:r w:rsidR="00FF6014" w:rsidRPr="006D6727">
        <w:rPr>
          <w:rStyle w:val="ECCParagraph"/>
          <w:noProof/>
        </w:rPr>
      </w:r>
      <w:r w:rsidR="00FF6014" w:rsidRPr="006D6727">
        <w:rPr>
          <w:rStyle w:val="ECCParagraph"/>
          <w:noProof/>
        </w:rPr>
        <w:fldChar w:fldCharType="separate"/>
      </w:r>
      <w:r w:rsidR="004F49F9">
        <w:rPr>
          <w:rStyle w:val="ECCParagraph"/>
          <w:noProof/>
        </w:rPr>
        <w:t>[28]</w:t>
      </w:r>
      <w:r w:rsidR="00FF6014" w:rsidRPr="006D6727">
        <w:rPr>
          <w:rStyle w:val="ECCParagraph"/>
          <w:noProof/>
        </w:rPr>
        <w:fldChar w:fldCharType="end"/>
      </w:r>
      <w:r w:rsidR="00CC1CA1" w:rsidRPr="006D6727">
        <w:rPr>
          <w:rStyle w:val="ECCParagraph"/>
          <w:noProof/>
        </w:rPr>
        <w:t xml:space="preserve">), which produces slightly different results </w:t>
      </w:r>
      <w:r w:rsidR="00FF6014" w:rsidRPr="006D6727">
        <w:rPr>
          <w:rStyle w:val="ECCParagraph"/>
          <w:noProof/>
        </w:rPr>
        <w:t>compared to</w:t>
      </w:r>
      <w:r w:rsidR="00CC1CA1" w:rsidRPr="006D6727">
        <w:rPr>
          <w:rStyle w:val="ECCParagraph"/>
          <w:noProof/>
        </w:rPr>
        <w:t xml:space="preserve"> the (more </w:t>
      </w:r>
      <w:r w:rsidR="0018058B" w:rsidRPr="006D6727">
        <w:rPr>
          <w:rStyle w:val="ECCParagraph"/>
          <w:noProof/>
        </w:rPr>
        <w:t>site-specific</w:t>
      </w:r>
      <w:r w:rsidR="00CC1CA1" w:rsidRPr="006D6727">
        <w:rPr>
          <w:rStyle w:val="ECCParagraph"/>
          <w:noProof/>
        </w:rPr>
        <w:t xml:space="preserve">) atmospheric model used at the </w:t>
      </w:r>
      <w:r w:rsidR="00EF3E55" w:rsidRPr="00EF3E55">
        <w:rPr>
          <w:noProof/>
        </w:rPr>
        <w:t xml:space="preserve">Atacama Large Millimeter/submillimeter Array </w:t>
      </w:r>
      <w:r w:rsidR="00EF3E55">
        <w:rPr>
          <w:noProof/>
        </w:rPr>
        <w:t>(</w:t>
      </w:r>
      <w:r w:rsidR="00EF3E55" w:rsidRPr="006D6727">
        <w:rPr>
          <w:rStyle w:val="ECCParagraph"/>
          <w:noProof/>
        </w:rPr>
        <w:t>ALMA</w:t>
      </w:r>
      <w:r w:rsidR="00EF3E55">
        <w:rPr>
          <w:rStyle w:val="ECCParagraph"/>
          <w:noProof/>
        </w:rPr>
        <w:t>)</w:t>
      </w:r>
      <w:r w:rsidR="00EF3E55" w:rsidRPr="006D6727">
        <w:rPr>
          <w:rStyle w:val="ECCParagraph"/>
          <w:noProof/>
        </w:rPr>
        <w:t xml:space="preserve"> </w:t>
      </w:r>
      <w:r w:rsidR="00EF3E55" w:rsidRPr="006D6727">
        <w:rPr>
          <w:rStyle w:val="ECCParagraph"/>
          <w:noProof/>
        </w:rPr>
        <w:fldChar w:fldCharType="begin"/>
      </w:r>
      <w:r w:rsidR="00EF3E55" w:rsidRPr="006D6727">
        <w:rPr>
          <w:rStyle w:val="ECCParagraph"/>
          <w:noProof/>
        </w:rPr>
        <w:instrText xml:space="preserve"> REF  ALMA \h \w  \* MERGEFORMAT </w:instrText>
      </w:r>
      <w:r w:rsidR="00EF3E55" w:rsidRPr="006D6727">
        <w:rPr>
          <w:rStyle w:val="ECCParagraph"/>
          <w:noProof/>
        </w:rPr>
      </w:r>
      <w:r w:rsidR="00EF3E55" w:rsidRPr="006D6727">
        <w:rPr>
          <w:rStyle w:val="ECCParagraph"/>
          <w:noProof/>
        </w:rPr>
        <w:fldChar w:fldCharType="separate"/>
      </w:r>
      <w:r w:rsidR="004F49F9">
        <w:rPr>
          <w:rStyle w:val="ECCParagraph"/>
          <w:noProof/>
        </w:rPr>
        <w:t>[45]</w:t>
      </w:r>
      <w:r w:rsidR="00EF3E55" w:rsidRPr="006D6727">
        <w:rPr>
          <w:rStyle w:val="ECCParagraph"/>
          <w:noProof/>
        </w:rPr>
        <w:fldChar w:fldCharType="end"/>
      </w:r>
      <w:r w:rsidR="0018058B" w:rsidRPr="006D6727">
        <w:rPr>
          <w:rStyle w:val="ECCParagraph"/>
          <w:noProof/>
        </w:rPr>
        <w:t xml:space="preserve">, which formed the basis for the </w:t>
      </w:r>
      <w:r w:rsidR="00CA4B21" w:rsidRPr="006D6727">
        <w:rPr>
          <w:rStyle w:val="ECCParagraph"/>
          <w:noProof/>
        </w:rPr>
        <w:t xml:space="preserve">table </w:t>
      </w:r>
      <w:r w:rsidR="0018058B" w:rsidRPr="006D6727">
        <w:rPr>
          <w:rStyle w:val="ECCParagraph"/>
          <w:noProof/>
        </w:rPr>
        <w:t>entries</w:t>
      </w:r>
      <w:r w:rsidR="00FF6014" w:rsidRPr="006D6727">
        <w:rPr>
          <w:rStyle w:val="ECCParagraph"/>
          <w:noProof/>
        </w:rPr>
        <w:t xml:space="preserve"> in Recommendation ITU-R RA.769-2</w:t>
      </w:r>
      <w:r w:rsidR="00CC1CA1" w:rsidRPr="006D6727">
        <w:rPr>
          <w:rStyle w:val="ECCParagraph"/>
          <w:noProof/>
        </w:rPr>
        <w:t xml:space="preserve">. The least deviation is </w:t>
      </w:r>
      <w:r w:rsidR="0018058B" w:rsidRPr="006D6727">
        <w:rPr>
          <w:rStyle w:val="ECCParagraph"/>
          <w:noProof/>
        </w:rPr>
        <w:t>obtained</w:t>
      </w:r>
      <w:r w:rsidR="00CC1CA1" w:rsidRPr="006D6727">
        <w:rPr>
          <w:rStyle w:val="ECCParagraph"/>
          <w:noProof/>
        </w:rPr>
        <w:t xml:space="preserve"> </w:t>
      </w:r>
      <w:r w:rsidR="0018058B" w:rsidRPr="006D6727">
        <w:rPr>
          <w:rStyle w:val="ECCParagraph"/>
          <w:noProof/>
        </w:rPr>
        <w:t>when</w:t>
      </w:r>
      <w:r w:rsidR="00CC1CA1" w:rsidRPr="006D6727">
        <w:rPr>
          <w:rStyle w:val="ECCParagraph"/>
          <w:noProof/>
        </w:rPr>
        <w:t xml:space="preserve"> the "high latitude summer" profile (see Rec</w:t>
      </w:r>
      <w:r w:rsidR="00CC0C67" w:rsidRPr="006D6727">
        <w:rPr>
          <w:rStyle w:val="ECCParagraph"/>
          <w:noProof/>
        </w:rPr>
        <w:t>ommendation</w:t>
      </w:r>
      <w:r w:rsidR="00CC1CA1" w:rsidRPr="006D6727">
        <w:rPr>
          <w:rStyle w:val="ECCParagraph"/>
          <w:noProof/>
        </w:rPr>
        <w:t xml:space="preserve"> ITU-R P.835</w:t>
      </w:r>
      <w:r w:rsidR="000B33D4" w:rsidRPr="006D6727">
        <w:rPr>
          <w:rStyle w:val="ECCParagraph"/>
          <w:noProof/>
        </w:rPr>
        <w:t>-6</w:t>
      </w:r>
      <w:r w:rsidR="00CC0C67" w:rsidRPr="006D6727">
        <w:rPr>
          <w:rStyle w:val="ECCParagraph"/>
          <w:noProof/>
        </w:rPr>
        <w:t xml:space="preserve"> </w:t>
      </w:r>
      <w:r w:rsidR="000B33D4" w:rsidRPr="006D6727">
        <w:rPr>
          <w:rStyle w:val="ECCParagraph"/>
          <w:noProof/>
        </w:rPr>
        <w:fldChar w:fldCharType="begin"/>
      </w:r>
      <w:r w:rsidR="000B33D4" w:rsidRPr="006D6727">
        <w:rPr>
          <w:rStyle w:val="ECCParagraph"/>
          <w:noProof/>
        </w:rPr>
        <w:instrText xml:space="preserve"> REF  ITU_R_P_835_6 \h \w  \* MERGEFORMAT </w:instrText>
      </w:r>
      <w:r w:rsidR="000B33D4" w:rsidRPr="006D6727">
        <w:rPr>
          <w:rStyle w:val="ECCParagraph"/>
          <w:noProof/>
        </w:rPr>
      </w:r>
      <w:r w:rsidR="000B33D4" w:rsidRPr="006D6727">
        <w:rPr>
          <w:rStyle w:val="ECCParagraph"/>
          <w:noProof/>
        </w:rPr>
        <w:fldChar w:fldCharType="separate"/>
      </w:r>
      <w:r w:rsidR="004F49F9">
        <w:rPr>
          <w:rStyle w:val="ECCParagraph"/>
          <w:noProof/>
        </w:rPr>
        <w:t>[29]</w:t>
      </w:r>
      <w:r w:rsidR="000B33D4" w:rsidRPr="006D6727">
        <w:rPr>
          <w:rStyle w:val="ECCParagraph"/>
          <w:noProof/>
        </w:rPr>
        <w:fldChar w:fldCharType="end"/>
      </w:r>
      <w:r w:rsidR="00CC1CA1" w:rsidRPr="006D6727">
        <w:rPr>
          <w:rStyle w:val="ECCParagraph"/>
          <w:noProof/>
        </w:rPr>
        <w:t>) is used.</w:t>
      </w:r>
    </w:p>
    <w:p w14:paraId="5846C695" w14:textId="1D4EA205" w:rsidR="00FF5163" w:rsidRPr="006D6727" w:rsidRDefault="00FF5163" w:rsidP="00C71382">
      <w:pPr>
        <w:pStyle w:val="Caption"/>
        <w:keepNext/>
        <w:rPr>
          <w:noProof/>
          <w:lang w:val="en-GB"/>
        </w:rPr>
      </w:pPr>
      <w:bookmarkStart w:id="444" w:name="_Ref25573392"/>
      <w:r w:rsidRPr="006D6727">
        <w:rPr>
          <w:noProof/>
          <w:lang w:val="en-GB"/>
        </w:rPr>
        <w:t>Table</w:t>
      </w:r>
      <w:r w:rsidR="00C71382"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39</w:t>
      </w:r>
      <w:r w:rsidR="00616942" w:rsidRPr="006D6727">
        <w:rPr>
          <w:noProof/>
          <w:lang w:val="en-GB"/>
        </w:rPr>
        <w:fldChar w:fldCharType="end"/>
      </w:r>
      <w:bookmarkEnd w:id="444"/>
      <w:r w:rsidRPr="006D6727">
        <w:rPr>
          <w:noProof/>
          <w:lang w:val="en-GB"/>
        </w:rPr>
        <w:t xml:space="preserve">: RAS frequency bands and power threshold levels used in this </w:t>
      </w:r>
      <w:r w:rsidR="00887207" w:rsidRPr="006D6727">
        <w:rPr>
          <w:noProof/>
          <w:lang w:val="en-GB"/>
        </w:rPr>
        <w:t>R</w:t>
      </w:r>
      <w:r w:rsidRPr="006D6727">
        <w:rPr>
          <w:noProof/>
          <w:lang w:val="en-GB"/>
        </w:rPr>
        <w:t>eport</w:t>
      </w:r>
    </w:p>
    <w:tbl>
      <w:tblPr>
        <w:tblStyle w:val="ECCTable-redheader"/>
        <w:tblW w:w="0" w:type="auto"/>
        <w:tblInd w:w="0" w:type="dxa"/>
        <w:tblLayout w:type="fixed"/>
        <w:tblLook w:val="04A0" w:firstRow="1" w:lastRow="0" w:firstColumn="1" w:lastColumn="0" w:noHBand="0" w:noVBand="1"/>
      </w:tblPr>
      <w:tblGrid>
        <w:gridCol w:w="1980"/>
        <w:gridCol w:w="2126"/>
        <w:gridCol w:w="2126"/>
        <w:gridCol w:w="2126"/>
      </w:tblGrid>
      <w:tr w:rsidR="00FF5163" w:rsidRPr="006D6727" w14:paraId="5C2F932C" w14:textId="77777777" w:rsidTr="00603D55">
        <w:trPr>
          <w:cnfStyle w:val="100000000000" w:firstRow="1" w:lastRow="0" w:firstColumn="0" w:lastColumn="0" w:oddVBand="0" w:evenVBand="0" w:oddHBand="0" w:evenHBand="0" w:firstRowFirstColumn="0" w:firstRowLastColumn="0" w:lastRowFirstColumn="0" w:lastRowLastColumn="0"/>
        </w:trPr>
        <w:tc>
          <w:tcPr>
            <w:tcW w:w="1980" w:type="dxa"/>
          </w:tcPr>
          <w:p w14:paraId="2E3D23B0" w14:textId="77777777" w:rsidR="00FF5163" w:rsidRPr="006D6727" w:rsidRDefault="00FF5163" w:rsidP="00472B9F">
            <w:pPr>
              <w:pStyle w:val="ECCTabletext"/>
              <w:rPr>
                <w:noProof/>
              </w:rPr>
            </w:pPr>
            <w:r w:rsidRPr="006D6727">
              <w:rPr>
                <w:noProof/>
              </w:rPr>
              <w:t>Centre frequency (GHz)</w:t>
            </w:r>
          </w:p>
        </w:tc>
        <w:tc>
          <w:tcPr>
            <w:tcW w:w="2126" w:type="dxa"/>
          </w:tcPr>
          <w:p w14:paraId="7A8EDD71" w14:textId="77777777" w:rsidR="00FF5163" w:rsidRPr="006D6727" w:rsidRDefault="001126DB" w:rsidP="00472B9F">
            <w:pPr>
              <w:pStyle w:val="ECCTabletext"/>
              <w:rPr>
                <w:noProof/>
              </w:rPr>
            </w:pPr>
            <m:oMathPara>
              <m:oMath>
                <m:r>
                  <m:rPr>
                    <m:sty m:val="bi"/>
                  </m:rPr>
                  <w:rPr>
                    <w:rFonts w:ascii="Cambria Math" w:hAnsi="Cambria Math"/>
                    <w:noProof/>
                  </w:rPr>
                  <m:t>T_R</m:t>
                </m:r>
                <m:r>
                  <m:rPr>
                    <m:sty m:val="b"/>
                  </m:rPr>
                  <w:rPr>
                    <w:noProof/>
                  </w:rPr>
                  <w:br/>
                </m:r>
              </m:oMath>
            </m:oMathPara>
            <w:r w:rsidRPr="006D6727">
              <w:rPr>
                <w:noProof/>
              </w:rPr>
              <w:t>(K)</w:t>
            </w:r>
          </w:p>
        </w:tc>
        <w:tc>
          <w:tcPr>
            <w:tcW w:w="2126" w:type="dxa"/>
          </w:tcPr>
          <w:p w14:paraId="55D23554" w14:textId="77777777" w:rsidR="00FF5163" w:rsidRPr="006D6727" w:rsidRDefault="001126DB" w:rsidP="00472B9F">
            <w:pPr>
              <w:pStyle w:val="ECCTabletext"/>
              <w:rPr>
                <w:noProof/>
              </w:rPr>
            </w:pPr>
            <m:oMathPara>
              <m:oMath>
                <m:r>
                  <m:rPr>
                    <m:sty m:val="bi"/>
                  </m:rPr>
                  <w:rPr>
                    <w:rFonts w:ascii="Cambria Math" w:hAnsi="Cambria Math"/>
                    <w:noProof/>
                  </w:rPr>
                  <m:t>T_A</m:t>
                </m:r>
                <m:r>
                  <m:rPr>
                    <m:sty m:val="b"/>
                  </m:rPr>
                  <w:rPr>
                    <w:noProof/>
                  </w:rPr>
                  <w:br/>
                </m:r>
              </m:oMath>
            </m:oMathPara>
            <w:r w:rsidRPr="006D6727">
              <w:rPr>
                <w:noProof/>
              </w:rPr>
              <w:t>(K)</w:t>
            </w:r>
          </w:p>
        </w:tc>
        <w:tc>
          <w:tcPr>
            <w:tcW w:w="2126" w:type="dxa"/>
          </w:tcPr>
          <w:p w14:paraId="7C54CC53" w14:textId="77777777" w:rsidR="00FF5163" w:rsidRPr="006D6727" w:rsidRDefault="00FF5163" w:rsidP="00472B9F">
            <w:pPr>
              <w:pStyle w:val="ECCTabletext"/>
              <w:rPr>
                <w:noProof/>
              </w:rPr>
            </w:pPr>
            <w:r w:rsidRPr="006D6727">
              <w:rPr>
                <w:noProof/>
              </w:rPr>
              <w:t>Threshold level dBW</w:t>
            </w:r>
          </w:p>
        </w:tc>
      </w:tr>
      <w:tr w:rsidR="00FF5163" w:rsidRPr="006D6727" w14:paraId="6AE93079" w14:textId="77777777" w:rsidTr="00C71382">
        <w:tc>
          <w:tcPr>
            <w:tcW w:w="0" w:type="dxa"/>
            <w:vAlign w:val="top"/>
          </w:tcPr>
          <w:p w14:paraId="282DE51D" w14:textId="77777777" w:rsidR="00FF5163" w:rsidRPr="006D6727" w:rsidRDefault="00FF5163" w:rsidP="00B856BB">
            <w:pPr>
              <w:pStyle w:val="ECCTabletext"/>
              <w:jc w:val="left"/>
              <w:rPr>
                <w:noProof/>
              </w:rPr>
            </w:pPr>
            <w:r w:rsidRPr="006D6727">
              <w:rPr>
                <w:noProof/>
              </w:rPr>
              <w:t>116</w:t>
            </w:r>
          </w:p>
        </w:tc>
        <w:tc>
          <w:tcPr>
            <w:tcW w:w="0" w:type="dxa"/>
            <w:vAlign w:val="top"/>
          </w:tcPr>
          <w:p w14:paraId="03BB531E"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4470679C" w14:textId="77777777" w:rsidR="00FF5163" w:rsidRPr="006D6727" w:rsidRDefault="00FF5163" w:rsidP="00B856BB">
            <w:pPr>
              <w:pStyle w:val="ECCTabletext"/>
              <w:jc w:val="left"/>
              <w:rPr>
                <w:noProof/>
              </w:rPr>
            </w:pPr>
            <w:r w:rsidRPr="006D6727">
              <w:rPr>
                <w:noProof/>
              </w:rPr>
              <w:t>98</w:t>
            </w:r>
            <w:r w:rsidR="00CF4994">
              <w:rPr>
                <w:noProof/>
              </w:rPr>
              <w:t>.4</w:t>
            </w:r>
          </w:p>
        </w:tc>
        <w:tc>
          <w:tcPr>
            <w:tcW w:w="0" w:type="dxa"/>
            <w:vAlign w:val="top"/>
          </w:tcPr>
          <w:p w14:paraId="2743B0FA" w14:textId="77777777" w:rsidR="00FF5163" w:rsidRPr="006D6727" w:rsidRDefault="00FF5163" w:rsidP="00B856BB">
            <w:pPr>
              <w:pStyle w:val="ECCTabletext"/>
              <w:jc w:val="left"/>
              <w:rPr>
                <w:noProof/>
              </w:rPr>
            </w:pPr>
            <w:r w:rsidRPr="006D6727">
              <w:rPr>
                <w:noProof/>
              </w:rPr>
              <w:t>-184</w:t>
            </w:r>
            <w:r w:rsidR="00CF4994">
              <w:rPr>
                <w:noProof/>
              </w:rPr>
              <w:t>.5</w:t>
            </w:r>
          </w:p>
        </w:tc>
      </w:tr>
      <w:tr w:rsidR="00FF5163" w:rsidRPr="006D6727" w14:paraId="6EFCD9D1" w14:textId="77777777" w:rsidTr="00C71382">
        <w:tc>
          <w:tcPr>
            <w:tcW w:w="0" w:type="dxa"/>
            <w:vAlign w:val="top"/>
          </w:tcPr>
          <w:p w14:paraId="0EF58101" w14:textId="77777777" w:rsidR="00FF5163" w:rsidRPr="006D6727" w:rsidRDefault="00FF5163" w:rsidP="00B856BB">
            <w:pPr>
              <w:pStyle w:val="ECCTabletext"/>
              <w:jc w:val="left"/>
              <w:rPr>
                <w:noProof/>
              </w:rPr>
            </w:pPr>
            <w:r w:rsidRPr="006D6727">
              <w:rPr>
                <w:noProof/>
              </w:rPr>
              <w:t>120</w:t>
            </w:r>
          </w:p>
        </w:tc>
        <w:tc>
          <w:tcPr>
            <w:tcW w:w="0" w:type="dxa"/>
            <w:vAlign w:val="top"/>
          </w:tcPr>
          <w:p w14:paraId="7B62BE54"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162C9AD9" w14:textId="77777777" w:rsidR="00FF5163" w:rsidRPr="006D6727" w:rsidRDefault="00FF5163" w:rsidP="00B856BB">
            <w:pPr>
              <w:pStyle w:val="ECCTabletext"/>
              <w:jc w:val="left"/>
              <w:rPr>
                <w:noProof/>
              </w:rPr>
            </w:pPr>
            <w:r w:rsidRPr="006D6727">
              <w:rPr>
                <w:noProof/>
              </w:rPr>
              <w:t>111</w:t>
            </w:r>
            <w:r w:rsidR="00CF4994">
              <w:rPr>
                <w:noProof/>
              </w:rPr>
              <w:t>.8</w:t>
            </w:r>
          </w:p>
        </w:tc>
        <w:tc>
          <w:tcPr>
            <w:tcW w:w="0" w:type="dxa"/>
            <w:vAlign w:val="top"/>
          </w:tcPr>
          <w:p w14:paraId="483D33E6" w14:textId="77777777" w:rsidR="00FF5163" w:rsidRPr="006D6727" w:rsidRDefault="00FF5163" w:rsidP="00B856BB">
            <w:pPr>
              <w:pStyle w:val="ECCTabletext"/>
              <w:jc w:val="left"/>
              <w:rPr>
                <w:noProof/>
              </w:rPr>
            </w:pPr>
            <w:r w:rsidRPr="006D6727">
              <w:rPr>
                <w:noProof/>
              </w:rPr>
              <w:t>-184</w:t>
            </w:r>
            <w:r w:rsidR="00CF4994">
              <w:rPr>
                <w:noProof/>
              </w:rPr>
              <w:t>.1</w:t>
            </w:r>
          </w:p>
        </w:tc>
      </w:tr>
      <w:tr w:rsidR="00FF5163" w:rsidRPr="006D6727" w14:paraId="572A27D3" w14:textId="77777777" w:rsidTr="00C71382">
        <w:tc>
          <w:tcPr>
            <w:tcW w:w="0" w:type="dxa"/>
            <w:vAlign w:val="top"/>
          </w:tcPr>
          <w:p w14:paraId="753D09E7" w14:textId="77777777" w:rsidR="00FF5163" w:rsidRPr="006D6727" w:rsidRDefault="00FF5163" w:rsidP="00B856BB">
            <w:pPr>
              <w:pStyle w:val="ECCTabletext"/>
              <w:jc w:val="left"/>
              <w:rPr>
                <w:noProof/>
              </w:rPr>
            </w:pPr>
            <w:r w:rsidRPr="006D6727">
              <w:rPr>
                <w:noProof/>
              </w:rPr>
              <w:t>130</w:t>
            </w:r>
          </w:p>
        </w:tc>
        <w:tc>
          <w:tcPr>
            <w:tcW w:w="0" w:type="dxa"/>
            <w:vAlign w:val="top"/>
          </w:tcPr>
          <w:p w14:paraId="41B1E12C"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6018315F" w14:textId="77777777" w:rsidR="00FF5163" w:rsidRPr="006D6727" w:rsidRDefault="00FF5163" w:rsidP="00B856BB">
            <w:pPr>
              <w:pStyle w:val="ECCTabletext"/>
              <w:jc w:val="left"/>
              <w:rPr>
                <w:noProof/>
              </w:rPr>
            </w:pPr>
            <w:r w:rsidRPr="006D6727">
              <w:rPr>
                <w:noProof/>
              </w:rPr>
              <w:t>12</w:t>
            </w:r>
            <w:r w:rsidR="00CF4994">
              <w:rPr>
                <w:noProof/>
              </w:rPr>
              <w:t>.5</w:t>
            </w:r>
          </w:p>
        </w:tc>
        <w:tc>
          <w:tcPr>
            <w:tcW w:w="0" w:type="dxa"/>
            <w:vAlign w:val="top"/>
          </w:tcPr>
          <w:p w14:paraId="1B2AE1EE" w14:textId="77777777" w:rsidR="00FF5163" w:rsidRPr="006D6727" w:rsidRDefault="00FF5163" w:rsidP="00B856BB">
            <w:pPr>
              <w:pStyle w:val="ECCTabletext"/>
              <w:jc w:val="left"/>
              <w:rPr>
                <w:noProof/>
              </w:rPr>
            </w:pPr>
            <w:r w:rsidRPr="006D6727">
              <w:rPr>
                <w:noProof/>
              </w:rPr>
              <w:t>-189</w:t>
            </w:r>
            <w:r w:rsidR="00CF4994">
              <w:rPr>
                <w:noProof/>
              </w:rPr>
              <w:t>.3</w:t>
            </w:r>
          </w:p>
        </w:tc>
      </w:tr>
      <w:tr w:rsidR="00FF5163" w:rsidRPr="006D6727" w14:paraId="5EF41919" w14:textId="77777777" w:rsidTr="00C71382">
        <w:tc>
          <w:tcPr>
            <w:tcW w:w="0" w:type="dxa"/>
            <w:vAlign w:val="top"/>
          </w:tcPr>
          <w:p w14:paraId="0746A49E" w14:textId="77777777" w:rsidR="00FF5163" w:rsidRPr="006D6727" w:rsidRDefault="00FF5163" w:rsidP="00B856BB">
            <w:pPr>
              <w:pStyle w:val="ECCTabletext"/>
              <w:jc w:val="left"/>
              <w:rPr>
                <w:noProof/>
              </w:rPr>
            </w:pPr>
            <w:r w:rsidRPr="006D6727">
              <w:rPr>
                <w:noProof/>
              </w:rPr>
              <w:t>140</w:t>
            </w:r>
          </w:p>
        </w:tc>
        <w:tc>
          <w:tcPr>
            <w:tcW w:w="0" w:type="dxa"/>
            <w:vAlign w:val="top"/>
          </w:tcPr>
          <w:p w14:paraId="3C260882"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1A21252B" w14:textId="77777777" w:rsidR="00FF5163" w:rsidRPr="006D6727" w:rsidRDefault="00FF5163" w:rsidP="00B856BB">
            <w:pPr>
              <w:pStyle w:val="ECCTabletext"/>
              <w:jc w:val="left"/>
              <w:rPr>
                <w:noProof/>
              </w:rPr>
            </w:pPr>
            <w:r w:rsidRPr="006D6727">
              <w:rPr>
                <w:noProof/>
              </w:rPr>
              <w:t>10</w:t>
            </w:r>
            <w:r w:rsidR="00CF4994">
              <w:rPr>
                <w:noProof/>
              </w:rPr>
              <w:t>.7</w:t>
            </w:r>
          </w:p>
        </w:tc>
        <w:tc>
          <w:tcPr>
            <w:tcW w:w="0" w:type="dxa"/>
            <w:vAlign w:val="top"/>
          </w:tcPr>
          <w:p w14:paraId="049B901B" w14:textId="77777777" w:rsidR="00FF5163" w:rsidRPr="006D6727" w:rsidRDefault="00FF5163" w:rsidP="00B856BB">
            <w:pPr>
              <w:pStyle w:val="ECCTabletext"/>
              <w:jc w:val="left"/>
              <w:rPr>
                <w:noProof/>
              </w:rPr>
            </w:pPr>
            <w:r w:rsidRPr="006D6727">
              <w:rPr>
                <w:noProof/>
              </w:rPr>
              <w:t>-189</w:t>
            </w:r>
            <w:r w:rsidR="00CF4994">
              <w:rPr>
                <w:noProof/>
              </w:rPr>
              <w:t>.5</w:t>
            </w:r>
          </w:p>
        </w:tc>
      </w:tr>
      <w:tr w:rsidR="00FF5163" w:rsidRPr="006D6727" w14:paraId="7979F454" w14:textId="77777777" w:rsidTr="00C71382">
        <w:tc>
          <w:tcPr>
            <w:tcW w:w="0" w:type="dxa"/>
            <w:vAlign w:val="top"/>
          </w:tcPr>
          <w:p w14:paraId="5573C440" w14:textId="77777777" w:rsidR="00FF5163" w:rsidRPr="006D6727" w:rsidRDefault="00FF5163" w:rsidP="00B856BB">
            <w:pPr>
              <w:pStyle w:val="ECCTabletext"/>
              <w:jc w:val="left"/>
              <w:rPr>
                <w:noProof/>
              </w:rPr>
            </w:pPr>
            <w:r w:rsidRPr="006D6727">
              <w:rPr>
                <w:noProof/>
              </w:rPr>
              <w:t>160</w:t>
            </w:r>
          </w:p>
        </w:tc>
        <w:tc>
          <w:tcPr>
            <w:tcW w:w="0" w:type="dxa"/>
            <w:vAlign w:val="top"/>
          </w:tcPr>
          <w:p w14:paraId="553CA1DE" w14:textId="77777777" w:rsidR="00FF5163" w:rsidRPr="006D6727" w:rsidRDefault="00FF5163" w:rsidP="00B856BB">
            <w:pPr>
              <w:pStyle w:val="ECCTabletext"/>
              <w:jc w:val="left"/>
              <w:rPr>
                <w:noProof/>
              </w:rPr>
            </w:pPr>
            <w:r w:rsidRPr="006D6727">
              <w:rPr>
                <w:noProof/>
              </w:rPr>
              <w:t>30</w:t>
            </w:r>
            <w:r w:rsidR="00CF4994">
              <w:rPr>
                <w:noProof/>
              </w:rPr>
              <w:t>.7</w:t>
            </w:r>
          </w:p>
        </w:tc>
        <w:tc>
          <w:tcPr>
            <w:tcW w:w="0" w:type="dxa"/>
            <w:vAlign w:val="top"/>
          </w:tcPr>
          <w:p w14:paraId="121A9A97" w14:textId="77777777" w:rsidR="00FF5163" w:rsidRPr="006D6727" w:rsidRDefault="00FF5163" w:rsidP="00B856BB">
            <w:pPr>
              <w:pStyle w:val="ECCTabletext"/>
              <w:jc w:val="left"/>
              <w:rPr>
                <w:noProof/>
              </w:rPr>
            </w:pPr>
            <w:r w:rsidRPr="006D6727">
              <w:rPr>
                <w:noProof/>
              </w:rPr>
              <w:t>13</w:t>
            </w:r>
            <w:r w:rsidR="00CF4994">
              <w:rPr>
                <w:noProof/>
              </w:rPr>
              <w:t>.9</w:t>
            </w:r>
          </w:p>
        </w:tc>
        <w:tc>
          <w:tcPr>
            <w:tcW w:w="0" w:type="dxa"/>
            <w:vAlign w:val="top"/>
          </w:tcPr>
          <w:p w14:paraId="21A95DA3" w14:textId="77777777" w:rsidR="00FF5163" w:rsidRPr="006D6727" w:rsidRDefault="00FF5163" w:rsidP="00B856BB">
            <w:pPr>
              <w:pStyle w:val="ECCTabletext"/>
              <w:jc w:val="left"/>
              <w:rPr>
                <w:noProof/>
              </w:rPr>
            </w:pPr>
            <w:r w:rsidRPr="006D6727">
              <w:rPr>
                <w:noProof/>
              </w:rPr>
              <w:t>-189</w:t>
            </w:r>
            <w:r w:rsidR="00CF4994">
              <w:rPr>
                <w:noProof/>
              </w:rPr>
              <w:t>.1</w:t>
            </w:r>
          </w:p>
        </w:tc>
      </w:tr>
      <w:tr w:rsidR="00FF5163" w:rsidRPr="006D6727" w14:paraId="4ADE6695" w14:textId="77777777" w:rsidTr="00C71382">
        <w:tc>
          <w:tcPr>
            <w:tcW w:w="0" w:type="dxa"/>
            <w:vAlign w:val="top"/>
          </w:tcPr>
          <w:p w14:paraId="569F2A9B" w14:textId="77777777" w:rsidR="00FF5163" w:rsidRPr="006D6727" w:rsidRDefault="00FF5163" w:rsidP="00B856BB">
            <w:pPr>
              <w:pStyle w:val="ECCTabletext"/>
              <w:jc w:val="left"/>
              <w:rPr>
                <w:noProof/>
              </w:rPr>
            </w:pPr>
            <w:r w:rsidRPr="006D6727">
              <w:rPr>
                <w:noProof/>
              </w:rPr>
              <w:t>185</w:t>
            </w:r>
          </w:p>
        </w:tc>
        <w:tc>
          <w:tcPr>
            <w:tcW w:w="0" w:type="dxa"/>
            <w:vAlign w:val="top"/>
          </w:tcPr>
          <w:p w14:paraId="33327252" w14:textId="77777777" w:rsidR="00FF5163" w:rsidRPr="006D6727" w:rsidRDefault="00FF5163" w:rsidP="00B856BB">
            <w:pPr>
              <w:pStyle w:val="ECCTabletext"/>
              <w:jc w:val="left"/>
              <w:rPr>
                <w:noProof/>
              </w:rPr>
            </w:pPr>
            <w:r w:rsidRPr="006D6727">
              <w:rPr>
                <w:noProof/>
              </w:rPr>
              <w:t>35</w:t>
            </w:r>
            <w:r w:rsidR="00CF4994">
              <w:rPr>
                <w:noProof/>
              </w:rPr>
              <w:t>.5</w:t>
            </w:r>
          </w:p>
        </w:tc>
        <w:tc>
          <w:tcPr>
            <w:tcW w:w="0" w:type="dxa"/>
            <w:vAlign w:val="top"/>
          </w:tcPr>
          <w:p w14:paraId="315890DA" w14:textId="77777777" w:rsidR="00FF5163" w:rsidRPr="006D6727" w:rsidRDefault="00FF5163" w:rsidP="00B856BB">
            <w:pPr>
              <w:pStyle w:val="ECCTabletext"/>
              <w:jc w:val="left"/>
              <w:rPr>
                <w:noProof/>
              </w:rPr>
            </w:pPr>
            <w:r w:rsidRPr="006D6727">
              <w:rPr>
                <w:noProof/>
              </w:rPr>
              <w:t>173</w:t>
            </w:r>
            <w:r w:rsidR="00CF4994">
              <w:rPr>
                <w:noProof/>
              </w:rPr>
              <w:t>.3</w:t>
            </w:r>
          </w:p>
        </w:tc>
        <w:tc>
          <w:tcPr>
            <w:tcW w:w="0" w:type="dxa"/>
            <w:vAlign w:val="top"/>
          </w:tcPr>
          <w:p w14:paraId="2DB9C59A" w14:textId="77777777" w:rsidR="00FF5163" w:rsidRPr="006D6727" w:rsidRDefault="00FF5163" w:rsidP="00B856BB">
            <w:pPr>
              <w:pStyle w:val="ECCTabletext"/>
              <w:jc w:val="left"/>
              <w:rPr>
                <w:noProof/>
              </w:rPr>
            </w:pPr>
            <w:r w:rsidRPr="006D6727">
              <w:rPr>
                <w:noProof/>
              </w:rPr>
              <w:t>-182</w:t>
            </w:r>
            <w:r w:rsidR="00CF4994">
              <w:rPr>
                <w:noProof/>
              </w:rPr>
              <w:t>.4</w:t>
            </w:r>
          </w:p>
        </w:tc>
      </w:tr>
      <w:tr w:rsidR="00FF5163" w:rsidRPr="006D6727" w14:paraId="6F0A864E" w14:textId="77777777" w:rsidTr="00C71382">
        <w:tc>
          <w:tcPr>
            <w:tcW w:w="0" w:type="dxa"/>
            <w:vAlign w:val="top"/>
          </w:tcPr>
          <w:p w14:paraId="51124077" w14:textId="77777777" w:rsidR="00FF5163" w:rsidRPr="006D6727" w:rsidRDefault="00FF5163" w:rsidP="00B856BB">
            <w:pPr>
              <w:pStyle w:val="ECCTabletext"/>
              <w:jc w:val="left"/>
              <w:rPr>
                <w:noProof/>
              </w:rPr>
            </w:pPr>
            <w:r w:rsidRPr="006D6727">
              <w:rPr>
                <w:noProof/>
              </w:rPr>
              <w:t>210</w:t>
            </w:r>
          </w:p>
        </w:tc>
        <w:tc>
          <w:tcPr>
            <w:tcW w:w="0" w:type="dxa"/>
            <w:vAlign w:val="top"/>
          </w:tcPr>
          <w:p w14:paraId="443FE302" w14:textId="77777777" w:rsidR="00FF5163" w:rsidRPr="006D6727" w:rsidRDefault="00FF5163" w:rsidP="00B856BB">
            <w:pPr>
              <w:pStyle w:val="ECCTabletext"/>
              <w:jc w:val="left"/>
              <w:rPr>
                <w:noProof/>
              </w:rPr>
            </w:pPr>
            <w:r w:rsidRPr="006D6727">
              <w:rPr>
                <w:noProof/>
              </w:rPr>
              <w:t>40</w:t>
            </w:r>
            <w:r w:rsidR="00CF4994">
              <w:rPr>
                <w:noProof/>
              </w:rPr>
              <w:t>.3</w:t>
            </w:r>
          </w:p>
        </w:tc>
        <w:tc>
          <w:tcPr>
            <w:tcW w:w="0" w:type="dxa"/>
            <w:vAlign w:val="top"/>
          </w:tcPr>
          <w:p w14:paraId="61F48C08" w14:textId="77777777" w:rsidR="00FF5163" w:rsidRPr="006D6727" w:rsidRDefault="00FF5163" w:rsidP="00B856BB">
            <w:pPr>
              <w:pStyle w:val="ECCTabletext"/>
              <w:jc w:val="left"/>
              <w:rPr>
                <w:noProof/>
              </w:rPr>
            </w:pPr>
            <w:r w:rsidRPr="006D6727">
              <w:rPr>
                <w:noProof/>
              </w:rPr>
              <w:t>20</w:t>
            </w:r>
            <w:r w:rsidR="00CF4994">
              <w:rPr>
                <w:noProof/>
              </w:rPr>
              <w:t>.3</w:t>
            </w:r>
          </w:p>
        </w:tc>
        <w:tc>
          <w:tcPr>
            <w:tcW w:w="0" w:type="dxa"/>
            <w:vAlign w:val="top"/>
          </w:tcPr>
          <w:p w14:paraId="7DACF39B" w14:textId="77777777" w:rsidR="00FF5163" w:rsidRPr="006D6727" w:rsidRDefault="00FF5163" w:rsidP="00B856BB">
            <w:pPr>
              <w:pStyle w:val="ECCTabletext"/>
              <w:jc w:val="left"/>
              <w:rPr>
                <w:noProof/>
              </w:rPr>
            </w:pPr>
            <w:r w:rsidRPr="006D6727">
              <w:rPr>
                <w:noProof/>
              </w:rPr>
              <w:t>-187</w:t>
            </w:r>
            <w:r w:rsidR="00CF4994">
              <w:rPr>
                <w:noProof/>
              </w:rPr>
              <w:t>.8</w:t>
            </w:r>
          </w:p>
        </w:tc>
      </w:tr>
      <w:tr w:rsidR="00FF5163" w:rsidRPr="006D6727" w14:paraId="522C0D26" w14:textId="77777777" w:rsidTr="00C71382">
        <w:tc>
          <w:tcPr>
            <w:tcW w:w="0" w:type="dxa"/>
            <w:vAlign w:val="top"/>
          </w:tcPr>
          <w:p w14:paraId="01CF4810" w14:textId="77777777" w:rsidR="00FF5163" w:rsidRPr="006D6727" w:rsidRDefault="00FF5163" w:rsidP="00B856BB">
            <w:pPr>
              <w:pStyle w:val="ECCTabletext"/>
              <w:jc w:val="left"/>
              <w:rPr>
                <w:noProof/>
              </w:rPr>
            </w:pPr>
            <w:r w:rsidRPr="006D6727">
              <w:rPr>
                <w:noProof/>
              </w:rPr>
              <w:t>260</w:t>
            </w:r>
          </w:p>
        </w:tc>
        <w:tc>
          <w:tcPr>
            <w:tcW w:w="0" w:type="dxa"/>
            <w:vAlign w:val="top"/>
          </w:tcPr>
          <w:p w14:paraId="080C4CAE" w14:textId="77777777" w:rsidR="00FF5163" w:rsidRPr="006D6727" w:rsidRDefault="00FF5163" w:rsidP="00B856BB">
            <w:pPr>
              <w:pStyle w:val="ECCTabletext"/>
              <w:jc w:val="left"/>
              <w:rPr>
                <w:noProof/>
              </w:rPr>
            </w:pPr>
            <w:r w:rsidRPr="006D6727">
              <w:rPr>
                <w:noProof/>
              </w:rPr>
              <w:t>49</w:t>
            </w:r>
            <w:r w:rsidR="00CF4994">
              <w:rPr>
                <w:noProof/>
              </w:rPr>
              <w:t>.9</w:t>
            </w:r>
          </w:p>
        </w:tc>
        <w:tc>
          <w:tcPr>
            <w:tcW w:w="0" w:type="dxa"/>
            <w:vAlign w:val="top"/>
          </w:tcPr>
          <w:p w14:paraId="5AE671E6" w14:textId="77777777" w:rsidR="00FF5163" w:rsidRPr="006D6727" w:rsidRDefault="00FF5163" w:rsidP="00B856BB">
            <w:pPr>
              <w:pStyle w:val="ECCTabletext"/>
              <w:jc w:val="left"/>
              <w:rPr>
                <w:noProof/>
              </w:rPr>
            </w:pPr>
            <w:r w:rsidRPr="006D6727">
              <w:rPr>
                <w:noProof/>
              </w:rPr>
              <w:t>25</w:t>
            </w:r>
            <w:r w:rsidR="00CF4994">
              <w:rPr>
                <w:noProof/>
              </w:rPr>
              <w:t>.9</w:t>
            </w:r>
          </w:p>
        </w:tc>
        <w:tc>
          <w:tcPr>
            <w:tcW w:w="0" w:type="dxa"/>
            <w:vAlign w:val="top"/>
          </w:tcPr>
          <w:p w14:paraId="55AC6859" w14:textId="77777777" w:rsidR="00FF5163" w:rsidRPr="006D6727" w:rsidRDefault="00FF5163" w:rsidP="00B856BB">
            <w:pPr>
              <w:pStyle w:val="ECCTabletext"/>
              <w:jc w:val="left"/>
              <w:rPr>
                <w:noProof/>
              </w:rPr>
            </w:pPr>
            <w:r w:rsidRPr="006D6727">
              <w:rPr>
                <w:noProof/>
              </w:rPr>
              <w:t>-186</w:t>
            </w:r>
            <w:r w:rsidR="00CF4994">
              <w:rPr>
                <w:noProof/>
              </w:rPr>
              <w:t>.8</w:t>
            </w:r>
          </w:p>
        </w:tc>
      </w:tr>
    </w:tbl>
    <w:p w14:paraId="7F015D71" w14:textId="77777777" w:rsidR="00EB79D9" w:rsidRPr="006D6727" w:rsidRDefault="00EB79D9" w:rsidP="00EB79D9">
      <w:pPr>
        <w:pStyle w:val="Heading3"/>
        <w:rPr>
          <w:noProof/>
          <w:lang w:val="en-GB"/>
        </w:rPr>
      </w:pPr>
      <w:bookmarkStart w:id="445" w:name="_Ref67052915"/>
      <w:bookmarkStart w:id="446" w:name="_Ref67053219"/>
      <w:bookmarkStart w:id="447" w:name="_Ref67053462"/>
      <w:bookmarkStart w:id="448" w:name="_Ref67053755"/>
      <w:bookmarkStart w:id="449" w:name="_Ref67055093"/>
      <w:bookmarkStart w:id="450" w:name="_Ref67056757"/>
      <w:bookmarkStart w:id="451" w:name="_Ref67057023"/>
      <w:bookmarkStart w:id="452" w:name="_Ref67057249"/>
      <w:bookmarkStart w:id="453" w:name="_Ref67057560"/>
      <w:bookmarkStart w:id="454" w:name="_Ref67057737"/>
      <w:bookmarkStart w:id="455" w:name="_Ref67058296"/>
      <w:bookmarkStart w:id="456" w:name="_Toc84325335"/>
      <w:bookmarkStart w:id="457" w:name="_Toc127346267"/>
      <w:r w:rsidRPr="006D6727">
        <w:rPr>
          <w:noProof/>
          <w:lang w:val="en-GB"/>
        </w:rPr>
        <w:t xml:space="preserve">Fixed </w:t>
      </w:r>
      <w:r w:rsidR="00BB0742">
        <w:t>S</w:t>
      </w:r>
      <w:r w:rsidRPr="006D6727">
        <w:rPr>
          <w:noProof/>
          <w:lang w:val="en-GB"/>
        </w:rPr>
        <w:t>ervice (FS)</w:t>
      </w:r>
      <w:bookmarkEnd w:id="445"/>
      <w:bookmarkEnd w:id="446"/>
      <w:bookmarkEnd w:id="447"/>
      <w:bookmarkEnd w:id="448"/>
      <w:bookmarkEnd w:id="449"/>
      <w:bookmarkEnd w:id="450"/>
      <w:bookmarkEnd w:id="451"/>
      <w:bookmarkEnd w:id="452"/>
      <w:bookmarkEnd w:id="453"/>
      <w:bookmarkEnd w:id="454"/>
      <w:bookmarkEnd w:id="455"/>
      <w:bookmarkEnd w:id="456"/>
      <w:bookmarkEnd w:id="457"/>
    </w:p>
    <w:p w14:paraId="726AB4CE" w14:textId="0F83545E" w:rsidR="00EB79D9" w:rsidRPr="006D6727" w:rsidRDefault="00EB79D9" w:rsidP="00EB79D9">
      <w:pPr>
        <w:rPr>
          <w:noProof/>
        </w:rPr>
      </w:pPr>
      <w:r w:rsidRPr="006D6727">
        <w:rPr>
          <w:noProof/>
        </w:rPr>
        <w:t>Fixed service (FS) systems are used in telecommunication networks in various situations e.g. for</w:t>
      </w:r>
      <w:r w:rsidR="00A221C4">
        <w:rPr>
          <w:noProof/>
        </w:rPr>
        <w:t>:</w:t>
      </w:r>
    </w:p>
    <w:p w14:paraId="02A72D50" w14:textId="7C6018C0" w:rsidR="00EB79D9" w:rsidRPr="006D6727" w:rsidRDefault="00EB79D9" w:rsidP="00EB79D9">
      <w:pPr>
        <w:pStyle w:val="ECCBulletsLv1"/>
        <w:rPr>
          <w:noProof/>
        </w:rPr>
      </w:pPr>
      <w:r w:rsidRPr="006D6727">
        <w:rPr>
          <w:noProof/>
        </w:rPr>
        <w:t>Transport networks (trunking, multi-hop, long-haul connections)</w:t>
      </w:r>
      <w:r w:rsidR="00A221C4">
        <w:rPr>
          <w:noProof/>
        </w:rPr>
        <w:t>;</w:t>
      </w:r>
    </w:p>
    <w:p w14:paraId="62820DE2" w14:textId="2A1262B9" w:rsidR="00EB79D9" w:rsidRPr="006D6727" w:rsidRDefault="00EB79D9" w:rsidP="00EB79D9">
      <w:pPr>
        <w:pStyle w:val="ECCBulletsLv1"/>
        <w:rPr>
          <w:noProof/>
        </w:rPr>
      </w:pPr>
      <w:r w:rsidRPr="006D6727">
        <w:rPr>
          <w:noProof/>
        </w:rPr>
        <w:t>Mobile backhaul networks</w:t>
      </w:r>
      <w:r w:rsidR="00A221C4">
        <w:rPr>
          <w:noProof/>
        </w:rPr>
        <w:t>;</w:t>
      </w:r>
      <w:r w:rsidRPr="006D6727">
        <w:rPr>
          <w:noProof/>
        </w:rPr>
        <w:t xml:space="preserve"> </w:t>
      </w:r>
    </w:p>
    <w:p w14:paraId="325B7D4F" w14:textId="262B94B9" w:rsidR="00EB79D9" w:rsidRPr="006D6727" w:rsidRDefault="00EB79D9" w:rsidP="00EB79D9">
      <w:pPr>
        <w:pStyle w:val="ECCBulletsLv1"/>
        <w:rPr>
          <w:noProof/>
        </w:rPr>
      </w:pPr>
      <w:r w:rsidRPr="006D6727">
        <w:rPr>
          <w:noProof/>
        </w:rPr>
        <w:t>Fixed wireless access (FWA) systems</w:t>
      </w:r>
      <w:r w:rsidR="00A221C4">
        <w:rPr>
          <w:noProof/>
        </w:rPr>
        <w:t>;</w:t>
      </w:r>
    </w:p>
    <w:p w14:paraId="7AE300E2" w14:textId="77777777" w:rsidR="00EB79D9" w:rsidRPr="006D6727" w:rsidRDefault="00EB79D9" w:rsidP="00EB79D9">
      <w:pPr>
        <w:pStyle w:val="ECCBulletsLv1"/>
        <w:rPr>
          <w:noProof/>
        </w:rPr>
      </w:pPr>
      <w:r w:rsidRPr="006D6727">
        <w:rPr>
          <w:noProof/>
        </w:rPr>
        <w:t>Temporary networks (e.g. for disaster relief or electronic news gathering).</w:t>
      </w:r>
    </w:p>
    <w:p w14:paraId="71A5DF5A" w14:textId="3EB2CE8A" w:rsidR="00EB79D9" w:rsidRPr="006D6727" w:rsidRDefault="00EB79D9" w:rsidP="00EB79D9">
      <w:pPr>
        <w:rPr>
          <w:rStyle w:val="ECCParagraph"/>
          <w:noProof/>
        </w:rPr>
      </w:pPr>
      <w:r w:rsidRPr="006D6727">
        <w:rPr>
          <w:rStyle w:val="ECCParagraph"/>
          <w:noProof/>
        </w:rPr>
        <w:t>Significant recent and ongoing increases in data traffic have led to the requirement for network services of being capable of supporting very high data rates. A consequence of these evolution has been an increased use of new higher frequency bands by FS for shorter distances since higher frequencies are associated with wider bandwidths, higher capacity and smaller antenna dimensions. Consequently, there is increasing interest in the 60</w:t>
      </w:r>
      <w:r w:rsidR="00275CFE" w:rsidRPr="006D6727">
        <w:rPr>
          <w:rStyle w:val="ECCParagraph"/>
          <w:noProof/>
        </w:rPr>
        <w:t> </w:t>
      </w:r>
      <w:r w:rsidRPr="006D6727">
        <w:rPr>
          <w:rStyle w:val="ECCParagraph"/>
          <w:noProof/>
        </w:rPr>
        <w:t>GHz (57-64</w:t>
      </w:r>
      <w:r w:rsidR="00C34C90" w:rsidRPr="006D6727">
        <w:rPr>
          <w:rStyle w:val="ECCParagraph"/>
          <w:noProof/>
        </w:rPr>
        <w:t> </w:t>
      </w:r>
      <w:r w:rsidRPr="006D6727">
        <w:rPr>
          <w:rStyle w:val="ECCParagraph"/>
          <w:noProof/>
        </w:rPr>
        <w:t>GHz) and the 70 to 80</w:t>
      </w:r>
      <w:r w:rsidR="00275CFE" w:rsidRPr="006D6727">
        <w:rPr>
          <w:rStyle w:val="ECCParagraph"/>
          <w:noProof/>
        </w:rPr>
        <w:t> </w:t>
      </w:r>
      <w:r w:rsidRPr="006D6727">
        <w:rPr>
          <w:rStyle w:val="ECCParagraph"/>
          <w:noProof/>
        </w:rPr>
        <w:t>GHz (71-76 GHz and 81-86</w:t>
      </w:r>
      <w:r w:rsidR="00C34C90" w:rsidRPr="006D6727">
        <w:rPr>
          <w:rStyle w:val="ECCParagraph"/>
          <w:noProof/>
        </w:rPr>
        <w:t> </w:t>
      </w:r>
      <w:r w:rsidRPr="006D6727">
        <w:rPr>
          <w:rStyle w:val="ECCParagraph"/>
          <w:noProof/>
        </w:rPr>
        <w:t xml:space="preserve">GHz) bands (see Report ITU-R F.2323-0 </w:t>
      </w:r>
      <w:r w:rsidRPr="006D6727">
        <w:rPr>
          <w:rStyle w:val="ECCParagraph"/>
          <w:noProof/>
        </w:rPr>
        <w:fldChar w:fldCharType="begin"/>
      </w:r>
      <w:r w:rsidRPr="006D6727">
        <w:rPr>
          <w:rStyle w:val="ECCParagraph"/>
          <w:noProof/>
        </w:rPr>
        <w:instrText xml:space="preserve"> REF  ITU_R_F_2323_0 \h \w  \* MERGEFORMAT </w:instrText>
      </w:r>
      <w:r w:rsidRPr="006D6727">
        <w:rPr>
          <w:rStyle w:val="ECCParagraph"/>
          <w:noProof/>
        </w:rPr>
      </w:r>
      <w:r w:rsidRPr="006D6727">
        <w:rPr>
          <w:rStyle w:val="ECCParagraph"/>
          <w:noProof/>
        </w:rPr>
        <w:fldChar w:fldCharType="separate"/>
      </w:r>
      <w:r w:rsidR="004F49F9">
        <w:rPr>
          <w:rStyle w:val="ECCParagraph"/>
          <w:noProof/>
        </w:rPr>
        <w:t>[15]</w:t>
      </w:r>
      <w:r w:rsidRPr="006D6727">
        <w:rPr>
          <w:rStyle w:val="ECCParagraph"/>
          <w:noProof/>
        </w:rPr>
        <w:fldChar w:fldCharType="end"/>
      </w:r>
      <w:r w:rsidRPr="006D6727">
        <w:rPr>
          <w:rStyle w:val="ECCParagraph"/>
          <w:noProof/>
        </w:rPr>
        <w:fldChar w:fldCharType="begin"/>
      </w:r>
      <w:r w:rsidRPr="006D6727">
        <w:rPr>
          <w:rStyle w:val="ECCParagraph"/>
          <w:noProof/>
        </w:rPr>
        <w:instrText xml:space="preserve"> REF ITU_R_RS_1861 \h  \* MERGEFORMAT </w:instrText>
      </w:r>
      <w:r w:rsidRPr="006D6727">
        <w:rPr>
          <w:rStyle w:val="ECCParagraph"/>
          <w:noProof/>
        </w:rPr>
      </w:r>
      <w:r w:rsidRPr="006D6727">
        <w:rPr>
          <w:rStyle w:val="ECCParagraph"/>
          <w:noProof/>
        </w:rPr>
        <w:fldChar w:fldCharType="end"/>
      </w:r>
      <w:r w:rsidRPr="006D6727">
        <w:rPr>
          <w:rStyle w:val="ECCParagraph"/>
          <w:noProof/>
        </w:rPr>
        <w:fldChar w:fldCharType="begin"/>
      </w:r>
      <w:r w:rsidRPr="006D6727">
        <w:rPr>
          <w:rStyle w:val="ECCParagraph"/>
          <w:noProof/>
        </w:rPr>
        <w:instrText xml:space="preserve"> REF  ITU_R_RS_1861 \h  \* MERGEFORMAT </w:instrText>
      </w:r>
      <w:r w:rsidRPr="006D6727">
        <w:rPr>
          <w:rStyle w:val="ECCParagraph"/>
          <w:noProof/>
        </w:rPr>
      </w:r>
      <w:r w:rsidRPr="006D6727">
        <w:rPr>
          <w:rStyle w:val="ECCParagraph"/>
          <w:noProof/>
        </w:rPr>
        <w:fldChar w:fldCharType="end"/>
      </w:r>
      <w:r w:rsidRPr="006D6727">
        <w:rPr>
          <w:rStyle w:val="ECCParagraph"/>
          <w:noProof/>
        </w:rPr>
        <w:fldChar w:fldCharType="begin"/>
      </w:r>
      <w:r w:rsidRPr="006D6727">
        <w:rPr>
          <w:rStyle w:val="ECCParagraph"/>
          <w:noProof/>
        </w:rPr>
        <w:instrText xml:space="preserve"> REF ITU_R_RS_1861 \h  \* MERGEFORMAT </w:instrText>
      </w:r>
      <w:r w:rsidRPr="006D6727">
        <w:rPr>
          <w:rStyle w:val="ECCParagraph"/>
          <w:noProof/>
        </w:rPr>
      </w:r>
      <w:r w:rsidRPr="006D6727">
        <w:rPr>
          <w:rStyle w:val="ECCParagraph"/>
          <w:noProof/>
        </w:rPr>
        <w:fldChar w:fldCharType="end"/>
      </w:r>
      <w:r w:rsidRPr="006D6727">
        <w:rPr>
          <w:rStyle w:val="ECCParagraph"/>
          <w:noProof/>
        </w:rPr>
        <w:t>). Even some applications operating in the frequency band above 275</w:t>
      </w:r>
      <w:r w:rsidR="00C34C90" w:rsidRPr="006D6727">
        <w:rPr>
          <w:rStyle w:val="ECCParagraph"/>
          <w:noProof/>
        </w:rPr>
        <w:t> </w:t>
      </w:r>
      <w:r w:rsidRPr="006D6727">
        <w:rPr>
          <w:rStyle w:val="ECCParagraph"/>
          <w:noProof/>
        </w:rPr>
        <w:t>GHz such as the point-to-point backhaul and fronthaul for mobile services are introduced and the ultra-high-speed data transmission between fixed stations become feasible.</w:t>
      </w:r>
    </w:p>
    <w:p w14:paraId="03766647" w14:textId="09B833C2" w:rsidR="00EB79D9" w:rsidRPr="006D6727" w:rsidRDefault="00EB79D9" w:rsidP="00EB79D9">
      <w:pPr>
        <w:rPr>
          <w:rStyle w:val="ECCParagraph"/>
          <w:noProof/>
        </w:rPr>
      </w:pPr>
      <w:r w:rsidRPr="006D6727">
        <w:rPr>
          <w:rStyle w:val="ECCParagraph"/>
          <w:noProof/>
        </w:rPr>
        <w:t>The technical parameters and protection criteria for Fixed Services (FS) in the frequency ranges from below 1 GHz up to the bands 71-76 GHz and 81-86 GHz can be found in Recommendation ITU-R F.758-</w:t>
      </w:r>
      <w:r w:rsidR="00E50E62" w:rsidRPr="006D6727">
        <w:rPr>
          <w:rStyle w:val="ECCParagraph"/>
          <w:noProof/>
        </w:rPr>
        <w:t>7</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ITU_R_F_758_6 \h \w  \* MERGEFORMAT </w:instrText>
      </w:r>
      <w:r w:rsidRPr="006D6727">
        <w:rPr>
          <w:rStyle w:val="ECCParagraph"/>
          <w:noProof/>
        </w:rPr>
      </w:r>
      <w:r w:rsidRPr="006D6727">
        <w:rPr>
          <w:rStyle w:val="ECCParagraph"/>
          <w:noProof/>
        </w:rPr>
        <w:fldChar w:fldCharType="separate"/>
      </w:r>
      <w:r w:rsidR="004F49F9">
        <w:rPr>
          <w:rStyle w:val="ECCParagraph"/>
          <w:noProof/>
        </w:rPr>
        <w:t>[10]</w:t>
      </w:r>
      <w:r w:rsidRPr="006D6727">
        <w:rPr>
          <w:rStyle w:val="ECCParagraph"/>
          <w:noProof/>
        </w:rPr>
        <w:fldChar w:fldCharType="end"/>
      </w:r>
      <w:r w:rsidRPr="006D6727">
        <w:rPr>
          <w:rStyle w:val="ECCParagraph"/>
          <w:noProof/>
        </w:rPr>
        <w:t xml:space="preserve">. For the higher frequency range from 275-450 GHz Report ITU-R F.2416-0 </w:t>
      </w:r>
      <w:r w:rsidRPr="006D6727">
        <w:rPr>
          <w:rStyle w:val="ECCParagraph"/>
          <w:noProof/>
        </w:rPr>
        <w:fldChar w:fldCharType="begin"/>
      </w:r>
      <w:r w:rsidRPr="006D6727">
        <w:rPr>
          <w:rStyle w:val="ECCParagraph"/>
          <w:noProof/>
        </w:rPr>
        <w:instrText xml:space="preserve"> REF  ITU_R_F_2416_0 \h \w  \* MERGEFORMAT </w:instrText>
      </w:r>
      <w:r w:rsidRPr="006D6727">
        <w:rPr>
          <w:rStyle w:val="ECCParagraph"/>
          <w:noProof/>
        </w:rPr>
      </w:r>
      <w:r w:rsidRPr="006D6727">
        <w:rPr>
          <w:rStyle w:val="ECCParagraph"/>
          <w:noProof/>
        </w:rPr>
        <w:fldChar w:fldCharType="separate"/>
      </w:r>
      <w:r w:rsidR="004F49F9">
        <w:rPr>
          <w:rStyle w:val="ECCParagraph"/>
          <w:noProof/>
        </w:rPr>
        <w:t>[11]</w:t>
      </w:r>
      <w:r w:rsidRPr="006D6727">
        <w:rPr>
          <w:rStyle w:val="ECCParagraph"/>
          <w:noProof/>
        </w:rPr>
        <w:fldChar w:fldCharType="end"/>
      </w:r>
      <w:r w:rsidRPr="006D6727">
        <w:rPr>
          <w:rStyle w:val="ECCParagraph"/>
          <w:noProof/>
        </w:rPr>
        <w:t xml:space="preserve"> may be consulted. </w:t>
      </w:r>
      <w:r w:rsidR="00310B9E">
        <w:rPr>
          <w:rStyle w:val="ECCParagraph"/>
          <w:noProof/>
        </w:rPr>
        <w:t>Information on</w:t>
      </w:r>
      <w:r w:rsidR="00C34C90" w:rsidRPr="006D6727">
        <w:rPr>
          <w:rStyle w:val="ECCParagraph"/>
          <w:noProof/>
        </w:rPr>
        <w:t xml:space="preserve"> the frequency range from 116 to 260 GHz</w:t>
      </w:r>
      <w:r w:rsidR="004E6233">
        <w:rPr>
          <w:rStyle w:val="ECCParagraph"/>
          <w:noProof/>
        </w:rPr>
        <w:t>,</w:t>
      </w:r>
      <w:r w:rsidR="00C34C90" w:rsidRPr="006D6727">
        <w:rPr>
          <w:rStyle w:val="ECCParagraph"/>
          <w:noProof/>
        </w:rPr>
        <w:t xml:space="preserve">  </w:t>
      </w:r>
      <w:r w:rsidR="00310B9E">
        <w:rPr>
          <w:rStyle w:val="ECCParagraph"/>
          <w:noProof/>
        </w:rPr>
        <w:t xml:space="preserve">is </w:t>
      </w:r>
      <w:r w:rsidR="006C3C89" w:rsidRPr="006D6727">
        <w:rPr>
          <w:rStyle w:val="ECCParagraph"/>
          <w:noProof/>
        </w:rPr>
        <w:t xml:space="preserve">in </w:t>
      </w:r>
      <w:r w:rsidR="009D5FA2">
        <w:rPr>
          <w:rStyle w:val="ECCParagraph"/>
          <w:noProof/>
        </w:rPr>
        <w:t>section</w:t>
      </w:r>
      <w:r w:rsidR="006C3C89" w:rsidRPr="006D6727">
        <w:rPr>
          <w:rStyle w:val="ECCParagraph"/>
          <w:noProof/>
        </w:rPr>
        <w:t xml:space="preserve">s </w:t>
      </w:r>
      <w:r w:rsidR="006A3782" w:rsidRPr="006D6727">
        <w:rPr>
          <w:rStyle w:val="ECCParagraph"/>
          <w:noProof/>
        </w:rPr>
        <w:fldChar w:fldCharType="begin"/>
      </w:r>
      <w:r w:rsidR="006A3782" w:rsidRPr="006D6727">
        <w:rPr>
          <w:rStyle w:val="ECCParagraph"/>
          <w:noProof/>
        </w:rPr>
        <w:instrText xml:space="preserve"> REF _Ref27660472 \r \h </w:instrText>
      </w:r>
      <w:r w:rsidR="006A3782" w:rsidRPr="006D6727">
        <w:rPr>
          <w:rStyle w:val="ECCParagraph"/>
          <w:noProof/>
        </w:rPr>
      </w:r>
      <w:r w:rsidR="006A3782" w:rsidRPr="006D6727">
        <w:rPr>
          <w:rStyle w:val="ECCParagraph"/>
          <w:noProof/>
        </w:rPr>
        <w:fldChar w:fldCharType="separate"/>
      </w:r>
      <w:r w:rsidR="004F49F9">
        <w:rPr>
          <w:rStyle w:val="ECCParagraph"/>
          <w:noProof/>
        </w:rPr>
        <w:t>3.5.3.1</w:t>
      </w:r>
      <w:r w:rsidR="006A3782" w:rsidRPr="006D6727">
        <w:rPr>
          <w:rStyle w:val="ECCParagraph"/>
          <w:noProof/>
        </w:rPr>
        <w:fldChar w:fldCharType="end"/>
      </w:r>
      <w:r w:rsidR="006C3C89" w:rsidRPr="006D6727">
        <w:rPr>
          <w:rStyle w:val="ECCParagraph"/>
          <w:noProof/>
        </w:rPr>
        <w:t xml:space="preserve"> and </w:t>
      </w:r>
      <w:r w:rsidR="00DF1C7B" w:rsidRPr="006D6727">
        <w:rPr>
          <w:rStyle w:val="ECCParagraph"/>
          <w:noProof/>
        </w:rPr>
        <w:fldChar w:fldCharType="begin"/>
      </w:r>
      <w:r w:rsidR="00DF1C7B" w:rsidRPr="006D6727">
        <w:rPr>
          <w:rStyle w:val="ECCParagraph"/>
          <w:noProof/>
        </w:rPr>
        <w:instrText xml:space="preserve"> REF _Ref27660684 \r \h </w:instrText>
      </w:r>
      <w:r w:rsidR="00DF1C7B" w:rsidRPr="006D6727">
        <w:rPr>
          <w:rStyle w:val="ECCParagraph"/>
          <w:noProof/>
        </w:rPr>
      </w:r>
      <w:r w:rsidR="00DF1C7B" w:rsidRPr="006D6727">
        <w:rPr>
          <w:rStyle w:val="ECCParagraph"/>
          <w:noProof/>
        </w:rPr>
        <w:fldChar w:fldCharType="separate"/>
      </w:r>
      <w:r w:rsidR="004F49F9">
        <w:rPr>
          <w:rStyle w:val="ECCParagraph"/>
          <w:noProof/>
        </w:rPr>
        <w:t>3.5.3.2</w:t>
      </w:r>
      <w:r w:rsidR="00DF1C7B" w:rsidRPr="006D6727">
        <w:rPr>
          <w:rStyle w:val="ECCParagraph"/>
          <w:noProof/>
        </w:rPr>
        <w:fldChar w:fldCharType="end"/>
      </w:r>
      <w:r w:rsidR="006C3C89" w:rsidRPr="006D6727">
        <w:rPr>
          <w:rStyle w:val="ECCParagraph"/>
          <w:noProof/>
        </w:rPr>
        <w:t xml:space="preserve"> </w:t>
      </w:r>
      <w:r w:rsidR="00C34C90" w:rsidRPr="006D6727">
        <w:rPr>
          <w:rStyle w:val="ECCParagraph"/>
          <w:noProof/>
        </w:rPr>
        <w:t>.</w:t>
      </w:r>
    </w:p>
    <w:p w14:paraId="703E5887" w14:textId="77777777" w:rsidR="00C34C90" w:rsidRPr="006D6727" w:rsidRDefault="00C34C90" w:rsidP="004E36C2">
      <w:pPr>
        <w:pStyle w:val="Heading4"/>
        <w:rPr>
          <w:rStyle w:val="ECCParagraph"/>
          <w:noProof/>
        </w:rPr>
      </w:pPr>
      <w:bookmarkStart w:id="458" w:name="_Ref27660472"/>
      <w:bookmarkStart w:id="459" w:name="_Toc84325336"/>
      <w:r w:rsidRPr="006D6727">
        <w:rPr>
          <w:rStyle w:val="ECCParagraph"/>
          <w:noProof/>
        </w:rPr>
        <w:t>Protection criteria</w:t>
      </w:r>
      <w:bookmarkEnd w:id="458"/>
      <w:bookmarkEnd w:id="459"/>
    </w:p>
    <w:p w14:paraId="22D72FBA" w14:textId="0D89206B" w:rsidR="006C3C89" w:rsidRPr="006D6727" w:rsidRDefault="006C3C89" w:rsidP="006C3C89">
      <w:pPr>
        <w:rPr>
          <w:noProof/>
        </w:rPr>
      </w:pPr>
      <w:r w:rsidRPr="006D6727">
        <w:rPr>
          <w:noProof/>
        </w:rPr>
        <w:t>In order to assess the impact of radiodetermination on the FS, it is proposed to adopt the following protection criteria:</w:t>
      </w:r>
    </w:p>
    <w:p w14:paraId="344EAFA3" w14:textId="2FAEA4E1" w:rsidR="006C3C89" w:rsidRPr="006D6727" w:rsidRDefault="006C3C89" w:rsidP="006C3C89">
      <w:pPr>
        <w:pStyle w:val="ECCBulletsLv1"/>
        <w:rPr>
          <w:noProof/>
        </w:rPr>
      </w:pPr>
      <w:r w:rsidRPr="006D6727">
        <w:rPr>
          <w:noProof/>
        </w:rPr>
        <w:t xml:space="preserve">A long-term protection criterion of I/N = -20 dB (see </w:t>
      </w:r>
      <w:r w:rsidR="00825F19">
        <w:rPr>
          <w:noProof/>
        </w:rPr>
        <w:t>Recommendation ITU-R</w:t>
      </w:r>
      <w:r w:rsidRPr="006D6727">
        <w:rPr>
          <w:noProof/>
        </w:rPr>
        <w:t xml:space="preserve"> F 758-</w:t>
      </w:r>
      <w:r w:rsidR="00E50E62" w:rsidRPr="006D6727">
        <w:rPr>
          <w:noProof/>
        </w:rPr>
        <w:t>7</w:t>
      </w:r>
      <w:r w:rsidR="00825F19">
        <w:rPr>
          <w:noProof/>
        </w:rPr>
        <w:t>,</w:t>
      </w:r>
      <w:r w:rsidR="00700E2B" w:rsidRPr="006D6727">
        <w:rPr>
          <w:rStyle w:val="ECCParagraph"/>
          <w:noProof/>
        </w:rPr>
        <w:t xml:space="preserve"> </w:t>
      </w:r>
      <w:r w:rsidR="00825F19">
        <w:rPr>
          <w:rStyle w:val="ECCParagraph"/>
          <w:noProof/>
        </w:rPr>
        <w:t>t</w:t>
      </w:r>
      <w:r w:rsidRPr="006D6727">
        <w:rPr>
          <w:noProof/>
        </w:rPr>
        <w:t>able 4) for not co primary services not to be exceeded for more than 20</w:t>
      </w:r>
      <w:r w:rsidR="00F800A2">
        <w:rPr>
          <w:noProof/>
        </w:rPr>
        <w:t>%</w:t>
      </w:r>
      <w:r w:rsidRPr="006D6727">
        <w:rPr>
          <w:noProof/>
        </w:rPr>
        <w:t xml:space="preserve"> of time.</w:t>
      </w:r>
    </w:p>
    <w:p w14:paraId="49B4DB7A" w14:textId="77777777" w:rsidR="00ED16F7" w:rsidRPr="006D6727" w:rsidRDefault="00ED16F7" w:rsidP="00ED16F7">
      <w:pPr>
        <w:pStyle w:val="ECCBulletsLv1"/>
        <w:rPr>
          <w:noProof/>
        </w:rPr>
      </w:pPr>
      <w:r w:rsidRPr="006D6727">
        <w:rPr>
          <w:noProof/>
        </w:rPr>
        <w:t>Beside the long-term criterion for all UWB applications an Ipeak/N &lt; +5 dB/50 MHz should be considered</w:t>
      </w:r>
      <w:r w:rsidRPr="006D6727">
        <w:rPr>
          <w:rStyle w:val="FootnoteReference"/>
          <w:noProof/>
        </w:rPr>
        <w:footnoteReference w:id="4"/>
      </w:r>
      <w:r w:rsidRPr="006D6727">
        <w:rPr>
          <w:noProof/>
        </w:rPr>
        <w:t>.</w:t>
      </w:r>
    </w:p>
    <w:p w14:paraId="3A54BA4D" w14:textId="1FC9504F" w:rsidR="00ED16F7" w:rsidRPr="006D6727" w:rsidRDefault="00667141" w:rsidP="00ED16F7">
      <w:pPr>
        <w:pStyle w:val="ECCBulletsLv1"/>
        <w:numPr>
          <w:ilvl w:val="0"/>
          <w:numId w:val="0"/>
        </w:numPr>
        <w:rPr>
          <w:noProof/>
        </w:rPr>
      </w:pPr>
      <w:r>
        <w:rPr>
          <w:noProof/>
        </w:rPr>
        <w:t>It is understood</w:t>
      </w:r>
      <w:r w:rsidR="00ED16F7" w:rsidRPr="006D6727">
        <w:rPr>
          <w:noProof/>
        </w:rPr>
        <w:t xml:space="preserve"> that radiodetermination devices are continuously emitting, therefore, the short</w:t>
      </w:r>
      <w:r w:rsidR="00A84261" w:rsidRPr="006D6727">
        <w:rPr>
          <w:noProof/>
        </w:rPr>
        <w:t>-</w:t>
      </w:r>
      <w:r w:rsidR="00ED16F7" w:rsidRPr="006D6727">
        <w:rPr>
          <w:noProof/>
        </w:rPr>
        <w:t xml:space="preserve">term criteria </w:t>
      </w:r>
      <w:r w:rsidR="00864380" w:rsidRPr="006D6727">
        <w:rPr>
          <w:noProof/>
        </w:rPr>
        <w:t>are</w:t>
      </w:r>
      <w:r w:rsidR="00ED16F7" w:rsidRPr="006D6727">
        <w:rPr>
          <w:noProof/>
        </w:rPr>
        <w:t xml:space="preserve"> not relevant.</w:t>
      </w:r>
    </w:p>
    <w:p w14:paraId="5F7BF3C9" w14:textId="77777777" w:rsidR="00A84261" w:rsidRPr="006D6727" w:rsidRDefault="00A84261" w:rsidP="004E36C2">
      <w:pPr>
        <w:pStyle w:val="Heading4"/>
        <w:rPr>
          <w:rStyle w:val="ECCParagraph"/>
          <w:noProof/>
        </w:rPr>
      </w:pPr>
      <w:bookmarkStart w:id="460" w:name="_Ref27660684"/>
      <w:bookmarkStart w:id="461" w:name="_Toc84325337"/>
      <w:r w:rsidRPr="006D6727">
        <w:rPr>
          <w:rStyle w:val="ECCParagraph"/>
          <w:noProof/>
        </w:rPr>
        <w:t>Fixed service parameters</w:t>
      </w:r>
      <w:bookmarkEnd w:id="460"/>
      <w:bookmarkEnd w:id="461"/>
    </w:p>
    <w:p w14:paraId="314461BA" w14:textId="77777777" w:rsidR="006556D8" w:rsidRPr="006D6727" w:rsidRDefault="006556D8" w:rsidP="006556D8">
      <w:pPr>
        <w:rPr>
          <w:noProof/>
        </w:rPr>
      </w:pPr>
      <w:r w:rsidRPr="006D6727">
        <w:rPr>
          <w:noProof/>
        </w:rPr>
        <w:t>SE19 considered the parameters that were provided by SE24 valid for the bands 71-76 GHz/81-86 GHz, reviewed the provided table and agreed that the following parameters should be taken into account for the studies</w:t>
      </w:r>
      <w:r w:rsidR="003E6A1F" w:rsidRPr="006D6727">
        <w:rPr>
          <w:noProof/>
        </w:rPr>
        <w:t>.</w:t>
      </w:r>
    </w:p>
    <w:p w14:paraId="2765F224" w14:textId="393C33E5" w:rsidR="00960A13" w:rsidRPr="006D6727" w:rsidRDefault="00960A13" w:rsidP="00960A13">
      <w:pPr>
        <w:pStyle w:val="Caption"/>
        <w:rPr>
          <w:noProof/>
          <w:lang w:val="en-GB"/>
        </w:rPr>
      </w:pPr>
      <w:bookmarkStart w:id="462" w:name="_Ref53582262"/>
      <w:r w:rsidRPr="006D6727">
        <w:rPr>
          <w:noProof/>
          <w:lang w:val="en-GB"/>
        </w:rPr>
        <w:t>Table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40</w:t>
      </w:r>
      <w:r w:rsidR="00616942" w:rsidRPr="006D6727">
        <w:rPr>
          <w:noProof/>
          <w:lang w:val="en-GB"/>
        </w:rPr>
        <w:fldChar w:fldCharType="end"/>
      </w:r>
      <w:bookmarkEnd w:id="462"/>
      <w:r w:rsidRPr="006D6727">
        <w:rPr>
          <w:noProof/>
          <w:lang w:val="en-GB"/>
        </w:rPr>
        <w:t>: FS parameters in the frequency range 71</w:t>
      </w:r>
      <w:r w:rsidRPr="006D6727">
        <w:rPr>
          <w:rFonts w:cs="Arial"/>
          <w:noProof/>
          <w:lang w:val="en-GB"/>
        </w:rPr>
        <w:t>−</w:t>
      </w:r>
      <w:r w:rsidRPr="006D6727">
        <w:rPr>
          <w:noProof/>
          <w:lang w:val="en-GB"/>
        </w:rPr>
        <w:t>260 GHz</w:t>
      </w:r>
    </w:p>
    <w:tbl>
      <w:tblPr>
        <w:tblStyle w:val="ECCTable-redheader"/>
        <w:tblW w:w="0" w:type="auto"/>
        <w:tblInd w:w="0" w:type="dxa"/>
        <w:tblLook w:val="0020" w:firstRow="1" w:lastRow="0" w:firstColumn="0" w:lastColumn="0" w:noHBand="0" w:noVBand="0"/>
      </w:tblPr>
      <w:tblGrid>
        <w:gridCol w:w="2689"/>
        <w:gridCol w:w="1134"/>
        <w:gridCol w:w="1275"/>
        <w:gridCol w:w="1134"/>
        <w:gridCol w:w="993"/>
        <w:gridCol w:w="2404"/>
      </w:tblGrid>
      <w:tr w:rsidR="00021945" w:rsidRPr="006D6727" w14:paraId="5B5A4A67" w14:textId="77777777" w:rsidTr="00021945">
        <w:trPr>
          <w:cnfStyle w:val="100000000000" w:firstRow="1" w:lastRow="0" w:firstColumn="0" w:lastColumn="0" w:oddVBand="0" w:evenVBand="0" w:oddHBand="0" w:evenHBand="0" w:firstRowFirstColumn="0" w:firstRowLastColumn="0" w:lastRowFirstColumn="0" w:lastRowLastColumn="0"/>
        </w:trPr>
        <w:tc>
          <w:tcPr>
            <w:tcW w:w="2689" w:type="dxa"/>
          </w:tcPr>
          <w:p w14:paraId="0D071331" w14:textId="77777777" w:rsidR="006556D8" w:rsidRPr="006D6727" w:rsidRDefault="006556D8" w:rsidP="00876039">
            <w:pPr>
              <w:pStyle w:val="ECCTableHeaderwhitefont"/>
              <w:rPr>
                <w:noProof/>
              </w:rPr>
            </w:pPr>
            <w:r w:rsidRPr="006D6727">
              <w:rPr>
                <w:noProof/>
              </w:rPr>
              <w:t>System parameter</w:t>
            </w:r>
          </w:p>
        </w:tc>
        <w:tc>
          <w:tcPr>
            <w:tcW w:w="1134" w:type="dxa"/>
          </w:tcPr>
          <w:p w14:paraId="0F9C02FB" w14:textId="162158DF" w:rsidR="00472B9F" w:rsidRDefault="006556D8" w:rsidP="00472B9F">
            <w:pPr>
              <w:pStyle w:val="ECCTableHeaderwhitefont"/>
              <w:spacing w:before="60" w:after="60"/>
              <w:rPr>
                <w:b w:val="0"/>
                <w:noProof/>
              </w:rPr>
            </w:pPr>
            <w:r w:rsidRPr="006D6727">
              <w:rPr>
                <w:noProof/>
              </w:rPr>
              <w:t>71-86</w:t>
            </w:r>
          </w:p>
          <w:p w14:paraId="622ABCB8" w14:textId="77777777" w:rsidR="00472B9F" w:rsidRDefault="006556D8" w:rsidP="00021945">
            <w:pPr>
              <w:pStyle w:val="ECCTableHeaderwhitefont"/>
              <w:spacing w:before="0" w:after="0"/>
              <w:rPr>
                <w:b w:val="0"/>
                <w:noProof/>
              </w:rPr>
            </w:pPr>
            <w:r w:rsidRPr="006D6727">
              <w:rPr>
                <w:noProof/>
              </w:rPr>
              <w:t xml:space="preserve">GHz </w:t>
            </w:r>
          </w:p>
          <w:p w14:paraId="6377F68C" w14:textId="300CA434" w:rsidR="006556D8" w:rsidRPr="006D6727" w:rsidRDefault="006556D8" w:rsidP="00472B9F">
            <w:pPr>
              <w:pStyle w:val="ECCTableHeaderwhitefont"/>
              <w:spacing w:before="60" w:after="60"/>
              <w:rPr>
                <w:noProof/>
              </w:rPr>
            </w:pPr>
            <w:r w:rsidRPr="006D6727">
              <w:rPr>
                <w:noProof/>
              </w:rPr>
              <w:t>(E</w:t>
            </w:r>
            <w:r w:rsidR="0088687C">
              <w:rPr>
                <w:noProof/>
              </w:rPr>
              <w:t>-</w:t>
            </w:r>
            <w:r w:rsidRPr="006D6727">
              <w:rPr>
                <w:noProof/>
              </w:rPr>
              <w:t>band)</w:t>
            </w:r>
          </w:p>
        </w:tc>
        <w:tc>
          <w:tcPr>
            <w:tcW w:w="1275" w:type="dxa"/>
          </w:tcPr>
          <w:p w14:paraId="336B2CB7" w14:textId="185B276D" w:rsidR="00472B9F" w:rsidRDefault="006556D8" w:rsidP="00472B9F">
            <w:pPr>
              <w:pStyle w:val="ECCTableHeaderwhitefont"/>
              <w:spacing w:before="60" w:after="60"/>
              <w:rPr>
                <w:b w:val="0"/>
                <w:noProof/>
              </w:rPr>
            </w:pPr>
            <w:r w:rsidRPr="006D6727">
              <w:rPr>
                <w:noProof/>
              </w:rPr>
              <w:t>92-114</w:t>
            </w:r>
            <w:r w:rsidR="00CF4994">
              <w:rPr>
                <w:noProof/>
              </w:rPr>
              <w:t>.2</w:t>
            </w:r>
            <w:r w:rsidRPr="006D6727">
              <w:rPr>
                <w:noProof/>
              </w:rPr>
              <w:t>5</w:t>
            </w:r>
          </w:p>
          <w:p w14:paraId="430594E3" w14:textId="77777777" w:rsidR="00472B9F" w:rsidRDefault="006556D8" w:rsidP="00021945">
            <w:pPr>
              <w:pStyle w:val="ECCTableHeaderwhitefont"/>
              <w:spacing w:before="0" w:after="0"/>
              <w:rPr>
                <w:b w:val="0"/>
                <w:noProof/>
              </w:rPr>
            </w:pPr>
            <w:r w:rsidRPr="006D6727">
              <w:rPr>
                <w:noProof/>
              </w:rPr>
              <w:t xml:space="preserve">GHz </w:t>
            </w:r>
          </w:p>
          <w:p w14:paraId="0C3A3819" w14:textId="70041AC1" w:rsidR="006556D8" w:rsidRPr="006D6727" w:rsidRDefault="006556D8" w:rsidP="00472B9F">
            <w:pPr>
              <w:pStyle w:val="ECCTableHeaderwhitefont"/>
              <w:spacing w:before="60" w:after="60"/>
              <w:rPr>
                <w:noProof/>
              </w:rPr>
            </w:pPr>
            <w:r w:rsidRPr="006D6727">
              <w:rPr>
                <w:noProof/>
              </w:rPr>
              <w:t>(W</w:t>
            </w:r>
            <w:r w:rsidR="0088687C">
              <w:rPr>
                <w:noProof/>
              </w:rPr>
              <w:t>-</w:t>
            </w:r>
            <w:r w:rsidRPr="006D6727">
              <w:rPr>
                <w:noProof/>
              </w:rPr>
              <w:t>band)</w:t>
            </w:r>
          </w:p>
        </w:tc>
        <w:tc>
          <w:tcPr>
            <w:tcW w:w="1134" w:type="dxa"/>
          </w:tcPr>
          <w:p w14:paraId="1FDAE34C" w14:textId="50957CAB" w:rsidR="00472B9F" w:rsidRDefault="006556D8" w:rsidP="00472B9F">
            <w:pPr>
              <w:pStyle w:val="ECCTableHeaderwhitefont"/>
              <w:spacing w:before="60" w:after="60"/>
              <w:rPr>
                <w:b w:val="0"/>
                <w:noProof/>
              </w:rPr>
            </w:pPr>
            <w:r w:rsidRPr="006D6727">
              <w:rPr>
                <w:noProof/>
              </w:rPr>
              <w:t>130-175</w:t>
            </w:r>
          </w:p>
          <w:p w14:paraId="01851E75" w14:textId="77777777" w:rsidR="00472B9F" w:rsidRDefault="006556D8" w:rsidP="00021945">
            <w:pPr>
              <w:pStyle w:val="ECCTableHeaderwhitefont"/>
              <w:spacing w:before="0" w:after="0"/>
              <w:rPr>
                <w:b w:val="0"/>
                <w:noProof/>
              </w:rPr>
            </w:pPr>
            <w:r w:rsidRPr="006D6727">
              <w:rPr>
                <w:noProof/>
              </w:rPr>
              <w:t xml:space="preserve">GHz </w:t>
            </w:r>
          </w:p>
          <w:p w14:paraId="3086C564" w14:textId="68836355" w:rsidR="006556D8" w:rsidRPr="006D6727" w:rsidRDefault="006556D8" w:rsidP="00472B9F">
            <w:pPr>
              <w:pStyle w:val="ECCTableHeaderwhitefont"/>
              <w:spacing w:before="60" w:after="60"/>
              <w:rPr>
                <w:noProof/>
              </w:rPr>
            </w:pPr>
            <w:r w:rsidRPr="006D6727">
              <w:rPr>
                <w:noProof/>
              </w:rPr>
              <w:t>(D</w:t>
            </w:r>
            <w:r w:rsidR="0088687C">
              <w:rPr>
                <w:noProof/>
              </w:rPr>
              <w:t>-</w:t>
            </w:r>
            <w:r w:rsidRPr="006D6727">
              <w:rPr>
                <w:noProof/>
              </w:rPr>
              <w:t>band)</w:t>
            </w:r>
          </w:p>
        </w:tc>
        <w:tc>
          <w:tcPr>
            <w:tcW w:w="993" w:type="dxa"/>
          </w:tcPr>
          <w:p w14:paraId="243222F9" w14:textId="7C042DDA" w:rsidR="00472B9F" w:rsidRDefault="006556D8" w:rsidP="00472B9F">
            <w:pPr>
              <w:pStyle w:val="ECCTableHeaderwhitefont"/>
              <w:spacing w:before="60" w:after="60"/>
              <w:rPr>
                <w:b w:val="0"/>
                <w:noProof/>
              </w:rPr>
            </w:pPr>
            <w:r w:rsidRPr="006D6727">
              <w:rPr>
                <w:noProof/>
              </w:rPr>
              <w:t>175-260</w:t>
            </w:r>
          </w:p>
          <w:p w14:paraId="3D4F4A8C" w14:textId="5F8248DD" w:rsidR="006556D8" w:rsidRPr="006D6727" w:rsidRDefault="006556D8" w:rsidP="00472B9F">
            <w:pPr>
              <w:pStyle w:val="ECCTableHeaderwhitefont"/>
              <w:spacing w:before="60" w:after="60"/>
              <w:rPr>
                <w:noProof/>
              </w:rPr>
            </w:pPr>
            <w:r w:rsidRPr="006D6727">
              <w:rPr>
                <w:noProof/>
              </w:rPr>
              <w:t>GHz</w:t>
            </w:r>
          </w:p>
        </w:tc>
        <w:tc>
          <w:tcPr>
            <w:tcW w:w="2404" w:type="dxa"/>
          </w:tcPr>
          <w:p w14:paraId="25EB9FB3" w14:textId="77777777" w:rsidR="006556D8" w:rsidRPr="006D6727" w:rsidRDefault="006556D8" w:rsidP="00472B9F">
            <w:pPr>
              <w:pStyle w:val="ECCTableHeaderwhitefont"/>
              <w:spacing w:before="60" w:after="60"/>
              <w:rPr>
                <w:noProof/>
              </w:rPr>
            </w:pPr>
            <w:r w:rsidRPr="006D6727">
              <w:rPr>
                <w:noProof/>
              </w:rPr>
              <w:t>References</w:t>
            </w:r>
          </w:p>
        </w:tc>
      </w:tr>
      <w:tr w:rsidR="00D064C5" w:rsidRPr="006D6727" w14:paraId="118988F5" w14:textId="77777777" w:rsidTr="00021945">
        <w:tc>
          <w:tcPr>
            <w:tcW w:w="2689" w:type="dxa"/>
          </w:tcPr>
          <w:p w14:paraId="31E529FC" w14:textId="77777777" w:rsidR="00D064C5" w:rsidRPr="006D6727" w:rsidRDefault="00D064C5" w:rsidP="00B856BB">
            <w:pPr>
              <w:pStyle w:val="ECCTabletext"/>
              <w:jc w:val="left"/>
              <w:rPr>
                <w:noProof/>
              </w:rPr>
            </w:pPr>
            <w:r w:rsidRPr="006D6727">
              <w:rPr>
                <w:noProof/>
              </w:rPr>
              <w:t>Receiver noise figure (dB)</w:t>
            </w:r>
          </w:p>
        </w:tc>
        <w:tc>
          <w:tcPr>
            <w:tcW w:w="1134" w:type="dxa"/>
          </w:tcPr>
          <w:p w14:paraId="3F8876D9" w14:textId="77777777" w:rsidR="00D064C5" w:rsidRPr="006D6727" w:rsidRDefault="00D064C5" w:rsidP="00B856BB">
            <w:pPr>
              <w:pStyle w:val="ECCTabletext"/>
              <w:jc w:val="left"/>
              <w:rPr>
                <w:noProof/>
              </w:rPr>
            </w:pPr>
            <w:r w:rsidRPr="006D6727">
              <w:rPr>
                <w:noProof/>
              </w:rPr>
              <w:t>10</w:t>
            </w:r>
          </w:p>
        </w:tc>
        <w:tc>
          <w:tcPr>
            <w:tcW w:w="1275" w:type="dxa"/>
          </w:tcPr>
          <w:p w14:paraId="7144358D" w14:textId="77777777" w:rsidR="00D064C5" w:rsidRPr="006D6727" w:rsidRDefault="00D064C5" w:rsidP="00B856BB">
            <w:pPr>
              <w:pStyle w:val="ECCTabletext"/>
              <w:jc w:val="left"/>
              <w:rPr>
                <w:noProof/>
              </w:rPr>
            </w:pPr>
            <w:r w:rsidRPr="006D6727">
              <w:rPr>
                <w:noProof/>
              </w:rPr>
              <w:t>12</w:t>
            </w:r>
          </w:p>
        </w:tc>
        <w:tc>
          <w:tcPr>
            <w:tcW w:w="1134" w:type="dxa"/>
          </w:tcPr>
          <w:p w14:paraId="60C75071" w14:textId="77777777" w:rsidR="00D064C5" w:rsidRPr="006D6727" w:rsidRDefault="00D064C5" w:rsidP="00B856BB">
            <w:pPr>
              <w:pStyle w:val="ECCTabletext"/>
              <w:jc w:val="left"/>
              <w:rPr>
                <w:noProof/>
              </w:rPr>
            </w:pPr>
            <w:r w:rsidRPr="006D6727">
              <w:rPr>
                <w:noProof/>
              </w:rPr>
              <w:t>14</w:t>
            </w:r>
          </w:p>
        </w:tc>
        <w:tc>
          <w:tcPr>
            <w:tcW w:w="993" w:type="dxa"/>
          </w:tcPr>
          <w:p w14:paraId="5965E062" w14:textId="77777777" w:rsidR="00D064C5" w:rsidRPr="006D6727" w:rsidRDefault="00D064C5" w:rsidP="00B856BB">
            <w:pPr>
              <w:pStyle w:val="ECCTabletext"/>
              <w:jc w:val="left"/>
              <w:rPr>
                <w:noProof/>
              </w:rPr>
            </w:pPr>
            <w:r w:rsidRPr="006D6727">
              <w:rPr>
                <w:noProof/>
              </w:rPr>
              <w:t>16</w:t>
            </w:r>
          </w:p>
        </w:tc>
        <w:tc>
          <w:tcPr>
            <w:tcW w:w="2404" w:type="dxa"/>
            <w:vMerge w:val="restart"/>
          </w:tcPr>
          <w:p w14:paraId="345DE792" w14:textId="091ABBF9" w:rsidR="00D064C5" w:rsidRPr="006D6727" w:rsidRDefault="00D064C5" w:rsidP="00C218D8">
            <w:pPr>
              <w:jc w:val="left"/>
              <w:rPr>
                <w:noProof/>
              </w:rPr>
            </w:pPr>
            <w:r w:rsidRPr="006D6727">
              <w:rPr>
                <w:noProof/>
              </w:rPr>
              <w:t>Extrapolated from Rec</w:t>
            </w:r>
            <w:r w:rsidR="00F953C4">
              <w:rPr>
                <w:noProof/>
              </w:rPr>
              <w:t>ommendation</w:t>
            </w:r>
            <w:r w:rsidRPr="006D6727">
              <w:rPr>
                <w:noProof/>
              </w:rPr>
              <w:t xml:space="preserve"> ITU-R F. 758</w:t>
            </w:r>
            <w:r w:rsidR="0015618F" w:rsidRPr="006D6727">
              <w:rPr>
                <w:noProof/>
              </w:rPr>
              <w:t>-</w:t>
            </w:r>
            <w:r w:rsidR="00E50E62" w:rsidRPr="006D6727">
              <w:rPr>
                <w:noProof/>
              </w:rPr>
              <w:t>7</w:t>
            </w:r>
            <w:r w:rsidRPr="006D6727">
              <w:rPr>
                <w:noProof/>
              </w:rPr>
              <w:t xml:space="preserve"> (for 80 GHz)</w:t>
            </w:r>
          </w:p>
        </w:tc>
      </w:tr>
      <w:tr w:rsidR="00D064C5" w:rsidRPr="006D6727" w14:paraId="13BAF3D8" w14:textId="77777777" w:rsidTr="00021945">
        <w:tc>
          <w:tcPr>
            <w:tcW w:w="2689" w:type="dxa"/>
          </w:tcPr>
          <w:p w14:paraId="6457EC54" w14:textId="77777777" w:rsidR="00D064C5" w:rsidRPr="006D6727" w:rsidRDefault="00D064C5" w:rsidP="00B856BB">
            <w:pPr>
              <w:pStyle w:val="ECCTabletext"/>
              <w:jc w:val="left"/>
              <w:rPr>
                <w:noProof/>
              </w:rPr>
            </w:pPr>
            <w:r w:rsidRPr="006D6727">
              <w:rPr>
                <w:noProof/>
              </w:rPr>
              <w:t>Receiver noise power density typical (dBW/MHz)</w:t>
            </w:r>
          </w:p>
        </w:tc>
        <w:tc>
          <w:tcPr>
            <w:tcW w:w="1134" w:type="dxa"/>
          </w:tcPr>
          <w:p w14:paraId="1C123DBE" w14:textId="77777777" w:rsidR="00D064C5" w:rsidRPr="006D6727" w:rsidRDefault="00D064C5" w:rsidP="00B856BB">
            <w:pPr>
              <w:pStyle w:val="ECCTabletext"/>
              <w:jc w:val="left"/>
              <w:rPr>
                <w:noProof/>
              </w:rPr>
            </w:pPr>
            <w:r w:rsidRPr="006D6727">
              <w:rPr>
                <w:noProof/>
              </w:rPr>
              <w:t>-134</w:t>
            </w:r>
          </w:p>
        </w:tc>
        <w:tc>
          <w:tcPr>
            <w:tcW w:w="1275" w:type="dxa"/>
          </w:tcPr>
          <w:p w14:paraId="02D752BB" w14:textId="77777777" w:rsidR="00D064C5" w:rsidRPr="006D6727" w:rsidRDefault="00D064C5" w:rsidP="00B856BB">
            <w:pPr>
              <w:pStyle w:val="ECCTabletext"/>
              <w:jc w:val="left"/>
              <w:rPr>
                <w:noProof/>
              </w:rPr>
            </w:pPr>
            <w:r w:rsidRPr="006D6727">
              <w:rPr>
                <w:noProof/>
              </w:rPr>
              <w:t>-132</w:t>
            </w:r>
          </w:p>
        </w:tc>
        <w:tc>
          <w:tcPr>
            <w:tcW w:w="1134" w:type="dxa"/>
          </w:tcPr>
          <w:p w14:paraId="198D85F6" w14:textId="77777777" w:rsidR="00D064C5" w:rsidRPr="006D6727" w:rsidRDefault="00D064C5" w:rsidP="00B856BB">
            <w:pPr>
              <w:pStyle w:val="ECCTabletext"/>
              <w:jc w:val="left"/>
              <w:rPr>
                <w:noProof/>
              </w:rPr>
            </w:pPr>
            <w:r w:rsidRPr="006D6727">
              <w:rPr>
                <w:noProof/>
              </w:rPr>
              <w:t>-130</w:t>
            </w:r>
          </w:p>
        </w:tc>
        <w:tc>
          <w:tcPr>
            <w:tcW w:w="993" w:type="dxa"/>
          </w:tcPr>
          <w:p w14:paraId="6558E06B" w14:textId="77777777" w:rsidR="00D064C5" w:rsidRPr="006D6727" w:rsidRDefault="00D064C5" w:rsidP="00B856BB">
            <w:pPr>
              <w:pStyle w:val="ECCTabletext"/>
              <w:jc w:val="left"/>
              <w:rPr>
                <w:noProof/>
              </w:rPr>
            </w:pPr>
            <w:r w:rsidRPr="006D6727">
              <w:rPr>
                <w:noProof/>
              </w:rPr>
              <w:t>-128</w:t>
            </w:r>
          </w:p>
        </w:tc>
        <w:tc>
          <w:tcPr>
            <w:tcW w:w="2404" w:type="dxa"/>
            <w:vMerge/>
          </w:tcPr>
          <w:p w14:paraId="1DA6669A" w14:textId="77777777" w:rsidR="00D064C5" w:rsidRPr="006D6727" w:rsidRDefault="00D064C5" w:rsidP="006556D8">
            <w:pPr>
              <w:pStyle w:val="ECCTabletext"/>
              <w:rPr>
                <w:noProof/>
              </w:rPr>
            </w:pPr>
          </w:p>
        </w:tc>
      </w:tr>
      <w:tr w:rsidR="00D064C5" w:rsidRPr="006D6727" w14:paraId="23AAB5BF" w14:textId="77777777" w:rsidTr="00472B9F">
        <w:tc>
          <w:tcPr>
            <w:tcW w:w="2689" w:type="dxa"/>
          </w:tcPr>
          <w:p w14:paraId="06296D67" w14:textId="77777777" w:rsidR="00D064C5" w:rsidRPr="006D6727" w:rsidRDefault="00D064C5" w:rsidP="00B856BB">
            <w:pPr>
              <w:pStyle w:val="ECCTabletext"/>
              <w:jc w:val="left"/>
              <w:rPr>
                <w:noProof/>
              </w:rPr>
            </w:pPr>
            <w:r w:rsidRPr="006D6727">
              <w:rPr>
                <w:noProof/>
              </w:rPr>
              <w:t>Channel bandwidth</w:t>
            </w:r>
          </w:p>
        </w:tc>
        <w:tc>
          <w:tcPr>
            <w:tcW w:w="4536" w:type="dxa"/>
            <w:gridSpan w:val="4"/>
          </w:tcPr>
          <w:p w14:paraId="7E56CA47" w14:textId="77777777" w:rsidR="00D064C5" w:rsidRPr="006D6727" w:rsidRDefault="00D064C5" w:rsidP="00B856BB">
            <w:pPr>
              <w:pStyle w:val="ECCTabletext"/>
              <w:jc w:val="left"/>
              <w:rPr>
                <w:noProof/>
              </w:rPr>
            </w:pPr>
            <w:r w:rsidRPr="006D6727">
              <w:rPr>
                <w:noProof/>
              </w:rPr>
              <w:t>Nx250 MHz up to 5 GHz</w:t>
            </w:r>
          </w:p>
          <w:p w14:paraId="629AF908" w14:textId="77777777" w:rsidR="00D064C5" w:rsidRPr="006D6727" w:rsidRDefault="00D064C5" w:rsidP="00B856BB">
            <w:pPr>
              <w:pStyle w:val="ECCTabletext"/>
              <w:jc w:val="left"/>
              <w:rPr>
                <w:noProof/>
              </w:rPr>
            </w:pPr>
            <w:r w:rsidRPr="006D6727">
              <w:rPr>
                <w:noProof/>
              </w:rPr>
              <w:t>(noting that current regulation does not set any upper limit for BW)</w:t>
            </w:r>
          </w:p>
        </w:tc>
        <w:tc>
          <w:tcPr>
            <w:tcW w:w="2404" w:type="dxa"/>
            <w:vAlign w:val="top"/>
          </w:tcPr>
          <w:p w14:paraId="6E508FD4" w14:textId="71C1C192" w:rsidR="00D064C5" w:rsidRPr="006D6727" w:rsidRDefault="00D064C5" w:rsidP="00B856BB">
            <w:pPr>
              <w:pStyle w:val="ECCTabletext"/>
              <w:jc w:val="left"/>
              <w:rPr>
                <w:noProof/>
              </w:rPr>
            </w:pPr>
            <w:r w:rsidRPr="006D6727">
              <w:rPr>
                <w:noProof/>
              </w:rPr>
              <w:t xml:space="preserve">Extrapolated from ECC </w:t>
            </w:r>
            <w:r w:rsidR="00F953C4">
              <w:rPr>
                <w:noProof/>
              </w:rPr>
              <w:t>Recommendation</w:t>
            </w:r>
            <w:r w:rsidRPr="006D6727">
              <w:rPr>
                <w:rStyle w:val="ECCParagraph"/>
                <w:noProof/>
              </w:rPr>
              <w:t xml:space="preserve"> (18)01 </w:t>
            </w:r>
            <w:r w:rsidR="005544E4">
              <w:rPr>
                <w:rStyle w:val="ECCParagraph"/>
                <w:noProof/>
              </w:rPr>
              <w:fldChar w:fldCharType="begin"/>
            </w:r>
            <w:r w:rsidR="005544E4">
              <w:rPr>
                <w:rStyle w:val="ECCParagraph"/>
                <w:noProof/>
              </w:rPr>
              <w:instrText xml:space="preserve"> REF _Ref88126535 \r \h </w:instrText>
            </w:r>
            <w:r w:rsidR="005544E4">
              <w:rPr>
                <w:rStyle w:val="ECCParagraph"/>
                <w:noProof/>
              </w:rPr>
            </w:r>
            <w:r w:rsidR="005544E4">
              <w:rPr>
                <w:rStyle w:val="ECCParagraph"/>
                <w:noProof/>
              </w:rPr>
              <w:fldChar w:fldCharType="separate"/>
            </w:r>
            <w:r w:rsidR="004F49F9">
              <w:rPr>
                <w:rStyle w:val="ECCParagraph"/>
                <w:noProof/>
              </w:rPr>
              <w:t>[22]</w:t>
            </w:r>
            <w:r w:rsidR="005544E4">
              <w:rPr>
                <w:rStyle w:val="ECCParagraph"/>
                <w:noProof/>
              </w:rPr>
              <w:fldChar w:fldCharType="end"/>
            </w:r>
            <w:r w:rsidR="005544E4">
              <w:rPr>
                <w:rStyle w:val="ECCParagraph"/>
                <w:noProof/>
              </w:rPr>
              <w:t xml:space="preserve"> </w:t>
            </w:r>
            <w:r w:rsidRPr="006D6727">
              <w:rPr>
                <w:rStyle w:val="ECCParagraph"/>
                <w:noProof/>
              </w:rPr>
              <w:t xml:space="preserve">and ECC </w:t>
            </w:r>
            <w:r w:rsidR="00F953C4">
              <w:rPr>
                <w:noProof/>
              </w:rPr>
              <w:t>Recommendation</w:t>
            </w:r>
            <w:r w:rsidRPr="006D6727">
              <w:rPr>
                <w:rStyle w:val="ECCParagraph"/>
                <w:noProof/>
              </w:rPr>
              <w:t xml:space="preserve"> (18)02</w:t>
            </w:r>
            <w:r w:rsidR="005544E4">
              <w:rPr>
                <w:rStyle w:val="ECCParagraph"/>
                <w:noProof/>
              </w:rPr>
              <w:t xml:space="preserve"> </w:t>
            </w:r>
            <w:r w:rsidR="005544E4">
              <w:rPr>
                <w:rStyle w:val="ECCParagraph"/>
              </w:rPr>
              <w:fldChar w:fldCharType="begin"/>
            </w:r>
            <w:r w:rsidR="005544E4">
              <w:rPr>
                <w:rStyle w:val="ECCParagraph"/>
              </w:rPr>
              <w:instrText xml:space="preserve"> REF  ECCRec_18_02 \h \w  \* MERGEFORMAT </w:instrText>
            </w:r>
            <w:r w:rsidR="005544E4">
              <w:rPr>
                <w:rStyle w:val="ECCParagraph"/>
              </w:rPr>
            </w:r>
            <w:r w:rsidR="005544E4">
              <w:rPr>
                <w:rStyle w:val="ECCParagraph"/>
              </w:rPr>
              <w:fldChar w:fldCharType="separate"/>
            </w:r>
            <w:r w:rsidR="004F49F9">
              <w:rPr>
                <w:rStyle w:val="ECCParagraph"/>
              </w:rPr>
              <w:t>[46]</w:t>
            </w:r>
            <w:r w:rsidR="005544E4">
              <w:rPr>
                <w:rStyle w:val="ECCParagraph"/>
              </w:rPr>
              <w:fldChar w:fldCharType="end"/>
            </w:r>
          </w:p>
        </w:tc>
      </w:tr>
      <w:tr w:rsidR="00D064C5" w:rsidRPr="006D6727" w14:paraId="7DB019A4" w14:textId="77777777" w:rsidTr="00472B9F">
        <w:tc>
          <w:tcPr>
            <w:tcW w:w="2689" w:type="dxa"/>
          </w:tcPr>
          <w:p w14:paraId="670B326E" w14:textId="77777777" w:rsidR="00D064C5" w:rsidRPr="006D6727" w:rsidRDefault="00D064C5" w:rsidP="00B856BB">
            <w:pPr>
              <w:pStyle w:val="ECCTabletext"/>
              <w:jc w:val="left"/>
              <w:rPr>
                <w:noProof/>
              </w:rPr>
            </w:pPr>
            <w:r w:rsidRPr="006D6727">
              <w:rPr>
                <w:noProof/>
              </w:rPr>
              <w:t>Antenna losses (dB)</w:t>
            </w:r>
          </w:p>
        </w:tc>
        <w:tc>
          <w:tcPr>
            <w:tcW w:w="4536" w:type="dxa"/>
            <w:gridSpan w:val="4"/>
          </w:tcPr>
          <w:p w14:paraId="339AA231" w14:textId="77777777" w:rsidR="00D064C5" w:rsidRPr="006D6727" w:rsidRDefault="00D064C5" w:rsidP="00B856BB">
            <w:pPr>
              <w:pStyle w:val="ECCTabletext"/>
              <w:jc w:val="left"/>
              <w:rPr>
                <w:noProof/>
              </w:rPr>
            </w:pPr>
            <w:r w:rsidRPr="006D6727">
              <w:rPr>
                <w:noProof/>
              </w:rPr>
              <w:t>0−3</w:t>
            </w:r>
          </w:p>
        </w:tc>
        <w:tc>
          <w:tcPr>
            <w:tcW w:w="2404" w:type="dxa"/>
            <w:vMerge w:val="restart"/>
          </w:tcPr>
          <w:p w14:paraId="4E4D11C9" w14:textId="77777777" w:rsidR="00D064C5" w:rsidRPr="006D6727" w:rsidRDefault="00D064C5" w:rsidP="00B856BB">
            <w:pPr>
              <w:pStyle w:val="ECCTabletext"/>
              <w:jc w:val="left"/>
              <w:rPr>
                <w:noProof/>
              </w:rPr>
            </w:pPr>
            <w:r w:rsidRPr="006D6727">
              <w:rPr>
                <w:noProof/>
              </w:rPr>
              <w:t>Extrapolated from Report ITU</w:t>
            </w:r>
            <w:r w:rsidRPr="006D6727">
              <w:rPr>
                <w:noProof/>
              </w:rPr>
              <w:noBreakHyphen/>
              <w:t>R F.2416</w:t>
            </w:r>
          </w:p>
        </w:tc>
      </w:tr>
      <w:tr w:rsidR="00D064C5" w:rsidRPr="006D6727" w14:paraId="1BBC040E" w14:textId="77777777" w:rsidTr="00472B9F">
        <w:tc>
          <w:tcPr>
            <w:tcW w:w="2689" w:type="dxa"/>
          </w:tcPr>
          <w:p w14:paraId="67D4AFAC" w14:textId="77777777" w:rsidR="00D064C5" w:rsidRPr="006D6727" w:rsidRDefault="00D064C5" w:rsidP="00B856BB">
            <w:pPr>
              <w:pStyle w:val="ECCTabletext"/>
              <w:jc w:val="left"/>
              <w:rPr>
                <w:noProof/>
              </w:rPr>
            </w:pPr>
            <w:r w:rsidRPr="006D6727">
              <w:rPr>
                <w:noProof/>
              </w:rPr>
              <w:t>Antenna gain (dBi)</w:t>
            </w:r>
          </w:p>
        </w:tc>
        <w:tc>
          <w:tcPr>
            <w:tcW w:w="4536" w:type="dxa"/>
            <w:gridSpan w:val="4"/>
          </w:tcPr>
          <w:p w14:paraId="65644681" w14:textId="77777777" w:rsidR="00D064C5" w:rsidRPr="006D6727" w:rsidRDefault="00D064C5" w:rsidP="00B856BB">
            <w:pPr>
              <w:pStyle w:val="ECCTabletext"/>
              <w:jc w:val="left"/>
              <w:rPr>
                <w:noProof/>
              </w:rPr>
            </w:pPr>
            <w:r w:rsidRPr="006D6727">
              <w:rPr>
                <w:noProof/>
              </w:rPr>
              <w:t>24−50</w:t>
            </w:r>
          </w:p>
        </w:tc>
        <w:tc>
          <w:tcPr>
            <w:tcW w:w="2404" w:type="dxa"/>
            <w:vMerge/>
          </w:tcPr>
          <w:p w14:paraId="52F1A7B7" w14:textId="77777777" w:rsidR="00D064C5" w:rsidRPr="006D6727" w:rsidRDefault="00D064C5" w:rsidP="00D064C5">
            <w:pPr>
              <w:pStyle w:val="ECCTabletext"/>
              <w:rPr>
                <w:noProof/>
              </w:rPr>
            </w:pPr>
          </w:p>
        </w:tc>
      </w:tr>
      <w:tr w:rsidR="00D064C5" w:rsidRPr="006D6727" w14:paraId="5F2EA2E4" w14:textId="77777777" w:rsidTr="00472B9F">
        <w:tc>
          <w:tcPr>
            <w:tcW w:w="2689" w:type="dxa"/>
          </w:tcPr>
          <w:p w14:paraId="16F44822" w14:textId="77777777" w:rsidR="00D064C5" w:rsidRPr="006D6727" w:rsidRDefault="00D064C5" w:rsidP="00B856BB">
            <w:pPr>
              <w:pStyle w:val="ECCTabletext"/>
              <w:jc w:val="left"/>
              <w:rPr>
                <w:noProof/>
              </w:rPr>
            </w:pPr>
            <w:r w:rsidRPr="006D6727">
              <w:rPr>
                <w:noProof/>
              </w:rPr>
              <w:t>Antenna class</w:t>
            </w:r>
          </w:p>
        </w:tc>
        <w:tc>
          <w:tcPr>
            <w:tcW w:w="4536" w:type="dxa"/>
            <w:gridSpan w:val="4"/>
          </w:tcPr>
          <w:p w14:paraId="347FF8EC" w14:textId="77777777" w:rsidR="00D064C5" w:rsidRPr="006D6727" w:rsidRDefault="00D064C5" w:rsidP="00B856BB">
            <w:pPr>
              <w:pStyle w:val="ECCTabletext"/>
              <w:jc w:val="left"/>
              <w:rPr>
                <w:noProof/>
              </w:rPr>
            </w:pPr>
            <w:r w:rsidRPr="006D6727">
              <w:rPr>
                <w:noProof/>
              </w:rPr>
              <w:t>2/3</w:t>
            </w:r>
          </w:p>
        </w:tc>
        <w:tc>
          <w:tcPr>
            <w:tcW w:w="2404" w:type="dxa"/>
          </w:tcPr>
          <w:p w14:paraId="2C7D54E5" w14:textId="7C614953" w:rsidR="00D064C5" w:rsidRPr="006D6727" w:rsidRDefault="002117E8" w:rsidP="00B856BB">
            <w:pPr>
              <w:pStyle w:val="ECCTabletext"/>
              <w:jc w:val="left"/>
              <w:rPr>
                <w:noProof/>
              </w:rPr>
            </w:pPr>
            <w:r w:rsidRPr="006D6727">
              <w:rPr>
                <w:noProof/>
              </w:rPr>
              <w:t>Extrapolated from the 80</w:t>
            </w:r>
            <w:r w:rsidR="00437A1A" w:rsidRPr="006D6727">
              <w:rPr>
                <w:noProof/>
              </w:rPr>
              <w:t> </w:t>
            </w:r>
            <w:r w:rsidRPr="006D6727">
              <w:rPr>
                <w:noProof/>
              </w:rPr>
              <w:t xml:space="preserve">GHz band in </w:t>
            </w:r>
            <w:r w:rsidRPr="006D6727">
              <w:rPr>
                <w:rStyle w:val="ECCParagraph"/>
                <w:noProof/>
              </w:rPr>
              <w:t>ETSI</w:t>
            </w:r>
            <w:r w:rsidR="0015618F" w:rsidRPr="006D6727">
              <w:rPr>
                <w:rStyle w:val="ECCParagraph"/>
                <w:noProof/>
              </w:rPr>
              <w:t xml:space="preserve"> </w:t>
            </w:r>
            <w:r w:rsidRPr="006D6727">
              <w:rPr>
                <w:rStyle w:val="ECCParagraph"/>
                <w:noProof/>
              </w:rPr>
              <w:t>EN</w:t>
            </w:r>
            <w:r w:rsidR="0015618F" w:rsidRPr="006D6727">
              <w:rPr>
                <w:rStyle w:val="ECCParagraph"/>
                <w:noProof/>
              </w:rPr>
              <w:t xml:space="preserve"> </w:t>
            </w:r>
            <w:r w:rsidRPr="006D6727">
              <w:rPr>
                <w:rStyle w:val="ECCParagraph"/>
                <w:noProof/>
              </w:rPr>
              <w:t>302 217-4</w:t>
            </w:r>
            <w:r w:rsidR="0015618F" w:rsidRPr="006D6727">
              <w:rPr>
                <w:rStyle w:val="ECCParagraph"/>
                <w:noProof/>
              </w:rPr>
              <w:t xml:space="preserve"> </w:t>
            </w:r>
            <w:r w:rsidR="005B2CDE" w:rsidRPr="006D6727">
              <w:rPr>
                <w:rStyle w:val="ECCParagraph"/>
                <w:noProof/>
              </w:rPr>
              <w:fldChar w:fldCharType="begin"/>
            </w:r>
            <w:r w:rsidR="005B2CDE" w:rsidRPr="006D6727">
              <w:rPr>
                <w:rStyle w:val="ECCParagraph"/>
                <w:noProof/>
              </w:rPr>
              <w:instrText xml:space="preserve"> REF  ETSIEN302217 \h \w  \* MERGEFORMAT </w:instrText>
            </w:r>
            <w:r w:rsidR="005B2CDE" w:rsidRPr="006D6727">
              <w:rPr>
                <w:rStyle w:val="ECCParagraph"/>
                <w:noProof/>
              </w:rPr>
            </w:r>
            <w:r w:rsidR="005B2CDE" w:rsidRPr="006D6727">
              <w:rPr>
                <w:rStyle w:val="ECCParagraph"/>
                <w:noProof/>
              </w:rPr>
              <w:fldChar w:fldCharType="separate"/>
            </w:r>
            <w:r w:rsidR="004F49F9">
              <w:rPr>
                <w:rStyle w:val="ECCParagraph"/>
                <w:noProof/>
              </w:rPr>
              <w:t>[49]</w:t>
            </w:r>
            <w:r w:rsidR="005B2CDE" w:rsidRPr="006D6727">
              <w:rPr>
                <w:rStyle w:val="ECCParagraph"/>
                <w:noProof/>
              </w:rPr>
              <w:fldChar w:fldCharType="end"/>
            </w:r>
          </w:p>
        </w:tc>
      </w:tr>
      <w:tr w:rsidR="002117E8" w:rsidRPr="006D6727" w14:paraId="1115229B" w14:textId="77777777" w:rsidTr="00472B9F">
        <w:tc>
          <w:tcPr>
            <w:tcW w:w="2689" w:type="dxa"/>
          </w:tcPr>
          <w:p w14:paraId="1B2BEC88" w14:textId="77777777" w:rsidR="002117E8" w:rsidRPr="006D6727" w:rsidRDefault="002117E8" w:rsidP="00B856BB">
            <w:pPr>
              <w:pStyle w:val="ECCTabletext"/>
              <w:jc w:val="left"/>
              <w:rPr>
                <w:noProof/>
              </w:rPr>
            </w:pPr>
            <w:r w:rsidRPr="006D6727">
              <w:rPr>
                <w:noProof/>
              </w:rPr>
              <w:t>Antenna height (m)</w:t>
            </w:r>
          </w:p>
        </w:tc>
        <w:tc>
          <w:tcPr>
            <w:tcW w:w="4536" w:type="dxa"/>
            <w:gridSpan w:val="4"/>
          </w:tcPr>
          <w:p w14:paraId="7F1DDFDD" w14:textId="77777777" w:rsidR="002117E8" w:rsidRPr="006D6727" w:rsidRDefault="002117E8" w:rsidP="00B856BB">
            <w:pPr>
              <w:pStyle w:val="ECCTabletext"/>
              <w:jc w:val="left"/>
              <w:rPr>
                <w:noProof/>
              </w:rPr>
            </w:pPr>
            <w:r w:rsidRPr="006D6727">
              <w:rPr>
                <w:noProof/>
              </w:rPr>
              <w:t>6 (light pole/Kiosk) to 25 (rooftop)</w:t>
            </w:r>
          </w:p>
        </w:tc>
        <w:tc>
          <w:tcPr>
            <w:tcW w:w="2404" w:type="dxa"/>
            <w:vMerge w:val="restart"/>
          </w:tcPr>
          <w:p w14:paraId="382225E9" w14:textId="77777777" w:rsidR="002117E8" w:rsidRPr="006D6727" w:rsidRDefault="002117E8" w:rsidP="00B856BB">
            <w:pPr>
              <w:pStyle w:val="ECCTabletext"/>
              <w:jc w:val="left"/>
              <w:rPr>
                <w:noProof/>
              </w:rPr>
            </w:pPr>
            <w:r w:rsidRPr="006D6727">
              <w:rPr>
                <w:noProof/>
              </w:rPr>
              <w:t>Extrapolated from Report ITU</w:t>
            </w:r>
            <w:r w:rsidRPr="006D6727">
              <w:rPr>
                <w:noProof/>
              </w:rPr>
              <w:noBreakHyphen/>
              <w:t>R F.2416</w:t>
            </w:r>
          </w:p>
        </w:tc>
      </w:tr>
      <w:tr w:rsidR="002117E8" w:rsidRPr="006D6727" w14:paraId="2258BBD1" w14:textId="77777777" w:rsidTr="00472B9F">
        <w:tc>
          <w:tcPr>
            <w:tcW w:w="2689" w:type="dxa"/>
          </w:tcPr>
          <w:p w14:paraId="72DD484E" w14:textId="77777777" w:rsidR="002117E8" w:rsidRPr="006D6727" w:rsidRDefault="002117E8" w:rsidP="002D145F">
            <w:pPr>
              <w:pStyle w:val="ECCTabletext"/>
              <w:jc w:val="left"/>
              <w:rPr>
                <w:noProof/>
              </w:rPr>
            </w:pPr>
            <w:r w:rsidRPr="006D6727">
              <w:rPr>
                <w:noProof/>
              </w:rPr>
              <w:t>Antenna elevation (degrees)</w:t>
            </w:r>
          </w:p>
        </w:tc>
        <w:tc>
          <w:tcPr>
            <w:tcW w:w="4536" w:type="dxa"/>
            <w:gridSpan w:val="4"/>
          </w:tcPr>
          <w:p w14:paraId="2E2BDACA" w14:textId="77777777" w:rsidR="002117E8" w:rsidRPr="006D6727" w:rsidRDefault="002117E8" w:rsidP="002D145F">
            <w:pPr>
              <w:pStyle w:val="ECCTabletext"/>
              <w:jc w:val="left"/>
              <w:rPr>
                <w:noProof/>
              </w:rPr>
            </w:pPr>
            <w:r w:rsidRPr="006D6727">
              <w:rPr>
                <w:noProof/>
              </w:rPr>
              <w:t>Typically</w:t>
            </w:r>
            <w:r w:rsidR="0032221D" w:rsidRPr="006D6727">
              <w:rPr>
                <w:noProof/>
              </w:rPr>
              <w:t>,</w:t>
            </w:r>
            <w:r w:rsidRPr="006D6727">
              <w:rPr>
                <w:noProof/>
              </w:rPr>
              <w:t xml:space="preserve"> less than ±20</w:t>
            </w:r>
            <w:r w:rsidR="0032221D" w:rsidRPr="006D6727">
              <w:rPr>
                <w:rStyle w:val="FootnoteReference"/>
                <w:noProof/>
              </w:rPr>
              <w:footnoteReference w:id="5"/>
            </w:r>
            <w:r w:rsidR="0032221D" w:rsidRPr="006D6727">
              <w:rPr>
                <w:noProof/>
              </w:rPr>
              <w:t>,</w:t>
            </w:r>
            <w:r w:rsidR="0032221D" w:rsidRPr="006D6727">
              <w:rPr>
                <w:rStyle w:val="FootnoteReference"/>
                <w:noProof/>
              </w:rPr>
              <w:footnoteReference w:id="6"/>
            </w:r>
          </w:p>
        </w:tc>
        <w:tc>
          <w:tcPr>
            <w:tcW w:w="2404" w:type="dxa"/>
            <w:vMerge/>
          </w:tcPr>
          <w:p w14:paraId="637533FF" w14:textId="77777777" w:rsidR="002117E8" w:rsidRPr="006D6727" w:rsidRDefault="002117E8" w:rsidP="00D064C5">
            <w:pPr>
              <w:pStyle w:val="ECCTabletext"/>
              <w:rPr>
                <w:noProof/>
              </w:rPr>
            </w:pPr>
          </w:p>
        </w:tc>
      </w:tr>
    </w:tbl>
    <w:p w14:paraId="412A1645" w14:textId="2A036F78" w:rsidR="0079743F" w:rsidRPr="006D6727" w:rsidRDefault="0079743F" w:rsidP="0079743F">
      <w:pPr>
        <w:rPr>
          <w:noProof/>
        </w:rPr>
      </w:pPr>
      <w:r w:rsidRPr="006D6727">
        <w:rPr>
          <w:noProof/>
        </w:rPr>
        <w:t xml:space="preserve">SE19 also would like to provide the reference to ECC Report 282 </w:t>
      </w:r>
      <w:r w:rsidR="003E6A1F" w:rsidRPr="006D6727">
        <w:rPr>
          <w:rStyle w:val="ECCParagraph"/>
          <w:noProof/>
        </w:rPr>
        <w:fldChar w:fldCharType="begin"/>
      </w:r>
      <w:r w:rsidR="003E6A1F" w:rsidRPr="006D6727">
        <w:rPr>
          <w:rStyle w:val="ECCParagraph"/>
          <w:noProof/>
        </w:rPr>
        <w:instrText xml:space="preserve"> REF  ECCRep282 \h \w  \* MERGEFORMAT </w:instrText>
      </w:r>
      <w:r w:rsidR="003E6A1F" w:rsidRPr="006D6727">
        <w:rPr>
          <w:rStyle w:val="ECCParagraph"/>
          <w:noProof/>
        </w:rPr>
      </w:r>
      <w:r w:rsidR="003E6A1F" w:rsidRPr="006D6727">
        <w:rPr>
          <w:rStyle w:val="ECCParagraph"/>
          <w:noProof/>
        </w:rPr>
        <w:fldChar w:fldCharType="separate"/>
      </w:r>
      <w:r w:rsidR="004F49F9">
        <w:rPr>
          <w:rStyle w:val="ECCParagraph"/>
          <w:noProof/>
        </w:rPr>
        <w:t>[18]</w:t>
      </w:r>
      <w:r w:rsidR="003E6A1F" w:rsidRPr="006D6727">
        <w:rPr>
          <w:rStyle w:val="ECCParagraph"/>
          <w:noProof/>
        </w:rPr>
        <w:fldChar w:fldCharType="end"/>
      </w:r>
      <w:r w:rsidRPr="006D6727">
        <w:rPr>
          <w:noProof/>
        </w:rPr>
        <w:t xml:space="preserve"> for additional information about FS systems in these ranges.</w:t>
      </w:r>
    </w:p>
    <w:p w14:paraId="06A52AA3" w14:textId="7197EBDE" w:rsidR="0079743F" w:rsidRPr="006D6727" w:rsidRDefault="0079743F" w:rsidP="0079743F">
      <w:pPr>
        <w:rPr>
          <w:noProof/>
        </w:rPr>
      </w:pPr>
      <w:r w:rsidRPr="006D6727">
        <w:rPr>
          <w:noProof/>
        </w:rPr>
        <w:t xml:space="preserve">In particular, </w:t>
      </w:r>
      <w:r w:rsidR="005544E4">
        <w:rPr>
          <w:noProof/>
        </w:rPr>
        <w:t>ECC Recommendation</w:t>
      </w:r>
      <w:r w:rsidRPr="006D6727">
        <w:rPr>
          <w:noProof/>
        </w:rPr>
        <w:t xml:space="preserve"> (18)01 </w:t>
      </w:r>
      <w:r w:rsidR="00892947" w:rsidRPr="006D6727">
        <w:rPr>
          <w:rStyle w:val="ECCParagraph"/>
          <w:noProof/>
        </w:rPr>
        <w:fldChar w:fldCharType="begin"/>
      </w:r>
      <w:r w:rsidR="00892947" w:rsidRPr="006D6727">
        <w:rPr>
          <w:rStyle w:val="ECCParagraph"/>
          <w:noProof/>
        </w:rPr>
        <w:instrText xml:space="preserve"> REF  ECCRec_18_01 \h \w  \* MERGEFORMAT </w:instrText>
      </w:r>
      <w:r w:rsidR="00892947" w:rsidRPr="006D6727">
        <w:rPr>
          <w:rStyle w:val="ECCParagraph"/>
          <w:noProof/>
        </w:rPr>
      </w:r>
      <w:r w:rsidR="00892947" w:rsidRPr="006D6727">
        <w:rPr>
          <w:rStyle w:val="ECCParagraph"/>
          <w:noProof/>
        </w:rPr>
        <w:fldChar w:fldCharType="separate"/>
      </w:r>
      <w:r w:rsidR="004F49F9">
        <w:rPr>
          <w:rStyle w:val="ECCParagraph"/>
          <w:noProof/>
        </w:rPr>
        <w:t>[22]</w:t>
      </w:r>
      <w:r w:rsidR="00892947" w:rsidRPr="006D6727">
        <w:rPr>
          <w:rStyle w:val="ECCParagraph"/>
          <w:noProof/>
        </w:rPr>
        <w:fldChar w:fldCharType="end"/>
      </w:r>
      <w:r w:rsidR="00892947" w:rsidRPr="006D6727">
        <w:rPr>
          <w:rStyle w:val="ECCParagraph"/>
          <w:noProof/>
        </w:rPr>
        <w:t xml:space="preserve"> </w:t>
      </w:r>
      <w:r w:rsidRPr="006D6727">
        <w:rPr>
          <w:noProof/>
        </w:rPr>
        <w:t>contains specific channel arrangements for the FS allocated bands within the range 130-174</w:t>
      </w:r>
      <w:r w:rsidR="00CF4994">
        <w:rPr>
          <w:noProof/>
        </w:rPr>
        <w:t>.8</w:t>
      </w:r>
      <w:r w:rsidR="00595D4F" w:rsidRPr="006D6727">
        <w:rPr>
          <w:noProof/>
        </w:rPr>
        <w:t> </w:t>
      </w:r>
      <w:r w:rsidRPr="006D6727">
        <w:rPr>
          <w:noProof/>
        </w:rPr>
        <w:t xml:space="preserve">GHz and </w:t>
      </w:r>
      <w:r w:rsidR="005544E4">
        <w:rPr>
          <w:noProof/>
        </w:rPr>
        <w:t>ECC Recommendation</w:t>
      </w:r>
      <w:r w:rsidRPr="006D6727">
        <w:rPr>
          <w:noProof/>
        </w:rPr>
        <w:t xml:space="preserve"> (18)02 </w:t>
      </w:r>
      <w:r w:rsidR="00775F11" w:rsidRPr="006D6727">
        <w:rPr>
          <w:rStyle w:val="ECCParagraph"/>
          <w:noProof/>
        </w:rPr>
        <w:fldChar w:fldCharType="begin"/>
      </w:r>
      <w:r w:rsidR="00775F11" w:rsidRPr="006D6727">
        <w:rPr>
          <w:rStyle w:val="ECCParagraph"/>
          <w:noProof/>
        </w:rPr>
        <w:instrText xml:space="preserve"> REF  ECCRec_18_02 \h \w  \* MERGEFORMAT </w:instrText>
      </w:r>
      <w:r w:rsidR="00775F11" w:rsidRPr="006D6727">
        <w:rPr>
          <w:rStyle w:val="ECCParagraph"/>
          <w:noProof/>
        </w:rPr>
      </w:r>
      <w:r w:rsidR="00775F11" w:rsidRPr="006D6727">
        <w:rPr>
          <w:rStyle w:val="ECCParagraph"/>
          <w:noProof/>
        </w:rPr>
        <w:fldChar w:fldCharType="separate"/>
      </w:r>
      <w:r w:rsidR="004F49F9">
        <w:rPr>
          <w:rStyle w:val="ECCParagraph"/>
          <w:noProof/>
        </w:rPr>
        <w:t>[46]</w:t>
      </w:r>
      <w:r w:rsidR="00775F11" w:rsidRPr="006D6727">
        <w:rPr>
          <w:rStyle w:val="ECCParagraph"/>
          <w:noProof/>
        </w:rPr>
        <w:fldChar w:fldCharType="end"/>
      </w:r>
      <w:r w:rsidR="00892947" w:rsidRPr="006D6727">
        <w:rPr>
          <w:rStyle w:val="ECCParagraph"/>
          <w:noProof/>
        </w:rPr>
        <w:t xml:space="preserve"> </w:t>
      </w:r>
      <w:r w:rsidRPr="006D6727">
        <w:rPr>
          <w:noProof/>
        </w:rPr>
        <w:t>for the range 92-114</w:t>
      </w:r>
      <w:r w:rsidR="00CF4994">
        <w:rPr>
          <w:noProof/>
        </w:rPr>
        <w:t>.2</w:t>
      </w:r>
      <w:r w:rsidRPr="006D6727">
        <w:rPr>
          <w:noProof/>
        </w:rPr>
        <w:t>5</w:t>
      </w:r>
      <w:r w:rsidR="00595D4F" w:rsidRPr="006D6727">
        <w:rPr>
          <w:noProof/>
        </w:rPr>
        <w:t> </w:t>
      </w:r>
      <w:r w:rsidRPr="006D6727">
        <w:rPr>
          <w:noProof/>
        </w:rPr>
        <w:t>GHz.</w:t>
      </w:r>
    </w:p>
    <w:p w14:paraId="09617354" w14:textId="104EEB28" w:rsidR="0079743F" w:rsidRPr="006D6727" w:rsidRDefault="0079743F" w:rsidP="0079743F">
      <w:pPr>
        <w:rPr>
          <w:noProof/>
        </w:rPr>
      </w:pPr>
      <w:r w:rsidRPr="006D6727">
        <w:rPr>
          <w:noProof/>
        </w:rPr>
        <w:t>Further SE19 was informed by ITU-R WP 5C about its studies for extending</w:t>
      </w:r>
      <w:r w:rsidR="00595D4F" w:rsidRPr="006D6727">
        <w:rPr>
          <w:noProof/>
        </w:rPr>
        <w:t xml:space="preserve"> </w:t>
      </w:r>
      <w:r w:rsidRPr="006D6727">
        <w:rPr>
          <w:noProof/>
        </w:rPr>
        <w:t>the applicability of antenna reference radiation patterns above 86 GHz, in order to possibly update Recommendations ITU-R F.699</w:t>
      </w:r>
      <w:r w:rsidR="003D62CF" w:rsidRPr="006D6727">
        <w:rPr>
          <w:noProof/>
        </w:rPr>
        <w:t>-8</w:t>
      </w:r>
      <w:r w:rsidRPr="006D6727">
        <w:rPr>
          <w:noProof/>
        </w:rPr>
        <w:t xml:space="preserve"> </w:t>
      </w:r>
      <w:r w:rsidR="00CD290C" w:rsidRPr="006D6727">
        <w:rPr>
          <w:rStyle w:val="ECCParagraph"/>
          <w:noProof/>
        </w:rPr>
        <w:fldChar w:fldCharType="begin"/>
      </w:r>
      <w:r w:rsidR="00CD290C" w:rsidRPr="006D6727">
        <w:rPr>
          <w:rStyle w:val="ECCParagraph"/>
          <w:noProof/>
        </w:rPr>
        <w:instrText xml:space="preserve"> REF  ITU_R_F_699_8 \h \w  \* MERGEFORMAT </w:instrText>
      </w:r>
      <w:r w:rsidR="00CD290C" w:rsidRPr="006D6727">
        <w:rPr>
          <w:rStyle w:val="ECCParagraph"/>
          <w:noProof/>
        </w:rPr>
      </w:r>
      <w:r w:rsidR="00CD290C" w:rsidRPr="006D6727">
        <w:rPr>
          <w:rStyle w:val="ECCParagraph"/>
          <w:noProof/>
        </w:rPr>
        <w:fldChar w:fldCharType="separate"/>
      </w:r>
      <w:r w:rsidR="004F49F9">
        <w:rPr>
          <w:rStyle w:val="ECCParagraph"/>
          <w:noProof/>
        </w:rPr>
        <w:t>[47]</w:t>
      </w:r>
      <w:r w:rsidR="00CD290C" w:rsidRPr="006D6727">
        <w:rPr>
          <w:rStyle w:val="ECCParagraph"/>
          <w:noProof/>
        </w:rPr>
        <w:fldChar w:fldCharType="end"/>
      </w:r>
      <w:r w:rsidR="00892947" w:rsidRPr="006D6727">
        <w:rPr>
          <w:rStyle w:val="ECCParagraph"/>
          <w:noProof/>
        </w:rPr>
        <w:t xml:space="preserve"> </w:t>
      </w:r>
      <w:r w:rsidRPr="006D6727">
        <w:rPr>
          <w:noProof/>
        </w:rPr>
        <w:t>and ITU-R F.1245</w:t>
      </w:r>
      <w:r w:rsidR="00775F11" w:rsidRPr="006D6727">
        <w:rPr>
          <w:noProof/>
        </w:rPr>
        <w:t>-3</w:t>
      </w:r>
      <w:r w:rsidR="00892947" w:rsidRPr="006D6727">
        <w:rPr>
          <w:noProof/>
        </w:rPr>
        <w:t xml:space="preserve"> </w:t>
      </w:r>
      <w:r w:rsidR="00775F11" w:rsidRPr="006D6727">
        <w:rPr>
          <w:rStyle w:val="ECCParagraph"/>
          <w:noProof/>
        </w:rPr>
        <w:fldChar w:fldCharType="begin"/>
      </w:r>
      <w:r w:rsidR="00775F11" w:rsidRPr="006D6727">
        <w:rPr>
          <w:rStyle w:val="ECCParagraph"/>
          <w:noProof/>
        </w:rPr>
        <w:instrText xml:space="preserve"> REF  ITU_R_F_1245_3 \h \w  \* MERGEFORMAT </w:instrText>
      </w:r>
      <w:r w:rsidR="00775F11" w:rsidRPr="006D6727">
        <w:rPr>
          <w:rStyle w:val="ECCParagraph"/>
          <w:noProof/>
        </w:rPr>
      </w:r>
      <w:r w:rsidR="00775F11" w:rsidRPr="006D6727">
        <w:rPr>
          <w:rStyle w:val="ECCParagraph"/>
          <w:noProof/>
        </w:rPr>
        <w:fldChar w:fldCharType="separate"/>
      </w:r>
      <w:r w:rsidR="004F49F9">
        <w:rPr>
          <w:rStyle w:val="ECCParagraph"/>
          <w:noProof/>
        </w:rPr>
        <w:t>[48]</w:t>
      </w:r>
      <w:r w:rsidR="00775F11" w:rsidRPr="006D6727">
        <w:rPr>
          <w:rStyle w:val="ECCParagraph"/>
          <w:noProof/>
        </w:rPr>
        <w:fldChar w:fldCharType="end"/>
      </w:r>
      <w:r w:rsidRPr="006D6727">
        <w:rPr>
          <w:noProof/>
        </w:rPr>
        <w:t>, which provide reference radiation patterns to be used for coexistence studies.</w:t>
      </w:r>
    </w:p>
    <w:p w14:paraId="7A921542" w14:textId="213A230D" w:rsidR="0079743F" w:rsidRPr="006D6727" w:rsidRDefault="0079743F" w:rsidP="0079743F">
      <w:pPr>
        <w:rPr>
          <w:noProof/>
        </w:rPr>
      </w:pPr>
      <w:r w:rsidRPr="006D6727">
        <w:rPr>
          <w:noProof/>
        </w:rPr>
        <w:t>For the time being indoor applications are considered potentially possible, but in very specific and limited cases</w:t>
      </w:r>
      <w:r w:rsidR="00EF3E55">
        <w:rPr>
          <w:noProof/>
        </w:rPr>
        <w:t xml:space="preserve"> (</w:t>
      </w:r>
      <w:r w:rsidRPr="006D6727">
        <w:rPr>
          <w:noProof/>
        </w:rPr>
        <w:t>ECC Report 282</w:t>
      </w:r>
      <w:r w:rsidR="00EF3E55">
        <w:rPr>
          <w:noProof/>
        </w:rPr>
        <w:t xml:space="preserve">, </w:t>
      </w:r>
      <w:r w:rsidR="00EF3E55" w:rsidRPr="006D6727">
        <w:rPr>
          <w:noProof/>
        </w:rPr>
        <w:t>section 6.3</w:t>
      </w:r>
      <w:r w:rsidR="00EF3E55">
        <w:rPr>
          <w:noProof/>
        </w:rPr>
        <w:t xml:space="preserve"> </w:t>
      </w:r>
      <w:r w:rsidR="00EF3E55" w:rsidRPr="006D6727">
        <w:rPr>
          <w:rStyle w:val="ECCParagraph"/>
          <w:noProof/>
        </w:rPr>
        <w:fldChar w:fldCharType="begin"/>
      </w:r>
      <w:r w:rsidR="00EF3E55" w:rsidRPr="006D6727">
        <w:rPr>
          <w:rStyle w:val="ECCParagraph"/>
          <w:noProof/>
        </w:rPr>
        <w:instrText xml:space="preserve"> REF  ECCRep282 \h \w  \* MERGEFORMAT </w:instrText>
      </w:r>
      <w:r w:rsidR="00EF3E55" w:rsidRPr="006D6727">
        <w:rPr>
          <w:rStyle w:val="ECCParagraph"/>
          <w:noProof/>
        </w:rPr>
      </w:r>
      <w:r w:rsidR="00EF3E55" w:rsidRPr="006D6727">
        <w:rPr>
          <w:rStyle w:val="ECCParagraph"/>
          <w:noProof/>
        </w:rPr>
        <w:fldChar w:fldCharType="separate"/>
      </w:r>
      <w:r w:rsidR="004F49F9">
        <w:rPr>
          <w:rStyle w:val="ECCParagraph"/>
          <w:noProof/>
        </w:rPr>
        <w:t>[18]</w:t>
      </w:r>
      <w:r w:rsidR="00EF3E55" w:rsidRPr="006D6727">
        <w:rPr>
          <w:rStyle w:val="ECCParagraph"/>
          <w:noProof/>
        </w:rPr>
        <w:fldChar w:fldCharType="end"/>
      </w:r>
      <w:r w:rsidRPr="006D6727">
        <w:rPr>
          <w:noProof/>
        </w:rPr>
        <w:t>.</w:t>
      </w:r>
    </w:p>
    <w:p w14:paraId="51468A93" w14:textId="4A7EC7D0" w:rsidR="00E90244" w:rsidRPr="006D6727" w:rsidRDefault="00E90244" w:rsidP="00E90244">
      <w:pPr>
        <w:rPr>
          <w:rStyle w:val="ECCParagraph"/>
          <w:noProof/>
        </w:rPr>
      </w:pPr>
      <w:r w:rsidRPr="006D6727">
        <w:rPr>
          <w:rStyle w:val="ECCParagraph"/>
          <w:noProof/>
        </w:rPr>
        <w:t xml:space="preserve">The radiation pattern envelope (RPE) for a class 3 antenna, which is the one representative for FS in the field, is shown in </w:t>
      </w:r>
      <w:r w:rsidR="00B51F23" w:rsidRPr="006D6727">
        <w:rPr>
          <w:rStyle w:val="ECCParagraph"/>
          <w:noProof/>
        </w:rPr>
        <w:fldChar w:fldCharType="begin"/>
      </w:r>
      <w:r w:rsidR="00B51F23" w:rsidRPr="006D6727">
        <w:rPr>
          <w:rStyle w:val="ECCParagraph"/>
          <w:noProof/>
        </w:rPr>
        <w:instrText xml:space="preserve"> REF _Ref20488627 \h </w:instrText>
      </w:r>
      <w:r w:rsidR="00D05BB1" w:rsidRPr="006D6727">
        <w:rPr>
          <w:rStyle w:val="ECCParagraph"/>
          <w:noProof/>
        </w:rPr>
        <w:instrText xml:space="preserve"> \* MERGEFORMAT </w:instrText>
      </w:r>
      <w:r w:rsidR="00B51F23" w:rsidRPr="006D6727">
        <w:rPr>
          <w:rStyle w:val="ECCParagraph"/>
          <w:noProof/>
        </w:rPr>
      </w:r>
      <w:r w:rsidR="00B51F23" w:rsidRPr="006D6727">
        <w:rPr>
          <w:rStyle w:val="ECCParagraph"/>
          <w:noProof/>
        </w:rPr>
        <w:fldChar w:fldCharType="separate"/>
      </w:r>
      <w:r w:rsidR="0041125F" w:rsidRPr="0041125F">
        <w:rPr>
          <w:rStyle w:val="ECCParagraph"/>
          <w:noProof/>
        </w:rPr>
        <w:t>Figure 85</w:t>
      </w:r>
      <w:r w:rsidR="00B51F23" w:rsidRPr="006D6727">
        <w:rPr>
          <w:rStyle w:val="ECCParagraph"/>
          <w:noProof/>
        </w:rPr>
        <w:fldChar w:fldCharType="end"/>
      </w:r>
      <w:r w:rsidRPr="006D6727">
        <w:rPr>
          <w:rStyle w:val="ECCParagraph"/>
          <w:noProof/>
        </w:rPr>
        <w:t>.</w:t>
      </w:r>
    </w:p>
    <w:p w14:paraId="1A3EFE26" w14:textId="77777777" w:rsidR="00C7256E" w:rsidRPr="006D6727" w:rsidRDefault="00E90244" w:rsidP="00E90244">
      <w:pPr>
        <w:pStyle w:val="ECCFiguregraphcentered"/>
        <w:rPr>
          <w:rStyle w:val="ECCParagraph"/>
          <w:noProof/>
        </w:rPr>
      </w:pPr>
      <w:r w:rsidRPr="006D6727">
        <w:drawing>
          <wp:inline distT="0" distB="0" distL="0" distR="0" wp14:anchorId="09281F14" wp14:editId="4869E21E">
            <wp:extent cx="4942390" cy="5671595"/>
            <wp:effectExtent l="0" t="0" r="0" b="5715"/>
            <wp:docPr id="78"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4968073" cy="5701067"/>
                    </a:xfrm>
                    <a:prstGeom prst="rect">
                      <a:avLst/>
                    </a:prstGeom>
                    <a:noFill/>
                    <a:ln>
                      <a:noFill/>
                      <a:prstDash/>
                    </a:ln>
                  </pic:spPr>
                </pic:pic>
              </a:graphicData>
            </a:graphic>
          </wp:inline>
        </w:drawing>
      </w:r>
    </w:p>
    <w:p w14:paraId="7DA8BBFC" w14:textId="3206B6AB" w:rsidR="00E90244" w:rsidRPr="006D6727" w:rsidRDefault="00E90244" w:rsidP="00E90244">
      <w:pPr>
        <w:pStyle w:val="Caption"/>
        <w:rPr>
          <w:noProof/>
          <w:lang w:val="en-GB"/>
        </w:rPr>
      </w:pPr>
      <w:bookmarkStart w:id="463" w:name="_Ref20488627"/>
      <w:r w:rsidRPr="006D6727">
        <w:rPr>
          <w:rStyle w:val="ECCHLmagenta"/>
          <w:noProof/>
          <w:color w:val="D2232A"/>
          <w:shd w:val="clear" w:color="auto" w:fill="auto"/>
        </w:rPr>
        <w:t>Figure </w:t>
      </w:r>
      <w:r w:rsidRPr="006D6727">
        <w:rPr>
          <w:rStyle w:val="ECCHLmagenta"/>
          <w:noProof/>
          <w:color w:val="D2232A"/>
          <w:shd w:val="clear" w:color="auto" w:fill="auto"/>
        </w:rPr>
        <w:fldChar w:fldCharType="begin"/>
      </w:r>
      <w:r w:rsidRPr="006D6727">
        <w:rPr>
          <w:rStyle w:val="ECCHLmagenta"/>
          <w:noProof/>
          <w:color w:val="D2232A"/>
          <w:shd w:val="clear" w:color="auto" w:fill="auto"/>
        </w:rPr>
        <w:instrText xml:space="preserve"> SEQ Figure \*ARABIC \* MERGEFORMAT  \* MERGEFORMAT </w:instrText>
      </w:r>
      <w:r w:rsidRPr="006D6727">
        <w:rPr>
          <w:rStyle w:val="ECCHLmagenta"/>
          <w:noProof/>
          <w:color w:val="D2232A"/>
          <w:shd w:val="clear" w:color="auto" w:fill="auto"/>
        </w:rPr>
        <w:fldChar w:fldCharType="separate"/>
      </w:r>
      <w:r w:rsidR="004F49F9">
        <w:rPr>
          <w:rStyle w:val="ECCHLmagenta"/>
          <w:noProof/>
          <w:color w:val="D2232A"/>
          <w:shd w:val="clear" w:color="auto" w:fill="auto"/>
        </w:rPr>
        <w:t>85</w:t>
      </w:r>
      <w:r w:rsidRPr="006D6727">
        <w:rPr>
          <w:rStyle w:val="ECCHLmagenta"/>
          <w:noProof/>
          <w:color w:val="D2232A"/>
          <w:shd w:val="clear" w:color="auto" w:fill="auto"/>
        </w:rPr>
        <w:fldChar w:fldCharType="end"/>
      </w:r>
      <w:bookmarkEnd w:id="463"/>
      <w:r w:rsidRPr="006D6727">
        <w:rPr>
          <w:rStyle w:val="ECCParagraph"/>
          <w:rFonts w:eastAsia="Calibri"/>
          <w:noProof/>
        </w:rPr>
        <w:t xml:space="preserve">: </w:t>
      </w:r>
      <w:r w:rsidRPr="006D6727">
        <w:rPr>
          <w:noProof/>
          <w:lang w:val="en-GB"/>
        </w:rPr>
        <w:t xml:space="preserve">Class 3 </w:t>
      </w:r>
      <w:r w:rsidRPr="006D6727">
        <w:rPr>
          <w:rStyle w:val="ECCParagraph"/>
          <w:rFonts w:eastAsia="Calibri"/>
          <w:noProof/>
        </w:rPr>
        <w:t>antenna RPE (71</w:t>
      </w:r>
      <w:r w:rsidR="00B51F23" w:rsidRPr="006D6727">
        <w:rPr>
          <w:rStyle w:val="ECCParagraph"/>
          <w:rFonts w:eastAsia="Calibri"/>
          <w:noProof/>
        </w:rPr>
        <w:t> </w:t>
      </w:r>
      <w:r w:rsidRPr="006D6727">
        <w:rPr>
          <w:rStyle w:val="ECCParagraph"/>
          <w:rFonts w:eastAsia="Calibri"/>
          <w:noProof/>
        </w:rPr>
        <w:t>GHz – 86</w:t>
      </w:r>
      <w:r w:rsidR="00B51F23" w:rsidRPr="006D6727">
        <w:rPr>
          <w:rStyle w:val="ECCParagraph"/>
          <w:rFonts w:eastAsia="Calibri"/>
          <w:noProof/>
        </w:rPr>
        <w:t> </w:t>
      </w:r>
      <w:r w:rsidRPr="006D6727">
        <w:rPr>
          <w:rStyle w:val="ECCParagraph"/>
          <w:rFonts w:eastAsia="Calibri"/>
          <w:noProof/>
        </w:rPr>
        <w:t xml:space="preserve">GHz) </w:t>
      </w:r>
      <w:r w:rsidR="00B51F23" w:rsidRPr="006D6727">
        <w:rPr>
          <w:rStyle w:val="ECCParagraph"/>
          <w:rFonts w:eastAsia="Calibri"/>
          <w:noProof/>
        </w:rPr>
        <w:t xml:space="preserve">according to </w:t>
      </w:r>
      <w:r w:rsidRPr="006D6727">
        <w:rPr>
          <w:rStyle w:val="ECCParagraph"/>
          <w:rFonts w:eastAsia="Calibri"/>
          <w:noProof/>
        </w:rPr>
        <w:t>ETSI EN 302 217-4 V2.1.1 (2017-05)</w:t>
      </w:r>
    </w:p>
    <w:p w14:paraId="4D40BDFD" w14:textId="77777777" w:rsidR="00EB79D9" w:rsidRPr="006D6727" w:rsidRDefault="00EB79D9" w:rsidP="00EB79D9">
      <w:pPr>
        <w:pStyle w:val="Heading3"/>
        <w:rPr>
          <w:noProof/>
          <w:lang w:val="en-GB"/>
        </w:rPr>
      </w:pPr>
      <w:bookmarkStart w:id="464" w:name="_Ref66361876"/>
      <w:bookmarkStart w:id="465" w:name="_Toc84325338"/>
      <w:bookmarkStart w:id="466" w:name="_Toc127346268"/>
      <w:r w:rsidRPr="006D6727">
        <w:rPr>
          <w:noProof/>
          <w:lang w:val="en-GB"/>
        </w:rPr>
        <w:t xml:space="preserve">Earth </w:t>
      </w:r>
      <w:r w:rsidR="00BB0742">
        <w:t>E</w:t>
      </w:r>
      <w:r w:rsidRPr="006D6727">
        <w:rPr>
          <w:noProof/>
          <w:lang w:val="en-GB"/>
        </w:rPr>
        <w:t xml:space="preserve">xploration </w:t>
      </w:r>
      <w:r w:rsidR="00BB0742">
        <w:t>S</w:t>
      </w:r>
      <w:r w:rsidRPr="006D6727">
        <w:rPr>
          <w:noProof/>
          <w:lang w:val="en-GB"/>
        </w:rPr>
        <w:t xml:space="preserve">atellite </w:t>
      </w:r>
      <w:r w:rsidR="00BB0742">
        <w:t>S</w:t>
      </w:r>
      <w:r w:rsidRPr="006D6727">
        <w:rPr>
          <w:noProof/>
          <w:lang w:val="en-GB"/>
        </w:rPr>
        <w:t>ervice (</w:t>
      </w:r>
      <w:r w:rsidR="00BB568E" w:rsidRPr="006D6727">
        <w:rPr>
          <w:noProof/>
          <w:lang w:val="en-GB"/>
        </w:rPr>
        <w:t>passive</w:t>
      </w:r>
      <w:r w:rsidRPr="006D6727">
        <w:rPr>
          <w:noProof/>
          <w:lang w:val="en-GB"/>
        </w:rPr>
        <w:t>)</w:t>
      </w:r>
      <w:bookmarkEnd w:id="464"/>
      <w:bookmarkEnd w:id="465"/>
      <w:bookmarkEnd w:id="466"/>
    </w:p>
    <w:p w14:paraId="47C56E19" w14:textId="7DBAF2CB" w:rsidR="00E67090" w:rsidRDefault="00EB79D9" w:rsidP="00EB79D9">
      <w:pPr>
        <w:rPr>
          <w:rStyle w:val="ECCParagraph"/>
          <w:noProof/>
        </w:rPr>
      </w:pPr>
      <w:r w:rsidRPr="006D6727">
        <w:rPr>
          <w:rStyle w:val="ECCParagraph"/>
          <w:noProof/>
        </w:rPr>
        <w:t xml:space="preserve">Passive sensors are used in the remote sensing of the Earth and its atmosphere by Earth exploration and meteorological satellites in certain frequency bands allocated to the Earth exploration-satellite service (EESS) (passive). The </w:t>
      </w:r>
      <w:r w:rsidR="00E67090" w:rsidRPr="006D6727">
        <w:rPr>
          <w:rStyle w:val="ECCParagraph"/>
          <w:noProof/>
        </w:rPr>
        <w:t xml:space="preserve">data derived from </w:t>
      </w:r>
      <w:r w:rsidRPr="006D6727">
        <w:rPr>
          <w:rStyle w:val="ECCParagraph"/>
          <w:noProof/>
        </w:rPr>
        <w:t xml:space="preserve">these passive sensor operations are used extensively in meteorology, climatology, and other disciplines for operational and scientific purposes. </w:t>
      </w:r>
      <w:r w:rsidR="00E67090" w:rsidRPr="006D6727">
        <w:rPr>
          <w:rStyle w:val="ECCParagraph"/>
          <w:noProof/>
        </w:rPr>
        <w:t>These sensors are sensitive to in</w:t>
      </w:r>
      <w:r w:rsidR="007D633A">
        <w:rPr>
          <w:rStyle w:val="ECCParagraph"/>
        </w:rPr>
        <w:t>-</w:t>
      </w:r>
      <w:r w:rsidR="00E67090" w:rsidRPr="006D6727">
        <w:rPr>
          <w:rStyle w:val="ECCParagraph"/>
          <w:noProof/>
        </w:rPr>
        <w:t xml:space="preserve">band emissions. Therefore, RF emissions above a certain level may constitute interference to the passive sensors using the same frequency bands. This is mainly due to the fact that passive sensors may not be able to differentiate the wanted signal from the interference and that interference may not be identifiable in the passive sensor output data (see Recommendation ITU-R RS.1861 </w:t>
      </w:r>
      <w:r w:rsidR="00E67090" w:rsidRPr="006D6727">
        <w:rPr>
          <w:rStyle w:val="ECCParagraph"/>
          <w:noProof/>
        </w:rPr>
        <w:fldChar w:fldCharType="begin"/>
      </w:r>
      <w:r w:rsidR="00E67090" w:rsidRPr="006D6727">
        <w:rPr>
          <w:rStyle w:val="ECCParagraph"/>
          <w:noProof/>
        </w:rPr>
        <w:instrText xml:space="preserve"> REF  ITU_R_RS_1861 \h \w  \* MERGEFORMAT </w:instrText>
      </w:r>
      <w:r w:rsidR="00E67090" w:rsidRPr="006D6727">
        <w:rPr>
          <w:rStyle w:val="ECCParagraph"/>
          <w:noProof/>
        </w:rPr>
      </w:r>
      <w:r w:rsidR="00E67090" w:rsidRPr="006D6727">
        <w:rPr>
          <w:rStyle w:val="ECCParagraph"/>
          <w:noProof/>
        </w:rPr>
        <w:fldChar w:fldCharType="separate"/>
      </w:r>
      <w:r w:rsidR="004F49F9">
        <w:rPr>
          <w:rStyle w:val="ECCParagraph"/>
          <w:noProof/>
        </w:rPr>
        <w:t>[13]</w:t>
      </w:r>
      <w:r w:rsidR="00E67090" w:rsidRPr="006D6727">
        <w:rPr>
          <w:rStyle w:val="ECCParagraph"/>
          <w:noProof/>
        </w:rPr>
        <w:fldChar w:fldCharType="end"/>
      </w:r>
      <w:r w:rsidR="00E67090" w:rsidRPr="006D6727">
        <w:rPr>
          <w:rStyle w:val="ECCParagraph"/>
          <w:noProof/>
        </w:rPr>
        <w:fldChar w:fldCharType="begin"/>
      </w:r>
      <w:r w:rsidR="00E67090" w:rsidRPr="006D6727">
        <w:rPr>
          <w:rStyle w:val="ECCParagraph"/>
          <w:noProof/>
        </w:rPr>
        <w:instrText xml:space="preserve"> REF ITU_R_RS_1861 \h  \* MERGEFORMAT </w:instrText>
      </w:r>
      <w:r w:rsidR="00E67090" w:rsidRPr="006D6727">
        <w:rPr>
          <w:rStyle w:val="ECCParagraph"/>
          <w:noProof/>
        </w:rPr>
      </w:r>
      <w:r w:rsidR="00E67090" w:rsidRPr="006D6727">
        <w:rPr>
          <w:rStyle w:val="ECCParagraph"/>
          <w:noProof/>
        </w:rPr>
        <w:fldChar w:fldCharType="end"/>
      </w:r>
      <w:r w:rsidR="00E67090" w:rsidRPr="006D6727">
        <w:rPr>
          <w:rStyle w:val="ECCParagraph"/>
          <w:noProof/>
        </w:rPr>
        <w:fldChar w:fldCharType="begin"/>
      </w:r>
      <w:r w:rsidR="00E67090" w:rsidRPr="006D6727">
        <w:rPr>
          <w:rStyle w:val="ECCParagraph"/>
          <w:noProof/>
        </w:rPr>
        <w:instrText xml:space="preserve"> REF  ITU_R_RS_1861 \h  \* MERGEFORMAT </w:instrText>
      </w:r>
      <w:r w:rsidR="00E67090" w:rsidRPr="006D6727">
        <w:rPr>
          <w:rStyle w:val="ECCParagraph"/>
          <w:noProof/>
        </w:rPr>
      </w:r>
      <w:r w:rsidR="00E67090" w:rsidRPr="006D6727">
        <w:rPr>
          <w:rStyle w:val="ECCParagraph"/>
          <w:noProof/>
        </w:rPr>
        <w:fldChar w:fldCharType="end"/>
      </w:r>
      <w:r w:rsidR="00E67090" w:rsidRPr="006D6727">
        <w:rPr>
          <w:rStyle w:val="ECCParagraph"/>
          <w:noProof/>
        </w:rPr>
        <w:fldChar w:fldCharType="begin"/>
      </w:r>
      <w:r w:rsidR="00E67090" w:rsidRPr="006D6727">
        <w:rPr>
          <w:rStyle w:val="ECCParagraph"/>
          <w:noProof/>
        </w:rPr>
        <w:instrText xml:space="preserve"> REF ITU_R_RS_1861 \h  \* MERGEFORMAT </w:instrText>
      </w:r>
      <w:r w:rsidR="00E67090" w:rsidRPr="006D6727">
        <w:rPr>
          <w:rStyle w:val="ECCParagraph"/>
          <w:noProof/>
        </w:rPr>
      </w:r>
      <w:r w:rsidR="00E67090" w:rsidRPr="006D6727">
        <w:rPr>
          <w:rStyle w:val="ECCParagraph"/>
          <w:noProof/>
        </w:rPr>
        <w:fldChar w:fldCharType="end"/>
      </w:r>
      <w:r w:rsidR="00E67090" w:rsidRPr="006D6727">
        <w:rPr>
          <w:rStyle w:val="ECCParagraph"/>
          <w:noProof/>
        </w:rPr>
        <w:t>).</w:t>
      </w:r>
    </w:p>
    <w:p w14:paraId="7C1D9117" w14:textId="77777777" w:rsidR="00D03E24" w:rsidRDefault="00AD3A1F" w:rsidP="004E36C2">
      <w:pPr>
        <w:pStyle w:val="Heading4"/>
        <w:rPr>
          <w:rStyle w:val="ECCParagraph"/>
          <w:noProof/>
        </w:rPr>
      </w:pPr>
      <w:bookmarkStart w:id="467" w:name="_Ref67065922"/>
      <w:bookmarkStart w:id="468" w:name="_Toc84325339"/>
      <w:r>
        <w:rPr>
          <w:rStyle w:val="ECCParagraph"/>
        </w:rPr>
        <w:t>Technical and operational characteristics of EESS</w:t>
      </w:r>
      <w:bookmarkEnd w:id="467"/>
      <w:bookmarkEnd w:id="468"/>
    </w:p>
    <w:p w14:paraId="155421A9" w14:textId="513C9FB0" w:rsidR="00D03E24" w:rsidDel="00277E71" w:rsidRDefault="00D03E24" w:rsidP="00D03E24">
      <w:pPr>
        <w:rPr>
          <w:rStyle w:val="ECCParagraph"/>
        </w:rPr>
      </w:pPr>
      <w:r w:rsidRPr="00261CC3" w:rsidDel="00277E71">
        <w:rPr>
          <w:rStyle w:val="ECCParagraph"/>
        </w:rPr>
        <w:t xml:space="preserve">Typical technical and operational characteristics of Earth </w:t>
      </w:r>
      <w:r w:rsidR="00AD3A1F">
        <w:rPr>
          <w:rStyle w:val="ECCParagraph"/>
        </w:rPr>
        <w:t>E</w:t>
      </w:r>
      <w:r w:rsidRPr="00261CC3" w:rsidDel="00277E71">
        <w:rPr>
          <w:rStyle w:val="ECCParagraph"/>
        </w:rPr>
        <w:t>xploration-</w:t>
      </w:r>
      <w:r w:rsidR="00AD3A1F">
        <w:rPr>
          <w:rStyle w:val="ECCParagraph"/>
        </w:rPr>
        <w:t>S</w:t>
      </w:r>
      <w:r w:rsidRPr="00261CC3" w:rsidDel="00277E71">
        <w:rPr>
          <w:rStyle w:val="ECCParagraph"/>
        </w:rPr>
        <w:t xml:space="preserve">atellite </w:t>
      </w:r>
      <w:r w:rsidR="00AD3A1F">
        <w:rPr>
          <w:rStyle w:val="ECCParagraph"/>
        </w:rPr>
        <w:t>S</w:t>
      </w:r>
      <w:r w:rsidRPr="00261CC3" w:rsidDel="00277E71">
        <w:rPr>
          <w:rStyle w:val="ECCParagraph"/>
        </w:rPr>
        <w:t>ervice (passive) systems using allocations between 1</w:t>
      </w:r>
      <w:r w:rsidR="00CF4994">
        <w:rPr>
          <w:rStyle w:val="ECCParagraph"/>
        </w:rPr>
        <w:t>.4</w:t>
      </w:r>
      <w:r w:rsidRPr="00261CC3" w:rsidDel="00277E71">
        <w:rPr>
          <w:rStyle w:val="ECCParagraph"/>
        </w:rPr>
        <w:t xml:space="preserve"> and 275 GHz for utilization in sharing studies can be found in Recommendation ITU-R RS.1861 </w:t>
      </w:r>
      <w:r w:rsidRPr="00EB79D9" w:rsidDel="00277E71">
        <w:rPr>
          <w:rStyle w:val="ECCParagraph"/>
        </w:rPr>
        <w:fldChar w:fldCharType="begin"/>
      </w:r>
      <w:r w:rsidRPr="00EB79D9" w:rsidDel="00277E71">
        <w:rPr>
          <w:rStyle w:val="ECCParagraph"/>
        </w:rPr>
        <w:instrText xml:space="preserve"> REF  ITU_R_RS_1861 \h \w  \* MERGEFORMAT </w:instrText>
      </w:r>
      <w:r w:rsidRPr="00EB79D9" w:rsidDel="00277E71">
        <w:rPr>
          <w:rStyle w:val="ECCParagraph"/>
        </w:rPr>
      </w:r>
      <w:r w:rsidRPr="00EB79D9" w:rsidDel="00277E71">
        <w:rPr>
          <w:rStyle w:val="ECCParagraph"/>
        </w:rPr>
        <w:fldChar w:fldCharType="separate"/>
      </w:r>
      <w:r w:rsidR="004F49F9">
        <w:rPr>
          <w:rStyle w:val="ECCParagraph"/>
        </w:rPr>
        <w:t>[13]</w:t>
      </w:r>
      <w:r w:rsidRPr="00EB79D9" w:rsidDel="00277E71">
        <w:rPr>
          <w:rStyle w:val="ECCParagraph"/>
        </w:rPr>
        <w:fldChar w:fldCharType="end"/>
      </w:r>
      <w:r w:rsidRPr="00EB79D9" w:rsidDel="00277E71">
        <w:rPr>
          <w:rStyle w:val="ECCParagraph"/>
        </w:rPr>
        <w:t xml:space="preserve">. The frequency bands and bandwidths used for satellite passive remote sensing with information on specific measurements conducted in these frequency bands (meteorology-climatology, chemistry) can be furthermore extracted from Recommendation ITU-R RS.515-5 </w:t>
      </w:r>
      <w:r w:rsidRPr="00EB79D9" w:rsidDel="00277E71">
        <w:rPr>
          <w:rStyle w:val="ECCParagraph"/>
        </w:rPr>
        <w:fldChar w:fldCharType="begin"/>
      </w:r>
      <w:r w:rsidRPr="00EB79D9" w:rsidDel="00277E71">
        <w:rPr>
          <w:rStyle w:val="ECCParagraph"/>
        </w:rPr>
        <w:instrText xml:space="preserve"> REF  ITU_R_RS_515_5 \h \w  \* MERGEFORMAT </w:instrText>
      </w:r>
      <w:r w:rsidRPr="00EB79D9" w:rsidDel="00277E71">
        <w:rPr>
          <w:rStyle w:val="ECCParagraph"/>
        </w:rPr>
      </w:r>
      <w:r w:rsidRPr="00EB79D9" w:rsidDel="00277E71">
        <w:rPr>
          <w:rStyle w:val="ECCParagraph"/>
        </w:rPr>
        <w:fldChar w:fldCharType="separate"/>
      </w:r>
      <w:r w:rsidR="004F49F9">
        <w:rPr>
          <w:rStyle w:val="ECCParagraph"/>
        </w:rPr>
        <w:t>[14]</w:t>
      </w:r>
      <w:r w:rsidRPr="00EB79D9" w:rsidDel="00277E71">
        <w:rPr>
          <w:rStyle w:val="ECCParagraph"/>
        </w:rPr>
        <w:fldChar w:fldCharType="end"/>
      </w:r>
      <w:r w:rsidRPr="00EB79D9" w:rsidDel="00277E71">
        <w:rPr>
          <w:rStyle w:val="ECCParagraph"/>
        </w:rPr>
        <w:t>.</w:t>
      </w:r>
    </w:p>
    <w:p w14:paraId="579BFF13" w14:textId="7976E673" w:rsidR="00950953" w:rsidRPr="00950953" w:rsidRDefault="00950953" w:rsidP="00FB1857">
      <w:r w:rsidRPr="00950953">
        <w:t xml:space="preserve">Sections 6.13 to 6.17 of Recommendation ITU-R RS.1861 </w:t>
      </w:r>
      <w:r w:rsidR="00EF3E55" w:rsidRPr="00EB79D9" w:rsidDel="00277E71">
        <w:rPr>
          <w:rStyle w:val="ECCParagraph"/>
        </w:rPr>
        <w:fldChar w:fldCharType="begin"/>
      </w:r>
      <w:r w:rsidR="00EF3E55" w:rsidRPr="00EB79D9" w:rsidDel="00277E71">
        <w:rPr>
          <w:rStyle w:val="ECCParagraph"/>
        </w:rPr>
        <w:instrText xml:space="preserve"> REF  ITU_R_RS_1861 \h \w  \* MERGEFORMAT </w:instrText>
      </w:r>
      <w:r w:rsidR="00EF3E55" w:rsidRPr="00EB79D9" w:rsidDel="00277E71">
        <w:rPr>
          <w:rStyle w:val="ECCParagraph"/>
        </w:rPr>
      </w:r>
      <w:r w:rsidR="00EF3E55" w:rsidRPr="00EB79D9" w:rsidDel="00277E71">
        <w:rPr>
          <w:rStyle w:val="ECCParagraph"/>
        </w:rPr>
        <w:fldChar w:fldCharType="separate"/>
      </w:r>
      <w:r w:rsidR="004F49F9">
        <w:rPr>
          <w:rStyle w:val="ECCParagraph"/>
        </w:rPr>
        <w:t>[13]</w:t>
      </w:r>
      <w:r w:rsidR="00EF3E55" w:rsidRPr="00EB79D9" w:rsidDel="00277E71">
        <w:rPr>
          <w:rStyle w:val="ECCParagraph"/>
        </w:rPr>
        <w:fldChar w:fldCharType="end"/>
      </w:r>
      <w:r w:rsidR="00EF3E55">
        <w:rPr>
          <w:rStyle w:val="ECCParagraph"/>
        </w:rPr>
        <w:t xml:space="preserve"> </w:t>
      </w:r>
      <w:r w:rsidRPr="00950953">
        <w:t xml:space="preserve">are relevant to </w:t>
      </w:r>
      <w:r w:rsidR="00891349">
        <w:t>this Report</w:t>
      </w:r>
      <w:r w:rsidRPr="00950953">
        <w:t>, noting that section 6.15 addresses frequency band 155.5-158.5 GHz in which the EESS (passive) allocation has been suppressed at the last WRC-19.</w:t>
      </w:r>
    </w:p>
    <w:p w14:paraId="16955BF7" w14:textId="300661A6" w:rsidR="0045589C" w:rsidRPr="0045589C" w:rsidRDefault="00EF3E55" w:rsidP="0045589C">
      <w:r>
        <w:fldChar w:fldCharType="begin"/>
      </w:r>
      <w:r>
        <w:instrText xml:space="preserve"> REF _Ref88129380 \h </w:instrText>
      </w:r>
      <w:r>
        <w:fldChar w:fldCharType="separate"/>
      </w:r>
      <w:r w:rsidR="0041125F" w:rsidRPr="00444AF1">
        <w:t>Table </w:t>
      </w:r>
      <w:r w:rsidR="0041125F">
        <w:rPr>
          <w:noProof/>
        </w:rPr>
        <w:t>41</w:t>
      </w:r>
      <w:r>
        <w:fldChar w:fldCharType="end"/>
      </w:r>
      <w:r>
        <w:t xml:space="preserve">, </w:t>
      </w:r>
      <w:r>
        <w:fldChar w:fldCharType="begin"/>
      </w:r>
      <w:r>
        <w:instrText xml:space="preserve"> REF _Ref88129385 \h </w:instrText>
      </w:r>
      <w:r>
        <w:fldChar w:fldCharType="separate"/>
      </w:r>
      <w:r w:rsidR="0041125F" w:rsidRPr="008C4ABA">
        <w:t>Table </w:t>
      </w:r>
      <w:r w:rsidR="0041125F">
        <w:rPr>
          <w:noProof/>
        </w:rPr>
        <w:t>42</w:t>
      </w:r>
      <w:r>
        <w:fldChar w:fldCharType="end"/>
      </w:r>
      <w:r>
        <w:t xml:space="preserve">, </w:t>
      </w:r>
      <w:r>
        <w:fldChar w:fldCharType="begin"/>
      </w:r>
      <w:r>
        <w:instrText xml:space="preserve"> REF _Ref88129391 \h </w:instrText>
      </w:r>
      <w:r>
        <w:fldChar w:fldCharType="separate"/>
      </w:r>
      <w:r w:rsidR="0041125F" w:rsidRPr="008809E2">
        <w:t>Table </w:t>
      </w:r>
      <w:r w:rsidR="0041125F">
        <w:rPr>
          <w:noProof/>
        </w:rPr>
        <w:t>43</w:t>
      </w:r>
      <w:r>
        <w:fldChar w:fldCharType="end"/>
      </w:r>
      <w:r>
        <w:t>,</w:t>
      </w:r>
      <w:r>
        <w:fldChar w:fldCharType="begin"/>
      </w:r>
      <w:r>
        <w:instrText xml:space="preserve"> REF _Ref88129393 \h </w:instrText>
      </w:r>
      <w:r>
        <w:fldChar w:fldCharType="separate"/>
      </w:r>
      <w:r w:rsidR="0041125F" w:rsidRPr="0045589C">
        <w:t>Table </w:t>
      </w:r>
      <w:r w:rsidR="0041125F">
        <w:rPr>
          <w:noProof/>
        </w:rPr>
        <w:t>44</w:t>
      </w:r>
      <w:r>
        <w:fldChar w:fldCharType="end"/>
      </w:r>
      <w:r>
        <w:t xml:space="preserve"> and </w:t>
      </w:r>
      <w:r>
        <w:fldChar w:fldCharType="begin"/>
      </w:r>
      <w:r>
        <w:instrText xml:space="preserve"> REF _Ref88129399 \h </w:instrText>
      </w:r>
      <w:r>
        <w:fldChar w:fldCharType="separate"/>
      </w:r>
      <w:r w:rsidR="0041125F" w:rsidRPr="00480DAA">
        <w:t>Table </w:t>
      </w:r>
      <w:r w:rsidR="0041125F">
        <w:rPr>
          <w:noProof/>
        </w:rPr>
        <w:t>45</w:t>
      </w:r>
      <w:r>
        <w:fldChar w:fldCharType="end"/>
      </w:r>
      <w:r w:rsidR="0045589C" w:rsidRPr="0045589C">
        <w:t xml:space="preserve"> provide </w:t>
      </w:r>
      <w:r w:rsidR="0002322C">
        <w:t xml:space="preserve">the technical and operational characteristics </w:t>
      </w:r>
      <w:r w:rsidR="0045589C" w:rsidRPr="0045589C">
        <w:t xml:space="preserve">for the various EESS (passive) bands between 114 and 260 GHz. The corresponding EESS (passive) sensors are either taken from </w:t>
      </w:r>
      <w:r w:rsidR="00825F19">
        <w:t>Recommendation ITU-R</w:t>
      </w:r>
      <w:r w:rsidR="0045589C" w:rsidRPr="0045589C">
        <w:t xml:space="preserve"> RS.1861 or from ESA/EUMETSAT existing or planned sensors.</w:t>
      </w:r>
    </w:p>
    <w:p w14:paraId="7AF5C0F5" w14:textId="0B3ED5FD" w:rsidR="00444AF1" w:rsidRPr="00444AF1" w:rsidRDefault="000B71B1" w:rsidP="00444AF1">
      <w:pPr>
        <w:pStyle w:val="Caption"/>
      </w:pPr>
      <w:bookmarkStart w:id="469" w:name="_Ref88129380"/>
      <w:r w:rsidRPr="00444AF1">
        <w:t>Table </w:t>
      </w:r>
      <w:r>
        <w:fldChar w:fldCharType="begin"/>
      </w:r>
      <w:r>
        <w:instrText>SEQ Table \* ARABIC</w:instrText>
      </w:r>
      <w:r>
        <w:fldChar w:fldCharType="separate"/>
      </w:r>
      <w:r w:rsidR="004F49F9">
        <w:rPr>
          <w:noProof/>
        </w:rPr>
        <w:t>41</w:t>
      </w:r>
      <w:r>
        <w:fldChar w:fldCharType="end"/>
      </w:r>
      <w:bookmarkEnd w:id="469"/>
      <w:r w:rsidRPr="00444AF1">
        <w:t xml:space="preserve">: </w:t>
      </w:r>
      <w:r w:rsidR="0045589C">
        <w:t>P</w:t>
      </w:r>
      <w:r w:rsidRPr="00444AF1">
        <w:t>assive sensor parameters in the 11</w:t>
      </w:r>
      <w:r w:rsidR="00444AF1">
        <w:t>4</w:t>
      </w:r>
      <w:r w:rsidR="00CF4994">
        <w:t>.2</w:t>
      </w:r>
      <w:r w:rsidR="00444AF1">
        <w:t>5</w:t>
      </w:r>
      <w:r w:rsidRPr="00444AF1">
        <w:t xml:space="preserve"> to 122</w:t>
      </w:r>
      <w:r w:rsidR="00CF4994">
        <w:t>.2</w:t>
      </w:r>
      <w:r w:rsidR="00444AF1">
        <w:t>5</w:t>
      </w:r>
      <w:r w:rsidRPr="00444AF1">
        <w:t> GHz</w:t>
      </w:r>
      <w:r w:rsidR="00444AF1">
        <w:t xml:space="preserve"> </w:t>
      </w:r>
      <w:r w:rsidRPr="00444AF1">
        <w:t>band</w:t>
      </w:r>
    </w:p>
    <w:tbl>
      <w:tblPr>
        <w:tblStyle w:val="ECCTable-redheader"/>
        <w:tblW w:w="0" w:type="auto"/>
        <w:tblInd w:w="0" w:type="dxa"/>
        <w:tblLayout w:type="fixed"/>
        <w:tblLook w:val="04A0" w:firstRow="1" w:lastRow="0" w:firstColumn="1" w:lastColumn="0" w:noHBand="0" w:noVBand="1"/>
      </w:tblPr>
      <w:tblGrid>
        <w:gridCol w:w="4106"/>
        <w:gridCol w:w="1559"/>
        <w:gridCol w:w="2977"/>
      </w:tblGrid>
      <w:tr w:rsidR="00444AF1" w:rsidRPr="006D6727" w14:paraId="6EDF8F23" w14:textId="77777777" w:rsidTr="002B7F79">
        <w:trPr>
          <w:cnfStyle w:val="100000000000" w:firstRow="1" w:lastRow="0" w:firstColumn="0" w:lastColumn="0" w:oddVBand="0" w:evenVBand="0" w:oddHBand="0" w:evenHBand="0" w:firstRowFirstColumn="0" w:firstRowLastColumn="0" w:lastRowFirstColumn="0" w:lastRowLastColumn="0"/>
        </w:trPr>
        <w:tc>
          <w:tcPr>
            <w:tcW w:w="4106" w:type="dxa"/>
          </w:tcPr>
          <w:p w14:paraId="40F879FB" w14:textId="77777777" w:rsidR="00856ADA" w:rsidRPr="00444AF1" w:rsidRDefault="00856ADA" w:rsidP="00444AF1">
            <w:r>
              <w:t>EESS sensor</w:t>
            </w:r>
          </w:p>
        </w:tc>
        <w:tc>
          <w:tcPr>
            <w:tcW w:w="1559" w:type="dxa"/>
          </w:tcPr>
          <w:p w14:paraId="176C5925" w14:textId="77777777" w:rsidR="00856ADA" w:rsidRPr="00444AF1" w:rsidRDefault="00856ADA" w:rsidP="00444AF1">
            <w:r>
              <w:t>MWI</w:t>
            </w:r>
          </w:p>
        </w:tc>
        <w:tc>
          <w:tcPr>
            <w:tcW w:w="2977" w:type="dxa"/>
          </w:tcPr>
          <w:p w14:paraId="32A49471" w14:textId="51C575FE" w:rsidR="00856ADA" w:rsidRPr="00444AF1" w:rsidRDefault="00856ADA" w:rsidP="00444AF1">
            <w:r w:rsidRPr="00856ADA">
              <w:t>Planned EUMETSAT radiometer (ECC Report 190</w:t>
            </w:r>
            <w:r w:rsidR="00D341A8">
              <w:t xml:space="preserve"> </w:t>
            </w:r>
            <w:r w:rsidR="00D341A8">
              <w:rPr>
                <w:rStyle w:val="ECCParagraph"/>
              </w:rPr>
              <w:fldChar w:fldCharType="begin"/>
            </w:r>
            <w:r w:rsidR="00D341A8">
              <w:rPr>
                <w:rStyle w:val="ECCParagraph"/>
              </w:rPr>
              <w:instrText xml:space="preserve"> REF  ECCRep190 \h \w  \* MERGEFORMAT </w:instrText>
            </w:r>
            <w:r w:rsidR="00D341A8">
              <w:rPr>
                <w:rStyle w:val="ECCParagraph"/>
              </w:rPr>
            </w:r>
            <w:r w:rsidR="00D341A8">
              <w:rPr>
                <w:rStyle w:val="ECCParagraph"/>
              </w:rPr>
              <w:fldChar w:fldCharType="separate"/>
            </w:r>
            <w:r w:rsidR="004F49F9">
              <w:rPr>
                <w:rStyle w:val="ECCParagraph"/>
              </w:rPr>
              <w:t>[21]</w:t>
            </w:r>
            <w:r w:rsidR="00D341A8">
              <w:rPr>
                <w:rStyle w:val="ECCParagraph"/>
              </w:rPr>
              <w:fldChar w:fldCharType="end"/>
            </w:r>
            <w:r w:rsidRPr="00856ADA">
              <w:t>)</w:t>
            </w:r>
          </w:p>
        </w:tc>
      </w:tr>
      <w:tr w:rsidR="00856ADA" w:rsidRPr="006D6727" w14:paraId="4BDF4E0F" w14:textId="77777777" w:rsidTr="002B7F79">
        <w:tc>
          <w:tcPr>
            <w:tcW w:w="4106" w:type="dxa"/>
          </w:tcPr>
          <w:p w14:paraId="118314A0" w14:textId="77777777" w:rsidR="00856ADA" w:rsidRPr="00856ADA" w:rsidRDefault="00856ADA" w:rsidP="00BD6D95">
            <w:pPr>
              <w:jc w:val="left"/>
            </w:pPr>
            <w:r w:rsidRPr="00856ADA">
              <w:t>Type of sensor</w:t>
            </w:r>
          </w:p>
        </w:tc>
        <w:tc>
          <w:tcPr>
            <w:tcW w:w="1559" w:type="dxa"/>
          </w:tcPr>
          <w:p w14:paraId="6CBAE89B" w14:textId="77777777" w:rsidR="00856ADA" w:rsidRPr="00856ADA" w:rsidRDefault="00856ADA" w:rsidP="00BD6D95">
            <w:pPr>
              <w:jc w:val="left"/>
            </w:pPr>
            <w:r w:rsidRPr="00856ADA">
              <w:t>Conical Scan</w:t>
            </w:r>
          </w:p>
        </w:tc>
        <w:tc>
          <w:tcPr>
            <w:tcW w:w="2977" w:type="dxa"/>
          </w:tcPr>
          <w:p w14:paraId="597A8223" w14:textId="77777777" w:rsidR="00856ADA" w:rsidRPr="00856ADA" w:rsidRDefault="00856ADA" w:rsidP="00BD6D95">
            <w:pPr>
              <w:jc w:val="left"/>
            </w:pPr>
            <w:r w:rsidRPr="00856ADA">
              <w:t>Conical Scan</w:t>
            </w:r>
          </w:p>
        </w:tc>
      </w:tr>
      <w:tr w:rsidR="00856ADA" w:rsidRPr="006D6727" w14:paraId="46EB5C7D" w14:textId="77777777" w:rsidTr="002B7F79">
        <w:tc>
          <w:tcPr>
            <w:tcW w:w="4106" w:type="dxa"/>
          </w:tcPr>
          <w:p w14:paraId="50C26B04" w14:textId="77777777" w:rsidR="00856ADA" w:rsidRPr="00856ADA" w:rsidRDefault="00856ADA" w:rsidP="00BD6D95">
            <w:pPr>
              <w:jc w:val="left"/>
            </w:pPr>
            <w:r w:rsidRPr="00856ADA">
              <w:t>Orbit altitude (km)</w:t>
            </w:r>
          </w:p>
        </w:tc>
        <w:tc>
          <w:tcPr>
            <w:tcW w:w="1559" w:type="dxa"/>
          </w:tcPr>
          <w:p w14:paraId="4D9062ED" w14:textId="77777777" w:rsidR="00856ADA" w:rsidRPr="00856ADA" w:rsidRDefault="00856ADA" w:rsidP="00BD6D95">
            <w:pPr>
              <w:jc w:val="left"/>
            </w:pPr>
            <w:r w:rsidRPr="00856ADA">
              <w:t>830</w:t>
            </w:r>
          </w:p>
        </w:tc>
        <w:tc>
          <w:tcPr>
            <w:tcW w:w="2977" w:type="dxa"/>
          </w:tcPr>
          <w:p w14:paraId="372FFC35" w14:textId="77777777" w:rsidR="00856ADA" w:rsidRPr="00856ADA" w:rsidRDefault="00856ADA" w:rsidP="00BD6D95">
            <w:pPr>
              <w:jc w:val="left"/>
            </w:pPr>
            <w:r w:rsidRPr="00856ADA">
              <w:t>800</w:t>
            </w:r>
          </w:p>
        </w:tc>
      </w:tr>
      <w:tr w:rsidR="00856ADA" w:rsidRPr="006D6727" w14:paraId="42BDA3DC" w14:textId="77777777" w:rsidTr="002B7F79">
        <w:tc>
          <w:tcPr>
            <w:tcW w:w="4106" w:type="dxa"/>
          </w:tcPr>
          <w:p w14:paraId="4E47FC14" w14:textId="77777777" w:rsidR="00856ADA" w:rsidRPr="00856ADA" w:rsidRDefault="00856ADA" w:rsidP="00BD6D95">
            <w:pPr>
              <w:jc w:val="left"/>
            </w:pPr>
            <w:r w:rsidRPr="00856ADA">
              <w:t>Nadir angle (°)</w:t>
            </w:r>
          </w:p>
        </w:tc>
        <w:tc>
          <w:tcPr>
            <w:tcW w:w="1559" w:type="dxa"/>
          </w:tcPr>
          <w:p w14:paraId="3A9E6ED9" w14:textId="77777777" w:rsidR="00856ADA" w:rsidRPr="00856ADA" w:rsidRDefault="00856ADA" w:rsidP="00BD6D95">
            <w:pPr>
              <w:jc w:val="left"/>
            </w:pPr>
            <w:r w:rsidRPr="00856ADA">
              <w:t>45.2</w:t>
            </w:r>
          </w:p>
        </w:tc>
        <w:tc>
          <w:tcPr>
            <w:tcW w:w="2977" w:type="dxa"/>
          </w:tcPr>
          <w:p w14:paraId="6B0F3DAA" w14:textId="77777777" w:rsidR="00856ADA" w:rsidRPr="00856ADA" w:rsidRDefault="00856ADA" w:rsidP="00BD6D95">
            <w:pPr>
              <w:jc w:val="left"/>
            </w:pPr>
            <w:r w:rsidRPr="00856ADA">
              <w:t>45.2</w:t>
            </w:r>
          </w:p>
        </w:tc>
      </w:tr>
      <w:tr w:rsidR="00856ADA" w:rsidRPr="006D6727" w14:paraId="264DCA8D" w14:textId="77777777" w:rsidTr="002B7F79">
        <w:tc>
          <w:tcPr>
            <w:tcW w:w="4106" w:type="dxa"/>
          </w:tcPr>
          <w:p w14:paraId="00440791" w14:textId="77777777" w:rsidR="00856ADA" w:rsidRPr="00856ADA" w:rsidRDefault="00856ADA" w:rsidP="00BD6D95">
            <w:pPr>
              <w:jc w:val="left"/>
            </w:pPr>
            <w:r w:rsidRPr="00856ADA">
              <w:t>Slant path distance (km)</w:t>
            </w:r>
          </w:p>
        </w:tc>
        <w:tc>
          <w:tcPr>
            <w:tcW w:w="1559" w:type="dxa"/>
          </w:tcPr>
          <w:p w14:paraId="4CE2F495" w14:textId="77777777" w:rsidR="00856ADA" w:rsidRPr="00856ADA" w:rsidRDefault="00856ADA" w:rsidP="00BD6D95">
            <w:pPr>
              <w:jc w:val="left"/>
            </w:pPr>
            <w:r w:rsidRPr="00856ADA">
              <w:t>1269</w:t>
            </w:r>
          </w:p>
        </w:tc>
        <w:tc>
          <w:tcPr>
            <w:tcW w:w="2977" w:type="dxa"/>
          </w:tcPr>
          <w:p w14:paraId="39CDC6BB" w14:textId="77777777" w:rsidR="00856ADA" w:rsidRPr="00856ADA" w:rsidRDefault="00856ADA" w:rsidP="00BD6D95">
            <w:pPr>
              <w:jc w:val="left"/>
            </w:pPr>
            <w:r w:rsidRPr="00856ADA">
              <w:t>1219</w:t>
            </w:r>
          </w:p>
        </w:tc>
      </w:tr>
      <w:tr w:rsidR="00856ADA" w:rsidRPr="006D6727" w14:paraId="425FCA7B" w14:textId="77777777" w:rsidTr="002B7F79">
        <w:tc>
          <w:tcPr>
            <w:tcW w:w="4106" w:type="dxa"/>
          </w:tcPr>
          <w:p w14:paraId="11605C2A" w14:textId="77777777" w:rsidR="00856ADA" w:rsidRPr="00856ADA" w:rsidRDefault="00856ADA" w:rsidP="00BD6D95">
            <w:pPr>
              <w:jc w:val="left"/>
            </w:pPr>
            <w:r w:rsidRPr="00856ADA">
              <w:t>Free space loss (dB)</w:t>
            </w:r>
          </w:p>
        </w:tc>
        <w:tc>
          <w:tcPr>
            <w:tcW w:w="1559" w:type="dxa"/>
          </w:tcPr>
          <w:p w14:paraId="38BC8209" w14:textId="77777777" w:rsidR="00856ADA" w:rsidRPr="00856ADA" w:rsidRDefault="00856ADA" w:rsidP="00BD6D95">
            <w:pPr>
              <w:jc w:val="left"/>
            </w:pPr>
            <w:r w:rsidRPr="00856ADA">
              <w:t>195.7</w:t>
            </w:r>
          </w:p>
        </w:tc>
        <w:tc>
          <w:tcPr>
            <w:tcW w:w="2977" w:type="dxa"/>
          </w:tcPr>
          <w:p w14:paraId="32D577C0" w14:textId="77777777" w:rsidR="00856ADA" w:rsidRPr="00856ADA" w:rsidRDefault="00856ADA" w:rsidP="00BD6D95">
            <w:pPr>
              <w:jc w:val="left"/>
            </w:pPr>
            <w:r w:rsidRPr="00856ADA">
              <w:t>195.3</w:t>
            </w:r>
          </w:p>
        </w:tc>
      </w:tr>
      <w:tr w:rsidR="00856ADA" w:rsidRPr="006D6727" w14:paraId="16D96463" w14:textId="77777777" w:rsidTr="002B7F79">
        <w:tc>
          <w:tcPr>
            <w:tcW w:w="4106" w:type="dxa"/>
          </w:tcPr>
          <w:p w14:paraId="6FE7A054" w14:textId="77777777" w:rsidR="00856ADA" w:rsidRPr="00856ADA" w:rsidRDefault="00856ADA" w:rsidP="00BD6D95">
            <w:pPr>
              <w:jc w:val="left"/>
            </w:pPr>
            <w:r w:rsidRPr="00856ADA">
              <w:t>Elevation angle at ground (°)</w:t>
            </w:r>
          </w:p>
        </w:tc>
        <w:tc>
          <w:tcPr>
            <w:tcW w:w="1559" w:type="dxa"/>
          </w:tcPr>
          <w:p w14:paraId="23FEB9F1" w14:textId="77777777" w:rsidR="00856ADA" w:rsidRPr="00856ADA" w:rsidRDefault="00856ADA" w:rsidP="00BD6D95">
            <w:pPr>
              <w:jc w:val="left"/>
            </w:pPr>
            <w:r w:rsidRPr="00856ADA">
              <w:t>36.7</w:t>
            </w:r>
          </w:p>
        </w:tc>
        <w:tc>
          <w:tcPr>
            <w:tcW w:w="2977" w:type="dxa"/>
          </w:tcPr>
          <w:p w14:paraId="7E301D1A" w14:textId="77777777" w:rsidR="00856ADA" w:rsidRPr="00856ADA" w:rsidRDefault="00856ADA" w:rsidP="00BD6D95">
            <w:pPr>
              <w:jc w:val="left"/>
            </w:pPr>
            <w:r w:rsidRPr="00856ADA">
              <w:t>37.0</w:t>
            </w:r>
          </w:p>
        </w:tc>
      </w:tr>
      <w:tr w:rsidR="00856ADA" w:rsidRPr="006D6727" w14:paraId="75A1CD12" w14:textId="77777777" w:rsidTr="002B7F79">
        <w:tc>
          <w:tcPr>
            <w:tcW w:w="4106" w:type="dxa"/>
          </w:tcPr>
          <w:p w14:paraId="2CECD9D8" w14:textId="77777777" w:rsidR="00856ADA" w:rsidRPr="00856ADA" w:rsidRDefault="00856ADA" w:rsidP="00BD6D95">
            <w:pPr>
              <w:jc w:val="left"/>
            </w:pPr>
            <w:r w:rsidRPr="00856ADA">
              <w:t>Attenuation due to atmospheric gases (dB)</w:t>
            </w:r>
          </w:p>
        </w:tc>
        <w:tc>
          <w:tcPr>
            <w:tcW w:w="1559" w:type="dxa"/>
          </w:tcPr>
          <w:p w14:paraId="156E0FEF" w14:textId="77777777" w:rsidR="00856ADA" w:rsidRPr="00856ADA" w:rsidRDefault="00856ADA" w:rsidP="00BD6D95">
            <w:pPr>
              <w:jc w:val="left"/>
            </w:pPr>
            <w:r w:rsidRPr="00856ADA">
              <w:t>3.2</w:t>
            </w:r>
          </w:p>
        </w:tc>
        <w:tc>
          <w:tcPr>
            <w:tcW w:w="2977" w:type="dxa"/>
          </w:tcPr>
          <w:p w14:paraId="3A65FCD8" w14:textId="77777777" w:rsidR="00856ADA" w:rsidRPr="00856ADA" w:rsidRDefault="00856ADA" w:rsidP="00BD6D95">
            <w:pPr>
              <w:jc w:val="left"/>
            </w:pPr>
            <w:r w:rsidRPr="00856ADA">
              <w:t>3.2</w:t>
            </w:r>
          </w:p>
        </w:tc>
      </w:tr>
      <w:tr w:rsidR="00856ADA" w:rsidRPr="006D6727" w14:paraId="4E8A3442" w14:textId="77777777" w:rsidTr="002B7F79">
        <w:tc>
          <w:tcPr>
            <w:tcW w:w="4106" w:type="dxa"/>
          </w:tcPr>
          <w:p w14:paraId="5B452D3D" w14:textId="77777777" w:rsidR="00856ADA" w:rsidRPr="00856ADA" w:rsidRDefault="00856ADA" w:rsidP="00BD6D95">
            <w:pPr>
              <w:jc w:val="left"/>
            </w:pPr>
            <w:r w:rsidRPr="00856ADA">
              <w:t>Reference bandwidth (MHz)</w:t>
            </w:r>
          </w:p>
        </w:tc>
        <w:tc>
          <w:tcPr>
            <w:tcW w:w="1559" w:type="dxa"/>
          </w:tcPr>
          <w:p w14:paraId="07E56730" w14:textId="77777777" w:rsidR="00856ADA" w:rsidRPr="00856ADA" w:rsidRDefault="00856ADA" w:rsidP="00BD6D95">
            <w:pPr>
              <w:jc w:val="left"/>
            </w:pPr>
            <w:r w:rsidRPr="00856ADA">
              <w:t>200</w:t>
            </w:r>
          </w:p>
        </w:tc>
        <w:tc>
          <w:tcPr>
            <w:tcW w:w="2977" w:type="dxa"/>
          </w:tcPr>
          <w:p w14:paraId="06B450BE" w14:textId="77777777" w:rsidR="00856ADA" w:rsidRPr="00856ADA" w:rsidRDefault="00856ADA" w:rsidP="00BD6D95">
            <w:pPr>
              <w:jc w:val="left"/>
            </w:pPr>
            <w:r w:rsidRPr="00856ADA">
              <w:t>200</w:t>
            </w:r>
          </w:p>
        </w:tc>
      </w:tr>
      <w:tr w:rsidR="00856ADA" w:rsidRPr="006D6727" w14:paraId="546AA89B" w14:textId="77777777" w:rsidTr="002B7F79">
        <w:tc>
          <w:tcPr>
            <w:tcW w:w="4106" w:type="dxa"/>
          </w:tcPr>
          <w:p w14:paraId="27039A66" w14:textId="77777777" w:rsidR="00856ADA" w:rsidRPr="00856ADA" w:rsidRDefault="00856ADA" w:rsidP="00BD6D95">
            <w:pPr>
              <w:jc w:val="left"/>
            </w:pPr>
            <w:r w:rsidRPr="00856ADA">
              <w:t>EESS protection criterion (dBW/reference bandwidth)</w:t>
            </w:r>
          </w:p>
        </w:tc>
        <w:tc>
          <w:tcPr>
            <w:tcW w:w="1559" w:type="dxa"/>
          </w:tcPr>
          <w:p w14:paraId="50470D66" w14:textId="77777777" w:rsidR="00856ADA" w:rsidRPr="00856ADA" w:rsidRDefault="00856ADA" w:rsidP="00BD6D95">
            <w:pPr>
              <w:jc w:val="left"/>
            </w:pPr>
            <w:r w:rsidRPr="00856ADA">
              <w:t>-166</w:t>
            </w:r>
          </w:p>
        </w:tc>
        <w:tc>
          <w:tcPr>
            <w:tcW w:w="2977" w:type="dxa"/>
          </w:tcPr>
          <w:p w14:paraId="50D9F3CC" w14:textId="77777777" w:rsidR="00856ADA" w:rsidRPr="00856ADA" w:rsidRDefault="00856ADA" w:rsidP="00BD6D95">
            <w:pPr>
              <w:jc w:val="left"/>
            </w:pPr>
            <w:r w:rsidRPr="00856ADA">
              <w:t>-166</w:t>
            </w:r>
          </w:p>
        </w:tc>
      </w:tr>
      <w:tr w:rsidR="00856ADA" w:rsidRPr="006D6727" w14:paraId="069C132B" w14:textId="77777777" w:rsidTr="002B7F79">
        <w:tc>
          <w:tcPr>
            <w:tcW w:w="4106" w:type="dxa"/>
          </w:tcPr>
          <w:p w14:paraId="1AD337CC" w14:textId="77777777" w:rsidR="00856ADA" w:rsidRPr="00856ADA" w:rsidRDefault="00856ADA" w:rsidP="00BD6D95">
            <w:pPr>
              <w:jc w:val="left"/>
            </w:pPr>
            <w:r w:rsidRPr="00856ADA">
              <w:t>Apportionment factor (dB)</w:t>
            </w:r>
          </w:p>
        </w:tc>
        <w:tc>
          <w:tcPr>
            <w:tcW w:w="1559" w:type="dxa"/>
          </w:tcPr>
          <w:p w14:paraId="34105FC2" w14:textId="77777777" w:rsidR="00856ADA" w:rsidRPr="00856ADA" w:rsidRDefault="00856ADA" w:rsidP="00BD6D95">
            <w:pPr>
              <w:jc w:val="left"/>
            </w:pPr>
            <w:r w:rsidRPr="00856ADA">
              <w:t>12</w:t>
            </w:r>
          </w:p>
        </w:tc>
        <w:tc>
          <w:tcPr>
            <w:tcW w:w="2977" w:type="dxa"/>
          </w:tcPr>
          <w:p w14:paraId="7336565D" w14:textId="77777777" w:rsidR="00856ADA" w:rsidRPr="00856ADA" w:rsidRDefault="00856ADA" w:rsidP="00BD6D95">
            <w:pPr>
              <w:jc w:val="left"/>
            </w:pPr>
            <w:r w:rsidRPr="00856ADA">
              <w:t>12</w:t>
            </w:r>
          </w:p>
        </w:tc>
      </w:tr>
      <w:tr w:rsidR="00856ADA" w:rsidRPr="006D6727" w14:paraId="10D5C75B" w14:textId="77777777" w:rsidTr="002B7F79">
        <w:tc>
          <w:tcPr>
            <w:tcW w:w="4106" w:type="dxa"/>
          </w:tcPr>
          <w:p w14:paraId="2C9802F5" w14:textId="77777777" w:rsidR="00856ADA" w:rsidRPr="00856ADA" w:rsidRDefault="00856ADA" w:rsidP="00BD6D95">
            <w:pPr>
              <w:jc w:val="left"/>
            </w:pPr>
            <w:r w:rsidRPr="00856ADA">
              <w:t>EESS protection criterion (with relevant apportionment) (dBW/reference bandwidth)</w:t>
            </w:r>
          </w:p>
        </w:tc>
        <w:tc>
          <w:tcPr>
            <w:tcW w:w="1559" w:type="dxa"/>
          </w:tcPr>
          <w:p w14:paraId="5EB63C88" w14:textId="77777777" w:rsidR="00856ADA" w:rsidRPr="00856ADA" w:rsidRDefault="00856ADA" w:rsidP="00BD6D95">
            <w:pPr>
              <w:jc w:val="left"/>
            </w:pPr>
            <w:r w:rsidRPr="00856ADA">
              <w:t>-178</w:t>
            </w:r>
          </w:p>
        </w:tc>
        <w:tc>
          <w:tcPr>
            <w:tcW w:w="2977" w:type="dxa"/>
          </w:tcPr>
          <w:p w14:paraId="103D0AD8" w14:textId="77777777" w:rsidR="00856ADA" w:rsidRPr="00856ADA" w:rsidRDefault="00856ADA" w:rsidP="00BD6D95">
            <w:pPr>
              <w:jc w:val="left"/>
            </w:pPr>
            <w:r w:rsidRPr="00856ADA">
              <w:t>-178</w:t>
            </w:r>
          </w:p>
        </w:tc>
      </w:tr>
      <w:tr w:rsidR="00856ADA" w:rsidRPr="006D6727" w14:paraId="362C79D7" w14:textId="77777777" w:rsidTr="002B7F79">
        <w:tc>
          <w:tcPr>
            <w:tcW w:w="4106" w:type="dxa"/>
          </w:tcPr>
          <w:p w14:paraId="744D9B16" w14:textId="77777777" w:rsidR="00856ADA" w:rsidRPr="00856ADA" w:rsidRDefault="00856ADA" w:rsidP="00BD6D95">
            <w:pPr>
              <w:jc w:val="left"/>
            </w:pPr>
            <w:r w:rsidRPr="00856ADA">
              <w:t>EESS sensor antenna gain (dBi)</w:t>
            </w:r>
          </w:p>
        </w:tc>
        <w:tc>
          <w:tcPr>
            <w:tcW w:w="1559" w:type="dxa"/>
          </w:tcPr>
          <w:p w14:paraId="6043A190" w14:textId="77777777" w:rsidR="00856ADA" w:rsidRPr="00856ADA" w:rsidRDefault="00856ADA" w:rsidP="00BD6D95">
            <w:pPr>
              <w:jc w:val="left"/>
            </w:pPr>
            <w:r w:rsidRPr="00856ADA">
              <w:t>55.5</w:t>
            </w:r>
          </w:p>
        </w:tc>
        <w:tc>
          <w:tcPr>
            <w:tcW w:w="2977" w:type="dxa"/>
          </w:tcPr>
          <w:p w14:paraId="1D99F3D8" w14:textId="77777777" w:rsidR="00856ADA" w:rsidRPr="00856ADA" w:rsidRDefault="00856ADA" w:rsidP="00BD6D95">
            <w:pPr>
              <w:jc w:val="left"/>
            </w:pPr>
            <w:r w:rsidRPr="00856ADA">
              <w:t>55</w:t>
            </w:r>
          </w:p>
        </w:tc>
      </w:tr>
      <w:tr w:rsidR="00856ADA" w:rsidRPr="006D6727" w14:paraId="57639D42" w14:textId="77777777" w:rsidTr="002B7F79">
        <w:tc>
          <w:tcPr>
            <w:tcW w:w="4106" w:type="dxa"/>
          </w:tcPr>
          <w:p w14:paraId="634AF4CF" w14:textId="77777777" w:rsidR="00856ADA" w:rsidRPr="00856ADA" w:rsidRDefault="00856ADA" w:rsidP="00BD6D95">
            <w:pPr>
              <w:jc w:val="left"/>
            </w:pPr>
            <w:r w:rsidRPr="00856ADA">
              <w:t>EESS footprint size (km²)</w:t>
            </w:r>
          </w:p>
        </w:tc>
        <w:tc>
          <w:tcPr>
            <w:tcW w:w="1559" w:type="dxa"/>
          </w:tcPr>
          <w:p w14:paraId="4D9EA2E2" w14:textId="77777777" w:rsidR="00856ADA" w:rsidRPr="00856ADA" w:rsidRDefault="00856ADA" w:rsidP="00BD6D95">
            <w:pPr>
              <w:jc w:val="left"/>
            </w:pPr>
            <w:r w:rsidRPr="00856ADA">
              <w:t>82</w:t>
            </w:r>
          </w:p>
        </w:tc>
        <w:tc>
          <w:tcPr>
            <w:tcW w:w="2977" w:type="dxa"/>
          </w:tcPr>
          <w:p w14:paraId="59DB9157" w14:textId="77777777" w:rsidR="00856ADA" w:rsidRPr="00856ADA" w:rsidRDefault="00856ADA" w:rsidP="00BD6D95">
            <w:pPr>
              <w:jc w:val="left"/>
            </w:pPr>
            <w:r w:rsidRPr="00856ADA">
              <w:t>82</w:t>
            </w:r>
          </w:p>
        </w:tc>
      </w:tr>
    </w:tbl>
    <w:p w14:paraId="2394C0F9" w14:textId="3598B74C" w:rsidR="008C4ABA" w:rsidRDefault="008C4ABA" w:rsidP="008C4ABA">
      <w:pPr>
        <w:pStyle w:val="Caption"/>
      </w:pPr>
      <w:bookmarkStart w:id="470" w:name="_Ref88129385"/>
      <w:r w:rsidRPr="008C4ABA">
        <w:t>Table </w:t>
      </w:r>
      <w:r>
        <w:fldChar w:fldCharType="begin"/>
      </w:r>
      <w:r>
        <w:instrText>SEQ Table \* ARABIC</w:instrText>
      </w:r>
      <w:r>
        <w:fldChar w:fldCharType="separate"/>
      </w:r>
      <w:r w:rsidR="004F49F9">
        <w:rPr>
          <w:noProof/>
        </w:rPr>
        <w:t>42</w:t>
      </w:r>
      <w:r>
        <w:fldChar w:fldCharType="end"/>
      </w:r>
      <w:bookmarkEnd w:id="470"/>
      <w:r w:rsidRPr="008C4ABA">
        <w:t xml:space="preserve">: </w:t>
      </w:r>
      <w:r w:rsidR="0045589C">
        <w:t>P</w:t>
      </w:r>
      <w:r w:rsidRPr="008C4ABA">
        <w:t>assive sensor parameters in the 1</w:t>
      </w:r>
      <w:r>
        <w:t>48</w:t>
      </w:r>
      <w:r w:rsidR="00CF4994">
        <w:t>.5</w:t>
      </w:r>
      <w:r w:rsidRPr="008C4ABA">
        <w:t xml:space="preserve"> to 1</w:t>
      </w:r>
      <w:r>
        <w:t>51</w:t>
      </w:r>
      <w:r w:rsidR="00CF4994">
        <w:t>.5</w:t>
      </w:r>
      <w:r w:rsidRPr="008C4ABA">
        <w:t> GHz band</w:t>
      </w:r>
    </w:p>
    <w:tbl>
      <w:tblPr>
        <w:tblStyle w:val="ECCTable-redheader"/>
        <w:tblW w:w="0" w:type="auto"/>
        <w:tblInd w:w="0" w:type="dxa"/>
        <w:tblLayout w:type="fixed"/>
        <w:tblLook w:val="04A0" w:firstRow="1" w:lastRow="0" w:firstColumn="1" w:lastColumn="0" w:noHBand="0" w:noVBand="1"/>
      </w:tblPr>
      <w:tblGrid>
        <w:gridCol w:w="4962"/>
        <w:gridCol w:w="2268"/>
        <w:gridCol w:w="2126"/>
      </w:tblGrid>
      <w:tr w:rsidR="008C4ABA" w:rsidRPr="006D6727" w14:paraId="5E6717B2" w14:textId="77777777" w:rsidTr="004448DF">
        <w:trPr>
          <w:cnfStyle w:val="100000000000" w:firstRow="1" w:lastRow="0" w:firstColumn="0" w:lastColumn="0" w:oddVBand="0" w:evenVBand="0" w:oddHBand="0" w:evenHBand="0" w:firstRowFirstColumn="0" w:firstRowLastColumn="0" w:lastRowFirstColumn="0" w:lastRowLastColumn="0"/>
        </w:trPr>
        <w:tc>
          <w:tcPr>
            <w:tcW w:w="4962" w:type="dxa"/>
          </w:tcPr>
          <w:p w14:paraId="1CBBDBB0" w14:textId="77777777" w:rsidR="00856ADA" w:rsidRPr="00856ADA" w:rsidRDefault="00856ADA" w:rsidP="00856ADA">
            <w:pPr>
              <w:rPr>
                <w:b w:val="0"/>
              </w:rPr>
            </w:pPr>
            <w:r>
              <w:t>EESS sensor</w:t>
            </w:r>
          </w:p>
        </w:tc>
        <w:tc>
          <w:tcPr>
            <w:tcW w:w="2268" w:type="dxa"/>
          </w:tcPr>
          <w:p w14:paraId="6DE7B07F" w14:textId="5CD17B82" w:rsidR="00856ADA" w:rsidRPr="008C4ABA" w:rsidRDefault="00856ADA" w:rsidP="008C4ABA">
            <w:r w:rsidRPr="00856ADA">
              <w:t>Syst</w:t>
            </w:r>
            <w:r w:rsidR="009A18E2">
              <w:t>em</w:t>
            </w:r>
            <w:r w:rsidRPr="00856ADA">
              <w:t xml:space="preserve"> N1 (</w:t>
            </w:r>
            <w:r w:rsidR="009A18E2">
              <w:t>N</w:t>
            </w:r>
            <w:r w:rsidRPr="00856ADA">
              <w:t>adir)</w:t>
            </w:r>
          </w:p>
        </w:tc>
        <w:tc>
          <w:tcPr>
            <w:tcW w:w="2126" w:type="dxa"/>
          </w:tcPr>
          <w:p w14:paraId="6C6AF5DD" w14:textId="14523CB3" w:rsidR="00856ADA" w:rsidRPr="008C4ABA" w:rsidRDefault="00856ADA" w:rsidP="008C4ABA">
            <w:r w:rsidRPr="00856ADA">
              <w:t>Syst</w:t>
            </w:r>
            <w:r w:rsidR="009A18E2">
              <w:t>em</w:t>
            </w:r>
            <w:r w:rsidRPr="00856ADA">
              <w:t xml:space="preserve"> N1 (</w:t>
            </w:r>
            <w:r w:rsidR="009A18E2">
              <w:t>O</w:t>
            </w:r>
            <w:r w:rsidRPr="00856ADA">
              <w:t>uter)</w:t>
            </w:r>
          </w:p>
        </w:tc>
      </w:tr>
      <w:tr w:rsidR="008C4ABA" w:rsidRPr="006D6727" w14:paraId="68452093" w14:textId="77777777" w:rsidTr="004448DF">
        <w:tc>
          <w:tcPr>
            <w:tcW w:w="4962" w:type="dxa"/>
          </w:tcPr>
          <w:p w14:paraId="3404DD9C" w14:textId="77777777" w:rsidR="008C4ABA" w:rsidRPr="008C4ABA" w:rsidRDefault="008C4ABA" w:rsidP="008C4ABA">
            <w:r w:rsidRPr="008C4ABA">
              <w:t>Type of sensor</w:t>
            </w:r>
          </w:p>
        </w:tc>
        <w:tc>
          <w:tcPr>
            <w:tcW w:w="2268" w:type="dxa"/>
          </w:tcPr>
          <w:p w14:paraId="39B66A43" w14:textId="77777777" w:rsidR="008C4ABA" w:rsidRPr="008C4ABA" w:rsidRDefault="008C4ABA" w:rsidP="008C4ABA">
            <w:r w:rsidRPr="008C4ABA">
              <w:t>Nadir Scan</w:t>
            </w:r>
          </w:p>
        </w:tc>
        <w:tc>
          <w:tcPr>
            <w:tcW w:w="2126" w:type="dxa"/>
          </w:tcPr>
          <w:p w14:paraId="261755D9" w14:textId="77777777" w:rsidR="008C4ABA" w:rsidRPr="008C4ABA" w:rsidRDefault="008C4ABA" w:rsidP="008C4ABA">
            <w:r w:rsidRPr="008C4ABA">
              <w:t>Nadir Scan</w:t>
            </w:r>
          </w:p>
        </w:tc>
      </w:tr>
      <w:tr w:rsidR="008C4ABA" w:rsidRPr="006D6727" w14:paraId="4A3E5C10" w14:textId="77777777" w:rsidTr="004448DF">
        <w:tc>
          <w:tcPr>
            <w:tcW w:w="4962" w:type="dxa"/>
          </w:tcPr>
          <w:p w14:paraId="3EFF90D4" w14:textId="77777777" w:rsidR="008C4ABA" w:rsidRPr="008C4ABA" w:rsidRDefault="008C4ABA" w:rsidP="008C4ABA">
            <w:r w:rsidRPr="008C4ABA">
              <w:t>Orbit altitude (km)</w:t>
            </w:r>
          </w:p>
        </w:tc>
        <w:tc>
          <w:tcPr>
            <w:tcW w:w="2268" w:type="dxa"/>
          </w:tcPr>
          <w:p w14:paraId="6D63DE4B" w14:textId="77777777" w:rsidR="008C4ABA" w:rsidRPr="008C4ABA" w:rsidRDefault="008C4ABA" w:rsidP="008C4ABA">
            <w:r w:rsidRPr="008C4ABA">
              <w:t>705</w:t>
            </w:r>
          </w:p>
        </w:tc>
        <w:tc>
          <w:tcPr>
            <w:tcW w:w="2126" w:type="dxa"/>
          </w:tcPr>
          <w:p w14:paraId="2B53D5D0" w14:textId="77777777" w:rsidR="008C4ABA" w:rsidRPr="008C4ABA" w:rsidRDefault="008C4ABA" w:rsidP="008C4ABA">
            <w:r w:rsidRPr="008C4ABA">
              <w:t>705</w:t>
            </w:r>
          </w:p>
        </w:tc>
      </w:tr>
      <w:tr w:rsidR="008C4ABA" w:rsidRPr="006D6727" w14:paraId="6E2540DD" w14:textId="77777777" w:rsidTr="004448DF">
        <w:tc>
          <w:tcPr>
            <w:tcW w:w="4962" w:type="dxa"/>
          </w:tcPr>
          <w:p w14:paraId="555EA0F0" w14:textId="77777777" w:rsidR="008C4ABA" w:rsidRPr="008C4ABA" w:rsidRDefault="008C4ABA" w:rsidP="008C4ABA">
            <w:r w:rsidRPr="008C4ABA">
              <w:t>Nadir angle (°)</w:t>
            </w:r>
          </w:p>
        </w:tc>
        <w:tc>
          <w:tcPr>
            <w:tcW w:w="2268" w:type="dxa"/>
          </w:tcPr>
          <w:p w14:paraId="2A50E9D6" w14:textId="77777777" w:rsidR="008C4ABA" w:rsidRPr="008C4ABA" w:rsidRDefault="008C4ABA" w:rsidP="008C4ABA">
            <w:r w:rsidRPr="008C4ABA">
              <w:t>0</w:t>
            </w:r>
          </w:p>
        </w:tc>
        <w:tc>
          <w:tcPr>
            <w:tcW w:w="2126" w:type="dxa"/>
          </w:tcPr>
          <w:p w14:paraId="7D2777A0" w14:textId="77777777" w:rsidR="008C4ABA" w:rsidRPr="008C4ABA" w:rsidRDefault="008C4ABA" w:rsidP="008C4ABA">
            <w:r w:rsidRPr="008C4ABA">
              <w:t>48</w:t>
            </w:r>
            <w:r w:rsidR="00CF4994">
              <w:t>.9</w:t>
            </w:r>
            <w:r w:rsidRPr="008C4ABA">
              <w:t>5</w:t>
            </w:r>
          </w:p>
        </w:tc>
      </w:tr>
      <w:tr w:rsidR="008C4ABA" w:rsidRPr="006D6727" w14:paraId="27FDED32" w14:textId="77777777" w:rsidTr="004448DF">
        <w:tc>
          <w:tcPr>
            <w:tcW w:w="4962" w:type="dxa"/>
          </w:tcPr>
          <w:p w14:paraId="26365559" w14:textId="77777777" w:rsidR="008C4ABA" w:rsidRPr="008C4ABA" w:rsidRDefault="008C4ABA" w:rsidP="008C4ABA">
            <w:r w:rsidRPr="008C4ABA">
              <w:t>Slant path distance (km)</w:t>
            </w:r>
          </w:p>
        </w:tc>
        <w:tc>
          <w:tcPr>
            <w:tcW w:w="2268" w:type="dxa"/>
          </w:tcPr>
          <w:p w14:paraId="0D7502F0" w14:textId="77777777" w:rsidR="008C4ABA" w:rsidRPr="008C4ABA" w:rsidRDefault="008C4ABA" w:rsidP="008C4ABA">
            <w:r w:rsidRPr="008C4ABA">
              <w:t>705</w:t>
            </w:r>
          </w:p>
        </w:tc>
        <w:tc>
          <w:tcPr>
            <w:tcW w:w="2126" w:type="dxa"/>
          </w:tcPr>
          <w:p w14:paraId="5CFE6F3A" w14:textId="77777777" w:rsidR="008C4ABA" w:rsidRPr="008C4ABA" w:rsidRDefault="008C4ABA" w:rsidP="008C4ABA">
            <w:r w:rsidRPr="008C4ABA">
              <w:t>1166</w:t>
            </w:r>
          </w:p>
        </w:tc>
      </w:tr>
      <w:tr w:rsidR="008C4ABA" w:rsidRPr="006D6727" w14:paraId="3CAAD832" w14:textId="77777777" w:rsidTr="004448DF">
        <w:tc>
          <w:tcPr>
            <w:tcW w:w="4962" w:type="dxa"/>
          </w:tcPr>
          <w:p w14:paraId="53816AEF" w14:textId="77777777" w:rsidR="008C4ABA" w:rsidRPr="008C4ABA" w:rsidRDefault="008C4ABA" w:rsidP="008C4ABA">
            <w:r w:rsidRPr="008C4ABA">
              <w:t>Free space loss (dB)</w:t>
            </w:r>
          </w:p>
        </w:tc>
        <w:tc>
          <w:tcPr>
            <w:tcW w:w="2268" w:type="dxa"/>
          </w:tcPr>
          <w:p w14:paraId="26F02F83" w14:textId="77777777" w:rsidR="008C4ABA" w:rsidRPr="008C4ABA" w:rsidRDefault="008C4ABA" w:rsidP="008C4ABA">
            <w:r w:rsidRPr="008C4ABA">
              <w:t>192</w:t>
            </w:r>
            <w:r w:rsidR="00CF4994">
              <w:t>.8</w:t>
            </w:r>
          </w:p>
        </w:tc>
        <w:tc>
          <w:tcPr>
            <w:tcW w:w="2126" w:type="dxa"/>
          </w:tcPr>
          <w:p w14:paraId="675B8283" w14:textId="77777777" w:rsidR="008C4ABA" w:rsidRPr="008C4ABA" w:rsidRDefault="008C4ABA" w:rsidP="008C4ABA">
            <w:r w:rsidRPr="008C4ABA">
              <w:t>197</w:t>
            </w:r>
            <w:r w:rsidR="00CF4994">
              <w:t>.2</w:t>
            </w:r>
          </w:p>
        </w:tc>
      </w:tr>
      <w:tr w:rsidR="008C4ABA" w:rsidRPr="006D6727" w14:paraId="0EF8162F" w14:textId="77777777" w:rsidTr="004448DF">
        <w:tc>
          <w:tcPr>
            <w:tcW w:w="4962" w:type="dxa"/>
          </w:tcPr>
          <w:p w14:paraId="0134D2A1" w14:textId="77777777" w:rsidR="008C4ABA" w:rsidRPr="008C4ABA" w:rsidRDefault="008C4ABA" w:rsidP="008C4ABA">
            <w:r w:rsidRPr="008C4ABA">
              <w:t>Elevation angle at ground (°)</w:t>
            </w:r>
          </w:p>
        </w:tc>
        <w:tc>
          <w:tcPr>
            <w:tcW w:w="2268" w:type="dxa"/>
          </w:tcPr>
          <w:p w14:paraId="62812382" w14:textId="77777777" w:rsidR="008C4ABA" w:rsidRPr="008C4ABA" w:rsidRDefault="008C4ABA" w:rsidP="008C4ABA">
            <w:r w:rsidRPr="008C4ABA">
              <w:t>90</w:t>
            </w:r>
            <w:r w:rsidR="00CF4994">
              <w:t>.0</w:t>
            </w:r>
          </w:p>
        </w:tc>
        <w:tc>
          <w:tcPr>
            <w:tcW w:w="2126" w:type="dxa"/>
          </w:tcPr>
          <w:p w14:paraId="0F3C14D6" w14:textId="77777777" w:rsidR="008C4ABA" w:rsidRPr="008C4ABA" w:rsidRDefault="008C4ABA" w:rsidP="008C4ABA">
            <w:r w:rsidRPr="008C4ABA">
              <w:t>33</w:t>
            </w:r>
            <w:r w:rsidR="00CF4994">
              <w:t>.1</w:t>
            </w:r>
          </w:p>
        </w:tc>
      </w:tr>
      <w:tr w:rsidR="008C4ABA" w:rsidRPr="006D6727" w14:paraId="223AE841" w14:textId="77777777" w:rsidTr="004448DF">
        <w:tc>
          <w:tcPr>
            <w:tcW w:w="4962" w:type="dxa"/>
          </w:tcPr>
          <w:p w14:paraId="5E77C4A4" w14:textId="77777777" w:rsidR="008C4ABA" w:rsidRPr="008C4ABA" w:rsidRDefault="008C4ABA" w:rsidP="004448DF">
            <w:pPr>
              <w:jc w:val="left"/>
            </w:pPr>
            <w:r w:rsidRPr="008C4ABA">
              <w:t>Attenuation due to atmospheric gases (dB)</w:t>
            </w:r>
          </w:p>
        </w:tc>
        <w:tc>
          <w:tcPr>
            <w:tcW w:w="2268" w:type="dxa"/>
          </w:tcPr>
          <w:p w14:paraId="33BFB0EE" w14:textId="77777777" w:rsidR="008C4ABA" w:rsidRPr="008C4ABA" w:rsidRDefault="008C4ABA" w:rsidP="008C4ABA">
            <w:r w:rsidRPr="008C4ABA">
              <w:t>2</w:t>
            </w:r>
          </w:p>
        </w:tc>
        <w:tc>
          <w:tcPr>
            <w:tcW w:w="2126" w:type="dxa"/>
          </w:tcPr>
          <w:p w14:paraId="5BF35CC5" w14:textId="77777777" w:rsidR="008C4ABA" w:rsidRPr="008C4ABA" w:rsidRDefault="008C4ABA" w:rsidP="008C4ABA">
            <w:r w:rsidRPr="008C4ABA">
              <w:t>3</w:t>
            </w:r>
            <w:r w:rsidR="00CF4994">
              <w:t>.8</w:t>
            </w:r>
          </w:p>
        </w:tc>
      </w:tr>
      <w:tr w:rsidR="008C4ABA" w:rsidRPr="006D6727" w14:paraId="130F1BAC" w14:textId="77777777" w:rsidTr="004448DF">
        <w:tc>
          <w:tcPr>
            <w:tcW w:w="4962" w:type="dxa"/>
          </w:tcPr>
          <w:p w14:paraId="48ECD4AA" w14:textId="77777777" w:rsidR="008C4ABA" w:rsidRPr="008C4ABA" w:rsidRDefault="008C4ABA" w:rsidP="008C4ABA">
            <w:r w:rsidRPr="008C4ABA">
              <w:t>Reference bandwidth (MHz)</w:t>
            </w:r>
          </w:p>
        </w:tc>
        <w:tc>
          <w:tcPr>
            <w:tcW w:w="2268" w:type="dxa"/>
          </w:tcPr>
          <w:p w14:paraId="40A74970" w14:textId="77777777" w:rsidR="008C4ABA" w:rsidRPr="008C4ABA" w:rsidRDefault="008C4ABA" w:rsidP="008C4ABA">
            <w:r w:rsidRPr="008C4ABA">
              <w:t>500</w:t>
            </w:r>
          </w:p>
        </w:tc>
        <w:tc>
          <w:tcPr>
            <w:tcW w:w="2126" w:type="dxa"/>
          </w:tcPr>
          <w:p w14:paraId="6CB912B2" w14:textId="77777777" w:rsidR="008C4ABA" w:rsidRPr="008C4ABA" w:rsidRDefault="008C4ABA" w:rsidP="008C4ABA">
            <w:r w:rsidRPr="008C4ABA">
              <w:t>500</w:t>
            </w:r>
          </w:p>
        </w:tc>
      </w:tr>
      <w:tr w:rsidR="008C4ABA" w:rsidRPr="006D6727" w14:paraId="03820913" w14:textId="77777777" w:rsidTr="004448DF">
        <w:tc>
          <w:tcPr>
            <w:tcW w:w="4962" w:type="dxa"/>
          </w:tcPr>
          <w:p w14:paraId="45A54344" w14:textId="77777777" w:rsidR="008C4ABA" w:rsidRPr="008C4ABA" w:rsidRDefault="008C4ABA" w:rsidP="004448DF">
            <w:pPr>
              <w:jc w:val="left"/>
            </w:pPr>
            <w:r w:rsidRPr="008C4ABA">
              <w:t>EESS protection criterion (dBW/reference bandwidth)</w:t>
            </w:r>
          </w:p>
        </w:tc>
        <w:tc>
          <w:tcPr>
            <w:tcW w:w="2268" w:type="dxa"/>
          </w:tcPr>
          <w:p w14:paraId="701260DD" w14:textId="77777777" w:rsidR="008C4ABA" w:rsidRPr="008C4ABA" w:rsidRDefault="008C4ABA" w:rsidP="008C4ABA">
            <w:r>
              <w:t>-159</w:t>
            </w:r>
          </w:p>
        </w:tc>
        <w:tc>
          <w:tcPr>
            <w:tcW w:w="2126" w:type="dxa"/>
          </w:tcPr>
          <w:p w14:paraId="0C1B0456" w14:textId="77777777" w:rsidR="008C4ABA" w:rsidRPr="008C4ABA" w:rsidRDefault="008C4ABA" w:rsidP="008C4ABA">
            <w:r>
              <w:t>-159</w:t>
            </w:r>
          </w:p>
        </w:tc>
      </w:tr>
      <w:tr w:rsidR="008C4ABA" w:rsidRPr="006D6727" w14:paraId="30FC94CD" w14:textId="77777777" w:rsidTr="004448DF">
        <w:tc>
          <w:tcPr>
            <w:tcW w:w="4962" w:type="dxa"/>
          </w:tcPr>
          <w:p w14:paraId="2EA2C95D" w14:textId="77777777" w:rsidR="008C4ABA" w:rsidRPr="008C4ABA" w:rsidRDefault="008C4ABA" w:rsidP="008C4ABA">
            <w:r w:rsidRPr="008C4ABA">
              <w:t>Apportionment factor (dB)</w:t>
            </w:r>
          </w:p>
        </w:tc>
        <w:tc>
          <w:tcPr>
            <w:tcW w:w="2268" w:type="dxa"/>
          </w:tcPr>
          <w:p w14:paraId="3613B5C0" w14:textId="77777777" w:rsidR="008C4ABA" w:rsidRPr="008C4ABA" w:rsidRDefault="008C4ABA" w:rsidP="008C4ABA">
            <w:r>
              <w:t>12</w:t>
            </w:r>
          </w:p>
        </w:tc>
        <w:tc>
          <w:tcPr>
            <w:tcW w:w="2126" w:type="dxa"/>
          </w:tcPr>
          <w:p w14:paraId="2D304CBC" w14:textId="77777777" w:rsidR="008C4ABA" w:rsidRPr="008C4ABA" w:rsidRDefault="008C4ABA" w:rsidP="008C4ABA">
            <w:r>
              <w:t>12</w:t>
            </w:r>
          </w:p>
        </w:tc>
      </w:tr>
      <w:tr w:rsidR="008C4ABA" w:rsidRPr="006D6727" w14:paraId="45DB0297" w14:textId="77777777" w:rsidTr="004448DF">
        <w:tc>
          <w:tcPr>
            <w:tcW w:w="4962" w:type="dxa"/>
          </w:tcPr>
          <w:p w14:paraId="64E54168" w14:textId="77777777" w:rsidR="008C4ABA" w:rsidRPr="008C4ABA" w:rsidRDefault="008C4ABA" w:rsidP="00BD6D95">
            <w:pPr>
              <w:jc w:val="left"/>
            </w:pPr>
            <w:r w:rsidRPr="008C4ABA">
              <w:t>EESS protection criterion (with relevant apportionment) (dBW/reference bandwidth)</w:t>
            </w:r>
          </w:p>
        </w:tc>
        <w:tc>
          <w:tcPr>
            <w:tcW w:w="2268" w:type="dxa"/>
          </w:tcPr>
          <w:p w14:paraId="4A0B10D1" w14:textId="77777777" w:rsidR="008C4ABA" w:rsidRPr="008C4ABA" w:rsidRDefault="008C4ABA" w:rsidP="008C4ABA">
            <w:r w:rsidRPr="008C4ABA">
              <w:t>-17</w:t>
            </w:r>
            <w:r>
              <w:t>1</w:t>
            </w:r>
          </w:p>
        </w:tc>
        <w:tc>
          <w:tcPr>
            <w:tcW w:w="2126" w:type="dxa"/>
          </w:tcPr>
          <w:p w14:paraId="2590FA31" w14:textId="77777777" w:rsidR="008C4ABA" w:rsidRPr="008C4ABA" w:rsidRDefault="008C4ABA" w:rsidP="008C4ABA">
            <w:r w:rsidRPr="008C4ABA">
              <w:t>-17</w:t>
            </w:r>
            <w:r>
              <w:t>1</w:t>
            </w:r>
          </w:p>
        </w:tc>
      </w:tr>
      <w:tr w:rsidR="008C4ABA" w:rsidRPr="006D6727" w14:paraId="10505C4C" w14:textId="77777777" w:rsidTr="004448DF">
        <w:tc>
          <w:tcPr>
            <w:tcW w:w="4962" w:type="dxa"/>
          </w:tcPr>
          <w:p w14:paraId="7DFF3E0F" w14:textId="77777777" w:rsidR="008C4ABA" w:rsidRPr="008C4ABA" w:rsidRDefault="008C4ABA" w:rsidP="008C4ABA">
            <w:r w:rsidRPr="008C4ABA">
              <w:t>EESS sensor antenna gain (dBi)</w:t>
            </w:r>
          </w:p>
        </w:tc>
        <w:tc>
          <w:tcPr>
            <w:tcW w:w="2268" w:type="dxa"/>
          </w:tcPr>
          <w:p w14:paraId="43FCB22C" w14:textId="77777777" w:rsidR="008C4ABA" w:rsidRPr="008C4ABA" w:rsidRDefault="008C4ABA" w:rsidP="008C4ABA">
            <w:r w:rsidRPr="008C4ABA">
              <w:t>45</w:t>
            </w:r>
          </w:p>
        </w:tc>
        <w:tc>
          <w:tcPr>
            <w:tcW w:w="2126" w:type="dxa"/>
          </w:tcPr>
          <w:p w14:paraId="504C0B0A" w14:textId="77777777" w:rsidR="008C4ABA" w:rsidRPr="008C4ABA" w:rsidRDefault="008C4ABA" w:rsidP="008C4ABA">
            <w:r w:rsidRPr="008C4ABA">
              <w:t>45</w:t>
            </w:r>
          </w:p>
        </w:tc>
      </w:tr>
      <w:tr w:rsidR="008C4ABA" w:rsidRPr="006D6727" w14:paraId="3B30204D" w14:textId="77777777" w:rsidTr="004448DF">
        <w:tc>
          <w:tcPr>
            <w:tcW w:w="4962" w:type="dxa"/>
          </w:tcPr>
          <w:p w14:paraId="75F18508" w14:textId="77777777" w:rsidR="008C4ABA" w:rsidRPr="008C4ABA" w:rsidRDefault="008C4ABA" w:rsidP="008C4ABA">
            <w:r w:rsidRPr="008C4ABA">
              <w:t>EESS footprint size (km²)</w:t>
            </w:r>
          </w:p>
        </w:tc>
        <w:tc>
          <w:tcPr>
            <w:tcW w:w="2268" w:type="dxa"/>
          </w:tcPr>
          <w:p w14:paraId="4D89714D" w14:textId="77777777" w:rsidR="008C4ABA" w:rsidRPr="008C4ABA" w:rsidRDefault="008C4ABA" w:rsidP="008C4ABA">
            <w:r w:rsidRPr="008C4ABA">
              <w:t>154</w:t>
            </w:r>
          </w:p>
        </w:tc>
        <w:tc>
          <w:tcPr>
            <w:tcW w:w="2126" w:type="dxa"/>
          </w:tcPr>
          <w:p w14:paraId="2CCC784E" w14:textId="77777777" w:rsidR="008C4ABA" w:rsidRPr="008C4ABA" w:rsidRDefault="008C4ABA" w:rsidP="008C4ABA">
            <w:r w:rsidRPr="008C4ABA">
              <w:t>759</w:t>
            </w:r>
          </w:p>
        </w:tc>
      </w:tr>
    </w:tbl>
    <w:p w14:paraId="40540D41" w14:textId="2E24D7A0" w:rsidR="008809E2" w:rsidRPr="008809E2" w:rsidRDefault="008809E2" w:rsidP="008809E2">
      <w:pPr>
        <w:pStyle w:val="Caption"/>
      </w:pPr>
      <w:bookmarkStart w:id="471" w:name="_Ref88129391"/>
      <w:r w:rsidRPr="008809E2">
        <w:t>Table </w:t>
      </w:r>
      <w:r>
        <w:fldChar w:fldCharType="begin"/>
      </w:r>
      <w:r>
        <w:instrText>SEQ Table \* ARABIC</w:instrText>
      </w:r>
      <w:r>
        <w:fldChar w:fldCharType="separate"/>
      </w:r>
      <w:r w:rsidR="004F49F9">
        <w:rPr>
          <w:noProof/>
        </w:rPr>
        <w:t>43</w:t>
      </w:r>
      <w:r>
        <w:fldChar w:fldCharType="end"/>
      </w:r>
      <w:bookmarkEnd w:id="471"/>
      <w:r w:rsidRPr="008809E2">
        <w:t xml:space="preserve">: </w:t>
      </w:r>
      <w:r w:rsidR="0045589C">
        <w:t>P</w:t>
      </w:r>
      <w:r w:rsidRPr="008809E2">
        <w:t>assive sensor parameters in the 1</w:t>
      </w:r>
      <w:r>
        <w:t>64</w:t>
      </w:r>
      <w:r w:rsidRPr="008809E2">
        <w:t xml:space="preserve"> to </w:t>
      </w:r>
      <w:r>
        <w:t>167</w:t>
      </w:r>
      <w:r w:rsidRPr="008809E2">
        <w:t> GHz band</w:t>
      </w:r>
    </w:p>
    <w:tbl>
      <w:tblPr>
        <w:tblStyle w:val="ECCTable-redheader"/>
        <w:tblW w:w="0" w:type="auto"/>
        <w:tblInd w:w="0" w:type="dxa"/>
        <w:tblLayout w:type="fixed"/>
        <w:tblLook w:val="04A0" w:firstRow="1" w:lastRow="0" w:firstColumn="1" w:lastColumn="0" w:noHBand="0" w:noVBand="1"/>
      </w:tblPr>
      <w:tblGrid>
        <w:gridCol w:w="4106"/>
        <w:gridCol w:w="1418"/>
        <w:gridCol w:w="1984"/>
        <w:gridCol w:w="2121"/>
      </w:tblGrid>
      <w:tr w:rsidR="008809E2" w:rsidRPr="006D6727" w14:paraId="15EB94AC" w14:textId="77777777" w:rsidTr="00BD6D95">
        <w:trPr>
          <w:cnfStyle w:val="100000000000" w:firstRow="1" w:lastRow="0" w:firstColumn="0" w:lastColumn="0" w:oddVBand="0" w:evenVBand="0" w:oddHBand="0" w:evenHBand="0" w:firstRowFirstColumn="0" w:firstRowLastColumn="0" w:lastRowFirstColumn="0" w:lastRowLastColumn="0"/>
        </w:trPr>
        <w:tc>
          <w:tcPr>
            <w:tcW w:w="4106" w:type="dxa"/>
          </w:tcPr>
          <w:p w14:paraId="738D43F0" w14:textId="77777777" w:rsidR="00856ADA" w:rsidRPr="008809E2" w:rsidRDefault="00856ADA" w:rsidP="008809E2">
            <w:r>
              <w:t>EESS sensor</w:t>
            </w:r>
          </w:p>
        </w:tc>
        <w:tc>
          <w:tcPr>
            <w:tcW w:w="1418" w:type="dxa"/>
          </w:tcPr>
          <w:p w14:paraId="0D74396A" w14:textId="43DFCFB2" w:rsidR="00856ADA" w:rsidRPr="008809E2" w:rsidRDefault="00856ADA" w:rsidP="008809E2">
            <w:r w:rsidRPr="00856ADA">
              <w:t>Syst</w:t>
            </w:r>
            <w:r w:rsidR="009A18E2">
              <w:t>em</w:t>
            </w:r>
            <w:r w:rsidRPr="00856ADA">
              <w:t xml:space="preserve"> P1</w:t>
            </w:r>
          </w:p>
        </w:tc>
        <w:tc>
          <w:tcPr>
            <w:tcW w:w="1984" w:type="dxa"/>
          </w:tcPr>
          <w:p w14:paraId="3ECB4849" w14:textId="4E1D3956" w:rsidR="00856ADA" w:rsidRPr="008809E2" w:rsidRDefault="00856ADA" w:rsidP="008809E2">
            <w:r w:rsidRPr="00856ADA">
              <w:t>Syst</w:t>
            </w:r>
            <w:r w:rsidR="009A18E2">
              <w:t>em</w:t>
            </w:r>
            <w:r w:rsidRPr="00856ADA">
              <w:t xml:space="preserve"> P2 (</w:t>
            </w:r>
            <w:r w:rsidR="009A18E2">
              <w:t>N</w:t>
            </w:r>
            <w:r w:rsidRPr="00856ADA">
              <w:t>adir)</w:t>
            </w:r>
          </w:p>
        </w:tc>
        <w:tc>
          <w:tcPr>
            <w:tcW w:w="2121" w:type="dxa"/>
          </w:tcPr>
          <w:p w14:paraId="17A0FBE1" w14:textId="356FD670" w:rsidR="00856ADA" w:rsidRPr="008809E2" w:rsidRDefault="00856ADA" w:rsidP="008809E2">
            <w:r w:rsidRPr="00856ADA">
              <w:t>Syst</w:t>
            </w:r>
            <w:r w:rsidR="009A18E2">
              <w:t>em</w:t>
            </w:r>
            <w:r w:rsidRPr="00856ADA">
              <w:t xml:space="preserve"> P2 (</w:t>
            </w:r>
            <w:r w:rsidR="009A18E2">
              <w:t>O</w:t>
            </w:r>
            <w:r w:rsidRPr="00856ADA">
              <w:t>uter)</w:t>
            </w:r>
          </w:p>
        </w:tc>
      </w:tr>
      <w:tr w:rsidR="008809E2" w:rsidRPr="006D6727" w14:paraId="088CC6DA" w14:textId="77777777" w:rsidTr="00BD6D95">
        <w:tc>
          <w:tcPr>
            <w:tcW w:w="4106" w:type="dxa"/>
          </w:tcPr>
          <w:p w14:paraId="09B34B3A" w14:textId="77777777" w:rsidR="008809E2" w:rsidRPr="008809E2" w:rsidRDefault="008809E2" w:rsidP="008809E2">
            <w:r w:rsidRPr="008809E2">
              <w:t>Type of sensor</w:t>
            </w:r>
          </w:p>
        </w:tc>
        <w:tc>
          <w:tcPr>
            <w:tcW w:w="1418" w:type="dxa"/>
          </w:tcPr>
          <w:p w14:paraId="3E59A126" w14:textId="77777777" w:rsidR="008809E2" w:rsidRPr="008809E2" w:rsidRDefault="008809E2" w:rsidP="008809E2">
            <w:r w:rsidRPr="008809E2">
              <w:t>Conical Scan</w:t>
            </w:r>
          </w:p>
        </w:tc>
        <w:tc>
          <w:tcPr>
            <w:tcW w:w="1984" w:type="dxa"/>
          </w:tcPr>
          <w:p w14:paraId="0F8807AC" w14:textId="77777777" w:rsidR="008809E2" w:rsidRPr="008809E2" w:rsidRDefault="008809E2" w:rsidP="008809E2">
            <w:r w:rsidRPr="008809E2">
              <w:t>Nadir Scan</w:t>
            </w:r>
          </w:p>
        </w:tc>
        <w:tc>
          <w:tcPr>
            <w:tcW w:w="2121" w:type="dxa"/>
          </w:tcPr>
          <w:p w14:paraId="709B154B" w14:textId="77777777" w:rsidR="008809E2" w:rsidRPr="008809E2" w:rsidRDefault="008809E2" w:rsidP="008809E2">
            <w:r w:rsidRPr="008809E2">
              <w:t>Nadir Scan</w:t>
            </w:r>
          </w:p>
        </w:tc>
      </w:tr>
      <w:tr w:rsidR="008809E2" w:rsidRPr="006D6727" w14:paraId="0A7805F2" w14:textId="77777777" w:rsidTr="00BD6D95">
        <w:tc>
          <w:tcPr>
            <w:tcW w:w="4106" w:type="dxa"/>
          </w:tcPr>
          <w:p w14:paraId="1BB53C30" w14:textId="77777777" w:rsidR="008809E2" w:rsidRPr="008809E2" w:rsidRDefault="008809E2" w:rsidP="00BD6D95">
            <w:pPr>
              <w:jc w:val="left"/>
            </w:pPr>
            <w:r w:rsidRPr="008809E2">
              <w:t>Orbit altitude (km)</w:t>
            </w:r>
          </w:p>
        </w:tc>
        <w:tc>
          <w:tcPr>
            <w:tcW w:w="1418" w:type="dxa"/>
          </w:tcPr>
          <w:p w14:paraId="12D2D09C" w14:textId="77777777" w:rsidR="008809E2" w:rsidRPr="008809E2" w:rsidRDefault="008809E2" w:rsidP="008809E2">
            <w:r w:rsidRPr="008809E2">
              <w:t>828</w:t>
            </w:r>
          </w:p>
        </w:tc>
        <w:tc>
          <w:tcPr>
            <w:tcW w:w="1984" w:type="dxa"/>
          </w:tcPr>
          <w:p w14:paraId="3C99BBFA" w14:textId="77777777" w:rsidR="008809E2" w:rsidRPr="008809E2" w:rsidRDefault="008809E2" w:rsidP="008809E2">
            <w:r w:rsidRPr="008809E2">
              <w:t>824</w:t>
            </w:r>
          </w:p>
        </w:tc>
        <w:tc>
          <w:tcPr>
            <w:tcW w:w="2121" w:type="dxa"/>
          </w:tcPr>
          <w:p w14:paraId="70CD2E59" w14:textId="77777777" w:rsidR="008809E2" w:rsidRPr="008809E2" w:rsidRDefault="008809E2" w:rsidP="008809E2">
            <w:r w:rsidRPr="008809E2">
              <w:t>824</w:t>
            </w:r>
          </w:p>
        </w:tc>
      </w:tr>
      <w:tr w:rsidR="008809E2" w:rsidRPr="006D6727" w14:paraId="294C0371" w14:textId="77777777" w:rsidTr="00BD6D95">
        <w:tc>
          <w:tcPr>
            <w:tcW w:w="4106" w:type="dxa"/>
          </w:tcPr>
          <w:p w14:paraId="3988C0E6" w14:textId="77777777" w:rsidR="008809E2" w:rsidRPr="008809E2" w:rsidRDefault="008809E2" w:rsidP="00BD6D95">
            <w:pPr>
              <w:jc w:val="left"/>
            </w:pPr>
            <w:r w:rsidRPr="008809E2">
              <w:t>Nadir angle (°)</w:t>
            </w:r>
          </w:p>
        </w:tc>
        <w:tc>
          <w:tcPr>
            <w:tcW w:w="1418" w:type="dxa"/>
          </w:tcPr>
          <w:p w14:paraId="4E5D02EF" w14:textId="77777777" w:rsidR="008809E2" w:rsidRPr="008809E2" w:rsidRDefault="008809E2" w:rsidP="008809E2">
            <w:r w:rsidRPr="008809E2">
              <w:t>46</w:t>
            </w:r>
            <w:r w:rsidR="00CF4994">
              <w:t>.8</w:t>
            </w:r>
          </w:p>
        </w:tc>
        <w:tc>
          <w:tcPr>
            <w:tcW w:w="1984" w:type="dxa"/>
          </w:tcPr>
          <w:p w14:paraId="61465A52" w14:textId="77777777" w:rsidR="008809E2" w:rsidRPr="008809E2" w:rsidRDefault="008809E2" w:rsidP="008809E2">
            <w:r w:rsidRPr="008809E2">
              <w:t>0</w:t>
            </w:r>
          </w:p>
        </w:tc>
        <w:tc>
          <w:tcPr>
            <w:tcW w:w="2121" w:type="dxa"/>
          </w:tcPr>
          <w:p w14:paraId="6303F146" w14:textId="77777777" w:rsidR="008809E2" w:rsidRPr="008809E2" w:rsidRDefault="008809E2" w:rsidP="008809E2">
            <w:r w:rsidRPr="008809E2">
              <w:t>52</w:t>
            </w:r>
            <w:r w:rsidR="00CF4994">
              <w:t>.7</w:t>
            </w:r>
            <w:r w:rsidRPr="008809E2">
              <w:t>25</w:t>
            </w:r>
          </w:p>
        </w:tc>
      </w:tr>
      <w:tr w:rsidR="008809E2" w:rsidRPr="006D6727" w14:paraId="2653ADF7" w14:textId="77777777" w:rsidTr="00BD6D95">
        <w:tc>
          <w:tcPr>
            <w:tcW w:w="4106" w:type="dxa"/>
          </w:tcPr>
          <w:p w14:paraId="642CC6F0" w14:textId="77777777" w:rsidR="008809E2" w:rsidRPr="008809E2" w:rsidRDefault="008809E2" w:rsidP="00BD6D95">
            <w:pPr>
              <w:jc w:val="left"/>
            </w:pPr>
            <w:r w:rsidRPr="008809E2">
              <w:t>Slant path distance (km)</w:t>
            </w:r>
          </w:p>
        </w:tc>
        <w:tc>
          <w:tcPr>
            <w:tcW w:w="1418" w:type="dxa"/>
          </w:tcPr>
          <w:p w14:paraId="24D8CA91" w14:textId="77777777" w:rsidR="008809E2" w:rsidRPr="008809E2" w:rsidRDefault="008809E2" w:rsidP="008809E2">
            <w:r w:rsidRPr="008809E2">
              <w:t>1316</w:t>
            </w:r>
          </w:p>
        </w:tc>
        <w:tc>
          <w:tcPr>
            <w:tcW w:w="1984" w:type="dxa"/>
          </w:tcPr>
          <w:p w14:paraId="2BDFED4D" w14:textId="77777777" w:rsidR="008809E2" w:rsidRPr="008809E2" w:rsidRDefault="008809E2" w:rsidP="008809E2">
            <w:r w:rsidRPr="008809E2">
              <w:t>824</w:t>
            </w:r>
          </w:p>
        </w:tc>
        <w:tc>
          <w:tcPr>
            <w:tcW w:w="2121" w:type="dxa"/>
          </w:tcPr>
          <w:p w14:paraId="489F6788" w14:textId="77777777" w:rsidR="008809E2" w:rsidRPr="008809E2" w:rsidRDefault="008809E2" w:rsidP="008809E2">
            <w:r w:rsidRPr="008809E2">
              <w:t>1563</w:t>
            </w:r>
          </w:p>
        </w:tc>
      </w:tr>
      <w:tr w:rsidR="008809E2" w:rsidRPr="006D6727" w14:paraId="65DA0CB1" w14:textId="77777777" w:rsidTr="00BD6D95">
        <w:tc>
          <w:tcPr>
            <w:tcW w:w="4106" w:type="dxa"/>
          </w:tcPr>
          <w:p w14:paraId="7345A33C" w14:textId="77777777" w:rsidR="008809E2" w:rsidRPr="008809E2" w:rsidRDefault="008809E2" w:rsidP="00BD6D95">
            <w:pPr>
              <w:jc w:val="left"/>
            </w:pPr>
            <w:r w:rsidRPr="008809E2">
              <w:t>Free space loss (dB)</w:t>
            </w:r>
          </w:p>
        </w:tc>
        <w:tc>
          <w:tcPr>
            <w:tcW w:w="1418" w:type="dxa"/>
          </w:tcPr>
          <w:p w14:paraId="51943214" w14:textId="77777777" w:rsidR="008809E2" w:rsidRPr="008809E2" w:rsidRDefault="008809E2" w:rsidP="008809E2">
            <w:r w:rsidRPr="008809E2">
              <w:t>199</w:t>
            </w:r>
            <w:r w:rsidR="00CF4994">
              <w:t>.1</w:t>
            </w:r>
          </w:p>
        </w:tc>
        <w:tc>
          <w:tcPr>
            <w:tcW w:w="1984" w:type="dxa"/>
          </w:tcPr>
          <w:p w14:paraId="3D51F7B7" w14:textId="77777777" w:rsidR="008809E2" w:rsidRPr="008809E2" w:rsidRDefault="008809E2" w:rsidP="008809E2">
            <w:r w:rsidRPr="008809E2">
              <w:t>195</w:t>
            </w:r>
            <w:r w:rsidR="00CF4994">
              <w:t>.1</w:t>
            </w:r>
          </w:p>
        </w:tc>
        <w:tc>
          <w:tcPr>
            <w:tcW w:w="2121" w:type="dxa"/>
          </w:tcPr>
          <w:p w14:paraId="0C990824" w14:textId="77777777" w:rsidR="008809E2" w:rsidRPr="008809E2" w:rsidRDefault="008809E2" w:rsidP="008809E2">
            <w:r w:rsidRPr="008809E2">
              <w:t>200</w:t>
            </w:r>
            <w:r w:rsidR="00CF4994">
              <w:t>.6</w:t>
            </w:r>
          </w:p>
        </w:tc>
      </w:tr>
      <w:tr w:rsidR="008809E2" w:rsidRPr="006D6727" w14:paraId="6E178132" w14:textId="77777777" w:rsidTr="00BD6D95">
        <w:tc>
          <w:tcPr>
            <w:tcW w:w="4106" w:type="dxa"/>
          </w:tcPr>
          <w:p w14:paraId="7925C44E" w14:textId="77777777" w:rsidR="008809E2" w:rsidRPr="008809E2" w:rsidRDefault="008809E2" w:rsidP="00BD6D95">
            <w:pPr>
              <w:jc w:val="left"/>
            </w:pPr>
            <w:r w:rsidRPr="008809E2">
              <w:t>Elevation angle at ground (°)</w:t>
            </w:r>
          </w:p>
        </w:tc>
        <w:tc>
          <w:tcPr>
            <w:tcW w:w="1418" w:type="dxa"/>
          </w:tcPr>
          <w:p w14:paraId="38E8D4A7" w14:textId="77777777" w:rsidR="008809E2" w:rsidRPr="008809E2" w:rsidRDefault="008809E2" w:rsidP="008809E2">
            <w:r w:rsidRPr="008809E2">
              <w:t>34</w:t>
            </w:r>
            <w:r w:rsidR="00CF4994">
              <w:t>.5</w:t>
            </w:r>
          </w:p>
        </w:tc>
        <w:tc>
          <w:tcPr>
            <w:tcW w:w="1984" w:type="dxa"/>
          </w:tcPr>
          <w:p w14:paraId="5732EF4C" w14:textId="77777777" w:rsidR="008809E2" w:rsidRPr="008809E2" w:rsidRDefault="008809E2" w:rsidP="008809E2">
            <w:r w:rsidRPr="008809E2">
              <w:t>90</w:t>
            </w:r>
            <w:r w:rsidR="00CF4994">
              <w:t>.0</w:t>
            </w:r>
          </w:p>
        </w:tc>
        <w:tc>
          <w:tcPr>
            <w:tcW w:w="2121" w:type="dxa"/>
          </w:tcPr>
          <w:p w14:paraId="58130E46" w14:textId="77777777" w:rsidR="008809E2" w:rsidRPr="008809E2" w:rsidRDefault="008809E2" w:rsidP="008809E2">
            <w:r w:rsidRPr="008809E2">
              <w:t>26</w:t>
            </w:r>
            <w:r w:rsidR="00CF4994">
              <w:t>.0</w:t>
            </w:r>
          </w:p>
        </w:tc>
      </w:tr>
      <w:tr w:rsidR="008809E2" w:rsidRPr="006D6727" w14:paraId="01724F01" w14:textId="77777777" w:rsidTr="00BD6D95">
        <w:tc>
          <w:tcPr>
            <w:tcW w:w="4106" w:type="dxa"/>
          </w:tcPr>
          <w:p w14:paraId="16C45F57" w14:textId="77777777" w:rsidR="008809E2" w:rsidRPr="008809E2" w:rsidRDefault="008809E2" w:rsidP="00BD6D95">
            <w:pPr>
              <w:jc w:val="left"/>
            </w:pPr>
            <w:r w:rsidRPr="008809E2">
              <w:t>Attenuation due to atmospheric gases (dB)</w:t>
            </w:r>
          </w:p>
        </w:tc>
        <w:tc>
          <w:tcPr>
            <w:tcW w:w="1418" w:type="dxa"/>
          </w:tcPr>
          <w:p w14:paraId="068A4FF8" w14:textId="77777777" w:rsidR="008809E2" w:rsidRPr="008809E2" w:rsidRDefault="008809E2" w:rsidP="008809E2">
            <w:r w:rsidRPr="008809E2">
              <w:t>5</w:t>
            </w:r>
            <w:r w:rsidR="00CF4994">
              <w:t>.7</w:t>
            </w:r>
          </w:p>
        </w:tc>
        <w:tc>
          <w:tcPr>
            <w:tcW w:w="1984" w:type="dxa"/>
          </w:tcPr>
          <w:p w14:paraId="032A9BE3" w14:textId="77777777" w:rsidR="008809E2" w:rsidRPr="008809E2" w:rsidRDefault="008809E2" w:rsidP="008809E2">
            <w:r w:rsidRPr="008809E2">
              <w:t>3</w:t>
            </w:r>
            <w:r w:rsidR="00CF4994">
              <w:t>.2</w:t>
            </w:r>
          </w:p>
        </w:tc>
        <w:tc>
          <w:tcPr>
            <w:tcW w:w="2121" w:type="dxa"/>
          </w:tcPr>
          <w:p w14:paraId="14AB0F30" w14:textId="77777777" w:rsidR="008809E2" w:rsidRPr="008809E2" w:rsidRDefault="008809E2" w:rsidP="008809E2">
            <w:r w:rsidRPr="008809E2">
              <w:t>7</w:t>
            </w:r>
            <w:r w:rsidR="00CF4994">
              <w:t>.4</w:t>
            </w:r>
          </w:p>
        </w:tc>
      </w:tr>
      <w:tr w:rsidR="008809E2" w:rsidRPr="006D6727" w14:paraId="42636B56" w14:textId="77777777" w:rsidTr="00BD6D95">
        <w:tc>
          <w:tcPr>
            <w:tcW w:w="4106" w:type="dxa"/>
          </w:tcPr>
          <w:p w14:paraId="194D8413" w14:textId="77777777" w:rsidR="008809E2" w:rsidRPr="008809E2" w:rsidRDefault="008809E2" w:rsidP="00BD6D95">
            <w:pPr>
              <w:jc w:val="left"/>
            </w:pPr>
            <w:r w:rsidRPr="008809E2">
              <w:t>Reference bandwidth (MHz)</w:t>
            </w:r>
          </w:p>
        </w:tc>
        <w:tc>
          <w:tcPr>
            <w:tcW w:w="1418" w:type="dxa"/>
          </w:tcPr>
          <w:p w14:paraId="4DD094E9" w14:textId="77777777" w:rsidR="008809E2" w:rsidRPr="008809E2" w:rsidRDefault="008809E2" w:rsidP="008809E2">
            <w:r w:rsidRPr="008809E2">
              <w:t>200</w:t>
            </w:r>
          </w:p>
        </w:tc>
        <w:tc>
          <w:tcPr>
            <w:tcW w:w="1984" w:type="dxa"/>
          </w:tcPr>
          <w:p w14:paraId="55ED82FA" w14:textId="77777777" w:rsidR="008809E2" w:rsidRPr="008809E2" w:rsidRDefault="008809E2" w:rsidP="008809E2">
            <w:r w:rsidRPr="008809E2">
              <w:t>200</w:t>
            </w:r>
          </w:p>
        </w:tc>
        <w:tc>
          <w:tcPr>
            <w:tcW w:w="2121" w:type="dxa"/>
          </w:tcPr>
          <w:p w14:paraId="13C68831" w14:textId="77777777" w:rsidR="008809E2" w:rsidRPr="008809E2" w:rsidRDefault="008809E2" w:rsidP="008809E2">
            <w:r w:rsidRPr="008809E2">
              <w:t>200</w:t>
            </w:r>
          </w:p>
        </w:tc>
      </w:tr>
      <w:tr w:rsidR="008809E2" w:rsidRPr="006D6727" w14:paraId="3146878B" w14:textId="77777777" w:rsidTr="00BD6D95">
        <w:tc>
          <w:tcPr>
            <w:tcW w:w="4106" w:type="dxa"/>
          </w:tcPr>
          <w:p w14:paraId="7B198A2C" w14:textId="77777777" w:rsidR="008809E2" w:rsidRPr="008809E2" w:rsidRDefault="008809E2" w:rsidP="00BD6D95">
            <w:pPr>
              <w:jc w:val="left"/>
            </w:pPr>
            <w:r w:rsidRPr="008809E2">
              <w:t>EESS protection criterion (dBW/reference bandwidth)</w:t>
            </w:r>
          </w:p>
        </w:tc>
        <w:tc>
          <w:tcPr>
            <w:tcW w:w="1418" w:type="dxa"/>
          </w:tcPr>
          <w:p w14:paraId="1DD6A236" w14:textId="77777777" w:rsidR="008809E2" w:rsidRPr="008809E2" w:rsidRDefault="008809E2" w:rsidP="008809E2">
            <w:r>
              <w:t>-163</w:t>
            </w:r>
          </w:p>
        </w:tc>
        <w:tc>
          <w:tcPr>
            <w:tcW w:w="1984" w:type="dxa"/>
          </w:tcPr>
          <w:p w14:paraId="4E19BE91" w14:textId="77777777" w:rsidR="008809E2" w:rsidRPr="008809E2" w:rsidRDefault="008809E2" w:rsidP="008809E2">
            <w:r>
              <w:t>-163</w:t>
            </w:r>
          </w:p>
        </w:tc>
        <w:tc>
          <w:tcPr>
            <w:tcW w:w="2121" w:type="dxa"/>
          </w:tcPr>
          <w:p w14:paraId="4CB0AF6B" w14:textId="77777777" w:rsidR="008809E2" w:rsidRPr="008809E2" w:rsidRDefault="008809E2" w:rsidP="008809E2">
            <w:r>
              <w:t>-163</w:t>
            </w:r>
          </w:p>
        </w:tc>
      </w:tr>
      <w:tr w:rsidR="008809E2" w:rsidRPr="006D6727" w14:paraId="2F181411" w14:textId="77777777" w:rsidTr="00BD6D95">
        <w:tc>
          <w:tcPr>
            <w:tcW w:w="4106" w:type="dxa"/>
          </w:tcPr>
          <w:p w14:paraId="79CABA02" w14:textId="317CDF67" w:rsidR="008809E2" w:rsidRPr="008809E2" w:rsidRDefault="00C218D8" w:rsidP="00BD6D95">
            <w:pPr>
              <w:jc w:val="left"/>
            </w:pPr>
            <w:r w:rsidRPr="008809E2">
              <w:t>Apportionment</w:t>
            </w:r>
            <w:r w:rsidR="008809E2" w:rsidRPr="008809E2">
              <w:t xml:space="preserve"> factor (dB)</w:t>
            </w:r>
          </w:p>
        </w:tc>
        <w:tc>
          <w:tcPr>
            <w:tcW w:w="1418" w:type="dxa"/>
          </w:tcPr>
          <w:p w14:paraId="714EC8BF" w14:textId="77777777" w:rsidR="008809E2" w:rsidRPr="008809E2" w:rsidRDefault="008809E2" w:rsidP="008809E2">
            <w:r>
              <w:t>12</w:t>
            </w:r>
          </w:p>
        </w:tc>
        <w:tc>
          <w:tcPr>
            <w:tcW w:w="1984" w:type="dxa"/>
          </w:tcPr>
          <w:p w14:paraId="7678487C" w14:textId="77777777" w:rsidR="008809E2" w:rsidRPr="008809E2" w:rsidRDefault="008809E2" w:rsidP="008809E2">
            <w:r>
              <w:t>12</w:t>
            </w:r>
          </w:p>
        </w:tc>
        <w:tc>
          <w:tcPr>
            <w:tcW w:w="2121" w:type="dxa"/>
          </w:tcPr>
          <w:p w14:paraId="7F81BC0C" w14:textId="77777777" w:rsidR="008809E2" w:rsidRPr="008809E2" w:rsidRDefault="008809E2" w:rsidP="008809E2">
            <w:r>
              <w:t>12</w:t>
            </w:r>
          </w:p>
        </w:tc>
      </w:tr>
      <w:tr w:rsidR="008809E2" w:rsidRPr="006D6727" w14:paraId="793D9B4C" w14:textId="77777777" w:rsidTr="00BD6D95">
        <w:tc>
          <w:tcPr>
            <w:tcW w:w="4106" w:type="dxa"/>
          </w:tcPr>
          <w:p w14:paraId="49C6A5D2" w14:textId="77777777" w:rsidR="008809E2" w:rsidRPr="008809E2" w:rsidRDefault="008809E2" w:rsidP="00BD6D95">
            <w:pPr>
              <w:jc w:val="left"/>
            </w:pPr>
            <w:r w:rsidRPr="008809E2">
              <w:t>EESS protection criterion (with relevant apportionment) (dBW/reference bandwidth)</w:t>
            </w:r>
          </w:p>
        </w:tc>
        <w:tc>
          <w:tcPr>
            <w:tcW w:w="1418" w:type="dxa"/>
          </w:tcPr>
          <w:p w14:paraId="64D4345E" w14:textId="77777777" w:rsidR="008809E2" w:rsidRPr="008809E2" w:rsidRDefault="008809E2" w:rsidP="008809E2">
            <w:r w:rsidRPr="008809E2">
              <w:t>-17</w:t>
            </w:r>
            <w:r>
              <w:t>5</w:t>
            </w:r>
          </w:p>
        </w:tc>
        <w:tc>
          <w:tcPr>
            <w:tcW w:w="1984" w:type="dxa"/>
          </w:tcPr>
          <w:p w14:paraId="3BE9D423" w14:textId="77777777" w:rsidR="008809E2" w:rsidRPr="008809E2" w:rsidRDefault="008809E2" w:rsidP="008809E2">
            <w:r w:rsidRPr="008809E2">
              <w:t>-17</w:t>
            </w:r>
            <w:r>
              <w:t>5</w:t>
            </w:r>
          </w:p>
        </w:tc>
        <w:tc>
          <w:tcPr>
            <w:tcW w:w="2121" w:type="dxa"/>
          </w:tcPr>
          <w:p w14:paraId="147C2254" w14:textId="77777777" w:rsidR="008809E2" w:rsidRPr="008809E2" w:rsidRDefault="008809E2" w:rsidP="008809E2">
            <w:r w:rsidRPr="008809E2">
              <w:t>-17</w:t>
            </w:r>
            <w:r>
              <w:t>5</w:t>
            </w:r>
          </w:p>
        </w:tc>
      </w:tr>
      <w:tr w:rsidR="008809E2" w:rsidRPr="006D6727" w14:paraId="0CC19E7D" w14:textId="77777777" w:rsidTr="00BD6D95">
        <w:tc>
          <w:tcPr>
            <w:tcW w:w="4106" w:type="dxa"/>
          </w:tcPr>
          <w:p w14:paraId="4B7BA7F2" w14:textId="77777777" w:rsidR="008809E2" w:rsidRPr="008809E2" w:rsidRDefault="008809E2" w:rsidP="00BD6D95">
            <w:pPr>
              <w:jc w:val="left"/>
            </w:pPr>
            <w:r w:rsidRPr="008809E2">
              <w:t>EESS sensor antenna gain (dBi)</w:t>
            </w:r>
          </w:p>
        </w:tc>
        <w:tc>
          <w:tcPr>
            <w:tcW w:w="1418" w:type="dxa"/>
          </w:tcPr>
          <w:p w14:paraId="61E6DA22" w14:textId="77777777" w:rsidR="008809E2" w:rsidRPr="008809E2" w:rsidRDefault="008809E2" w:rsidP="008809E2">
            <w:r w:rsidRPr="008809E2">
              <w:t>54</w:t>
            </w:r>
          </w:p>
        </w:tc>
        <w:tc>
          <w:tcPr>
            <w:tcW w:w="1984" w:type="dxa"/>
          </w:tcPr>
          <w:p w14:paraId="704B47C7" w14:textId="77777777" w:rsidR="008809E2" w:rsidRPr="008809E2" w:rsidRDefault="008809E2" w:rsidP="008809E2">
            <w:r w:rsidRPr="008809E2">
              <w:t>43</w:t>
            </w:r>
            <w:r w:rsidR="00CF4994">
              <w:t>.9</w:t>
            </w:r>
          </w:p>
        </w:tc>
        <w:tc>
          <w:tcPr>
            <w:tcW w:w="2121" w:type="dxa"/>
          </w:tcPr>
          <w:p w14:paraId="130DA00C" w14:textId="77777777" w:rsidR="008809E2" w:rsidRPr="008809E2" w:rsidRDefault="008809E2" w:rsidP="008809E2">
            <w:r w:rsidRPr="008809E2">
              <w:t>43</w:t>
            </w:r>
            <w:r w:rsidR="00CF4994">
              <w:t>.9</w:t>
            </w:r>
          </w:p>
        </w:tc>
      </w:tr>
      <w:tr w:rsidR="008809E2" w:rsidRPr="006D6727" w14:paraId="2E8AAB92" w14:textId="77777777" w:rsidTr="00BD6D95">
        <w:tc>
          <w:tcPr>
            <w:tcW w:w="4106" w:type="dxa"/>
          </w:tcPr>
          <w:p w14:paraId="7AE9E8BD" w14:textId="77777777" w:rsidR="008809E2" w:rsidRPr="008809E2" w:rsidRDefault="008809E2" w:rsidP="00BD6D95">
            <w:pPr>
              <w:jc w:val="left"/>
            </w:pPr>
            <w:r w:rsidRPr="008809E2">
              <w:t>EESS footprint size (km²)</w:t>
            </w:r>
          </w:p>
        </w:tc>
        <w:tc>
          <w:tcPr>
            <w:tcW w:w="1418" w:type="dxa"/>
          </w:tcPr>
          <w:p w14:paraId="7A9297DD" w14:textId="77777777" w:rsidR="008809E2" w:rsidRPr="008809E2" w:rsidRDefault="008809E2" w:rsidP="008809E2">
            <w:r w:rsidRPr="008809E2">
              <w:t>113</w:t>
            </w:r>
          </w:p>
        </w:tc>
        <w:tc>
          <w:tcPr>
            <w:tcW w:w="1984" w:type="dxa"/>
          </w:tcPr>
          <w:p w14:paraId="64D8E734" w14:textId="77777777" w:rsidR="008809E2" w:rsidRPr="008809E2" w:rsidRDefault="008809E2" w:rsidP="008809E2">
            <w:r w:rsidRPr="008809E2">
              <w:t>254</w:t>
            </w:r>
          </w:p>
        </w:tc>
        <w:tc>
          <w:tcPr>
            <w:tcW w:w="2121" w:type="dxa"/>
          </w:tcPr>
          <w:p w14:paraId="702AA1B6" w14:textId="77777777" w:rsidR="008809E2" w:rsidRPr="008809E2" w:rsidRDefault="008809E2" w:rsidP="008809E2">
            <w:r w:rsidRPr="008809E2">
              <w:t>2083</w:t>
            </w:r>
          </w:p>
        </w:tc>
      </w:tr>
    </w:tbl>
    <w:p w14:paraId="18E4BB9C" w14:textId="43CEDA7E" w:rsidR="0045589C" w:rsidRPr="0045589C" w:rsidRDefault="0045589C" w:rsidP="0045589C">
      <w:pPr>
        <w:pStyle w:val="Caption"/>
      </w:pPr>
      <w:bookmarkStart w:id="472" w:name="_Ref88129393"/>
      <w:r w:rsidRPr="0045589C">
        <w:t>Table </w:t>
      </w:r>
      <w:r>
        <w:fldChar w:fldCharType="begin"/>
      </w:r>
      <w:r>
        <w:instrText>SEQ Table \* ARABIC</w:instrText>
      </w:r>
      <w:r>
        <w:fldChar w:fldCharType="separate"/>
      </w:r>
      <w:r w:rsidR="004F49F9">
        <w:rPr>
          <w:noProof/>
        </w:rPr>
        <w:t>44</w:t>
      </w:r>
      <w:r>
        <w:fldChar w:fldCharType="end"/>
      </w:r>
      <w:bookmarkEnd w:id="472"/>
      <w:r w:rsidRPr="0045589C">
        <w:t xml:space="preserve">: </w:t>
      </w:r>
      <w:r>
        <w:t>P</w:t>
      </w:r>
      <w:r w:rsidRPr="0045589C">
        <w:t>assive sensor parameters in the 1</w:t>
      </w:r>
      <w:r>
        <w:t>74</w:t>
      </w:r>
      <w:r w:rsidR="00CF4994">
        <w:t>.8</w:t>
      </w:r>
      <w:r w:rsidRPr="0045589C">
        <w:t xml:space="preserve"> to 1</w:t>
      </w:r>
      <w:r>
        <w:t>91</w:t>
      </w:r>
      <w:r w:rsidR="00CF4994">
        <w:t>.8</w:t>
      </w:r>
      <w:r w:rsidRPr="0045589C">
        <w:t> GHz band</w:t>
      </w:r>
    </w:p>
    <w:tbl>
      <w:tblPr>
        <w:tblStyle w:val="ECCTable-redheader"/>
        <w:tblW w:w="0" w:type="auto"/>
        <w:tblInd w:w="0" w:type="dxa"/>
        <w:tblLayout w:type="fixed"/>
        <w:tblLook w:val="04A0" w:firstRow="1" w:lastRow="0" w:firstColumn="1" w:lastColumn="0" w:noHBand="0" w:noVBand="1"/>
      </w:tblPr>
      <w:tblGrid>
        <w:gridCol w:w="1696"/>
        <w:gridCol w:w="993"/>
        <w:gridCol w:w="850"/>
        <w:gridCol w:w="992"/>
        <w:gridCol w:w="1134"/>
        <w:gridCol w:w="993"/>
        <w:gridCol w:w="992"/>
        <w:gridCol w:w="992"/>
        <w:gridCol w:w="987"/>
      </w:tblGrid>
      <w:tr w:rsidR="0045589C" w:rsidRPr="006D6727" w14:paraId="282D14D8" w14:textId="77777777" w:rsidTr="00636EAC">
        <w:trPr>
          <w:cnfStyle w:val="100000000000" w:firstRow="1" w:lastRow="0" w:firstColumn="0" w:lastColumn="0" w:oddVBand="0" w:evenVBand="0" w:oddHBand="0" w:evenHBand="0" w:firstRowFirstColumn="0" w:firstRowLastColumn="0" w:lastRowFirstColumn="0" w:lastRowLastColumn="0"/>
        </w:trPr>
        <w:tc>
          <w:tcPr>
            <w:tcW w:w="1696" w:type="dxa"/>
          </w:tcPr>
          <w:p w14:paraId="19FE12A9" w14:textId="77777777" w:rsidR="00856ADA" w:rsidRPr="0045589C" w:rsidRDefault="00856ADA" w:rsidP="0045589C">
            <w:r>
              <w:t>EESS sensor</w:t>
            </w:r>
          </w:p>
        </w:tc>
        <w:tc>
          <w:tcPr>
            <w:tcW w:w="993" w:type="dxa"/>
          </w:tcPr>
          <w:p w14:paraId="431E9FB5" w14:textId="77777777" w:rsidR="00856ADA" w:rsidRPr="00636EAC" w:rsidRDefault="00856ADA" w:rsidP="00636EAC">
            <w:pPr>
              <w:rPr>
                <w:b w:val="0"/>
              </w:rPr>
            </w:pPr>
            <w:r w:rsidRPr="00856ADA">
              <w:t>MHS (Nadir)</w:t>
            </w:r>
          </w:p>
        </w:tc>
        <w:tc>
          <w:tcPr>
            <w:tcW w:w="850" w:type="dxa"/>
          </w:tcPr>
          <w:p w14:paraId="08E1B315" w14:textId="77777777" w:rsidR="00856ADA" w:rsidRPr="0045589C" w:rsidRDefault="00856ADA" w:rsidP="0045589C">
            <w:r w:rsidRPr="00856ADA">
              <w:t>MHS (outer)</w:t>
            </w:r>
          </w:p>
        </w:tc>
        <w:tc>
          <w:tcPr>
            <w:tcW w:w="992" w:type="dxa"/>
          </w:tcPr>
          <w:p w14:paraId="559FD550" w14:textId="77777777" w:rsidR="00856ADA" w:rsidRPr="0045589C" w:rsidRDefault="00856ADA" w:rsidP="0045589C">
            <w:r w:rsidRPr="00856ADA">
              <w:t>MWI</w:t>
            </w:r>
          </w:p>
        </w:tc>
        <w:tc>
          <w:tcPr>
            <w:tcW w:w="1134" w:type="dxa"/>
          </w:tcPr>
          <w:p w14:paraId="6FC7501A" w14:textId="77777777" w:rsidR="00856ADA" w:rsidRPr="0045589C" w:rsidRDefault="00856ADA" w:rsidP="0045589C">
            <w:r w:rsidRPr="00856ADA">
              <w:t>MWS (nadir)</w:t>
            </w:r>
          </w:p>
        </w:tc>
        <w:tc>
          <w:tcPr>
            <w:tcW w:w="993" w:type="dxa"/>
          </w:tcPr>
          <w:p w14:paraId="4C58E0D1" w14:textId="77777777" w:rsidR="00856ADA" w:rsidRPr="0045589C" w:rsidRDefault="00856ADA" w:rsidP="0045589C">
            <w:r w:rsidRPr="00856ADA">
              <w:t>MWS (outer)</w:t>
            </w:r>
          </w:p>
        </w:tc>
        <w:tc>
          <w:tcPr>
            <w:tcW w:w="992" w:type="dxa"/>
          </w:tcPr>
          <w:p w14:paraId="08B59702" w14:textId="77777777" w:rsidR="00856ADA" w:rsidRPr="0045589C" w:rsidRDefault="00856ADA" w:rsidP="0045589C">
            <w:r w:rsidRPr="00856ADA">
              <w:t>ICI</w:t>
            </w:r>
          </w:p>
        </w:tc>
        <w:tc>
          <w:tcPr>
            <w:tcW w:w="992" w:type="dxa"/>
          </w:tcPr>
          <w:p w14:paraId="396EDC7A" w14:textId="77777777" w:rsidR="00856ADA" w:rsidRPr="0045589C" w:rsidRDefault="00856ADA" w:rsidP="0045589C">
            <w:r w:rsidRPr="00856ADA">
              <w:t>AWS (Nadir)</w:t>
            </w:r>
          </w:p>
        </w:tc>
        <w:tc>
          <w:tcPr>
            <w:tcW w:w="987" w:type="dxa"/>
          </w:tcPr>
          <w:p w14:paraId="6D0D095D" w14:textId="77777777" w:rsidR="00856ADA" w:rsidRPr="0045589C" w:rsidRDefault="00856ADA" w:rsidP="0045589C">
            <w:r w:rsidRPr="00856ADA">
              <w:t>AWS (outer)</w:t>
            </w:r>
          </w:p>
        </w:tc>
      </w:tr>
      <w:tr w:rsidR="0045589C" w:rsidRPr="006D6727" w14:paraId="23725F14" w14:textId="77777777" w:rsidTr="00636EAC">
        <w:tc>
          <w:tcPr>
            <w:tcW w:w="1696" w:type="dxa"/>
          </w:tcPr>
          <w:p w14:paraId="64857736" w14:textId="77777777" w:rsidR="0045589C" w:rsidRPr="0045589C" w:rsidRDefault="0045589C" w:rsidP="0045589C">
            <w:r w:rsidRPr="0045589C">
              <w:t>Type of sensor</w:t>
            </w:r>
          </w:p>
        </w:tc>
        <w:tc>
          <w:tcPr>
            <w:tcW w:w="993" w:type="dxa"/>
          </w:tcPr>
          <w:p w14:paraId="6F3B3D2A" w14:textId="77777777" w:rsidR="0045589C" w:rsidRPr="0045589C" w:rsidRDefault="0045589C" w:rsidP="0045589C">
            <w:r w:rsidRPr="0045589C">
              <w:t>Nadir Scan</w:t>
            </w:r>
          </w:p>
        </w:tc>
        <w:tc>
          <w:tcPr>
            <w:tcW w:w="850" w:type="dxa"/>
          </w:tcPr>
          <w:p w14:paraId="4EA65956" w14:textId="77777777" w:rsidR="0045589C" w:rsidRPr="0045589C" w:rsidRDefault="0045589C" w:rsidP="0045589C">
            <w:r w:rsidRPr="0045589C">
              <w:t>Nadir Scan</w:t>
            </w:r>
          </w:p>
        </w:tc>
        <w:tc>
          <w:tcPr>
            <w:tcW w:w="992" w:type="dxa"/>
          </w:tcPr>
          <w:p w14:paraId="5EBE136E" w14:textId="77777777" w:rsidR="0045589C" w:rsidRPr="0045589C" w:rsidRDefault="0045589C" w:rsidP="0045589C">
            <w:r w:rsidRPr="0045589C">
              <w:t>Conical Scan</w:t>
            </w:r>
          </w:p>
        </w:tc>
        <w:tc>
          <w:tcPr>
            <w:tcW w:w="1134" w:type="dxa"/>
          </w:tcPr>
          <w:p w14:paraId="3CFC3EF9" w14:textId="77777777" w:rsidR="0045589C" w:rsidRPr="0045589C" w:rsidRDefault="0045589C" w:rsidP="0045589C">
            <w:r w:rsidRPr="0045589C">
              <w:t>Nadir Scan</w:t>
            </w:r>
          </w:p>
        </w:tc>
        <w:tc>
          <w:tcPr>
            <w:tcW w:w="993" w:type="dxa"/>
          </w:tcPr>
          <w:p w14:paraId="3408B265" w14:textId="77777777" w:rsidR="0045589C" w:rsidRPr="0045589C" w:rsidRDefault="0045589C" w:rsidP="0045589C">
            <w:r w:rsidRPr="0045589C">
              <w:t>Nadir Scan</w:t>
            </w:r>
          </w:p>
        </w:tc>
        <w:tc>
          <w:tcPr>
            <w:tcW w:w="992" w:type="dxa"/>
          </w:tcPr>
          <w:p w14:paraId="4CB0A1A9" w14:textId="77777777" w:rsidR="0045589C" w:rsidRPr="0045589C" w:rsidRDefault="0045589C" w:rsidP="0045589C">
            <w:r w:rsidRPr="0045589C">
              <w:t>Conical Scan</w:t>
            </w:r>
          </w:p>
        </w:tc>
        <w:tc>
          <w:tcPr>
            <w:tcW w:w="992" w:type="dxa"/>
          </w:tcPr>
          <w:p w14:paraId="2F36A97C" w14:textId="77777777" w:rsidR="0045589C" w:rsidRPr="0045589C" w:rsidRDefault="0045589C" w:rsidP="0045589C">
            <w:r w:rsidRPr="0045589C">
              <w:t>Nadir Scan</w:t>
            </w:r>
          </w:p>
        </w:tc>
        <w:tc>
          <w:tcPr>
            <w:tcW w:w="987" w:type="dxa"/>
          </w:tcPr>
          <w:p w14:paraId="5F10D2C3" w14:textId="77777777" w:rsidR="0045589C" w:rsidRPr="0045589C" w:rsidRDefault="0045589C" w:rsidP="0045589C">
            <w:r w:rsidRPr="0045589C">
              <w:t>Nadir Scan</w:t>
            </w:r>
          </w:p>
        </w:tc>
      </w:tr>
      <w:tr w:rsidR="0045589C" w:rsidRPr="006D6727" w14:paraId="0A64057B" w14:textId="77777777" w:rsidTr="00636EAC">
        <w:tc>
          <w:tcPr>
            <w:tcW w:w="1696" w:type="dxa"/>
          </w:tcPr>
          <w:p w14:paraId="75B64CBE" w14:textId="77777777" w:rsidR="0045589C" w:rsidRPr="0045589C" w:rsidRDefault="0045589C" w:rsidP="002B7F79">
            <w:pPr>
              <w:jc w:val="left"/>
            </w:pPr>
            <w:r w:rsidRPr="0045589C">
              <w:t>Orbit altitude (km)</w:t>
            </w:r>
          </w:p>
        </w:tc>
        <w:tc>
          <w:tcPr>
            <w:tcW w:w="993" w:type="dxa"/>
          </w:tcPr>
          <w:p w14:paraId="6DAB03FD" w14:textId="77777777" w:rsidR="0045589C" w:rsidRPr="0045589C" w:rsidRDefault="0045589C" w:rsidP="0045589C">
            <w:r w:rsidRPr="0045589C">
              <w:t>822</w:t>
            </w:r>
          </w:p>
        </w:tc>
        <w:tc>
          <w:tcPr>
            <w:tcW w:w="850" w:type="dxa"/>
          </w:tcPr>
          <w:p w14:paraId="54C50190" w14:textId="77777777" w:rsidR="0045589C" w:rsidRPr="0045589C" w:rsidRDefault="0045589C" w:rsidP="0045589C">
            <w:r w:rsidRPr="0045589C">
              <w:t>822</w:t>
            </w:r>
          </w:p>
        </w:tc>
        <w:tc>
          <w:tcPr>
            <w:tcW w:w="992" w:type="dxa"/>
          </w:tcPr>
          <w:p w14:paraId="24D9C682" w14:textId="77777777" w:rsidR="0045589C" w:rsidRPr="0045589C" w:rsidRDefault="0045589C" w:rsidP="0045589C">
            <w:r w:rsidRPr="0045589C">
              <w:t>830</w:t>
            </w:r>
          </w:p>
        </w:tc>
        <w:tc>
          <w:tcPr>
            <w:tcW w:w="1134" w:type="dxa"/>
          </w:tcPr>
          <w:p w14:paraId="51A130DB" w14:textId="77777777" w:rsidR="0045589C" w:rsidRPr="0045589C" w:rsidRDefault="0045589C" w:rsidP="0045589C">
            <w:r w:rsidRPr="0045589C">
              <w:t>830</w:t>
            </w:r>
          </w:p>
        </w:tc>
        <w:tc>
          <w:tcPr>
            <w:tcW w:w="993" w:type="dxa"/>
          </w:tcPr>
          <w:p w14:paraId="2FDC3446" w14:textId="77777777" w:rsidR="0045589C" w:rsidRPr="0045589C" w:rsidRDefault="0045589C" w:rsidP="0045589C">
            <w:r w:rsidRPr="0045589C">
              <w:t>830</w:t>
            </w:r>
          </w:p>
        </w:tc>
        <w:tc>
          <w:tcPr>
            <w:tcW w:w="992" w:type="dxa"/>
          </w:tcPr>
          <w:p w14:paraId="2DCE3ECB" w14:textId="77777777" w:rsidR="0045589C" w:rsidRPr="0045589C" w:rsidRDefault="0045589C" w:rsidP="0045589C">
            <w:r w:rsidRPr="0045589C">
              <w:t>830</w:t>
            </w:r>
          </w:p>
        </w:tc>
        <w:tc>
          <w:tcPr>
            <w:tcW w:w="992" w:type="dxa"/>
          </w:tcPr>
          <w:p w14:paraId="5C4BB1A9" w14:textId="77777777" w:rsidR="0045589C" w:rsidRPr="0045589C" w:rsidRDefault="0045589C" w:rsidP="0045589C">
            <w:r w:rsidRPr="0045589C">
              <w:t>600</w:t>
            </w:r>
          </w:p>
        </w:tc>
        <w:tc>
          <w:tcPr>
            <w:tcW w:w="987" w:type="dxa"/>
          </w:tcPr>
          <w:p w14:paraId="5EEB77E9" w14:textId="77777777" w:rsidR="0045589C" w:rsidRPr="0045589C" w:rsidRDefault="0045589C" w:rsidP="0045589C">
            <w:r w:rsidRPr="0045589C">
              <w:t>600</w:t>
            </w:r>
          </w:p>
        </w:tc>
      </w:tr>
      <w:tr w:rsidR="0045589C" w:rsidRPr="006D6727" w14:paraId="20D59931" w14:textId="77777777" w:rsidTr="00636EAC">
        <w:tc>
          <w:tcPr>
            <w:tcW w:w="1696" w:type="dxa"/>
          </w:tcPr>
          <w:p w14:paraId="3A32FF60" w14:textId="77777777" w:rsidR="0045589C" w:rsidRPr="0045589C" w:rsidRDefault="0045589C" w:rsidP="002B7F79">
            <w:pPr>
              <w:jc w:val="left"/>
            </w:pPr>
            <w:r w:rsidRPr="0045589C">
              <w:t>Nadir angle (°)</w:t>
            </w:r>
          </w:p>
        </w:tc>
        <w:tc>
          <w:tcPr>
            <w:tcW w:w="993" w:type="dxa"/>
          </w:tcPr>
          <w:p w14:paraId="517BC87C" w14:textId="77777777" w:rsidR="0045589C" w:rsidRPr="0045589C" w:rsidRDefault="0045589C" w:rsidP="0045589C">
            <w:r w:rsidRPr="0045589C">
              <w:t>0</w:t>
            </w:r>
          </w:p>
        </w:tc>
        <w:tc>
          <w:tcPr>
            <w:tcW w:w="850" w:type="dxa"/>
          </w:tcPr>
          <w:p w14:paraId="14C7293F" w14:textId="77777777" w:rsidR="0045589C" w:rsidRPr="0045589C" w:rsidRDefault="0045589C" w:rsidP="0045589C">
            <w:r w:rsidRPr="0045589C">
              <w:t>49</w:t>
            </w:r>
            <w:r w:rsidR="00CF4994">
              <w:t>.4</w:t>
            </w:r>
          </w:p>
        </w:tc>
        <w:tc>
          <w:tcPr>
            <w:tcW w:w="992" w:type="dxa"/>
          </w:tcPr>
          <w:p w14:paraId="37861474" w14:textId="77777777" w:rsidR="0045589C" w:rsidRPr="0045589C" w:rsidRDefault="0045589C" w:rsidP="0045589C">
            <w:r w:rsidRPr="0045589C">
              <w:t>45</w:t>
            </w:r>
            <w:r w:rsidR="00CF4994">
              <w:t>.2</w:t>
            </w:r>
          </w:p>
        </w:tc>
        <w:tc>
          <w:tcPr>
            <w:tcW w:w="1134" w:type="dxa"/>
          </w:tcPr>
          <w:p w14:paraId="2DCB7351" w14:textId="77777777" w:rsidR="0045589C" w:rsidRPr="0045589C" w:rsidRDefault="0045589C" w:rsidP="0045589C">
            <w:r w:rsidRPr="0045589C">
              <w:t>0</w:t>
            </w:r>
          </w:p>
        </w:tc>
        <w:tc>
          <w:tcPr>
            <w:tcW w:w="993" w:type="dxa"/>
          </w:tcPr>
          <w:p w14:paraId="7113C7B5" w14:textId="77777777" w:rsidR="0045589C" w:rsidRPr="0045589C" w:rsidRDefault="0045589C" w:rsidP="0045589C">
            <w:r w:rsidRPr="0045589C">
              <w:t>49</w:t>
            </w:r>
          </w:p>
        </w:tc>
        <w:tc>
          <w:tcPr>
            <w:tcW w:w="992" w:type="dxa"/>
          </w:tcPr>
          <w:p w14:paraId="1EE1706E" w14:textId="77777777" w:rsidR="0045589C" w:rsidRPr="0045589C" w:rsidRDefault="0045589C" w:rsidP="0045589C">
            <w:r w:rsidRPr="0045589C">
              <w:t>45</w:t>
            </w:r>
            <w:r w:rsidR="00CF4994">
              <w:t>.2</w:t>
            </w:r>
          </w:p>
        </w:tc>
        <w:tc>
          <w:tcPr>
            <w:tcW w:w="992" w:type="dxa"/>
          </w:tcPr>
          <w:p w14:paraId="49A2E13C" w14:textId="77777777" w:rsidR="0045589C" w:rsidRPr="0045589C" w:rsidRDefault="0045589C" w:rsidP="0045589C">
            <w:r w:rsidRPr="0045589C">
              <w:t>0</w:t>
            </w:r>
          </w:p>
        </w:tc>
        <w:tc>
          <w:tcPr>
            <w:tcW w:w="987" w:type="dxa"/>
          </w:tcPr>
          <w:p w14:paraId="08A79A42" w14:textId="77777777" w:rsidR="0045589C" w:rsidRPr="0045589C" w:rsidRDefault="0045589C" w:rsidP="0045589C">
            <w:r w:rsidRPr="0045589C">
              <w:t>49</w:t>
            </w:r>
          </w:p>
        </w:tc>
      </w:tr>
      <w:tr w:rsidR="0045589C" w:rsidRPr="006D6727" w14:paraId="36B0CAB5" w14:textId="77777777" w:rsidTr="00636EAC">
        <w:tc>
          <w:tcPr>
            <w:tcW w:w="1696" w:type="dxa"/>
          </w:tcPr>
          <w:p w14:paraId="3D629DA8" w14:textId="77777777" w:rsidR="0045589C" w:rsidRPr="0045589C" w:rsidRDefault="0045589C" w:rsidP="002B7F79">
            <w:pPr>
              <w:jc w:val="left"/>
            </w:pPr>
            <w:r w:rsidRPr="0045589C">
              <w:t>Slant path distance (km)</w:t>
            </w:r>
          </w:p>
        </w:tc>
        <w:tc>
          <w:tcPr>
            <w:tcW w:w="993" w:type="dxa"/>
          </w:tcPr>
          <w:p w14:paraId="0B46F9FF" w14:textId="77777777" w:rsidR="0045589C" w:rsidRPr="0045589C" w:rsidRDefault="0045589C" w:rsidP="0045589C">
            <w:r w:rsidRPr="0045589C">
              <w:t>822</w:t>
            </w:r>
          </w:p>
        </w:tc>
        <w:tc>
          <w:tcPr>
            <w:tcW w:w="850" w:type="dxa"/>
          </w:tcPr>
          <w:p w14:paraId="3CF15572" w14:textId="77777777" w:rsidR="0045589C" w:rsidRPr="0045589C" w:rsidRDefault="0045589C" w:rsidP="0045589C">
            <w:r w:rsidRPr="0045589C">
              <w:t>1400</w:t>
            </w:r>
          </w:p>
        </w:tc>
        <w:tc>
          <w:tcPr>
            <w:tcW w:w="992" w:type="dxa"/>
          </w:tcPr>
          <w:p w14:paraId="1167DDE5" w14:textId="77777777" w:rsidR="0045589C" w:rsidRPr="0045589C" w:rsidRDefault="0045589C" w:rsidP="0045589C">
            <w:r w:rsidRPr="0045589C">
              <w:t>1269</w:t>
            </w:r>
          </w:p>
        </w:tc>
        <w:tc>
          <w:tcPr>
            <w:tcW w:w="1134" w:type="dxa"/>
          </w:tcPr>
          <w:p w14:paraId="58B847BF" w14:textId="77777777" w:rsidR="0045589C" w:rsidRPr="0045589C" w:rsidRDefault="0045589C" w:rsidP="0045589C">
            <w:r w:rsidRPr="0045589C">
              <w:t>830</w:t>
            </w:r>
          </w:p>
        </w:tc>
        <w:tc>
          <w:tcPr>
            <w:tcW w:w="993" w:type="dxa"/>
          </w:tcPr>
          <w:p w14:paraId="30A55503" w14:textId="77777777" w:rsidR="0045589C" w:rsidRPr="0045589C" w:rsidRDefault="0045589C" w:rsidP="0045589C">
            <w:r w:rsidRPr="0045589C">
              <w:t>1400</w:t>
            </w:r>
          </w:p>
        </w:tc>
        <w:tc>
          <w:tcPr>
            <w:tcW w:w="992" w:type="dxa"/>
          </w:tcPr>
          <w:p w14:paraId="51BB19C6" w14:textId="77777777" w:rsidR="0045589C" w:rsidRPr="0045589C" w:rsidRDefault="0045589C" w:rsidP="0045589C">
            <w:r w:rsidRPr="0045589C">
              <w:t>1269</w:t>
            </w:r>
          </w:p>
        </w:tc>
        <w:tc>
          <w:tcPr>
            <w:tcW w:w="992" w:type="dxa"/>
          </w:tcPr>
          <w:p w14:paraId="11D897ED" w14:textId="77777777" w:rsidR="0045589C" w:rsidRPr="0045589C" w:rsidRDefault="0045589C" w:rsidP="0045589C">
            <w:r w:rsidRPr="0045589C">
              <w:t>600</w:t>
            </w:r>
          </w:p>
        </w:tc>
        <w:tc>
          <w:tcPr>
            <w:tcW w:w="987" w:type="dxa"/>
          </w:tcPr>
          <w:p w14:paraId="3D490E27" w14:textId="77777777" w:rsidR="0045589C" w:rsidRPr="0045589C" w:rsidRDefault="0045589C" w:rsidP="0045589C">
            <w:r w:rsidRPr="0045589C">
              <w:t>980</w:t>
            </w:r>
          </w:p>
        </w:tc>
      </w:tr>
      <w:tr w:rsidR="0045589C" w:rsidRPr="006D6727" w14:paraId="08AD0B16" w14:textId="77777777" w:rsidTr="00636EAC">
        <w:tc>
          <w:tcPr>
            <w:tcW w:w="1696" w:type="dxa"/>
          </w:tcPr>
          <w:p w14:paraId="375D41BE" w14:textId="77777777" w:rsidR="0045589C" w:rsidRPr="0045589C" w:rsidRDefault="0045589C" w:rsidP="002B7F79">
            <w:pPr>
              <w:jc w:val="left"/>
            </w:pPr>
            <w:r w:rsidRPr="0045589C">
              <w:t>Free space loss (dB)</w:t>
            </w:r>
          </w:p>
        </w:tc>
        <w:tc>
          <w:tcPr>
            <w:tcW w:w="993" w:type="dxa"/>
          </w:tcPr>
          <w:p w14:paraId="0FAFF483" w14:textId="77777777" w:rsidR="0045589C" w:rsidRPr="0045589C" w:rsidRDefault="0045589C" w:rsidP="0045589C">
            <w:r w:rsidRPr="0045589C">
              <w:t>195</w:t>
            </w:r>
            <w:r w:rsidR="00CF4994">
              <w:t>.6</w:t>
            </w:r>
          </w:p>
        </w:tc>
        <w:tc>
          <w:tcPr>
            <w:tcW w:w="850" w:type="dxa"/>
          </w:tcPr>
          <w:p w14:paraId="6C43FAF0" w14:textId="77777777" w:rsidR="0045589C" w:rsidRPr="0045589C" w:rsidRDefault="0045589C" w:rsidP="0045589C">
            <w:r w:rsidRPr="0045589C">
              <w:t>200</w:t>
            </w:r>
            <w:r w:rsidR="00CF4994">
              <w:t>.2</w:t>
            </w:r>
          </w:p>
        </w:tc>
        <w:tc>
          <w:tcPr>
            <w:tcW w:w="992" w:type="dxa"/>
          </w:tcPr>
          <w:p w14:paraId="06FEAF9E" w14:textId="77777777" w:rsidR="0045589C" w:rsidRPr="0045589C" w:rsidRDefault="0045589C" w:rsidP="0045589C">
            <w:r w:rsidRPr="0045589C">
              <w:t>199</w:t>
            </w:r>
            <w:r w:rsidR="00CF4994">
              <w:t>.4</w:t>
            </w:r>
          </w:p>
        </w:tc>
        <w:tc>
          <w:tcPr>
            <w:tcW w:w="1134" w:type="dxa"/>
          </w:tcPr>
          <w:p w14:paraId="73A3FF8F" w14:textId="77777777" w:rsidR="0045589C" w:rsidRPr="0045589C" w:rsidRDefault="0045589C" w:rsidP="0045589C">
            <w:r w:rsidRPr="0045589C">
              <w:t>195</w:t>
            </w:r>
            <w:r w:rsidR="00CF4994">
              <w:t>.7</w:t>
            </w:r>
          </w:p>
        </w:tc>
        <w:tc>
          <w:tcPr>
            <w:tcW w:w="993" w:type="dxa"/>
          </w:tcPr>
          <w:p w14:paraId="759015DE" w14:textId="77777777" w:rsidR="0045589C" w:rsidRPr="0045589C" w:rsidRDefault="0045589C" w:rsidP="0045589C">
            <w:r w:rsidRPr="0045589C">
              <w:t>200</w:t>
            </w:r>
            <w:r w:rsidR="00CF4994">
              <w:t>.2</w:t>
            </w:r>
          </w:p>
        </w:tc>
        <w:tc>
          <w:tcPr>
            <w:tcW w:w="992" w:type="dxa"/>
          </w:tcPr>
          <w:p w14:paraId="33A3EED8" w14:textId="77777777" w:rsidR="0045589C" w:rsidRPr="0045589C" w:rsidRDefault="0045589C" w:rsidP="0045589C">
            <w:r w:rsidRPr="0045589C">
              <w:t>199</w:t>
            </w:r>
            <w:r w:rsidR="00CF4994">
              <w:t>.4</w:t>
            </w:r>
          </w:p>
        </w:tc>
        <w:tc>
          <w:tcPr>
            <w:tcW w:w="992" w:type="dxa"/>
          </w:tcPr>
          <w:p w14:paraId="330E9E6D" w14:textId="77777777" w:rsidR="0045589C" w:rsidRPr="0045589C" w:rsidRDefault="0045589C" w:rsidP="0045589C">
            <w:r w:rsidRPr="0045589C">
              <w:t>192</w:t>
            </w:r>
            <w:r w:rsidR="00CF4994">
              <w:t>.9</w:t>
            </w:r>
          </w:p>
        </w:tc>
        <w:tc>
          <w:tcPr>
            <w:tcW w:w="987" w:type="dxa"/>
          </w:tcPr>
          <w:p w14:paraId="52E079CA" w14:textId="77777777" w:rsidR="0045589C" w:rsidRPr="0045589C" w:rsidRDefault="0045589C" w:rsidP="0045589C">
            <w:r w:rsidRPr="0045589C">
              <w:t>197</w:t>
            </w:r>
            <w:r w:rsidR="00CF4994">
              <w:t>.1</w:t>
            </w:r>
          </w:p>
        </w:tc>
      </w:tr>
      <w:tr w:rsidR="0045589C" w:rsidRPr="006D6727" w14:paraId="1254E319" w14:textId="77777777" w:rsidTr="00636EAC">
        <w:tc>
          <w:tcPr>
            <w:tcW w:w="1696" w:type="dxa"/>
          </w:tcPr>
          <w:p w14:paraId="718EF027" w14:textId="77777777" w:rsidR="0045589C" w:rsidRPr="0045589C" w:rsidRDefault="0045589C" w:rsidP="002B7F79">
            <w:pPr>
              <w:jc w:val="left"/>
            </w:pPr>
            <w:r w:rsidRPr="0045589C">
              <w:t>Elevation angle at ground (°)</w:t>
            </w:r>
          </w:p>
        </w:tc>
        <w:tc>
          <w:tcPr>
            <w:tcW w:w="993" w:type="dxa"/>
          </w:tcPr>
          <w:p w14:paraId="13A00BF8" w14:textId="77777777" w:rsidR="0045589C" w:rsidRPr="0045589C" w:rsidRDefault="0045589C" w:rsidP="0045589C">
            <w:r w:rsidRPr="0045589C">
              <w:t>90</w:t>
            </w:r>
            <w:r w:rsidR="00CF4994">
              <w:t>.0</w:t>
            </w:r>
          </w:p>
        </w:tc>
        <w:tc>
          <w:tcPr>
            <w:tcW w:w="850" w:type="dxa"/>
          </w:tcPr>
          <w:p w14:paraId="7DF7F00C" w14:textId="77777777" w:rsidR="0045589C" w:rsidRPr="0045589C" w:rsidRDefault="0045589C" w:rsidP="0045589C">
            <w:r w:rsidRPr="0045589C">
              <w:t>31</w:t>
            </w:r>
            <w:r w:rsidR="00CF4994">
              <w:t>.0</w:t>
            </w:r>
          </w:p>
        </w:tc>
        <w:tc>
          <w:tcPr>
            <w:tcW w:w="992" w:type="dxa"/>
          </w:tcPr>
          <w:p w14:paraId="2BC0FD16" w14:textId="77777777" w:rsidR="0045589C" w:rsidRPr="0045589C" w:rsidRDefault="0045589C" w:rsidP="0045589C">
            <w:r w:rsidRPr="0045589C">
              <w:t>36</w:t>
            </w:r>
            <w:r w:rsidR="00CF4994">
              <w:t>.7</w:t>
            </w:r>
          </w:p>
        </w:tc>
        <w:tc>
          <w:tcPr>
            <w:tcW w:w="1134" w:type="dxa"/>
          </w:tcPr>
          <w:p w14:paraId="25BA113B" w14:textId="77777777" w:rsidR="0045589C" w:rsidRPr="0045589C" w:rsidRDefault="0045589C" w:rsidP="0045589C">
            <w:r w:rsidRPr="0045589C">
              <w:t>90</w:t>
            </w:r>
            <w:r w:rsidR="00CF4994">
              <w:t>.0</w:t>
            </w:r>
          </w:p>
        </w:tc>
        <w:tc>
          <w:tcPr>
            <w:tcW w:w="993" w:type="dxa"/>
          </w:tcPr>
          <w:p w14:paraId="6E33CEE9" w14:textId="77777777" w:rsidR="0045589C" w:rsidRPr="0045589C" w:rsidRDefault="0045589C" w:rsidP="0045589C">
            <w:r w:rsidRPr="0045589C">
              <w:t>31</w:t>
            </w:r>
            <w:r w:rsidR="00CF4994">
              <w:t>.5</w:t>
            </w:r>
          </w:p>
        </w:tc>
        <w:tc>
          <w:tcPr>
            <w:tcW w:w="992" w:type="dxa"/>
          </w:tcPr>
          <w:p w14:paraId="5495AF9D" w14:textId="77777777" w:rsidR="0045589C" w:rsidRPr="0045589C" w:rsidRDefault="0045589C" w:rsidP="0045589C">
            <w:r w:rsidRPr="0045589C">
              <w:t>36</w:t>
            </w:r>
            <w:r w:rsidR="00CF4994">
              <w:t>.7</w:t>
            </w:r>
          </w:p>
        </w:tc>
        <w:tc>
          <w:tcPr>
            <w:tcW w:w="992" w:type="dxa"/>
          </w:tcPr>
          <w:p w14:paraId="0D7EF454" w14:textId="77777777" w:rsidR="0045589C" w:rsidRPr="0045589C" w:rsidRDefault="0045589C" w:rsidP="0045589C">
            <w:r w:rsidRPr="0045589C">
              <w:t>90</w:t>
            </w:r>
            <w:r w:rsidR="00CF4994">
              <w:t>.0</w:t>
            </w:r>
          </w:p>
        </w:tc>
        <w:tc>
          <w:tcPr>
            <w:tcW w:w="987" w:type="dxa"/>
          </w:tcPr>
          <w:p w14:paraId="5A6FE945" w14:textId="77777777" w:rsidR="0045589C" w:rsidRPr="0045589C" w:rsidRDefault="0045589C" w:rsidP="0045589C">
            <w:r w:rsidRPr="0045589C">
              <w:t>34</w:t>
            </w:r>
            <w:r w:rsidR="00CF4994">
              <w:t>.3</w:t>
            </w:r>
          </w:p>
        </w:tc>
      </w:tr>
      <w:tr w:rsidR="0045589C" w:rsidRPr="006D6727" w14:paraId="7DEDB2FA" w14:textId="77777777" w:rsidTr="00636EAC">
        <w:tc>
          <w:tcPr>
            <w:tcW w:w="1696" w:type="dxa"/>
          </w:tcPr>
          <w:p w14:paraId="5D98E031" w14:textId="77777777" w:rsidR="0045589C" w:rsidRPr="0045589C" w:rsidRDefault="0045589C" w:rsidP="002B7F79">
            <w:pPr>
              <w:jc w:val="left"/>
            </w:pPr>
            <w:r w:rsidRPr="0045589C">
              <w:t>Attenuation due to atmospheric gases (dB)</w:t>
            </w:r>
          </w:p>
        </w:tc>
        <w:tc>
          <w:tcPr>
            <w:tcW w:w="993" w:type="dxa"/>
          </w:tcPr>
          <w:p w14:paraId="4CDD94C9" w14:textId="77777777" w:rsidR="0045589C" w:rsidRPr="0045589C" w:rsidRDefault="0045589C" w:rsidP="0045589C">
            <w:r w:rsidRPr="0045589C">
              <w:t>8</w:t>
            </w:r>
            <w:r w:rsidR="00CF4994">
              <w:t>.3</w:t>
            </w:r>
          </w:p>
        </w:tc>
        <w:tc>
          <w:tcPr>
            <w:tcW w:w="850" w:type="dxa"/>
          </w:tcPr>
          <w:p w14:paraId="6BA1CCD1" w14:textId="77777777" w:rsidR="0045589C" w:rsidRPr="0045589C" w:rsidRDefault="0045589C" w:rsidP="0045589C">
            <w:r w:rsidRPr="0045589C">
              <w:t>16</w:t>
            </w:r>
          </w:p>
        </w:tc>
        <w:tc>
          <w:tcPr>
            <w:tcW w:w="992" w:type="dxa"/>
          </w:tcPr>
          <w:p w14:paraId="393B5A0C" w14:textId="77777777" w:rsidR="0045589C" w:rsidRPr="0045589C" w:rsidRDefault="0045589C" w:rsidP="0045589C">
            <w:r w:rsidRPr="0045589C">
              <w:t>13</w:t>
            </w:r>
            <w:r w:rsidR="00CF4994">
              <w:t>.8</w:t>
            </w:r>
          </w:p>
        </w:tc>
        <w:tc>
          <w:tcPr>
            <w:tcW w:w="1134" w:type="dxa"/>
          </w:tcPr>
          <w:p w14:paraId="34FA5C65" w14:textId="77777777" w:rsidR="0045589C" w:rsidRPr="0045589C" w:rsidRDefault="0045589C" w:rsidP="0045589C">
            <w:r w:rsidRPr="0045589C">
              <w:t>8</w:t>
            </w:r>
            <w:r w:rsidR="00CF4994">
              <w:t>.3</w:t>
            </w:r>
          </w:p>
        </w:tc>
        <w:tc>
          <w:tcPr>
            <w:tcW w:w="993" w:type="dxa"/>
          </w:tcPr>
          <w:p w14:paraId="03B766F6" w14:textId="77777777" w:rsidR="0045589C" w:rsidRPr="0045589C" w:rsidRDefault="0045589C" w:rsidP="0045589C">
            <w:r w:rsidRPr="0045589C">
              <w:t>15</w:t>
            </w:r>
            <w:r w:rsidR="00CF4994">
              <w:t>.8</w:t>
            </w:r>
          </w:p>
        </w:tc>
        <w:tc>
          <w:tcPr>
            <w:tcW w:w="992" w:type="dxa"/>
          </w:tcPr>
          <w:p w14:paraId="2DF59DCC" w14:textId="77777777" w:rsidR="0045589C" w:rsidRPr="0045589C" w:rsidRDefault="0045589C" w:rsidP="0045589C">
            <w:r w:rsidRPr="0045589C">
              <w:t>13</w:t>
            </w:r>
            <w:r w:rsidR="00CF4994">
              <w:t>.8</w:t>
            </w:r>
          </w:p>
        </w:tc>
        <w:tc>
          <w:tcPr>
            <w:tcW w:w="992" w:type="dxa"/>
          </w:tcPr>
          <w:p w14:paraId="42B357F4" w14:textId="77777777" w:rsidR="0045589C" w:rsidRPr="0045589C" w:rsidRDefault="0045589C" w:rsidP="0045589C">
            <w:r w:rsidRPr="0045589C">
              <w:t>8</w:t>
            </w:r>
            <w:r w:rsidR="00CF4994">
              <w:t>.3</w:t>
            </w:r>
          </w:p>
        </w:tc>
        <w:tc>
          <w:tcPr>
            <w:tcW w:w="987" w:type="dxa"/>
          </w:tcPr>
          <w:p w14:paraId="7541F1FF" w14:textId="77777777" w:rsidR="0045589C" w:rsidRPr="0045589C" w:rsidRDefault="0045589C" w:rsidP="0045589C">
            <w:r w:rsidRPr="0045589C">
              <w:t>14</w:t>
            </w:r>
            <w:r w:rsidR="00CF4994">
              <w:t>.7</w:t>
            </w:r>
          </w:p>
        </w:tc>
      </w:tr>
      <w:tr w:rsidR="0045589C" w:rsidRPr="006D6727" w14:paraId="0EC9AEEC" w14:textId="77777777" w:rsidTr="00636EAC">
        <w:tc>
          <w:tcPr>
            <w:tcW w:w="1696" w:type="dxa"/>
          </w:tcPr>
          <w:p w14:paraId="22F81E07" w14:textId="77777777" w:rsidR="0045589C" w:rsidRPr="0045589C" w:rsidRDefault="0045589C" w:rsidP="002B7F79">
            <w:pPr>
              <w:jc w:val="left"/>
            </w:pPr>
            <w:r w:rsidRPr="0045589C">
              <w:t>Reference bandwidth (MHz)</w:t>
            </w:r>
          </w:p>
        </w:tc>
        <w:tc>
          <w:tcPr>
            <w:tcW w:w="993" w:type="dxa"/>
          </w:tcPr>
          <w:p w14:paraId="23A4BA1A" w14:textId="77777777" w:rsidR="0045589C" w:rsidRPr="0045589C" w:rsidRDefault="0045589C" w:rsidP="0045589C">
            <w:r w:rsidRPr="0045589C">
              <w:t>200</w:t>
            </w:r>
          </w:p>
        </w:tc>
        <w:tc>
          <w:tcPr>
            <w:tcW w:w="850" w:type="dxa"/>
          </w:tcPr>
          <w:p w14:paraId="01843CD5" w14:textId="77777777" w:rsidR="0045589C" w:rsidRPr="0045589C" w:rsidRDefault="0045589C" w:rsidP="0045589C">
            <w:r w:rsidRPr="0045589C">
              <w:t>200</w:t>
            </w:r>
          </w:p>
        </w:tc>
        <w:tc>
          <w:tcPr>
            <w:tcW w:w="992" w:type="dxa"/>
          </w:tcPr>
          <w:p w14:paraId="491E727F" w14:textId="77777777" w:rsidR="0045589C" w:rsidRPr="0045589C" w:rsidRDefault="0045589C" w:rsidP="0045589C">
            <w:r w:rsidRPr="0045589C">
              <w:t>200</w:t>
            </w:r>
          </w:p>
        </w:tc>
        <w:tc>
          <w:tcPr>
            <w:tcW w:w="1134" w:type="dxa"/>
          </w:tcPr>
          <w:p w14:paraId="301B580B" w14:textId="77777777" w:rsidR="0045589C" w:rsidRPr="0045589C" w:rsidRDefault="0045589C" w:rsidP="0045589C">
            <w:r w:rsidRPr="0045589C">
              <w:t>200</w:t>
            </w:r>
          </w:p>
        </w:tc>
        <w:tc>
          <w:tcPr>
            <w:tcW w:w="993" w:type="dxa"/>
          </w:tcPr>
          <w:p w14:paraId="240D5E23" w14:textId="77777777" w:rsidR="0045589C" w:rsidRPr="0045589C" w:rsidRDefault="0045589C" w:rsidP="0045589C">
            <w:r w:rsidRPr="0045589C">
              <w:t>200</w:t>
            </w:r>
          </w:p>
        </w:tc>
        <w:tc>
          <w:tcPr>
            <w:tcW w:w="992" w:type="dxa"/>
          </w:tcPr>
          <w:p w14:paraId="2FE12AC6" w14:textId="77777777" w:rsidR="0045589C" w:rsidRPr="0045589C" w:rsidRDefault="0045589C" w:rsidP="0045589C">
            <w:r w:rsidRPr="0045589C">
              <w:t>200</w:t>
            </w:r>
          </w:p>
        </w:tc>
        <w:tc>
          <w:tcPr>
            <w:tcW w:w="992" w:type="dxa"/>
          </w:tcPr>
          <w:p w14:paraId="6C32C166" w14:textId="77777777" w:rsidR="0045589C" w:rsidRPr="0045589C" w:rsidRDefault="0045589C" w:rsidP="0045589C">
            <w:r w:rsidRPr="0045589C">
              <w:t>200</w:t>
            </w:r>
          </w:p>
        </w:tc>
        <w:tc>
          <w:tcPr>
            <w:tcW w:w="987" w:type="dxa"/>
          </w:tcPr>
          <w:p w14:paraId="72324D3A" w14:textId="77777777" w:rsidR="0045589C" w:rsidRPr="0045589C" w:rsidRDefault="0045589C" w:rsidP="0045589C">
            <w:r w:rsidRPr="0045589C">
              <w:t>200</w:t>
            </w:r>
          </w:p>
        </w:tc>
      </w:tr>
      <w:tr w:rsidR="0045589C" w:rsidRPr="006D6727" w14:paraId="282C5D4C" w14:textId="77777777" w:rsidTr="00636EAC">
        <w:tc>
          <w:tcPr>
            <w:tcW w:w="1696" w:type="dxa"/>
          </w:tcPr>
          <w:p w14:paraId="6A484928" w14:textId="77777777" w:rsidR="0045589C" w:rsidRPr="0045589C" w:rsidRDefault="0045589C" w:rsidP="002B7F79">
            <w:pPr>
              <w:jc w:val="left"/>
            </w:pPr>
            <w:r w:rsidRPr="0045589C">
              <w:t>EESS protection criterion (dBW/reference bandwidth)</w:t>
            </w:r>
          </w:p>
        </w:tc>
        <w:tc>
          <w:tcPr>
            <w:tcW w:w="993" w:type="dxa"/>
          </w:tcPr>
          <w:p w14:paraId="722B70EC" w14:textId="77777777" w:rsidR="0045589C" w:rsidRPr="0045589C" w:rsidRDefault="0045589C" w:rsidP="0045589C">
            <w:r w:rsidRPr="0045589C">
              <w:t>-163</w:t>
            </w:r>
          </w:p>
        </w:tc>
        <w:tc>
          <w:tcPr>
            <w:tcW w:w="850" w:type="dxa"/>
          </w:tcPr>
          <w:p w14:paraId="0798156F" w14:textId="77777777" w:rsidR="0045589C" w:rsidRPr="0045589C" w:rsidRDefault="0045589C" w:rsidP="0045589C">
            <w:r w:rsidRPr="0045589C">
              <w:t>-163</w:t>
            </w:r>
          </w:p>
        </w:tc>
        <w:tc>
          <w:tcPr>
            <w:tcW w:w="992" w:type="dxa"/>
          </w:tcPr>
          <w:p w14:paraId="707AF500" w14:textId="77777777" w:rsidR="0045589C" w:rsidRPr="0045589C" w:rsidRDefault="0045589C" w:rsidP="0045589C">
            <w:r w:rsidRPr="0045589C">
              <w:t>-163</w:t>
            </w:r>
          </w:p>
        </w:tc>
        <w:tc>
          <w:tcPr>
            <w:tcW w:w="1134" w:type="dxa"/>
          </w:tcPr>
          <w:p w14:paraId="3815EB40" w14:textId="77777777" w:rsidR="0045589C" w:rsidRPr="0045589C" w:rsidRDefault="0045589C" w:rsidP="0045589C">
            <w:r w:rsidRPr="0045589C">
              <w:t>-163</w:t>
            </w:r>
          </w:p>
        </w:tc>
        <w:tc>
          <w:tcPr>
            <w:tcW w:w="993" w:type="dxa"/>
          </w:tcPr>
          <w:p w14:paraId="3BEEBF9B" w14:textId="77777777" w:rsidR="0045589C" w:rsidRPr="0045589C" w:rsidRDefault="0045589C" w:rsidP="0045589C">
            <w:r w:rsidRPr="0045589C">
              <w:t>-163</w:t>
            </w:r>
          </w:p>
        </w:tc>
        <w:tc>
          <w:tcPr>
            <w:tcW w:w="992" w:type="dxa"/>
          </w:tcPr>
          <w:p w14:paraId="5139707A" w14:textId="77777777" w:rsidR="0045589C" w:rsidRPr="0045589C" w:rsidRDefault="0045589C" w:rsidP="0045589C">
            <w:r w:rsidRPr="0045589C">
              <w:t>-163</w:t>
            </w:r>
          </w:p>
        </w:tc>
        <w:tc>
          <w:tcPr>
            <w:tcW w:w="992" w:type="dxa"/>
          </w:tcPr>
          <w:p w14:paraId="239CE9FD" w14:textId="77777777" w:rsidR="0045589C" w:rsidRPr="0045589C" w:rsidRDefault="0045589C" w:rsidP="0045589C">
            <w:r w:rsidRPr="0045589C">
              <w:t>-163</w:t>
            </w:r>
          </w:p>
        </w:tc>
        <w:tc>
          <w:tcPr>
            <w:tcW w:w="987" w:type="dxa"/>
          </w:tcPr>
          <w:p w14:paraId="55C95771" w14:textId="77777777" w:rsidR="0045589C" w:rsidRPr="0045589C" w:rsidRDefault="0045589C" w:rsidP="0045589C">
            <w:r w:rsidRPr="0045589C">
              <w:t>-163</w:t>
            </w:r>
          </w:p>
        </w:tc>
      </w:tr>
      <w:tr w:rsidR="0045589C" w:rsidRPr="006D6727" w14:paraId="4B632250" w14:textId="77777777" w:rsidTr="00636EAC">
        <w:tc>
          <w:tcPr>
            <w:tcW w:w="1696" w:type="dxa"/>
          </w:tcPr>
          <w:p w14:paraId="4903FEE1" w14:textId="77777777" w:rsidR="0045589C" w:rsidRPr="0045589C" w:rsidRDefault="0045589C" w:rsidP="002B7F79">
            <w:pPr>
              <w:jc w:val="left"/>
            </w:pPr>
            <w:r w:rsidRPr="0045589C">
              <w:t>Apportionment factor (dB)</w:t>
            </w:r>
          </w:p>
        </w:tc>
        <w:tc>
          <w:tcPr>
            <w:tcW w:w="993" w:type="dxa"/>
          </w:tcPr>
          <w:p w14:paraId="3955E883" w14:textId="77777777" w:rsidR="0045589C" w:rsidRPr="0045589C" w:rsidRDefault="0045589C" w:rsidP="0045589C">
            <w:r>
              <w:t>12</w:t>
            </w:r>
          </w:p>
        </w:tc>
        <w:tc>
          <w:tcPr>
            <w:tcW w:w="850" w:type="dxa"/>
          </w:tcPr>
          <w:p w14:paraId="2FC5BD36" w14:textId="77777777" w:rsidR="0045589C" w:rsidRPr="0045589C" w:rsidRDefault="0045589C" w:rsidP="0045589C">
            <w:r>
              <w:t>12</w:t>
            </w:r>
          </w:p>
        </w:tc>
        <w:tc>
          <w:tcPr>
            <w:tcW w:w="992" w:type="dxa"/>
          </w:tcPr>
          <w:p w14:paraId="4FF88F5E" w14:textId="77777777" w:rsidR="0045589C" w:rsidRPr="0045589C" w:rsidRDefault="0045589C" w:rsidP="0045589C">
            <w:r>
              <w:t>12</w:t>
            </w:r>
          </w:p>
        </w:tc>
        <w:tc>
          <w:tcPr>
            <w:tcW w:w="1134" w:type="dxa"/>
          </w:tcPr>
          <w:p w14:paraId="0DA0DF52" w14:textId="77777777" w:rsidR="0045589C" w:rsidRPr="0045589C" w:rsidRDefault="0045589C" w:rsidP="0045589C">
            <w:r>
              <w:t>12</w:t>
            </w:r>
          </w:p>
        </w:tc>
        <w:tc>
          <w:tcPr>
            <w:tcW w:w="993" w:type="dxa"/>
          </w:tcPr>
          <w:p w14:paraId="6FA3FBEB" w14:textId="77777777" w:rsidR="0045589C" w:rsidRPr="0045589C" w:rsidRDefault="0045589C" w:rsidP="0045589C">
            <w:r>
              <w:t>12</w:t>
            </w:r>
          </w:p>
        </w:tc>
        <w:tc>
          <w:tcPr>
            <w:tcW w:w="992" w:type="dxa"/>
          </w:tcPr>
          <w:p w14:paraId="010449E1" w14:textId="77777777" w:rsidR="0045589C" w:rsidRPr="0045589C" w:rsidRDefault="0045589C" w:rsidP="0045589C">
            <w:r>
              <w:t>12</w:t>
            </w:r>
          </w:p>
        </w:tc>
        <w:tc>
          <w:tcPr>
            <w:tcW w:w="992" w:type="dxa"/>
          </w:tcPr>
          <w:p w14:paraId="1C92F89C" w14:textId="77777777" w:rsidR="0045589C" w:rsidRPr="0045589C" w:rsidRDefault="0045589C" w:rsidP="0045589C">
            <w:r>
              <w:t>12</w:t>
            </w:r>
          </w:p>
        </w:tc>
        <w:tc>
          <w:tcPr>
            <w:tcW w:w="987" w:type="dxa"/>
          </w:tcPr>
          <w:p w14:paraId="4D58312B" w14:textId="77777777" w:rsidR="0045589C" w:rsidRPr="0045589C" w:rsidRDefault="0045589C" w:rsidP="0045589C">
            <w:r>
              <w:t>12</w:t>
            </w:r>
          </w:p>
        </w:tc>
      </w:tr>
      <w:tr w:rsidR="0045589C" w:rsidRPr="006D6727" w14:paraId="2D5E73C8" w14:textId="77777777" w:rsidTr="00636EAC">
        <w:tc>
          <w:tcPr>
            <w:tcW w:w="1696" w:type="dxa"/>
          </w:tcPr>
          <w:p w14:paraId="35283792" w14:textId="77777777" w:rsidR="0045589C" w:rsidRPr="0045589C" w:rsidRDefault="0045589C" w:rsidP="002B7F79">
            <w:pPr>
              <w:jc w:val="left"/>
            </w:pPr>
            <w:r w:rsidRPr="0045589C">
              <w:t>EESS protection criterion (with relevant apportionment) (dBW/reference bandwidth)</w:t>
            </w:r>
          </w:p>
        </w:tc>
        <w:tc>
          <w:tcPr>
            <w:tcW w:w="993" w:type="dxa"/>
          </w:tcPr>
          <w:p w14:paraId="62E8B414" w14:textId="77777777" w:rsidR="0045589C" w:rsidRPr="0045589C" w:rsidRDefault="0045589C" w:rsidP="0045589C">
            <w:r w:rsidRPr="0045589C">
              <w:t>-17</w:t>
            </w:r>
            <w:r>
              <w:t>5</w:t>
            </w:r>
          </w:p>
        </w:tc>
        <w:tc>
          <w:tcPr>
            <w:tcW w:w="850" w:type="dxa"/>
          </w:tcPr>
          <w:p w14:paraId="14514D84" w14:textId="77777777" w:rsidR="0045589C" w:rsidRPr="0045589C" w:rsidRDefault="0045589C" w:rsidP="0045589C">
            <w:r w:rsidRPr="0045589C">
              <w:t>-17</w:t>
            </w:r>
            <w:r>
              <w:t>5</w:t>
            </w:r>
          </w:p>
        </w:tc>
        <w:tc>
          <w:tcPr>
            <w:tcW w:w="992" w:type="dxa"/>
          </w:tcPr>
          <w:p w14:paraId="0E178A29" w14:textId="77777777" w:rsidR="0045589C" w:rsidRPr="0045589C" w:rsidRDefault="0045589C" w:rsidP="0045589C">
            <w:r w:rsidRPr="0045589C">
              <w:t>-17</w:t>
            </w:r>
            <w:r>
              <w:t>5</w:t>
            </w:r>
          </w:p>
        </w:tc>
        <w:tc>
          <w:tcPr>
            <w:tcW w:w="1134" w:type="dxa"/>
          </w:tcPr>
          <w:p w14:paraId="381C0C21" w14:textId="77777777" w:rsidR="0045589C" w:rsidRPr="0045589C" w:rsidRDefault="0045589C" w:rsidP="0045589C">
            <w:r w:rsidRPr="0045589C">
              <w:t>-17</w:t>
            </w:r>
            <w:r>
              <w:t>5</w:t>
            </w:r>
          </w:p>
        </w:tc>
        <w:tc>
          <w:tcPr>
            <w:tcW w:w="993" w:type="dxa"/>
          </w:tcPr>
          <w:p w14:paraId="270A2189" w14:textId="77777777" w:rsidR="0045589C" w:rsidRPr="0045589C" w:rsidRDefault="0045589C" w:rsidP="0045589C">
            <w:r w:rsidRPr="0045589C">
              <w:t>-17</w:t>
            </w:r>
            <w:r>
              <w:t>5</w:t>
            </w:r>
          </w:p>
        </w:tc>
        <w:tc>
          <w:tcPr>
            <w:tcW w:w="992" w:type="dxa"/>
          </w:tcPr>
          <w:p w14:paraId="4AB54C8D" w14:textId="77777777" w:rsidR="0045589C" w:rsidRPr="0045589C" w:rsidRDefault="0045589C" w:rsidP="0045589C">
            <w:r w:rsidRPr="0045589C">
              <w:t>-17</w:t>
            </w:r>
            <w:r>
              <w:t>5</w:t>
            </w:r>
          </w:p>
        </w:tc>
        <w:tc>
          <w:tcPr>
            <w:tcW w:w="992" w:type="dxa"/>
          </w:tcPr>
          <w:p w14:paraId="28469783" w14:textId="77777777" w:rsidR="0045589C" w:rsidRPr="0045589C" w:rsidRDefault="0045589C" w:rsidP="0045589C">
            <w:r w:rsidRPr="0045589C">
              <w:t>-17</w:t>
            </w:r>
            <w:r>
              <w:t>5</w:t>
            </w:r>
          </w:p>
        </w:tc>
        <w:tc>
          <w:tcPr>
            <w:tcW w:w="987" w:type="dxa"/>
          </w:tcPr>
          <w:p w14:paraId="372F51B6" w14:textId="77777777" w:rsidR="0045589C" w:rsidRPr="0045589C" w:rsidRDefault="0045589C" w:rsidP="0045589C">
            <w:r w:rsidRPr="0045589C">
              <w:t>-17</w:t>
            </w:r>
            <w:r>
              <w:t>5</w:t>
            </w:r>
          </w:p>
        </w:tc>
      </w:tr>
      <w:tr w:rsidR="0045589C" w:rsidRPr="006D6727" w14:paraId="61B11B3E" w14:textId="77777777" w:rsidTr="00636EAC">
        <w:tc>
          <w:tcPr>
            <w:tcW w:w="1696" w:type="dxa"/>
          </w:tcPr>
          <w:p w14:paraId="1B8C9022" w14:textId="77777777" w:rsidR="0045589C" w:rsidRPr="0045589C" w:rsidRDefault="0045589C" w:rsidP="002B7F79">
            <w:pPr>
              <w:jc w:val="left"/>
            </w:pPr>
            <w:r w:rsidRPr="0045589C">
              <w:t>EESS sensor antenna gain (dBi)</w:t>
            </w:r>
          </w:p>
        </w:tc>
        <w:tc>
          <w:tcPr>
            <w:tcW w:w="993" w:type="dxa"/>
          </w:tcPr>
          <w:p w14:paraId="7A821EF9" w14:textId="77777777" w:rsidR="0045589C" w:rsidRPr="0045589C" w:rsidRDefault="0045589C" w:rsidP="0045589C">
            <w:r w:rsidRPr="0045589C">
              <w:t>44</w:t>
            </w:r>
            <w:r w:rsidR="00CF4994">
              <w:t>.8</w:t>
            </w:r>
          </w:p>
        </w:tc>
        <w:tc>
          <w:tcPr>
            <w:tcW w:w="850" w:type="dxa"/>
          </w:tcPr>
          <w:p w14:paraId="6CEB2041" w14:textId="77777777" w:rsidR="0045589C" w:rsidRPr="0045589C" w:rsidRDefault="0045589C" w:rsidP="0045589C">
            <w:r w:rsidRPr="0045589C">
              <w:t>44</w:t>
            </w:r>
            <w:r w:rsidR="00CF4994">
              <w:t>.8</w:t>
            </w:r>
          </w:p>
        </w:tc>
        <w:tc>
          <w:tcPr>
            <w:tcW w:w="992" w:type="dxa"/>
          </w:tcPr>
          <w:p w14:paraId="134149BD" w14:textId="77777777" w:rsidR="0045589C" w:rsidRPr="0045589C" w:rsidRDefault="0045589C" w:rsidP="0045589C">
            <w:r w:rsidRPr="0045589C">
              <w:t>56</w:t>
            </w:r>
            <w:r w:rsidR="00CF4994">
              <w:t>.9</w:t>
            </w:r>
          </w:p>
        </w:tc>
        <w:tc>
          <w:tcPr>
            <w:tcW w:w="1134" w:type="dxa"/>
          </w:tcPr>
          <w:p w14:paraId="4AB68F55" w14:textId="77777777" w:rsidR="0045589C" w:rsidRPr="0045589C" w:rsidRDefault="0045589C" w:rsidP="0045589C">
            <w:r w:rsidRPr="0045589C">
              <w:t>43</w:t>
            </w:r>
          </w:p>
        </w:tc>
        <w:tc>
          <w:tcPr>
            <w:tcW w:w="993" w:type="dxa"/>
          </w:tcPr>
          <w:p w14:paraId="58A58825" w14:textId="77777777" w:rsidR="0045589C" w:rsidRPr="0045589C" w:rsidRDefault="0045589C" w:rsidP="0045589C">
            <w:r w:rsidRPr="0045589C">
              <w:t>43</w:t>
            </w:r>
          </w:p>
        </w:tc>
        <w:tc>
          <w:tcPr>
            <w:tcW w:w="992" w:type="dxa"/>
          </w:tcPr>
          <w:p w14:paraId="6164CC3B" w14:textId="77777777" w:rsidR="0045589C" w:rsidRPr="0045589C" w:rsidRDefault="0045589C" w:rsidP="0045589C">
            <w:r w:rsidRPr="0045589C">
              <w:t>52</w:t>
            </w:r>
          </w:p>
        </w:tc>
        <w:tc>
          <w:tcPr>
            <w:tcW w:w="992" w:type="dxa"/>
          </w:tcPr>
          <w:p w14:paraId="72FBD6A3" w14:textId="77777777" w:rsidR="0045589C" w:rsidRPr="0045589C" w:rsidRDefault="0045589C" w:rsidP="0045589C">
            <w:r w:rsidRPr="0045589C">
              <w:t>50</w:t>
            </w:r>
          </w:p>
        </w:tc>
        <w:tc>
          <w:tcPr>
            <w:tcW w:w="987" w:type="dxa"/>
          </w:tcPr>
          <w:p w14:paraId="426617F0" w14:textId="77777777" w:rsidR="0045589C" w:rsidRPr="0045589C" w:rsidRDefault="0045589C" w:rsidP="0045589C">
            <w:r w:rsidRPr="0045589C">
              <w:t>50</w:t>
            </w:r>
          </w:p>
        </w:tc>
      </w:tr>
      <w:tr w:rsidR="0045589C" w:rsidRPr="006D6727" w14:paraId="7355FD33" w14:textId="77777777" w:rsidTr="00636EAC">
        <w:tc>
          <w:tcPr>
            <w:tcW w:w="1696" w:type="dxa"/>
          </w:tcPr>
          <w:p w14:paraId="626EF72F" w14:textId="77777777" w:rsidR="0045589C" w:rsidRPr="0045589C" w:rsidRDefault="0045589C" w:rsidP="002B7F79">
            <w:pPr>
              <w:jc w:val="left"/>
            </w:pPr>
            <w:r w:rsidRPr="0045589C">
              <w:t>EESS footprint size (km²)</w:t>
            </w:r>
          </w:p>
        </w:tc>
        <w:tc>
          <w:tcPr>
            <w:tcW w:w="993" w:type="dxa"/>
          </w:tcPr>
          <w:p w14:paraId="560DA1DC" w14:textId="77777777" w:rsidR="0045589C" w:rsidRPr="0045589C" w:rsidRDefault="0045589C" w:rsidP="0045589C">
            <w:r w:rsidRPr="0045589C">
              <w:t>201</w:t>
            </w:r>
          </w:p>
        </w:tc>
        <w:tc>
          <w:tcPr>
            <w:tcW w:w="850" w:type="dxa"/>
          </w:tcPr>
          <w:p w14:paraId="64076251" w14:textId="77777777" w:rsidR="0045589C" w:rsidRPr="0045589C" w:rsidRDefault="0045589C" w:rsidP="0045589C">
            <w:r w:rsidRPr="0045589C">
              <w:t>1103</w:t>
            </w:r>
          </w:p>
        </w:tc>
        <w:tc>
          <w:tcPr>
            <w:tcW w:w="992" w:type="dxa"/>
          </w:tcPr>
          <w:p w14:paraId="0A539EC3" w14:textId="77777777" w:rsidR="0045589C" w:rsidRPr="0045589C" w:rsidRDefault="0045589C" w:rsidP="0045589C">
            <w:r w:rsidRPr="0045589C">
              <w:t>61</w:t>
            </w:r>
          </w:p>
        </w:tc>
        <w:tc>
          <w:tcPr>
            <w:tcW w:w="1134" w:type="dxa"/>
          </w:tcPr>
          <w:p w14:paraId="44FE5071" w14:textId="77777777" w:rsidR="0045589C" w:rsidRPr="0045589C" w:rsidRDefault="0045589C" w:rsidP="0045589C">
            <w:r w:rsidRPr="0045589C">
              <w:t>315</w:t>
            </w:r>
          </w:p>
        </w:tc>
        <w:tc>
          <w:tcPr>
            <w:tcW w:w="993" w:type="dxa"/>
          </w:tcPr>
          <w:p w14:paraId="6B60E254" w14:textId="77777777" w:rsidR="0045589C" w:rsidRPr="0045589C" w:rsidRDefault="0045589C" w:rsidP="0045589C">
            <w:r w:rsidRPr="0045589C">
              <w:t>1762</w:t>
            </w:r>
          </w:p>
        </w:tc>
        <w:tc>
          <w:tcPr>
            <w:tcW w:w="992" w:type="dxa"/>
          </w:tcPr>
          <w:p w14:paraId="7ED7A434" w14:textId="77777777" w:rsidR="0045589C" w:rsidRPr="0045589C" w:rsidRDefault="0045589C" w:rsidP="0045589C">
            <w:r w:rsidRPr="0045589C">
              <w:t>164</w:t>
            </w:r>
          </w:p>
        </w:tc>
        <w:tc>
          <w:tcPr>
            <w:tcW w:w="992" w:type="dxa"/>
          </w:tcPr>
          <w:p w14:paraId="31C34A1D" w14:textId="77777777" w:rsidR="0045589C" w:rsidRPr="0045589C" w:rsidRDefault="0045589C" w:rsidP="0045589C">
            <w:r w:rsidRPr="0045589C">
              <w:t>28</w:t>
            </w:r>
          </w:p>
        </w:tc>
        <w:tc>
          <w:tcPr>
            <w:tcW w:w="987" w:type="dxa"/>
          </w:tcPr>
          <w:p w14:paraId="2BFF11AE" w14:textId="77777777" w:rsidR="0045589C" w:rsidRPr="0045589C" w:rsidRDefault="0045589C" w:rsidP="0045589C">
            <w:r w:rsidRPr="0045589C">
              <w:t>141</w:t>
            </w:r>
          </w:p>
        </w:tc>
      </w:tr>
    </w:tbl>
    <w:p w14:paraId="44DF882F" w14:textId="46C79291" w:rsidR="00480DAA" w:rsidRPr="00480DAA" w:rsidRDefault="00480DAA" w:rsidP="00480DAA">
      <w:pPr>
        <w:pStyle w:val="Caption"/>
      </w:pPr>
      <w:bookmarkStart w:id="473" w:name="_Ref88129399"/>
      <w:r w:rsidRPr="00480DAA">
        <w:t>Table </w:t>
      </w:r>
      <w:r>
        <w:fldChar w:fldCharType="begin"/>
      </w:r>
      <w:r>
        <w:instrText>SEQ Table \* ARABIC</w:instrText>
      </w:r>
      <w:r>
        <w:fldChar w:fldCharType="separate"/>
      </w:r>
      <w:r w:rsidR="004F49F9">
        <w:rPr>
          <w:noProof/>
        </w:rPr>
        <w:t>45</w:t>
      </w:r>
      <w:r>
        <w:fldChar w:fldCharType="end"/>
      </w:r>
      <w:bookmarkEnd w:id="473"/>
      <w:r w:rsidRPr="00480DAA">
        <w:t xml:space="preserve">: Passive sensor parameters in the </w:t>
      </w:r>
      <w:r>
        <w:t>226</w:t>
      </w:r>
      <w:r w:rsidRPr="00480DAA">
        <w:t xml:space="preserve"> to </w:t>
      </w:r>
      <w:r>
        <w:t>252</w:t>
      </w:r>
      <w:r w:rsidRPr="00480DAA">
        <w:t> GHz band</w:t>
      </w:r>
    </w:p>
    <w:tbl>
      <w:tblPr>
        <w:tblStyle w:val="ECCTable-redheader"/>
        <w:tblW w:w="5000" w:type="pct"/>
        <w:tblInd w:w="0" w:type="dxa"/>
        <w:tblLook w:val="04A0" w:firstRow="1" w:lastRow="0" w:firstColumn="1" w:lastColumn="0" w:noHBand="0" w:noVBand="1"/>
      </w:tblPr>
      <w:tblGrid>
        <w:gridCol w:w="3951"/>
        <w:gridCol w:w="1104"/>
        <w:gridCol w:w="1104"/>
        <w:gridCol w:w="1104"/>
        <w:gridCol w:w="1261"/>
        <w:gridCol w:w="1105"/>
      </w:tblGrid>
      <w:tr w:rsidR="00480DAA" w:rsidRPr="006D6727" w14:paraId="195CADCD" w14:textId="77777777" w:rsidTr="007326E5">
        <w:trPr>
          <w:cnfStyle w:val="100000000000" w:firstRow="1" w:lastRow="0" w:firstColumn="0" w:lastColumn="0" w:oddVBand="0" w:evenVBand="0" w:oddHBand="0" w:evenHBand="0" w:firstRowFirstColumn="0" w:firstRowLastColumn="0" w:lastRowFirstColumn="0" w:lastRowLastColumn="0"/>
        </w:trPr>
        <w:tc>
          <w:tcPr>
            <w:tcW w:w="2051" w:type="pct"/>
          </w:tcPr>
          <w:p w14:paraId="4E785A40" w14:textId="77777777" w:rsidR="00F93EFA" w:rsidRPr="00480DAA" w:rsidRDefault="00F93EFA" w:rsidP="00480DAA">
            <w:r w:rsidRPr="00F93EFA">
              <w:t>EESS sensor</w:t>
            </w:r>
          </w:p>
        </w:tc>
        <w:tc>
          <w:tcPr>
            <w:tcW w:w="573" w:type="pct"/>
          </w:tcPr>
          <w:p w14:paraId="7A2B27A8" w14:textId="77777777" w:rsidR="00F93EFA" w:rsidRPr="00480DAA" w:rsidRDefault="00F93EFA" w:rsidP="00480DAA">
            <w:r w:rsidRPr="00F93EFA">
              <w:t>AWS (Nadir)</w:t>
            </w:r>
          </w:p>
        </w:tc>
        <w:tc>
          <w:tcPr>
            <w:tcW w:w="573" w:type="pct"/>
          </w:tcPr>
          <w:p w14:paraId="649D5323" w14:textId="77777777" w:rsidR="00F93EFA" w:rsidRPr="00480DAA" w:rsidRDefault="00F93EFA" w:rsidP="00480DAA">
            <w:r w:rsidRPr="00F93EFA">
              <w:t>AWS (outer)</w:t>
            </w:r>
          </w:p>
        </w:tc>
        <w:tc>
          <w:tcPr>
            <w:tcW w:w="573" w:type="pct"/>
          </w:tcPr>
          <w:p w14:paraId="028B5058" w14:textId="77777777" w:rsidR="00F93EFA" w:rsidRPr="00480DAA" w:rsidRDefault="00F93EFA" w:rsidP="00480DAA">
            <w:r w:rsidRPr="00F93EFA">
              <w:t>AWS (Nadir)</w:t>
            </w:r>
          </w:p>
        </w:tc>
        <w:tc>
          <w:tcPr>
            <w:tcW w:w="655" w:type="pct"/>
          </w:tcPr>
          <w:p w14:paraId="3595DF4A" w14:textId="77777777" w:rsidR="00F93EFA" w:rsidRPr="00480DAA" w:rsidRDefault="00F93EFA" w:rsidP="00480DAA">
            <w:r w:rsidRPr="00F93EFA">
              <w:t>AWS (outer)</w:t>
            </w:r>
          </w:p>
        </w:tc>
        <w:tc>
          <w:tcPr>
            <w:tcW w:w="574" w:type="pct"/>
          </w:tcPr>
          <w:p w14:paraId="51A3F0E0" w14:textId="77777777" w:rsidR="00F93EFA" w:rsidRPr="00480DAA" w:rsidRDefault="00F93EFA" w:rsidP="00480DAA">
            <w:r w:rsidRPr="00F93EFA">
              <w:t>ICI</w:t>
            </w:r>
          </w:p>
        </w:tc>
      </w:tr>
      <w:tr w:rsidR="00480DAA" w:rsidRPr="006D6727" w14:paraId="241E66ED" w14:textId="77777777" w:rsidTr="007326E5">
        <w:tc>
          <w:tcPr>
            <w:tcW w:w="2051" w:type="pct"/>
          </w:tcPr>
          <w:p w14:paraId="13843E95" w14:textId="77777777" w:rsidR="00480DAA" w:rsidRPr="00480DAA" w:rsidRDefault="00480DAA" w:rsidP="00480DAA">
            <w:r w:rsidRPr="00480DAA">
              <w:t>Type of sensor</w:t>
            </w:r>
          </w:p>
        </w:tc>
        <w:tc>
          <w:tcPr>
            <w:tcW w:w="573" w:type="pct"/>
          </w:tcPr>
          <w:p w14:paraId="53619AF1" w14:textId="77777777" w:rsidR="00480DAA" w:rsidRPr="00480DAA" w:rsidRDefault="00480DAA" w:rsidP="00480DAA">
            <w:r w:rsidRPr="00480DAA">
              <w:t>Nadir Scan</w:t>
            </w:r>
          </w:p>
        </w:tc>
        <w:tc>
          <w:tcPr>
            <w:tcW w:w="573" w:type="pct"/>
          </w:tcPr>
          <w:p w14:paraId="6281EDF5" w14:textId="77777777" w:rsidR="00480DAA" w:rsidRPr="00480DAA" w:rsidRDefault="00480DAA" w:rsidP="00480DAA">
            <w:r w:rsidRPr="00480DAA">
              <w:t>Nadir Scan</w:t>
            </w:r>
          </w:p>
        </w:tc>
        <w:tc>
          <w:tcPr>
            <w:tcW w:w="573" w:type="pct"/>
          </w:tcPr>
          <w:p w14:paraId="2D92CB1D" w14:textId="77777777" w:rsidR="00480DAA" w:rsidRPr="00480DAA" w:rsidRDefault="00480DAA" w:rsidP="00480DAA">
            <w:r w:rsidRPr="00480DAA">
              <w:t>Nadir Scan</w:t>
            </w:r>
          </w:p>
        </w:tc>
        <w:tc>
          <w:tcPr>
            <w:tcW w:w="655" w:type="pct"/>
          </w:tcPr>
          <w:p w14:paraId="7386DBB8" w14:textId="77777777" w:rsidR="00480DAA" w:rsidRPr="00480DAA" w:rsidRDefault="00480DAA" w:rsidP="00480DAA">
            <w:r w:rsidRPr="00480DAA">
              <w:t>Nadir Scan</w:t>
            </w:r>
          </w:p>
        </w:tc>
        <w:tc>
          <w:tcPr>
            <w:tcW w:w="574" w:type="pct"/>
          </w:tcPr>
          <w:p w14:paraId="17A806ED" w14:textId="77777777" w:rsidR="00480DAA" w:rsidRPr="00480DAA" w:rsidRDefault="00480DAA" w:rsidP="00480DAA">
            <w:r w:rsidRPr="00480DAA">
              <w:t>Conical Scan</w:t>
            </w:r>
          </w:p>
        </w:tc>
      </w:tr>
      <w:tr w:rsidR="00480DAA" w:rsidRPr="006D6727" w14:paraId="4D610814" w14:textId="77777777" w:rsidTr="007326E5">
        <w:tc>
          <w:tcPr>
            <w:tcW w:w="2051" w:type="pct"/>
          </w:tcPr>
          <w:p w14:paraId="3D5F47BF" w14:textId="77777777" w:rsidR="00480DAA" w:rsidRPr="00480DAA" w:rsidRDefault="00480DAA" w:rsidP="00480DAA">
            <w:r w:rsidRPr="00480DAA">
              <w:t>Orbit altitude (km)</w:t>
            </w:r>
          </w:p>
        </w:tc>
        <w:tc>
          <w:tcPr>
            <w:tcW w:w="573" w:type="pct"/>
          </w:tcPr>
          <w:p w14:paraId="0B504654" w14:textId="77777777" w:rsidR="00480DAA" w:rsidRPr="00480DAA" w:rsidRDefault="00480DAA" w:rsidP="00480DAA">
            <w:r w:rsidRPr="00480DAA">
              <w:t>600</w:t>
            </w:r>
          </w:p>
        </w:tc>
        <w:tc>
          <w:tcPr>
            <w:tcW w:w="573" w:type="pct"/>
          </w:tcPr>
          <w:p w14:paraId="21A6B320" w14:textId="77777777" w:rsidR="00480DAA" w:rsidRPr="00480DAA" w:rsidRDefault="00480DAA" w:rsidP="00480DAA">
            <w:r w:rsidRPr="00480DAA">
              <w:t>600</w:t>
            </w:r>
          </w:p>
        </w:tc>
        <w:tc>
          <w:tcPr>
            <w:tcW w:w="573" w:type="pct"/>
          </w:tcPr>
          <w:p w14:paraId="1332855B" w14:textId="77777777" w:rsidR="00480DAA" w:rsidRPr="00480DAA" w:rsidRDefault="00480DAA" w:rsidP="00480DAA">
            <w:r w:rsidRPr="00480DAA">
              <w:t>600</w:t>
            </w:r>
          </w:p>
        </w:tc>
        <w:tc>
          <w:tcPr>
            <w:tcW w:w="655" w:type="pct"/>
          </w:tcPr>
          <w:p w14:paraId="1432A66A" w14:textId="77777777" w:rsidR="00480DAA" w:rsidRPr="00480DAA" w:rsidRDefault="00480DAA" w:rsidP="00480DAA">
            <w:r w:rsidRPr="00480DAA">
              <w:t>600</w:t>
            </w:r>
          </w:p>
        </w:tc>
        <w:tc>
          <w:tcPr>
            <w:tcW w:w="574" w:type="pct"/>
          </w:tcPr>
          <w:p w14:paraId="7626E661" w14:textId="77777777" w:rsidR="00480DAA" w:rsidRPr="00480DAA" w:rsidRDefault="00480DAA" w:rsidP="00480DAA">
            <w:r w:rsidRPr="00480DAA">
              <w:t>830</w:t>
            </w:r>
          </w:p>
        </w:tc>
      </w:tr>
      <w:tr w:rsidR="00480DAA" w:rsidRPr="006D6727" w14:paraId="553EFFC0" w14:textId="77777777" w:rsidTr="007326E5">
        <w:tc>
          <w:tcPr>
            <w:tcW w:w="2051" w:type="pct"/>
          </w:tcPr>
          <w:p w14:paraId="1E7FD663" w14:textId="77777777" w:rsidR="00480DAA" w:rsidRPr="00480DAA" w:rsidRDefault="00480DAA" w:rsidP="00480DAA">
            <w:r w:rsidRPr="00480DAA">
              <w:t>Nadir angle (°)</w:t>
            </w:r>
          </w:p>
        </w:tc>
        <w:tc>
          <w:tcPr>
            <w:tcW w:w="573" w:type="pct"/>
          </w:tcPr>
          <w:p w14:paraId="295055C1" w14:textId="77777777" w:rsidR="00480DAA" w:rsidRPr="00480DAA" w:rsidRDefault="00480DAA" w:rsidP="00480DAA">
            <w:r w:rsidRPr="00480DAA">
              <w:t>0</w:t>
            </w:r>
          </w:p>
        </w:tc>
        <w:tc>
          <w:tcPr>
            <w:tcW w:w="573" w:type="pct"/>
          </w:tcPr>
          <w:p w14:paraId="09F69306" w14:textId="77777777" w:rsidR="00480DAA" w:rsidRPr="00480DAA" w:rsidRDefault="00480DAA" w:rsidP="00480DAA">
            <w:r w:rsidRPr="00480DAA">
              <w:t>49</w:t>
            </w:r>
          </w:p>
        </w:tc>
        <w:tc>
          <w:tcPr>
            <w:tcW w:w="573" w:type="pct"/>
          </w:tcPr>
          <w:p w14:paraId="537312B6" w14:textId="77777777" w:rsidR="00480DAA" w:rsidRPr="00480DAA" w:rsidRDefault="00480DAA" w:rsidP="00480DAA">
            <w:r w:rsidRPr="00480DAA">
              <w:t>0</w:t>
            </w:r>
          </w:p>
        </w:tc>
        <w:tc>
          <w:tcPr>
            <w:tcW w:w="655" w:type="pct"/>
          </w:tcPr>
          <w:p w14:paraId="00A1BF8A" w14:textId="77777777" w:rsidR="00480DAA" w:rsidRPr="00480DAA" w:rsidRDefault="00480DAA" w:rsidP="00480DAA">
            <w:r w:rsidRPr="00480DAA">
              <w:t>49</w:t>
            </w:r>
          </w:p>
        </w:tc>
        <w:tc>
          <w:tcPr>
            <w:tcW w:w="574" w:type="pct"/>
          </w:tcPr>
          <w:p w14:paraId="583DC86E" w14:textId="77777777" w:rsidR="00480DAA" w:rsidRPr="00480DAA" w:rsidRDefault="00480DAA" w:rsidP="00480DAA">
            <w:r w:rsidRPr="00480DAA">
              <w:t>45.2</w:t>
            </w:r>
          </w:p>
        </w:tc>
      </w:tr>
      <w:tr w:rsidR="00480DAA" w:rsidRPr="006D6727" w14:paraId="32EBA9DB" w14:textId="77777777" w:rsidTr="007326E5">
        <w:tc>
          <w:tcPr>
            <w:tcW w:w="2051" w:type="pct"/>
          </w:tcPr>
          <w:p w14:paraId="6CE63B3E" w14:textId="77777777" w:rsidR="00480DAA" w:rsidRPr="00480DAA" w:rsidRDefault="00480DAA" w:rsidP="00480DAA">
            <w:r w:rsidRPr="00480DAA">
              <w:t>Slant path distance (km)</w:t>
            </w:r>
          </w:p>
        </w:tc>
        <w:tc>
          <w:tcPr>
            <w:tcW w:w="573" w:type="pct"/>
          </w:tcPr>
          <w:p w14:paraId="577BB933" w14:textId="77777777" w:rsidR="00480DAA" w:rsidRPr="00480DAA" w:rsidRDefault="00480DAA" w:rsidP="00480DAA">
            <w:r w:rsidRPr="00480DAA">
              <w:t>600</w:t>
            </w:r>
          </w:p>
        </w:tc>
        <w:tc>
          <w:tcPr>
            <w:tcW w:w="573" w:type="pct"/>
          </w:tcPr>
          <w:p w14:paraId="407CC726" w14:textId="77777777" w:rsidR="00480DAA" w:rsidRPr="00480DAA" w:rsidRDefault="00480DAA" w:rsidP="00480DAA">
            <w:r w:rsidRPr="00480DAA">
              <w:t>980</w:t>
            </w:r>
          </w:p>
        </w:tc>
        <w:tc>
          <w:tcPr>
            <w:tcW w:w="573" w:type="pct"/>
          </w:tcPr>
          <w:p w14:paraId="0DF0CCAE" w14:textId="77777777" w:rsidR="00480DAA" w:rsidRPr="00480DAA" w:rsidRDefault="00480DAA" w:rsidP="00480DAA">
            <w:r w:rsidRPr="00480DAA">
              <w:t>600</w:t>
            </w:r>
          </w:p>
        </w:tc>
        <w:tc>
          <w:tcPr>
            <w:tcW w:w="655" w:type="pct"/>
          </w:tcPr>
          <w:p w14:paraId="69E8FAD0" w14:textId="77777777" w:rsidR="00480DAA" w:rsidRPr="00480DAA" w:rsidRDefault="00480DAA" w:rsidP="00480DAA">
            <w:r w:rsidRPr="00480DAA">
              <w:t>980</w:t>
            </w:r>
          </w:p>
        </w:tc>
        <w:tc>
          <w:tcPr>
            <w:tcW w:w="574" w:type="pct"/>
          </w:tcPr>
          <w:p w14:paraId="29EAE1F8" w14:textId="77777777" w:rsidR="00480DAA" w:rsidRPr="00480DAA" w:rsidRDefault="00480DAA" w:rsidP="00480DAA">
            <w:r w:rsidRPr="00480DAA">
              <w:t>1269</w:t>
            </w:r>
          </w:p>
        </w:tc>
      </w:tr>
      <w:tr w:rsidR="00480DAA" w:rsidRPr="006D6727" w14:paraId="3774B5B2" w14:textId="77777777" w:rsidTr="007326E5">
        <w:tc>
          <w:tcPr>
            <w:tcW w:w="2051" w:type="pct"/>
          </w:tcPr>
          <w:p w14:paraId="15E00A55" w14:textId="77777777" w:rsidR="00480DAA" w:rsidRPr="00480DAA" w:rsidRDefault="00480DAA" w:rsidP="00480DAA">
            <w:r w:rsidRPr="00480DAA">
              <w:t>Free space loss (dB)</w:t>
            </w:r>
          </w:p>
        </w:tc>
        <w:tc>
          <w:tcPr>
            <w:tcW w:w="573" w:type="pct"/>
          </w:tcPr>
          <w:p w14:paraId="4EF91534" w14:textId="77777777" w:rsidR="00480DAA" w:rsidRPr="00480DAA" w:rsidRDefault="00480DAA" w:rsidP="00480DAA">
            <w:r w:rsidRPr="00480DAA">
              <w:t>195</w:t>
            </w:r>
            <w:r w:rsidR="00CF4994">
              <w:t>.1</w:t>
            </w:r>
          </w:p>
        </w:tc>
        <w:tc>
          <w:tcPr>
            <w:tcW w:w="573" w:type="pct"/>
          </w:tcPr>
          <w:p w14:paraId="44AF39D1" w14:textId="77777777" w:rsidR="00480DAA" w:rsidRPr="00480DAA" w:rsidRDefault="00480DAA" w:rsidP="00480DAA">
            <w:r w:rsidRPr="00480DAA">
              <w:t>199</w:t>
            </w:r>
            <w:r w:rsidR="00CF4994">
              <w:t>.4</w:t>
            </w:r>
          </w:p>
        </w:tc>
        <w:tc>
          <w:tcPr>
            <w:tcW w:w="573" w:type="pct"/>
          </w:tcPr>
          <w:p w14:paraId="1149DD2C" w14:textId="77777777" w:rsidR="00480DAA" w:rsidRPr="00480DAA" w:rsidRDefault="00480DAA" w:rsidP="00480DAA">
            <w:r w:rsidRPr="00480DAA">
              <w:t>195</w:t>
            </w:r>
            <w:r w:rsidR="00CF4994">
              <w:t>.6</w:t>
            </w:r>
          </w:p>
        </w:tc>
        <w:tc>
          <w:tcPr>
            <w:tcW w:w="655" w:type="pct"/>
          </w:tcPr>
          <w:p w14:paraId="59B69715" w14:textId="77777777" w:rsidR="00480DAA" w:rsidRPr="00480DAA" w:rsidRDefault="00480DAA" w:rsidP="00480DAA">
            <w:r w:rsidRPr="00480DAA">
              <w:t>199</w:t>
            </w:r>
            <w:r w:rsidR="00CF4994">
              <w:t>.8</w:t>
            </w:r>
          </w:p>
        </w:tc>
        <w:tc>
          <w:tcPr>
            <w:tcW w:w="574" w:type="pct"/>
          </w:tcPr>
          <w:p w14:paraId="4CCEE003" w14:textId="77777777" w:rsidR="00480DAA" w:rsidRPr="00480DAA" w:rsidRDefault="00480DAA" w:rsidP="00480DAA">
            <w:r w:rsidRPr="00480DAA">
              <w:t>202</w:t>
            </w:r>
            <w:r w:rsidR="00CF4994">
              <w:t>.1</w:t>
            </w:r>
          </w:p>
        </w:tc>
      </w:tr>
      <w:tr w:rsidR="00480DAA" w:rsidRPr="006D6727" w14:paraId="4B09D715" w14:textId="77777777" w:rsidTr="007326E5">
        <w:tc>
          <w:tcPr>
            <w:tcW w:w="2051" w:type="pct"/>
          </w:tcPr>
          <w:p w14:paraId="136B4901" w14:textId="77777777" w:rsidR="00480DAA" w:rsidRPr="00480DAA" w:rsidRDefault="00480DAA" w:rsidP="00480DAA">
            <w:r w:rsidRPr="00480DAA">
              <w:t>Elevation angle at ground (°)</w:t>
            </w:r>
          </w:p>
        </w:tc>
        <w:tc>
          <w:tcPr>
            <w:tcW w:w="573" w:type="pct"/>
          </w:tcPr>
          <w:p w14:paraId="15DC6EF4" w14:textId="77777777" w:rsidR="00480DAA" w:rsidRPr="00480DAA" w:rsidRDefault="00480DAA" w:rsidP="00480DAA">
            <w:r w:rsidRPr="00480DAA">
              <w:t>90</w:t>
            </w:r>
            <w:r w:rsidR="00CF4994">
              <w:t>.0</w:t>
            </w:r>
          </w:p>
        </w:tc>
        <w:tc>
          <w:tcPr>
            <w:tcW w:w="573" w:type="pct"/>
          </w:tcPr>
          <w:p w14:paraId="449933F9" w14:textId="77777777" w:rsidR="00480DAA" w:rsidRPr="00480DAA" w:rsidRDefault="00480DAA" w:rsidP="00480DAA">
            <w:r w:rsidRPr="00480DAA">
              <w:t>34</w:t>
            </w:r>
            <w:r w:rsidR="00CF4994">
              <w:t>.3</w:t>
            </w:r>
          </w:p>
        </w:tc>
        <w:tc>
          <w:tcPr>
            <w:tcW w:w="573" w:type="pct"/>
          </w:tcPr>
          <w:p w14:paraId="446BAD2D" w14:textId="77777777" w:rsidR="00480DAA" w:rsidRPr="00480DAA" w:rsidRDefault="00480DAA" w:rsidP="00480DAA">
            <w:r w:rsidRPr="00480DAA">
              <w:t>90</w:t>
            </w:r>
            <w:r w:rsidR="00CF4994">
              <w:t>.0</w:t>
            </w:r>
          </w:p>
        </w:tc>
        <w:tc>
          <w:tcPr>
            <w:tcW w:w="655" w:type="pct"/>
          </w:tcPr>
          <w:p w14:paraId="71DF6964" w14:textId="77777777" w:rsidR="00480DAA" w:rsidRPr="00480DAA" w:rsidRDefault="00480DAA" w:rsidP="00480DAA">
            <w:r w:rsidRPr="00480DAA">
              <w:t>34</w:t>
            </w:r>
            <w:r w:rsidR="00CF4994">
              <w:t>.3</w:t>
            </w:r>
          </w:p>
        </w:tc>
        <w:tc>
          <w:tcPr>
            <w:tcW w:w="574" w:type="pct"/>
          </w:tcPr>
          <w:p w14:paraId="22DB1D90" w14:textId="77777777" w:rsidR="00480DAA" w:rsidRPr="00480DAA" w:rsidRDefault="00480DAA" w:rsidP="00480DAA">
            <w:r w:rsidRPr="00480DAA">
              <w:t>36</w:t>
            </w:r>
            <w:r w:rsidR="00CF4994">
              <w:t>.7</w:t>
            </w:r>
          </w:p>
        </w:tc>
      </w:tr>
      <w:tr w:rsidR="00480DAA" w:rsidRPr="006D6727" w14:paraId="69572155" w14:textId="77777777" w:rsidTr="007326E5">
        <w:tc>
          <w:tcPr>
            <w:tcW w:w="2051" w:type="pct"/>
          </w:tcPr>
          <w:p w14:paraId="538D1C31" w14:textId="77777777" w:rsidR="00480DAA" w:rsidRPr="00480DAA" w:rsidRDefault="00480DAA" w:rsidP="00480DAA">
            <w:r w:rsidRPr="00480DAA">
              <w:t>Attenuation due to atmospheric gases (dB)</w:t>
            </w:r>
          </w:p>
        </w:tc>
        <w:tc>
          <w:tcPr>
            <w:tcW w:w="573" w:type="pct"/>
          </w:tcPr>
          <w:p w14:paraId="677F5C4A" w14:textId="77777777" w:rsidR="00480DAA" w:rsidRPr="00480DAA" w:rsidRDefault="00480DAA" w:rsidP="00480DAA">
            <w:r w:rsidRPr="00480DAA">
              <w:t>4</w:t>
            </w:r>
            <w:r w:rsidR="00CF4994">
              <w:t>.8</w:t>
            </w:r>
          </w:p>
        </w:tc>
        <w:tc>
          <w:tcPr>
            <w:tcW w:w="573" w:type="pct"/>
          </w:tcPr>
          <w:p w14:paraId="1C047095" w14:textId="77777777" w:rsidR="00480DAA" w:rsidRPr="00480DAA" w:rsidRDefault="00480DAA" w:rsidP="00480DAA">
            <w:r w:rsidRPr="00480DAA">
              <w:t>8</w:t>
            </w:r>
            <w:r w:rsidR="00CF4994">
              <w:t>.5</w:t>
            </w:r>
          </w:p>
        </w:tc>
        <w:tc>
          <w:tcPr>
            <w:tcW w:w="573" w:type="pct"/>
          </w:tcPr>
          <w:p w14:paraId="715FB49B" w14:textId="77777777" w:rsidR="00480DAA" w:rsidRPr="00480DAA" w:rsidRDefault="00480DAA" w:rsidP="00480DAA">
            <w:r w:rsidRPr="00480DAA">
              <w:t>5</w:t>
            </w:r>
            <w:r w:rsidR="00CF4994">
              <w:t>.3</w:t>
            </w:r>
          </w:p>
        </w:tc>
        <w:tc>
          <w:tcPr>
            <w:tcW w:w="655" w:type="pct"/>
          </w:tcPr>
          <w:p w14:paraId="7FA08C26" w14:textId="77777777" w:rsidR="00480DAA" w:rsidRPr="00480DAA" w:rsidRDefault="00480DAA" w:rsidP="00480DAA">
            <w:r w:rsidRPr="00480DAA">
              <w:t>9</w:t>
            </w:r>
            <w:r w:rsidR="00CF4994">
              <w:t>.3</w:t>
            </w:r>
          </w:p>
        </w:tc>
        <w:tc>
          <w:tcPr>
            <w:tcW w:w="574" w:type="pct"/>
          </w:tcPr>
          <w:p w14:paraId="4D2D9919" w14:textId="77777777" w:rsidR="00480DAA" w:rsidRPr="00480DAA" w:rsidRDefault="00480DAA" w:rsidP="00480DAA">
            <w:r w:rsidRPr="00480DAA">
              <w:t>8</w:t>
            </w:r>
            <w:r w:rsidR="00CF4994">
              <w:t>.8</w:t>
            </w:r>
          </w:p>
        </w:tc>
      </w:tr>
      <w:tr w:rsidR="00480DAA" w:rsidRPr="006D6727" w14:paraId="64F94AAF" w14:textId="77777777" w:rsidTr="007326E5">
        <w:tc>
          <w:tcPr>
            <w:tcW w:w="2051" w:type="pct"/>
          </w:tcPr>
          <w:p w14:paraId="4EA69E22" w14:textId="77777777" w:rsidR="00480DAA" w:rsidRPr="00480DAA" w:rsidRDefault="00480DAA" w:rsidP="00480DAA">
            <w:r w:rsidRPr="00480DAA">
              <w:t>Reference bandwidth (MHz)</w:t>
            </w:r>
          </w:p>
        </w:tc>
        <w:tc>
          <w:tcPr>
            <w:tcW w:w="573" w:type="pct"/>
          </w:tcPr>
          <w:p w14:paraId="690D598A" w14:textId="77777777" w:rsidR="00480DAA" w:rsidRPr="00480DAA" w:rsidRDefault="00480DAA" w:rsidP="00480DAA">
            <w:r w:rsidRPr="00480DAA">
              <w:t>200</w:t>
            </w:r>
          </w:p>
        </w:tc>
        <w:tc>
          <w:tcPr>
            <w:tcW w:w="573" w:type="pct"/>
          </w:tcPr>
          <w:p w14:paraId="4030DF25" w14:textId="77777777" w:rsidR="00480DAA" w:rsidRPr="00480DAA" w:rsidRDefault="00480DAA" w:rsidP="00480DAA">
            <w:r w:rsidRPr="00480DAA">
              <w:t>200</w:t>
            </w:r>
          </w:p>
        </w:tc>
        <w:tc>
          <w:tcPr>
            <w:tcW w:w="573" w:type="pct"/>
          </w:tcPr>
          <w:p w14:paraId="2DED6A61" w14:textId="77777777" w:rsidR="00480DAA" w:rsidRPr="00480DAA" w:rsidRDefault="00480DAA" w:rsidP="00480DAA">
            <w:r w:rsidRPr="00480DAA">
              <w:t>200</w:t>
            </w:r>
          </w:p>
        </w:tc>
        <w:tc>
          <w:tcPr>
            <w:tcW w:w="655" w:type="pct"/>
          </w:tcPr>
          <w:p w14:paraId="0816E036" w14:textId="77777777" w:rsidR="00480DAA" w:rsidRPr="00480DAA" w:rsidRDefault="00480DAA" w:rsidP="00480DAA">
            <w:r w:rsidRPr="00480DAA">
              <w:t>200</w:t>
            </w:r>
          </w:p>
        </w:tc>
        <w:tc>
          <w:tcPr>
            <w:tcW w:w="574" w:type="pct"/>
          </w:tcPr>
          <w:p w14:paraId="70A42A57" w14:textId="77777777" w:rsidR="00480DAA" w:rsidRPr="00480DAA" w:rsidRDefault="00480DAA" w:rsidP="00480DAA">
            <w:r w:rsidRPr="00480DAA">
              <w:t>200</w:t>
            </w:r>
          </w:p>
        </w:tc>
      </w:tr>
      <w:tr w:rsidR="00480DAA" w:rsidRPr="006D6727" w14:paraId="395D248A" w14:textId="77777777" w:rsidTr="007326E5">
        <w:tc>
          <w:tcPr>
            <w:tcW w:w="2051" w:type="pct"/>
          </w:tcPr>
          <w:p w14:paraId="4AB2F7D0" w14:textId="77777777" w:rsidR="00480DAA" w:rsidRPr="00480DAA" w:rsidRDefault="00480DAA" w:rsidP="00480DAA">
            <w:r w:rsidRPr="00480DAA">
              <w:t>EESS protection criterion (dBW/reference bandwidth)</w:t>
            </w:r>
          </w:p>
        </w:tc>
        <w:tc>
          <w:tcPr>
            <w:tcW w:w="573" w:type="pct"/>
          </w:tcPr>
          <w:p w14:paraId="4ED9B10A" w14:textId="77777777" w:rsidR="00480DAA" w:rsidRPr="00480DAA" w:rsidRDefault="00231B6E" w:rsidP="00480DAA">
            <w:r>
              <w:t>-160</w:t>
            </w:r>
          </w:p>
        </w:tc>
        <w:tc>
          <w:tcPr>
            <w:tcW w:w="573" w:type="pct"/>
          </w:tcPr>
          <w:p w14:paraId="1069BB9B" w14:textId="77777777" w:rsidR="00480DAA" w:rsidRPr="00480DAA" w:rsidRDefault="00231B6E" w:rsidP="00480DAA">
            <w:r>
              <w:t>-160</w:t>
            </w:r>
          </w:p>
        </w:tc>
        <w:tc>
          <w:tcPr>
            <w:tcW w:w="573" w:type="pct"/>
          </w:tcPr>
          <w:p w14:paraId="434EDD29" w14:textId="77777777" w:rsidR="00480DAA" w:rsidRPr="00480DAA" w:rsidRDefault="00231B6E" w:rsidP="00480DAA">
            <w:r>
              <w:t>-160</w:t>
            </w:r>
          </w:p>
        </w:tc>
        <w:tc>
          <w:tcPr>
            <w:tcW w:w="655" w:type="pct"/>
          </w:tcPr>
          <w:p w14:paraId="43873C0B" w14:textId="77777777" w:rsidR="00480DAA" w:rsidRPr="00480DAA" w:rsidRDefault="00231B6E" w:rsidP="00480DAA">
            <w:r>
              <w:t>-160</w:t>
            </w:r>
          </w:p>
        </w:tc>
        <w:tc>
          <w:tcPr>
            <w:tcW w:w="574" w:type="pct"/>
          </w:tcPr>
          <w:p w14:paraId="36175D25" w14:textId="77777777" w:rsidR="00480DAA" w:rsidRPr="00480DAA" w:rsidRDefault="00231B6E" w:rsidP="00480DAA">
            <w:r>
              <w:t>-160</w:t>
            </w:r>
          </w:p>
        </w:tc>
      </w:tr>
      <w:tr w:rsidR="00480DAA" w:rsidRPr="006D6727" w14:paraId="5DE7614F" w14:textId="77777777" w:rsidTr="007326E5">
        <w:tc>
          <w:tcPr>
            <w:tcW w:w="2051" w:type="pct"/>
          </w:tcPr>
          <w:p w14:paraId="454FA2A4" w14:textId="77777777" w:rsidR="00480DAA" w:rsidRPr="00480DAA" w:rsidRDefault="00480DAA" w:rsidP="00480DAA">
            <w:r w:rsidRPr="00480DAA">
              <w:t>Apportionment factor (dB)</w:t>
            </w:r>
          </w:p>
        </w:tc>
        <w:tc>
          <w:tcPr>
            <w:tcW w:w="573" w:type="pct"/>
          </w:tcPr>
          <w:p w14:paraId="1B1F459F" w14:textId="77777777" w:rsidR="00480DAA" w:rsidRPr="00480DAA" w:rsidRDefault="00231B6E" w:rsidP="00480DAA">
            <w:r>
              <w:t>12</w:t>
            </w:r>
          </w:p>
        </w:tc>
        <w:tc>
          <w:tcPr>
            <w:tcW w:w="573" w:type="pct"/>
          </w:tcPr>
          <w:p w14:paraId="19BEA8A6" w14:textId="77777777" w:rsidR="00480DAA" w:rsidRPr="00480DAA" w:rsidRDefault="00231B6E" w:rsidP="00480DAA">
            <w:r>
              <w:t>12</w:t>
            </w:r>
          </w:p>
        </w:tc>
        <w:tc>
          <w:tcPr>
            <w:tcW w:w="573" w:type="pct"/>
          </w:tcPr>
          <w:p w14:paraId="4258B183" w14:textId="77777777" w:rsidR="00480DAA" w:rsidRPr="00480DAA" w:rsidRDefault="00231B6E" w:rsidP="00480DAA">
            <w:r>
              <w:t>12</w:t>
            </w:r>
          </w:p>
        </w:tc>
        <w:tc>
          <w:tcPr>
            <w:tcW w:w="655" w:type="pct"/>
          </w:tcPr>
          <w:p w14:paraId="5F9EB3D2" w14:textId="77777777" w:rsidR="00480DAA" w:rsidRPr="00480DAA" w:rsidRDefault="00231B6E" w:rsidP="00480DAA">
            <w:r>
              <w:t>12</w:t>
            </w:r>
          </w:p>
        </w:tc>
        <w:tc>
          <w:tcPr>
            <w:tcW w:w="574" w:type="pct"/>
          </w:tcPr>
          <w:p w14:paraId="66657932" w14:textId="77777777" w:rsidR="00480DAA" w:rsidRPr="00480DAA" w:rsidRDefault="00231B6E" w:rsidP="00480DAA">
            <w:r>
              <w:t>12</w:t>
            </w:r>
          </w:p>
        </w:tc>
      </w:tr>
      <w:tr w:rsidR="00231B6E" w:rsidRPr="006D6727" w14:paraId="0DC4DBA7" w14:textId="77777777" w:rsidTr="007326E5">
        <w:tc>
          <w:tcPr>
            <w:tcW w:w="2051" w:type="pct"/>
          </w:tcPr>
          <w:p w14:paraId="108CEDFE" w14:textId="77777777" w:rsidR="00231B6E" w:rsidRPr="00231B6E" w:rsidRDefault="00231B6E" w:rsidP="007326E5">
            <w:pPr>
              <w:jc w:val="left"/>
            </w:pPr>
            <w:r w:rsidRPr="00231B6E">
              <w:t>EESS protection criterion (with relevant apportionment) (dBW/reference bandwidth)</w:t>
            </w:r>
          </w:p>
        </w:tc>
        <w:tc>
          <w:tcPr>
            <w:tcW w:w="573" w:type="pct"/>
          </w:tcPr>
          <w:p w14:paraId="0992D808" w14:textId="77777777" w:rsidR="00231B6E" w:rsidRPr="00231B6E" w:rsidRDefault="00231B6E" w:rsidP="00231B6E">
            <w:r w:rsidRPr="00231B6E">
              <w:t>-172</w:t>
            </w:r>
          </w:p>
        </w:tc>
        <w:tc>
          <w:tcPr>
            <w:tcW w:w="573" w:type="pct"/>
          </w:tcPr>
          <w:p w14:paraId="61766B91" w14:textId="77777777" w:rsidR="00231B6E" w:rsidRPr="00231B6E" w:rsidRDefault="00231B6E" w:rsidP="00231B6E">
            <w:r w:rsidRPr="00231B6E">
              <w:t>-172</w:t>
            </w:r>
          </w:p>
        </w:tc>
        <w:tc>
          <w:tcPr>
            <w:tcW w:w="573" w:type="pct"/>
          </w:tcPr>
          <w:p w14:paraId="17099084" w14:textId="77777777" w:rsidR="00231B6E" w:rsidRPr="00231B6E" w:rsidRDefault="00231B6E" w:rsidP="00231B6E">
            <w:r w:rsidRPr="00231B6E">
              <w:t>-172</w:t>
            </w:r>
          </w:p>
        </w:tc>
        <w:tc>
          <w:tcPr>
            <w:tcW w:w="655" w:type="pct"/>
          </w:tcPr>
          <w:p w14:paraId="64F9CE93" w14:textId="77777777" w:rsidR="00231B6E" w:rsidRPr="00231B6E" w:rsidRDefault="00231B6E" w:rsidP="00231B6E">
            <w:r w:rsidRPr="00231B6E">
              <w:t>-172</w:t>
            </w:r>
          </w:p>
        </w:tc>
        <w:tc>
          <w:tcPr>
            <w:tcW w:w="574" w:type="pct"/>
          </w:tcPr>
          <w:p w14:paraId="5E76C733" w14:textId="77777777" w:rsidR="00231B6E" w:rsidRPr="00231B6E" w:rsidRDefault="00231B6E" w:rsidP="00231B6E">
            <w:r w:rsidRPr="00231B6E">
              <w:t>-172</w:t>
            </w:r>
          </w:p>
        </w:tc>
      </w:tr>
      <w:tr w:rsidR="00231B6E" w:rsidRPr="006D6727" w14:paraId="7D29855A" w14:textId="77777777" w:rsidTr="007326E5">
        <w:tc>
          <w:tcPr>
            <w:tcW w:w="2051" w:type="pct"/>
          </w:tcPr>
          <w:p w14:paraId="542B4D44" w14:textId="77777777" w:rsidR="00231B6E" w:rsidRPr="00231B6E" w:rsidRDefault="00231B6E" w:rsidP="00231B6E">
            <w:r w:rsidRPr="00231B6E">
              <w:t>EESS sensor antenna gain (dBi)</w:t>
            </w:r>
          </w:p>
        </w:tc>
        <w:tc>
          <w:tcPr>
            <w:tcW w:w="573" w:type="pct"/>
          </w:tcPr>
          <w:p w14:paraId="1C3FFB01" w14:textId="77777777" w:rsidR="00231B6E" w:rsidRPr="00231B6E" w:rsidRDefault="00231B6E" w:rsidP="00231B6E">
            <w:r w:rsidRPr="00231B6E">
              <w:t>50</w:t>
            </w:r>
          </w:p>
        </w:tc>
        <w:tc>
          <w:tcPr>
            <w:tcW w:w="573" w:type="pct"/>
          </w:tcPr>
          <w:p w14:paraId="5D8D0BE9" w14:textId="77777777" w:rsidR="00231B6E" w:rsidRPr="00231B6E" w:rsidRDefault="00231B6E" w:rsidP="00231B6E">
            <w:r w:rsidRPr="00231B6E">
              <w:t>50</w:t>
            </w:r>
          </w:p>
        </w:tc>
        <w:tc>
          <w:tcPr>
            <w:tcW w:w="573" w:type="pct"/>
          </w:tcPr>
          <w:p w14:paraId="070ECC7B" w14:textId="77777777" w:rsidR="00231B6E" w:rsidRPr="00231B6E" w:rsidRDefault="00231B6E" w:rsidP="00231B6E">
            <w:r w:rsidRPr="00231B6E">
              <w:t>50</w:t>
            </w:r>
          </w:p>
        </w:tc>
        <w:tc>
          <w:tcPr>
            <w:tcW w:w="655" w:type="pct"/>
          </w:tcPr>
          <w:p w14:paraId="5DC72E33" w14:textId="77777777" w:rsidR="00231B6E" w:rsidRPr="00231B6E" w:rsidRDefault="00231B6E" w:rsidP="00231B6E">
            <w:r w:rsidRPr="00231B6E">
              <w:t>50</w:t>
            </w:r>
          </w:p>
        </w:tc>
        <w:tc>
          <w:tcPr>
            <w:tcW w:w="574" w:type="pct"/>
          </w:tcPr>
          <w:p w14:paraId="3D44381D" w14:textId="77777777" w:rsidR="00231B6E" w:rsidRPr="00231B6E" w:rsidRDefault="00231B6E" w:rsidP="00231B6E">
            <w:r w:rsidRPr="00231B6E">
              <w:t>52</w:t>
            </w:r>
          </w:p>
        </w:tc>
      </w:tr>
      <w:tr w:rsidR="00231B6E" w:rsidRPr="006D6727" w14:paraId="119E923C" w14:textId="77777777" w:rsidTr="007326E5">
        <w:tc>
          <w:tcPr>
            <w:tcW w:w="2051" w:type="pct"/>
          </w:tcPr>
          <w:p w14:paraId="3CEDBF36" w14:textId="77777777" w:rsidR="00231B6E" w:rsidRPr="00231B6E" w:rsidRDefault="00231B6E" w:rsidP="00231B6E">
            <w:r w:rsidRPr="00231B6E">
              <w:t>EESS footprint size (km²)</w:t>
            </w:r>
          </w:p>
        </w:tc>
        <w:tc>
          <w:tcPr>
            <w:tcW w:w="573" w:type="pct"/>
          </w:tcPr>
          <w:p w14:paraId="07CD5BA7" w14:textId="77777777" w:rsidR="00231B6E" w:rsidRPr="00231B6E" w:rsidRDefault="00231B6E" w:rsidP="00231B6E">
            <w:r w:rsidRPr="00231B6E">
              <w:t>28</w:t>
            </w:r>
          </w:p>
        </w:tc>
        <w:tc>
          <w:tcPr>
            <w:tcW w:w="573" w:type="pct"/>
          </w:tcPr>
          <w:p w14:paraId="6C41D1C2" w14:textId="77777777" w:rsidR="00231B6E" w:rsidRPr="00231B6E" w:rsidRDefault="00231B6E" w:rsidP="00231B6E">
            <w:r w:rsidRPr="00231B6E">
              <w:t>141</w:t>
            </w:r>
          </w:p>
        </w:tc>
        <w:tc>
          <w:tcPr>
            <w:tcW w:w="573" w:type="pct"/>
          </w:tcPr>
          <w:p w14:paraId="3418F33E" w14:textId="77777777" w:rsidR="00231B6E" w:rsidRPr="00231B6E" w:rsidRDefault="00231B6E" w:rsidP="00231B6E">
            <w:r w:rsidRPr="00231B6E">
              <w:t>28</w:t>
            </w:r>
          </w:p>
        </w:tc>
        <w:tc>
          <w:tcPr>
            <w:tcW w:w="655" w:type="pct"/>
          </w:tcPr>
          <w:p w14:paraId="3C385D6D" w14:textId="77777777" w:rsidR="00231B6E" w:rsidRPr="00231B6E" w:rsidRDefault="00231B6E" w:rsidP="00231B6E">
            <w:r w:rsidRPr="00231B6E">
              <w:t>141</w:t>
            </w:r>
          </w:p>
        </w:tc>
        <w:tc>
          <w:tcPr>
            <w:tcW w:w="574" w:type="pct"/>
          </w:tcPr>
          <w:p w14:paraId="5964F883" w14:textId="77777777" w:rsidR="00231B6E" w:rsidRPr="00231B6E" w:rsidRDefault="00231B6E" w:rsidP="00231B6E">
            <w:r w:rsidRPr="00231B6E">
              <w:t>164</w:t>
            </w:r>
          </w:p>
        </w:tc>
      </w:tr>
    </w:tbl>
    <w:p w14:paraId="0B5CB6B5" w14:textId="0D7A61BF" w:rsidR="00843F6C" w:rsidRDefault="00843F6C" w:rsidP="00843F6C">
      <w:r>
        <w:t>For Nadir and Conical scan EESS (passive) sensors, the calculation of the maximum emissions levels on the ground from a population of UWB radars operated within the EESS (passive) footprint area is 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06E9E73F" w14:textId="77777777" w:rsidTr="008A2884">
        <w:tc>
          <w:tcPr>
            <w:tcW w:w="4761" w:type="pct"/>
          </w:tcPr>
          <w:p w14:paraId="410E9361" w14:textId="6475D1EF" w:rsidR="00034148" w:rsidRPr="00021DD2" w:rsidRDefault="00E55534" w:rsidP="00472B9F">
            <w:pPr>
              <w:pStyle w:val="ECCTabletext"/>
              <w:rPr>
                <w:rStyle w:val="ECCParagraph"/>
                <w:rFonts w:eastAsiaTheme="minorEastAsia" w:cstheme="minorBidi"/>
                <w:color w:val="000000" w:themeColor="text1"/>
                <w:lang w:eastAsia="da-DK"/>
              </w:rPr>
            </w:pPr>
            <m:oMathPara>
              <m:oMathParaPr>
                <m:jc m:val="center"/>
              </m:oMathParaPr>
              <m:oMath>
                <m:sSub>
                  <m:sSubPr>
                    <m:ctrlPr>
                      <w:rPr>
                        <w:rStyle w:val="ECCParagraph"/>
                        <w:rFonts w:ascii="Cambria Math" w:hAnsi="Cambria Math"/>
                        <w:i/>
                        <w:color w:val="000000" w:themeColor="text1"/>
                      </w:rPr>
                    </m:ctrlPr>
                  </m:sSubPr>
                  <m:e>
                    <m:r>
                      <w:rPr>
                        <w:rStyle w:val="ECCParagraph"/>
                        <w:rFonts w:ascii="Cambria Math" w:hAnsi="Cambria Math"/>
                        <w:color w:val="000000" w:themeColor="text1"/>
                      </w:rPr>
                      <m:t>E</m:t>
                    </m:r>
                  </m:e>
                  <m:sub>
                    <m:r>
                      <w:rPr>
                        <w:rStyle w:val="ECCParagraph"/>
                        <w:rFonts w:ascii="Cambria Math" w:hAnsi="Cambria Math"/>
                        <w:color w:val="000000" w:themeColor="text1"/>
                      </w:rPr>
                      <m:t>max</m:t>
                    </m:r>
                  </m:sub>
                </m:sSub>
                <m: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w:rPr>
                        <w:rStyle w:val="ECCParagraph"/>
                        <w:rFonts w:ascii="Cambria Math" w:hAnsi="Cambria Math"/>
                        <w:color w:val="000000" w:themeColor="text1"/>
                      </w:rPr>
                      <m:t>I</m:t>
                    </m:r>
                  </m:e>
                  <m:sub>
                    <m:r>
                      <w:rPr>
                        <w:rStyle w:val="ECCParagraph"/>
                        <w:rFonts w:ascii="Cambria Math" w:hAnsi="Cambria Math"/>
                        <w:color w:val="000000" w:themeColor="text1"/>
                      </w:rPr>
                      <m:t>max</m:t>
                    </m:r>
                  </m:sub>
                </m:sSub>
                <m: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w:rPr>
                        <w:rStyle w:val="ECCParagraph"/>
                        <w:rFonts w:ascii="Cambria Math" w:hAnsi="Cambria Math"/>
                        <w:color w:val="000000" w:themeColor="text1"/>
                      </w:rPr>
                      <m:t>G</m:t>
                    </m:r>
                  </m:e>
                  <m:sub>
                    <m:r>
                      <w:rPr>
                        <w:rStyle w:val="ECCParagraph"/>
                        <w:rFonts w:ascii="Cambria Math" w:hAnsi="Cambria Math"/>
                        <w:color w:val="000000" w:themeColor="text1"/>
                      </w:rPr>
                      <m:t>max</m:t>
                    </m:r>
                  </m:sub>
                </m:sSub>
                <m: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w:rPr>
                        <w:rStyle w:val="ECCParagraph"/>
                        <w:rFonts w:ascii="Cambria Math" w:hAnsi="Cambria Math"/>
                        <w:color w:val="000000" w:themeColor="text1"/>
                      </w:rPr>
                      <m:t>L</m:t>
                    </m:r>
                  </m:e>
                  <m:sub>
                    <m:r>
                      <w:rPr>
                        <w:rStyle w:val="ECCParagraph"/>
                        <w:rFonts w:ascii="Cambria Math" w:hAnsi="Cambria Math"/>
                        <w:color w:val="000000" w:themeColor="text1"/>
                      </w:rPr>
                      <m:t>Atmos</m:t>
                    </m:r>
                  </m:sub>
                </m:sSub>
                <m: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w:rPr>
                        <w:rStyle w:val="ECCParagraph"/>
                        <w:rFonts w:ascii="Cambria Math" w:hAnsi="Cambria Math"/>
                        <w:color w:val="000000" w:themeColor="text1"/>
                      </w:rPr>
                      <m:t>L</m:t>
                    </m:r>
                  </m:e>
                  <m:sub>
                    <m:r>
                      <w:rPr>
                        <w:rStyle w:val="ECCParagraph"/>
                        <w:rFonts w:ascii="Cambria Math" w:hAnsi="Cambria Math"/>
                        <w:color w:val="000000" w:themeColor="text1"/>
                      </w:rPr>
                      <m:t>FS</m:t>
                    </m:r>
                  </m:sub>
                </m:sSub>
              </m:oMath>
            </m:oMathPara>
          </w:p>
        </w:tc>
        <w:tc>
          <w:tcPr>
            <w:tcW w:w="239" w:type="pct"/>
          </w:tcPr>
          <w:p w14:paraId="6738BE50" w14:textId="23AD38BC"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15</w:t>
            </w:r>
            <w:r>
              <w:fldChar w:fldCharType="end"/>
            </w:r>
            <w:r>
              <w:t>)</w:t>
            </w:r>
          </w:p>
        </w:tc>
      </w:tr>
    </w:tbl>
    <w:p w14:paraId="08590982" w14:textId="77777777" w:rsidR="00843F6C" w:rsidRDefault="00843F6C" w:rsidP="00472B9F">
      <w:r>
        <w:t>where:</w:t>
      </w:r>
    </w:p>
    <w:p w14:paraId="5ACE7799" w14:textId="03A86956" w:rsidR="00843F6C" w:rsidRDefault="00E55534" w:rsidP="00472B9F">
      <w:pPr>
        <w:pStyle w:val="ECCBulletsLv1"/>
        <w:rPr>
          <w:rStyle w:val="ECCParagraph"/>
        </w:rPr>
      </w:pPr>
      <m:oMath>
        <m:sSub>
          <m:sSubPr>
            <m:ctrlPr>
              <w:rPr>
                <w:rStyle w:val="ECCParagraph"/>
                <w:rFonts w:ascii="Cambria Math" w:hAnsi="Cambria Math"/>
                <w:i/>
              </w:rPr>
            </m:ctrlPr>
          </m:sSubPr>
          <m:e>
            <m:r>
              <w:rPr>
                <w:rStyle w:val="ECCParagraph"/>
                <w:rFonts w:ascii="Cambria Math" w:hAnsi="Cambria Math"/>
              </w:rPr>
              <m:t>E</m:t>
            </m:r>
          </m:e>
          <m:sub>
            <m:r>
              <w:rPr>
                <w:rStyle w:val="ECCParagraph"/>
                <w:rFonts w:ascii="Cambria Math" w:hAnsi="Cambria Math"/>
              </w:rPr>
              <m:t>max</m:t>
            </m:r>
          </m:sub>
        </m:sSub>
        <m:r>
          <w:rPr>
            <w:rStyle w:val="ECCParagraph"/>
            <w:rFonts w:ascii="Cambria Math" w:hAnsi="Cambria Math"/>
          </w:rPr>
          <m:t>-</m:t>
        </m:r>
      </m:oMath>
      <w:r w:rsidR="00843F6C" w:rsidRPr="00E0550D">
        <w:rPr>
          <w:rStyle w:val="ECCParagraph"/>
        </w:rPr>
        <w:t xml:space="preserve"> max. emission l</w:t>
      </w:r>
      <w:r w:rsidR="00843F6C">
        <w:rPr>
          <w:rStyle w:val="ECCParagraph"/>
        </w:rPr>
        <w:t xml:space="preserve">evel on Earth's ground in the direction towards the </w:t>
      </w:r>
      <w:r w:rsidR="00F21606">
        <w:rPr>
          <w:rStyle w:val="ECCParagraph"/>
        </w:rPr>
        <w:t>satellite</w:t>
      </w:r>
      <w:r w:rsidR="00843F6C">
        <w:rPr>
          <w:rStyle w:val="ECCParagraph"/>
        </w:rPr>
        <w:t xml:space="preserve"> (in dBW in the reference bandwidth)</w:t>
      </w:r>
      <w:r w:rsidR="00472B9F">
        <w:rPr>
          <w:rStyle w:val="ECCParagraph"/>
        </w:rPr>
        <w:t>;</w:t>
      </w:r>
    </w:p>
    <w:p w14:paraId="3DCF0B57" w14:textId="6EDDC7B4" w:rsidR="00843F6C" w:rsidRDefault="00E55534" w:rsidP="00472B9F">
      <w:pPr>
        <w:pStyle w:val="ECCBulletsLv1"/>
        <w:rPr>
          <w:rStyle w:val="ECCParagraph"/>
        </w:rPr>
      </w:pPr>
      <m:oMath>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max</m:t>
            </m:r>
          </m:sub>
        </m:sSub>
        <m:r>
          <w:rPr>
            <w:rStyle w:val="ECCParagraph"/>
            <w:rFonts w:ascii="Cambria Math" w:hAnsi="Cambria Math"/>
          </w:rPr>
          <m:t>-</m:t>
        </m:r>
      </m:oMath>
      <w:r w:rsidR="00843F6C" w:rsidRPr="00664DE6">
        <w:rPr>
          <w:rStyle w:val="ECCParagraph"/>
        </w:rPr>
        <w:t xml:space="preserve"> </w:t>
      </w:r>
      <w:r w:rsidR="00843F6C">
        <w:rPr>
          <w:rStyle w:val="ECCParagraph"/>
        </w:rPr>
        <w:t>EESS (passive) protection criteria (</w:t>
      </w:r>
      <w:r w:rsidR="00843F6C" w:rsidRPr="00B53CD6">
        <w:t xml:space="preserve">with </w:t>
      </w:r>
      <w:r w:rsidR="00843F6C">
        <w:t xml:space="preserve">appropriate </w:t>
      </w:r>
      <w:r w:rsidR="00843F6C" w:rsidRPr="00B53CD6">
        <w:t>apportionmen</w:t>
      </w:r>
      <w:r w:rsidR="00843F6C">
        <w:t>t, in dBW in the reference bandwidth</w:t>
      </w:r>
      <w:r w:rsidR="00843F6C" w:rsidRPr="00B53CD6">
        <w:t>)</w:t>
      </w:r>
      <w:r w:rsidR="00472B9F">
        <w:t>;</w:t>
      </w:r>
    </w:p>
    <w:p w14:paraId="4AF2CB84" w14:textId="3D1240E4" w:rsidR="00843F6C" w:rsidRPr="00B53CD6" w:rsidRDefault="00E55534" w:rsidP="00472B9F">
      <w:pPr>
        <w:pStyle w:val="ECCBulletsLv1"/>
      </w:pPr>
      <m:oMath>
        <m:sSub>
          <m:sSubPr>
            <m:ctrlPr>
              <w:rPr>
                <w:rStyle w:val="ECCParagraph"/>
                <w:rFonts w:ascii="Cambria Math" w:hAnsi="Cambria Math"/>
                <w:i/>
              </w:rPr>
            </m:ctrlPr>
          </m:sSubPr>
          <m:e>
            <m:r>
              <w:rPr>
                <w:rStyle w:val="ECCParagraph"/>
                <w:rFonts w:ascii="Cambria Math" w:hAnsi="Cambria Math"/>
              </w:rPr>
              <m:t>G</m:t>
            </m:r>
          </m:e>
          <m:sub>
            <m:r>
              <w:rPr>
                <w:rStyle w:val="ECCParagraph"/>
                <w:rFonts w:ascii="Cambria Math" w:hAnsi="Cambria Math"/>
              </w:rPr>
              <m:t>max</m:t>
            </m:r>
          </m:sub>
        </m:sSub>
        <m:r>
          <w:rPr>
            <w:rStyle w:val="ECCParagraph"/>
            <w:rFonts w:ascii="Cambria Math" w:hAnsi="Cambria Math"/>
          </w:rPr>
          <m:t>-</m:t>
        </m:r>
      </m:oMath>
      <w:r w:rsidR="00843F6C" w:rsidRPr="00B53CD6">
        <w:t xml:space="preserve"> EESS (passive) maximum antenna gain</w:t>
      </w:r>
      <w:r w:rsidR="00843F6C">
        <w:t xml:space="preserve"> (in dBi)</w:t>
      </w:r>
      <w:r w:rsidR="00472B9F">
        <w:t>;</w:t>
      </w:r>
    </w:p>
    <w:p w14:paraId="5F7668A8" w14:textId="3B311A8D" w:rsidR="00843F6C" w:rsidRPr="00B53CD6" w:rsidRDefault="00E55534" w:rsidP="00472B9F">
      <w:pPr>
        <w:pStyle w:val="ECCBulletsLv1"/>
      </w:pPr>
      <m:oMath>
        <m:sSub>
          <m:sSubPr>
            <m:ctrlPr>
              <w:rPr>
                <w:rStyle w:val="ECCParagraph"/>
                <w:rFonts w:ascii="Cambria Math" w:hAnsi="Cambria Math"/>
                <w:i/>
              </w:rPr>
            </m:ctrlPr>
          </m:sSubPr>
          <m:e>
            <m:r>
              <w:rPr>
                <w:rStyle w:val="ECCParagraph"/>
                <w:rFonts w:ascii="Cambria Math" w:hAnsi="Cambria Math"/>
              </w:rPr>
              <m:t>L</m:t>
            </m:r>
          </m:e>
          <m:sub>
            <m:r>
              <w:rPr>
                <w:rStyle w:val="ECCParagraph"/>
                <w:rFonts w:ascii="Cambria Math" w:hAnsi="Cambria Math"/>
              </w:rPr>
              <m:t>Atmos</m:t>
            </m:r>
          </m:sub>
        </m:sSub>
        <m:r>
          <w:rPr>
            <w:rStyle w:val="ECCParagraph"/>
            <w:rFonts w:ascii="Cambria Math" w:hAnsi="Cambria Math"/>
          </w:rPr>
          <m:t>-</m:t>
        </m:r>
      </m:oMath>
      <w:r w:rsidR="00843F6C" w:rsidRPr="00B53CD6">
        <w:t xml:space="preserve"> Atmospheric losses (at relevant elevation</w:t>
      </w:r>
      <w:r w:rsidR="00843F6C">
        <w:t>, in dB</w:t>
      </w:r>
      <w:r w:rsidR="00843F6C" w:rsidRPr="00B53CD6">
        <w:t>)</w:t>
      </w:r>
      <w:r w:rsidR="00472B9F">
        <w:t>;</w:t>
      </w:r>
    </w:p>
    <w:p w14:paraId="5C99EFD6" w14:textId="59541DD3" w:rsidR="00843F6C" w:rsidRPr="00B53CD6" w:rsidRDefault="00E55534" w:rsidP="00472B9F">
      <w:pPr>
        <w:pStyle w:val="ECCBulletsLv1"/>
      </w:pPr>
      <m:oMath>
        <m:sSub>
          <m:sSubPr>
            <m:ctrlPr>
              <w:rPr>
                <w:rStyle w:val="ECCParagraph"/>
                <w:rFonts w:ascii="Cambria Math" w:hAnsi="Cambria Math"/>
                <w:i/>
              </w:rPr>
            </m:ctrlPr>
          </m:sSubPr>
          <m:e>
            <m:r>
              <w:rPr>
                <w:rStyle w:val="ECCParagraph"/>
                <w:rFonts w:ascii="Cambria Math" w:hAnsi="Cambria Math"/>
              </w:rPr>
              <m:t>L</m:t>
            </m:r>
          </m:e>
          <m:sub>
            <m:r>
              <w:rPr>
                <w:rStyle w:val="ECCParagraph"/>
                <w:rFonts w:ascii="Cambria Math" w:hAnsi="Cambria Math"/>
              </w:rPr>
              <m:t>FS</m:t>
            </m:r>
          </m:sub>
        </m:sSub>
        <m:r>
          <w:rPr>
            <w:rStyle w:val="ECCParagraph"/>
            <w:rFonts w:ascii="Cambria Math" w:hAnsi="Cambria Math"/>
          </w:rPr>
          <m:t>-</m:t>
        </m:r>
      </m:oMath>
      <w:r w:rsidR="00843F6C" w:rsidRPr="00B53CD6">
        <w:t xml:space="preserve"> Free space loss (along the slant path D</w:t>
      </w:r>
      <w:r w:rsidR="00843F6C">
        <w:t>, in dB</w:t>
      </w:r>
      <w:r w:rsidR="00843F6C" w:rsidRPr="00B53CD6">
        <w:t>)</w:t>
      </w:r>
      <w:r w:rsidR="00472B9F">
        <w:t>.</w:t>
      </w:r>
    </w:p>
    <w:p w14:paraId="1892D9C8" w14:textId="74CE5AE9" w:rsidR="00843F6C" w:rsidRDefault="00843F6C" w:rsidP="00843F6C">
      <w:r w:rsidRPr="00B53CD6">
        <w:t xml:space="preserve">The Earth-satellite geometry to be considered for the case of Nadir and Conical scanning instruments is described in </w:t>
      </w:r>
      <w:r w:rsidR="00973765">
        <w:fldChar w:fldCharType="begin"/>
      </w:r>
      <w:r w:rsidR="00973765">
        <w:instrText xml:space="preserve"> REF _Ref67047171 \h </w:instrText>
      </w:r>
      <w:r w:rsidR="00973765">
        <w:fldChar w:fldCharType="separate"/>
      </w:r>
      <w:r w:rsidR="0041125F" w:rsidRPr="00B65C18">
        <w:t>Figure</w:t>
      </w:r>
      <w:r w:rsidR="0041125F">
        <w:t> </w:t>
      </w:r>
      <w:r w:rsidR="0041125F">
        <w:rPr>
          <w:noProof/>
        </w:rPr>
        <w:t>86</w:t>
      </w:r>
      <w:r w:rsidR="00973765">
        <w:fldChar w:fldCharType="end"/>
      </w:r>
      <w:r w:rsidR="00973765">
        <w:t>.</w:t>
      </w:r>
    </w:p>
    <w:p w14:paraId="54B99CDB" w14:textId="77777777" w:rsidR="00973765" w:rsidRPr="00973765" w:rsidRDefault="00973765" w:rsidP="00973765">
      <w:pPr>
        <w:pStyle w:val="Caption"/>
      </w:pPr>
      <w:r w:rsidRPr="00973765">
        <w:rPr>
          <w:noProof/>
          <w:lang w:val="de-DE" w:eastAsia="de-DE"/>
        </w:rPr>
        <w:drawing>
          <wp:inline distT="0" distB="0" distL="0" distR="0" wp14:anchorId="36AED48C" wp14:editId="29674856">
            <wp:extent cx="3884205" cy="4305782"/>
            <wp:effectExtent l="0" t="0" r="2540" b="0"/>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84205" cy="4305782"/>
                    </a:xfrm>
                    <a:prstGeom prst="rect">
                      <a:avLst/>
                    </a:prstGeom>
                    <a:noFill/>
                  </pic:spPr>
                </pic:pic>
              </a:graphicData>
            </a:graphic>
          </wp:inline>
        </w:drawing>
      </w:r>
    </w:p>
    <w:p w14:paraId="6FC3572C" w14:textId="2F06CEB5" w:rsidR="00973765" w:rsidRDefault="00973765" w:rsidP="00973765">
      <w:pPr>
        <w:pStyle w:val="Caption"/>
      </w:pPr>
      <w:bookmarkStart w:id="474" w:name="_Ref67047171"/>
      <w:r w:rsidRPr="00B65C18">
        <w:t>Figure</w:t>
      </w:r>
      <w:r>
        <w:t> </w:t>
      </w:r>
      <w:r w:rsidR="00E55534">
        <w:fldChar w:fldCharType="begin"/>
      </w:r>
      <w:r w:rsidR="00E55534">
        <w:instrText>SEQ Figure \*ARABIC \* MERGEFO</w:instrText>
      </w:r>
      <w:r w:rsidR="00E55534">
        <w:instrText>RMAT  \* MERGEFORMAT</w:instrText>
      </w:r>
      <w:r w:rsidR="00E55534">
        <w:fldChar w:fldCharType="separate"/>
      </w:r>
      <w:r w:rsidR="004F49F9">
        <w:rPr>
          <w:noProof/>
        </w:rPr>
        <w:t>86</w:t>
      </w:r>
      <w:r w:rsidR="00E55534">
        <w:rPr>
          <w:noProof/>
        </w:rPr>
        <w:fldChar w:fldCharType="end"/>
      </w:r>
      <w:bookmarkEnd w:id="474"/>
      <w:r w:rsidRPr="00B65C18">
        <w:rPr>
          <w:rFonts w:eastAsia="Calibri"/>
        </w:rPr>
        <w:t xml:space="preserve">: </w:t>
      </w:r>
      <w:r w:rsidRPr="00B65C18">
        <w:t>Earth-satellite geometry for the nadir and conical scanning EESS (passive) sensors</w:t>
      </w:r>
    </w:p>
    <w:p w14:paraId="33F4161E" w14:textId="2091E1DC" w:rsidR="00B30EE2" w:rsidRDefault="00EF3E55" w:rsidP="00B30EE2">
      <w:r>
        <w:fldChar w:fldCharType="begin"/>
      </w:r>
      <w:r>
        <w:instrText xml:space="preserve"> REF _Ref67661828 \h </w:instrText>
      </w:r>
      <w:r>
        <w:fldChar w:fldCharType="separate"/>
      </w:r>
      <w:r w:rsidR="0041125F" w:rsidRPr="00954CC5">
        <w:t>Table </w:t>
      </w:r>
      <w:r w:rsidR="0041125F">
        <w:rPr>
          <w:noProof/>
        </w:rPr>
        <w:t>46</w:t>
      </w:r>
      <w:r>
        <w:fldChar w:fldCharType="end"/>
      </w:r>
      <w:r w:rsidR="00B30EE2" w:rsidRPr="00AB0CED">
        <w:t xml:space="preserve"> summarises the various scenarios to be addressed for the different EESS (passive) bands and type of radars.</w:t>
      </w:r>
    </w:p>
    <w:p w14:paraId="36013C5D" w14:textId="7B076EE2" w:rsidR="00B30EE2" w:rsidRPr="00AB0CED" w:rsidRDefault="00B30EE2" w:rsidP="00B30EE2">
      <w:pPr>
        <w:pStyle w:val="Caption"/>
      </w:pPr>
      <w:bookmarkStart w:id="475" w:name="_Ref67661828"/>
      <w:r w:rsidRPr="00954CC5">
        <w:t>Table </w:t>
      </w:r>
      <w:r>
        <w:fldChar w:fldCharType="begin"/>
      </w:r>
      <w:r>
        <w:instrText>SEQ Table \* ARABIC</w:instrText>
      </w:r>
      <w:r>
        <w:fldChar w:fldCharType="separate"/>
      </w:r>
      <w:r w:rsidR="004F49F9">
        <w:rPr>
          <w:noProof/>
        </w:rPr>
        <w:t>46</w:t>
      </w:r>
      <w:r>
        <w:fldChar w:fldCharType="end"/>
      </w:r>
      <w:bookmarkEnd w:id="475"/>
      <w:r w:rsidRPr="00B30EE2">
        <w:t xml:space="preserve">: Envisaged </w:t>
      </w:r>
      <w:r w:rsidRPr="00B30EE2">
        <w:rPr>
          <w:rFonts w:eastAsia="Calibri"/>
        </w:rPr>
        <w:t xml:space="preserve">in-band and adjacent usage scenarios for the different EESS (passive) </w:t>
      </w:r>
      <w:r>
        <w:t>bands</w:t>
      </w:r>
    </w:p>
    <w:tbl>
      <w:tblPr>
        <w:tblStyle w:val="ECCTable-redheader"/>
        <w:tblW w:w="5000" w:type="pct"/>
        <w:tblInd w:w="0" w:type="dxa"/>
        <w:tblLook w:val="00A0" w:firstRow="1" w:lastRow="0" w:firstColumn="1" w:lastColumn="0" w:noHBand="0" w:noVBand="0"/>
      </w:tblPr>
      <w:tblGrid>
        <w:gridCol w:w="1310"/>
        <w:gridCol w:w="1167"/>
        <w:gridCol w:w="1313"/>
        <w:gridCol w:w="1167"/>
        <w:gridCol w:w="1167"/>
        <w:gridCol w:w="1167"/>
        <w:gridCol w:w="1167"/>
        <w:gridCol w:w="1171"/>
      </w:tblGrid>
      <w:tr w:rsidR="00B30EE2" w14:paraId="5D0F56F1" w14:textId="77777777" w:rsidTr="0064788E">
        <w:trPr>
          <w:cnfStyle w:val="100000000000" w:firstRow="1" w:lastRow="0" w:firstColumn="0" w:lastColumn="0" w:oddVBand="0" w:evenVBand="0" w:oddHBand="0" w:evenHBand="0" w:firstRowFirstColumn="0" w:firstRowLastColumn="0" w:lastRowFirstColumn="0" w:lastRowLastColumn="0"/>
        </w:trPr>
        <w:tc>
          <w:tcPr>
            <w:tcW w:w="680" w:type="pct"/>
          </w:tcPr>
          <w:p w14:paraId="68758FDA" w14:textId="77777777" w:rsidR="00B30EE2" w:rsidRPr="00B30EE2" w:rsidRDefault="00B30EE2" w:rsidP="00B30EE2">
            <w:r w:rsidRPr="00B30EE2">
              <w:t>Frequency band (GHz)</w:t>
            </w:r>
          </w:p>
        </w:tc>
        <w:tc>
          <w:tcPr>
            <w:tcW w:w="606" w:type="pct"/>
          </w:tcPr>
          <w:p w14:paraId="011C96C2" w14:textId="77777777" w:rsidR="00B30EE2" w:rsidRPr="00B30EE2" w:rsidRDefault="00B30EE2" w:rsidP="00B30EE2">
            <w:r>
              <w:t>EESS us</w:t>
            </w:r>
            <w:r w:rsidRPr="00B30EE2">
              <w:t>age</w:t>
            </w:r>
          </w:p>
        </w:tc>
        <w:tc>
          <w:tcPr>
            <w:tcW w:w="682" w:type="pct"/>
          </w:tcPr>
          <w:p w14:paraId="40D04DEB" w14:textId="77777777" w:rsidR="00B30EE2" w:rsidRPr="00B30EE2" w:rsidRDefault="00B30EE2" w:rsidP="00B30EE2">
            <w:r>
              <w:t>Generic indoor radar</w:t>
            </w:r>
          </w:p>
        </w:tc>
        <w:tc>
          <w:tcPr>
            <w:tcW w:w="606" w:type="pct"/>
          </w:tcPr>
          <w:p w14:paraId="124A081E" w14:textId="77777777" w:rsidR="00B30EE2" w:rsidRPr="00B30EE2" w:rsidRDefault="00B30EE2" w:rsidP="00B30EE2">
            <w:r>
              <w:t>R</w:t>
            </w:r>
            <w:r w:rsidRPr="00B30EE2">
              <w:t>DI</w:t>
            </w:r>
          </w:p>
        </w:tc>
        <w:tc>
          <w:tcPr>
            <w:tcW w:w="606" w:type="pct"/>
          </w:tcPr>
          <w:p w14:paraId="3D261A60" w14:textId="77777777" w:rsidR="00B30EE2" w:rsidRPr="00B30EE2" w:rsidRDefault="00B30EE2" w:rsidP="00B30EE2">
            <w:r>
              <w:t>SR-</w:t>
            </w:r>
            <w:r w:rsidRPr="00B30EE2">
              <w:t>assist</w:t>
            </w:r>
          </w:p>
        </w:tc>
        <w:tc>
          <w:tcPr>
            <w:tcW w:w="606" w:type="pct"/>
          </w:tcPr>
          <w:p w14:paraId="79CEA68B" w14:textId="77777777" w:rsidR="00B30EE2" w:rsidRPr="00B30EE2" w:rsidRDefault="00B30EE2" w:rsidP="00B30EE2">
            <w:r>
              <w:t>GBSAR</w:t>
            </w:r>
          </w:p>
        </w:tc>
        <w:tc>
          <w:tcPr>
            <w:tcW w:w="606" w:type="pct"/>
          </w:tcPr>
          <w:p w14:paraId="07D82241" w14:textId="77777777" w:rsidR="00B30EE2" w:rsidRPr="00B30EE2" w:rsidRDefault="00B30EE2" w:rsidP="00B30EE2">
            <w:r>
              <w:t>LPR</w:t>
            </w:r>
            <w:r w:rsidRPr="00B30EE2">
              <w:t>, CDR and TLPR</w:t>
            </w:r>
          </w:p>
        </w:tc>
        <w:tc>
          <w:tcPr>
            <w:tcW w:w="608" w:type="pct"/>
          </w:tcPr>
          <w:p w14:paraId="09A6BF8E" w14:textId="77777777" w:rsidR="00B30EE2" w:rsidRPr="00B30EE2" w:rsidRDefault="00B30EE2" w:rsidP="00B30EE2">
            <w:r>
              <w:t>RDI-S</w:t>
            </w:r>
          </w:p>
        </w:tc>
      </w:tr>
      <w:tr w:rsidR="00B30EE2" w14:paraId="624A67F6" w14:textId="77777777" w:rsidTr="0064788E">
        <w:tc>
          <w:tcPr>
            <w:tcW w:w="680" w:type="pct"/>
          </w:tcPr>
          <w:p w14:paraId="308749C6" w14:textId="77777777" w:rsidR="00B30EE2" w:rsidRPr="00B30EE2" w:rsidRDefault="00B30EE2" w:rsidP="000A69BD">
            <w:pPr>
              <w:pStyle w:val="ECCTabletext"/>
              <w:jc w:val="left"/>
            </w:pPr>
            <w:r>
              <w:t>114</w:t>
            </w:r>
            <w:r w:rsidR="00CF4994">
              <w:t>.2</w:t>
            </w:r>
            <w:r>
              <w:t>5 to 116</w:t>
            </w:r>
          </w:p>
        </w:tc>
        <w:tc>
          <w:tcPr>
            <w:tcW w:w="606" w:type="pct"/>
          </w:tcPr>
          <w:p w14:paraId="5125EBD3" w14:textId="77777777" w:rsidR="00B30EE2" w:rsidRPr="00B30EE2" w:rsidRDefault="00B30EE2" w:rsidP="000A69BD">
            <w:pPr>
              <w:pStyle w:val="ECCTabletext"/>
              <w:jc w:val="left"/>
            </w:pPr>
            <w:r>
              <w:t>P</w:t>
            </w:r>
            <w:r w:rsidRPr="00B30EE2">
              <w:t>assive</w:t>
            </w:r>
          </w:p>
          <w:p w14:paraId="36D4CEA7" w14:textId="77777777" w:rsidR="00B30EE2" w:rsidRPr="00B30EE2" w:rsidRDefault="00B30EE2" w:rsidP="000A69BD">
            <w:pPr>
              <w:pStyle w:val="ECCTabletext"/>
              <w:jc w:val="left"/>
            </w:pPr>
            <w:r>
              <w:t xml:space="preserve">FN </w:t>
            </w:r>
            <w:r w:rsidRPr="00B30EE2">
              <w:t>5.340</w:t>
            </w:r>
          </w:p>
        </w:tc>
        <w:tc>
          <w:tcPr>
            <w:tcW w:w="682" w:type="pct"/>
          </w:tcPr>
          <w:p w14:paraId="1D089DB5" w14:textId="77777777" w:rsidR="00B30EE2" w:rsidRPr="00B30EE2" w:rsidRDefault="00B30EE2" w:rsidP="000A69BD">
            <w:pPr>
              <w:pStyle w:val="ECCTabletext"/>
              <w:jc w:val="left"/>
            </w:pPr>
            <w:r>
              <w:t>Adjacent</w:t>
            </w:r>
          </w:p>
        </w:tc>
        <w:tc>
          <w:tcPr>
            <w:tcW w:w="606" w:type="pct"/>
          </w:tcPr>
          <w:p w14:paraId="6E96F5B4" w14:textId="77777777" w:rsidR="00B30EE2" w:rsidRPr="00B30EE2" w:rsidRDefault="00B30EE2" w:rsidP="000A69BD">
            <w:pPr>
              <w:pStyle w:val="ECCTabletext"/>
              <w:jc w:val="left"/>
            </w:pPr>
            <w:r>
              <w:t>Adjacent</w:t>
            </w:r>
          </w:p>
        </w:tc>
        <w:tc>
          <w:tcPr>
            <w:tcW w:w="606" w:type="pct"/>
          </w:tcPr>
          <w:p w14:paraId="305CE923" w14:textId="77777777" w:rsidR="00B30EE2" w:rsidRPr="00B30EE2" w:rsidRDefault="00B30EE2" w:rsidP="000A69BD">
            <w:pPr>
              <w:pStyle w:val="ECCTabletext"/>
              <w:jc w:val="left"/>
            </w:pPr>
            <w:r>
              <w:t>Adjacent</w:t>
            </w:r>
          </w:p>
        </w:tc>
        <w:tc>
          <w:tcPr>
            <w:tcW w:w="606" w:type="pct"/>
          </w:tcPr>
          <w:p w14:paraId="7768A92C" w14:textId="77777777" w:rsidR="00B30EE2" w:rsidRDefault="00B30EE2" w:rsidP="00B30EE2">
            <w:pPr>
              <w:pStyle w:val="ECCTabletext"/>
            </w:pPr>
          </w:p>
        </w:tc>
        <w:tc>
          <w:tcPr>
            <w:tcW w:w="606" w:type="pct"/>
          </w:tcPr>
          <w:p w14:paraId="052EE570" w14:textId="77777777" w:rsidR="00B30EE2" w:rsidRPr="00B30EE2" w:rsidRDefault="00B30EE2" w:rsidP="000A69BD">
            <w:pPr>
              <w:pStyle w:val="ECCTabletext"/>
              <w:jc w:val="left"/>
            </w:pPr>
            <w:r>
              <w:t>Adjacent</w:t>
            </w:r>
          </w:p>
        </w:tc>
        <w:tc>
          <w:tcPr>
            <w:tcW w:w="608" w:type="pct"/>
          </w:tcPr>
          <w:p w14:paraId="7324B541" w14:textId="77777777" w:rsidR="00B30EE2" w:rsidRPr="00B30EE2" w:rsidRDefault="00B30EE2" w:rsidP="000A69BD">
            <w:pPr>
              <w:pStyle w:val="ECCTabletext"/>
              <w:jc w:val="left"/>
            </w:pPr>
            <w:r>
              <w:t>Adjacent</w:t>
            </w:r>
          </w:p>
        </w:tc>
      </w:tr>
      <w:tr w:rsidR="00B30EE2" w14:paraId="78608752" w14:textId="77777777" w:rsidTr="0064788E">
        <w:tc>
          <w:tcPr>
            <w:tcW w:w="680" w:type="pct"/>
          </w:tcPr>
          <w:p w14:paraId="5B833131" w14:textId="77777777" w:rsidR="00B30EE2" w:rsidRPr="00B30EE2" w:rsidRDefault="00B30EE2" w:rsidP="000A69BD">
            <w:pPr>
              <w:pStyle w:val="ECCTabletext"/>
              <w:jc w:val="left"/>
            </w:pPr>
            <w:r>
              <w:t>116</w:t>
            </w:r>
            <w:r w:rsidRPr="00B30EE2">
              <w:t xml:space="preserve"> to 122</w:t>
            </w:r>
            <w:r w:rsidR="00CF4994">
              <w:t>.2</w:t>
            </w:r>
            <w:r w:rsidRPr="00B30EE2">
              <w:t>5</w:t>
            </w:r>
          </w:p>
        </w:tc>
        <w:tc>
          <w:tcPr>
            <w:tcW w:w="606" w:type="pct"/>
          </w:tcPr>
          <w:p w14:paraId="5303030F" w14:textId="77777777" w:rsidR="00B30EE2" w:rsidRPr="00B30EE2" w:rsidRDefault="00B30EE2" w:rsidP="000A69BD">
            <w:pPr>
              <w:pStyle w:val="ECCTabletext"/>
              <w:jc w:val="left"/>
            </w:pPr>
            <w:r>
              <w:t>Passive</w:t>
            </w:r>
          </w:p>
        </w:tc>
        <w:tc>
          <w:tcPr>
            <w:tcW w:w="682" w:type="pct"/>
          </w:tcPr>
          <w:p w14:paraId="3599439F" w14:textId="77777777" w:rsidR="00B30EE2" w:rsidRPr="00B30EE2" w:rsidRDefault="00B30EE2" w:rsidP="000A69BD">
            <w:pPr>
              <w:pStyle w:val="ECCTabletext"/>
              <w:jc w:val="left"/>
            </w:pPr>
            <w:r>
              <w:t>In-band</w:t>
            </w:r>
          </w:p>
        </w:tc>
        <w:tc>
          <w:tcPr>
            <w:tcW w:w="606" w:type="pct"/>
          </w:tcPr>
          <w:p w14:paraId="53C3F730" w14:textId="77777777" w:rsidR="00B30EE2" w:rsidRPr="00B30EE2" w:rsidRDefault="00B30EE2" w:rsidP="000A69BD">
            <w:pPr>
              <w:pStyle w:val="ECCTabletext"/>
              <w:jc w:val="left"/>
            </w:pPr>
            <w:r>
              <w:t>In</w:t>
            </w:r>
            <w:r w:rsidRPr="00B30EE2">
              <w:t>-band</w:t>
            </w:r>
          </w:p>
        </w:tc>
        <w:tc>
          <w:tcPr>
            <w:tcW w:w="606" w:type="pct"/>
          </w:tcPr>
          <w:p w14:paraId="1FEED0C5" w14:textId="77777777" w:rsidR="00B30EE2" w:rsidRPr="00B30EE2" w:rsidRDefault="00B30EE2" w:rsidP="000A69BD">
            <w:pPr>
              <w:pStyle w:val="ECCTabletext"/>
              <w:jc w:val="left"/>
            </w:pPr>
            <w:r>
              <w:t>In</w:t>
            </w:r>
            <w:r w:rsidRPr="00B30EE2">
              <w:t>-band</w:t>
            </w:r>
          </w:p>
        </w:tc>
        <w:tc>
          <w:tcPr>
            <w:tcW w:w="606" w:type="pct"/>
          </w:tcPr>
          <w:p w14:paraId="27CBD15C" w14:textId="77777777" w:rsidR="00B30EE2" w:rsidRDefault="00B30EE2" w:rsidP="00B30EE2">
            <w:pPr>
              <w:pStyle w:val="ECCTabletext"/>
            </w:pPr>
          </w:p>
        </w:tc>
        <w:tc>
          <w:tcPr>
            <w:tcW w:w="606" w:type="pct"/>
          </w:tcPr>
          <w:p w14:paraId="512B8E50" w14:textId="77777777" w:rsidR="00B30EE2" w:rsidRPr="00B30EE2" w:rsidRDefault="00B30EE2" w:rsidP="000A69BD">
            <w:pPr>
              <w:pStyle w:val="ECCTabletext"/>
              <w:jc w:val="left"/>
            </w:pPr>
            <w:r>
              <w:t>In-band</w:t>
            </w:r>
          </w:p>
        </w:tc>
        <w:tc>
          <w:tcPr>
            <w:tcW w:w="608" w:type="pct"/>
          </w:tcPr>
          <w:p w14:paraId="0EFF6F61" w14:textId="77777777" w:rsidR="00B30EE2" w:rsidRPr="00B30EE2" w:rsidRDefault="00B30EE2" w:rsidP="000A69BD">
            <w:pPr>
              <w:pStyle w:val="ECCTabletext"/>
              <w:jc w:val="left"/>
            </w:pPr>
            <w:r>
              <w:t>In-</w:t>
            </w:r>
            <w:r w:rsidRPr="00B30EE2">
              <w:t>band</w:t>
            </w:r>
          </w:p>
        </w:tc>
      </w:tr>
      <w:tr w:rsidR="00B30EE2" w14:paraId="1493CCCE" w14:textId="77777777" w:rsidTr="0064788E">
        <w:tc>
          <w:tcPr>
            <w:tcW w:w="680" w:type="pct"/>
          </w:tcPr>
          <w:p w14:paraId="2A343FA3" w14:textId="77777777" w:rsidR="00B30EE2" w:rsidRPr="00B30EE2" w:rsidRDefault="00B30EE2" w:rsidP="000A69BD">
            <w:pPr>
              <w:pStyle w:val="ECCTabletext"/>
              <w:jc w:val="left"/>
            </w:pPr>
            <w:r>
              <w:t>1</w:t>
            </w:r>
            <w:r w:rsidRPr="00B30EE2">
              <w:t>48</w:t>
            </w:r>
            <w:r w:rsidR="00CF4994">
              <w:t>.5</w:t>
            </w:r>
            <w:r w:rsidRPr="00B30EE2">
              <w:t xml:space="preserve"> to 151</w:t>
            </w:r>
            <w:r w:rsidR="00CF4994">
              <w:t>.5</w:t>
            </w:r>
          </w:p>
        </w:tc>
        <w:tc>
          <w:tcPr>
            <w:tcW w:w="606" w:type="pct"/>
          </w:tcPr>
          <w:p w14:paraId="317A2AF4" w14:textId="77777777" w:rsidR="00B30EE2" w:rsidRPr="00B30EE2" w:rsidRDefault="00B30EE2" w:rsidP="000A69BD">
            <w:pPr>
              <w:pStyle w:val="ECCTabletext"/>
              <w:jc w:val="left"/>
            </w:pPr>
            <w:r>
              <w:t>P</w:t>
            </w:r>
            <w:r w:rsidRPr="00B30EE2">
              <w:t>assive</w:t>
            </w:r>
          </w:p>
          <w:p w14:paraId="36CEAB35" w14:textId="77777777" w:rsidR="00B30EE2" w:rsidRPr="00B30EE2" w:rsidRDefault="00B30EE2" w:rsidP="000A69BD">
            <w:pPr>
              <w:pStyle w:val="ECCTabletext"/>
              <w:jc w:val="left"/>
            </w:pPr>
            <w:r>
              <w:t xml:space="preserve">FN </w:t>
            </w:r>
            <w:r w:rsidRPr="00B30EE2">
              <w:t>5.340</w:t>
            </w:r>
          </w:p>
        </w:tc>
        <w:tc>
          <w:tcPr>
            <w:tcW w:w="682" w:type="pct"/>
          </w:tcPr>
          <w:p w14:paraId="318ADE8E" w14:textId="77777777" w:rsidR="00B30EE2" w:rsidRPr="00B30EE2" w:rsidRDefault="00B30EE2" w:rsidP="000A69BD">
            <w:pPr>
              <w:pStyle w:val="ECCTabletext"/>
              <w:jc w:val="left"/>
            </w:pPr>
            <w:r>
              <w:t>Adjacent</w:t>
            </w:r>
          </w:p>
        </w:tc>
        <w:tc>
          <w:tcPr>
            <w:tcW w:w="606" w:type="pct"/>
          </w:tcPr>
          <w:p w14:paraId="3788C04F" w14:textId="77777777" w:rsidR="00B30EE2" w:rsidRDefault="00B30EE2" w:rsidP="00B30EE2">
            <w:pPr>
              <w:pStyle w:val="ECCTabletext"/>
            </w:pPr>
          </w:p>
        </w:tc>
        <w:tc>
          <w:tcPr>
            <w:tcW w:w="606" w:type="pct"/>
          </w:tcPr>
          <w:p w14:paraId="14465E8F" w14:textId="77777777" w:rsidR="00B30EE2" w:rsidRPr="00B30EE2" w:rsidRDefault="00B30EE2" w:rsidP="000A69BD">
            <w:pPr>
              <w:pStyle w:val="ECCTabletext"/>
              <w:jc w:val="left"/>
            </w:pPr>
            <w:r>
              <w:t>Adjacent</w:t>
            </w:r>
          </w:p>
        </w:tc>
        <w:tc>
          <w:tcPr>
            <w:tcW w:w="606" w:type="pct"/>
          </w:tcPr>
          <w:p w14:paraId="6AA64ED7" w14:textId="77777777" w:rsidR="00B30EE2" w:rsidRPr="00B30EE2" w:rsidRDefault="00B30EE2" w:rsidP="000A69BD">
            <w:pPr>
              <w:pStyle w:val="ECCTabletext"/>
              <w:jc w:val="left"/>
            </w:pPr>
            <w:r>
              <w:t>Adjacent</w:t>
            </w:r>
          </w:p>
        </w:tc>
        <w:tc>
          <w:tcPr>
            <w:tcW w:w="606" w:type="pct"/>
          </w:tcPr>
          <w:p w14:paraId="092B8578" w14:textId="77777777" w:rsidR="00B30EE2" w:rsidRPr="00B30EE2" w:rsidRDefault="00B30EE2" w:rsidP="000A69BD">
            <w:pPr>
              <w:pStyle w:val="ECCTabletext"/>
              <w:jc w:val="left"/>
            </w:pPr>
            <w:r>
              <w:t>Adjacent</w:t>
            </w:r>
          </w:p>
        </w:tc>
        <w:tc>
          <w:tcPr>
            <w:tcW w:w="608" w:type="pct"/>
          </w:tcPr>
          <w:p w14:paraId="65AC0DA1" w14:textId="77777777" w:rsidR="00B30EE2" w:rsidRPr="00B30EE2" w:rsidRDefault="00B30EE2" w:rsidP="000A69BD">
            <w:pPr>
              <w:pStyle w:val="ECCTabletext"/>
              <w:jc w:val="left"/>
            </w:pPr>
            <w:r>
              <w:t>In-</w:t>
            </w:r>
            <w:r w:rsidRPr="00B30EE2">
              <w:t>band</w:t>
            </w:r>
          </w:p>
        </w:tc>
      </w:tr>
      <w:tr w:rsidR="00B30EE2" w14:paraId="1685AA40" w14:textId="77777777" w:rsidTr="0064788E">
        <w:tc>
          <w:tcPr>
            <w:tcW w:w="680" w:type="pct"/>
          </w:tcPr>
          <w:p w14:paraId="0524C338" w14:textId="77777777" w:rsidR="00B30EE2" w:rsidRPr="00B30EE2" w:rsidRDefault="00B30EE2" w:rsidP="000A69BD">
            <w:pPr>
              <w:pStyle w:val="ECCTabletext"/>
              <w:jc w:val="left"/>
            </w:pPr>
            <w:r>
              <w:t>164</w:t>
            </w:r>
            <w:r w:rsidRPr="00B30EE2">
              <w:t xml:space="preserve"> to 167</w:t>
            </w:r>
          </w:p>
        </w:tc>
        <w:tc>
          <w:tcPr>
            <w:tcW w:w="606" w:type="pct"/>
          </w:tcPr>
          <w:p w14:paraId="6E6200A6" w14:textId="77777777" w:rsidR="00B30EE2" w:rsidRPr="00B30EE2" w:rsidRDefault="00B30EE2" w:rsidP="000A69BD">
            <w:pPr>
              <w:pStyle w:val="ECCTabletext"/>
              <w:jc w:val="left"/>
            </w:pPr>
            <w:r>
              <w:t>P</w:t>
            </w:r>
            <w:r w:rsidRPr="00B30EE2">
              <w:t>assive</w:t>
            </w:r>
          </w:p>
          <w:p w14:paraId="40BFE12E" w14:textId="77777777" w:rsidR="00B30EE2" w:rsidRPr="00B30EE2" w:rsidRDefault="00B30EE2" w:rsidP="000A69BD">
            <w:pPr>
              <w:pStyle w:val="ECCTabletext"/>
              <w:jc w:val="left"/>
            </w:pPr>
            <w:r>
              <w:t xml:space="preserve">FN </w:t>
            </w:r>
            <w:r w:rsidRPr="00B30EE2">
              <w:t>5.340</w:t>
            </w:r>
          </w:p>
        </w:tc>
        <w:tc>
          <w:tcPr>
            <w:tcW w:w="682" w:type="pct"/>
          </w:tcPr>
          <w:p w14:paraId="1C2E8BBD" w14:textId="77777777" w:rsidR="00B30EE2" w:rsidRDefault="00B30EE2" w:rsidP="00B30EE2">
            <w:pPr>
              <w:pStyle w:val="ECCTabletext"/>
            </w:pPr>
          </w:p>
        </w:tc>
        <w:tc>
          <w:tcPr>
            <w:tcW w:w="606" w:type="pct"/>
          </w:tcPr>
          <w:p w14:paraId="40B385F6" w14:textId="77777777" w:rsidR="00B30EE2" w:rsidRDefault="00B30EE2" w:rsidP="00B30EE2">
            <w:pPr>
              <w:pStyle w:val="ECCTabletext"/>
            </w:pPr>
          </w:p>
        </w:tc>
        <w:tc>
          <w:tcPr>
            <w:tcW w:w="606" w:type="pct"/>
          </w:tcPr>
          <w:p w14:paraId="4226FFF7" w14:textId="77777777" w:rsidR="00B30EE2" w:rsidRDefault="00B30EE2" w:rsidP="00B30EE2">
            <w:pPr>
              <w:pStyle w:val="ECCTabletext"/>
            </w:pPr>
          </w:p>
        </w:tc>
        <w:tc>
          <w:tcPr>
            <w:tcW w:w="606" w:type="pct"/>
          </w:tcPr>
          <w:p w14:paraId="6D367926" w14:textId="77777777" w:rsidR="00B30EE2" w:rsidRDefault="00B30EE2" w:rsidP="00B30EE2">
            <w:pPr>
              <w:pStyle w:val="ECCTabletext"/>
            </w:pPr>
          </w:p>
        </w:tc>
        <w:tc>
          <w:tcPr>
            <w:tcW w:w="606" w:type="pct"/>
          </w:tcPr>
          <w:p w14:paraId="5DD29F83" w14:textId="77777777" w:rsidR="00B30EE2" w:rsidRPr="00B30EE2" w:rsidRDefault="00B30EE2" w:rsidP="000A69BD">
            <w:pPr>
              <w:pStyle w:val="ECCTabletext"/>
              <w:jc w:val="left"/>
            </w:pPr>
            <w:r>
              <w:t>Adjacent</w:t>
            </w:r>
          </w:p>
        </w:tc>
        <w:tc>
          <w:tcPr>
            <w:tcW w:w="608" w:type="pct"/>
          </w:tcPr>
          <w:p w14:paraId="743E5667" w14:textId="77777777" w:rsidR="00B30EE2" w:rsidRPr="00B30EE2" w:rsidRDefault="00B30EE2" w:rsidP="000A69BD">
            <w:pPr>
              <w:pStyle w:val="ECCTabletext"/>
              <w:jc w:val="left"/>
            </w:pPr>
            <w:r>
              <w:t>In-</w:t>
            </w:r>
            <w:r w:rsidRPr="00B30EE2">
              <w:t>band</w:t>
            </w:r>
          </w:p>
        </w:tc>
      </w:tr>
      <w:tr w:rsidR="00B30EE2" w14:paraId="4C0CA06C" w14:textId="77777777" w:rsidTr="0064788E">
        <w:tc>
          <w:tcPr>
            <w:tcW w:w="680" w:type="pct"/>
          </w:tcPr>
          <w:p w14:paraId="20E12468" w14:textId="77777777" w:rsidR="00B30EE2" w:rsidRPr="00B30EE2" w:rsidRDefault="00B30EE2" w:rsidP="000A69BD">
            <w:pPr>
              <w:pStyle w:val="ECCTabletext"/>
              <w:jc w:val="left"/>
            </w:pPr>
            <w:r>
              <w:t>174</w:t>
            </w:r>
            <w:r w:rsidR="00CF4994">
              <w:t>.8</w:t>
            </w:r>
            <w:r w:rsidRPr="00B30EE2">
              <w:t xml:space="preserve"> to 182</w:t>
            </w:r>
          </w:p>
        </w:tc>
        <w:tc>
          <w:tcPr>
            <w:tcW w:w="606" w:type="pct"/>
          </w:tcPr>
          <w:p w14:paraId="783E645F" w14:textId="77777777" w:rsidR="00B30EE2" w:rsidRPr="00B30EE2" w:rsidRDefault="00B30EE2" w:rsidP="000A69BD">
            <w:pPr>
              <w:pStyle w:val="ECCTabletext"/>
              <w:jc w:val="left"/>
            </w:pPr>
            <w:r>
              <w:t>P</w:t>
            </w:r>
            <w:r w:rsidRPr="00B30EE2">
              <w:t>assive</w:t>
            </w:r>
          </w:p>
        </w:tc>
        <w:tc>
          <w:tcPr>
            <w:tcW w:w="682" w:type="pct"/>
          </w:tcPr>
          <w:p w14:paraId="0C9D925E" w14:textId="77777777" w:rsidR="00B30EE2" w:rsidRDefault="00B30EE2" w:rsidP="00B30EE2">
            <w:pPr>
              <w:pStyle w:val="ECCTabletext"/>
            </w:pPr>
          </w:p>
        </w:tc>
        <w:tc>
          <w:tcPr>
            <w:tcW w:w="606" w:type="pct"/>
          </w:tcPr>
          <w:p w14:paraId="1404CB63" w14:textId="77777777" w:rsidR="00B30EE2" w:rsidRPr="00B30EE2" w:rsidRDefault="00B30EE2" w:rsidP="000A69BD">
            <w:pPr>
              <w:pStyle w:val="ECCTabletext"/>
              <w:jc w:val="left"/>
            </w:pPr>
            <w:r>
              <w:t>In</w:t>
            </w:r>
            <w:r w:rsidRPr="00B30EE2">
              <w:t>-band</w:t>
            </w:r>
          </w:p>
        </w:tc>
        <w:tc>
          <w:tcPr>
            <w:tcW w:w="606" w:type="pct"/>
          </w:tcPr>
          <w:p w14:paraId="16FB4107" w14:textId="77777777" w:rsidR="00B30EE2" w:rsidRDefault="00B30EE2" w:rsidP="00B30EE2">
            <w:pPr>
              <w:pStyle w:val="ECCTabletext"/>
            </w:pPr>
          </w:p>
        </w:tc>
        <w:tc>
          <w:tcPr>
            <w:tcW w:w="606" w:type="pct"/>
          </w:tcPr>
          <w:p w14:paraId="3FFA5587" w14:textId="77777777" w:rsidR="00B30EE2" w:rsidRDefault="00B30EE2" w:rsidP="00B30EE2">
            <w:pPr>
              <w:pStyle w:val="ECCTabletext"/>
            </w:pPr>
          </w:p>
        </w:tc>
        <w:tc>
          <w:tcPr>
            <w:tcW w:w="606" w:type="pct"/>
          </w:tcPr>
          <w:p w14:paraId="01AFE76D" w14:textId="77777777" w:rsidR="00B30EE2" w:rsidRPr="00B30EE2" w:rsidRDefault="00B30EE2" w:rsidP="000A69BD">
            <w:pPr>
              <w:pStyle w:val="ECCTabletext"/>
              <w:jc w:val="left"/>
            </w:pPr>
            <w:r>
              <w:t>In-band</w:t>
            </w:r>
          </w:p>
        </w:tc>
        <w:tc>
          <w:tcPr>
            <w:tcW w:w="608" w:type="pct"/>
          </w:tcPr>
          <w:p w14:paraId="544DE9BB" w14:textId="77777777" w:rsidR="00B30EE2" w:rsidRPr="00B30EE2" w:rsidRDefault="00B30EE2" w:rsidP="000A69BD">
            <w:pPr>
              <w:pStyle w:val="ECCTabletext"/>
              <w:jc w:val="left"/>
            </w:pPr>
            <w:r>
              <w:t>In-</w:t>
            </w:r>
            <w:r w:rsidRPr="00B30EE2">
              <w:t>band</w:t>
            </w:r>
          </w:p>
        </w:tc>
      </w:tr>
      <w:tr w:rsidR="00B30EE2" w14:paraId="50F73344" w14:textId="77777777" w:rsidTr="0064788E">
        <w:tc>
          <w:tcPr>
            <w:tcW w:w="680" w:type="pct"/>
          </w:tcPr>
          <w:p w14:paraId="1B7338E3" w14:textId="77777777" w:rsidR="00B30EE2" w:rsidRPr="00B30EE2" w:rsidRDefault="00B30EE2" w:rsidP="000A69BD">
            <w:pPr>
              <w:pStyle w:val="ECCTabletext"/>
              <w:jc w:val="left"/>
            </w:pPr>
            <w:r>
              <w:t>182</w:t>
            </w:r>
            <w:r w:rsidRPr="00B30EE2">
              <w:t xml:space="preserve"> to 185</w:t>
            </w:r>
          </w:p>
        </w:tc>
        <w:tc>
          <w:tcPr>
            <w:tcW w:w="606" w:type="pct"/>
          </w:tcPr>
          <w:p w14:paraId="2E5A144A" w14:textId="77777777" w:rsidR="00B30EE2" w:rsidRPr="00B30EE2" w:rsidRDefault="00B30EE2" w:rsidP="000A69BD">
            <w:pPr>
              <w:pStyle w:val="ECCTabletext"/>
              <w:jc w:val="left"/>
            </w:pPr>
            <w:r>
              <w:t>P</w:t>
            </w:r>
            <w:r w:rsidRPr="00B30EE2">
              <w:t>assive</w:t>
            </w:r>
          </w:p>
          <w:p w14:paraId="50C91AB9" w14:textId="77777777" w:rsidR="00B30EE2" w:rsidRPr="00B30EE2" w:rsidRDefault="00B30EE2" w:rsidP="000A69BD">
            <w:pPr>
              <w:pStyle w:val="ECCTabletext"/>
              <w:jc w:val="left"/>
            </w:pPr>
            <w:r>
              <w:t xml:space="preserve">FN </w:t>
            </w:r>
            <w:r w:rsidRPr="00B30EE2">
              <w:t>5.340</w:t>
            </w:r>
          </w:p>
        </w:tc>
        <w:tc>
          <w:tcPr>
            <w:tcW w:w="682" w:type="pct"/>
          </w:tcPr>
          <w:p w14:paraId="4E12FBC1" w14:textId="77777777" w:rsidR="00B30EE2" w:rsidRDefault="00B30EE2" w:rsidP="00B30EE2">
            <w:pPr>
              <w:pStyle w:val="ECCTabletext"/>
            </w:pPr>
          </w:p>
        </w:tc>
        <w:tc>
          <w:tcPr>
            <w:tcW w:w="606" w:type="pct"/>
          </w:tcPr>
          <w:p w14:paraId="4950FF11" w14:textId="77777777" w:rsidR="00B30EE2" w:rsidRPr="00B30EE2" w:rsidRDefault="00B30EE2" w:rsidP="000A69BD">
            <w:pPr>
              <w:pStyle w:val="ECCTabletext"/>
              <w:jc w:val="left"/>
            </w:pPr>
            <w:r>
              <w:t>Adjacent</w:t>
            </w:r>
          </w:p>
        </w:tc>
        <w:tc>
          <w:tcPr>
            <w:tcW w:w="606" w:type="pct"/>
          </w:tcPr>
          <w:p w14:paraId="435614DB" w14:textId="77777777" w:rsidR="00B30EE2" w:rsidRDefault="00B30EE2" w:rsidP="00B30EE2">
            <w:pPr>
              <w:pStyle w:val="ECCTabletext"/>
            </w:pPr>
          </w:p>
        </w:tc>
        <w:tc>
          <w:tcPr>
            <w:tcW w:w="606" w:type="pct"/>
          </w:tcPr>
          <w:p w14:paraId="586ADBB1" w14:textId="77777777" w:rsidR="00B30EE2" w:rsidRDefault="00B30EE2" w:rsidP="00B30EE2">
            <w:pPr>
              <w:pStyle w:val="ECCTabletext"/>
            </w:pPr>
          </w:p>
        </w:tc>
        <w:tc>
          <w:tcPr>
            <w:tcW w:w="606" w:type="pct"/>
          </w:tcPr>
          <w:p w14:paraId="167AEFBE" w14:textId="77777777" w:rsidR="00B30EE2" w:rsidRPr="00B30EE2" w:rsidRDefault="00B30EE2" w:rsidP="000A69BD">
            <w:pPr>
              <w:pStyle w:val="ECCTabletext"/>
              <w:jc w:val="left"/>
            </w:pPr>
            <w:r>
              <w:t>Adjacent</w:t>
            </w:r>
          </w:p>
        </w:tc>
        <w:tc>
          <w:tcPr>
            <w:tcW w:w="608" w:type="pct"/>
          </w:tcPr>
          <w:p w14:paraId="054C08B8" w14:textId="77777777" w:rsidR="00B30EE2" w:rsidRPr="00B30EE2" w:rsidRDefault="00B30EE2" w:rsidP="000A69BD">
            <w:pPr>
              <w:pStyle w:val="ECCTabletext"/>
              <w:jc w:val="left"/>
            </w:pPr>
            <w:r>
              <w:t>In-</w:t>
            </w:r>
            <w:r w:rsidRPr="00B30EE2">
              <w:t>band</w:t>
            </w:r>
          </w:p>
        </w:tc>
      </w:tr>
      <w:tr w:rsidR="00B30EE2" w14:paraId="46CDDFFB" w14:textId="77777777" w:rsidTr="0064788E">
        <w:tc>
          <w:tcPr>
            <w:tcW w:w="680" w:type="pct"/>
          </w:tcPr>
          <w:p w14:paraId="367688ED" w14:textId="77777777" w:rsidR="00B30EE2" w:rsidRPr="00B30EE2" w:rsidRDefault="00B30EE2" w:rsidP="000A69BD">
            <w:pPr>
              <w:pStyle w:val="ECCTabletext"/>
              <w:jc w:val="left"/>
            </w:pPr>
            <w:r>
              <w:t>185</w:t>
            </w:r>
            <w:r w:rsidRPr="00B30EE2">
              <w:t xml:space="preserve"> to 190</w:t>
            </w:r>
          </w:p>
        </w:tc>
        <w:tc>
          <w:tcPr>
            <w:tcW w:w="606" w:type="pct"/>
          </w:tcPr>
          <w:p w14:paraId="7C6FC209" w14:textId="77777777" w:rsidR="00B30EE2" w:rsidRPr="00B30EE2" w:rsidRDefault="00B30EE2" w:rsidP="000A69BD">
            <w:pPr>
              <w:pStyle w:val="ECCTabletext"/>
              <w:jc w:val="left"/>
            </w:pPr>
            <w:r>
              <w:t>P</w:t>
            </w:r>
            <w:r w:rsidRPr="00B30EE2">
              <w:t>assive</w:t>
            </w:r>
          </w:p>
        </w:tc>
        <w:tc>
          <w:tcPr>
            <w:tcW w:w="682" w:type="pct"/>
          </w:tcPr>
          <w:p w14:paraId="6673E095" w14:textId="77777777" w:rsidR="00B30EE2" w:rsidRDefault="00B30EE2" w:rsidP="00B30EE2">
            <w:pPr>
              <w:pStyle w:val="ECCTabletext"/>
            </w:pPr>
          </w:p>
        </w:tc>
        <w:tc>
          <w:tcPr>
            <w:tcW w:w="606" w:type="pct"/>
          </w:tcPr>
          <w:p w14:paraId="067BA427" w14:textId="77777777" w:rsidR="00B30EE2" w:rsidRPr="00B30EE2" w:rsidRDefault="00B30EE2" w:rsidP="000A69BD">
            <w:pPr>
              <w:pStyle w:val="ECCTabletext"/>
              <w:jc w:val="left"/>
            </w:pPr>
            <w:r>
              <w:t>In</w:t>
            </w:r>
            <w:r w:rsidRPr="00B30EE2">
              <w:t>-band</w:t>
            </w:r>
          </w:p>
        </w:tc>
        <w:tc>
          <w:tcPr>
            <w:tcW w:w="606" w:type="pct"/>
          </w:tcPr>
          <w:p w14:paraId="50550E7C" w14:textId="77777777" w:rsidR="00B30EE2" w:rsidRDefault="00B30EE2" w:rsidP="00B30EE2">
            <w:pPr>
              <w:pStyle w:val="ECCTabletext"/>
            </w:pPr>
          </w:p>
        </w:tc>
        <w:tc>
          <w:tcPr>
            <w:tcW w:w="606" w:type="pct"/>
          </w:tcPr>
          <w:p w14:paraId="6A198C3A" w14:textId="77777777" w:rsidR="00B30EE2" w:rsidRDefault="00B30EE2" w:rsidP="00B30EE2">
            <w:pPr>
              <w:pStyle w:val="ECCTabletext"/>
            </w:pPr>
          </w:p>
        </w:tc>
        <w:tc>
          <w:tcPr>
            <w:tcW w:w="606" w:type="pct"/>
          </w:tcPr>
          <w:p w14:paraId="71257D76" w14:textId="77777777" w:rsidR="00B30EE2" w:rsidRDefault="00B30EE2" w:rsidP="00B30EE2">
            <w:pPr>
              <w:pStyle w:val="ECCTabletext"/>
            </w:pPr>
          </w:p>
        </w:tc>
        <w:tc>
          <w:tcPr>
            <w:tcW w:w="608" w:type="pct"/>
          </w:tcPr>
          <w:p w14:paraId="464B0364" w14:textId="77777777" w:rsidR="00B30EE2" w:rsidRPr="00B30EE2" w:rsidRDefault="00B30EE2" w:rsidP="000A69BD">
            <w:pPr>
              <w:pStyle w:val="ECCTabletext"/>
              <w:jc w:val="left"/>
            </w:pPr>
            <w:r>
              <w:t>In-</w:t>
            </w:r>
            <w:r w:rsidRPr="00B30EE2">
              <w:t>band</w:t>
            </w:r>
          </w:p>
        </w:tc>
      </w:tr>
      <w:tr w:rsidR="00B30EE2" w14:paraId="0B023069" w14:textId="77777777" w:rsidTr="0064788E">
        <w:tc>
          <w:tcPr>
            <w:tcW w:w="680" w:type="pct"/>
          </w:tcPr>
          <w:p w14:paraId="6316730D" w14:textId="77777777" w:rsidR="00B30EE2" w:rsidRPr="00B30EE2" w:rsidRDefault="00B30EE2" w:rsidP="000A69BD">
            <w:pPr>
              <w:pStyle w:val="ECCTabletext"/>
              <w:jc w:val="left"/>
            </w:pPr>
            <w:r>
              <w:t>190</w:t>
            </w:r>
            <w:r w:rsidRPr="00B30EE2">
              <w:t xml:space="preserve"> to 191</w:t>
            </w:r>
            <w:r w:rsidR="00CF4994">
              <w:t>.8</w:t>
            </w:r>
          </w:p>
        </w:tc>
        <w:tc>
          <w:tcPr>
            <w:tcW w:w="606" w:type="pct"/>
          </w:tcPr>
          <w:p w14:paraId="6F48B5E0" w14:textId="77777777" w:rsidR="00B30EE2" w:rsidRPr="00B30EE2" w:rsidRDefault="00B30EE2" w:rsidP="000A69BD">
            <w:pPr>
              <w:pStyle w:val="ECCTabletext"/>
              <w:jc w:val="left"/>
            </w:pPr>
            <w:r>
              <w:t>P</w:t>
            </w:r>
            <w:r w:rsidRPr="00B30EE2">
              <w:t>assive</w:t>
            </w:r>
          </w:p>
          <w:p w14:paraId="537651C1" w14:textId="77777777" w:rsidR="00B30EE2" w:rsidRPr="00B30EE2" w:rsidRDefault="00B30EE2" w:rsidP="000A69BD">
            <w:pPr>
              <w:pStyle w:val="ECCTabletext"/>
              <w:jc w:val="left"/>
            </w:pPr>
            <w:r>
              <w:t xml:space="preserve">FN </w:t>
            </w:r>
            <w:r w:rsidRPr="00B30EE2">
              <w:t>5.340</w:t>
            </w:r>
          </w:p>
        </w:tc>
        <w:tc>
          <w:tcPr>
            <w:tcW w:w="682" w:type="pct"/>
          </w:tcPr>
          <w:p w14:paraId="7D2B2ADB" w14:textId="77777777" w:rsidR="00B30EE2" w:rsidRDefault="00B30EE2" w:rsidP="00B30EE2">
            <w:pPr>
              <w:pStyle w:val="ECCTabletext"/>
            </w:pPr>
          </w:p>
        </w:tc>
        <w:tc>
          <w:tcPr>
            <w:tcW w:w="606" w:type="pct"/>
          </w:tcPr>
          <w:p w14:paraId="7C181A47" w14:textId="77777777" w:rsidR="00B30EE2" w:rsidRPr="00B30EE2" w:rsidRDefault="00B30EE2" w:rsidP="000A69BD">
            <w:pPr>
              <w:pStyle w:val="ECCTabletext"/>
              <w:jc w:val="left"/>
            </w:pPr>
            <w:r>
              <w:t>Adjacent</w:t>
            </w:r>
          </w:p>
        </w:tc>
        <w:tc>
          <w:tcPr>
            <w:tcW w:w="606" w:type="pct"/>
          </w:tcPr>
          <w:p w14:paraId="43B50669" w14:textId="77777777" w:rsidR="00B30EE2" w:rsidRDefault="00B30EE2" w:rsidP="00B30EE2">
            <w:pPr>
              <w:pStyle w:val="ECCTabletext"/>
            </w:pPr>
          </w:p>
        </w:tc>
        <w:tc>
          <w:tcPr>
            <w:tcW w:w="606" w:type="pct"/>
          </w:tcPr>
          <w:p w14:paraId="12C3C449" w14:textId="77777777" w:rsidR="00B30EE2" w:rsidRDefault="00B30EE2" w:rsidP="00B30EE2">
            <w:pPr>
              <w:pStyle w:val="ECCTabletext"/>
            </w:pPr>
          </w:p>
        </w:tc>
        <w:tc>
          <w:tcPr>
            <w:tcW w:w="606" w:type="pct"/>
          </w:tcPr>
          <w:p w14:paraId="7B4DEBB3" w14:textId="77777777" w:rsidR="00B30EE2" w:rsidRDefault="00B30EE2" w:rsidP="00B30EE2">
            <w:pPr>
              <w:pStyle w:val="ECCTabletext"/>
            </w:pPr>
          </w:p>
        </w:tc>
        <w:tc>
          <w:tcPr>
            <w:tcW w:w="608" w:type="pct"/>
          </w:tcPr>
          <w:p w14:paraId="7758214B" w14:textId="77777777" w:rsidR="00B30EE2" w:rsidRPr="00B30EE2" w:rsidRDefault="00B30EE2" w:rsidP="000A69BD">
            <w:pPr>
              <w:pStyle w:val="ECCTabletext"/>
              <w:jc w:val="left"/>
            </w:pPr>
            <w:r>
              <w:t>In-</w:t>
            </w:r>
            <w:r w:rsidRPr="00B30EE2">
              <w:t>band</w:t>
            </w:r>
          </w:p>
        </w:tc>
      </w:tr>
      <w:tr w:rsidR="00B30EE2" w14:paraId="74920C8B" w14:textId="77777777" w:rsidTr="0064788E">
        <w:tc>
          <w:tcPr>
            <w:tcW w:w="680" w:type="pct"/>
          </w:tcPr>
          <w:p w14:paraId="6E07F0DA" w14:textId="77777777" w:rsidR="00B30EE2" w:rsidRPr="00B30EE2" w:rsidRDefault="00B30EE2" w:rsidP="000A69BD">
            <w:pPr>
              <w:pStyle w:val="ECCTabletext"/>
              <w:jc w:val="left"/>
            </w:pPr>
            <w:r>
              <w:t>200</w:t>
            </w:r>
            <w:r w:rsidRPr="00B30EE2">
              <w:t xml:space="preserve"> to 209</w:t>
            </w:r>
          </w:p>
        </w:tc>
        <w:tc>
          <w:tcPr>
            <w:tcW w:w="606" w:type="pct"/>
          </w:tcPr>
          <w:p w14:paraId="41AFCAB0" w14:textId="77777777" w:rsidR="00B30EE2" w:rsidRPr="00B30EE2" w:rsidRDefault="00B30EE2" w:rsidP="000A69BD">
            <w:pPr>
              <w:pStyle w:val="ECCTabletext"/>
              <w:jc w:val="left"/>
            </w:pPr>
            <w:r>
              <w:t>P</w:t>
            </w:r>
            <w:r w:rsidRPr="00B30EE2">
              <w:t>assive</w:t>
            </w:r>
          </w:p>
          <w:p w14:paraId="0FFFA692" w14:textId="77777777" w:rsidR="00B30EE2" w:rsidRPr="00B30EE2" w:rsidRDefault="00B30EE2" w:rsidP="000A69BD">
            <w:pPr>
              <w:pStyle w:val="ECCTabletext"/>
              <w:jc w:val="left"/>
            </w:pPr>
            <w:r>
              <w:t xml:space="preserve">FN </w:t>
            </w:r>
            <w:r w:rsidRPr="00B30EE2">
              <w:t>5.340</w:t>
            </w:r>
          </w:p>
        </w:tc>
        <w:tc>
          <w:tcPr>
            <w:tcW w:w="682" w:type="pct"/>
          </w:tcPr>
          <w:p w14:paraId="5DA5E057" w14:textId="77777777" w:rsidR="00B30EE2" w:rsidRDefault="00B30EE2" w:rsidP="00B30EE2">
            <w:pPr>
              <w:pStyle w:val="ECCTabletext"/>
            </w:pPr>
          </w:p>
        </w:tc>
        <w:tc>
          <w:tcPr>
            <w:tcW w:w="606" w:type="pct"/>
          </w:tcPr>
          <w:p w14:paraId="3F9C5760" w14:textId="77777777" w:rsidR="00B30EE2" w:rsidRDefault="00B30EE2" w:rsidP="00B30EE2">
            <w:pPr>
              <w:pStyle w:val="ECCTabletext"/>
            </w:pPr>
          </w:p>
        </w:tc>
        <w:tc>
          <w:tcPr>
            <w:tcW w:w="606" w:type="pct"/>
          </w:tcPr>
          <w:p w14:paraId="6BD0DBAF" w14:textId="77777777" w:rsidR="00B30EE2" w:rsidRDefault="00B30EE2" w:rsidP="00B30EE2">
            <w:pPr>
              <w:pStyle w:val="ECCTabletext"/>
            </w:pPr>
          </w:p>
        </w:tc>
        <w:tc>
          <w:tcPr>
            <w:tcW w:w="606" w:type="pct"/>
          </w:tcPr>
          <w:p w14:paraId="4688B24C" w14:textId="77777777" w:rsidR="00B30EE2" w:rsidRDefault="00B30EE2" w:rsidP="00B30EE2">
            <w:pPr>
              <w:pStyle w:val="ECCTabletext"/>
            </w:pPr>
          </w:p>
        </w:tc>
        <w:tc>
          <w:tcPr>
            <w:tcW w:w="606" w:type="pct"/>
          </w:tcPr>
          <w:p w14:paraId="052CF2D7" w14:textId="77777777" w:rsidR="00B30EE2" w:rsidRDefault="00B30EE2" w:rsidP="00B30EE2">
            <w:pPr>
              <w:pStyle w:val="ECCTabletext"/>
            </w:pPr>
          </w:p>
        </w:tc>
        <w:tc>
          <w:tcPr>
            <w:tcW w:w="608" w:type="pct"/>
          </w:tcPr>
          <w:p w14:paraId="286CE4CB" w14:textId="77777777" w:rsidR="00B30EE2" w:rsidRPr="00B30EE2" w:rsidRDefault="00B30EE2" w:rsidP="000A69BD">
            <w:pPr>
              <w:pStyle w:val="ECCTabletext"/>
              <w:jc w:val="left"/>
            </w:pPr>
            <w:r>
              <w:t>In-</w:t>
            </w:r>
            <w:r w:rsidRPr="00B30EE2">
              <w:t>band</w:t>
            </w:r>
          </w:p>
        </w:tc>
      </w:tr>
      <w:tr w:rsidR="00B30EE2" w14:paraId="7D8F8012" w14:textId="77777777" w:rsidTr="0064788E">
        <w:tc>
          <w:tcPr>
            <w:tcW w:w="680" w:type="pct"/>
          </w:tcPr>
          <w:p w14:paraId="21F837AB" w14:textId="77777777" w:rsidR="00B30EE2" w:rsidRPr="00B30EE2" w:rsidRDefault="00B30EE2" w:rsidP="000A69BD">
            <w:pPr>
              <w:pStyle w:val="ECCTabletext"/>
              <w:jc w:val="left"/>
            </w:pPr>
            <w:r>
              <w:t>2</w:t>
            </w:r>
            <w:r w:rsidRPr="00B30EE2">
              <w:t>26 to 231</w:t>
            </w:r>
            <w:r w:rsidR="00CF4994">
              <w:t>.5</w:t>
            </w:r>
          </w:p>
        </w:tc>
        <w:tc>
          <w:tcPr>
            <w:tcW w:w="606" w:type="pct"/>
          </w:tcPr>
          <w:p w14:paraId="4A7C68AC" w14:textId="77777777" w:rsidR="00B30EE2" w:rsidRPr="00B30EE2" w:rsidRDefault="00B30EE2" w:rsidP="000A69BD">
            <w:pPr>
              <w:pStyle w:val="ECCTabletext"/>
              <w:jc w:val="left"/>
            </w:pPr>
            <w:r>
              <w:t>P</w:t>
            </w:r>
            <w:r w:rsidRPr="00B30EE2">
              <w:t>assive</w:t>
            </w:r>
          </w:p>
          <w:p w14:paraId="21C86840" w14:textId="77777777" w:rsidR="00B30EE2" w:rsidRPr="00B30EE2" w:rsidRDefault="00B30EE2" w:rsidP="000A69BD">
            <w:pPr>
              <w:pStyle w:val="ECCTabletext"/>
              <w:jc w:val="left"/>
            </w:pPr>
            <w:r>
              <w:t xml:space="preserve">FN </w:t>
            </w:r>
            <w:r w:rsidRPr="00B30EE2">
              <w:t>5.340</w:t>
            </w:r>
          </w:p>
        </w:tc>
        <w:tc>
          <w:tcPr>
            <w:tcW w:w="682" w:type="pct"/>
          </w:tcPr>
          <w:p w14:paraId="205429F5" w14:textId="77777777" w:rsidR="00B30EE2" w:rsidRDefault="00B30EE2" w:rsidP="00B30EE2">
            <w:pPr>
              <w:pStyle w:val="ECCTabletext"/>
            </w:pPr>
          </w:p>
        </w:tc>
        <w:tc>
          <w:tcPr>
            <w:tcW w:w="606" w:type="pct"/>
          </w:tcPr>
          <w:p w14:paraId="57DA5326" w14:textId="77777777" w:rsidR="00B30EE2" w:rsidRPr="00B30EE2" w:rsidRDefault="00B30EE2" w:rsidP="000A69BD">
            <w:pPr>
              <w:pStyle w:val="ECCTabletext"/>
              <w:jc w:val="left"/>
            </w:pPr>
            <w:r>
              <w:t>Adjacent</w:t>
            </w:r>
          </w:p>
        </w:tc>
        <w:tc>
          <w:tcPr>
            <w:tcW w:w="606" w:type="pct"/>
          </w:tcPr>
          <w:p w14:paraId="6DB4CD04" w14:textId="77777777" w:rsidR="00B30EE2" w:rsidRDefault="00B30EE2" w:rsidP="00B30EE2">
            <w:pPr>
              <w:pStyle w:val="ECCTabletext"/>
            </w:pPr>
          </w:p>
        </w:tc>
        <w:tc>
          <w:tcPr>
            <w:tcW w:w="606" w:type="pct"/>
          </w:tcPr>
          <w:p w14:paraId="4C2A0817" w14:textId="77777777" w:rsidR="00B30EE2" w:rsidRPr="009E26F6" w:rsidRDefault="00B30EE2" w:rsidP="00B30EE2">
            <w:pPr>
              <w:pStyle w:val="ECCTabletext"/>
            </w:pPr>
          </w:p>
        </w:tc>
        <w:tc>
          <w:tcPr>
            <w:tcW w:w="606" w:type="pct"/>
          </w:tcPr>
          <w:p w14:paraId="03853B18" w14:textId="77777777" w:rsidR="00B30EE2" w:rsidRPr="00B30EE2" w:rsidRDefault="00B30EE2" w:rsidP="000A69BD">
            <w:pPr>
              <w:pStyle w:val="ECCTabletext"/>
              <w:jc w:val="left"/>
            </w:pPr>
            <w:r>
              <w:t>Adjacent</w:t>
            </w:r>
          </w:p>
        </w:tc>
        <w:tc>
          <w:tcPr>
            <w:tcW w:w="608" w:type="pct"/>
          </w:tcPr>
          <w:p w14:paraId="2938A7F1" w14:textId="77777777" w:rsidR="00B30EE2" w:rsidRPr="00B30EE2" w:rsidRDefault="00B30EE2" w:rsidP="000A69BD">
            <w:pPr>
              <w:pStyle w:val="ECCTabletext"/>
              <w:jc w:val="left"/>
            </w:pPr>
            <w:r>
              <w:t>In-</w:t>
            </w:r>
            <w:r w:rsidRPr="00B30EE2">
              <w:t>band</w:t>
            </w:r>
          </w:p>
        </w:tc>
      </w:tr>
      <w:tr w:rsidR="00B30EE2" w14:paraId="27C1ED82" w14:textId="77777777" w:rsidTr="0064788E">
        <w:tc>
          <w:tcPr>
            <w:tcW w:w="680" w:type="pct"/>
          </w:tcPr>
          <w:p w14:paraId="0531233C" w14:textId="77777777" w:rsidR="00B30EE2" w:rsidRPr="00B30EE2" w:rsidRDefault="00B30EE2" w:rsidP="000A69BD">
            <w:pPr>
              <w:pStyle w:val="ECCTabletext"/>
              <w:jc w:val="left"/>
            </w:pPr>
            <w:r>
              <w:t>235</w:t>
            </w:r>
            <w:r w:rsidRPr="00B30EE2">
              <w:t xml:space="preserve"> to 238</w:t>
            </w:r>
          </w:p>
        </w:tc>
        <w:tc>
          <w:tcPr>
            <w:tcW w:w="606" w:type="pct"/>
          </w:tcPr>
          <w:p w14:paraId="49216F77" w14:textId="77777777" w:rsidR="00B30EE2" w:rsidRPr="00B30EE2" w:rsidRDefault="00B30EE2" w:rsidP="000A69BD">
            <w:pPr>
              <w:pStyle w:val="ECCTabletext"/>
              <w:jc w:val="left"/>
            </w:pPr>
            <w:r>
              <w:t>P</w:t>
            </w:r>
            <w:r w:rsidRPr="00B30EE2">
              <w:t>assive</w:t>
            </w:r>
          </w:p>
        </w:tc>
        <w:tc>
          <w:tcPr>
            <w:tcW w:w="682" w:type="pct"/>
          </w:tcPr>
          <w:p w14:paraId="22BE0AB0" w14:textId="77777777" w:rsidR="00B30EE2" w:rsidRPr="00E40105" w:rsidRDefault="00B30EE2" w:rsidP="00B30EE2">
            <w:pPr>
              <w:pStyle w:val="ECCTabletext"/>
            </w:pPr>
          </w:p>
        </w:tc>
        <w:tc>
          <w:tcPr>
            <w:tcW w:w="606" w:type="pct"/>
            <w:vAlign w:val="top"/>
          </w:tcPr>
          <w:p w14:paraId="6FACCF56" w14:textId="77777777" w:rsidR="00B30EE2" w:rsidRPr="00B30EE2" w:rsidRDefault="00B30EE2" w:rsidP="000A69BD">
            <w:pPr>
              <w:pStyle w:val="ECCTabletext"/>
              <w:jc w:val="left"/>
            </w:pPr>
            <w:r w:rsidRPr="00E40105">
              <w:t>In</w:t>
            </w:r>
            <w:r w:rsidRPr="00B30EE2">
              <w:t>-band</w:t>
            </w:r>
          </w:p>
        </w:tc>
        <w:tc>
          <w:tcPr>
            <w:tcW w:w="606" w:type="pct"/>
          </w:tcPr>
          <w:p w14:paraId="539B086F" w14:textId="77777777" w:rsidR="00B30EE2" w:rsidRDefault="00B30EE2" w:rsidP="00B30EE2">
            <w:pPr>
              <w:pStyle w:val="ECCTabletext"/>
            </w:pPr>
          </w:p>
        </w:tc>
        <w:tc>
          <w:tcPr>
            <w:tcW w:w="606" w:type="pct"/>
          </w:tcPr>
          <w:p w14:paraId="7D9F5D44" w14:textId="77777777" w:rsidR="00B30EE2" w:rsidRPr="00732023" w:rsidRDefault="00B30EE2" w:rsidP="00B30EE2">
            <w:pPr>
              <w:pStyle w:val="ECCTabletext"/>
            </w:pPr>
          </w:p>
        </w:tc>
        <w:tc>
          <w:tcPr>
            <w:tcW w:w="606" w:type="pct"/>
          </w:tcPr>
          <w:p w14:paraId="65C9FCD3" w14:textId="77777777" w:rsidR="00B30EE2" w:rsidRPr="00B30EE2" w:rsidRDefault="00B30EE2" w:rsidP="000A69BD">
            <w:pPr>
              <w:pStyle w:val="ECCTabletext"/>
              <w:jc w:val="left"/>
            </w:pPr>
            <w:r>
              <w:t>In-band</w:t>
            </w:r>
          </w:p>
        </w:tc>
        <w:tc>
          <w:tcPr>
            <w:tcW w:w="608" w:type="pct"/>
          </w:tcPr>
          <w:p w14:paraId="10F52610" w14:textId="77777777" w:rsidR="00B30EE2" w:rsidRPr="00B30EE2" w:rsidRDefault="00B30EE2" w:rsidP="000A69BD">
            <w:pPr>
              <w:pStyle w:val="ECCTabletext"/>
              <w:jc w:val="left"/>
            </w:pPr>
            <w:r>
              <w:t>In-</w:t>
            </w:r>
            <w:r w:rsidRPr="00B30EE2">
              <w:t>band</w:t>
            </w:r>
          </w:p>
        </w:tc>
      </w:tr>
      <w:tr w:rsidR="00B30EE2" w14:paraId="246101DB" w14:textId="77777777" w:rsidTr="0064788E">
        <w:tc>
          <w:tcPr>
            <w:tcW w:w="680" w:type="pct"/>
          </w:tcPr>
          <w:p w14:paraId="55C168D2" w14:textId="77777777" w:rsidR="00B30EE2" w:rsidRPr="00B30EE2" w:rsidRDefault="00B30EE2" w:rsidP="000A69BD">
            <w:pPr>
              <w:pStyle w:val="ECCTabletext"/>
              <w:jc w:val="left"/>
            </w:pPr>
            <w:r>
              <w:t>239</w:t>
            </w:r>
            <w:r w:rsidR="00CF4994">
              <w:t>.2</w:t>
            </w:r>
            <w:r w:rsidRPr="00B30EE2">
              <w:t xml:space="preserve"> to 242</w:t>
            </w:r>
            <w:r w:rsidR="00CF4994">
              <w:t>.2</w:t>
            </w:r>
          </w:p>
        </w:tc>
        <w:tc>
          <w:tcPr>
            <w:tcW w:w="606" w:type="pct"/>
          </w:tcPr>
          <w:p w14:paraId="77DF1CE6" w14:textId="77777777" w:rsidR="00B30EE2" w:rsidRPr="00B30EE2" w:rsidRDefault="00B30EE2" w:rsidP="000A69BD">
            <w:pPr>
              <w:pStyle w:val="ECCTabletext"/>
              <w:jc w:val="left"/>
            </w:pPr>
            <w:r>
              <w:t>AI 1.14</w:t>
            </w:r>
          </w:p>
          <w:p w14:paraId="456490E0" w14:textId="77777777" w:rsidR="00B30EE2" w:rsidRPr="00B30EE2" w:rsidRDefault="00B30EE2" w:rsidP="000A69BD">
            <w:pPr>
              <w:pStyle w:val="ECCTabletext"/>
              <w:jc w:val="left"/>
            </w:pPr>
            <w:r>
              <w:t>(ICI-</w:t>
            </w:r>
            <w:r w:rsidRPr="00B30EE2">
              <w:t>4) (Note 1)</w:t>
            </w:r>
          </w:p>
        </w:tc>
        <w:tc>
          <w:tcPr>
            <w:tcW w:w="682" w:type="pct"/>
          </w:tcPr>
          <w:p w14:paraId="3E16BBD0" w14:textId="77777777" w:rsidR="00B30EE2" w:rsidRPr="00E40105" w:rsidRDefault="00B30EE2" w:rsidP="00B30EE2">
            <w:pPr>
              <w:pStyle w:val="ECCTabletext"/>
            </w:pPr>
          </w:p>
        </w:tc>
        <w:tc>
          <w:tcPr>
            <w:tcW w:w="606" w:type="pct"/>
            <w:vAlign w:val="top"/>
          </w:tcPr>
          <w:p w14:paraId="092FFD9F" w14:textId="77777777" w:rsidR="00B30EE2" w:rsidRPr="00B30EE2" w:rsidRDefault="00B30EE2" w:rsidP="000A69BD">
            <w:pPr>
              <w:pStyle w:val="ECCTabletext"/>
              <w:jc w:val="left"/>
            </w:pPr>
            <w:r w:rsidRPr="00FE6A80">
              <w:t>In</w:t>
            </w:r>
            <w:r w:rsidRPr="00B30EE2">
              <w:t>-band</w:t>
            </w:r>
          </w:p>
        </w:tc>
        <w:tc>
          <w:tcPr>
            <w:tcW w:w="606" w:type="pct"/>
          </w:tcPr>
          <w:p w14:paraId="11217530" w14:textId="77777777" w:rsidR="00B30EE2" w:rsidRPr="00FE6A80" w:rsidRDefault="00B30EE2" w:rsidP="00B30EE2">
            <w:pPr>
              <w:pStyle w:val="ECCTabletext"/>
            </w:pPr>
          </w:p>
        </w:tc>
        <w:tc>
          <w:tcPr>
            <w:tcW w:w="606" w:type="pct"/>
          </w:tcPr>
          <w:p w14:paraId="4B995D4C" w14:textId="77777777" w:rsidR="00B30EE2" w:rsidRPr="00732023" w:rsidRDefault="00B30EE2" w:rsidP="00B30EE2">
            <w:pPr>
              <w:pStyle w:val="ECCTabletext"/>
            </w:pPr>
          </w:p>
        </w:tc>
        <w:tc>
          <w:tcPr>
            <w:tcW w:w="606" w:type="pct"/>
          </w:tcPr>
          <w:p w14:paraId="559D028D" w14:textId="77777777" w:rsidR="00B30EE2" w:rsidRPr="00B30EE2" w:rsidRDefault="00B30EE2" w:rsidP="000A69BD">
            <w:pPr>
              <w:pStyle w:val="ECCTabletext"/>
              <w:jc w:val="left"/>
            </w:pPr>
            <w:r>
              <w:t>In-</w:t>
            </w:r>
            <w:r w:rsidRPr="00B30EE2">
              <w:t>band</w:t>
            </w:r>
          </w:p>
        </w:tc>
        <w:tc>
          <w:tcPr>
            <w:tcW w:w="608" w:type="pct"/>
          </w:tcPr>
          <w:p w14:paraId="0377C22E" w14:textId="77777777" w:rsidR="00B30EE2" w:rsidRPr="00B30EE2" w:rsidRDefault="00B30EE2" w:rsidP="000A69BD">
            <w:pPr>
              <w:pStyle w:val="ECCTabletext"/>
              <w:jc w:val="left"/>
            </w:pPr>
            <w:r>
              <w:t>In-</w:t>
            </w:r>
            <w:r w:rsidRPr="00B30EE2">
              <w:t>band</w:t>
            </w:r>
          </w:p>
        </w:tc>
      </w:tr>
      <w:tr w:rsidR="00B30EE2" w14:paraId="1C03E588" w14:textId="77777777" w:rsidTr="0064788E">
        <w:tc>
          <w:tcPr>
            <w:tcW w:w="680" w:type="pct"/>
          </w:tcPr>
          <w:p w14:paraId="3890E94E" w14:textId="77777777" w:rsidR="00B30EE2" w:rsidRPr="00B30EE2" w:rsidRDefault="00B30EE2" w:rsidP="000A69BD">
            <w:pPr>
              <w:pStyle w:val="ECCTabletext"/>
              <w:jc w:val="left"/>
            </w:pPr>
            <w:r>
              <w:t>244</w:t>
            </w:r>
            <w:r w:rsidR="00CF4994">
              <w:t>.2</w:t>
            </w:r>
            <w:r w:rsidRPr="00B30EE2">
              <w:t xml:space="preserve"> to 247</w:t>
            </w:r>
            <w:r w:rsidR="00CF4994">
              <w:t>.2</w:t>
            </w:r>
          </w:p>
        </w:tc>
        <w:tc>
          <w:tcPr>
            <w:tcW w:w="606" w:type="pct"/>
          </w:tcPr>
          <w:p w14:paraId="2A531866" w14:textId="77777777" w:rsidR="00B30EE2" w:rsidRPr="00B30EE2" w:rsidRDefault="00B30EE2" w:rsidP="000A69BD">
            <w:pPr>
              <w:pStyle w:val="ECCTabletext"/>
              <w:jc w:val="left"/>
            </w:pPr>
            <w:r>
              <w:t>AI 1.14</w:t>
            </w:r>
          </w:p>
          <w:p w14:paraId="50DBCA55" w14:textId="77777777" w:rsidR="00B30EE2" w:rsidRPr="00B30EE2" w:rsidRDefault="00B30EE2" w:rsidP="000A69BD">
            <w:pPr>
              <w:pStyle w:val="ECCTabletext"/>
              <w:jc w:val="left"/>
            </w:pPr>
            <w:r>
              <w:t>(ICI-</w:t>
            </w:r>
            <w:r w:rsidRPr="00B30EE2">
              <w:t>4)</w:t>
            </w:r>
          </w:p>
          <w:p w14:paraId="1AEE1172" w14:textId="77777777" w:rsidR="00B30EE2" w:rsidRPr="00B30EE2" w:rsidRDefault="00B30EE2" w:rsidP="000A69BD">
            <w:pPr>
              <w:pStyle w:val="ECCTabletext"/>
              <w:jc w:val="left"/>
            </w:pPr>
            <w:r>
              <w:t>(No</w:t>
            </w:r>
            <w:r w:rsidRPr="00B30EE2">
              <w:t>te 1)</w:t>
            </w:r>
          </w:p>
        </w:tc>
        <w:tc>
          <w:tcPr>
            <w:tcW w:w="682" w:type="pct"/>
          </w:tcPr>
          <w:p w14:paraId="3A2011D7" w14:textId="77777777" w:rsidR="00B30EE2" w:rsidRPr="00E40105" w:rsidRDefault="00B30EE2" w:rsidP="00B30EE2">
            <w:pPr>
              <w:pStyle w:val="ECCTabletext"/>
            </w:pPr>
          </w:p>
        </w:tc>
        <w:tc>
          <w:tcPr>
            <w:tcW w:w="606" w:type="pct"/>
            <w:vAlign w:val="top"/>
          </w:tcPr>
          <w:p w14:paraId="7B592D42" w14:textId="77777777" w:rsidR="00B30EE2" w:rsidRPr="00B30EE2" w:rsidRDefault="00B30EE2" w:rsidP="000A69BD">
            <w:pPr>
              <w:pStyle w:val="ECCTabletext"/>
              <w:jc w:val="left"/>
            </w:pPr>
            <w:r w:rsidRPr="00E40105">
              <w:t>In</w:t>
            </w:r>
            <w:r w:rsidRPr="00B30EE2">
              <w:t>-band</w:t>
            </w:r>
          </w:p>
        </w:tc>
        <w:tc>
          <w:tcPr>
            <w:tcW w:w="606" w:type="pct"/>
          </w:tcPr>
          <w:p w14:paraId="272A3A1C" w14:textId="77777777" w:rsidR="00B30EE2" w:rsidRDefault="00B30EE2" w:rsidP="00B30EE2">
            <w:pPr>
              <w:pStyle w:val="ECCTabletext"/>
            </w:pPr>
          </w:p>
        </w:tc>
        <w:tc>
          <w:tcPr>
            <w:tcW w:w="606" w:type="pct"/>
          </w:tcPr>
          <w:p w14:paraId="1A0404D6" w14:textId="77777777" w:rsidR="00B30EE2" w:rsidRPr="00732023" w:rsidRDefault="00B30EE2" w:rsidP="00B30EE2">
            <w:pPr>
              <w:pStyle w:val="ECCTabletext"/>
            </w:pPr>
          </w:p>
        </w:tc>
        <w:tc>
          <w:tcPr>
            <w:tcW w:w="606" w:type="pct"/>
          </w:tcPr>
          <w:p w14:paraId="273A5638" w14:textId="77777777" w:rsidR="00B30EE2" w:rsidRPr="00B30EE2" w:rsidRDefault="00B30EE2" w:rsidP="000A69BD">
            <w:pPr>
              <w:pStyle w:val="ECCTabletext"/>
              <w:jc w:val="left"/>
            </w:pPr>
            <w:r>
              <w:t>In-band</w:t>
            </w:r>
          </w:p>
        </w:tc>
        <w:tc>
          <w:tcPr>
            <w:tcW w:w="608" w:type="pct"/>
          </w:tcPr>
          <w:p w14:paraId="040A58F8" w14:textId="77777777" w:rsidR="00B30EE2" w:rsidRPr="00B30EE2" w:rsidRDefault="00B30EE2" w:rsidP="000A69BD">
            <w:pPr>
              <w:pStyle w:val="ECCTabletext"/>
              <w:jc w:val="left"/>
            </w:pPr>
            <w:r>
              <w:t>In-</w:t>
            </w:r>
            <w:r w:rsidRPr="00B30EE2">
              <w:t>band</w:t>
            </w:r>
          </w:p>
        </w:tc>
      </w:tr>
      <w:tr w:rsidR="00B30EE2" w14:paraId="55736E3A" w14:textId="77777777" w:rsidTr="0064788E">
        <w:tc>
          <w:tcPr>
            <w:tcW w:w="680" w:type="pct"/>
          </w:tcPr>
          <w:p w14:paraId="5C89582A" w14:textId="77777777" w:rsidR="00B30EE2" w:rsidRPr="00B30EE2" w:rsidRDefault="00B30EE2" w:rsidP="000A69BD">
            <w:pPr>
              <w:pStyle w:val="ECCTabletext"/>
              <w:jc w:val="left"/>
            </w:pPr>
            <w:r>
              <w:t>250</w:t>
            </w:r>
            <w:r w:rsidRPr="00B30EE2">
              <w:t xml:space="preserve"> to 252</w:t>
            </w:r>
          </w:p>
        </w:tc>
        <w:tc>
          <w:tcPr>
            <w:tcW w:w="606" w:type="pct"/>
          </w:tcPr>
          <w:p w14:paraId="1C082138" w14:textId="77777777" w:rsidR="00B30EE2" w:rsidRPr="00B30EE2" w:rsidRDefault="00B30EE2" w:rsidP="000A69BD">
            <w:pPr>
              <w:pStyle w:val="ECCTabletext"/>
              <w:jc w:val="left"/>
            </w:pPr>
            <w:r>
              <w:t>P</w:t>
            </w:r>
            <w:r w:rsidRPr="00B30EE2">
              <w:t>assive</w:t>
            </w:r>
          </w:p>
        </w:tc>
        <w:tc>
          <w:tcPr>
            <w:tcW w:w="682" w:type="pct"/>
          </w:tcPr>
          <w:p w14:paraId="7EEF32A3" w14:textId="77777777" w:rsidR="00B30EE2" w:rsidRDefault="00B30EE2" w:rsidP="00B30EE2">
            <w:pPr>
              <w:pStyle w:val="ECCTabletext"/>
            </w:pPr>
          </w:p>
        </w:tc>
        <w:tc>
          <w:tcPr>
            <w:tcW w:w="606" w:type="pct"/>
          </w:tcPr>
          <w:p w14:paraId="39769A7D" w14:textId="77777777" w:rsidR="00B30EE2" w:rsidRPr="00B30EE2" w:rsidRDefault="00B30EE2" w:rsidP="000A69BD">
            <w:pPr>
              <w:pStyle w:val="ECCTabletext"/>
              <w:jc w:val="left"/>
            </w:pPr>
            <w:r>
              <w:t>Adjacent</w:t>
            </w:r>
          </w:p>
        </w:tc>
        <w:tc>
          <w:tcPr>
            <w:tcW w:w="606" w:type="pct"/>
          </w:tcPr>
          <w:p w14:paraId="1611903E" w14:textId="77777777" w:rsidR="00B30EE2" w:rsidRDefault="00B30EE2" w:rsidP="00B30EE2">
            <w:pPr>
              <w:pStyle w:val="ECCTabletext"/>
            </w:pPr>
          </w:p>
        </w:tc>
        <w:tc>
          <w:tcPr>
            <w:tcW w:w="606" w:type="pct"/>
          </w:tcPr>
          <w:p w14:paraId="3AD76467" w14:textId="77777777" w:rsidR="00B30EE2" w:rsidRPr="00FB3690" w:rsidRDefault="00B30EE2" w:rsidP="00B30EE2">
            <w:pPr>
              <w:pStyle w:val="ECCTabletext"/>
            </w:pPr>
          </w:p>
        </w:tc>
        <w:tc>
          <w:tcPr>
            <w:tcW w:w="606" w:type="pct"/>
          </w:tcPr>
          <w:p w14:paraId="7433A100" w14:textId="77777777" w:rsidR="00B30EE2" w:rsidRPr="00B30EE2" w:rsidRDefault="00B30EE2" w:rsidP="000A69BD">
            <w:pPr>
              <w:pStyle w:val="ECCTabletext"/>
              <w:jc w:val="left"/>
            </w:pPr>
            <w:r>
              <w:t>Adjacent</w:t>
            </w:r>
          </w:p>
        </w:tc>
        <w:tc>
          <w:tcPr>
            <w:tcW w:w="608" w:type="pct"/>
          </w:tcPr>
          <w:p w14:paraId="7BB4782E" w14:textId="77777777" w:rsidR="00B30EE2" w:rsidRPr="00B30EE2" w:rsidRDefault="00B30EE2" w:rsidP="000A69BD">
            <w:pPr>
              <w:pStyle w:val="ECCTabletext"/>
              <w:jc w:val="left"/>
            </w:pPr>
            <w:r>
              <w:t>In-</w:t>
            </w:r>
            <w:r w:rsidRPr="00B30EE2">
              <w:t>band</w:t>
            </w:r>
          </w:p>
        </w:tc>
      </w:tr>
      <w:tr w:rsidR="00243A68" w14:paraId="076A2FE8" w14:textId="77777777" w:rsidTr="0064788E">
        <w:tc>
          <w:tcPr>
            <w:tcW w:w="5000" w:type="pct"/>
            <w:gridSpan w:val="8"/>
          </w:tcPr>
          <w:p w14:paraId="4858881A" w14:textId="77777777" w:rsidR="00243A68" w:rsidRDefault="00243A68" w:rsidP="00464AE0">
            <w:pPr>
              <w:pStyle w:val="ECCTablenote"/>
            </w:pPr>
            <w:r>
              <w:t>Note 1: WRC-23 agenda item 1.14 "</w:t>
            </w:r>
            <w:r w:rsidRPr="00B30EE2">
              <w:t>to review and consider possible adjustments of the existing or possible new primary frequency allocations to EESS (passive) in the frequency range 231.5-252</w:t>
            </w:r>
            <w:r>
              <w:t> </w:t>
            </w:r>
            <w:r w:rsidRPr="00B30EE2">
              <w:t>GHz, to ensure alignment with more up-to-date remote-sensing observation requirements, in accordance with Resolution 662 (WRC-19</w:t>
            </w:r>
            <w:r>
              <w:t>)".</w:t>
            </w:r>
          </w:p>
        </w:tc>
      </w:tr>
    </w:tbl>
    <w:p w14:paraId="0FBC7E52" w14:textId="77777777" w:rsidR="00FB139F" w:rsidRDefault="00FB139F" w:rsidP="004E36C2">
      <w:pPr>
        <w:pStyle w:val="Heading4"/>
      </w:pPr>
      <w:bookmarkStart w:id="476" w:name="_Ref67315830"/>
      <w:bookmarkStart w:id="477" w:name="_Toc84325340"/>
      <w:r>
        <w:t>Protection criteria</w:t>
      </w:r>
      <w:bookmarkEnd w:id="476"/>
      <w:bookmarkEnd w:id="477"/>
    </w:p>
    <w:p w14:paraId="4D46DB9E" w14:textId="0D7FEB55" w:rsidR="00EB79D9" w:rsidRPr="006D6727" w:rsidRDefault="00EB79D9" w:rsidP="00EB79D9">
      <w:pPr>
        <w:rPr>
          <w:rStyle w:val="ECCParagraph"/>
          <w:noProof/>
        </w:rPr>
      </w:pPr>
      <w:r w:rsidRPr="006D6727">
        <w:rPr>
          <w:rStyle w:val="ECCParagraph"/>
          <w:noProof/>
        </w:rPr>
        <w:t xml:space="preserve">Information on the performance and interference criteria for satellite passive remote sensing of the Earth and its atmosphere for microwave passive sensors can be found in Recommendation ITU-R RS.2017-0 </w:t>
      </w:r>
      <w:r w:rsidRPr="006D6727">
        <w:rPr>
          <w:rStyle w:val="ECCParagraph"/>
          <w:noProof/>
        </w:rPr>
        <w:fldChar w:fldCharType="begin"/>
      </w:r>
      <w:r w:rsidRPr="006D6727">
        <w:rPr>
          <w:rStyle w:val="ECCParagraph"/>
          <w:noProof/>
        </w:rPr>
        <w:instrText xml:space="preserve"> REF  ITU_R_RS_2017_0 \h \w  \* MERGEFORMAT </w:instrText>
      </w:r>
      <w:r w:rsidRPr="006D6727">
        <w:rPr>
          <w:rStyle w:val="ECCParagraph"/>
          <w:noProof/>
        </w:rPr>
      </w:r>
      <w:r w:rsidRPr="006D6727">
        <w:rPr>
          <w:rStyle w:val="ECCParagraph"/>
          <w:noProof/>
        </w:rPr>
        <w:fldChar w:fldCharType="separate"/>
      </w:r>
      <w:r w:rsidR="004F49F9">
        <w:rPr>
          <w:rStyle w:val="ECCParagraph"/>
          <w:noProof/>
        </w:rPr>
        <w:t>[12]</w:t>
      </w:r>
      <w:r w:rsidRPr="006D6727">
        <w:rPr>
          <w:rStyle w:val="ECCParagraph"/>
          <w:noProof/>
        </w:rPr>
        <w:fldChar w:fldCharType="end"/>
      </w:r>
      <w:r w:rsidRPr="006D6727">
        <w:rPr>
          <w:rStyle w:val="ECCParagraph"/>
          <w:noProof/>
        </w:rPr>
        <w:t>. An extract from this Recommendation dealing with interference criteria for the frequency range from 86 to 285</w:t>
      </w:r>
      <w:r w:rsidR="00CF4994">
        <w:rPr>
          <w:rStyle w:val="ECCParagraph"/>
          <w:noProof/>
        </w:rPr>
        <w:t>.4</w:t>
      </w:r>
      <w:r w:rsidRPr="006D6727">
        <w:rPr>
          <w:rStyle w:val="ECCParagraph"/>
          <w:noProof/>
        </w:rPr>
        <w:t xml:space="preserve"> GHz is shown in </w:t>
      </w:r>
      <w:r w:rsidRPr="006D6727">
        <w:rPr>
          <w:rStyle w:val="ECCParagraph"/>
          <w:noProof/>
        </w:rPr>
        <w:fldChar w:fldCharType="begin"/>
      </w:r>
      <w:r w:rsidRPr="006D6727">
        <w:rPr>
          <w:rStyle w:val="ECCParagraph"/>
          <w:noProof/>
        </w:rPr>
        <w:instrText xml:space="preserve"> REF _Ref13646078 \h  \* MERGEFORMAT </w:instrText>
      </w:r>
      <w:r w:rsidRPr="006D6727">
        <w:rPr>
          <w:rStyle w:val="ECCParagraph"/>
          <w:noProof/>
        </w:rPr>
      </w:r>
      <w:r w:rsidRPr="006D6727">
        <w:rPr>
          <w:rStyle w:val="ECCParagraph"/>
          <w:noProof/>
        </w:rPr>
        <w:fldChar w:fldCharType="separate"/>
      </w:r>
      <w:r w:rsidR="0041125F" w:rsidRPr="0041125F">
        <w:rPr>
          <w:rStyle w:val="ECCParagraph"/>
          <w:noProof/>
        </w:rPr>
        <w:t>Table 47</w:t>
      </w:r>
      <w:r w:rsidRPr="006D6727">
        <w:rPr>
          <w:rStyle w:val="ECCParagraph"/>
          <w:noProof/>
        </w:rPr>
        <w:fldChar w:fldCharType="end"/>
      </w:r>
      <w:r w:rsidRPr="006D6727">
        <w:rPr>
          <w:rStyle w:val="ECCParagraph"/>
          <w:noProof/>
        </w:rPr>
        <w:t>.</w:t>
      </w:r>
    </w:p>
    <w:p w14:paraId="32640F58" w14:textId="0E58F1B0" w:rsidR="00EB79D9" w:rsidRPr="006D6727" w:rsidRDefault="00EB79D9" w:rsidP="00EB79D9">
      <w:pPr>
        <w:pStyle w:val="Caption"/>
        <w:rPr>
          <w:noProof/>
          <w:lang w:val="en-GB"/>
        </w:rPr>
      </w:pPr>
      <w:bookmarkStart w:id="478" w:name="_Ref13646078"/>
      <w:r w:rsidRPr="006D6727">
        <w:rPr>
          <w:noProof/>
          <w:lang w:val="en-GB"/>
        </w:rPr>
        <w:t>Table</w:t>
      </w:r>
      <w:r w:rsidR="00BB568E"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47</w:t>
      </w:r>
      <w:r w:rsidR="00616942" w:rsidRPr="006D6727">
        <w:rPr>
          <w:noProof/>
          <w:lang w:val="en-GB"/>
        </w:rPr>
        <w:fldChar w:fldCharType="end"/>
      </w:r>
      <w:bookmarkEnd w:id="478"/>
      <w:r w:rsidRPr="006D6727">
        <w:rPr>
          <w:noProof/>
          <w:lang w:val="en-GB"/>
        </w:rPr>
        <w:t>: Interference criteria for satellite passive remote sensing in the frequency range 86 to 285</w:t>
      </w:r>
      <w:r w:rsidR="00CF4994">
        <w:rPr>
          <w:noProof/>
          <w:lang w:val="en-GB"/>
        </w:rPr>
        <w:t>.4</w:t>
      </w:r>
      <w:r w:rsidRPr="006D6727">
        <w:rPr>
          <w:noProof/>
          <w:lang w:val="en-GB"/>
        </w:rPr>
        <w:t> GHz (extract from ITU-R RS.2017-0 Table 2)</w:t>
      </w:r>
    </w:p>
    <w:tbl>
      <w:tblPr>
        <w:tblStyle w:val="ECCTable-redheader"/>
        <w:tblW w:w="0" w:type="auto"/>
        <w:tblInd w:w="0" w:type="dxa"/>
        <w:tblLayout w:type="fixed"/>
        <w:tblLook w:val="04A0" w:firstRow="1" w:lastRow="0" w:firstColumn="1" w:lastColumn="0" w:noHBand="0" w:noVBand="1"/>
      </w:tblPr>
      <w:tblGrid>
        <w:gridCol w:w="1554"/>
        <w:gridCol w:w="1843"/>
        <w:gridCol w:w="1417"/>
        <w:gridCol w:w="2694"/>
        <w:gridCol w:w="1270"/>
      </w:tblGrid>
      <w:tr w:rsidR="00EB79D9" w:rsidRPr="006D6727" w14:paraId="48E0AE7C" w14:textId="77777777" w:rsidTr="002E3843">
        <w:trPr>
          <w:cnfStyle w:val="100000000000" w:firstRow="1" w:lastRow="0" w:firstColumn="0" w:lastColumn="0" w:oddVBand="0" w:evenVBand="0" w:oddHBand="0" w:evenHBand="0" w:firstRowFirstColumn="0" w:firstRowLastColumn="0" w:lastRowFirstColumn="0" w:lastRowLastColumn="0"/>
        </w:trPr>
        <w:tc>
          <w:tcPr>
            <w:tcW w:w="1554" w:type="dxa"/>
          </w:tcPr>
          <w:p w14:paraId="43AD7FBB" w14:textId="77777777" w:rsidR="00EB79D9" w:rsidRPr="006D6727" w:rsidRDefault="00EB79D9" w:rsidP="00EB79D9">
            <w:pPr>
              <w:rPr>
                <w:noProof/>
              </w:rPr>
            </w:pPr>
            <w:r w:rsidRPr="006D6727">
              <w:rPr>
                <w:noProof/>
              </w:rPr>
              <w:t>Frequency band(s)</w:t>
            </w:r>
          </w:p>
          <w:p w14:paraId="7209FDD3" w14:textId="77777777" w:rsidR="00EB79D9" w:rsidRPr="006D6727" w:rsidRDefault="00EB79D9" w:rsidP="00EB79D9">
            <w:pPr>
              <w:rPr>
                <w:noProof/>
              </w:rPr>
            </w:pPr>
            <w:r w:rsidRPr="006D6727">
              <w:rPr>
                <w:noProof/>
              </w:rPr>
              <w:t>(GHz)</w:t>
            </w:r>
          </w:p>
        </w:tc>
        <w:tc>
          <w:tcPr>
            <w:tcW w:w="1843" w:type="dxa"/>
          </w:tcPr>
          <w:p w14:paraId="045B8024" w14:textId="77777777" w:rsidR="00EB79D9" w:rsidRPr="006D6727" w:rsidRDefault="00EB79D9" w:rsidP="00EB79D9">
            <w:pPr>
              <w:rPr>
                <w:noProof/>
              </w:rPr>
            </w:pPr>
            <w:r w:rsidRPr="006D6727">
              <w:rPr>
                <w:noProof/>
              </w:rPr>
              <w:t>Reference bandwidth (MHz) (Note 3)</w:t>
            </w:r>
          </w:p>
        </w:tc>
        <w:tc>
          <w:tcPr>
            <w:tcW w:w="1417" w:type="dxa"/>
          </w:tcPr>
          <w:p w14:paraId="454F9B8D" w14:textId="77777777" w:rsidR="00EB79D9" w:rsidRPr="006D6727" w:rsidRDefault="00EB79D9" w:rsidP="00EB79D9">
            <w:pPr>
              <w:rPr>
                <w:noProof/>
              </w:rPr>
            </w:pPr>
            <w:r w:rsidRPr="006D6727">
              <w:rPr>
                <w:noProof/>
              </w:rPr>
              <w:t>Maximum interference level (dBW) (Note 3)</w:t>
            </w:r>
          </w:p>
        </w:tc>
        <w:tc>
          <w:tcPr>
            <w:tcW w:w="2694" w:type="dxa"/>
          </w:tcPr>
          <w:p w14:paraId="1A0F4C16" w14:textId="77777777" w:rsidR="00EB79D9" w:rsidRPr="006D6727" w:rsidRDefault="00EB79D9" w:rsidP="00EB79D9">
            <w:pPr>
              <w:rPr>
                <w:noProof/>
              </w:rPr>
            </w:pPr>
            <w:r w:rsidRPr="006D6727">
              <w:rPr>
                <w:noProof/>
              </w:rPr>
              <w:t>Percentage of area or time permissible interference level may be exceeded (%) (Note 1)</w:t>
            </w:r>
          </w:p>
        </w:tc>
        <w:tc>
          <w:tcPr>
            <w:tcW w:w="1270" w:type="dxa"/>
          </w:tcPr>
          <w:p w14:paraId="57E6B5FE" w14:textId="77777777" w:rsidR="00EB79D9" w:rsidRPr="006D6727" w:rsidRDefault="00EB79D9" w:rsidP="00EB79D9">
            <w:pPr>
              <w:rPr>
                <w:noProof/>
              </w:rPr>
            </w:pPr>
            <w:r w:rsidRPr="006D6727">
              <w:rPr>
                <w:noProof/>
              </w:rPr>
              <w:t>Scan mode (Note 2)</w:t>
            </w:r>
          </w:p>
        </w:tc>
      </w:tr>
      <w:tr w:rsidR="00EB79D9" w:rsidRPr="006D6727" w14:paraId="001AB570" w14:textId="77777777" w:rsidTr="002E3843">
        <w:tc>
          <w:tcPr>
            <w:tcW w:w="1554" w:type="dxa"/>
          </w:tcPr>
          <w:p w14:paraId="6E92A363" w14:textId="77777777" w:rsidR="00EB79D9" w:rsidRPr="006D6727" w:rsidRDefault="00EB79D9" w:rsidP="00EB79D9">
            <w:pPr>
              <w:rPr>
                <w:noProof/>
              </w:rPr>
            </w:pPr>
            <w:r w:rsidRPr="006D6727">
              <w:rPr>
                <w:noProof/>
              </w:rPr>
              <w:t>86-92</w:t>
            </w:r>
          </w:p>
        </w:tc>
        <w:tc>
          <w:tcPr>
            <w:tcW w:w="1843" w:type="dxa"/>
          </w:tcPr>
          <w:p w14:paraId="0A92ECBA" w14:textId="77777777" w:rsidR="00EB79D9" w:rsidRPr="006D6727" w:rsidRDefault="00EB79D9" w:rsidP="00EB79D9">
            <w:pPr>
              <w:rPr>
                <w:noProof/>
              </w:rPr>
            </w:pPr>
            <w:r w:rsidRPr="006D6727">
              <w:rPr>
                <w:noProof/>
              </w:rPr>
              <w:t>100</w:t>
            </w:r>
          </w:p>
        </w:tc>
        <w:tc>
          <w:tcPr>
            <w:tcW w:w="1417" w:type="dxa"/>
          </w:tcPr>
          <w:p w14:paraId="41905471" w14:textId="77777777" w:rsidR="00EB79D9" w:rsidRPr="006D6727" w:rsidRDefault="00EB79D9" w:rsidP="00EB79D9">
            <w:pPr>
              <w:rPr>
                <w:noProof/>
              </w:rPr>
            </w:pPr>
            <w:r w:rsidRPr="006D6727">
              <w:rPr>
                <w:noProof/>
              </w:rPr>
              <w:t>-169</w:t>
            </w:r>
          </w:p>
        </w:tc>
        <w:tc>
          <w:tcPr>
            <w:tcW w:w="2694" w:type="dxa"/>
          </w:tcPr>
          <w:p w14:paraId="590447B8" w14:textId="77777777" w:rsidR="00EB79D9" w:rsidRPr="006D6727" w:rsidRDefault="00EB79D9" w:rsidP="00EB79D9">
            <w:pPr>
              <w:rPr>
                <w:noProof/>
              </w:rPr>
            </w:pPr>
            <w:r w:rsidRPr="006D6727">
              <w:rPr>
                <w:noProof/>
              </w:rPr>
              <w:t>0</w:t>
            </w:r>
            <w:r w:rsidR="00CF4994">
              <w:rPr>
                <w:noProof/>
              </w:rPr>
              <w:t>.0</w:t>
            </w:r>
            <w:r w:rsidRPr="006D6727">
              <w:rPr>
                <w:noProof/>
              </w:rPr>
              <w:t>1</w:t>
            </w:r>
          </w:p>
        </w:tc>
        <w:tc>
          <w:tcPr>
            <w:tcW w:w="1270" w:type="dxa"/>
          </w:tcPr>
          <w:p w14:paraId="1440416D" w14:textId="77777777" w:rsidR="00EB79D9" w:rsidRPr="006D6727" w:rsidRDefault="00EB79D9" w:rsidP="00EB79D9">
            <w:pPr>
              <w:rPr>
                <w:noProof/>
              </w:rPr>
            </w:pPr>
            <w:r w:rsidRPr="006D6727">
              <w:rPr>
                <w:noProof/>
              </w:rPr>
              <w:t>N, C</w:t>
            </w:r>
          </w:p>
        </w:tc>
      </w:tr>
      <w:tr w:rsidR="00EB79D9" w:rsidRPr="006D6727" w14:paraId="4A15B6B2" w14:textId="77777777" w:rsidTr="002E3843">
        <w:tc>
          <w:tcPr>
            <w:tcW w:w="1554" w:type="dxa"/>
          </w:tcPr>
          <w:p w14:paraId="1BAF3E11" w14:textId="77777777" w:rsidR="00EB79D9" w:rsidRPr="006D6727" w:rsidRDefault="00EB79D9" w:rsidP="00EB79D9">
            <w:pPr>
              <w:rPr>
                <w:noProof/>
              </w:rPr>
            </w:pPr>
            <w:r w:rsidRPr="006D6727">
              <w:rPr>
                <w:noProof/>
              </w:rPr>
              <w:t>100-102</w:t>
            </w:r>
          </w:p>
        </w:tc>
        <w:tc>
          <w:tcPr>
            <w:tcW w:w="1843" w:type="dxa"/>
          </w:tcPr>
          <w:p w14:paraId="2CECC461" w14:textId="77777777" w:rsidR="00EB79D9" w:rsidRPr="006D6727" w:rsidRDefault="00EB79D9" w:rsidP="00EB79D9">
            <w:pPr>
              <w:rPr>
                <w:noProof/>
              </w:rPr>
            </w:pPr>
            <w:r w:rsidRPr="006D6727">
              <w:rPr>
                <w:noProof/>
              </w:rPr>
              <w:t>10</w:t>
            </w:r>
          </w:p>
        </w:tc>
        <w:tc>
          <w:tcPr>
            <w:tcW w:w="1417" w:type="dxa"/>
          </w:tcPr>
          <w:p w14:paraId="123699ED" w14:textId="77777777" w:rsidR="00EB79D9" w:rsidRPr="006D6727" w:rsidRDefault="00EB79D9" w:rsidP="00EB79D9">
            <w:pPr>
              <w:rPr>
                <w:noProof/>
              </w:rPr>
            </w:pPr>
            <w:r w:rsidRPr="006D6727">
              <w:rPr>
                <w:noProof/>
              </w:rPr>
              <w:t>-189</w:t>
            </w:r>
          </w:p>
        </w:tc>
        <w:tc>
          <w:tcPr>
            <w:tcW w:w="2694" w:type="dxa"/>
          </w:tcPr>
          <w:p w14:paraId="53BBE706" w14:textId="77777777" w:rsidR="00EB79D9" w:rsidRPr="006D6727" w:rsidRDefault="00EB79D9" w:rsidP="00EB79D9">
            <w:pPr>
              <w:rPr>
                <w:noProof/>
              </w:rPr>
            </w:pPr>
            <w:r w:rsidRPr="006D6727">
              <w:rPr>
                <w:noProof/>
              </w:rPr>
              <w:t>1</w:t>
            </w:r>
          </w:p>
        </w:tc>
        <w:tc>
          <w:tcPr>
            <w:tcW w:w="1270" w:type="dxa"/>
          </w:tcPr>
          <w:p w14:paraId="6A9AA76B" w14:textId="77777777" w:rsidR="00EB79D9" w:rsidRPr="006D6727" w:rsidRDefault="00EB79D9" w:rsidP="00EB79D9">
            <w:pPr>
              <w:rPr>
                <w:noProof/>
              </w:rPr>
            </w:pPr>
            <w:r w:rsidRPr="006D6727">
              <w:rPr>
                <w:noProof/>
              </w:rPr>
              <w:t>L</w:t>
            </w:r>
          </w:p>
        </w:tc>
      </w:tr>
      <w:tr w:rsidR="00EB79D9" w:rsidRPr="006D6727" w14:paraId="0FF661E1" w14:textId="77777777" w:rsidTr="002E3843">
        <w:tc>
          <w:tcPr>
            <w:tcW w:w="1554" w:type="dxa"/>
          </w:tcPr>
          <w:p w14:paraId="3E0EAA0C" w14:textId="77777777" w:rsidR="00EB79D9" w:rsidRPr="006D6727" w:rsidRDefault="00EB79D9" w:rsidP="00EB79D9">
            <w:pPr>
              <w:rPr>
                <w:noProof/>
              </w:rPr>
            </w:pPr>
            <w:r w:rsidRPr="006D6727">
              <w:rPr>
                <w:noProof/>
              </w:rPr>
              <w:t>109</w:t>
            </w:r>
            <w:r w:rsidR="00CF4994">
              <w:rPr>
                <w:noProof/>
              </w:rPr>
              <w:t>.5</w:t>
            </w:r>
            <w:r w:rsidRPr="006D6727">
              <w:rPr>
                <w:noProof/>
              </w:rPr>
              <w:t>-111</w:t>
            </w:r>
            <w:r w:rsidR="00CF4994">
              <w:rPr>
                <w:noProof/>
              </w:rPr>
              <w:t>.8</w:t>
            </w:r>
          </w:p>
        </w:tc>
        <w:tc>
          <w:tcPr>
            <w:tcW w:w="1843" w:type="dxa"/>
          </w:tcPr>
          <w:p w14:paraId="539E70F7" w14:textId="77777777" w:rsidR="00EB79D9" w:rsidRPr="006D6727" w:rsidRDefault="00EB79D9" w:rsidP="00EB79D9">
            <w:pPr>
              <w:rPr>
                <w:noProof/>
              </w:rPr>
            </w:pPr>
            <w:r w:rsidRPr="006D6727">
              <w:rPr>
                <w:noProof/>
              </w:rPr>
              <w:t>10</w:t>
            </w:r>
          </w:p>
        </w:tc>
        <w:tc>
          <w:tcPr>
            <w:tcW w:w="1417" w:type="dxa"/>
          </w:tcPr>
          <w:p w14:paraId="00608F12" w14:textId="77777777" w:rsidR="00EB79D9" w:rsidRPr="006D6727" w:rsidRDefault="00EB79D9" w:rsidP="00EB79D9">
            <w:pPr>
              <w:rPr>
                <w:noProof/>
              </w:rPr>
            </w:pPr>
            <w:r w:rsidRPr="006D6727">
              <w:rPr>
                <w:noProof/>
              </w:rPr>
              <w:t>-189</w:t>
            </w:r>
          </w:p>
        </w:tc>
        <w:tc>
          <w:tcPr>
            <w:tcW w:w="2694" w:type="dxa"/>
          </w:tcPr>
          <w:p w14:paraId="135D6921" w14:textId="77777777" w:rsidR="00EB79D9" w:rsidRPr="006D6727" w:rsidRDefault="00EB79D9" w:rsidP="00EB79D9">
            <w:pPr>
              <w:rPr>
                <w:noProof/>
              </w:rPr>
            </w:pPr>
            <w:r w:rsidRPr="006D6727">
              <w:rPr>
                <w:noProof/>
              </w:rPr>
              <w:t>1</w:t>
            </w:r>
          </w:p>
        </w:tc>
        <w:tc>
          <w:tcPr>
            <w:tcW w:w="1270" w:type="dxa"/>
          </w:tcPr>
          <w:p w14:paraId="0196C453" w14:textId="77777777" w:rsidR="00EB79D9" w:rsidRPr="006D6727" w:rsidRDefault="00EB79D9" w:rsidP="00EB79D9">
            <w:pPr>
              <w:rPr>
                <w:noProof/>
              </w:rPr>
            </w:pPr>
            <w:r w:rsidRPr="006D6727">
              <w:rPr>
                <w:noProof/>
              </w:rPr>
              <w:t>L</w:t>
            </w:r>
          </w:p>
        </w:tc>
      </w:tr>
      <w:tr w:rsidR="00EB79D9" w:rsidRPr="006D6727" w14:paraId="5345BB96" w14:textId="77777777" w:rsidTr="002E3843">
        <w:tc>
          <w:tcPr>
            <w:tcW w:w="1554" w:type="dxa"/>
          </w:tcPr>
          <w:p w14:paraId="7A15A379" w14:textId="77777777" w:rsidR="00EB79D9" w:rsidRPr="006D6727" w:rsidRDefault="00EB79D9" w:rsidP="00EB79D9">
            <w:pPr>
              <w:rPr>
                <w:noProof/>
              </w:rPr>
            </w:pPr>
            <w:r w:rsidRPr="006D6727">
              <w:rPr>
                <w:noProof/>
              </w:rPr>
              <w:t>114</w:t>
            </w:r>
            <w:r w:rsidR="00CF4994">
              <w:rPr>
                <w:noProof/>
              </w:rPr>
              <w:t>.2</w:t>
            </w:r>
            <w:r w:rsidRPr="006D6727">
              <w:rPr>
                <w:noProof/>
              </w:rPr>
              <w:t>5-116</w:t>
            </w:r>
          </w:p>
        </w:tc>
        <w:tc>
          <w:tcPr>
            <w:tcW w:w="1843" w:type="dxa"/>
          </w:tcPr>
          <w:p w14:paraId="2B2D5356" w14:textId="77777777" w:rsidR="00EB79D9" w:rsidRPr="006D6727" w:rsidRDefault="00EB79D9" w:rsidP="00EB79D9">
            <w:pPr>
              <w:rPr>
                <w:noProof/>
              </w:rPr>
            </w:pPr>
            <w:r w:rsidRPr="006D6727">
              <w:rPr>
                <w:noProof/>
              </w:rPr>
              <w:t>10</w:t>
            </w:r>
          </w:p>
        </w:tc>
        <w:tc>
          <w:tcPr>
            <w:tcW w:w="1417" w:type="dxa"/>
          </w:tcPr>
          <w:p w14:paraId="04E2CDC2" w14:textId="77777777" w:rsidR="00EB79D9" w:rsidRPr="006D6727" w:rsidRDefault="00EB79D9" w:rsidP="00EB79D9">
            <w:pPr>
              <w:rPr>
                <w:noProof/>
              </w:rPr>
            </w:pPr>
            <w:r w:rsidRPr="006D6727">
              <w:rPr>
                <w:noProof/>
              </w:rPr>
              <w:t>-189</w:t>
            </w:r>
          </w:p>
        </w:tc>
        <w:tc>
          <w:tcPr>
            <w:tcW w:w="2694" w:type="dxa"/>
          </w:tcPr>
          <w:p w14:paraId="0BFC31D8" w14:textId="77777777" w:rsidR="00EB79D9" w:rsidRPr="006D6727" w:rsidRDefault="00EB79D9" w:rsidP="00EB79D9">
            <w:pPr>
              <w:rPr>
                <w:noProof/>
              </w:rPr>
            </w:pPr>
            <w:r w:rsidRPr="006D6727">
              <w:rPr>
                <w:noProof/>
              </w:rPr>
              <w:t>1</w:t>
            </w:r>
          </w:p>
        </w:tc>
        <w:tc>
          <w:tcPr>
            <w:tcW w:w="1270" w:type="dxa"/>
          </w:tcPr>
          <w:p w14:paraId="6510DEF1" w14:textId="77777777" w:rsidR="00EB79D9" w:rsidRPr="006D6727" w:rsidRDefault="00EB79D9" w:rsidP="00EB79D9">
            <w:pPr>
              <w:rPr>
                <w:noProof/>
              </w:rPr>
            </w:pPr>
            <w:r w:rsidRPr="006D6727">
              <w:rPr>
                <w:noProof/>
              </w:rPr>
              <w:t>L</w:t>
            </w:r>
          </w:p>
        </w:tc>
      </w:tr>
      <w:tr w:rsidR="00EB79D9" w:rsidRPr="006D6727" w14:paraId="1424E500" w14:textId="77777777" w:rsidTr="002E3843">
        <w:tc>
          <w:tcPr>
            <w:tcW w:w="1554" w:type="dxa"/>
          </w:tcPr>
          <w:p w14:paraId="353A42E2" w14:textId="77777777" w:rsidR="00EB79D9" w:rsidRPr="006D6727" w:rsidRDefault="00EB79D9" w:rsidP="00EB79D9">
            <w:pPr>
              <w:rPr>
                <w:noProof/>
              </w:rPr>
            </w:pPr>
            <w:r w:rsidRPr="006D6727">
              <w:rPr>
                <w:noProof/>
              </w:rPr>
              <w:t>115</w:t>
            </w:r>
            <w:r w:rsidR="00CF4994">
              <w:rPr>
                <w:noProof/>
              </w:rPr>
              <w:t>.2</w:t>
            </w:r>
            <w:r w:rsidRPr="006D6727">
              <w:rPr>
                <w:noProof/>
              </w:rPr>
              <w:t>5-122</w:t>
            </w:r>
            <w:r w:rsidR="00CF4994">
              <w:rPr>
                <w:noProof/>
              </w:rPr>
              <w:t>.2</w:t>
            </w:r>
            <w:r w:rsidRPr="006D6727">
              <w:rPr>
                <w:noProof/>
              </w:rPr>
              <w:t>5</w:t>
            </w:r>
          </w:p>
        </w:tc>
        <w:tc>
          <w:tcPr>
            <w:tcW w:w="1843" w:type="dxa"/>
          </w:tcPr>
          <w:p w14:paraId="1724A654" w14:textId="77777777" w:rsidR="00EB79D9" w:rsidRPr="006D6727" w:rsidRDefault="00EB79D9" w:rsidP="00EB79D9">
            <w:pPr>
              <w:rPr>
                <w:noProof/>
              </w:rPr>
            </w:pPr>
            <w:r w:rsidRPr="006D6727">
              <w:rPr>
                <w:noProof/>
              </w:rPr>
              <w:t>200/10</w:t>
            </w:r>
          </w:p>
        </w:tc>
        <w:tc>
          <w:tcPr>
            <w:tcW w:w="1417" w:type="dxa"/>
          </w:tcPr>
          <w:p w14:paraId="740DB044" w14:textId="77777777" w:rsidR="00EB79D9" w:rsidRPr="006D6727" w:rsidRDefault="00EB79D9" w:rsidP="00EB79D9">
            <w:pPr>
              <w:rPr>
                <w:noProof/>
              </w:rPr>
            </w:pPr>
            <w:r w:rsidRPr="006D6727">
              <w:rPr>
                <w:noProof/>
              </w:rPr>
              <w:t>-166/-189</w:t>
            </w:r>
          </w:p>
        </w:tc>
        <w:tc>
          <w:tcPr>
            <w:tcW w:w="2694" w:type="dxa"/>
          </w:tcPr>
          <w:p w14:paraId="4C30130B"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6B576E07" w14:textId="77777777" w:rsidR="00EB79D9" w:rsidRPr="006D6727" w:rsidRDefault="00EB79D9" w:rsidP="00EB79D9">
            <w:pPr>
              <w:rPr>
                <w:noProof/>
              </w:rPr>
            </w:pPr>
            <w:r w:rsidRPr="006D6727">
              <w:rPr>
                <w:noProof/>
              </w:rPr>
              <w:t>N, L</w:t>
            </w:r>
          </w:p>
        </w:tc>
      </w:tr>
      <w:tr w:rsidR="00EB79D9" w:rsidRPr="006D6727" w14:paraId="08850565" w14:textId="77777777" w:rsidTr="002E3843">
        <w:tc>
          <w:tcPr>
            <w:tcW w:w="1554" w:type="dxa"/>
          </w:tcPr>
          <w:p w14:paraId="6671FE8C" w14:textId="77777777" w:rsidR="00EB79D9" w:rsidRPr="006D6727" w:rsidRDefault="00EB79D9" w:rsidP="00EB79D9">
            <w:pPr>
              <w:rPr>
                <w:noProof/>
              </w:rPr>
            </w:pPr>
            <w:r w:rsidRPr="006D6727">
              <w:rPr>
                <w:noProof/>
              </w:rPr>
              <w:t>148</w:t>
            </w:r>
            <w:r w:rsidR="00CF4994">
              <w:rPr>
                <w:noProof/>
              </w:rPr>
              <w:t>.5</w:t>
            </w:r>
            <w:r w:rsidRPr="006D6727">
              <w:rPr>
                <w:noProof/>
              </w:rPr>
              <w:t>-151</w:t>
            </w:r>
            <w:r w:rsidR="00CF4994">
              <w:rPr>
                <w:noProof/>
              </w:rPr>
              <w:t>.5</w:t>
            </w:r>
          </w:p>
        </w:tc>
        <w:tc>
          <w:tcPr>
            <w:tcW w:w="1843" w:type="dxa"/>
          </w:tcPr>
          <w:p w14:paraId="3E3F40FD" w14:textId="77777777" w:rsidR="00EB79D9" w:rsidRPr="006D6727" w:rsidRDefault="00EB79D9" w:rsidP="00EB79D9">
            <w:pPr>
              <w:rPr>
                <w:noProof/>
              </w:rPr>
            </w:pPr>
            <w:r w:rsidRPr="006D6727">
              <w:rPr>
                <w:noProof/>
              </w:rPr>
              <w:t>500/10</w:t>
            </w:r>
          </w:p>
        </w:tc>
        <w:tc>
          <w:tcPr>
            <w:tcW w:w="1417" w:type="dxa"/>
          </w:tcPr>
          <w:p w14:paraId="1BACF49E" w14:textId="77777777" w:rsidR="00EB79D9" w:rsidRPr="006D6727" w:rsidRDefault="00EB79D9" w:rsidP="00EB79D9">
            <w:pPr>
              <w:rPr>
                <w:noProof/>
              </w:rPr>
            </w:pPr>
            <w:r w:rsidRPr="006D6727">
              <w:rPr>
                <w:noProof/>
              </w:rPr>
              <w:t>-159/-189</w:t>
            </w:r>
          </w:p>
        </w:tc>
        <w:tc>
          <w:tcPr>
            <w:tcW w:w="2694" w:type="dxa"/>
          </w:tcPr>
          <w:p w14:paraId="5531088B"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5521B0B5" w14:textId="77777777" w:rsidR="00EB79D9" w:rsidRPr="006D6727" w:rsidRDefault="00EB79D9" w:rsidP="00EB79D9">
            <w:pPr>
              <w:rPr>
                <w:noProof/>
              </w:rPr>
            </w:pPr>
            <w:r w:rsidRPr="006D6727">
              <w:rPr>
                <w:noProof/>
              </w:rPr>
              <w:t>N, L</w:t>
            </w:r>
          </w:p>
        </w:tc>
      </w:tr>
      <w:tr w:rsidR="00EB79D9" w:rsidRPr="006D6727" w14:paraId="59A3D164" w14:textId="77777777" w:rsidTr="002E3843">
        <w:tc>
          <w:tcPr>
            <w:tcW w:w="1554" w:type="dxa"/>
          </w:tcPr>
          <w:p w14:paraId="722CADE8" w14:textId="77777777" w:rsidR="00EB79D9" w:rsidRPr="006D6727" w:rsidRDefault="00EB79D9" w:rsidP="00EB79D9">
            <w:pPr>
              <w:rPr>
                <w:noProof/>
              </w:rPr>
            </w:pPr>
            <w:r w:rsidRPr="006D6727">
              <w:rPr>
                <w:noProof/>
              </w:rPr>
              <w:t>155</w:t>
            </w:r>
            <w:r w:rsidR="00CF4994">
              <w:rPr>
                <w:noProof/>
              </w:rPr>
              <w:t>.5</w:t>
            </w:r>
            <w:r w:rsidRPr="006D6727">
              <w:rPr>
                <w:noProof/>
              </w:rPr>
              <w:t>-158</w:t>
            </w:r>
            <w:r w:rsidR="00CF4994">
              <w:rPr>
                <w:noProof/>
              </w:rPr>
              <w:t>.5</w:t>
            </w:r>
            <w:r w:rsidRPr="006D6727">
              <w:rPr>
                <w:noProof/>
              </w:rPr>
              <w:t xml:space="preserve"> (Note 4)</w:t>
            </w:r>
          </w:p>
        </w:tc>
        <w:tc>
          <w:tcPr>
            <w:tcW w:w="1843" w:type="dxa"/>
          </w:tcPr>
          <w:p w14:paraId="3718A2A8" w14:textId="77777777" w:rsidR="00EB79D9" w:rsidRPr="006D6727" w:rsidRDefault="00EB79D9" w:rsidP="00EB79D9">
            <w:pPr>
              <w:rPr>
                <w:noProof/>
              </w:rPr>
            </w:pPr>
            <w:r w:rsidRPr="006D6727">
              <w:rPr>
                <w:noProof/>
              </w:rPr>
              <w:t>200</w:t>
            </w:r>
          </w:p>
        </w:tc>
        <w:tc>
          <w:tcPr>
            <w:tcW w:w="1417" w:type="dxa"/>
          </w:tcPr>
          <w:p w14:paraId="4724C6CC" w14:textId="77777777" w:rsidR="00EB79D9" w:rsidRPr="006D6727" w:rsidRDefault="00EB79D9" w:rsidP="00EB79D9">
            <w:pPr>
              <w:rPr>
                <w:noProof/>
              </w:rPr>
            </w:pPr>
            <w:r w:rsidRPr="006D6727">
              <w:rPr>
                <w:noProof/>
              </w:rPr>
              <w:t>-163</w:t>
            </w:r>
          </w:p>
        </w:tc>
        <w:tc>
          <w:tcPr>
            <w:tcW w:w="2694" w:type="dxa"/>
          </w:tcPr>
          <w:p w14:paraId="68EB49B0" w14:textId="77777777" w:rsidR="00EB79D9" w:rsidRPr="006D6727" w:rsidRDefault="00EB79D9" w:rsidP="00EB79D9">
            <w:pPr>
              <w:rPr>
                <w:noProof/>
              </w:rPr>
            </w:pPr>
            <w:r w:rsidRPr="006D6727">
              <w:rPr>
                <w:noProof/>
              </w:rPr>
              <w:t>0</w:t>
            </w:r>
            <w:r w:rsidR="00CF4994">
              <w:rPr>
                <w:noProof/>
              </w:rPr>
              <w:t>.0</w:t>
            </w:r>
            <w:r w:rsidRPr="006D6727">
              <w:rPr>
                <w:noProof/>
              </w:rPr>
              <w:t>1</w:t>
            </w:r>
          </w:p>
        </w:tc>
        <w:tc>
          <w:tcPr>
            <w:tcW w:w="1270" w:type="dxa"/>
          </w:tcPr>
          <w:p w14:paraId="2576CD04" w14:textId="77777777" w:rsidR="00EB79D9" w:rsidRPr="006D6727" w:rsidRDefault="00EB79D9" w:rsidP="00EB79D9">
            <w:pPr>
              <w:rPr>
                <w:noProof/>
              </w:rPr>
            </w:pPr>
            <w:r w:rsidRPr="006D6727">
              <w:rPr>
                <w:noProof/>
              </w:rPr>
              <w:t>N, C</w:t>
            </w:r>
          </w:p>
        </w:tc>
      </w:tr>
      <w:tr w:rsidR="00EB79D9" w:rsidRPr="006D6727" w14:paraId="10483487" w14:textId="77777777" w:rsidTr="002E3843">
        <w:tc>
          <w:tcPr>
            <w:tcW w:w="1554" w:type="dxa"/>
          </w:tcPr>
          <w:p w14:paraId="7CA4D958" w14:textId="77777777" w:rsidR="00EB79D9" w:rsidRPr="006D6727" w:rsidRDefault="00EB79D9" w:rsidP="00EB79D9">
            <w:pPr>
              <w:rPr>
                <w:noProof/>
              </w:rPr>
            </w:pPr>
            <w:r w:rsidRPr="006D6727">
              <w:rPr>
                <w:noProof/>
              </w:rPr>
              <w:t>164-167</w:t>
            </w:r>
          </w:p>
        </w:tc>
        <w:tc>
          <w:tcPr>
            <w:tcW w:w="1843" w:type="dxa"/>
          </w:tcPr>
          <w:p w14:paraId="5B32F403" w14:textId="77777777" w:rsidR="00EB79D9" w:rsidRPr="006D6727" w:rsidRDefault="00EB79D9" w:rsidP="00EB79D9">
            <w:pPr>
              <w:rPr>
                <w:noProof/>
              </w:rPr>
            </w:pPr>
            <w:r w:rsidRPr="006D6727">
              <w:rPr>
                <w:noProof/>
              </w:rPr>
              <w:t>200/10</w:t>
            </w:r>
          </w:p>
        </w:tc>
        <w:tc>
          <w:tcPr>
            <w:tcW w:w="1417" w:type="dxa"/>
          </w:tcPr>
          <w:p w14:paraId="4CC7F86C" w14:textId="77777777" w:rsidR="00EB79D9" w:rsidRPr="006D6727" w:rsidRDefault="00EB79D9" w:rsidP="00EB79D9">
            <w:pPr>
              <w:rPr>
                <w:noProof/>
              </w:rPr>
            </w:pPr>
            <w:r w:rsidRPr="006D6727">
              <w:rPr>
                <w:noProof/>
              </w:rPr>
              <w:t>-163/-189</w:t>
            </w:r>
          </w:p>
        </w:tc>
        <w:tc>
          <w:tcPr>
            <w:tcW w:w="2694" w:type="dxa"/>
          </w:tcPr>
          <w:p w14:paraId="2E921F34"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36C3CACF" w14:textId="77777777" w:rsidR="00EB79D9" w:rsidRPr="006D6727" w:rsidRDefault="00EB79D9" w:rsidP="00EB79D9">
            <w:pPr>
              <w:rPr>
                <w:noProof/>
              </w:rPr>
            </w:pPr>
            <w:r w:rsidRPr="006D6727">
              <w:rPr>
                <w:noProof/>
              </w:rPr>
              <w:t>N, C, L</w:t>
            </w:r>
          </w:p>
        </w:tc>
      </w:tr>
      <w:tr w:rsidR="00EB79D9" w:rsidRPr="006D6727" w14:paraId="6F62286D" w14:textId="77777777" w:rsidTr="002E3843">
        <w:tc>
          <w:tcPr>
            <w:tcW w:w="1554" w:type="dxa"/>
          </w:tcPr>
          <w:p w14:paraId="3D13E3E7" w14:textId="77777777" w:rsidR="00EB79D9" w:rsidRPr="006D6727" w:rsidRDefault="00EB79D9" w:rsidP="00EB79D9">
            <w:pPr>
              <w:rPr>
                <w:noProof/>
              </w:rPr>
            </w:pPr>
            <w:r w:rsidRPr="006D6727">
              <w:rPr>
                <w:noProof/>
              </w:rPr>
              <w:t>174</w:t>
            </w:r>
            <w:r w:rsidR="00CF4994">
              <w:rPr>
                <w:noProof/>
              </w:rPr>
              <w:t>.8</w:t>
            </w:r>
            <w:r w:rsidRPr="006D6727">
              <w:rPr>
                <w:noProof/>
              </w:rPr>
              <w:t>-191</w:t>
            </w:r>
            <w:r w:rsidR="00CF4994">
              <w:rPr>
                <w:noProof/>
              </w:rPr>
              <w:t>.8</w:t>
            </w:r>
          </w:p>
        </w:tc>
        <w:tc>
          <w:tcPr>
            <w:tcW w:w="1843" w:type="dxa"/>
          </w:tcPr>
          <w:p w14:paraId="3F1AEBFC" w14:textId="77777777" w:rsidR="00EB79D9" w:rsidRPr="006D6727" w:rsidRDefault="00EB79D9" w:rsidP="00EB79D9">
            <w:pPr>
              <w:rPr>
                <w:noProof/>
              </w:rPr>
            </w:pPr>
            <w:r w:rsidRPr="006D6727">
              <w:rPr>
                <w:noProof/>
              </w:rPr>
              <w:t>200/10</w:t>
            </w:r>
          </w:p>
        </w:tc>
        <w:tc>
          <w:tcPr>
            <w:tcW w:w="1417" w:type="dxa"/>
          </w:tcPr>
          <w:p w14:paraId="06DBFEF0" w14:textId="77777777" w:rsidR="00EB79D9" w:rsidRPr="006D6727" w:rsidRDefault="00EB79D9" w:rsidP="00EB79D9">
            <w:pPr>
              <w:rPr>
                <w:noProof/>
              </w:rPr>
            </w:pPr>
            <w:r w:rsidRPr="006D6727">
              <w:rPr>
                <w:noProof/>
              </w:rPr>
              <w:t>-163/-189</w:t>
            </w:r>
          </w:p>
        </w:tc>
        <w:tc>
          <w:tcPr>
            <w:tcW w:w="2694" w:type="dxa"/>
          </w:tcPr>
          <w:p w14:paraId="40CFEF3D"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0419DDE4" w14:textId="77777777" w:rsidR="00EB79D9" w:rsidRPr="006D6727" w:rsidRDefault="00EB79D9" w:rsidP="00EB79D9">
            <w:pPr>
              <w:rPr>
                <w:noProof/>
              </w:rPr>
            </w:pPr>
            <w:r w:rsidRPr="006D6727">
              <w:rPr>
                <w:noProof/>
              </w:rPr>
              <w:t>N, C, L</w:t>
            </w:r>
          </w:p>
        </w:tc>
      </w:tr>
      <w:tr w:rsidR="00EB79D9" w:rsidRPr="006D6727" w14:paraId="1CB9386C" w14:textId="77777777" w:rsidTr="002E3843">
        <w:tc>
          <w:tcPr>
            <w:tcW w:w="1554" w:type="dxa"/>
          </w:tcPr>
          <w:p w14:paraId="23B5CB12" w14:textId="77777777" w:rsidR="00EB79D9" w:rsidRPr="006D6727" w:rsidRDefault="00EB79D9" w:rsidP="00EB79D9">
            <w:pPr>
              <w:rPr>
                <w:noProof/>
              </w:rPr>
            </w:pPr>
            <w:r w:rsidRPr="006D6727">
              <w:rPr>
                <w:noProof/>
              </w:rPr>
              <w:t>200-209</w:t>
            </w:r>
          </w:p>
        </w:tc>
        <w:tc>
          <w:tcPr>
            <w:tcW w:w="1843" w:type="dxa"/>
          </w:tcPr>
          <w:p w14:paraId="103C338E" w14:textId="77777777" w:rsidR="00EB79D9" w:rsidRPr="006D6727" w:rsidRDefault="00EB79D9" w:rsidP="00EB79D9">
            <w:pPr>
              <w:rPr>
                <w:noProof/>
              </w:rPr>
            </w:pPr>
            <w:r w:rsidRPr="006D6727">
              <w:rPr>
                <w:noProof/>
              </w:rPr>
              <w:t>3</w:t>
            </w:r>
          </w:p>
        </w:tc>
        <w:tc>
          <w:tcPr>
            <w:tcW w:w="1417" w:type="dxa"/>
          </w:tcPr>
          <w:p w14:paraId="70928308" w14:textId="77777777" w:rsidR="00EB79D9" w:rsidRPr="006D6727" w:rsidRDefault="00EB79D9" w:rsidP="00EB79D9">
            <w:pPr>
              <w:rPr>
                <w:noProof/>
              </w:rPr>
            </w:pPr>
            <w:r w:rsidRPr="006D6727">
              <w:rPr>
                <w:noProof/>
              </w:rPr>
              <w:t>-194</w:t>
            </w:r>
          </w:p>
        </w:tc>
        <w:tc>
          <w:tcPr>
            <w:tcW w:w="2694" w:type="dxa"/>
          </w:tcPr>
          <w:p w14:paraId="3FB9CFCE" w14:textId="77777777" w:rsidR="00EB79D9" w:rsidRPr="006D6727" w:rsidRDefault="00EB79D9" w:rsidP="00EB79D9">
            <w:pPr>
              <w:rPr>
                <w:noProof/>
              </w:rPr>
            </w:pPr>
            <w:r w:rsidRPr="006D6727">
              <w:rPr>
                <w:noProof/>
              </w:rPr>
              <w:t>1</w:t>
            </w:r>
          </w:p>
        </w:tc>
        <w:tc>
          <w:tcPr>
            <w:tcW w:w="1270" w:type="dxa"/>
          </w:tcPr>
          <w:p w14:paraId="5665DC17" w14:textId="77777777" w:rsidR="00EB79D9" w:rsidRPr="006D6727" w:rsidRDefault="00EB79D9" w:rsidP="00EB79D9">
            <w:pPr>
              <w:rPr>
                <w:noProof/>
              </w:rPr>
            </w:pPr>
            <w:r w:rsidRPr="006D6727">
              <w:rPr>
                <w:noProof/>
              </w:rPr>
              <w:t>L</w:t>
            </w:r>
          </w:p>
        </w:tc>
      </w:tr>
      <w:tr w:rsidR="00EB79D9" w:rsidRPr="006D6727" w14:paraId="72CA65AA" w14:textId="77777777" w:rsidTr="002E3843">
        <w:tc>
          <w:tcPr>
            <w:tcW w:w="1554" w:type="dxa"/>
          </w:tcPr>
          <w:p w14:paraId="08B64774" w14:textId="77777777" w:rsidR="00EB79D9" w:rsidRPr="006D6727" w:rsidRDefault="00EB79D9" w:rsidP="00EB79D9">
            <w:pPr>
              <w:rPr>
                <w:noProof/>
              </w:rPr>
            </w:pPr>
            <w:r w:rsidRPr="006D6727">
              <w:rPr>
                <w:noProof/>
              </w:rPr>
              <w:t>226-231</w:t>
            </w:r>
            <w:r w:rsidR="00CF4994">
              <w:rPr>
                <w:noProof/>
              </w:rPr>
              <w:t>.5</w:t>
            </w:r>
          </w:p>
        </w:tc>
        <w:tc>
          <w:tcPr>
            <w:tcW w:w="1843" w:type="dxa"/>
          </w:tcPr>
          <w:p w14:paraId="53DFD3CE" w14:textId="77777777" w:rsidR="00EB79D9" w:rsidRPr="006D6727" w:rsidRDefault="00EB79D9" w:rsidP="00EB79D9">
            <w:pPr>
              <w:rPr>
                <w:noProof/>
              </w:rPr>
            </w:pPr>
            <w:r w:rsidRPr="006D6727">
              <w:rPr>
                <w:noProof/>
              </w:rPr>
              <w:t>200/3</w:t>
            </w:r>
          </w:p>
        </w:tc>
        <w:tc>
          <w:tcPr>
            <w:tcW w:w="1417" w:type="dxa"/>
          </w:tcPr>
          <w:p w14:paraId="4CCD552F" w14:textId="77777777" w:rsidR="00EB79D9" w:rsidRPr="006D6727" w:rsidRDefault="00EB79D9" w:rsidP="00EB79D9">
            <w:pPr>
              <w:rPr>
                <w:noProof/>
              </w:rPr>
            </w:pPr>
            <w:r w:rsidRPr="006D6727">
              <w:rPr>
                <w:noProof/>
              </w:rPr>
              <w:t>-160/-194</w:t>
            </w:r>
          </w:p>
        </w:tc>
        <w:tc>
          <w:tcPr>
            <w:tcW w:w="2694" w:type="dxa"/>
          </w:tcPr>
          <w:p w14:paraId="7C49D39F"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37487C04" w14:textId="77777777" w:rsidR="00EB79D9" w:rsidRPr="006D6727" w:rsidRDefault="00EB79D9" w:rsidP="00EB79D9">
            <w:pPr>
              <w:rPr>
                <w:noProof/>
              </w:rPr>
            </w:pPr>
            <w:r w:rsidRPr="006D6727">
              <w:rPr>
                <w:noProof/>
              </w:rPr>
              <w:t>N, L</w:t>
            </w:r>
          </w:p>
        </w:tc>
      </w:tr>
      <w:tr w:rsidR="00EB79D9" w:rsidRPr="006D6727" w14:paraId="6144B1BE" w14:textId="77777777" w:rsidTr="002E3843">
        <w:tc>
          <w:tcPr>
            <w:tcW w:w="1554" w:type="dxa"/>
          </w:tcPr>
          <w:p w14:paraId="59AB1E25" w14:textId="77777777" w:rsidR="00EB79D9" w:rsidRPr="006D6727" w:rsidRDefault="00EB79D9" w:rsidP="00EB79D9">
            <w:pPr>
              <w:rPr>
                <w:noProof/>
              </w:rPr>
            </w:pPr>
            <w:r w:rsidRPr="006D6727">
              <w:rPr>
                <w:noProof/>
              </w:rPr>
              <w:t>235-238</w:t>
            </w:r>
          </w:p>
        </w:tc>
        <w:tc>
          <w:tcPr>
            <w:tcW w:w="1843" w:type="dxa"/>
          </w:tcPr>
          <w:p w14:paraId="14B06728" w14:textId="77777777" w:rsidR="00EB79D9" w:rsidRPr="006D6727" w:rsidRDefault="00EB79D9" w:rsidP="00EB79D9">
            <w:pPr>
              <w:rPr>
                <w:noProof/>
              </w:rPr>
            </w:pPr>
            <w:r w:rsidRPr="006D6727">
              <w:rPr>
                <w:noProof/>
              </w:rPr>
              <w:t>3</w:t>
            </w:r>
          </w:p>
        </w:tc>
        <w:tc>
          <w:tcPr>
            <w:tcW w:w="1417" w:type="dxa"/>
          </w:tcPr>
          <w:p w14:paraId="4E722AB8" w14:textId="77777777" w:rsidR="00EB79D9" w:rsidRPr="006D6727" w:rsidRDefault="00EB79D9" w:rsidP="00EB79D9">
            <w:pPr>
              <w:rPr>
                <w:noProof/>
              </w:rPr>
            </w:pPr>
            <w:r w:rsidRPr="006D6727">
              <w:rPr>
                <w:noProof/>
              </w:rPr>
              <w:t>-194</w:t>
            </w:r>
          </w:p>
        </w:tc>
        <w:tc>
          <w:tcPr>
            <w:tcW w:w="2694" w:type="dxa"/>
          </w:tcPr>
          <w:p w14:paraId="0CDDAFBC" w14:textId="77777777" w:rsidR="00EB79D9" w:rsidRPr="006D6727" w:rsidRDefault="00EB79D9" w:rsidP="00EB79D9">
            <w:pPr>
              <w:rPr>
                <w:noProof/>
              </w:rPr>
            </w:pPr>
            <w:r w:rsidRPr="006D6727">
              <w:rPr>
                <w:noProof/>
              </w:rPr>
              <w:t>1</w:t>
            </w:r>
          </w:p>
        </w:tc>
        <w:tc>
          <w:tcPr>
            <w:tcW w:w="1270" w:type="dxa"/>
          </w:tcPr>
          <w:p w14:paraId="2FAB7F70" w14:textId="77777777" w:rsidR="00EB79D9" w:rsidRPr="006D6727" w:rsidRDefault="00EB79D9" w:rsidP="00EB79D9">
            <w:pPr>
              <w:rPr>
                <w:noProof/>
              </w:rPr>
            </w:pPr>
            <w:r w:rsidRPr="006D6727">
              <w:rPr>
                <w:noProof/>
              </w:rPr>
              <w:t>L</w:t>
            </w:r>
          </w:p>
        </w:tc>
      </w:tr>
      <w:tr w:rsidR="00EB79D9" w:rsidRPr="006D6727" w14:paraId="51C4D9CD" w14:textId="77777777" w:rsidTr="002E3843">
        <w:tc>
          <w:tcPr>
            <w:tcW w:w="1554" w:type="dxa"/>
          </w:tcPr>
          <w:p w14:paraId="2363BFDC" w14:textId="77777777" w:rsidR="00EB79D9" w:rsidRPr="006D6727" w:rsidRDefault="00EB79D9" w:rsidP="00EB79D9">
            <w:pPr>
              <w:rPr>
                <w:noProof/>
              </w:rPr>
            </w:pPr>
            <w:r w:rsidRPr="006D6727">
              <w:rPr>
                <w:noProof/>
              </w:rPr>
              <w:t>250-252</w:t>
            </w:r>
          </w:p>
        </w:tc>
        <w:tc>
          <w:tcPr>
            <w:tcW w:w="1843" w:type="dxa"/>
          </w:tcPr>
          <w:p w14:paraId="44C41BBC" w14:textId="77777777" w:rsidR="00EB79D9" w:rsidRPr="006D6727" w:rsidRDefault="00EB79D9" w:rsidP="00EB79D9">
            <w:pPr>
              <w:rPr>
                <w:noProof/>
              </w:rPr>
            </w:pPr>
            <w:r w:rsidRPr="006D6727">
              <w:rPr>
                <w:noProof/>
              </w:rPr>
              <w:t>3</w:t>
            </w:r>
          </w:p>
        </w:tc>
        <w:tc>
          <w:tcPr>
            <w:tcW w:w="1417" w:type="dxa"/>
          </w:tcPr>
          <w:p w14:paraId="3268D9B5" w14:textId="77777777" w:rsidR="00EB79D9" w:rsidRPr="006D6727" w:rsidRDefault="00EB79D9" w:rsidP="00EB79D9">
            <w:pPr>
              <w:rPr>
                <w:noProof/>
              </w:rPr>
            </w:pPr>
            <w:r w:rsidRPr="006D6727">
              <w:rPr>
                <w:noProof/>
              </w:rPr>
              <w:t>-194</w:t>
            </w:r>
          </w:p>
        </w:tc>
        <w:tc>
          <w:tcPr>
            <w:tcW w:w="2694" w:type="dxa"/>
          </w:tcPr>
          <w:p w14:paraId="7B74C97F" w14:textId="77777777" w:rsidR="00EB79D9" w:rsidRPr="006D6727" w:rsidRDefault="00EB79D9" w:rsidP="00EB79D9">
            <w:pPr>
              <w:rPr>
                <w:noProof/>
              </w:rPr>
            </w:pPr>
            <w:r w:rsidRPr="006D6727">
              <w:rPr>
                <w:noProof/>
              </w:rPr>
              <w:t>1</w:t>
            </w:r>
          </w:p>
        </w:tc>
        <w:tc>
          <w:tcPr>
            <w:tcW w:w="1270" w:type="dxa"/>
          </w:tcPr>
          <w:p w14:paraId="4A62F7AF" w14:textId="77777777" w:rsidR="00EB79D9" w:rsidRPr="006D6727" w:rsidRDefault="00EB79D9" w:rsidP="00EB79D9">
            <w:pPr>
              <w:rPr>
                <w:noProof/>
              </w:rPr>
            </w:pPr>
            <w:r w:rsidRPr="006D6727">
              <w:rPr>
                <w:noProof/>
              </w:rPr>
              <w:t>L</w:t>
            </w:r>
          </w:p>
        </w:tc>
      </w:tr>
      <w:tr w:rsidR="00EB79D9" w:rsidRPr="006D6727" w14:paraId="59256839" w14:textId="77777777" w:rsidTr="002E3843">
        <w:tc>
          <w:tcPr>
            <w:tcW w:w="1554" w:type="dxa"/>
          </w:tcPr>
          <w:p w14:paraId="07E47687" w14:textId="77777777" w:rsidR="00EB79D9" w:rsidRPr="006D6727" w:rsidRDefault="00EB79D9" w:rsidP="00EB79D9">
            <w:pPr>
              <w:rPr>
                <w:noProof/>
              </w:rPr>
            </w:pPr>
            <w:r w:rsidRPr="006D6727">
              <w:rPr>
                <w:noProof/>
              </w:rPr>
              <w:t>275-285</w:t>
            </w:r>
            <w:r w:rsidR="00CF4994">
              <w:rPr>
                <w:noProof/>
              </w:rPr>
              <w:t>.4</w:t>
            </w:r>
          </w:p>
        </w:tc>
        <w:tc>
          <w:tcPr>
            <w:tcW w:w="1843" w:type="dxa"/>
          </w:tcPr>
          <w:p w14:paraId="62A3BF7B" w14:textId="77777777" w:rsidR="00EB79D9" w:rsidRPr="006D6727" w:rsidRDefault="00EB79D9" w:rsidP="00EB79D9">
            <w:pPr>
              <w:rPr>
                <w:noProof/>
              </w:rPr>
            </w:pPr>
            <w:r w:rsidRPr="006D6727">
              <w:rPr>
                <w:noProof/>
              </w:rPr>
              <w:t>3</w:t>
            </w:r>
          </w:p>
        </w:tc>
        <w:tc>
          <w:tcPr>
            <w:tcW w:w="1417" w:type="dxa"/>
          </w:tcPr>
          <w:p w14:paraId="3EF5B27E" w14:textId="77777777" w:rsidR="00EB79D9" w:rsidRPr="006D6727" w:rsidRDefault="00EB79D9" w:rsidP="00EB79D9">
            <w:pPr>
              <w:rPr>
                <w:noProof/>
              </w:rPr>
            </w:pPr>
            <w:r w:rsidRPr="006D6727">
              <w:rPr>
                <w:noProof/>
              </w:rPr>
              <w:t>-194</w:t>
            </w:r>
          </w:p>
        </w:tc>
        <w:tc>
          <w:tcPr>
            <w:tcW w:w="2694" w:type="dxa"/>
          </w:tcPr>
          <w:p w14:paraId="72CD5952" w14:textId="77777777" w:rsidR="00EB79D9" w:rsidRPr="006D6727" w:rsidRDefault="00EB79D9" w:rsidP="00EB79D9">
            <w:pPr>
              <w:rPr>
                <w:noProof/>
              </w:rPr>
            </w:pPr>
            <w:r w:rsidRPr="006D6727">
              <w:rPr>
                <w:noProof/>
              </w:rPr>
              <w:t>1</w:t>
            </w:r>
          </w:p>
        </w:tc>
        <w:tc>
          <w:tcPr>
            <w:tcW w:w="1270" w:type="dxa"/>
          </w:tcPr>
          <w:p w14:paraId="4AE89EEB" w14:textId="77777777" w:rsidR="00EB79D9" w:rsidRPr="006D6727" w:rsidRDefault="00EB79D9" w:rsidP="00EB79D9">
            <w:pPr>
              <w:rPr>
                <w:noProof/>
              </w:rPr>
            </w:pPr>
            <w:r w:rsidRPr="006D6727">
              <w:rPr>
                <w:noProof/>
              </w:rPr>
              <w:t>L</w:t>
            </w:r>
          </w:p>
        </w:tc>
      </w:tr>
      <w:tr w:rsidR="00243A68" w:rsidRPr="006D6727" w14:paraId="1566B4B6" w14:textId="77777777" w:rsidTr="00200700">
        <w:tc>
          <w:tcPr>
            <w:tcW w:w="8778" w:type="dxa"/>
            <w:gridSpan w:val="5"/>
          </w:tcPr>
          <w:p w14:paraId="0B1C3E28" w14:textId="73B67DDD" w:rsidR="00243A68" w:rsidRPr="00243A68" w:rsidRDefault="00243A68" w:rsidP="00464AE0">
            <w:pPr>
              <w:pStyle w:val="ECCTablenote"/>
            </w:pPr>
            <w:r w:rsidRPr="00243A68">
              <w:t>Note 1: For a 0</w:t>
            </w:r>
            <w:r w:rsidR="00CF4994">
              <w:t>.0</w:t>
            </w:r>
            <w:r w:rsidRPr="00243A68">
              <w:t>1</w:t>
            </w:r>
            <w:r w:rsidR="00F800A2">
              <w:t>%</w:t>
            </w:r>
            <w:r w:rsidRPr="00243A68">
              <w:t xml:space="preserve"> level, the measurement area is a square on the Earth of 2 000 000 km², unless otherwise justified; for a 0</w:t>
            </w:r>
            <w:r w:rsidR="00CF4994">
              <w:t>.1</w:t>
            </w:r>
            <w:r w:rsidR="00F800A2">
              <w:t>%</w:t>
            </w:r>
            <w:r w:rsidRPr="00243A68">
              <w:t xml:space="preserve"> level, the measurement area is a square on the Earth of 10 000 000 km² unless otherwise justified; for a 1</w:t>
            </w:r>
            <w:r w:rsidR="00F800A2">
              <w:t>%</w:t>
            </w:r>
            <w:r w:rsidRPr="00243A68">
              <w:t xml:space="preserve"> level, the measurement time is 24 h, unless otherwise justified.</w:t>
            </w:r>
          </w:p>
          <w:p w14:paraId="55894A23" w14:textId="77777777" w:rsidR="00243A68" w:rsidRPr="00243A68" w:rsidRDefault="00243A68" w:rsidP="00464AE0">
            <w:pPr>
              <w:pStyle w:val="ECCTablenote"/>
            </w:pPr>
            <w:r w:rsidRPr="00243A68">
              <w:t>Note 2: N: Nadir, Nadir scan modes concentrate on sounding or viewing the Earth’s surface at angles of nearly perpendicular incidence. The scan terminates at the surface or at various levels in the atmosphere according to the weighting functions. L: Limb, Limb scan modes view the atmosphere “on edge” and terminate in space rather than at the surface, and accordingly are weighted zero at the surface and maximum at the tangent point height. C: Conical, Conical scan modes view the Earth’s surface by rotating the antenna at an offset angle from the nadir direction.</w:t>
            </w:r>
          </w:p>
          <w:p w14:paraId="0EEE171B" w14:textId="77777777" w:rsidR="00243A68" w:rsidRPr="00243A68" w:rsidRDefault="00243A68" w:rsidP="00464AE0">
            <w:pPr>
              <w:pStyle w:val="ECCTablenote"/>
            </w:pPr>
            <w:r w:rsidRPr="00243A68">
              <w:t>Note 3: First number for nadir or conical scanning modes and second number for microwave limb sounding applications.</w:t>
            </w:r>
          </w:p>
          <w:p w14:paraId="5EF919FC" w14:textId="77777777" w:rsidR="00243A68" w:rsidRPr="006D6727" w:rsidRDefault="00243A68" w:rsidP="00464AE0">
            <w:pPr>
              <w:pStyle w:val="ECCTablenote"/>
            </w:pPr>
            <w:r w:rsidRPr="00243A68">
              <w:t xml:space="preserve">Note 4: </w:t>
            </w:r>
            <w:r>
              <w:t>The EESS (passive) allocation in the band 155</w:t>
            </w:r>
            <w:r w:rsidR="00CF4994">
              <w:t>.5</w:t>
            </w:r>
            <w:r>
              <w:t>-158</w:t>
            </w:r>
            <w:r w:rsidR="00CF4994">
              <w:t>.5</w:t>
            </w:r>
            <w:r>
              <w:t> GHz has been suppressed at the last WRC-19.</w:t>
            </w:r>
          </w:p>
        </w:tc>
      </w:tr>
    </w:tbl>
    <w:p w14:paraId="202F6DA1" w14:textId="77777777" w:rsidR="001C52CF" w:rsidRDefault="001C52CF" w:rsidP="001C52CF">
      <w:r w:rsidRPr="006E3330">
        <w:t>Finally, it should also be considered that under WRC-23 agenda item 1.14, a review of EESS (passive) allocations will have to be addressed in the range 231</w:t>
      </w:r>
      <w:r w:rsidR="00CF4994">
        <w:t>.5</w:t>
      </w:r>
      <w:r w:rsidRPr="006E3330">
        <w:t>-252</w:t>
      </w:r>
      <w:r>
        <w:t> </w:t>
      </w:r>
      <w:r w:rsidRPr="006E3330">
        <w:t>GHz. This would in particular concern the EUMETSAT systems ICI and its specific channels at 239</w:t>
      </w:r>
      <w:r w:rsidR="00CF4994">
        <w:t>.2</w:t>
      </w:r>
      <w:r w:rsidRPr="006E3330">
        <w:t>-242</w:t>
      </w:r>
      <w:r w:rsidR="00CF4994">
        <w:t>.2</w:t>
      </w:r>
      <w:r>
        <w:t> </w:t>
      </w:r>
      <w:r w:rsidRPr="006E3330">
        <w:t>GHz and 244</w:t>
      </w:r>
      <w:r w:rsidR="00CF4994">
        <w:t>.2</w:t>
      </w:r>
      <w:r w:rsidRPr="006E3330">
        <w:t>-247</w:t>
      </w:r>
      <w:r w:rsidR="00CF4994">
        <w:t>.2</w:t>
      </w:r>
      <w:r>
        <w:t> </w:t>
      </w:r>
      <w:r w:rsidRPr="006E3330">
        <w:t>GHz.</w:t>
      </w:r>
    </w:p>
    <w:p w14:paraId="568D8637" w14:textId="39A1BE82" w:rsidR="001C52CF" w:rsidRDefault="001C52CF" w:rsidP="001C52CF">
      <w:r>
        <w:t>The EESS (passive) protection criteria for the band 226-231</w:t>
      </w:r>
      <w:r w:rsidR="00CF4994">
        <w:t>.5</w:t>
      </w:r>
      <w:r>
        <w:t xml:space="preserve"> GHz is given in </w:t>
      </w:r>
      <w:r w:rsidR="00825F19">
        <w:t>Recommendation ITU-R</w:t>
      </w:r>
      <w:r>
        <w:t xml:space="preserve"> RS.2017 as -160 dBW/200</w:t>
      </w:r>
      <w:r w:rsidR="00FD7A4E">
        <w:t> </w:t>
      </w:r>
      <w:r>
        <w:t>MHz for Nadir and Conical scan systems associated with a p</w:t>
      </w:r>
      <w:r w:rsidRPr="00812F94">
        <w:t xml:space="preserve">ercentage of area or time </w:t>
      </w:r>
      <w:r>
        <w:t>it may be exceeded of 0</w:t>
      </w:r>
      <w:r w:rsidR="00CF4994">
        <w:t>.0</w:t>
      </w:r>
      <w:r>
        <w:t>1</w:t>
      </w:r>
      <w:r w:rsidR="00F800A2">
        <w:t>%</w:t>
      </w:r>
      <w:r>
        <w:t>.</w:t>
      </w:r>
    </w:p>
    <w:p w14:paraId="0E62C5D3" w14:textId="0D164723" w:rsidR="001C52CF" w:rsidRDefault="001C52CF" w:rsidP="001C52CF">
      <w:r>
        <w:t xml:space="preserve">For the range </w:t>
      </w:r>
      <w:r w:rsidRPr="007E4F44">
        <w:t>239-248</w:t>
      </w:r>
      <w:r>
        <w:t> </w:t>
      </w:r>
      <w:r w:rsidRPr="007E4F44">
        <w:t>GHz</w:t>
      </w:r>
      <w:r>
        <w:t xml:space="preserve"> that is considered under WRC-23 agenda item 1.14 and is hence not addressed yet in </w:t>
      </w:r>
      <w:r w:rsidR="00825F19">
        <w:t>Recommendation ITU-R</w:t>
      </w:r>
      <w:r>
        <w:t xml:space="preserve"> RS.2017, it is proposed to consider the same protection criteria.</w:t>
      </w:r>
    </w:p>
    <w:p w14:paraId="7E4BDAF5" w14:textId="77777777" w:rsidR="00FB139F" w:rsidRDefault="001B6F5C" w:rsidP="004E36C2">
      <w:pPr>
        <w:pStyle w:val="Heading4"/>
      </w:pPr>
      <w:bookmarkStart w:id="479" w:name="_Ref65180021"/>
      <w:bookmarkStart w:id="480" w:name="_Toc84325341"/>
      <w:r>
        <w:t>Apportionment</w:t>
      </w:r>
      <w:bookmarkEnd w:id="479"/>
      <w:bookmarkEnd w:id="480"/>
    </w:p>
    <w:p w14:paraId="3F1BE8C2" w14:textId="75BC0DA2" w:rsidR="00DA6EFE" w:rsidRDefault="00794DA6" w:rsidP="00794DA6">
      <w:pPr>
        <w:rPr>
          <w:rStyle w:val="ECCParagraph"/>
        </w:rPr>
      </w:pPr>
      <w:r w:rsidRPr="00794DA6">
        <w:rPr>
          <w:rStyle w:val="ECCParagraph"/>
        </w:rPr>
        <w:t>Recommendation ITU-R RS.2017</w:t>
      </w:r>
      <w:r w:rsidR="00E4615B" w:rsidRPr="00E4615B">
        <w:rPr>
          <w:rStyle w:val="ECCParagraph"/>
        </w:rPr>
        <w:t xml:space="preserve"> </w:t>
      </w:r>
      <w:r w:rsidR="00E4615B" w:rsidRPr="00E4615B">
        <w:rPr>
          <w:rStyle w:val="ECCParagraph"/>
        </w:rPr>
        <w:fldChar w:fldCharType="begin"/>
      </w:r>
      <w:r w:rsidR="00E4615B" w:rsidRPr="00E4615B">
        <w:rPr>
          <w:rStyle w:val="ECCParagraph"/>
        </w:rPr>
        <w:instrText xml:space="preserve"> REF  ITU_R_RS_2017_0 \h \w  \* MERGEFORMAT </w:instrText>
      </w:r>
      <w:r w:rsidR="00E4615B" w:rsidRPr="00E4615B">
        <w:rPr>
          <w:rStyle w:val="ECCParagraph"/>
        </w:rPr>
      </w:r>
      <w:r w:rsidR="00E4615B" w:rsidRPr="00E4615B">
        <w:rPr>
          <w:rStyle w:val="ECCParagraph"/>
        </w:rPr>
        <w:fldChar w:fldCharType="separate"/>
      </w:r>
      <w:r w:rsidR="004F49F9">
        <w:rPr>
          <w:rStyle w:val="ECCParagraph"/>
        </w:rPr>
        <w:t>[12]</w:t>
      </w:r>
      <w:r w:rsidR="00E4615B" w:rsidRPr="00E4615B">
        <w:rPr>
          <w:rStyle w:val="ECCParagraph"/>
        </w:rPr>
        <w:fldChar w:fldCharType="end"/>
      </w:r>
      <w:r w:rsidR="00E4615B">
        <w:rPr>
          <w:rStyle w:val="ECCParagraph"/>
        </w:rPr>
        <w:t xml:space="preserve"> </w:t>
      </w:r>
      <w:r w:rsidR="00DA6EFE">
        <w:rPr>
          <w:rStyle w:val="ECCParagraph"/>
        </w:rPr>
        <w:t>specifies</w:t>
      </w:r>
      <w:r w:rsidRPr="00794DA6">
        <w:rPr>
          <w:rStyle w:val="ECCParagraph"/>
        </w:rPr>
        <w:t xml:space="preserve"> the “Maximum interference level (dBW)”, within an associated “Reference bandwidth (MHz)”, that may be received at the EESS sensor from all sources. There is currently no agreed method within ITU-R and CEPT describing how this maximum interference level should be applied where compatibility with multiple services is required.</w:t>
      </w:r>
    </w:p>
    <w:p w14:paraId="2CBD28C7" w14:textId="756678AA" w:rsidR="00794DA6" w:rsidRPr="00794DA6" w:rsidRDefault="00794DA6" w:rsidP="00794DA6">
      <w:pPr>
        <w:rPr>
          <w:rStyle w:val="ECCParagraph"/>
        </w:rPr>
      </w:pPr>
      <w:r w:rsidRPr="00794DA6">
        <w:rPr>
          <w:rStyle w:val="ECCParagraph"/>
        </w:rPr>
        <w:t>When considering UWB applications</w:t>
      </w:r>
      <w:r w:rsidR="001F3D58">
        <w:rPr>
          <w:rStyle w:val="ECCParagraph"/>
        </w:rPr>
        <w:t xml:space="preserve"> (i.e. as an underlay technology)</w:t>
      </w:r>
      <w:r w:rsidRPr="00794DA6">
        <w:rPr>
          <w:rStyle w:val="ECCParagraph"/>
        </w:rPr>
        <w:t xml:space="preserve">, one can refer to previous work performed in ECC and ITU-R and in particular </w:t>
      </w:r>
      <w:r w:rsidR="00EF3E55">
        <w:rPr>
          <w:rStyle w:val="ECCParagraph"/>
        </w:rPr>
        <w:t>Report ITU-R</w:t>
      </w:r>
      <w:r w:rsidRPr="00794DA6">
        <w:rPr>
          <w:rStyle w:val="ECCParagraph"/>
        </w:rPr>
        <w:t xml:space="preserve"> SM.2057</w:t>
      </w:r>
      <w:r w:rsidR="00E4615B">
        <w:rPr>
          <w:rStyle w:val="ECCParagraph"/>
        </w:rPr>
        <w:t xml:space="preserve"> </w:t>
      </w:r>
      <w:r w:rsidR="00E4615B">
        <w:rPr>
          <w:rStyle w:val="ECCParagraph"/>
        </w:rPr>
        <w:fldChar w:fldCharType="begin"/>
      </w:r>
      <w:r w:rsidR="00E4615B">
        <w:rPr>
          <w:rStyle w:val="ECCParagraph"/>
        </w:rPr>
        <w:instrText xml:space="preserve"> REF  ITU_R_Rep_SM_2057 \h \w  \* MERGEFORMAT </w:instrText>
      </w:r>
      <w:r w:rsidR="00E4615B">
        <w:rPr>
          <w:rStyle w:val="ECCParagraph"/>
        </w:rPr>
      </w:r>
      <w:r w:rsidR="00E4615B">
        <w:rPr>
          <w:rStyle w:val="ECCParagraph"/>
        </w:rPr>
        <w:fldChar w:fldCharType="separate"/>
      </w:r>
      <w:r w:rsidR="004F49F9">
        <w:rPr>
          <w:rStyle w:val="ECCParagraph"/>
        </w:rPr>
        <w:t>[69]</w:t>
      </w:r>
      <w:r w:rsidR="00E4615B">
        <w:rPr>
          <w:rStyle w:val="ECCParagraph"/>
        </w:rPr>
        <w:fldChar w:fldCharType="end"/>
      </w:r>
      <w:r w:rsidRPr="00794DA6">
        <w:rPr>
          <w:rStyle w:val="ECCParagraph"/>
        </w:rPr>
        <w:t xml:space="preserve"> proposing to retain a “1 to 5</w:t>
      </w:r>
      <w:r w:rsidR="00F800A2">
        <w:rPr>
          <w:rStyle w:val="ECCParagraph"/>
        </w:rPr>
        <w:t>%</w:t>
      </w:r>
      <w:r w:rsidRPr="00794DA6">
        <w:rPr>
          <w:rStyle w:val="ECCParagraph"/>
        </w:rPr>
        <w:t xml:space="preserve"> apportionment of the interference criteria” for EESS (passive). Such apportionment values represent a factor of 20 dB and 13 dB, respectively</w:t>
      </w:r>
      <w:r w:rsidR="00DA6EFE">
        <w:rPr>
          <w:rStyle w:val="ECCParagraph"/>
        </w:rPr>
        <w:t xml:space="preserve">, that was used in interference calculations in this </w:t>
      </w:r>
      <w:r w:rsidR="00EF3E55">
        <w:rPr>
          <w:rStyle w:val="ECCParagraph"/>
        </w:rPr>
        <w:t>Report ITU-R</w:t>
      </w:r>
      <w:r w:rsidR="00DA6EFE">
        <w:rPr>
          <w:rStyle w:val="ECCParagraph"/>
        </w:rPr>
        <w:t xml:space="preserve"> SM.2057</w:t>
      </w:r>
      <w:r w:rsidRPr="00794DA6">
        <w:rPr>
          <w:rStyle w:val="ECCParagraph"/>
        </w:rPr>
        <w:t>.</w:t>
      </w:r>
    </w:p>
    <w:p w14:paraId="6FD22D03" w14:textId="3A3F35D5" w:rsidR="00794DA6" w:rsidRPr="00794DA6" w:rsidRDefault="00794DA6" w:rsidP="00794DA6">
      <w:pPr>
        <w:rPr>
          <w:rStyle w:val="ECCParagraph"/>
        </w:rPr>
      </w:pPr>
      <w:r w:rsidRPr="00794DA6">
        <w:rPr>
          <w:rStyle w:val="ECCParagraph"/>
        </w:rPr>
        <w:t xml:space="preserve">The EESS (passive) bands between 116 and 260 GHz </w:t>
      </w:r>
      <w:r w:rsidR="00152735">
        <w:rPr>
          <w:rStyle w:val="ECCParagraph"/>
        </w:rPr>
        <w:t>are already and will continue to be</w:t>
      </w:r>
      <w:r w:rsidRPr="00794DA6">
        <w:rPr>
          <w:rStyle w:val="ECCParagraph"/>
        </w:rPr>
        <w:t xml:space="preserve"> subject to emissions from different Radio Services that occupy spectrum both in and adjacent to the bands under study (e.g. Fixed Service, with relevant unwanted emission levels already given in ECC Recommendation (18)01</w:t>
      </w:r>
      <w:r w:rsidR="00E4615B">
        <w:rPr>
          <w:rStyle w:val="ECCParagraph"/>
        </w:rPr>
        <w:t xml:space="preserve"> </w:t>
      </w:r>
      <w:r w:rsidR="00E4615B">
        <w:rPr>
          <w:rStyle w:val="ECCParagraph"/>
        </w:rPr>
        <w:fldChar w:fldCharType="begin"/>
      </w:r>
      <w:r w:rsidR="00E4615B">
        <w:rPr>
          <w:rStyle w:val="ECCParagraph"/>
        </w:rPr>
        <w:instrText xml:space="preserve"> REF  ECCRec_18_01 \h \w  \* MERGEFORMAT </w:instrText>
      </w:r>
      <w:r w:rsidR="00E4615B">
        <w:rPr>
          <w:rStyle w:val="ECCParagraph"/>
        </w:rPr>
      </w:r>
      <w:r w:rsidR="00E4615B">
        <w:rPr>
          <w:rStyle w:val="ECCParagraph"/>
        </w:rPr>
        <w:fldChar w:fldCharType="separate"/>
      </w:r>
      <w:r w:rsidR="004F49F9">
        <w:rPr>
          <w:rStyle w:val="ECCParagraph"/>
        </w:rPr>
        <w:t>[22]</w:t>
      </w:r>
      <w:r w:rsidR="00E4615B">
        <w:rPr>
          <w:rStyle w:val="ECCParagraph"/>
        </w:rPr>
        <w:fldChar w:fldCharType="end"/>
      </w:r>
      <w:r w:rsidRPr="00794DA6">
        <w:rPr>
          <w:rStyle w:val="ECCParagraph"/>
        </w:rPr>
        <w:t xml:space="preserve"> and ECC</w:t>
      </w:r>
      <w:r w:rsidR="005544E4">
        <w:rPr>
          <w:rStyle w:val="ECCParagraph"/>
        </w:rPr>
        <w:t xml:space="preserve"> Recommendation </w:t>
      </w:r>
      <w:r w:rsidRPr="00794DA6">
        <w:rPr>
          <w:rStyle w:val="ECCParagraph"/>
        </w:rPr>
        <w:t>(18)02</w:t>
      </w:r>
      <w:r w:rsidR="00E4615B">
        <w:rPr>
          <w:rStyle w:val="ECCParagraph"/>
        </w:rPr>
        <w:t xml:space="preserve"> </w:t>
      </w:r>
      <w:r w:rsidR="00E4615B">
        <w:rPr>
          <w:rStyle w:val="ECCParagraph"/>
        </w:rPr>
        <w:fldChar w:fldCharType="begin"/>
      </w:r>
      <w:r w:rsidR="00E4615B">
        <w:rPr>
          <w:rStyle w:val="ECCParagraph"/>
        </w:rPr>
        <w:instrText xml:space="preserve"> REF  ECCRec_18_02 \h \w  \* MERGEFORMAT </w:instrText>
      </w:r>
      <w:r w:rsidR="00E4615B">
        <w:rPr>
          <w:rStyle w:val="ECCParagraph"/>
        </w:rPr>
      </w:r>
      <w:r w:rsidR="00E4615B">
        <w:rPr>
          <w:rStyle w:val="ECCParagraph"/>
        </w:rPr>
        <w:fldChar w:fldCharType="separate"/>
      </w:r>
      <w:r w:rsidR="004F49F9">
        <w:rPr>
          <w:rStyle w:val="ECCParagraph"/>
        </w:rPr>
        <w:t>[46]</w:t>
      </w:r>
      <w:r w:rsidR="00E4615B">
        <w:rPr>
          <w:rStyle w:val="ECCParagraph"/>
        </w:rPr>
        <w:fldChar w:fldCharType="end"/>
      </w:r>
      <w:r w:rsidRPr="00794DA6">
        <w:rPr>
          <w:rStyle w:val="ECCParagraph"/>
        </w:rPr>
        <w:t>, or wanted in-band emissions for very specific cases such as ISS or FSS in bands not covered by RR footnote 5.340.</w:t>
      </w:r>
    </w:p>
    <w:p w14:paraId="6D15BA4F" w14:textId="0EF9B3CC" w:rsidR="00794DA6" w:rsidRDefault="00794DA6" w:rsidP="00794DA6">
      <w:pPr>
        <w:rPr>
          <w:rStyle w:val="ECCParagraph"/>
        </w:rPr>
      </w:pPr>
      <w:r w:rsidRPr="00794DA6">
        <w:rPr>
          <w:rStyle w:val="ECCParagraph"/>
        </w:rPr>
        <w:t xml:space="preserve">Based on the number of allocated incumbent services an apportionment factor of 12 dB was used for all frequency bands and for each </w:t>
      </w:r>
      <w:r w:rsidR="001F3D58">
        <w:rPr>
          <w:rStyle w:val="ECCParagraph"/>
        </w:rPr>
        <w:t xml:space="preserve">UWB </w:t>
      </w:r>
      <w:r w:rsidRPr="00794DA6">
        <w:rPr>
          <w:rStyle w:val="ECCParagraph"/>
        </w:rPr>
        <w:t xml:space="preserve">radiodetermination application individually (see </w:t>
      </w:r>
      <w:r w:rsidR="009D5FA2">
        <w:rPr>
          <w:rStyle w:val="ECCParagraph"/>
        </w:rPr>
        <w:t>section</w:t>
      </w:r>
      <w:r w:rsidRPr="00794DA6">
        <w:rPr>
          <w:rStyle w:val="ECCParagraph"/>
        </w:rPr>
        <w:t xml:space="preserve"> </w:t>
      </w:r>
      <w:r w:rsidRPr="00794DA6">
        <w:rPr>
          <w:rStyle w:val="ECCParagraph"/>
        </w:rPr>
        <w:fldChar w:fldCharType="begin"/>
      </w:r>
      <w:r w:rsidRPr="00794DA6">
        <w:rPr>
          <w:rStyle w:val="ECCParagraph"/>
        </w:rPr>
        <w:instrText xml:space="preserve"> REF _Ref9415617 \r \h  \* MERGEFORMAT </w:instrText>
      </w:r>
      <w:r w:rsidRPr="00794DA6">
        <w:rPr>
          <w:rStyle w:val="ECCParagraph"/>
        </w:rPr>
      </w:r>
      <w:r w:rsidRPr="00794DA6">
        <w:rPr>
          <w:rStyle w:val="ECCParagraph"/>
        </w:rPr>
        <w:fldChar w:fldCharType="separate"/>
      </w:r>
      <w:r w:rsidR="004F49F9">
        <w:rPr>
          <w:rStyle w:val="ECCParagraph"/>
        </w:rPr>
        <w:t>2.2</w:t>
      </w:r>
      <w:r w:rsidRPr="00794DA6">
        <w:rPr>
          <w:rStyle w:val="ECCParagraph"/>
        </w:rPr>
        <w:fldChar w:fldCharType="end"/>
      </w:r>
      <w:r w:rsidRPr="00794DA6">
        <w:rPr>
          <w:rStyle w:val="ECCParagraph"/>
        </w:rPr>
        <w:t xml:space="preserve">). This value </w:t>
      </w:r>
      <w:r w:rsidR="001F3D58">
        <w:rPr>
          <w:rStyle w:val="ECCParagraph"/>
        </w:rPr>
        <w:t xml:space="preserve">and an additional safety margin </w:t>
      </w:r>
      <w:r w:rsidRPr="00794DA6">
        <w:rPr>
          <w:rStyle w:val="ECCParagraph"/>
        </w:rPr>
        <w:t xml:space="preserve">was also applied to bands which are protected by </w:t>
      </w:r>
      <w:r w:rsidR="00152735">
        <w:rPr>
          <w:rStyle w:val="ECCParagraph"/>
        </w:rPr>
        <w:t>RR No.</w:t>
      </w:r>
      <w:r w:rsidRPr="00794DA6">
        <w:rPr>
          <w:rStyle w:val="ECCParagraph"/>
        </w:rPr>
        <w:t xml:space="preserve"> 5.340</w:t>
      </w:r>
      <w:r w:rsidR="00FD3D6B">
        <w:rPr>
          <w:rStyle w:val="ECCParagraph"/>
        </w:rPr>
        <w:t>.</w:t>
      </w:r>
    </w:p>
    <w:p w14:paraId="75994A07" w14:textId="77777777" w:rsidR="00C77464" w:rsidRPr="00A26CFF" w:rsidRDefault="00C77464" w:rsidP="00C77464">
      <w:pPr>
        <w:rPr>
          <w:rStyle w:val="ECCParagraph"/>
        </w:rPr>
      </w:pPr>
      <w:r>
        <w:rPr>
          <w:rStyle w:val="ECCParagraph"/>
        </w:rPr>
        <w:t>Other approaches</w:t>
      </w:r>
      <w:r w:rsidRPr="00A26CFF">
        <w:rPr>
          <w:rStyle w:val="ECCParagraph"/>
        </w:rPr>
        <w:t xml:space="preserve"> could </w:t>
      </w:r>
      <w:r w:rsidR="00FD3D6B">
        <w:rPr>
          <w:rStyle w:val="ECCParagraph"/>
        </w:rPr>
        <w:t>be applied</w:t>
      </w:r>
      <w:r w:rsidRPr="00A26CFF">
        <w:rPr>
          <w:rStyle w:val="ECCParagraph"/>
        </w:rPr>
        <w:t xml:space="preserve"> to consider a band-by-band assessment to establish a realistic interference environment and determine an appropriate apportionment factor to ensure protection of the EESS (passive). The following factors should be considered:</w:t>
      </w:r>
    </w:p>
    <w:p w14:paraId="14B9ECF3" w14:textId="77777777" w:rsidR="00C77464" w:rsidRPr="00A26CFF" w:rsidRDefault="00C77464" w:rsidP="002B7F79">
      <w:pPr>
        <w:pStyle w:val="ECCBulletsLv1"/>
        <w:spacing w:after="60"/>
      </w:pPr>
      <w:r w:rsidRPr="00A26CFF">
        <w:t>the physical geometries of the different services;</w:t>
      </w:r>
    </w:p>
    <w:p w14:paraId="3BC3EA3D" w14:textId="77777777" w:rsidR="00C77464" w:rsidRPr="00A26CFF" w:rsidRDefault="00C77464" w:rsidP="002B7F79">
      <w:pPr>
        <w:pStyle w:val="ECCBulletsLv1"/>
        <w:spacing w:after="60"/>
      </w:pPr>
      <w:r w:rsidRPr="00A26CFF">
        <w:t>the timing aspects of the different services;</w:t>
      </w:r>
    </w:p>
    <w:p w14:paraId="65FDF655" w14:textId="045F8105" w:rsidR="00C77464" w:rsidRPr="00A26CFF" w:rsidRDefault="00C77464" w:rsidP="002B7F79">
      <w:pPr>
        <w:pStyle w:val="ECCBulletsLv1"/>
        <w:spacing w:after="60"/>
      </w:pPr>
      <w:r w:rsidRPr="00A26CFF">
        <w:t xml:space="preserve">appropriate deployment scenarios, i.e. where fixed and mobile services have allocations; </w:t>
      </w:r>
    </w:p>
    <w:p w14:paraId="5AE0025B" w14:textId="77777777" w:rsidR="00C77464" w:rsidRPr="00A26CFF" w:rsidRDefault="00C77464" w:rsidP="002B7F79">
      <w:pPr>
        <w:pStyle w:val="ECCBulletsLv1"/>
        <w:spacing w:after="60"/>
        <w:rPr>
          <w:rStyle w:val="ECCParagraph"/>
        </w:rPr>
      </w:pPr>
      <w:r w:rsidRPr="00A26CFF">
        <w:t>the number of services with concurrent operation and their relative emission levels.</w:t>
      </w:r>
    </w:p>
    <w:p w14:paraId="5EC730FA" w14:textId="489CDD66" w:rsidR="00794DA6" w:rsidRDefault="00794DA6" w:rsidP="00794DA6">
      <w:pPr>
        <w:rPr>
          <w:rStyle w:val="ECCParagraph"/>
        </w:rPr>
      </w:pPr>
      <w:r w:rsidRPr="00794DA6">
        <w:rPr>
          <w:rStyle w:val="ECCParagraph"/>
        </w:rPr>
        <w:t>The band-by-band consideration</w:t>
      </w:r>
      <w:r w:rsidR="00C77464">
        <w:rPr>
          <w:rStyle w:val="ECCParagraph"/>
        </w:rPr>
        <w:t>s</w:t>
      </w:r>
      <w:r w:rsidRPr="00794DA6">
        <w:rPr>
          <w:rStyle w:val="ECCParagraph"/>
        </w:rPr>
        <w:t xml:space="preserve"> of the allocations to Radiocommunication Services and other </w:t>
      </w:r>
      <w:r w:rsidR="00D64078">
        <w:rPr>
          <w:rStyle w:val="ECCParagraph"/>
        </w:rPr>
        <w:t>UWB</w:t>
      </w:r>
      <w:r w:rsidRPr="00794DA6">
        <w:rPr>
          <w:rStyle w:val="ECCParagraph"/>
        </w:rPr>
        <w:t>-applications and the resulting derivation of the worst</w:t>
      </w:r>
      <w:r w:rsidR="00152735">
        <w:rPr>
          <w:rStyle w:val="ECCParagraph"/>
        </w:rPr>
        <w:t>-</w:t>
      </w:r>
      <w:r w:rsidRPr="00794DA6">
        <w:rPr>
          <w:rStyle w:val="ECCParagraph"/>
        </w:rPr>
        <w:t>case apportionment factor can be found in</w:t>
      </w:r>
      <w:r w:rsidR="00E4615B">
        <w:rPr>
          <w:rStyle w:val="ECCParagraph"/>
        </w:rPr>
        <w:t xml:space="preserve"> </w:t>
      </w:r>
      <w:r w:rsidR="00E4615B">
        <w:rPr>
          <w:rStyle w:val="ECCParagraph"/>
        </w:rPr>
        <w:fldChar w:fldCharType="begin"/>
      </w:r>
      <w:r w:rsidR="00E4615B">
        <w:rPr>
          <w:rStyle w:val="ECCParagraph"/>
        </w:rPr>
        <w:instrText xml:space="preserve"> REF _Ref67663388 \r \h </w:instrText>
      </w:r>
      <w:r w:rsidR="00E4615B">
        <w:rPr>
          <w:rStyle w:val="ECCParagraph"/>
        </w:rPr>
      </w:r>
      <w:r w:rsidR="00E4615B">
        <w:rPr>
          <w:rStyle w:val="ECCParagraph"/>
        </w:rPr>
        <w:fldChar w:fldCharType="separate"/>
      </w:r>
      <w:r w:rsidR="0041125F">
        <w:rPr>
          <w:rStyle w:val="ECCParagraph"/>
        </w:rPr>
        <w:t>A</w:t>
      </w:r>
      <w:r w:rsidR="008C0C50">
        <w:rPr>
          <w:rStyle w:val="ECCParagraph"/>
        </w:rPr>
        <w:t>nnex</w:t>
      </w:r>
      <w:r w:rsidR="0041125F">
        <w:rPr>
          <w:rStyle w:val="ECCParagraph"/>
        </w:rPr>
        <w:t xml:space="preserve"> 8</w:t>
      </w:r>
      <w:r w:rsidR="00E4615B">
        <w:rPr>
          <w:rStyle w:val="ECCParagraph"/>
        </w:rPr>
        <w:fldChar w:fldCharType="end"/>
      </w:r>
      <w:r w:rsidRPr="00794DA6">
        <w:rPr>
          <w:rStyle w:val="ECCParagraph"/>
        </w:rPr>
        <w:t>.</w:t>
      </w:r>
    </w:p>
    <w:p w14:paraId="1AAED172" w14:textId="77777777" w:rsidR="007F03CC" w:rsidRDefault="007F03CC" w:rsidP="004E36C2">
      <w:pPr>
        <w:pStyle w:val="Heading4"/>
        <w:rPr>
          <w:rStyle w:val="ECCParagraph"/>
        </w:rPr>
      </w:pPr>
      <w:bookmarkStart w:id="481" w:name="_Toc84325342"/>
      <w:r>
        <w:rPr>
          <w:rStyle w:val="ECCParagraph"/>
        </w:rPr>
        <w:t>Aggregation</w:t>
      </w:r>
      <w:bookmarkEnd w:id="481"/>
    </w:p>
    <w:p w14:paraId="3FA5C819" w14:textId="0B044767" w:rsidR="007733E7" w:rsidRPr="00E0550D" w:rsidRDefault="0001262A" w:rsidP="007733E7">
      <w:r w:rsidRPr="007F03CC">
        <w:t>At a given time, interference to EESS (passive) is produced by all radio transmitters present in the sensor footprint (IFOV).</w:t>
      </w:r>
      <w:r>
        <w:t xml:space="preserve"> </w:t>
      </w:r>
      <w:r w:rsidRPr="007F03CC">
        <w:t>The size of the footprint mainly depends on the orbit height, nadir angle and antenna 3</w:t>
      </w:r>
      <w:r>
        <w:t> </w:t>
      </w:r>
      <w:r w:rsidRPr="007F03CC">
        <w:t>dB beamwidth, and can be in the range of several tens to several hundred</w:t>
      </w:r>
      <w:r>
        <w:t>s</w:t>
      </w:r>
      <w:r w:rsidRPr="007F03CC">
        <w:t xml:space="preserve"> of km² (see section </w:t>
      </w:r>
      <w:r w:rsidR="00CC1593">
        <w:rPr>
          <w:rStyle w:val="ECCHLyellow"/>
        </w:rPr>
        <w:fldChar w:fldCharType="begin"/>
      </w:r>
      <w:r w:rsidR="00CC1593">
        <w:instrText xml:space="preserve"> REF _Ref67065922 \r \h </w:instrText>
      </w:r>
      <w:r w:rsidR="00CC1593">
        <w:rPr>
          <w:rStyle w:val="ECCHLyellow"/>
        </w:rPr>
      </w:r>
      <w:r w:rsidR="00CC1593">
        <w:rPr>
          <w:rStyle w:val="ECCHLyellow"/>
        </w:rPr>
        <w:fldChar w:fldCharType="separate"/>
      </w:r>
      <w:r w:rsidR="004F49F9">
        <w:t>3.5.4.1</w:t>
      </w:r>
      <w:r w:rsidR="00CC1593">
        <w:rPr>
          <w:rStyle w:val="ECCHLyellow"/>
        </w:rPr>
        <w:fldChar w:fldCharType="end"/>
      </w:r>
      <w:r w:rsidRPr="007F03CC">
        <w:t>)</w:t>
      </w:r>
      <w:r w:rsidR="00E46311">
        <w:t xml:space="preserve">. </w:t>
      </w:r>
      <w:r w:rsidR="007733E7" w:rsidRPr="00E0550D">
        <w:t>As far UWB radiodetermination applications are concerned, the aggregation from all transmitters in the EESS (passive) footprint will have to be assessed. Considering the number of different radar applications covered, this could probably represent very large number</w:t>
      </w:r>
      <w:r w:rsidR="007733E7">
        <w:t>s</w:t>
      </w:r>
      <w:r w:rsidR="007733E7" w:rsidRPr="00E0550D">
        <w:t xml:space="preserve"> of interfering sources for which the aggregate impact cannot be neglected.</w:t>
      </w:r>
    </w:p>
    <w:p w14:paraId="55FA3E13" w14:textId="77777777" w:rsidR="007733E7" w:rsidRPr="00E0550D" w:rsidRDefault="007733E7" w:rsidP="007733E7">
      <w:r w:rsidRPr="00E0550D">
        <w:t>To this respect, the notion of “percentage of area or time permissible interference level may be exceeded” associated to the EESS (passive) protection criteria also need to be considered.</w:t>
      </w:r>
    </w:p>
    <w:p w14:paraId="7C2C3451" w14:textId="762A8B92" w:rsidR="007733E7" w:rsidRPr="00E0550D" w:rsidRDefault="007733E7" w:rsidP="007733E7">
      <w:r w:rsidRPr="00E0550D">
        <w:t>For the case where the percentage is 0</w:t>
      </w:r>
      <w:r w:rsidR="00CF4994">
        <w:t>.0</w:t>
      </w:r>
      <w:r w:rsidRPr="00E0550D">
        <w:t>1% (i.e. for a 99</w:t>
      </w:r>
      <w:r w:rsidR="00CF4994">
        <w:t>.9</w:t>
      </w:r>
      <w:r w:rsidRPr="00E0550D">
        <w:t>9</w:t>
      </w:r>
      <w:r w:rsidR="00F800A2">
        <w:t>%</w:t>
      </w:r>
      <w:r w:rsidRPr="00E0550D">
        <w:t xml:space="preserve"> data availability in all bands where Nadir and Conical sensors are operated), the reference “measurement area is a square on the Earth of </w:t>
      </w:r>
      <w:r w:rsidRPr="00111B5C">
        <w:t>2000000 km</w:t>
      </w:r>
      <w:r w:rsidRPr="00E0550D">
        <w:rPr>
          <w:rFonts w:cs="Arial"/>
        </w:rPr>
        <w:t>²</w:t>
      </w:r>
      <w:r w:rsidRPr="00E0550D">
        <w:t>”. Over this area that represents roughly western Europe, the interference protection criteria can only be exceed over a total area of 200</w:t>
      </w:r>
      <w:r>
        <w:t> </w:t>
      </w:r>
      <w:r w:rsidRPr="00E0550D">
        <w:t>km² (0</w:t>
      </w:r>
      <w:r w:rsidR="00CF4994">
        <w:t>.0</w:t>
      </w:r>
      <w:r w:rsidRPr="00E0550D">
        <w:t>1</w:t>
      </w:r>
      <w:r w:rsidR="00F800A2">
        <w:t>%</w:t>
      </w:r>
      <w:r w:rsidRPr="00E0550D">
        <w:t xml:space="preserve"> x 2000000</w:t>
      </w:r>
      <w:r>
        <w:t> </w:t>
      </w:r>
      <w:r w:rsidRPr="00E0550D">
        <w:t>km</w:t>
      </w:r>
      <w:r w:rsidRPr="007733E7">
        <w:t>²</w:t>
      </w:r>
      <w:r w:rsidRPr="00E0550D">
        <w:t>).</w:t>
      </w:r>
    </w:p>
    <w:p w14:paraId="46E00A53" w14:textId="77777777" w:rsidR="007733E7" w:rsidRPr="00E0550D" w:rsidRDefault="007733E7" w:rsidP="00B13A6F">
      <w:r w:rsidRPr="00E0550D">
        <w:t>This means that for Nadir and Conical EESS (passive) sensors, the protection criteria can be exceeded for a single footprint position or for very few positions over the whole western Europe. Considering the large and ubiquitous deployment of UWB radars, this roughly means that interference analysis can be addressed on a static basis for a worst</w:t>
      </w:r>
      <w:r w:rsidR="004D7B97">
        <w:t>-</w:t>
      </w:r>
      <w:r w:rsidRPr="00E0550D">
        <w:t>case position of the EESS (passive) footprint and the worst</w:t>
      </w:r>
      <w:r w:rsidR="009A3E8D">
        <w:t>-</w:t>
      </w:r>
      <w:r w:rsidRPr="00E0550D">
        <w:t>case deployment of UWB radiodetermination systems.</w:t>
      </w:r>
    </w:p>
    <w:p w14:paraId="1BF8F895" w14:textId="77777777" w:rsidR="00EB79D9" w:rsidRPr="006D6727" w:rsidRDefault="00EB79D9" w:rsidP="00EB79D9">
      <w:pPr>
        <w:pStyle w:val="Heading3"/>
        <w:rPr>
          <w:noProof/>
          <w:lang w:val="en-GB"/>
        </w:rPr>
      </w:pPr>
      <w:bookmarkStart w:id="482" w:name="_Ref67242980"/>
      <w:bookmarkStart w:id="483" w:name="_Ref67243293"/>
      <w:bookmarkStart w:id="484" w:name="_Ref67243606"/>
      <w:bookmarkStart w:id="485" w:name="_Ref67243991"/>
      <w:bookmarkStart w:id="486" w:name="_Ref67244597"/>
      <w:bookmarkStart w:id="487" w:name="_Toc84325343"/>
      <w:bookmarkStart w:id="488" w:name="_Toc127346269"/>
      <w:r w:rsidRPr="006D6727">
        <w:rPr>
          <w:noProof/>
          <w:lang w:val="en-GB"/>
        </w:rPr>
        <w:t xml:space="preserve">Amateur </w:t>
      </w:r>
      <w:r w:rsidR="00BB0742">
        <w:t>S</w:t>
      </w:r>
      <w:r w:rsidRPr="006D6727">
        <w:rPr>
          <w:noProof/>
          <w:lang w:val="en-GB"/>
        </w:rPr>
        <w:t>ervice</w:t>
      </w:r>
      <w:bookmarkEnd w:id="482"/>
      <w:bookmarkEnd w:id="483"/>
      <w:bookmarkEnd w:id="484"/>
      <w:bookmarkEnd w:id="485"/>
      <w:bookmarkEnd w:id="486"/>
      <w:bookmarkEnd w:id="487"/>
      <w:bookmarkEnd w:id="488"/>
    </w:p>
    <w:p w14:paraId="39652B38" w14:textId="6A2E90DE" w:rsidR="00EB79D9" w:rsidRPr="006D6727" w:rsidRDefault="00EB79D9" w:rsidP="00EB79D9">
      <w:pPr>
        <w:rPr>
          <w:rStyle w:val="ECCParagraph"/>
          <w:noProof/>
        </w:rPr>
      </w:pPr>
      <w:r w:rsidRPr="006D6727">
        <w:rPr>
          <w:rStyle w:val="ECCParagraph"/>
          <w:noProof/>
        </w:rPr>
        <w:t xml:space="preserve">The </w:t>
      </w:r>
      <w:r w:rsidR="00ED69E3">
        <w:rPr>
          <w:rStyle w:val="ECCParagraph"/>
          <w:noProof/>
        </w:rPr>
        <w:t>A</w:t>
      </w:r>
      <w:r w:rsidRPr="006D6727">
        <w:rPr>
          <w:rStyle w:val="ECCParagraph"/>
          <w:noProof/>
        </w:rPr>
        <w:t xml:space="preserve">mateur </w:t>
      </w:r>
      <w:r w:rsidR="00ED69E3">
        <w:rPr>
          <w:rStyle w:val="ECCParagraph"/>
          <w:noProof/>
        </w:rPr>
        <w:t>S</w:t>
      </w:r>
      <w:r w:rsidRPr="006D6727">
        <w:rPr>
          <w:rStyle w:val="ECCParagraph"/>
          <w:noProof/>
        </w:rPr>
        <w:t>ervice is the oldest radio service and pre-dates regulation of radiocommunication. The original reason for regulation of the radio spectrum was to improve maritime safety and to ensure that coast stations would communicate with all ships, not just those using their company’s equipment. In 1912, amateurs could use any frequency above 1</w:t>
      </w:r>
      <w:r w:rsidR="00CF4994">
        <w:rPr>
          <w:rStyle w:val="ECCParagraph"/>
          <w:noProof/>
        </w:rPr>
        <w:t>.5</w:t>
      </w:r>
      <w:r w:rsidR="00190948" w:rsidRPr="006D6727">
        <w:rPr>
          <w:rStyle w:val="ECCParagraph"/>
          <w:noProof/>
        </w:rPr>
        <w:t> </w:t>
      </w:r>
      <w:r w:rsidRPr="006D6727">
        <w:rPr>
          <w:rStyle w:val="ECCParagraph"/>
          <w:noProof/>
        </w:rPr>
        <w:t>MHz, as they were regarded as “of no commercial value for maritime, governmental and commercial communications”. However, the value of the higher frequency bands was recogni</w:t>
      </w:r>
      <w:r w:rsidR="00EF3E55">
        <w:rPr>
          <w:rStyle w:val="ECCParagraph"/>
          <w:noProof/>
        </w:rPr>
        <w:t>s</w:t>
      </w:r>
      <w:r w:rsidRPr="006D6727">
        <w:rPr>
          <w:rStyle w:val="ECCParagraph"/>
          <w:noProof/>
        </w:rPr>
        <w:t xml:space="preserve">ed in the 1920s. Today, the </w:t>
      </w:r>
      <w:r w:rsidR="00ED69E3">
        <w:rPr>
          <w:rStyle w:val="ECCParagraph"/>
          <w:noProof/>
        </w:rPr>
        <w:t>A</w:t>
      </w:r>
      <w:r w:rsidRPr="006D6727">
        <w:rPr>
          <w:rStyle w:val="ECCParagraph"/>
          <w:noProof/>
        </w:rPr>
        <w:t xml:space="preserve">mateur </w:t>
      </w:r>
      <w:r w:rsidR="00ED69E3">
        <w:rPr>
          <w:rStyle w:val="ECCParagraph"/>
          <w:noProof/>
        </w:rPr>
        <w:t>S</w:t>
      </w:r>
      <w:r w:rsidRPr="006D6727">
        <w:rPr>
          <w:rStyle w:val="ECCParagraph"/>
          <w:noProof/>
        </w:rPr>
        <w:t xml:space="preserve">ervice retains relatively narrow bands throughout the entire radio spectrum. These bands provide the whole range of radio wave propagation mechanisms and, through experimentation, amateurs have contributed to the understanding of propagation. Amateur radio continues to play an important role in disaster communications. It has a unique ability to provide radiocommunication independent of the telephone network or other radio services, particularly in the first few days before relief agencies are at the scene and have set up emergency telecommunication services (see Handbook on Amateur and amateur-satellite services </w:t>
      </w:r>
      <w:r w:rsidRPr="006D6727">
        <w:rPr>
          <w:rStyle w:val="ECCParagraph"/>
          <w:noProof/>
        </w:rPr>
        <w:fldChar w:fldCharType="begin"/>
      </w:r>
      <w:r w:rsidRPr="006D6727">
        <w:rPr>
          <w:rStyle w:val="ECCParagraph"/>
          <w:noProof/>
        </w:rPr>
        <w:instrText xml:space="preserve"> REF  Amateur_Handbook \h \w  \* MERGEFORMAT </w:instrText>
      </w:r>
      <w:r w:rsidRPr="006D6727">
        <w:rPr>
          <w:rStyle w:val="ECCParagraph"/>
          <w:noProof/>
        </w:rPr>
      </w:r>
      <w:r w:rsidRPr="006D6727">
        <w:rPr>
          <w:rStyle w:val="ECCParagraph"/>
          <w:noProof/>
        </w:rPr>
        <w:fldChar w:fldCharType="separate"/>
      </w:r>
      <w:r w:rsidR="004F49F9">
        <w:rPr>
          <w:rStyle w:val="ECCParagraph"/>
          <w:noProof/>
        </w:rPr>
        <w:t>[16]</w:t>
      </w:r>
      <w:r w:rsidRPr="006D6727">
        <w:rPr>
          <w:rStyle w:val="ECCParagraph"/>
          <w:noProof/>
        </w:rPr>
        <w:fldChar w:fldCharType="end"/>
      </w:r>
      <w:r w:rsidRPr="006D6727">
        <w:rPr>
          <w:rStyle w:val="ECCParagraph"/>
          <w:noProof/>
        </w:rPr>
        <w:t>).</w:t>
      </w:r>
    </w:p>
    <w:p w14:paraId="1F743780" w14:textId="305B677F" w:rsidR="004E5C5C" w:rsidRPr="004E5C5C" w:rsidRDefault="004E5C5C" w:rsidP="004E5C5C">
      <w:r w:rsidRPr="004E5C5C">
        <w:t xml:space="preserve">The amateur and amateur-satellite services have allocations within the range of study at 122, 134 and 241 GHz as documented in Section </w:t>
      </w:r>
      <w:r>
        <w:fldChar w:fldCharType="begin"/>
      </w:r>
      <w:r>
        <w:instrText xml:space="preserve"> REF _Ref15647073 \r \h </w:instrText>
      </w:r>
      <w:r>
        <w:fldChar w:fldCharType="separate"/>
      </w:r>
      <w:r w:rsidR="004F49F9">
        <w:t>3.2</w:t>
      </w:r>
      <w:r>
        <w:fldChar w:fldCharType="end"/>
      </w:r>
      <w:r>
        <w:t xml:space="preserve"> (</w:t>
      </w:r>
      <w:r w:rsidR="000609CE">
        <w:t xml:space="preserve">see </w:t>
      </w:r>
      <w:r>
        <w:fldChar w:fldCharType="begin"/>
      </w:r>
      <w:r>
        <w:instrText xml:space="preserve"> REF _Ref12449270 \h </w:instrText>
      </w:r>
      <w:r>
        <w:fldChar w:fldCharType="separate"/>
      </w:r>
      <w:r w:rsidR="0041125F" w:rsidRPr="006D6727">
        <w:rPr>
          <w:noProof/>
        </w:rPr>
        <w:t>Table </w:t>
      </w:r>
      <w:r w:rsidR="0041125F">
        <w:rPr>
          <w:noProof/>
        </w:rPr>
        <w:t>34</w:t>
      </w:r>
      <w:r>
        <w:fldChar w:fldCharType="end"/>
      </w:r>
      <w:r w:rsidRPr="004E5C5C">
        <w:t>). Whilst past use has been inhibited by equipment availability, ongoing experimentation, high performance frequency sources and innovative adaptation of commercial chipsets has led to growth in activity which can be currently categorised as:</w:t>
      </w:r>
    </w:p>
    <w:p w14:paraId="4881EFC8" w14:textId="08F41443" w:rsidR="004E5C5C" w:rsidRPr="004E5C5C" w:rsidRDefault="004E5C5C" w:rsidP="00971077">
      <w:pPr>
        <w:pStyle w:val="ECCBulletsLv1"/>
      </w:pPr>
      <w:r w:rsidRPr="004E5C5C">
        <w:t>Weak-signal reception of Narrowband (e</w:t>
      </w:r>
      <w:r w:rsidR="00AF340C">
        <w:t>.</w:t>
      </w:r>
      <w:r w:rsidRPr="004E5C5C">
        <w:t>g</w:t>
      </w:r>
      <w:r w:rsidR="00AF340C">
        <w:t>.</w:t>
      </w:r>
      <w:r w:rsidRPr="004E5C5C">
        <w:t xml:space="preserve"> CW-Morse or Voice) terrestrial operation in harmonised sub-bands</w:t>
      </w:r>
      <w:r w:rsidR="00971077">
        <w:t>;</w:t>
      </w:r>
      <w:r w:rsidRPr="004E5C5C">
        <w:t xml:space="preserve"> </w:t>
      </w:r>
    </w:p>
    <w:p w14:paraId="3BD8B408" w14:textId="7DF7EDB1" w:rsidR="004E5C5C" w:rsidRPr="004E5C5C" w:rsidRDefault="004E5C5C" w:rsidP="00971077">
      <w:pPr>
        <w:pStyle w:val="ECCBulletsLv1"/>
      </w:pPr>
      <w:r w:rsidRPr="004E5C5C">
        <w:t>Growing use of wider bandwidth modes, such as Digital Amateur TV (DATV) and data links</w:t>
      </w:r>
      <w:r w:rsidR="00971077">
        <w:t>;</w:t>
      </w:r>
    </w:p>
    <w:p w14:paraId="037F71B9" w14:textId="433969AE" w:rsidR="004E5C5C" w:rsidRPr="004E5C5C" w:rsidRDefault="004E5C5C" w:rsidP="00971077">
      <w:pPr>
        <w:pStyle w:val="ECCBulletsLv1"/>
      </w:pPr>
      <w:r w:rsidRPr="004E5C5C">
        <w:t>Usage of fixed beacon transmitting stations for propagation research and equipment alignment</w:t>
      </w:r>
      <w:r w:rsidR="00971077">
        <w:t>.</w:t>
      </w:r>
    </w:p>
    <w:p w14:paraId="4A03C596" w14:textId="6C4E6C8A" w:rsidR="00AF340C" w:rsidRDefault="004E5C5C" w:rsidP="004E5C5C">
      <w:r w:rsidRPr="004E5C5C">
        <w:t>In general, most amateur stations are currently portable low-power directional systems</w:t>
      </w:r>
      <w:r w:rsidR="00C91ECF">
        <w:t xml:space="preserve"> with high gain antennas</w:t>
      </w:r>
      <w:r w:rsidRPr="004E5C5C">
        <w:t>. In order to maximise long-range communications, operation is often from hilltops where they can achieve line of sight contacts up to 50</w:t>
      </w:r>
      <w:r w:rsidR="00C91ECF">
        <w:t> </w:t>
      </w:r>
      <w:r w:rsidRPr="004E5C5C">
        <w:t>km.</w:t>
      </w:r>
    </w:p>
    <w:p w14:paraId="7937DAEF" w14:textId="3F57B7EC" w:rsidR="00EB79D9" w:rsidRPr="006D6727" w:rsidRDefault="00EB79D9" w:rsidP="004E5C5C">
      <w:pPr>
        <w:rPr>
          <w:rStyle w:val="ECCParagraph"/>
          <w:noProof/>
        </w:rPr>
      </w:pPr>
      <w:r w:rsidRPr="006D6727">
        <w:rPr>
          <w:rStyle w:val="ECCParagraph"/>
          <w:noProof/>
        </w:rPr>
        <w:t xml:space="preserve">Characteristics of systems operating in the amateur and amateur-satellite services for use in sharing studies can be extracted from Recommendation ITU-R M.1732-2 </w:t>
      </w:r>
      <w:r w:rsidR="00570976" w:rsidRPr="006D6727">
        <w:rPr>
          <w:rStyle w:val="ECCParagraph"/>
          <w:noProof/>
        </w:rPr>
        <w:fldChar w:fldCharType="begin"/>
      </w:r>
      <w:r w:rsidR="00570976" w:rsidRPr="006D6727">
        <w:rPr>
          <w:rStyle w:val="ECCParagraph"/>
          <w:noProof/>
        </w:rPr>
        <w:instrText xml:space="preserve"> REF  ITU_R_M_1732_2 \h \w  \* MERGEFORMAT </w:instrText>
      </w:r>
      <w:r w:rsidR="00570976" w:rsidRPr="006D6727">
        <w:rPr>
          <w:rStyle w:val="ECCParagraph"/>
          <w:noProof/>
        </w:rPr>
      </w:r>
      <w:r w:rsidR="00570976" w:rsidRPr="006D6727">
        <w:rPr>
          <w:rStyle w:val="ECCParagraph"/>
          <w:noProof/>
        </w:rPr>
        <w:fldChar w:fldCharType="separate"/>
      </w:r>
      <w:r w:rsidR="004F49F9">
        <w:rPr>
          <w:rStyle w:val="ECCParagraph"/>
          <w:noProof/>
        </w:rPr>
        <w:t>[56]</w:t>
      </w:r>
      <w:r w:rsidR="00570976" w:rsidRPr="006D6727">
        <w:rPr>
          <w:rStyle w:val="ECCParagraph"/>
          <w:noProof/>
        </w:rPr>
        <w:fldChar w:fldCharType="end"/>
      </w:r>
      <w:r w:rsidR="007460FE" w:rsidRPr="006D6727">
        <w:rPr>
          <w:rStyle w:val="ECCParagraph"/>
          <w:noProof/>
        </w:rPr>
        <w:t xml:space="preserve"> </w:t>
      </w:r>
      <w:r w:rsidRPr="006D6727">
        <w:rPr>
          <w:rStyle w:val="ECCParagraph"/>
          <w:noProof/>
        </w:rPr>
        <w:t xml:space="preserve">and are illustrated in </w:t>
      </w:r>
      <w:r w:rsidRPr="006D6727">
        <w:rPr>
          <w:rStyle w:val="ECCParagraph"/>
          <w:noProof/>
        </w:rPr>
        <w:fldChar w:fldCharType="begin"/>
      </w:r>
      <w:r w:rsidRPr="006D6727">
        <w:rPr>
          <w:rStyle w:val="ECCParagraph"/>
          <w:noProof/>
        </w:rPr>
        <w:instrText xml:space="preserve"> REF _Ref15034523 \h </w:instrText>
      </w:r>
      <w:r w:rsidRPr="006D6727">
        <w:rPr>
          <w:rStyle w:val="ECCParagraph"/>
          <w:noProof/>
        </w:rPr>
      </w:r>
      <w:r w:rsidRPr="006D6727">
        <w:rPr>
          <w:rStyle w:val="ECCParagraph"/>
          <w:noProof/>
        </w:rPr>
        <w:fldChar w:fldCharType="separate"/>
      </w:r>
      <w:r w:rsidR="0041125F" w:rsidRPr="006D6727">
        <w:rPr>
          <w:noProof/>
        </w:rPr>
        <w:t>Table </w:t>
      </w:r>
      <w:r w:rsidR="0041125F">
        <w:rPr>
          <w:noProof/>
        </w:rPr>
        <w:t>48</w:t>
      </w:r>
      <w:r w:rsidRPr="006D6727">
        <w:rPr>
          <w:rStyle w:val="ECCParagraph"/>
          <w:noProof/>
        </w:rPr>
        <w:fldChar w:fldCharType="end"/>
      </w:r>
      <w:r w:rsidRPr="006D6727">
        <w:rPr>
          <w:rStyle w:val="ECCParagraph"/>
          <w:noProof/>
        </w:rPr>
        <w:t xml:space="preserve"> for the applicable frequency range in this study.</w:t>
      </w:r>
    </w:p>
    <w:p w14:paraId="6ED6E9A0" w14:textId="45051DC0" w:rsidR="00EB79D9" w:rsidRPr="006D6727" w:rsidRDefault="00EB79D9" w:rsidP="00EB79D9">
      <w:pPr>
        <w:pStyle w:val="Caption"/>
        <w:rPr>
          <w:noProof/>
          <w:lang w:val="en-GB"/>
        </w:rPr>
      </w:pPr>
      <w:bookmarkStart w:id="489" w:name="_Ref15034523"/>
      <w:r w:rsidRPr="006D6727">
        <w:rPr>
          <w:noProof/>
          <w:lang w:val="en-GB"/>
        </w:rPr>
        <w:t>Table</w:t>
      </w:r>
      <w:r w:rsidR="00BB568E"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48</w:t>
      </w:r>
      <w:r w:rsidR="00616942" w:rsidRPr="006D6727">
        <w:rPr>
          <w:noProof/>
          <w:lang w:val="en-GB"/>
        </w:rPr>
        <w:fldChar w:fldCharType="end"/>
      </w:r>
      <w:bookmarkEnd w:id="489"/>
      <w:r w:rsidRPr="006D6727">
        <w:rPr>
          <w:noProof/>
          <w:lang w:val="en-GB"/>
        </w:rPr>
        <w:t xml:space="preserve">: Technical characteristics of various amateur systems in the frequency range 76 to 250 GHz (extract from </w:t>
      </w:r>
      <w:r w:rsidR="00440C26" w:rsidRPr="006D6727">
        <w:rPr>
          <w:rStyle w:val="ECCParagraph"/>
          <w:noProof/>
        </w:rPr>
        <w:t xml:space="preserve">Recommendation </w:t>
      </w:r>
      <w:r w:rsidRPr="006D6727">
        <w:rPr>
          <w:noProof/>
          <w:lang w:val="en-GB"/>
        </w:rPr>
        <w:t>ITU-R M.1732-2</w:t>
      </w:r>
      <w:r w:rsidR="001F1625">
        <w:rPr>
          <w:noProof/>
          <w:lang w:val="en-GB"/>
        </w:rPr>
        <w:t>,</w:t>
      </w:r>
      <w:r w:rsidRPr="006D6727">
        <w:rPr>
          <w:noProof/>
          <w:lang w:val="en-GB"/>
        </w:rPr>
        <w:t xml:space="preserve"> </w:t>
      </w:r>
      <w:r w:rsidR="001F1625">
        <w:rPr>
          <w:noProof/>
          <w:lang w:val="en-GB"/>
        </w:rPr>
        <w:t>t</w:t>
      </w:r>
      <w:r w:rsidRPr="006D6727">
        <w:rPr>
          <w:noProof/>
          <w:lang w:val="en-GB"/>
        </w:rPr>
        <w:t>ables 1 to 8)</w:t>
      </w:r>
    </w:p>
    <w:tbl>
      <w:tblPr>
        <w:tblStyle w:val="ECCTable-redheader"/>
        <w:tblW w:w="0" w:type="auto"/>
        <w:tblInd w:w="0" w:type="dxa"/>
        <w:tblLayout w:type="fixed"/>
        <w:tblLook w:val="04A0" w:firstRow="1" w:lastRow="0" w:firstColumn="1" w:lastColumn="0" w:noHBand="0" w:noVBand="1"/>
      </w:tblPr>
      <w:tblGrid>
        <w:gridCol w:w="1528"/>
        <w:gridCol w:w="877"/>
        <w:gridCol w:w="1134"/>
        <w:gridCol w:w="1276"/>
        <w:gridCol w:w="1417"/>
        <w:gridCol w:w="1134"/>
        <w:gridCol w:w="1113"/>
        <w:gridCol w:w="1150"/>
      </w:tblGrid>
      <w:tr w:rsidR="00EB79D9" w:rsidRPr="006D6727" w14:paraId="6F776DDE" w14:textId="77777777" w:rsidTr="002937DA">
        <w:trPr>
          <w:cnfStyle w:val="100000000000" w:firstRow="1" w:lastRow="0" w:firstColumn="0" w:lastColumn="0" w:oddVBand="0" w:evenVBand="0" w:oddHBand="0" w:evenHBand="0" w:firstRowFirstColumn="0" w:firstRowLastColumn="0" w:lastRowFirstColumn="0" w:lastRowLastColumn="0"/>
        </w:trPr>
        <w:tc>
          <w:tcPr>
            <w:tcW w:w="1528" w:type="dxa"/>
            <w:vMerge w:val="restart"/>
          </w:tcPr>
          <w:p w14:paraId="45CD810E" w14:textId="77777777" w:rsidR="00EB79D9" w:rsidRPr="006D6727" w:rsidRDefault="00EB79D9" w:rsidP="00EB79D9">
            <w:pPr>
              <w:rPr>
                <w:noProof/>
              </w:rPr>
            </w:pPr>
            <w:r w:rsidRPr="006D6727">
              <w:rPr>
                <w:noProof/>
              </w:rPr>
              <w:t>Parameter</w:t>
            </w:r>
          </w:p>
        </w:tc>
        <w:tc>
          <w:tcPr>
            <w:tcW w:w="8101" w:type="dxa"/>
            <w:gridSpan w:val="7"/>
            <w:tcBorders>
              <w:bottom w:val="single" w:sz="4" w:space="0" w:color="FFFFFF" w:themeColor="background1"/>
            </w:tcBorders>
          </w:tcPr>
          <w:p w14:paraId="77DCDF82" w14:textId="77777777" w:rsidR="00EB79D9" w:rsidRPr="006D6727" w:rsidRDefault="00EB79D9" w:rsidP="00EB79D9">
            <w:pPr>
              <w:rPr>
                <w:noProof/>
              </w:rPr>
            </w:pPr>
            <w:r w:rsidRPr="006D6727">
              <w:rPr>
                <w:noProof/>
              </w:rPr>
              <w:t>Amateur system</w:t>
            </w:r>
          </w:p>
        </w:tc>
      </w:tr>
      <w:tr w:rsidR="00EB79D9" w:rsidRPr="006D6727" w14:paraId="25C8F9A4" w14:textId="77777777" w:rsidTr="002937DA">
        <w:tc>
          <w:tcPr>
            <w:tcW w:w="1528" w:type="dxa"/>
            <w:vMerge/>
            <w:tcBorders>
              <w:right w:val="single" w:sz="4" w:space="0" w:color="FFFFFF" w:themeColor="background1"/>
            </w:tcBorders>
          </w:tcPr>
          <w:p w14:paraId="53BED05D" w14:textId="77777777" w:rsidR="00EB79D9" w:rsidRPr="006D6727" w:rsidRDefault="00EB79D9" w:rsidP="00EB79D9">
            <w:pPr>
              <w:rPr>
                <w:noProof/>
              </w:rPr>
            </w:pPr>
          </w:p>
        </w:tc>
        <w:tc>
          <w:tcPr>
            <w:tcW w:w="87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4C5D38" w14:textId="77777777" w:rsidR="00EB79D9" w:rsidRPr="002937DA" w:rsidRDefault="00EB79D9" w:rsidP="002B7F79">
            <w:pPr>
              <w:jc w:val="center"/>
              <w:rPr>
                <w:b/>
                <w:bCs/>
                <w:noProof/>
                <w:color w:val="FFFFFF" w:themeColor="background1"/>
              </w:rPr>
            </w:pPr>
            <w:r w:rsidRPr="002937DA">
              <w:rPr>
                <w:b/>
                <w:bCs/>
                <w:noProof/>
                <w:color w:val="FFFFFF" w:themeColor="background1"/>
              </w:rPr>
              <w:t>Morse on-off keying</w:t>
            </w:r>
          </w:p>
        </w:tc>
        <w:tc>
          <w:tcPr>
            <w:tcW w:w="113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A11A97" w14:textId="77777777" w:rsidR="00EB79D9" w:rsidRPr="002937DA" w:rsidRDefault="00EB79D9" w:rsidP="002B7F79">
            <w:pPr>
              <w:jc w:val="center"/>
              <w:rPr>
                <w:b/>
                <w:bCs/>
                <w:noProof/>
                <w:color w:val="FFFFFF" w:themeColor="background1"/>
              </w:rPr>
            </w:pPr>
            <w:r w:rsidRPr="002937DA">
              <w:rPr>
                <w:b/>
                <w:bCs/>
                <w:noProof/>
                <w:color w:val="FFFFFF" w:themeColor="background1"/>
              </w:rPr>
              <w:t>Analogue voice</w:t>
            </w:r>
          </w:p>
        </w:tc>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85E640" w14:textId="77777777" w:rsidR="00EB79D9" w:rsidRPr="002937DA" w:rsidRDefault="00EB79D9" w:rsidP="002B7F79">
            <w:pPr>
              <w:jc w:val="center"/>
              <w:rPr>
                <w:b/>
                <w:bCs/>
                <w:noProof/>
                <w:color w:val="FFFFFF" w:themeColor="background1"/>
              </w:rPr>
            </w:pPr>
            <w:r w:rsidRPr="002937DA">
              <w:rPr>
                <w:b/>
                <w:bCs/>
                <w:noProof/>
                <w:color w:val="FFFFFF" w:themeColor="background1"/>
              </w:rPr>
              <w:t>Data, digital voice and multimedia</w:t>
            </w:r>
          </w:p>
        </w:tc>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DF0575" w14:textId="77777777" w:rsidR="00EB79D9" w:rsidRPr="002937DA" w:rsidRDefault="00EB79D9" w:rsidP="002B7F79">
            <w:pPr>
              <w:jc w:val="center"/>
              <w:rPr>
                <w:b/>
                <w:bCs/>
                <w:noProof/>
                <w:color w:val="FFFFFF" w:themeColor="background1"/>
              </w:rPr>
            </w:pPr>
            <w:r w:rsidRPr="002937DA">
              <w:rPr>
                <w:b/>
                <w:bCs/>
                <w:noProof/>
                <w:color w:val="FFFFFF" w:themeColor="background1"/>
              </w:rPr>
              <w:t>Earth-Moon-Earth (EME) systems</w:t>
            </w:r>
          </w:p>
        </w:tc>
        <w:tc>
          <w:tcPr>
            <w:tcW w:w="339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E13C09" w14:textId="77777777" w:rsidR="00EB79D9" w:rsidRPr="002937DA" w:rsidRDefault="00EB79D9" w:rsidP="002B7F79">
            <w:pPr>
              <w:jc w:val="center"/>
              <w:rPr>
                <w:b/>
                <w:bCs/>
                <w:noProof/>
                <w:color w:val="FFFFFF" w:themeColor="background1"/>
              </w:rPr>
            </w:pPr>
            <w:r w:rsidRPr="002937DA">
              <w:rPr>
                <w:b/>
                <w:bCs/>
                <w:noProof/>
                <w:color w:val="FFFFFF" w:themeColor="background1"/>
              </w:rPr>
              <w:t>Amateur satellite</w:t>
            </w:r>
          </w:p>
        </w:tc>
      </w:tr>
      <w:tr w:rsidR="00EB79D9" w:rsidRPr="006D6727" w14:paraId="46451683" w14:textId="77777777" w:rsidTr="002937DA">
        <w:tc>
          <w:tcPr>
            <w:tcW w:w="1528" w:type="dxa"/>
            <w:vMerge/>
            <w:tcBorders>
              <w:right w:val="single" w:sz="4" w:space="0" w:color="FFFFFF" w:themeColor="background1"/>
            </w:tcBorders>
          </w:tcPr>
          <w:p w14:paraId="2A1DD049" w14:textId="77777777" w:rsidR="00EB79D9" w:rsidRPr="006D6727" w:rsidRDefault="00EB79D9" w:rsidP="00EB79D9">
            <w:pPr>
              <w:rPr>
                <w:noProof/>
              </w:rPr>
            </w:pPr>
          </w:p>
        </w:tc>
        <w:tc>
          <w:tcPr>
            <w:tcW w:w="87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CC53D7" w14:textId="77777777" w:rsidR="00EB79D9" w:rsidRPr="002937DA" w:rsidRDefault="00EB79D9" w:rsidP="00EB79D9">
            <w:pPr>
              <w:rPr>
                <w:b/>
                <w:bCs/>
                <w:noProof/>
                <w:color w:val="FFFFFF" w:themeColor="background1"/>
              </w:rPr>
            </w:pPr>
          </w:p>
        </w:tc>
        <w:tc>
          <w:tcPr>
            <w:tcW w:w="113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B93858" w14:textId="77777777" w:rsidR="00EB79D9" w:rsidRPr="002937DA" w:rsidRDefault="00EB79D9" w:rsidP="00EB79D9">
            <w:pPr>
              <w:rPr>
                <w:b/>
                <w:bCs/>
                <w:noProof/>
                <w:color w:val="FFFFFF" w:themeColor="background1"/>
              </w:rPr>
            </w:pPr>
          </w:p>
        </w:tc>
        <w:tc>
          <w:tcPr>
            <w:tcW w:w="127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5B36EA0" w14:textId="77777777" w:rsidR="00EB79D9" w:rsidRPr="002937DA" w:rsidRDefault="00EB79D9" w:rsidP="00EB79D9">
            <w:pPr>
              <w:rPr>
                <w:b/>
                <w:bCs/>
                <w:noProof/>
                <w:color w:val="FFFFFF" w:themeColor="background1"/>
              </w:rPr>
            </w:pPr>
          </w:p>
        </w:tc>
        <w:tc>
          <w:tcPr>
            <w:tcW w:w="14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A79DC1" w14:textId="77777777" w:rsidR="00EB79D9" w:rsidRPr="002937DA" w:rsidRDefault="00EB79D9" w:rsidP="00EB79D9">
            <w:pPr>
              <w:rPr>
                <w:b/>
                <w:bCs/>
                <w:noProof/>
                <w:color w:val="FFFFFF" w:themeColor="background1"/>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5BE6B4" w14:textId="77777777" w:rsidR="00EB79D9" w:rsidRPr="002937DA" w:rsidRDefault="00EB79D9" w:rsidP="002B7F79">
            <w:pPr>
              <w:jc w:val="center"/>
              <w:rPr>
                <w:b/>
                <w:bCs/>
                <w:noProof/>
                <w:color w:val="FFFFFF" w:themeColor="background1"/>
              </w:rPr>
            </w:pPr>
            <w:r w:rsidRPr="002937DA">
              <w:rPr>
                <w:b/>
                <w:bCs/>
                <w:noProof/>
                <w:color w:val="FFFFFF" w:themeColor="background1"/>
              </w:rPr>
              <w:t>Earth-to-space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AE6F52" w14:textId="77777777" w:rsidR="00EB79D9" w:rsidRPr="002937DA" w:rsidRDefault="00EB79D9" w:rsidP="002B7F79">
            <w:pPr>
              <w:jc w:val="center"/>
              <w:rPr>
                <w:b/>
                <w:bCs/>
                <w:noProof/>
                <w:color w:val="FFFFFF" w:themeColor="background1"/>
              </w:rPr>
            </w:pPr>
            <w:r w:rsidRPr="002937DA">
              <w:rPr>
                <w:b/>
                <w:bCs/>
                <w:noProof/>
                <w:color w:val="FFFFFF" w:themeColor="background1"/>
              </w:rPr>
              <w:t>Space-to-Earth for LEO</w:t>
            </w:r>
          </w:p>
        </w:tc>
        <w:tc>
          <w:tcPr>
            <w:tcW w:w="11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F14DDD" w14:textId="77777777" w:rsidR="00EB79D9" w:rsidRPr="002937DA" w:rsidRDefault="00EB79D9" w:rsidP="002B7F79">
            <w:pPr>
              <w:jc w:val="center"/>
              <w:rPr>
                <w:b/>
                <w:bCs/>
                <w:noProof/>
                <w:color w:val="FFFFFF" w:themeColor="background1"/>
              </w:rPr>
            </w:pPr>
            <w:r w:rsidRPr="002937DA">
              <w:rPr>
                <w:b/>
                <w:bCs/>
                <w:noProof/>
                <w:color w:val="FFFFFF" w:themeColor="background1"/>
              </w:rPr>
              <w:t>Space-to-Earth for GEO/HEO</w:t>
            </w:r>
          </w:p>
        </w:tc>
      </w:tr>
      <w:tr w:rsidR="00EB79D9" w:rsidRPr="006D6727" w14:paraId="577C6E20" w14:textId="77777777" w:rsidTr="002937DA">
        <w:tc>
          <w:tcPr>
            <w:tcW w:w="1528" w:type="dxa"/>
          </w:tcPr>
          <w:p w14:paraId="637D89E9" w14:textId="77777777" w:rsidR="00EB79D9" w:rsidRPr="006D6727" w:rsidRDefault="00EB79D9" w:rsidP="000A69BD">
            <w:pPr>
              <w:pStyle w:val="ECCTabletext"/>
              <w:jc w:val="left"/>
              <w:rPr>
                <w:rStyle w:val="ECCParagraph"/>
                <w:noProof/>
              </w:rPr>
            </w:pPr>
            <w:r w:rsidRPr="006D6727">
              <w:rPr>
                <w:rStyle w:val="ECCParagraph"/>
                <w:noProof/>
              </w:rPr>
              <w:t>Feeder loss (dB) (Note 2)</w:t>
            </w:r>
          </w:p>
        </w:tc>
        <w:tc>
          <w:tcPr>
            <w:tcW w:w="877" w:type="dxa"/>
            <w:tcBorders>
              <w:top w:val="single" w:sz="4" w:space="0" w:color="FFFFFF" w:themeColor="background1"/>
            </w:tcBorders>
          </w:tcPr>
          <w:p w14:paraId="6220A62E" w14:textId="77777777" w:rsidR="00EB79D9" w:rsidRPr="006D6727" w:rsidRDefault="00EB79D9" w:rsidP="00EB79D9">
            <w:pPr>
              <w:rPr>
                <w:noProof/>
              </w:rPr>
            </w:pPr>
            <w:r w:rsidRPr="006D6727">
              <w:rPr>
                <w:noProof/>
              </w:rPr>
              <w:t>0 to 6</w:t>
            </w:r>
          </w:p>
        </w:tc>
        <w:tc>
          <w:tcPr>
            <w:tcW w:w="1134" w:type="dxa"/>
            <w:tcBorders>
              <w:top w:val="single" w:sz="4" w:space="0" w:color="FFFFFF" w:themeColor="background1"/>
            </w:tcBorders>
          </w:tcPr>
          <w:p w14:paraId="19941A31" w14:textId="77777777" w:rsidR="00EB79D9" w:rsidRPr="006D6727" w:rsidRDefault="00EB79D9" w:rsidP="00EB79D9">
            <w:pPr>
              <w:rPr>
                <w:noProof/>
              </w:rPr>
            </w:pPr>
            <w:r w:rsidRPr="006D6727">
              <w:rPr>
                <w:noProof/>
              </w:rPr>
              <w:t>0 to 6</w:t>
            </w:r>
          </w:p>
        </w:tc>
        <w:tc>
          <w:tcPr>
            <w:tcW w:w="1276" w:type="dxa"/>
            <w:tcBorders>
              <w:top w:val="single" w:sz="4" w:space="0" w:color="FFFFFF" w:themeColor="background1"/>
            </w:tcBorders>
          </w:tcPr>
          <w:p w14:paraId="61BD775B" w14:textId="77777777" w:rsidR="00EB79D9" w:rsidRPr="006D6727" w:rsidRDefault="00EB79D9" w:rsidP="00EB79D9">
            <w:pPr>
              <w:rPr>
                <w:noProof/>
              </w:rPr>
            </w:pPr>
            <w:r w:rsidRPr="006D6727">
              <w:rPr>
                <w:noProof/>
              </w:rPr>
              <w:t>0 to 6</w:t>
            </w:r>
          </w:p>
        </w:tc>
        <w:tc>
          <w:tcPr>
            <w:tcW w:w="1417" w:type="dxa"/>
            <w:tcBorders>
              <w:top w:val="single" w:sz="4" w:space="0" w:color="FFFFFF" w:themeColor="background1"/>
            </w:tcBorders>
          </w:tcPr>
          <w:p w14:paraId="3C98C8AF" w14:textId="77777777" w:rsidR="00EB79D9" w:rsidRPr="006D6727" w:rsidRDefault="00EB79D9" w:rsidP="00EB79D9">
            <w:pPr>
              <w:rPr>
                <w:noProof/>
              </w:rPr>
            </w:pPr>
            <w:r w:rsidRPr="006D6727">
              <w:rPr>
                <w:noProof/>
              </w:rPr>
              <w:t>1 to 4</w:t>
            </w:r>
          </w:p>
        </w:tc>
        <w:tc>
          <w:tcPr>
            <w:tcW w:w="1134" w:type="dxa"/>
            <w:tcBorders>
              <w:top w:val="single" w:sz="4" w:space="0" w:color="FFFFFF" w:themeColor="background1"/>
            </w:tcBorders>
          </w:tcPr>
          <w:p w14:paraId="4C57A742" w14:textId="77777777" w:rsidR="00EB79D9" w:rsidRPr="006D6727" w:rsidRDefault="00EB79D9" w:rsidP="00EB79D9">
            <w:pPr>
              <w:rPr>
                <w:noProof/>
              </w:rPr>
            </w:pPr>
            <w:r w:rsidRPr="006D6727">
              <w:rPr>
                <w:noProof/>
              </w:rPr>
              <w:t>1 to 10</w:t>
            </w:r>
          </w:p>
        </w:tc>
        <w:tc>
          <w:tcPr>
            <w:tcW w:w="1113" w:type="dxa"/>
            <w:tcBorders>
              <w:top w:val="single" w:sz="4" w:space="0" w:color="FFFFFF" w:themeColor="background1"/>
            </w:tcBorders>
          </w:tcPr>
          <w:p w14:paraId="59B865F8" w14:textId="77777777" w:rsidR="00EB79D9" w:rsidRPr="006D6727" w:rsidRDefault="00EB79D9" w:rsidP="00EB79D9">
            <w:pPr>
              <w:rPr>
                <w:noProof/>
              </w:rPr>
            </w:pPr>
            <w:r w:rsidRPr="006D6727">
              <w:rPr>
                <w:noProof/>
              </w:rPr>
              <w:t>0</w:t>
            </w:r>
            <w:r w:rsidR="00CF4994">
              <w:rPr>
                <w:noProof/>
              </w:rPr>
              <w:t>.2</w:t>
            </w:r>
            <w:r w:rsidRPr="006D6727">
              <w:rPr>
                <w:noProof/>
              </w:rPr>
              <w:t xml:space="preserve"> to 2</w:t>
            </w:r>
          </w:p>
        </w:tc>
        <w:tc>
          <w:tcPr>
            <w:tcW w:w="1150" w:type="dxa"/>
            <w:tcBorders>
              <w:top w:val="single" w:sz="4" w:space="0" w:color="FFFFFF" w:themeColor="background1"/>
            </w:tcBorders>
          </w:tcPr>
          <w:p w14:paraId="122CB084" w14:textId="77777777" w:rsidR="00EB79D9" w:rsidRPr="006D6727" w:rsidRDefault="00EB79D9" w:rsidP="00EB79D9">
            <w:pPr>
              <w:rPr>
                <w:noProof/>
              </w:rPr>
            </w:pPr>
            <w:r w:rsidRPr="006D6727">
              <w:rPr>
                <w:noProof/>
              </w:rPr>
              <w:t>0</w:t>
            </w:r>
            <w:r w:rsidR="00CF4994">
              <w:rPr>
                <w:noProof/>
              </w:rPr>
              <w:t>.2</w:t>
            </w:r>
            <w:r w:rsidRPr="006D6727">
              <w:rPr>
                <w:noProof/>
              </w:rPr>
              <w:t xml:space="preserve"> to 2</w:t>
            </w:r>
          </w:p>
        </w:tc>
      </w:tr>
      <w:tr w:rsidR="00EB79D9" w:rsidRPr="006D6727" w14:paraId="05637AE9" w14:textId="77777777" w:rsidTr="002E3843">
        <w:tc>
          <w:tcPr>
            <w:tcW w:w="1528" w:type="dxa"/>
          </w:tcPr>
          <w:p w14:paraId="5B99A7FA" w14:textId="77777777" w:rsidR="00EB79D9" w:rsidRPr="006D6727" w:rsidRDefault="00EB79D9" w:rsidP="000A69BD">
            <w:pPr>
              <w:pStyle w:val="ECCTabletext"/>
              <w:jc w:val="left"/>
              <w:rPr>
                <w:rStyle w:val="ECCParagraph"/>
                <w:noProof/>
              </w:rPr>
            </w:pPr>
            <w:r w:rsidRPr="006D6727">
              <w:rPr>
                <w:rStyle w:val="ECCParagraph"/>
                <w:noProof/>
              </w:rPr>
              <w:t>Transmitting antenna gain (dBi) (Note 2)</w:t>
            </w:r>
          </w:p>
        </w:tc>
        <w:tc>
          <w:tcPr>
            <w:tcW w:w="877" w:type="dxa"/>
          </w:tcPr>
          <w:p w14:paraId="30CE004E" w14:textId="77777777" w:rsidR="00EB79D9" w:rsidRPr="006D6727" w:rsidRDefault="00EB79D9" w:rsidP="00EB79D9">
            <w:pPr>
              <w:rPr>
                <w:noProof/>
              </w:rPr>
            </w:pPr>
            <w:r w:rsidRPr="006D6727">
              <w:rPr>
                <w:noProof/>
              </w:rPr>
              <w:t>10 to 52</w:t>
            </w:r>
          </w:p>
        </w:tc>
        <w:tc>
          <w:tcPr>
            <w:tcW w:w="1134" w:type="dxa"/>
          </w:tcPr>
          <w:p w14:paraId="69EE8C0C" w14:textId="77777777" w:rsidR="00EB79D9" w:rsidRPr="006D6727" w:rsidRDefault="00EB79D9" w:rsidP="00EB79D9">
            <w:pPr>
              <w:rPr>
                <w:noProof/>
              </w:rPr>
            </w:pPr>
            <w:r w:rsidRPr="006D6727">
              <w:rPr>
                <w:noProof/>
              </w:rPr>
              <w:t>10 to 52</w:t>
            </w:r>
          </w:p>
        </w:tc>
        <w:tc>
          <w:tcPr>
            <w:tcW w:w="1276" w:type="dxa"/>
          </w:tcPr>
          <w:p w14:paraId="7F7F8EC8" w14:textId="77777777" w:rsidR="00EB79D9" w:rsidRPr="006D6727" w:rsidRDefault="00EB79D9" w:rsidP="00EB79D9">
            <w:pPr>
              <w:rPr>
                <w:noProof/>
              </w:rPr>
            </w:pPr>
            <w:r w:rsidRPr="006D6727">
              <w:rPr>
                <w:noProof/>
              </w:rPr>
              <w:t>10 to 52</w:t>
            </w:r>
          </w:p>
        </w:tc>
        <w:tc>
          <w:tcPr>
            <w:tcW w:w="1417" w:type="dxa"/>
          </w:tcPr>
          <w:p w14:paraId="5B959A79" w14:textId="77777777" w:rsidR="00EB79D9" w:rsidRPr="006D6727" w:rsidRDefault="00EB79D9" w:rsidP="00EB79D9">
            <w:pPr>
              <w:rPr>
                <w:noProof/>
              </w:rPr>
            </w:pPr>
            <w:r w:rsidRPr="006D6727">
              <w:rPr>
                <w:noProof/>
              </w:rPr>
              <w:t>35 to 65</w:t>
            </w:r>
          </w:p>
        </w:tc>
        <w:tc>
          <w:tcPr>
            <w:tcW w:w="1134" w:type="dxa"/>
          </w:tcPr>
          <w:p w14:paraId="1553EBB3" w14:textId="77777777" w:rsidR="00EB79D9" w:rsidRPr="006D6727" w:rsidRDefault="00EB79D9" w:rsidP="00EB79D9">
            <w:pPr>
              <w:rPr>
                <w:noProof/>
              </w:rPr>
            </w:pPr>
            <w:r w:rsidRPr="006D6727">
              <w:rPr>
                <w:noProof/>
              </w:rPr>
              <w:t>10 to 52</w:t>
            </w:r>
          </w:p>
        </w:tc>
        <w:tc>
          <w:tcPr>
            <w:tcW w:w="1113" w:type="dxa"/>
          </w:tcPr>
          <w:p w14:paraId="4F860067" w14:textId="77777777" w:rsidR="00EB79D9" w:rsidRPr="006D6727" w:rsidRDefault="00EB79D9" w:rsidP="00EB79D9">
            <w:pPr>
              <w:rPr>
                <w:noProof/>
              </w:rPr>
            </w:pPr>
            <w:r w:rsidRPr="006D6727">
              <w:rPr>
                <w:noProof/>
              </w:rPr>
              <w:t>0 to 23</w:t>
            </w:r>
          </w:p>
        </w:tc>
        <w:tc>
          <w:tcPr>
            <w:tcW w:w="1150" w:type="dxa"/>
          </w:tcPr>
          <w:p w14:paraId="62CA491B" w14:textId="77777777" w:rsidR="00EB79D9" w:rsidRPr="006D6727" w:rsidRDefault="00EB79D9" w:rsidP="00EB79D9">
            <w:pPr>
              <w:rPr>
                <w:noProof/>
              </w:rPr>
            </w:pPr>
            <w:r w:rsidRPr="006D6727">
              <w:rPr>
                <w:noProof/>
              </w:rPr>
              <w:t>0 to 30</w:t>
            </w:r>
          </w:p>
        </w:tc>
      </w:tr>
      <w:tr w:rsidR="00EB79D9" w:rsidRPr="006D6727" w14:paraId="30446F19" w14:textId="77777777" w:rsidTr="002E3843">
        <w:tc>
          <w:tcPr>
            <w:tcW w:w="1528" w:type="dxa"/>
          </w:tcPr>
          <w:p w14:paraId="546EF7E9" w14:textId="77777777" w:rsidR="00EB79D9" w:rsidRPr="006D6727" w:rsidRDefault="00EB79D9" w:rsidP="002B7F79">
            <w:pPr>
              <w:jc w:val="left"/>
              <w:rPr>
                <w:noProof/>
              </w:rPr>
            </w:pPr>
            <w:r w:rsidRPr="006D6727">
              <w:rPr>
                <w:noProof/>
              </w:rPr>
              <w:t>Receiver IF bandwidth (kHz)</w:t>
            </w:r>
          </w:p>
        </w:tc>
        <w:tc>
          <w:tcPr>
            <w:tcW w:w="877" w:type="dxa"/>
          </w:tcPr>
          <w:p w14:paraId="4029997C" w14:textId="77777777" w:rsidR="00EB79D9" w:rsidRPr="006D6727" w:rsidRDefault="00EB79D9" w:rsidP="00EB79D9">
            <w:pPr>
              <w:rPr>
                <w:noProof/>
              </w:rPr>
            </w:pPr>
            <w:r w:rsidRPr="006D6727">
              <w:rPr>
                <w:noProof/>
              </w:rPr>
              <w:t>0</w:t>
            </w:r>
            <w:r w:rsidR="00CF4994">
              <w:rPr>
                <w:noProof/>
              </w:rPr>
              <w:t>.5</w:t>
            </w:r>
          </w:p>
        </w:tc>
        <w:tc>
          <w:tcPr>
            <w:tcW w:w="1134" w:type="dxa"/>
          </w:tcPr>
          <w:p w14:paraId="16F1FCD8" w14:textId="77777777" w:rsidR="00EB79D9" w:rsidRPr="006D6727" w:rsidRDefault="00EB79D9" w:rsidP="00EB79D9">
            <w:pPr>
              <w:rPr>
                <w:noProof/>
              </w:rPr>
            </w:pPr>
            <w:r w:rsidRPr="006D6727">
              <w:rPr>
                <w:noProof/>
              </w:rPr>
              <w:t>2</w:t>
            </w:r>
            <w:r w:rsidR="00CF4994">
              <w:rPr>
                <w:noProof/>
              </w:rPr>
              <w:t>.7</w:t>
            </w:r>
          </w:p>
          <w:p w14:paraId="5C7DB94B" w14:textId="77777777" w:rsidR="00EB79D9" w:rsidRPr="006D6727" w:rsidRDefault="00EB79D9" w:rsidP="00EB79D9">
            <w:pPr>
              <w:rPr>
                <w:noProof/>
              </w:rPr>
            </w:pPr>
            <w:r w:rsidRPr="006D6727">
              <w:rPr>
                <w:noProof/>
              </w:rPr>
              <w:t>9</w:t>
            </w:r>
          </w:p>
          <w:p w14:paraId="5E3A4F61" w14:textId="77777777" w:rsidR="00EB79D9" w:rsidRPr="006D6727" w:rsidRDefault="00EB79D9" w:rsidP="00EB79D9">
            <w:pPr>
              <w:rPr>
                <w:noProof/>
              </w:rPr>
            </w:pPr>
            <w:r w:rsidRPr="006D6727">
              <w:rPr>
                <w:noProof/>
              </w:rPr>
              <w:t>12</w:t>
            </w:r>
          </w:p>
          <w:p w14:paraId="7E0433F8" w14:textId="77777777" w:rsidR="00EB79D9" w:rsidRPr="006D6727" w:rsidRDefault="00EB79D9" w:rsidP="00EB79D9">
            <w:pPr>
              <w:rPr>
                <w:noProof/>
              </w:rPr>
            </w:pPr>
            <w:r w:rsidRPr="006D6727">
              <w:rPr>
                <w:noProof/>
              </w:rPr>
              <w:t>16</w:t>
            </w:r>
          </w:p>
        </w:tc>
        <w:tc>
          <w:tcPr>
            <w:tcW w:w="1276" w:type="dxa"/>
          </w:tcPr>
          <w:p w14:paraId="024ABB57" w14:textId="77777777" w:rsidR="00EB79D9" w:rsidRPr="006D6727" w:rsidRDefault="00EB79D9" w:rsidP="00EB79D9">
            <w:pPr>
              <w:rPr>
                <w:noProof/>
              </w:rPr>
            </w:pPr>
            <w:r w:rsidRPr="006D6727">
              <w:rPr>
                <w:noProof/>
              </w:rPr>
              <w:t>2</w:t>
            </w:r>
            <w:r w:rsidR="00CF4994">
              <w:rPr>
                <w:noProof/>
              </w:rPr>
              <w:t>.7</w:t>
            </w:r>
          </w:p>
          <w:p w14:paraId="0801B108" w14:textId="77777777" w:rsidR="00EB79D9" w:rsidRPr="006D6727" w:rsidRDefault="00EB79D9" w:rsidP="00EB79D9">
            <w:pPr>
              <w:rPr>
                <w:noProof/>
              </w:rPr>
            </w:pPr>
            <w:r w:rsidRPr="006D6727">
              <w:rPr>
                <w:noProof/>
              </w:rPr>
              <w:t>6</w:t>
            </w:r>
          </w:p>
          <w:p w14:paraId="43F12AC5" w14:textId="77777777" w:rsidR="00EB79D9" w:rsidRPr="006D6727" w:rsidRDefault="00EB79D9" w:rsidP="00EB79D9">
            <w:pPr>
              <w:rPr>
                <w:noProof/>
              </w:rPr>
            </w:pPr>
            <w:r w:rsidRPr="006D6727">
              <w:rPr>
                <w:noProof/>
              </w:rPr>
              <w:t>16</w:t>
            </w:r>
          </w:p>
          <w:p w14:paraId="16028E24" w14:textId="77777777" w:rsidR="00EB79D9" w:rsidRPr="006D6727" w:rsidRDefault="00EB79D9" w:rsidP="00EB79D9">
            <w:pPr>
              <w:rPr>
                <w:noProof/>
              </w:rPr>
            </w:pPr>
            <w:r w:rsidRPr="006D6727">
              <w:rPr>
                <w:noProof/>
              </w:rPr>
              <w:t>150</w:t>
            </w:r>
          </w:p>
          <w:p w14:paraId="7B13C9AD" w14:textId="17A6CCD1" w:rsidR="00EB79D9" w:rsidRPr="006D6727" w:rsidRDefault="00EB79D9" w:rsidP="00EB79D9">
            <w:pPr>
              <w:rPr>
                <w:noProof/>
              </w:rPr>
            </w:pPr>
            <w:r w:rsidRPr="006D6727">
              <w:rPr>
                <w:noProof/>
              </w:rPr>
              <w:t>10500</w:t>
            </w:r>
          </w:p>
        </w:tc>
        <w:tc>
          <w:tcPr>
            <w:tcW w:w="1417" w:type="dxa"/>
          </w:tcPr>
          <w:p w14:paraId="412CE071" w14:textId="77777777" w:rsidR="00EB79D9" w:rsidRPr="006D6727" w:rsidRDefault="00EB79D9" w:rsidP="00EB79D9">
            <w:pPr>
              <w:rPr>
                <w:noProof/>
              </w:rPr>
            </w:pPr>
            <w:r w:rsidRPr="006D6727">
              <w:rPr>
                <w:noProof/>
              </w:rPr>
              <w:t>2</w:t>
            </w:r>
            <w:r w:rsidR="00CF4994">
              <w:rPr>
                <w:noProof/>
              </w:rPr>
              <w:t>.4</w:t>
            </w:r>
          </w:p>
        </w:tc>
        <w:tc>
          <w:tcPr>
            <w:tcW w:w="1134" w:type="dxa"/>
          </w:tcPr>
          <w:p w14:paraId="71AB2CC9" w14:textId="77777777" w:rsidR="00EB79D9" w:rsidRPr="006D6727" w:rsidRDefault="00EB79D9" w:rsidP="00EB79D9">
            <w:pPr>
              <w:rPr>
                <w:noProof/>
              </w:rPr>
            </w:pPr>
            <w:r w:rsidRPr="006D6727">
              <w:rPr>
                <w:noProof/>
              </w:rPr>
              <w:t>0</w:t>
            </w:r>
            <w:r w:rsidR="00CF4994">
              <w:rPr>
                <w:noProof/>
              </w:rPr>
              <w:t>.4</w:t>
            </w:r>
          </w:p>
          <w:p w14:paraId="4EE1FDC6" w14:textId="77777777" w:rsidR="00EB79D9" w:rsidRPr="006D6727" w:rsidRDefault="00EB79D9" w:rsidP="00EB79D9">
            <w:pPr>
              <w:rPr>
                <w:noProof/>
              </w:rPr>
            </w:pPr>
            <w:r w:rsidRPr="006D6727">
              <w:rPr>
                <w:noProof/>
              </w:rPr>
              <w:t>2</w:t>
            </w:r>
            <w:r w:rsidR="00CF4994">
              <w:rPr>
                <w:noProof/>
              </w:rPr>
              <w:t>.7</w:t>
            </w:r>
          </w:p>
          <w:p w14:paraId="4ED17E5A" w14:textId="77777777" w:rsidR="00EB79D9" w:rsidRPr="006D6727" w:rsidRDefault="00EB79D9" w:rsidP="00EB79D9">
            <w:pPr>
              <w:rPr>
                <w:noProof/>
              </w:rPr>
            </w:pPr>
            <w:r w:rsidRPr="006D6727">
              <w:rPr>
                <w:noProof/>
              </w:rPr>
              <w:t>16</w:t>
            </w:r>
          </w:p>
          <w:p w14:paraId="55E93256" w14:textId="77777777" w:rsidR="00EB79D9" w:rsidRPr="006D6727" w:rsidRDefault="00EB79D9" w:rsidP="00EB79D9">
            <w:pPr>
              <w:rPr>
                <w:noProof/>
              </w:rPr>
            </w:pPr>
            <w:r w:rsidRPr="006D6727">
              <w:rPr>
                <w:noProof/>
              </w:rPr>
              <w:t>50</w:t>
            </w:r>
          </w:p>
          <w:p w14:paraId="6E3CFFCE" w14:textId="77777777" w:rsidR="00EB79D9" w:rsidRPr="006D6727" w:rsidRDefault="00EB79D9" w:rsidP="00EB79D9">
            <w:pPr>
              <w:rPr>
                <w:noProof/>
              </w:rPr>
            </w:pPr>
            <w:r w:rsidRPr="006D6727">
              <w:rPr>
                <w:noProof/>
              </w:rPr>
              <w:t>100</w:t>
            </w:r>
          </w:p>
          <w:p w14:paraId="352E77A0" w14:textId="77777777" w:rsidR="00EB79D9" w:rsidRPr="006D6727" w:rsidRDefault="00EB79D9" w:rsidP="00EB79D9">
            <w:pPr>
              <w:rPr>
                <w:noProof/>
              </w:rPr>
            </w:pPr>
            <w:r w:rsidRPr="006D6727">
              <w:rPr>
                <w:noProof/>
              </w:rPr>
              <w:t>400</w:t>
            </w:r>
          </w:p>
          <w:p w14:paraId="52AFFD48" w14:textId="750C29F1" w:rsidR="00EB79D9" w:rsidRPr="006D6727" w:rsidRDefault="00EB79D9" w:rsidP="00EB79D9">
            <w:pPr>
              <w:rPr>
                <w:noProof/>
              </w:rPr>
            </w:pPr>
            <w:r w:rsidRPr="006D6727">
              <w:rPr>
                <w:noProof/>
              </w:rPr>
              <w:t>10000</w:t>
            </w:r>
          </w:p>
        </w:tc>
        <w:tc>
          <w:tcPr>
            <w:tcW w:w="1113" w:type="dxa"/>
          </w:tcPr>
          <w:p w14:paraId="449489EC" w14:textId="77777777" w:rsidR="00EB79D9" w:rsidRPr="006D6727" w:rsidRDefault="00EB79D9" w:rsidP="00EB79D9">
            <w:pPr>
              <w:rPr>
                <w:noProof/>
              </w:rPr>
            </w:pPr>
            <w:r w:rsidRPr="006D6727">
              <w:rPr>
                <w:noProof/>
              </w:rPr>
              <w:t>0</w:t>
            </w:r>
            <w:r w:rsidR="00CF4994">
              <w:rPr>
                <w:noProof/>
              </w:rPr>
              <w:t>.4</w:t>
            </w:r>
          </w:p>
          <w:p w14:paraId="117C099D" w14:textId="77777777" w:rsidR="00EB79D9" w:rsidRPr="006D6727" w:rsidRDefault="00EB79D9" w:rsidP="00EB79D9">
            <w:pPr>
              <w:rPr>
                <w:noProof/>
              </w:rPr>
            </w:pPr>
            <w:r w:rsidRPr="006D6727">
              <w:rPr>
                <w:noProof/>
              </w:rPr>
              <w:t>2</w:t>
            </w:r>
            <w:r w:rsidR="00CF4994">
              <w:rPr>
                <w:noProof/>
              </w:rPr>
              <w:t>.7</w:t>
            </w:r>
          </w:p>
          <w:p w14:paraId="5E898E92" w14:textId="77777777" w:rsidR="00EB79D9" w:rsidRPr="006D6727" w:rsidRDefault="00EB79D9" w:rsidP="00EB79D9">
            <w:pPr>
              <w:rPr>
                <w:noProof/>
              </w:rPr>
            </w:pPr>
            <w:r w:rsidRPr="006D6727">
              <w:rPr>
                <w:noProof/>
              </w:rPr>
              <w:t>16</w:t>
            </w:r>
          </w:p>
          <w:p w14:paraId="5E2F5C44" w14:textId="77777777" w:rsidR="00EB79D9" w:rsidRPr="006D6727" w:rsidRDefault="00EB79D9" w:rsidP="00EB79D9">
            <w:pPr>
              <w:rPr>
                <w:noProof/>
              </w:rPr>
            </w:pPr>
            <w:r w:rsidRPr="006D6727">
              <w:rPr>
                <w:noProof/>
              </w:rPr>
              <w:t>50</w:t>
            </w:r>
          </w:p>
          <w:p w14:paraId="59F385C0" w14:textId="77777777" w:rsidR="00EB79D9" w:rsidRPr="006D6727" w:rsidRDefault="00EB79D9" w:rsidP="00EB79D9">
            <w:pPr>
              <w:rPr>
                <w:noProof/>
              </w:rPr>
            </w:pPr>
            <w:r w:rsidRPr="006D6727">
              <w:rPr>
                <w:noProof/>
              </w:rPr>
              <w:t>100</w:t>
            </w:r>
          </w:p>
          <w:p w14:paraId="6E5F09EA" w14:textId="77777777" w:rsidR="00EB79D9" w:rsidRPr="006D6727" w:rsidRDefault="00EB79D9" w:rsidP="00EB79D9">
            <w:pPr>
              <w:rPr>
                <w:noProof/>
              </w:rPr>
            </w:pPr>
            <w:r w:rsidRPr="006D6727">
              <w:rPr>
                <w:noProof/>
              </w:rPr>
              <w:t>400</w:t>
            </w:r>
          </w:p>
          <w:p w14:paraId="4F0C36D1" w14:textId="6EB1EF58" w:rsidR="00EB79D9" w:rsidRPr="006D6727" w:rsidRDefault="00EB79D9" w:rsidP="00EB79D9">
            <w:pPr>
              <w:rPr>
                <w:noProof/>
              </w:rPr>
            </w:pPr>
            <w:r w:rsidRPr="006D6727">
              <w:rPr>
                <w:noProof/>
              </w:rPr>
              <w:t>10000</w:t>
            </w:r>
          </w:p>
        </w:tc>
        <w:tc>
          <w:tcPr>
            <w:tcW w:w="1150" w:type="dxa"/>
          </w:tcPr>
          <w:p w14:paraId="229FBD7B" w14:textId="77777777" w:rsidR="00EB79D9" w:rsidRPr="006D6727" w:rsidRDefault="00EB79D9" w:rsidP="00EB79D9">
            <w:pPr>
              <w:rPr>
                <w:noProof/>
              </w:rPr>
            </w:pPr>
            <w:r w:rsidRPr="006D6727">
              <w:rPr>
                <w:noProof/>
              </w:rPr>
              <w:t>0</w:t>
            </w:r>
            <w:r w:rsidR="00CF4994">
              <w:rPr>
                <w:noProof/>
              </w:rPr>
              <w:t>.4</w:t>
            </w:r>
          </w:p>
          <w:p w14:paraId="6534CB15" w14:textId="77777777" w:rsidR="00EB79D9" w:rsidRPr="006D6727" w:rsidRDefault="00EB79D9" w:rsidP="00EB79D9">
            <w:pPr>
              <w:rPr>
                <w:noProof/>
              </w:rPr>
            </w:pPr>
            <w:r w:rsidRPr="006D6727">
              <w:rPr>
                <w:noProof/>
              </w:rPr>
              <w:t>2</w:t>
            </w:r>
            <w:r w:rsidR="00CF4994">
              <w:rPr>
                <w:noProof/>
              </w:rPr>
              <w:t>.7</w:t>
            </w:r>
          </w:p>
          <w:p w14:paraId="355FD5B2" w14:textId="77777777" w:rsidR="00EB79D9" w:rsidRPr="006D6727" w:rsidRDefault="00EB79D9" w:rsidP="00EB79D9">
            <w:pPr>
              <w:rPr>
                <w:noProof/>
              </w:rPr>
            </w:pPr>
            <w:r w:rsidRPr="006D6727">
              <w:rPr>
                <w:noProof/>
              </w:rPr>
              <w:t>16</w:t>
            </w:r>
          </w:p>
          <w:p w14:paraId="3895EB2D" w14:textId="77777777" w:rsidR="00EB79D9" w:rsidRPr="006D6727" w:rsidRDefault="00EB79D9" w:rsidP="00EB79D9">
            <w:pPr>
              <w:rPr>
                <w:noProof/>
              </w:rPr>
            </w:pPr>
            <w:r w:rsidRPr="006D6727">
              <w:rPr>
                <w:noProof/>
              </w:rPr>
              <w:t>50</w:t>
            </w:r>
          </w:p>
          <w:p w14:paraId="6A6BEB32" w14:textId="77777777" w:rsidR="00EB79D9" w:rsidRPr="006D6727" w:rsidRDefault="00EB79D9" w:rsidP="00EB79D9">
            <w:pPr>
              <w:rPr>
                <w:noProof/>
              </w:rPr>
            </w:pPr>
            <w:r w:rsidRPr="006D6727">
              <w:rPr>
                <w:noProof/>
              </w:rPr>
              <w:t>100</w:t>
            </w:r>
          </w:p>
          <w:p w14:paraId="492AD2CD" w14:textId="77777777" w:rsidR="00EB79D9" w:rsidRPr="006D6727" w:rsidRDefault="00EB79D9" w:rsidP="00EB79D9">
            <w:pPr>
              <w:rPr>
                <w:noProof/>
              </w:rPr>
            </w:pPr>
            <w:r w:rsidRPr="006D6727">
              <w:rPr>
                <w:noProof/>
              </w:rPr>
              <w:t>400</w:t>
            </w:r>
          </w:p>
          <w:p w14:paraId="0AE5E30F" w14:textId="3B37F948" w:rsidR="00EB79D9" w:rsidRPr="006D6727" w:rsidRDefault="00EB79D9" w:rsidP="00EB79D9">
            <w:pPr>
              <w:rPr>
                <w:noProof/>
              </w:rPr>
            </w:pPr>
            <w:r w:rsidRPr="006D6727">
              <w:rPr>
                <w:noProof/>
              </w:rPr>
              <w:t>10000</w:t>
            </w:r>
          </w:p>
        </w:tc>
      </w:tr>
      <w:tr w:rsidR="00EB79D9" w:rsidRPr="006D6727" w14:paraId="2924B5FC" w14:textId="77777777" w:rsidTr="002E3843">
        <w:tc>
          <w:tcPr>
            <w:tcW w:w="1528" w:type="dxa"/>
          </w:tcPr>
          <w:p w14:paraId="4C66D1D8" w14:textId="77777777" w:rsidR="00EB79D9" w:rsidRPr="006D6727" w:rsidRDefault="00EB79D9" w:rsidP="00EB79D9">
            <w:pPr>
              <w:rPr>
                <w:noProof/>
              </w:rPr>
            </w:pPr>
            <w:r w:rsidRPr="006D6727">
              <w:rPr>
                <w:noProof/>
              </w:rPr>
              <w:t>Receiver noise figure (dB)</w:t>
            </w:r>
          </w:p>
        </w:tc>
        <w:tc>
          <w:tcPr>
            <w:tcW w:w="877" w:type="dxa"/>
          </w:tcPr>
          <w:p w14:paraId="1F8D3B6A" w14:textId="77777777" w:rsidR="00EB79D9" w:rsidRPr="006D6727" w:rsidRDefault="00EB79D9" w:rsidP="00EB79D9">
            <w:pPr>
              <w:rPr>
                <w:noProof/>
              </w:rPr>
            </w:pPr>
            <w:r w:rsidRPr="006D6727">
              <w:rPr>
                <w:noProof/>
              </w:rPr>
              <w:t>3 to 7</w:t>
            </w:r>
          </w:p>
        </w:tc>
        <w:tc>
          <w:tcPr>
            <w:tcW w:w="1134" w:type="dxa"/>
          </w:tcPr>
          <w:p w14:paraId="082D1339" w14:textId="77777777" w:rsidR="00EB79D9" w:rsidRPr="006D6727" w:rsidRDefault="00EB79D9" w:rsidP="00EB79D9">
            <w:pPr>
              <w:rPr>
                <w:noProof/>
              </w:rPr>
            </w:pPr>
            <w:r w:rsidRPr="006D6727">
              <w:rPr>
                <w:noProof/>
              </w:rPr>
              <w:t>3 to 7</w:t>
            </w:r>
          </w:p>
        </w:tc>
        <w:tc>
          <w:tcPr>
            <w:tcW w:w="1276" w:type="dxa"/>
          </w:tcPr>
          <w:p w14:paraId="444730A6" w14:textId="77777777" w:rsidR="00EB79D9" w:rsidRPr="006D6727" w:rsidRDefault="00EB79D9" w:rsidP="00EB79D9">
            <w:pPr>
              <w:rPr>
                <w:noProof/>
              </w:rPr>
            </w:pPr>
            <w:r w:rsidRPr="006D6727">
              <w:rPr>
                <w:noProof/>
              </w:rPr>
              <w:t>3 to 7</w:t>
            </w:r>
          </w:p>
        </w:tc>
        <w:tc>
          <w:tcPr>
            <w:tcW w:w="1417" w:type="dxa"/>
          </w:tcPr>
          <w:p w14:paraId="7A2219F5" w14:textId="77777777" w:rsidR="00EB79D9" w:rsidRPr="006D6727" w:rsidRDefault="00EB79D9" w:rsidP="00EB79D9">
            <w:pPr>
              <w:rPr>
                <w:noProof/>
              </w:rPr>
            </w:pPr>
            <w:r w:rsidRPr="006D6727">
              <w:rPr>
                <w:noProof/>
              </w:rPr>
              <w:t>3 to 7</w:t>
            </w:r>
          </w:p>
        </w:tc>
        <w:tc>
          <w:tcPr>
            <w:tcW w:w="1134" w:type="dxa"/>
          </w:tcPr>
          <w:p w14:paraId="094ABB0D" w14:textId="77777777" w:rsidR="00EB79D9" w:rsidRPr="006D6727" w:rsidRDefault="00EB79D9" w:rsidP="00EB79D9">
            <w:pPr>
              <w:rPr>
                <w:noProof/>
              </w:rPr>
            </w:pPr>
            <w:r w:rsidRPr="006D6727">
              <w:rPr>
                <w:noProof/>
              </w:rPr>
              <w:t>3 to 7</w:t>
            </w:r>
          </w:p>
        </w:tc>
        <w:tc>
          <w:tcPr>
            <w:tcW w:w="1113" w:type="dxa"/>
          </w:tcPr>
          <w:p w14:paraId="12F69CB2" w14:textId="77777777" w:rsidR="00EB79D9" w:rsidRPr="006D6727" w:rsidRDefault="00EB79D9" w:rsidP="00EB79D9">
            <w:pPr>
              <w:rPr>
                <w:noProof/>
              </w:rPr>
            </w:pPr>
            <w:r w:rsidRPr="006D6727">
              <w:rPr>
                <w:noProof/>
              </w:rPr>
              <w:t>3 to 7</w:t>
            </w:r>
          </w:p>
        </w:tc>
        <w:tc>
          <w:tcPr>
            <w:tcW w:w="1150" w:type="dxa"/>
          </w:tcPr>
          <w:p w14:paraId="19E60A45" w14:textId="77777777" w:rsidR="00EB79D9" w:rsidRPr="006D6727" w:rsidRDefault="00EB79D9" w:rsidP="00EB79D9">
            <w:pPr>
              <w:rPr>
                <w:noProof/>
              </w:rPr>
            </w:pPr>
            <w:r w:rsidRPr="006D6727">
              <w:rPr>
                <w:noProof/>
              </w:rPr>
              <w:t>3 to 7</w:t>
            </w:r>
          </w:p>
        </w:tc>
      </w:tr>
      <w:tr w:rsidR="00EB79D9" w:rsidRPr="006D6727" w14:paraId="4392EE8F" w14:textId="77777777" w:rsidTr="002E3843">
        <w:tc>
          <w:tcPr>
            <w:tcW w:w="1528" w:type="dxa"/>
          </w:tcPr>
          <w:p w14:paraId="006651E1" w14:textId="77777777" w:rsidR="00EB79D9" w:rsidRPr="006D6727" w:rsidRDefault="00EB79D9" w:rsidP="002B7F79">
            <w:pPr>
              <w:jc w:val="left"/>
              <w:rPr>
                <w:noProof/>
              </w:rPr>
            </w:pPr>
            <w:r w:rsidRPr="006D6727">
              <w:rPr>
                <w:noProof/>
              </w:rPr>
              <w:t>I/N criteria (dB) (Note 1)</w:t>
            </w:r>
          </w:p>
        </w:tc>
        <w:tc>
          <w:tcPr>
            <w:tcW w:w="877" w:type="dxa"/>
          </w:tcPr>
          <w:p w14:paraId="705FC33B" w14:textId="77777777" w:rsidR="00EB79D9" w:rsidRPr="006D6727" w:rsidRDefault="00EB79D9" w:rsidP="00EB79D9">
            <w:pPr>
              <w:rPr>
                <w:noProof/>
              </w:rPr>
            </w:pPr>
            <w:r w:rsidRPr="006D6727">
              <w:rPr>
                <w:noProof/>
              </w:rPr>
              <w:t>-6/-10</w:t>
            </w:r>
          </w:p>
        </w:tc>
        <w:tc>
          <w:tcPr>
            <w:tcW w:w="1134" w:type="dxa"/>
          </w:tcPr>
          <w:p w14:paraId="24D1ABDE" w14:textId="77777777" w:rsidR="00EB79D9" w:rsidRPr="006D6727" w:rsidRDefault="00EB79D9" w:rsidP="00EB79D9">
            <w:pPr>
              <w:rPr>
                <w:noProof/>
              </w:rPr>
            </w:pPr>
            <w:r w:rsidRPr="006D6727">
              <w:rPr>
                <w:noProof/>
              </w:rPr>
              <w:t>-6/-10</w:t>
            </w:r>
          </w:p>
        </w:tc>
        <w:tc>
          <w:tcPr>
            <w:tcW w:w="1276" w:type="dxa"/>
          </w:tcPr>
          <w:p w14:paraId="1ABB2810" w14:textId="77777777" w:rsidR="00EB79D9" w:rsidRPr="006D6727" w:rsidRDefault="00EB79D9" w:rsidP="00EB79D9">
            <w:pPr>
              <w:rPr>
                <w:noProof/>
              </w:rPr>
            </w:pPr>
            <w:r w:rsidRPr="006D6727">
              <w:rPr>
                <w:noProof/>
              </w:rPr>
              <w:t>-6/-10</w:t>
            </w:r>
          </w:p>
        </w:tc>
        <w:tc>
          <w:tcPr>
            <w:tcW w:w="1417" w:type="dxa"/>
          </w:tcPr>
          <w:p w14:paraId="18FC9B12" w14:textId="77777777" w:rsidR="00EB79D9" w:rsidRPr="006D6727" w:rsidRDefault="00EB79D9" w:rsidP="00EB79D9">
            <w:pPr>
              <w:rPr>
                <w:noProof/>
              </w:rPr>
            </w:pPr>
            <w:r w:rsidRPr="006D6727">
              <w:rPr>
                <w:noProof/>
              </w:rPr>
              <w:t>-6/-10</w:t>
            </w:r>
          </w:p>
        </w:tc>
        <w:tc>
          <w:tcPr>
            <w:tcW w:w="1134" w:type="dxa"/>
          </w:tcPr>
          <w:p w14:paraId="2DD5D04A" w14:textId="77777777" w:rsidR="00EB79D9" w:rsidRPr="006D6727" w:rsidRDefault="00EB79D9" w:rsidP="00EB79D9">
            <w:pPr>
              <w:rPr>
                <w:noProof/>
              </w:rPr>
            </w:pPr>
            <w:r w:rsidRPr="006D6727">
              <w:rPr>
                <w:noProof/>
              </w:rPr>
              <w:t>-6/-10</w:t>
            </w:r>
          </w:p>
        </w:tc>
        <w:tc>
          <w:tcPr>
            <w:tcW w:w="1113" w:type="dxa"/>
          </w:tcPr>
          <w:p w14:paraId="7EA47D0C" w14:textId="77777777" w:rsidR="00EB79D9" w:rsidRPr="006D6727" w:rsidRDefault="00EB79D9" w:rsidP="00EB79D9">
            <w:pPr>
              <w:rPr>
                <w:noProof/>
              </w:rPr>
            </w:pPr>
            <w:r w:rsidRPr="006D6727">
              <w:rPr>
                <w:noProof/>
              </w:rPr>
              <w:t>-6/-10</w:t>
            </w:r>
          </w:p>
        </w:tc>
        <w:tc>
          <w:tcPr>
            <w:tcW w:w="1150" w:type="dxa"/>
          </w:tcPr>
          <w:p w14:paraId="075E3138" w14:textId="77777777" w:rsidR="00EB79D9" w:rsidRPr="006D6727" w:rsidRDefault="00EB79D9" w:rsidP="00EB79D9">
            <w:pPr>
              <w:rPr>
                <w:noProof/>
              </w:rPr>
            </w:pPr>
            <w:r w:rsidRPr="006D6727">
              <w:rPr>
                <w:noProof/>
              </w:rPr>
              <w:t>-6/-10</w:t>
            </w:r>
          </w:p>
        </w:tc>
      </w:tr>
      <w:tr w:rsidR="00F40538" w:rsidRPr="006D6727" w14:paraId="08A67E24" w14:textId="77777777" w:rsidTr="00200700">
        <w:tc>
          <w:tcPr>
            <w:tcW w:w="9629" w:type="dxa"/>
            <w:gridSpan w:val="8"/>
          </w:tcPr>
          <w:p w14:paraId="76D6CD25" w14:textId="4D75A5A1" w:rsidR="00F40538" w:rsidRPr="00F40538" w:rsidRDefault="00F40538" w:rsidP="00464AE0">
            <w:pPr>
              <w:pStyle w:val="ECCTablenote"/>
            </w:pPr>
            <w:r w:rsidRPr="00F40538">
              <w:t xml:space="preserve">Note 1: For applications with greater protection requirements, such as public protection and disaster relief (PPDR), an I/N of −10 dB may be used to determine the impact of interference (see </w:t>
            </w:r>
            <w:r w:rsidRPr="00667141">
              <w:t xml:space="preserve">ITU-R M.1808 </w:t>
            </w:r>
            <w:r w:rsidRPr="00667141">
              <w:rPr>
                <w:rStyle w:val="ECCParagraph"/>
                <w:sz w:val="16"/>
              </w:rPr>
              <w:fldChar w:fldCharType="begin"/>
            </w:r>
            <w:r w:rsidRPr="002959BB">
              <w:rPr>
                <w:rStyle w:val="ECCParagraph"/>
                <w:sz w:val="16"/>
                <w:highlight w:val="yellow"/>
              </w:rPr>
              <w:instrText xml:space="preserve"> REF  ITU_R_M_1808_1 \h \w  \* MERGEFORMAT </w:instrText>
            </w:r>
            <w:r w:rsidRPr="00667141">
              <w:rPr>
                <w:rStyle w:val="ECCParagraph"/>
                <w:sz w:val="16"/>
              </w:rPr>
            </w:r>
            <w:r w:rsidRPr="00667141">
              <w:rPr>
                <w:rStyle w:val="ECCParagraph"/>
                <w:sz w:val="16"/>
              </w:rPr>
              <w:fldChar w:fldCharType="separate"/>
            </w:r>
            <w:r w:rsidR="0041125F" w:rsidRPr="0041125F">
              <w:rPr>
                <w:rStyle w:val="ECCParagraph"/>
                <w:sz w:val="16"/>
              </w:rPr>
              <w:t>[57]</w:t>
            </w:r>
            <w:r w:rsidRPr="00667141">
              <w:rPr>
                <w:rStyle w:val="ECCParagraph"/>
                <w:sz w:val="16"/>
              </w:rPr>
              <w:fldChar w:fldCharType="end"/>
            </w:r>
            <w:r w:rsidRPr="00F40538">
              <w:t>).</w:t>
            </w:r>
          </w:p>
          <w:p w14:paraId="2989058B" w14:textId="0E35F736" w:rsidR="00F40538" w:rsidRPr="006D6727" w:rsidRDefault="00F40538" w:rsidP="00464AE0">
            <w:pPr>
              <w:pStyle w:val="ECCTablenote"/>
            </w:pPr>
            <w:r w:rsidRPr="00F40538">
              <w:t xml:space="preserve">Note 2: Feeder losses and antenna gains are only given in </w:t>
            </w:r>
            <w:r w:rsidRPr="00667141">
              <w:t xml:space="preserve">ITU-R M.1732-2 </w:t>
            </w:r>
            <w:r w:rsidRPr="002959BB">
              <w:rPr>
                <w:rStyle w:val="ECCParagraph"/>
                <w:sz w:val="16"/>
                <w:highlight w:val="yellow"/>
              </w:rPr>
              <w:fldChar w:fldCharType="begin"/>
            </w:r>
            <w:r w:rsidRPr="00667141">
              <w:rPr>
                <w:rStyle w:val="ECCParagraph"/>
                <w:sz w:val="16"/>
              </w:rPr>
              <w:instrText xml:space="preserve"> REF  ITU_R_M_1732_2 \h \w  \* MERGEFORMAT </w:instrText>
            </w:r>
            <w:r w:rsidRPr="002959BB">
              <w:rPr>
                <w:rStyle w:val="ECCParagraph"/>
                <w:sz w:val="16"/>
                <w:highlight w:val="yellow"/>
              </w:rPr>
            </w:r>
            <w:r w:rsidRPr="002959BB">
              <w:rPr>
                <w:rStyle w:val="ECCParagraph"/>
                <w:sz w:val="16"/>
                <w:highlight w:val="yellow"/>
              </w:rPr>
              <w:fldChar w:fldCharType="separate"/>
            </w:r>
            <w:r w:rsidR="004F49F9">
              <w:rPr>
                <w:rStyle w:val="ECCParagraph"/>
                <w:sz w:val="16"/>
              </w:rPr>
              <w:t>[56]</w:t>
            </w:r>
            <w:r w:rsidRPr="002959BB">
              <w:rPr>
                <w:rStyle w:val="ECCParagraph"/>
                <w:sz w:val="16"/>
                <w:highlight w:val="yellow"/>
              </w:rPr>
              <w:fldChar w:fldCharType="end"/>
            </w:r>
            <w:r w:rsidRPr="00F40538">
              <w:rPr>
                <w:rStyle w:val="ECCParagraph"/>
                <w:sz w:val="16"/>
              </w:rPr>
              <w:t xml:space="preserve"> </w:t>
            </w:r>
            <w:r w:rsidRPr="00F40538">
              <w:t>for the transmitter case.</w:t>
            </w:r>
          </w:p>
        </w:tc>
      </w:tr>
    </w:tbl>
    <w:p w14:paraId="7641D9FB" w14:textId="53AD5388" w:rsidR="0031614E" w:rsidRPr="006D6727" w:rsidRDefault="0031614E" w:rsidP="0031614E">
      <w:pPr>
        <w:rPr>
          <w:noProof/>
        </w:rPr>
      </w:pPr>
      <w:r w:rsidRPr="006D6727">
        <w:rPr>
          <w:rStyle w:val="ECCParagraph"/>
          <w:noProof/>
        </w:rPr>
        <w:t xml:space="preserve">Further information concerning frequency sharing in the </w:t>
      </w:r>
      <w:r w:rsidR="00ED69E3">
        <w:rPr>
          <w:rStyle w:val="ECCParagraph"/>
          <w:noProof/>
        </w:rPr>
        <w:t>A</w:t>
      </w:r>
      <w:r w:rsidRPr="006D6727">
        <w:rPr>
          <w:rStyle w:val="ECCParagraph"/>
          <w:noProof/>
        </w:rPr>
        <w:t xml:space="preserve">mateur </w:t>
      </w:r>
      <w:r w:rsidR="00ED69E3">
        <w:rPr>
          <w:rStyle w:val="ECCParagraph"/>
          <w:noProof/>
        </w:rPr>
        <w:t>S</w:t>
      </w:r>
      <w:r w:rsidRPr="006D6727">
        <w:rPr>
          <w:rStyle w:val="ECCParagraph"/>
          <w:noProof/>
        </w:rPr>
        <w:t>ervices can be found in Recommendation ITU-R M.1044-2</w:t>
      </w:r>
      <w:r w:rsidR="005B76E0" w:rsidRPr="006D6727">
        <w:rPr>
          <w:rStyle w:val="ECCParagraph"/>
          <w:noProof/>
        </w:rPr>
        <w:t xml:space="preserve"> </w:t>
      </w:r>
      <w:r w:rsidR="00D3107C" w:rsidRPr="006D6727">
        <w:rPr>
          <w:rStyle w:val="ECCParagraph"/>
          <w:noProof/>
        </w:rPr>
        <w:fldChar w:fldCharType="begin"/>
      </w:r>
      <w:r w:rsidR="00D3107C" w:rsidRPr="006D6727">
        <w:rPr>
          <w:rStyle w:val="ECCParagraph"/>
          <w:noProof/>
        </w:rPr>
        <w:instrText xml:space="preserve"> REF  ITU_R_M_1044_2 \h \w  \* MERGEFORMAT </w:instrText>
      </w:r>
      <w:r w:rsidR="00D3107C" w:rsidRPr="006D6727">
        <w:rPr>
          <w:rStyle w:val="ECCParagraph"/>
          <w:noProof/>
        </w:rPr>
      </w:r>
      <w:r w:rsidR="00D3107C" w:rsidRPr="006D6727">
        <w:rPr>
          <w:rStyle w:val="ECCParagraph"/>
          <w:noProof/>
        </w:rPr>
        <w:fldChar w:fldCharType="separate"/>
      </w:r>
      <w:r w:rsidR="004F49F9">
        <w:rPr>
          <w:rStyle w:val="ECCParagraph"/>
          <w:noProof/>
        </w:rPr>
        <w:t>[20]</w:t>
      </w:r>
      <w:r w:rsidR="00D3107C" w:rsidRPr="006D6727">
        <w:rPr>
          <w:rStyle w:val="ECCParagraph"/>
          <w:noProof/>
        </w:rPr>
        <w:fldChar w:fldCharType="end"/>
      </w:r>
      <w:r w:rsidR="004D415F" w:rsidRPr="006D6727">
        <w:rPr>
          <w:rStyle w:val="ECCParagraph"/>
          <w:noProof/>
        </w:rPr>
        <w:t>.</w:t>
      </w:r>
    </w:p>
    <w:p w14:paraId="57546725" w14:textId="77777777" w:rsidR="00A83DEE" w:rsidRPr="00A83DEE" w:rsidRDefault="00A83DEE" w:rsidP="00A83DEE">
      <w:pPr>
        <w:pStyle w:val="Heading1"/>
      </w:pPr>
      <w:bookmarkStart w:id="490" w:name="_Ref66370562"/>
      <w:bookmarkStart w:id="491" w:name="_Toc84325344"/>
      <w:bookmarkStart w:id="492" w:name="_Toc127346270"/>
      <w:bookmarkStart w:id="493" w:name="_Toc17880013"/>
      <w:bookmarkStart w:id="494" w:name="_Ref25598043"/>
      <w:bookmarkStart w:id="495" w:name="_Toc380056507"/>
      <w:bookmarkStart w:id="496" w:name="_Toc380059757"/>
      <w:bookmarkStart w:id="497" w:name="_Toc380059795"/>
      <w:r>
        <w:t xml:space="preserve">Sharing and Compatibility Studies with Radio Astronomy </w:t>
      </w:r>
      <w:bookmarkEnd w:id="490"/>
      <w:r w:rsidR="00782957">
        <w:t>Service</w:t>
      </w:r>
      <w:bookmarkEnd w:id="491"/>
      <w:bookmarkEnd w:id="492"/>
    </w:p>
    <w:p w14:paraId="5C05E51C" w14:textId="77777777" w:rsidR="00BE053A" w:rsidRPr="00310332" w:rsidRDefault="00BE053A" w:rsidP="00310332">
      <w:pPr>
        <w:pStyle w:val="Heading2"/>
        <w:rPr>
          <w:rStyle w:val="Hyperlink"/>
          <w:color w:val="auto"/>
          <w:u w:val="none"/>
        </w:rPr>
      </w:pPr>
      <w:bookmarkStart w:id="498" w:name="_Ref67904772"/>
      <w:bookmarkStart w:id="499" w:name="_Toc84325345"/>
      <w:bookmarkStart w:id="500" w:name="_Toc127346271"/>
      <w:bookmarkEnd w:id="493"/>
      <w:bookmarkEnd w:id="494"/>
      <w:r w:rsidRPr="00310332">
        <w:rPr>
          <w:rStyle w:val="Hyperlink"/>
          <w:color w:val="auto"/>
          <w:u w:val="none"/>
        </w:rPr>
        <w:t>Generic</w:t>
      </w:r>
      <w:r w:rsidR="0035003F" w:rsidRPr="00310332">
        <w:rPr>
          <w:rStyle w:val="Hyperlink"/>
          <w:color w:val="auto"/>
          <w:u w:val="none"/>
        </w:rPr>
        <w:t xml:space="preserve"> </w:t>
      </w:r>
      <w:r w:rsidR="006A55E4" w:rsidRPr="00310332">
        <w:rPr>
          <w:rStyle w:val="Hyperlink"/>
          <w:color w:val="auto"/>
          <w:u w:val="none"/>
        </w:rPr>
        <w:t xml:space="preserve">Indoor </w:t>
      </w:r>
      <w:r w:rsidR="008B5F06" w:rsidRPr="00310332">
        <w:rPr>
          <w:rStyle w:val="Hyperlink"/>
          <w:color w:val="auto"/>
          <w:u w:val="none"/>
        </w:rPr>
        <w:t>S</w:t>
      </w:r>
      <w:r w:rsidRPr="00310332">
        <w:rPr>
          <w:rStyle w:val="Hyperlink"/>
          <w:color w:val="auto"/>
          <w:u w:val="none"/>
        </w:rPr>
        <w:t>urveillance Radar</w:t>
      </w:r>
      <w:bookmarkEnd w:id="498"/>
      <w:bookmarkEnd w:id="499"/>
      <w:bookmarkEnd w:id="500"/>
    </w:p>
    <w:p w14:paraId="693347E0" w14:textId="77777777" w:rsidR="004F5E90" w:rsidRPr="00B43787" w:rsidRDefault="004F5E90" w:rsidP="004F5E90">
      <w:pPr>
        <w:pStyle w:val="Heading3"/>
      </w:pPr>
      <w:bookmarkStart w:id="501" w:name="_Ref67649940"/>
      <w:bookmarkStart w:id="502" w:name="_Toc84325346"/>
      <w:bookmarkStart w:id="503" w:name="_Toc127346272"/>
      <w:r w:rsidRPr="00B43787">
        <w:t xml:space="preserve">Technical parameters </w:t>
      </w:r>
      <w:r>
        <w:t>and interference scenario considerations of generic indoor surveillance radar sensors</w:t>
      </w:r>
      <w:bookmarkEnd w:id="501"/>
      <w:bookmarkEnd w:id="502"/>
      <w:bookmarkEnd w:id="503"/>
    </w:p>
    <w:p w14:paraId="6F593B02" w14:textId="77777777" w:rsidR="006A01FC" w:rsidRDefault="004F5E90" w:rsidP="004E36C2">
      <w:pPr>
        <w:pStyle w:val="Heading4"/>
      </w:pPr>
      <w:bookmarkStart w:id="504" w:name="_Toc84325347"/>
      <w:r>
        <w:t>Technical parameters</w:t>
      </w:r>
      <w:bookmarkEnd w:id="504"/>
    </w:p>
    <w:p w14:paraId="4D39A560" w14:textId="4A554B41" w:rsidR="007E2326" w:rsidRPr="00B10E31" w:rsidRDefault="007E2326" w:rsidP="007E2326">
      <w:r w:rsidRPr="007E2326">
        <w:t xml:space="preserve">For </w:t>
      </w:r>
      <w:r w:rsidR="009D5FA2">
        <w:t>hand-held</w:t>
      </w:r>
      <w:r w:rsidRPr="007E2326">
        <w:t xml:space="preserve">/mobile and fixed </w:t>
      </w:r>
      <w:r w:rsidR="00240396" w:rsidRPr="007E2326">
        <w:t>generic</w:t>
      </w:r>
      <w:r w:rsidR="00240396">
        <w:t xml:space="preserve"> </w:t>
      </w:r>
      <w:r w:rsidRPr="007E2326">
        <w:t>indoor surveil</w:t>
      </w:r>
      <w:r>
        <w:t>l</w:t>
      </w:r>
      <w:r w:rsidRPr="007E2326">
        <w:t xml:space="preserve">ance radar equipment </w:t>
      </w:r>
      <w:r>
        <w:t>three</w:t>
      </w:r>
      <w:r w:rsidRPr="007E2326">
        <w:t xml:space="preserve"> potential frequency bands have been defined (see </w:t>
      </w:r>
      <w:r w:rsidR="009D5FA2">
        <w:t>section</w:t>
      </w:r>
      <w:r>
        <w:t xml:space="preserve"> </w:t>
      </w:r>
      <w:r>
        <w:fldChar w:fldCharType="begin"/>
      </w:r>
      <w:r>
        <w:instrText xml:space="preserve"> REF _Ref67485689 \r \h </w:instrText>
      </w:r>
      <w:r>
        <w:fldChar w:fldCharType="separate"/>
      </w:r>
      <w:r w:rsidR="004F49F9">
        <w:t>2.2.1.2</w:t>
      </w:r>
      <w:r>
        <w:fldChar w:fldCharType="end"/>
      </w:r>
      <w:r w:rsidRPr="007E2326">
        <w:t xml:space="preserve">). </w:t>
      </w:r>
      <w:r w:rsidRPr="00B10E31">
        <w:t>Due to the fact that in all defined frequency bands allocations for RAS are affected</w:t>
      </w:r>
      <w:r w:rsidR="001D7996">
        <w:t>-</w:t>
      </w:r>
      <w:r w:rsidRPr="00B10E31">
        <w:t xml:space="preserve">either within these bands or adjacent to them – all </w:t>
      </w:r>
      <w:r w:rsidR="00037CBA">
        <w:t>three</w:t>
      </w:r>
      <w:r w:rsidRPr="00B10E31">
        <w:t xml:space="preserve"> bands have been investigated by single-entry studies. In these studies the individually required separation distance (</w:t>
      </w:r>
      <w:r w:rsidR="009D5FA2">
        <w:t>section</w:t>
      </w:r>
      <w:r w:rsidRPr="00B10E31">
        <w:t xml:space="preserve"> </w:t>
      </w:r>
      <w:r>
        <w:rPr>
          <w:highlight w:val="yellow"/>
        </w:rPr>
        <w:fldChar w:fldCharType="begin"/>
      </w:r>
      <w:r>
        <w:instrText xml:space="preserve"> REF _Ref15293384 \r \h </w:instrText>
      </w:r>
      <w:r>
        <w:rPr>
          <w:highlight w:val="yellow"/>
        </w:rPr>
      </w:r>
      <w:r>
        <w:rPr>
          <w:highlight w:val="yellow"/>
        </w:rPr>
        <w:fldChar w:fldCharType="separate"/>
      </w:r>
      <w:r w:rsidR="004F49F9">
        <w:t>3.4.2</w:t>
      </w:r>
      <w:r>
        <w:rPr>
          <w:highlight w:val="yellow"/>
        </w:rPr>
        <w:fldChar w:fldCharType="end"/>
      </w:r>
      <w:r w:rsidRPr="00B10E31">
        <w:t>) is determined by means of the technical parameters (</w:t>
      </w:r>
      <w:r w:rsidR="009D5FA2">
        <w:t>section</w:t>
      </w:r>
      <w:r w:rsidRPr="00B10E31">
        <w:t xml:space="preserve"> </w:t>
      </w:r>
      <w:r>
        <w:fldChar w:fldCharType="begin"/>
      </w:r>
      <w:r>
        <w:instrText xml:space="preserve"> REF _Ref67485833 \r \h </w:instrText>
      </w:r>
      <w:r>
        <w:fldChar w:fldCharType="separate"/>
      </w:r>
      <w:r w:rsidR="004F49F9">
        <w:t>2.2.1.3</w:t>
      </w:r>
      <w:r>
        <w:fldChar w:fldCharType="end"/>
      </w:r>
      <w:r w:rsidRPr="00B10E31">
        <w:t>), the interference scenarios (</w:t>
      </w:r>
      <w:r w:rsidR="009D5FA2">
        <w:t>section</w:t>
      </w:r>
      <w:r w:rsidRPr="00B10E31">
        <w:t xml:space="preserve"> </w:t>
      </w:r>
      <w:r>
        <w:rPr>
          <w:highlight w:val="yellow"/>
        </w:rPr>
        <w:fldChar w:fldCharType="begin"/>
      </w:r>
      <w:r>
        <w:instrText xml:space="preserve"> REF _Ref67485844 \r \h </w:instrText>
      </w:r>
      <w:r>
        <w:rPr>
          <w:highlight w:val="yellow"/>
        </w:rPr>
      </w:r>
      <w:r>
        <w:rPr>
          <w:highlight w:val="yellow"/>
        </w:rPr>
        <w:fldChar w:fldCharType="separate"/>
      </w:r>
      <w:r w:rsidR="004F49F9">
        <w:t>2.2.1.6</w:t>
      </w:r>
      <w:r>
        <w:rPr>
          <w:highlight w:val="yellow"/>
        </w:rPr>
        <w:fldChar w:fldCharType="end"/>
      </w:r>
      <w:r w:rsidRPr="00B10E31">
        <w:t>) and the protection requirements for RAS (</w:t>
      </w:r>
      <w:r w:rsidR="009D5FA2">
        <w:t>section</w:t>
      </w:r>
      <w:r w:rsidRPr="00B10E31">
        <w:t xml:space="preserve"> </w:t>
      </w:r>
      <w:r w:rsidR="00012D1D">
        <w:rPr>
          <w:highlight w:val="yellow"/>
        </w:rPr>
        <w:fldChar w:fldCharType="begin"/>
      </w:r>
      <w:r w:rsidR="00012D1D">
        <w:instrText xml:space="preserve"> REF _Ref25574886 \r \h </w:instrText>
      </w:r>
      <w:r w:rsidR="00012D1D">
        <w:rPr>
          <w:highlight w:val="yellow"/>
        </w:rPr>
      </w:r>
      <w:r w:rsidR="00012D1D">
        <w:rPr>
          <w:highlight w:val="yellow"/>
        </w:rPr>
        <w:fldChar w:fldCharType="separate"/>
      </w:r>
      <w:r w:rsidR="004F49F9">
        <w:t>3.5.2</w:t>
      </w:r>
      <w:r w:rsidR="00012D1D">
        <w:rPr>
          <w:highlight w:val="yellow"/>
        </w:rPr>
        <w:fldChar w:fldCharType="end"/>
      </w:r>
      <w:r w:rsidRPr="00B10E31">
        <w:t xml:space="preserve">). The exact calculations can be found in an Excel-spreadsheet which is attached to this </w:t>
      </w:r>
      <w:hyperlink r:id="rId115" w:history="1">
        <w:r w:rsidR="00C70410">
          <w:rPr>
            <w:rStyle w:val="Hyperlink"/>
          </w:rPr>
          <w:t>Report</w:t>
        </w:r>
      </w:hyperlink>
      <w:r w:rsidR="00C70410">
        <w:t xml:space="preserve"> </w:t>
      </w:r>
      <w:r w:rsidRPr="00B10E31">
        <w:t>.</w:t>
      </w:r>
    </w:p>
    <w:p w14:paraId="378A3236" w14:textId="176EDA10" w:rsidR="007E2326" w:rsidRDefault="007E2326" w:rsidP="00240396">
      <w:r w:rsidRPr="00B10E31">
        <w:t xml:space="preserve">The following technical parameters of the </w:t>
      </w:r>
      <w:r w:rsidR="009D5FA2">
        <w:t>hand-held</w:t>
      </w:r>
      <w:r>
        <w:t>/mobile and fixed</w:t>
      </w:r>
      <w:r w:rsidR="00240396">
        <w:t xml:space="preserve"> generic</w:t>
      </w:r>
      <w:r>
        <w:t xml:space="preserve"> indoor studies</w:t>
      </w:r>
      <w:r w:rsidRPr="00B10E31">
        <w:t xml:space="preserve"> (</w:t>
      </w:r>
      <w:r w:rsidR="009D5FA2">
        <w:t>section</w:t>
      </w:r>
      <w:r>
        <w:t xml:space="preserve"> </w:t>
      </w:r>
      <w:r w:rsidR="00240396">
        <w:fldChar w:fldCharType="begin"/>
      </w:r>
      <w:r w:rsidR="00240396">
        <w:instrText xml:space="preserve"> REF _Ref67486256 \r \h  \* MERGEFORMAT </w:instrText>
      </w:r>
      <w:r w:rsidR="00240396">
        <w:fldChar w:fldCharType="separate"/>
      </w:r>
      <w:r w:rsidR="004F49F9">
        <w:t>2.2.1.6</w:t>
      </w:r>
      <w:r w:rsidR="00240396">
        <w:fldChar w:fldCharType="end"/>
      </w:r>
      <w:r w:rsidRPr="00B10E31">
        <w:t>) have been used in the studies in the different frequency ranges.</w:t>
      </w:r>
    </w:p>
    <w:p w14:paraId="4BB50F64" w14:textId="20BA3F2A" w:rsidR="00240396" w:rsidRDefault="00240396" w:rsidP="00240396">
      <w:pPr>
        <w:pStyle w:val="Caption"/>
      </w:pPr>
      <w:r w:rsidRPr="007C3BF5">
        <w:t>Table </w:t>
      </w:r>
      <w:r w:rsidRPr="00240396">
        <w:fldChar w:fldCharType="begin"/>
      </w:r>
      <w:r>
        <w:instrText xml:space="preserve"> SEQ Table \* ARABIC </w:instrText>
      </w:r>
      <w:r w:rsidRPr="00240396">
        <w:fldChar w:fldCharType="separate"/>
      </w:r>
      <w:r w:rsidR="004F49F9">
        <w:rPr>
          <w:noProof/>
        </w:rPr>
        <w:t>49</w:t>
      </w:r>
      <w:r w:rsidRPr="00240396">
        <w:fldChar w:fldCharType="end"/>
      </w:r>
      <w:r w:rsidRPr="002876E6">
        <w:t xml:space="preserve">: Technical parameters of </w:t>
      </w:r>
      <w:r w:rsidRPr="007E2326">
        <w:t>generic</w:t>
      </w:r>
      <w:r>
        <w:t xml:space="preserve"> </w:t>
      </w:r>
      <w:r w:rsidRPr="007E2326">
        <w:t>indoor surveil</w:t>
      </w:r>
      <w:r>
        <w:t>l</w:t>
      </w:r>
      <w:r w:rsidRPr="007E2326">
        <w:t>ance radar</w:t>
      </w:r>
      <w:r w:rsidRPr="002876E6">
        <w:t xml:space="preserve">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413"/>
        <w:gridCol w:w="1843"/>
        <w:gridCol w:w="1417"/>
        <w:gridCol w:w="851"/>
        <w:gridCol w:w="1525"/>
        <w:gridCol w:w="1310"/>
        <w:gridCol w:w="1417"/>
      </w:tblGrid>
      <w:tr w:rsidR="005A5261" w:rsidRPr="00566944" w14:paraId="3E5C3B8E" w14:textId="77777777" w:rsidTr="009B442A">
        <w:trPr>
          <w:cnfStyle w:val="100000000000" w:firstRow="1" w:lastRow="0" w:firstColumn="0" w:lastColumn="0" w:oddVBand="0" w:evenVBand="0" w:oddHBand="0" w:evenHBand="0" w:firstRowFirstColumn="0" w:firstRowLastColumn="0" w:lastRowFirstColumn="0" w:lastRowLastColumn="0"/>
        </w:trPr>
        <w:tc>
          <w:tcPr>
            <w:tcW w:w="1413" w:type="dxa"/>
          </w:tcPr>
          <w:p w14:paraId="7C1C5DFE" w14:textId="77777777" w:rsidR="005A5261" w:rsidRPr="005A5261" w:rsidRDefault="005A5261" w:rsidP="00876039">
            <w:pPr>
              <w:pStyle w:val="ECCTableHeaderwhitefont"/>
            </w:pPr>
            <w:r w:rsidRPr="002876E6">
              <w:t>Investigated frequency range</w:t>
            </w:r>
          </w:p>
        </w:tc>
        <w:tc>
          <w:tcPr>
            <w:tcW w:w="1843" w:type="dxa"/>
          </w:tcPr>
          <w:p w14:paraId="674EE457" w14:textId="77777777" w:rsidR="005A5261" w:rsidRPr="005A5261" w:rsidRDefault="005A5261" w:rsidP="000A69BD">
            <w:pPr>
              <w:pStyle w:val="ECCTableHeaderwhitefont"/>
            </w:pPr>
            <w:r>
              <w:t>Device type</w:t>
            </w:r>
          </w:p>
        </w:tc>
        <w:tc>
          <w:tcPr>
            <w:tcW w:w="1417" w:type="dxa"/>
          </w:tcPr>
          <w:p w14:paraId="589ABC3D" w14:textId="77777777" w:rsidR="005A5261" w:rsidRPr="005A5261" w:rsidRDefault="005A5261" w:rsidP="000A69BD">
            <w:pPr>
              <w:pStyle w:val="ECCTableHeaderwhitefont"/>
            </w:pPr>
            <w:r>
              <w:t>Assumed m</w:t>
            </w:r>
            <w:r w:rsidRPr="005A5261">
              <w:t>odulation bandwidth</w:t>
            </w:r>
          </w:p>
        </w:tc>
        <w:tc>
          <w:tcPr>
            <w:tcW w:w="851" w:type="dxa"/>
          </w:tcPr>
          <w:p w14:paraId="433459CF" w14:textId="77777777" w:rsidR="005A5261" w:rsidRPr="005A5261" w:rsidRDefault="005A5261" w:rsidP="000A69BD">
            <w:pPr>
              <w:pStyle w:val="ECCTableHeaderwhitefont"/>
            </w:pPr>
            <w:r w:rsidRPr="002876E6">
              <w:t>Duty cycle</w:t>
            </w:r>
          </w:p>
        </w:tc>
        <w:tc>
          <w:tcPr>
            <w:tcW w:w="1525" w:type="dxa"/>
          </w:tcPr>
          <w:p w14:paraId="4A663862" w14:textId="77777777" w:rsidR="005A5261" w:rsidRPr="005A5261" w:rsidRDefault="005A5261" w:rsidP="000A69BD">
            <w:pPr>
              <w:pStyle w:val="ECCTableHeaderwhitefont"/>
            </w:pPr>
            <w:r w:rsidRPr="00B10E31">
              <w:t xml:space="preserve">Mean </w:t>
            </w:r>
            <w:r w:rsidRPr="005A5261">
              <w:t>e.i.r.p. spectral density (Note 2)</w:t>
            </w:r>
          </w:p>
        </w:tc>
        <w:tc>
          <w:tcPr>
            <w:tcW w:w="1310" w:type="dxa"/>
          </w:tcPr>
          <w:p w14:paraId="4E8DEDCE" w14:textId="77777777" w:rsidR="005A5261" w:rsidRPr="005A5261" w:rsidRDefault="005A5261" w:rsidP="000A69BD">
            <w:pPr>
              <w:pStyle w:val="ECCTableHeaderwhitefont"/>
            </w:pPr>
            <w:r>
              <w:t>Mean</w:t>
            </w:r>
            <w:r w:rsidRPr="005A5261">
              <w:t xml:space="preserve"> e.i.r.p. (Note 2)</w:t>
            </w:r>
          </w:p>
        </w:tc>
        <w:tc>
          <w:tcPr>
            <w:tcW w:w="1417" w:type="dxa"/>
          </w:tcPr>
          <w:p w14:paraId="35E8C863" w14:textId="77777777" w:rsidR="005A5261" w:rsidRPr="005A5261" w:rsidRDefault="005A5261" w:rsidP="000A69BD">
            <w:pPr>
              <w:pStyle w:val="ECCTableHeaderwhitefont"/>
            </w:pPr>
            <w:r>
              <w:t>OOB attenuati</w:t>
            </w:r>
            <w:r w:rsidRPr="005A5261">
              <w:t>on (Note 1)</w:t>
            </w:r>
          </w:p>
        </w:tc>
      </w:tr>
      <w:tr w:rsidR="005A5261" w:rsidRPr="00C53FB5" w14:paraId="28036333" w14:textId="77777777" w:rsidTr="009B442A">
        <w:tc>
          <w:tcPr>
            <w:tcW w:w="1413" w:type="dxa"/>
            <w:vMerge w:val="restart"/>
          </w:tcPr>
          <w:p w14:paraId="73659C43" w14:textId="77777777" w:rsidR="005A5261" w:rsidRPr="005A5261" w:rsidRDefault="005A5261" w:rsidP="000A69BD">
            <w:pPr>
              <w:pStyle w:val="ECCTabletext"/>
              <w:jc w:val="left"/>
            </w:pPr>
            <w:r w:rsidRPr="00C53FB5">
              <w:t xml:space="preserve">116 </w:t>
            </w:r>
            <w:r w:rsidRPr="005A5261">
              <w:t>to 130 GHz</w:t>
            </w:r>
          </w:p>
        </w:tc>
        <w:tc>
          <w:tcPr>
            <w:tcW w:w="1843" w:type="dxa"/>
          </w:tcPr>
          <w:p w14:paraId="1C28A2D7" w14:textId="456FD737" w:rsidR="005A5261" w:rsidRPr="005A5261" w:rsidRDefault="009D5FA2" w:rsidP="000A69BD">
            <w:pPr>
              <w:pStyle w:val="ECCTabletext"/>
              <w:jc w:val="left"/>
            </w:pPr>
            <w:r>
              <w:t>Hand-held</w:t>
            </w:r>
            <w:r w:rsidR="005A5261" w:rsidRPr="005A5261">
              <w:t>/mobile</w:t>
            </w:r>
          </w:p>
        </w:tc>
        <w:tc>
          <w:tcPr>
            <w:tcW w:w="1417" w:type="dxa"/>
          </w:tcPr>
          <w:p w14:paraId="5DFBC62E" w14:textId="77777777" w:rsidR="005A5261" w:rsidRPr="005A5261" w:rsidRDefault="005A5261" w:rsidP="000A69BD">
            <w:pPr>
              <w:pStyle w:val="ECCTabletext"/>
              <w:jc w:val="left"/>
            </w:pPr>
            <w:r>
              <w:t>1 GHz</w:t>
            </w:r>
          </w:p>
        </w:tc>
        <w:tc>
          <w:tcPr>
            <w:tcW w:w="851" w:type="dxa"/>
          </w:tcPr>
          <w:p w14:paraId="1EEEB5C5" w14:textId="6EA0281A" w:rsidR="005A5261" w:rsidRPr="005A5261" w:rsidRDefault="005A5261" w:rsidP="000A69BD">
            <w:pPr>
              <w:pStyle w:val="ECCTabletext"/>
              <w:jc w:val="left"/>
            </w:pPr>
            <w:r>
              <w:t>20</w:t>
            </w:r>
            <w:r w:rsidR="00F800A2">
              <w:t>%</w:t>
            </w:r>
          </w:p>
        </w:tc>
        <w:tc>
          <w:tcPr>
            <w:tcW w:w="1525" w:type="dxa"/>
          </w:tcPr>
          <w:p w14:paraId="46BFFEFD" w14:textId="77777777" w:rsidR="005A5261" w:rsidRPr="005A5261" w:rsidRDefault="005A5261" w:rsidP="000A69BD">
            <w:pPr>
              <w:pStyle w:val="ECCTabletext"/>
              <w:jc w:val="left"/>
            </w:pPr>
            <w:r>
              <w:t>-20 dBm</w:t>
            </w:r>
            <w:r w:rsidRPr="005A5261">
              <w:t>/MHz</w:t>
            </w:r>
          </w:p>
        </w:tc>
        <w:tc>
          <w:tcPr>
            <w:tcW w:w="1310" w:type="dxa"/>
          </w:tcPr>
          <w:p w14:paraId="4EA60122" w14:textId="77777777" w:rsidR="005A5261" w:rsidRPr="005A5261" w:rsidRDefault="005A5261" w:rsidP="000A69BD">
            <w:pPr>
              <w:pStyle w:val="ECCTabletext"/>
              <w:jc w:val="left"/>
            </w:pPr>
            <w:r>
              <w:t>10 dBm</w:t>
            </w:r>
          </w:p>
        </w:tc>
        <w:tc>
          <w:tcPr>
            <w:tcW w:w="1417" w:type="dxa"/>
          </w:tcPr>
          <w:p w14:paraId="51864B4B" w14:textId="77777777" w:rsidR="005A5261" w:rsidRPr="005A5261" w:rsidRDefault="005A5261" w:rsidP="000A69BD">
            <w:pPr>
              <w:pStyle w:val="ECCTabletext"/>
              <w:jc w:val="left"/>
            </w:pPr>
            <w:r w:rsidRPr="00497690">
              <w:t>20 dB</w:t>
            </w:r>
          </w:p>
        </w:tc>
      </w:tr>
      <w:tr w:rsidR="005A5261" w:rsidRPr="00C53FB5" w14:paraId="2E8BEF07" w14:textId="77777777" w:rsidTr="009B442A">
        <w:tc>
          <w:tcPr>
            <w:tcW w:w="1413" w:type="dxa"/>
            <w:vMerge/>
          </w:tcPr>
          <w:p w14:paraId="25016509" w14:textId="77777777" w:rsidR="005A5261" w:rsidRPr="00C53FB5" w:rsidRDefault="005A5261" w:rsidP="005A5261">
            <w:pPr>
              <w:pStyle w:val="ECCTabletext"/>
            </w:pPr>
          </w:p>
        </w:tc>
        <w:tc>
          <w:tcPr>
            <w:tcW w:w="1843" w:type="dxa"/>
          </w:tcPr>
          <w:p w14:paraId="418DC503" w14:textId="77777777" w:rsidR="005A5261" w:rsidRPr="005A5261" w:rsidRDefault="005A5261" w:rsidP="000A69BD">
            <w:pPr>
              <w:pStyle w:val="ECCTabletext"/>
              <w:jc w:val="left"/>
            </w:pPr>
            <w:r>
              <w:t>F</w:t>
            </w:r>
            <w:r w:rsidRPr="005A5261">
              <w:t>ixed</w:t>
            </w:r>
          </w:p>
        </w:tc>
        <w:tc>
          <w:tcPr>
            <w:tcW w:w="1417" w:type="dxa"/>
          </w:tcPr>
          <w:p w14:paraId="76CBED83" w14:textId="77777777" w:rsidR="005A5261" w:rsidRPr="005A5261" w:rsidRDefault="005A5261" w:rsidP="000A69BD">
            <w:pPr>
              <w:pStyle w:val="ECCTabletext"/>
              <w:jc w:val="left"/>
            </w:pPr>
            <w:r>
              <w:t>1</w:t>
            </w:r>
            <w:r w:rsidRPr="005A5261">
              <w:t> GHz</w:t>
            </w:r>
          </w:p>
        </w:tc>
        <w:tc>
          <w:tcPr>
            <w:tcW w:w="851" w:type="dxa"/>
          </w:tcPr>
          <w:p w14:paraId="0863AA3D" w14:textId="112F6675" w:rsidR="005A5261" w:rsidRPr="005A5261" w:rsidRDefault="005A5261" w:rsidP="000A69BD">
            <w:pPr>
              <w:pStyle w:val="ECCTabletext"/>
              <w:jc w:val="left"/>
            </w:pPr>
            <w:r>
              <w:t>10</w:t>
            </w:r>
            <w:r w:rsidR="00F800A2">
              <w:t>%</w:t>
            </w:r>
          </w:p>
        </w:tc>
        <w:tc>
          <w:tcPr>
            <w:tcW w:w="1525" w:type="dxa"/>
          </w:tcPr>
          <w:p w14:paraId="72868C25" w14:textId="77777777" w:rsidR="005A5261" w:rsidRPr="005A5261" w:rsidRDefault="005A5261" w:rsidP="000A69BD">
            <w:pPr>
              <w:pStyle w:val="ECCTabletext"/>
              <w:jc w:val="left"/>
            </w:pPr>
            <w:r>
              <w:t>-10 dBm</w:t>
            </w:r>
            <w:r w:rsidRPr="005A5261">
              <w:t>/MHz</w:t>
            </w:r>
          </w:p>
        </w:tc>
        <w:tc>
          <w:tcPr>
            <w:tcW w:w="1310" w:type="dxa"/>
          </w:tcPr>
          <w:p w14:paraId="2EBB6B2B" w14:textId="77777777" w:rsidR="005A5261" w:rsidRPr="005A5261" w:rsidRDefault="005A5261" w:rsidP="000A69BD">
            <w:pPr>
              <w:pStyle w:val="ECCTabletext"/>
              <w:jc w:val="left"/>
            </w:pPr>
            <w:r>
              <w:t>20 dBm</w:t>
            </w:r>
          </w:p>
        </w:tc>
        <w:tc>
          <w:tcPr>
            <w:tcW w:w="1417" w:type="dxa"/>
          </w:tcPr>
          <w:p w14:paraId="670B10AF" w14:textId="77777777" w:rsidR="005A5261" w:rsidRPr="005A5261" w:rsidRDefault="005A5261" w:rsidP="000A69BD">
            <w:pPr>
              <w:pStyle w:val="ECCTabletext"/>
              <w:jc w:val="left"/>
            </w:pPr>
            <w:r w:rsidRPr="00497690">
              <w:t>20 dB</w:t>
            </w:r>
          </w:p>
        </w:tc>
      </w:tr>
      <w:tr w:rsidR="005A5261" w:rsidRPr="00C53FB5" w14:paraId="56DE7E0A" w14:textId="77777777" w:rsidTr="009B442A">
        <w:tc>
          <w:tcPr>
            <w:tcW w:w="1413" w:type="dxa"/>
            <w:vMerge w:val="restart"/>
          </w:tcPr>
          <w:p w14:paraId="495DB722" w14:textId="77777777" w:rsidR="005A5261" w:rsidRPr="005A5261" w:rsidRDefault="005A5261" w:rsidP="000A69BD">
            <w:pPr>
              <w:pStyle w:val="ECCTabletext"/>
              <w:jc w:val="left"/>
            </w:pPr>
            <w:r w:rsidRPr="00C53FB5">
              <w:t>134 to 141 GHz</w:t>
            </w:r>
          </w:p>
        </w:tc>
        <w:tc>
          <w:tcPr>
            <w:tcW w:w="1843" w:type="dxa"/>
          </w:tcPr>
          <w:p w14:paraId="2B477A28" w14:textId="0A7A5C95" w:rsidR="005A5261" w:rsidRPr="005A5261" w:rsidRDefault="009D5FA2" w:rsidP="000A69BD">
            <w:pPr>
              <w:pStyle w:val="ECCTabletext"/>
              <w:jc w:val="left"/>
            </w:pPr>
            <w:r>
              <w:t>Hand-held</w:t>
            </w:r>
            <w:r w:rsidR="005A5261" w:rsidRPr="005A5261">
              <w:t>/mobile</w:t>
            </w:r>
          </w:p>
        </w:tc>
        <w:tc>
          <w:tcPr>
            <w:tcW w:w="1417" w:type="dxa"/>
          </w:tcPr>
          <w:p w14:paraId="70260C19" w14:textId="77777777" w:rsidR="005A5261" w:rsidRPr="005A5261" w:rsidRDefault="005A5261" w:rsidP="000A69BD">
            <w:pPr>
              <w:pStyle w:val="ECCTabletext"/>
              <w:jc w:val="left"/>
            </w:pPr>
            <w:r>
              <w:t>1</w:t>
            </w:r>
            <w:r w:rsidRPr="005A5261">
              <w:t> GHz</w:t>
            </w:r>
          </w:p>
        </w:tc>
        <w:tc>
          <w:tcPr>
            <w:tcW w:w="851" w:type="dxa"/>
          </w:tcPr>
          <w:p w14:paraId="7EAB046D" w14:textId="133E6645" w:rsidR="005A5261" w:rsidRPr="005A5261" w:rsidRDefault="005A5261" w:rsidP="000A69BD">
            <w:pPr>
              <w:pStyle w:val="ECCTabletext"/>
              <w:jc w:val="left"/>
            </w:pPr>
            <w:r>
              <w:t>20</w:t>
            </w:r>
            <w:r w:rsidR="00F800A2">
              <w:t>%</w:t>
            </w:r>
          </w:p>
        </w:tc>
        <w:tc>
          <w:tcPr>
            <w:tcW w:w="1525" w:type="dxa"/>
          </w:tcPr>
          <w:p w14:paraId="01D5D8CA" w14:textId="77777777" w:rsidR="005A5261" w:rsidRPr="005A5261" w:rsidRDefault="005A5261" w:rsidP="000A69BD">
            <w:pPr>
              <w:pStyle w:val="ECCTabletext"/>
              <w:jc w:val="left"/>
            </w:pPr>
            <w:r>
              <w:t>-20 dBm</w:t>
            </w:r>
            <w:r w:rsidRPr="005A5261">
              <w:t>/MHz</w:t>
            </w:r>
          </w:p>
        </w:tc>
        <w:tc>
          <w:tcPr>
            <w:tcW w:w="1310" w:type="dxa"/>
          </w:tcPr>
          <w:p w14:paraId="03EA755C" w14:textId="77777777" w:rsidR="005A5261" w:rsidRPr="005A5261" w:rsidRDefault="005A5261" w:rsidP="000A69BD">
            <w:pPr>
              <w:pStyle w:val="ECCTabletext"/>
              <w:jc w:val="left"/>
            </w:pPr>
            <w:r>
              <w:t>10 dB</w:t>
            </w:r>
            <w:r w:rsidRPr="005A5261">
              <w:t>m</w:t>
            </w:r>
          </w:p>
        </w:tc>
        <w:tc>
          <w:tcPr>
            <w:tcW w:w="1417" w:type="dxa"/>
          </w:tcPr>
          <w:p w14:paraId="54A4F1D6" w14:textId="77777777" w:rsidR="005A5261" w:rsidRPr="005A5261" w:rsidRDefault="005A5261" w:rsidP="000A69BD">
            <w:pPr>
              <w:pStyle w:val="ECCTabletext"/>
              <w:jc w:val="left"/>
            </w:pPr>
            <w:r w:rsidRPr="00497690">
              <w:t>20 dB</w:t>
            </w:r>
          </w:p>
        </w:tc>
      </w:tr>
      <w:tr w:rsidR="005A5261" w:rsidRPr="00C53FB5" w14:paraId="0E11C5B2" w14:textId="77777777" w:rsidTr="009B442A">
        <w:tc>
          <w:tcPr>
            <w:tcW w:w="1413" w:type="dxa"/>
            <w:vMerge/>
          </w:tcPr>
          <w:p w14:paraId="30963859" w14:textId="77777777" w:rsidR="005A5261" w:rsidRPr="00C53FB5" w:rsidRDefault="005A5261" w:rsidP="005A5261">
            <w:pPr>
              <w:pStyle w:val="ECCTabletext"/>
            </w:pPr>
          </w:p>
        </w:tc>
        <w:tc>
          <w:tcPr>
            <w:tcW w:w="1843" w:type="dxa"/>
          </w:tcPr>
          <w:p w14:paraId="0DFC8BB2" w14:textId="77777777" w:rsidR="005A5261" w:rsidRPr="005A5261" w:rsidRDefault="005A5261" w:rsidP="000A69BD">
            <w:pPr>
              <w:pStyle w:val="ECCTabletext"/>
              <w:jc w:val="left"/>
            </w:pPr>
            <w:r>
              <w:t>F</w:t>
            </w:r>
            <w:r w:rsidRPr="005A5261">
              <w:t>ixed</w:t>
            </w:r>
          </w:p>
        </w:tc>
        <w:tc>
          <w:tcPr>
            <w:tcW w:w="1417" w:type="dxa"/>
          </w:tcPr>
          <w:p w14:paraId="2C87EB94" w14:textId="77777777" w:rsidR="005A5261" w:rsidRPr="005A5261" w:rsidRDefault="005A5261" w:rsidP="000A69BD">
            <w:pPr>
              <w:pStyle w:val="ECCTabletext"/>
              <w:jc w:val="left"/>
            </w:pPr>
            <w:r>
              <w:t>1</w:t>
            </w:r>
            <w:r w:rsidRPr="005A5261">
              <w:t> GHz</w:t>
            </w:r>
          </w:p>
        </w:tc>
        <w:tc>
          <w:tcPr>
            <w:tcW w:w="851" w:type="dxa"/>
          </w:tcPr>
          <w:p w14:paraId="75656447" w14:textId="5BE62A00" w:rsidR="005A5261" w:rsidRPr="005A5261" w:rsidRDefault="005A5261" w:rsidP="000A69BD">
            <w:pPr>
              <w:pStyle w:val="ECCTabletext"/>
              <w:jc w:val="left"/>
            </w:pPr>
            <w:r>
              <w:t>10</w:t>
            </w:r>
            <w:r w:rsidR="00F800A2">
              <w:t>%</w:t>
            </w:r>
          </w:p>
        </w:tc>
        <w:tc>
          <w:tcPr>
            <w:tcW w:w="1525" w:type="dxa"/>
          </w:tcPr>
          <w:p w14:paraId="4DC4FDFD" w14:textId="77777777" w:rsidR="005A5261" w:rsidRPr="005A5261" w:rsidRDefault="005A5261" w:rsidP="000A69BD">
            <w:pPr>
              <w:pStyle w:val="ECCTabletext"/>
              <w:jc w:val="left"/>
            </w:pPr>
            <w:r>
              <w:t>-10 dBm</w:t>
            </w:r>
            <w:r w:rsidRPr="005A5261">
              <w:t>/MHz</w:t>
            </w:r>
          </w:p>
        </w:tc>
        <w:tc>
          <w:tcPr>
            <w:tcW w:w="1310" w:type="dxa"/>
          </w:tcPr>
          <w:p w14:paraId="1950B90A" w14:textId="77777777" w:rsidR="005A5261" w:rsidRPr="005A5261" w:rsidRDefault="005A5261" w:rsidP="000A69BD">
            <w:pPr>
              <w:pStyle w:val="ECCTabletext"/>
              <w:jc w:val="left"/>
            </w:pPr>
            <w:r>
              <w:t>20 dBm</w:t>
            </w:r>
          </w:p>
        </w:tc>
        <w:tc>
          <w:tcPr>
            <w:tcW w:w="1417" w:type="dxa"/>
          </w:tcPr>
          <w:p w14:paraId="48D77E36" w14:textId="77777777" w:rsidR="005A5261" w:rsidRPr="005A5261" w:rsidRDefault="005A5261" w:rsidP="000A69BD">
            <w:pPr>
              <w:pStyle w:val="ECCTabletext"/>
              <w:jc w:val="left"/>
            </w:pPr>
            <w:r w:rsidRPr="00497690">
              <w:t>20 dB</w:t>
            </w:r>
          </w:p>
        </w:tc>
      </w:tr>
      <w:tr w:rsidR="005A5261" w:rsidRPr="00C53FB5" w14:paraId="4EDB1955" w14:textId="77777777" w:rsidTr="009B442A">
        <w:tc>
          <w:tcPr>
            <w:tcW w:w="1413" w:type="dxa"/>
            <w:vMerge w:val="restart"/>
          </w:tcPr>
          <w:p w14:paraId="5AD9FC9A" w14:textId="77777777" w:rsidR="005A5261" w:rsidRPr="005A5261" w:rsidRDefault="005A5261" w:rsidP="000A69BD">
            <w:pPr>
              <w:pStyle w:val="ECCTabletext"/>
              <w:jc w:val="left"/>
            </w:pPr>
            <w:r w:rsidRPr="00C53FB5">
              <w:t>1</w:t>
            </w:r>
            <w:r w:rsidRPr="005A5261">
              <w:t>41 to 148</w:t>
            </w:r>
            <w:r w:rsidR="00CF4994">
              <w:t>.5</w:t>
            </w:r>
            <w:r w:rsidRPr="005A5261">
              <w:t> GHz</w:t>
            </w:r>
          </w:p>
        </w:tc>
        <w:tc>
          <w:tcPr>
            <w:tcW w:w="1843" w:type="dxa"/>
          </w:tcPr>
          <w:p w14:paraId="77BC8FF6" w14:textId="4267D189" w:rsidR="005A5261" w:rsidRPr="005A5261" w:rsidRDefault="009D5FA2" w:rsidP="000A69BD">
            <w:pPr>
              <w:pStyle w:val="ECCTabletext"/>
              <w:jc w:val="left"/>
            </w:pPr>
            <w:r>
              <w:t>Hand-held</w:t>
            </w:r>
            <w:r w:rsidR="005A5261" w:rsidRPr="005A5261">
              <w:t>/mobile</w:t>
            </w:r>
          </w:p>
        </w:tc>
        <w:tc>
          <w:tcPr>
            <w:tcW w:w="1417" w:type="dxa"/>
          </w:tcPr>
          <w:p w14:paraId="17EBBF6A" w14:textId="77777777" w:rsidR="005A5261" w:rsidRPr="005A5261" w:rsidRDefault="005A5261" w:rsidP="000A69BD">
            <w:pPr>
              <w:pStyle w:val="ECCTabletext"/>
              <w:jc w:val="left"/>
            </w:pPr>
            <w:r>
              <w:t>1</w:t>
            </w:r>
            <w:r w:rsidRPr="005A5261">
              <w:t> GHz</w:t>
            </w:r>
          </w:p>
        </w:tc>
        <w:tc>
          <w:tcPr>
            <w:tcW w:w="851" w:type="dxa"/>
          </w:tcPr>
          <w:p w14:paraId="4A1B007A" w14:textId="23DE4D90" w:rsidR="005A5261" w:rsidRPr="005A5261" w:rsidRDefault="005A5261" w:rsidP="000A69BD">
            <w:pPr>
              <w:pStyle w:val="ECCTabletext"/>
              <w:jc w:val="left"/>
            </w:pPr>
            <w:r>
              <w:t>20</w:t>
            </w:r>
            <w:r w:rsidR="00F800A2">
              <w:t>%</w:t>
            </w:r>
          </w:p>
        </w:tc>
        <w:tc>
          <w:tcPr>
            <w:tcW w:w="1525" w:type="dxa"/>
          </w:tcPr>
          <w:p w14:paraId="08EE204A" w14:textId="77777777" w:rsidR="005A5261" w:rsidRPr="005A5261" w:rsidRDefault="005A5261" w:rsidP="000A69BD">
            <w:pPr>
              <w:pStyle w:val="ECCTabletext"/>
              <w:jc w:val="left"/>
            </w:pPr>
            <w:r>
              <w:t>-20 dBm</w:t>
            </w:r>
            <w:r w:rsidRPr="005A5261">
              <w:t>/MHz</w:t>
            </w:r>
          </w:p>
        </w:tc>
        <w:tc>
          <w:tcPr>
            <w:tcW w:w="1310" w:type="dxa"/>
          </w:tcPr>
          <w:p w14:paraId="325973CD" w14:textId="77777777" w:rsidR="005A5261" w:rsidRPr="005A5261" w:rsidRDefault="005A5261" w:rsidP="000A69BD">
            <w:pPr>
              <w:pStyle w:val="ECCTabletext"/>
              <w:jc w:val="left"/>
            </w:pPr>
            <w:r>
              <w:t>10 dB</w:t>
            </w:r>
            <w:r w:rsidRPr="005A5261">
              <w:t>m</w:t>
            </w:r>
          </w:p>
        </w:tc>
        <w:tc>
          <w:tcPr>
            <w:tcW w:w="1417" w:type="dxa"/>
          </w:tcPr>
          <w:p w14:paraId="2CBC4CCD" w14:textId="77777777" w:rsidR="005A5261" w:rsidRPr="005A5261" w:rsidRDefault="005A5261" w:rsidP="000A69BD">
            <w:pPr>
              <w:pStyle w:val="ECCTabletext"/>
              <w:jc w:val="left"/>
            </w:pPr>
            <w:r w:rsidRPr="00497690">
              <w:t>20 dB</w:t>
            </w:r>
          </w:p>
        </w:tc>
      </w:tr>
      <w:tr w:rsidR="005A5261" w:rsidRPr="00C53FB5" w14:paraId="1C7D1D4B" w14:textId="77777777" w:rsidTr="009B442A">
        <w:tc>
          <w:tcPr>
            <w:tcW w:w="1413" w:type="dxa"/>
            <w:vMerge/>
          </w:tcPr>
          <w:p w14:paraId="4667A8F2" w14:textId="77777777" w:rsidR="005A5261" w:rsidRPr="00C53FB5" w:rsidRDefault="005A5261" w:rsidP="005A5261">
            <w:pPr>
              <w:pStyle w:val="ECCTabletext"/>
            </w:pPr>
          </w:p>
        </w:tc>
        <w:tc>
          <w:tcPr>
            <w:tcW w:w="1843" w:type="dxa"/>
          </w:tcPr>
          <w:p w14:paraId="11C9284E" w14:textId="77777777" w:rsidR="005A5261" w:rsidRPr="005A5261" w:rsidRDefault="005A5261" w:rsidP="000A69BD">
            <w:pPr>
              <w:pStyle w:val="ECCTabletext"/>
              <w:jc w:val="left"/>
            </w:pPr>
            <w:r>
              <w:t>F</w:t>
            </w:r>
            <w:r w:rsidRPr="005A5261">
              <w:t>ixed</w:t>
            </w:r>
          </w:p>
        </w:tc>
        <w:tc>
          <w:tcPr>
            <w:tcW w:w="1417" w:type="dxa"/>
          </w:tcPr>
          <w:p w14:paraId="6D1BEA63" w14:textId="77777777" w:rsidR="005A5261" w:rsidRPr="005A5261" w:rsidRDefault="005A5261" w:rsidP="000A69BD">
            <w:pPr>
              <w:pStyle w:val="ECCTabletext"/>
              <w:jc w:val="left"/>
            </w:pPr>
            <w:r>
              <w:t>1</w:t>
            </w:r>
            <w:r w:rsidRPr="005A5261">
              <w:t> GHz</w:t>
            </w:r>
          </w:p>
        </w:tc>
        <w:tc>
          <w:tcPr>
            <w:tcW w:w="851" w:type="dxa"/>
          </w:tcPr>
          <w:p w14:paraId="62FBBEB1" w14:textId="22524A28" w:rsidR="005A5261" w:rsidRPr="005A5261" w:rsidRDefault="005A5261" w:rsidP="000A69BD">
            <w:pPr>
              <w:pStyle w:val="ECCTabletext"/>
              <w:jc w:val="left"/>
            </w:pPr>
            <w:r>
              <w:t>10</w:t>
            </w:r>
            <w:r w:rsidR="00F800A2">
              <w:t>%</w:t>
            </w:r>
          </w:p>
        </w:tc>
        <w:tc>
          <w:tcPr>
            <w:tcW w:w="1525" w:type="dxa"/>
          </w:tcPr>
          <w:p w14:paraId="6ECF6756" w14:textId="77777777" w:rsidR="005A5261" w:rsidRPr="005A5261" w:rsidRDefault="005A5261" w:rsidP="000A69BD">
            <w:pPr>
              <w:pStyle w:val="ECCTabletext"/>
              <w:jc w:val="left"/>
            </w:pPr>
            <w:r>
              <w:t>-10 dBm</w:t>
            </w:r>
            <w:r w:rsidRPr="005A5261">
              <w:t>/MHz</w:t>
            </w:r>
          </w:p>
        </w:tc>
        <w:tc>
          <w:tcPr>
            <w:tcW w:w="1310" w:type="dxa"/>
          </w:tcPr>
          <w:p w14:paraId="25BC42AF" w14:textId="77777777" w:rsidR="005A5261" w:rsidRPr="005A5261" w:rsidRDefault="005A5261" w:rsidP="000A69BD">
            <w:pPr>
              <w:pStyle w:val="ECCTabletext"/>
              <w:jc w:val="left"/>
            </w:pPr>
            <w:r>
              <w:t>20 dBm</w:t>
            </w:r>
          </w:p>
        </w:tc>
        <w:tc>
          <w:tcPr>
            <w:tcW w:w="1417" w:type="dxa"/>
          </w:tcPr>
          <w:p w14:paraId="4256F18A" w14:textId="77777777" w:rsidR="005A5261" w:rsidRPr="005A5261" w:rsidRDefault="005A5261" w:rsidP="000A69BD">
            <w:pPr>
              <w:pStyle w:val="ECCTabletext"/>
              <w:jc w:val="left"/>
            </w:pPr>
            <w:r w:rsidRPr="00497690">
              <w:t>20 dB</w:t>
            </w:r>
          </w:p>
        </w:tc>
      </w:tr>
      <w:tr w:rsidR="005A5261" w:rsidRPr="00C53FB5" w14:paraId="0052F2FA" w14:textId="77777777" w:rsidTr="009B442A">
        <w:tc>
          <w:tcPr>
            <w:tcW w:w="9776" w:type="dxa"/>
            <w:gridSpan w:val="7"/>
          </w:tcPr>
          <w:p w14:paraId="06D977C7" w14:textId="77777777" w:rsidR="005A5261" w:rsidRPr="005A5261" w:rsidRDefault="005A5261" w:rsidP="00464AE0">
            <w:pPr>
              <w:pStyle w:val="ECCTablenote"/>
            </w:pPr>
            <w:r>
              <w:t xml:space="preserve">Note 1: Assumed out-of-band attenuation of the </w:t>
            </w:r>
            <w:r w:rsidRPr="005A5261">
              <w:t>generic indoor surveillance radar in adjacent bands allocated to RAS.</w:t>
            </w:r>
          </w:p>
          <w:p w14:paraId="5FD4C33D" w14:textId="2223E800" w:rsidR="005A5261" w:rsidRPr="005A5261" w:rsidRDefault="005A5261" w:rsidP="00464AE0">
            <w:pPr>
              <w:pStyle w:val="ECCTablenote"/>
            </w:pPr>
            <w:r w:rsidRPr="00143CCA">
              <w:t>Note 2: The duty cycle</w:t>
            </w:r>
            <w:r w:rsidRPr="005A5261">
              <w:t>s are not considered in the mean e.i.r.p. spectral density and mean e.i.r.p. values. Consequently, the given mean e.i.r.p. spectral density and mean e.i.r.p. is valid for averaging over T</w:t>
            </w:r>
            <w:r w:rsidRPr="002959BB">
              <w:rPr>
                <w:vertAlign w:val="subscript"/>
              </w:rPr>
              <w:t>meas</w:t>
            </w:r>
            <w:r w:rsidRPr="005A5261">
              <w:t xml:space="preserve"> (time when transmission is on, see </w:t>
            </w:r>
            <w:r w:rsidRPr="005A5261">
              <w:fldChar w:fldCharType="begin"/>
            </w:r>
            <w:r w:rsidRPr="005A5261">
              <w:instrText xml:space="preserve"> REF _Ref8900572 \h  \* MERGEFORMAT </w:instrText>
            </w:r>
            <w:r w:rsidRPr="005A5261">
              <w:fldChar w:fldCharType="separate"/>
            </w:r>
            <w:r w:rsidR="0041125F" w:rsidRPr="006D6727">
              <w:t>Figure </w:t>
            </w:r>
            <w:r w:rsidR="0041125F">
              <w:t>36</w:t>
            </w:r>
            <w:r w:rsidRPr="005A5261">
              <w:fldChar w:fldCharType="end"/>
            </w:r>
            <w:r w:rsidRPr="005A5261">
              <w:t>).</w:t>
            </w:r>
          </w:p>
        </w:tc>
      </w:tr>
    </w:tbl>
    <w:p w14:paraId="093FFEF2" w14:textId="49F3A6E3" w:rsidR="004F5E90" w:rsidRDefault="004F5E90" w:rsidP="004E36C2">
      <w:pPr>
        <w:pStyle w:val="Heading4"/>
      </w:pPr>
      <w:bookmarkStart w:id="505" w:name="_Ref67650012"/>
      <w:bookmarkStart w:id="506" w:name="_Toc84325348"/>
      <w:r>
        <w:t>Interference scenario</w:t>
      </w:r>
      <w:r w:rsidR="00037CBA">
        <w:t>s</w:t>
      </w:r>
      <w:r w:rsidR="001D7996">
        <w:t>-</w:t>
      </w:r>
      <w:r>
        <w:t>specific considerations</w:t>
      </w:r>
      <w:bookmarkEnd w:id="505"/>
      <w:bookmarkEnd w:id="506"/>
    </w:p>
    <w:p w14:paraId="77243E23" w14:textId="77777777" w:rsidR="00663D74" w:rsidRDefault="00663D74" w:rsidP="00710730">
      <w:r>
        <w:t>Due to</w:t>
      </w:r>
      <w:r w:rsidR="00710730" w:rsidRPr="00710730">
        <w:t xml:space="preserve"> the generic com</w:t>
      </w:r>
      <w:r w:rsidR="00710730">
        <w:t>m</w:t>
      </w:r>
      <w:r w:rsidR="00710730" w:rsidRPr="00710730">
        <w:t xml:space="preserve">ercial </w:t>
      </w:r>
      <w:r>
        <w:t>nature of the devices determined for the private hous</w:t>
      </w:r>
      <w:r w:rsidR="00011766">
        <w:t>e</w:t>
      </w:r>
      <w:r>
        <w:t>hold</w:t>
      </w:r>
      <w:r w:rsidR="00011766">
        <w:t>,</w:t>
      </w:r>
      <w:r>
        <w:t xml:space="preserve"> the</w:t>
      </w:r>
      <w:r w:rsidR="00710730" w:rsidRPr="00710730">
        <w:t xml:space="preserve"> worst-case single</w:t>
      </w:r>
      <w:r>
        <w:t>-</w:t>
      </w:r>
      <w:r w:rsidR="00710730" w:rsidRPr="00710730">
        <w:t>entry interference scen</w:t>
      </w:r>
      <w:r w:rsidR="00710730">
        <w:t>a</w:t>
      </w:r>
      <w:r w:rsidR="00710730" w:rsidRPr="00710730">
        <w:t>rios were considered.</w:t>
      </w:r>
    </w:p>
    <w:p w14:paraId="4470C415" w14:textId="77777777" w:rsidR="00663D74" w:rsidRDefault="00710730" w:rsidP="00710730">
      <w:r w:rsidRPr="00710730">
        <w:t xml:space="preserve">This </w:t>
      </w:r>
      <w:r w:rsidR="00663D74">
        <w:t>includes the consideration</w:t>
      </w:r>
      <w:r w:rsidRPr="00710730">
        <w:t xml:space="preserve"> </w:t>
      </w:r>
      <w:r w:rsidR="00663D74">
        <w:t xml:space="preserve">of </w:t>
      </w:r>
    </w:p>
    <w:p w14:paraId="351F429B" w14:textId="77777777" w:rsidR="00663D74" w:rsidRDefault="004A1DDC" w:rsidP="00663D74">
      <w:pPr>
        <w:pStyle w:val="ECCBulletsLv1"/>
      </w:pPr>
      <w:r>
        <w:t>u</w:t>
      </w:r>
      <w:r w:rsidR="007D1DD1">
        <w:t xml:space="preserve">sage inside buildings with </w:t>
      </w:r>
      <w:r w:rsidR="00663D74">
        <w:t>open</w:t>
      </w:r>
      <w:r w:rsidR="00710730" w:rsidRPr="00710730">
        <w:t xml:space="preserve"> window</w:t>
      </w:r>
      <w:r w:rsidR="00663D74">
        <w:t>s</w:t>
      </w:r>
      <w:r>
        <w:t>,</w:t>
      </w:r>
    </w:p>
    <w:p w14:paraId="0B4AFA25" w14:textId="77777777" w:rsidR="00663D74" w:rsidRDefault="00663D74" w:rsidP="00663D74">
      <w:pPr>
        <w:pStyle w:val="ECCBulletsLv1"/>
      </w:pPr>
      <w:r>
        <w:t>usage inside</w:t>
      </w:r>
      <w:r w:rsidR="00710730" w:rsidRPr="00710730">
        <w:t xml:space="preserve"> less </w:t>
      </w:r>
      <w:r>
        <w:t>energy</w:t>
      </w:r>
      <w:r w:rsidR="00710730" w:rsidRPr="00710730">
        <w:t xml:space="preserve"> efficient (traditional) building</w:t>
      </w:r>
      <w:r>
        <w:t>s</w:t>
      </w:r>
      <w:r w:rsidR="00710730" w:rsidRPr="00710730">
        <w:t xml:space="preserve"> </w:t>
      </w:r>
      <w:r>
        <w:t>with low indoor</w:t>
      </w:r>
      <w:r w:rsidR="007D1DD1">
        <w:t>-</w:t>
      </w:r>
      <w:r>
        <w:t>outdoor attenuation</w:t>
      </w:r>
      <w:r w:rsidR="004A1DDC">
        <w:t xml:space="preserve"> and</w:t>
      </w:r>
    </w:p>
    <w:p w14:paraId="566B1C01" w14:textId="77777777" w:rsidR="00663D74" w:rsidRDefault="007D1DD1" w:rsidP="007D1DD1">
      <w:pPr>
        <w:pStyle w:val="ECCBulletsLv1"/>
      </w:pPr>
      <w:r>
        <w:t>abusive outdoor use.</w:t>
      </w:r>
    </w:p>
    <w:p w14:paraId="661E45E7" w14:textId="39493AF6" w:rsidR="00710730" w:rsidRPr="00710730" w:rsidRDefault="00710730" w:rsidP="00710730">
      <w:r w:rsidRPr="00710730">
        <w:t>The generic assum</w:t>
      </w:r>
      <w:r w:rsidR="00663D74">
        <w:t>p</w:t>
      </w:r>
      <w:r w:rsidRPr="00710730">
        <w:t xml:space="preserve">tions for the interference scenario </w:t>
      </w:r>
      <w:r w:rsidR="007D1DD1">
        <w:t>are</w:t>
      </w:r>
      <w:r w:rsidRPr="00710730">
        <w:t xml:space="preserve"> </w:t>
      </w:r>
      <w:r w:rsidR="007D1DD1" w:rsidRPr="00710730">
        <w:t>described</w:t>
      </w:r>
      <w:r w:rsidRPr="00710730">
        <w:t xml:space="preserve"> in </w:t>
      </w:r>
      <w:r w:rsidR="009D5FA2">
        <w:t>section</w:t>
      </w:r>
      <w:r w:rsidRPr="00710730">
        <w:t xml:space="preserve"> </w:t>
      </w:r>
      <w:r w:rsidR="007D1DD1">
        <w:fldChar w:fldCharType="begin"/>
      </w:r>
      <w:r w:rsidR="007D1DD1">
        <w:instrText xml:space="preserve"> REF _Ref67491610 \r \h </w:instrText>
      </w:r>
      <w:r w:rsidR="007D1DD1">
        <w:fldChar w:fldCharType="separate"/>
      </w:r>
      <w:r w:rsidR="004F49F9">
        <w:t>2.2.1.6</w:t>
      </w:r>
      <w:r w:rsidR="007D1DD1">
        <w:fldChar w:fldCharType="end"/>
      </w:r>
      <w:r w:rsidRPr="00710730">
        <w:t>.</w:t>
      </w:r>
      <w:r w:rsidR="004A1DDC">
        <w:t xml:space="preserve"> </w:t>
      </w:r>
      <w:r w:rsidRPr="00710730">
        <w:t>Th</w:t>
      </w:r>
      <w:r w:rsidR="00E23172">
        <w:t>ese</w:t>
      </w:r>
      <w:r w:rsidRPr="00710730">
        <w:t xml:space="preserve"> considerations on </w:t>
      </w:r>
      <w:r w:rsidR="00E23172">
        <w:t>potential</w:t>
      </w:r>
      <w:r w:rsidRPr="00710730">
        <w:t xml:space="preserve"> scenario</w:t>
      </w:r>
      <w:r w:rsidR="00E23172">
        <w:t>s</w:t>
      </w:r>
      <w:r w:rsidRPr="00710730">
        <w:t xml:space="preserve"> le</w:t>
      </w:r>
      <w:r w:rsidR="004A1DDC">
        <w:t>d</w:t>
      </w:r>
      <w:r w:rsidRPr="00710730">
        <w:t xml:space="preserve"> </w:t>
      </w:r>
      <w:r w:rsidR="00E23172">
        <w:t xml:space="preserve">to </w:t>
      </w:r>
      <w:r w:rsidRPr="00710730">
        <w:t>four different single</w:t>
      </w:r>
      <w:r w:rsidR="007D1DD1">
        <w:t>-</w:t>
      </w:r>
      <w:r w:rsidRPr="00710730">
        <w:t>entry interference cases</w:t>
      </w:r>
      <w:r w:rsidR="00E23172">
        <w:t>:</w:t>
      </w:r>
    </w:p>
    <w:p w14:paraId="326C8C34" w14:textId="04ACDE4F" w:rsidR="00E23172" w:rsidRDefault="00710730" w:rsidP="000B395B">
      <w:pPr>
        <w:pStyle w:val="ECCNumberedList"/>
        <w:numPr>
          <w:ilvl w:val="0"/>
          <w:numId w:val="11"/>
        </w:numPr>
      </w:pPr>
      <w:r w:rsidRPr="00710730">
        <w:t>Single-</w:t>
      </w:r>
      <w:r w:rsidR="00663D74">
        <w:t>e</w:t>
      </w:r>
      <w:r w:rsidRPr="00710730">
        <w:t xml:space="preserve">ntry </w:t>
      </w:r>
      <w:r w:rsidR="00663D74">
        <w:t>c</w:t>
      </w:r>
      <w:r w:rsidRPr="00710730">
        <w:t>ase 1</w:t>
      </w:r>
      <w:r w:rsidR="00440C26">
        <w:t>:</w:t>
      </w:r>
    </w:p>
    <w:p w14:paraId="094B8634" w14:textId="259715A0" w:rsidR="00E23172" w:rsidRDefault="00E23172" w:rsidP="00440C26">
      <w:pPr>
        <w:pStyle w:val="ECCBulletsLv2"/>
      </w:pPr>
      <w:r>
        <w:t>N</w:t>
      </w:r>
      <w:r w:rsidR="00710730">
        <w:t xml:space="preserve">o </w:t>
      </w:r>
      <w:r>
        <w:t>indoor-outdoor attenuation</w:t>
      </w:r>
      <w:r w:rsidR="00ED741D">
        <w:t>;</w:t>
      </w:r>
    </w:p>
    <w:p w14:paraId="31682E2A" w14:textId="30E93A1C" w:rsidR="00E23172" w:rsidRDefault="00E23172" w:rsidP="00440C26">
      <w:pPr>
        <w:pStyle w:val="ECCBulletsLv2"/>
      </w:pPr>
      <w:r>
        <w:t>L</w:t>
      </w:r>
      <w:r w:rsidR="00710730">
        <w:t>ine of sight/main beam coupling</w:t>
      </w:r>
      <w:r w:rsidR="00ED741D">
        <w:t>;</w:t>
      </w:r>
    </w:p>
    <w:p w14:paraId="04BFE0B8" w14:textId="77777777" w:rsidR="00710730" w:rsidRDefault="00E23172" w:rsidP="00440C26">
      <w:pPr>
        <w:pStyle w:val="ECCBulletsLv2"/>
      </w:pPr>
      <w:r>
        <w:t>N</w:t>
      </w:r>
      <w:r w:rsidR="00710730">
        <w:t>o clutter (quasi outdoor)</w:t>
      </w:r>
      <w:r>
        <w:t>.</w:t>
      </w:r>
    </w:p>
    <w:p w14:paraId="501CB60E" w14:textId="77777777" w:rsidR="00E23172" w:rsidRDefault="00710730" w:rsidP="00E23172">
      <w:pPr>
        <w:pStyle w:val="ECCNumberedList"/>
      </w:pPr>
      <w:r w:rsidRPr="00710730">
        <w:t>Single-</w:t>
      </w:r>
      <w:r w:rsidR="00663D74">
        <w:t>e</w:t>
      </w:r>
      <w:r w:rsidRPr="00710730">
        <w:t xml:space="preserve">ntry </w:t>
      </w:r>
      <w:r w:rsidR="00663D74">
        <w:t>c</w:t>
      </w:r>
      <w:r w:rsidRPr="00710730">
        <w:t>ase 2</w:t>
      </w:r>
    </w:p>
    <w:p w14:paraId="78810E4D" w14:textId="2DC14660" w:rsidR="00E23172" w:rsidRDefault="00E23172" w:rsidP="00440C26">
      <w:pPr>
        <w:pStyle w:val="ECCBulletsLv2"/>
      </w:pPr>
      <w:r>
        <w:t xml:space="preserve">Indoor-outdoor average attenuation of 16 dB (Model according to </w:t>
      </w:r>
      <w:r w:rsidR="00F064F2">
        <w:t xml:space="preserve">Recommendation ITU-R P.2109-1 </w:t>
      </w:r>
      <w:r w:rsidR="00F064F2">
        <w:rPr>
          <w:rStyle w:val="ECCParagraph"/>
        </w:rPr>
        <w:fldChar w:fldCharType="begin"/>
      </w:r>
      <w:r w:rsidR="00F064F2">
        <w:rPr>
          <w:rStyle w:val="ECCParagraph"/>
        </w:rPr>
        <w:instrText xml:space="preserve"> REF  ITU_R_P_2109_0 \h \w  \* MERGEFORMAT </w:instrText>
      </w:r>
      <w:r w:rsidR="00F064F2">
        <w:rPr>
          <w:rStyle w:val="ECCParagraph"/>
        </w:rPr>
      </w:r>
      <w:r w:rsidR="00F064F2">
        <w:rPr>
          <w:rStyle w:val="ECCParagraph"/>
        </w:rPr>
        <w:fldChar w:fldCharType="separate"/>
      </w:r>
      <w:r w:rsidR="004F49F9">
        <w:rPr>
          <w:rStyle w:val="ECCParagraph"/>
        </w:rPr>
        <w:t>[23]</w:t>
      </w:r>
      <w:r w:rsidR="00F064F2">
        <w:rPr>
          <w:rStyle w:val="ECCParagraph"/>
        </w:rPr>
        <w:fldChar w:fldCharType="end"/>
      </w:r>
      <w:r>
        <w:t xml:space="preserve"> with 70</w:t>
      </w:r>
      <w:r w:rsidR="00F800A2">
        <w:t>%</w:t>
      </w:r>
      <w:r>
        <w:t xml:space="preserve"> traditional</w:t>
      </w:r>
      <w:r w:rsidR="00E85257">
        <w:t xml:space="preserve"> and 30</w:t>
      </w:r>
      <w:r w:rsidR="00F800A2">
        <w:t>%</w:t>
      </w:r>
      <w:r w:rsidR="00E85257">
        <w:t xml:space="preserve"> </w:t>
      </w:r>
      <w:r>
        <w:t xml:space="preserve">energy efficient buildings at 100 GHz and 10° elevation </w:t>
      </w:r>
      <w:r w:rsidR="00B50075">
        <w:t>was</w:t>
      </w:r>
      <w:r>
        <w:t xml:space="preserve"> used. The radio astronomy stations are assumed to be located on higher level than the considered building</w:t>
      </w:r>
      <w:r w:rsidR="00F064F2">
        <w:t>.</w:t>
      </w:r>
      <w:r>
        <w:t>)</w:t>
      </w:r>
      <w:r w:rsidR="00ED741D">
        <w:t>;</w:t>
      </w:r>
    </w:p>
    <w:p w14:paraId="0A0E8A4D" w14:textId="2DBCF033" w:rsidR="00E23172" w:rsidRDefault="00E23172" w:rsidP="00440C26">
      <w:pPr>
        <w:pStyle w:val="ECCBulletsLv2"/>
      </w:pPr>
      <w:r>
        <w:t>Line of sight/main beam coupling</w:t>
      </w:r>
      <w:r w:rsidR="00ED741D">
        <w:t>;</w:t>
      </w:r>
    </w:p>
    <w:p w14:paraId="6ADC55DB" w14:textId="77777777" w:rsidR="00E23172" w:rsidRDefault="00E23172" w:rsidP="00440C26">
      <w:pPr>
        <w:pStyle w:val="ECCBulletsLv2"/>
      </w:pPr>
      <w:r>
        <w:t>No clutter.</w:t>
      </w:r>
    </w:p>
    <w:p w14:paraId="21D6A101" w14:textId="77777777" w:rsidR="00E23172" w:rsidRDefault="00710730" w:rsidP="00E23172">
      <w:pPr>
        <w:pStyle w:val="ECCNumberedList"/>
      </w:pPr>
      <w:r w:rsidRPr="00710730">
        <w:t>Single-</w:t>
      </w:r>
      <w:r w:rsidR="00663D74">
        <w:t>e</w:t>
      </w:r>
      <w:r w:rsidRPr="00710730">
        <w:t xml:space="preserve">ntry </w:t>
      </w:r>
      <w:r w:rsidR="00663D74">
        <w:t>c</w:t>
      </w:r>
      <w:r w:rsidRPr="00710730">
        <w:t>ase 3:</w:t>
      </w:r>
    </w:p>
    <w:p w14:paraId="41EB7350" w14:textId="7CCD0314" w:rsidR="00E23172" w:rsidRPr="00E23172" w:rsidRDefault="00E23172" w:rsidP="00440C26">
      <w:pPr>
        <w:pStyle w:val="ECCBulletsLv2"/>
      </w:pPr>
      <w:r w:rsidRPr="00E23172">
        <w:t>Indoor-outdoor attenuation of 1</w:t>
      </w:r>
      <w:r>
        <w:t>3</w:t>
      </w:r>
      <w:r w:rsidRPr="00E23172">
        <w:t xml:space="preserve"> dB (Model according to </w:t>
      </w:r>
      <w:r w:rsidR="00E85257">
        <w:t>ITU-R P.2109-1</w:t>
      </w:r>
      <w:r w:rsidRPr="00E23172">
        <w:t xml:space="preserve"> </w:t>
      </w:r>
      <w:r w:rsidR="00F064F2">
        <w:t>for P=15</w:t>
      </w:r>
      <w:r w:rsidR="00F800A2">
        <w:t>%</w:t>
      </w:r>
      <w:r w:rsidR="00F064F2">
        <w:t xml:space="preserve"> </w:t>
      </w:r>
      <w:r w:rsidRPr="00E23172">
        <w:t xml:space="preserve">with </w:t>
      </w:r>
      <w:r>
        <w:t>100</w:t>
      </w:r>
      <w:r w:rsidR="00F800A2">
        <w:t>%</w:t>
      </w:r>
      <w:r w:rsidRPr="00E23172">
        <w:t xml:space="preserve"> traditional buildings at 100 GHz and 10° elevation </w:t>
      </w:r>
      <w:r w:rsidR="00B50075">
        <w:t>was</w:t>
      </w:r>
      <w:r w:rsidRPr="00E23172">
        <w:t xml:space="preserve"> used</w:t>
      </w:r>
      <w:r w:rsidR="00F064F2">
        <w:t>)</w:t>
      </w:r>
      <w:r w:rsidR="00ED741D">
        <w:t>;</w:t>
      </w:r>
    </w:p>
    <w:p w14:paraId="00B396A3" w14:textId="4932E61F" w:rsidR="00E23172" w:rsidRPr="00E23172" w:rsidRDefault="00E23172" w:rsidP="00440C26">
      <w:pPr>
        <w:pStyle w:val="ECCBulletsLv2"/>
      </w:pPr>
      <w:r w:rsidRPr="00E23172">
        <w:t>Line of sight/main beam coupling</w:t>
      </w:r>
      <w:r w:rsidR="00ED741D">
        <w:t>;</w:t>
      </w:r>
    </w:p>
    <w:p w14:paraId="04A6A523" w14:textId="77777777" w:rsidR="00E23172" w:rsidRPr="00E23172" w:rsidRDefault="00E23172" w:rsidP="00440C26">
      <w:pPr>
        <w:pStyle w:val="ECCBulletsLv2"/>
      </w:pPr>
      <w:r w:rsidRPr="00E23172">
        <w:t>No clutter.</w:t>
      </w:r>
    </w:p>
    <w:p w14:paraId="0819F2DB" w14:textId="77777777" w:rsidR="00E85257" w:rsidRDefault="00710730" w:rsidP="00E85257">
      <w:pPr>
        <w:pStyle w:val="ECCNumberedList"/>
      </w:pPr>
      <w:r w:rsidRPr="00710730">
        <w:t>Single-</w:t>
      </w:r>
      <w:r w:rsidR="00663D74">
        <w:t>e</w:t>
      </w:r>
      <w:r w:rsidRPr="00710730">
        <w:t xml:space="preserve">ntry </w:t>
      </w:r>
      <w:r w:rsidR="00663D74">
        <w:t>c</w:t>
      </w:r>
      <w:r w:rsidRPr="00710730">
        <w:t>ase 4:</w:t>
      </w:r>
    </w:p>
    <w:p w14:paraId="668670F0" w14:textId="54A85411" w:rsidR="00E85257" w:rsidRDefault="00E85257" w:rsidP="00440C26">
      <w:pPr>
        <w:pStyle w:val="ECCBulletsLv2"/>
      </w:pPr>
      <w:r>
        <w:t xml:space="preserve">Only </w:t>
      </w:r>
      <w:r w:rsidR="00710730" w:rsidRPr="00483497">
        <w:t>for</w:t>
      </w:r>
      <w:r w:rsidR="00710730" w:rsidRPr="00710730">
        <w:t xml:space="preserve"> </w:t>
      </w:r>
      <w:r w:rsidR="00636CB8" w:rsidRPr="00DF2CB6">
        <w:t>fixed</w:t>
      </w:r>
      <w:r w:rsidR="00636CB8">
        <w:t xml:space="preserve"> generic </w:t>
      </w:r>
      <w:r w:rsidR="00710730" w:rsidRPr="00DF2CB6">
        <w:t xml:space="preserve">indoor </w:t>
      </w:r>
      <w:r w:rsidR="00636CB8">
        <w:t xml:space="preserve">surveillance radar </w:t>
      </w:r>
      <w:r w:rsidR="00710730" w:rsidRPr="00DF2CB6">
        <w:t>devices</w:t>
      </w:r>
      <w:r>
        <w:t>. Such devices</w:t>
      </w:r>
      <w:r w:rsidR="00710730" w:rsidRPr="00DF2CB6">
        <w:t xml:space="preserve"> are typical</w:t>
      </w:r>
      <w:r>
        <w:t>ly</w:t>
      </w:r>
      <w:r w:rsidR="00710730" w:rsidRPr="00DF2CB6">
        <w:t xml:space="preserve"> radia</w:t>
      </w:r>
      <w:r>
        <w:t>ting in a</w:t>
      </w:r>
      <w:r w:rsidR="00710730" w:rsidRPr="00DF2CB6">
        <w:t xml:space="preserve"> down</w:t>
      </w:r>
      <w:r>
        <w:t>wards direction</w:t>
      </w:r>
      <w:r w:rsidR="00710730" w:rsidRPr="00DF2CB6">
        <w:t xml:space="preserve"> (see description </w:t>
      </w:r>
      <w:r>
        <w:t xml:space="preserve">in </w:t>
      </w:r>
      <w:r w:rsidR="009D5FA2">
        <w:t>section</w:t>
      </w:r>
      <w:r>
        <w:t xml:space="preserve"> </w:t>
      </w:r>
      <w:r>
        <w:fldChar w:fldCharType="begin"/>
      </w:r>
      <w:r>
        <w:instrText xml:space="preserve"> REF _Ref67493588 \r \h </w:instrText>
      </w:r>
      <w:r w:rsidR="00ED741D">
        <w:instrText xml:space="preserve"> \* MERGEFORMAT </w:instrText>
      </w:r>
      <w:r>
        <w:fldChar w:fldCharType="separate"/>
      </w:r>
      <w:r w:rsidR="004F49F9">
        <w:t>2.2.1.6</w:t>
      </w:r>
      <w:r>
        <w:fldChar w:fldCharType="end"/>
      </w:r>
      <w:r w:rsidR="00710730" w:rsidRPr="00DF2CB6">
        <w:t>)</w:t>
      </w:r>
      <w:r w:rsidR="00710730">
        <w:t xml:space="preserve"> and therefore a lower maximum emission (12</w:t>
      </w:r>
      <w:r>
        <w:t> </w:t>
      </w:r>
      <w:r w:rsidR="00710730">
        <w:t xml:space="preserve">dBm instead </w:t>
      </w:r>
      <w:r>
        <w:t xml:space="preserve">of </w:t>
      </w:r>
      <w:r w:rsidR="00710730">
        <w:t>20</w:t>
      </w:r>
      <w:r>
        <w:t> </w:t>
      </w:r>
      <w:r w:rsidR="00710730">
        <w:t>dBm in main beam) over 0</w:t>
      </w:r>
      <w:r>
        <w:t> degree</w:t>
      </w:r>
      <w:r w:rsidR="00710730">
        <w:t xml:space="preserve"> elevation was considered</w:t>
      </w:r>
      <w:r w:rsidR="00ED741D">
        <w:t>;</w:t>
      </w:r>
    </w:p>
    <w:p w14:paraId="4EA79CA8" w14:textId="4D0E5E2E" w:rsidR="00E85257" w:rsidRDefault="00E85257" w:rsidP="00440C26">
      <w:pPr>
        <w:pStyle w:val="ECCBulletsLv2"/>
      </w:pPr>
      <w:r>
        <w:t>No indoor-outdoor attenuation</w:t>
      </w:r>
      <w:r w:rsidR="00ED741D">
        <w:t>;</w:t>
      </w:r>
    </w:p>
    <w:p w14:paraId="0F31B38C" w14:textId="50A54716" w:rsidR="00E85257" w:rsidRDefault="00E85257" w:rsidP="00440C26">
      <w:pPr>
        <w:pStyle w:val="ECCBulletsLv2"/>
      </w:pPr>
      <w:r>
        <w:t>Line of sight/main beam coupling</w:t>
      </w:r>
      <w:r w:rsidR="00ED741D">
        <w:t>;</w:t>
      </w:r>
    </w:p>
    <w:p w14:paraId="00C1C586" w14:textId="77777777" w:rsidR="00E85257" w:rsidRPr="00E23172" w:rsidRDefault="00E85257" w:rsidP="00440C26">
      <w:pPr>
        <w:pStyle w:val="ECCBulletsLv2"/>
      </w:pPr>
      <w:r w:rsidRPr="00E23172">
        <w:t>No clutter.</w:t>
      </w:r>
    </w:p>
    <w:p w14:paraId="24C359FB" w14:textId="79A471D9" w:rsidR="004F5E90" w:rsidRDefault="004F5E90" w:rsidP="004F5E90">
      <w:pPr>
        <w:pStyle w:val="Heading3"/>
      </w:pPr>
      <w:bookmarkStart w:id="507" w:name="_Toc84325349"/>
      <w:bookmarkStart w:id="508" w:name="_Toc127346273"/>
      <w:r>
        <w:t>Results</w:t>
      </w:r>
      <w:bookmarkEnd w:id="507"/>
      <w:bookmarkEnd w:id="508"/>
    </w:p>
    <w:p w14:paraId="755FC3C7" w14:textId="3D862AFF" w:rsidR="00304AD3" w:rsidRPr="00B10E31" w:rsidRDefault="007C0C1B" w:rsidP="00304AD3">
      <w:r>
        <w:fldChar w:fldCharType="begin"/>
      </w:r>
      <w:r>
        <w:instrText xml:space="preserve"> REF _Ref67512498 \h </w:instrText>
      </w:r>
      <w:r>
        <w:fldChar w:fldCharType="separate"/>
      </w:r>
      <w:r w:rsidR="0041125F" w:rsidRPr="007C3BF5">
        <w:t>Table </w:t>
      </w:r>
      <w:r w:rsidR="0041125F">
        <w:rPr>
          <w:noProof/>
        </w:rPr>
        <w:t>50</w:t>
      </w:r>
      <w:r>
        <w:fldChar w:fldCharType="end"/>
      </w:r>
      <w:r>
        <w:t xml:space="preserve"> </w:t>
      </w:r>
      <w:r w:rsidR="00304AD3" w:rsidRPr="00B10E31">
        <w:t xml:space="preserve">shows the single-entry </w:t>
      </w:r>
      <w:r w:rsidR="00304AD3">
        <w:t>worst</w:t>
      </w:r>
      <w:r w:rsidR="00304AD3" w:rsidRPr="00B10E31">
        <w:t xml:space="preserve">-case results for </w:t>
      </w:r>
      <w:r w:rsidR="00304AD3">
        <w:t>the in</w:t>
      </w:r>
      <w:r w:rsidR="0033678D">
        <w:t>-</w:t>
      </w:r>
      <w:r w:rsidR="00304AD3">
        <w:t xml:space="preserve">band </w:t>
      </w:r>
      <w:r w:rsidR="00A07C6F">
        <w:t xml:space="preserve">interference </w:t>
      </w:r>
      <w:r w:rsidR="00304AD3">
        <w:t xml:space="preserve">case for </w:t>
      </w:r>
      <w:r w:rsidR="009D5FA2">
        <w:t>hand-held</w:t>
      </w:r>
      <w:r w:rsidR="00304AD3">
        <w:t>/mobile and fixed indoor equipment</w:t>
      </w:r>
      <w:r w:rsidR="00304AD3" w:rsidRPr="00B10E31">
        <w:t>, e.g. the largest separation distances for the individual frequency ranges, and RAS victim sensor types.</w:t>
      </w:r>
    </w:p>
    <w:p w14:paraId="75E6AD93" w14:textId="02C724D6" w:rsidR="004A1DDC" w:rsidRDefault="005F10A5" w:rsidP="004A1DDC">
      <w:pPr>
        <w:pStyle w:val="Caption"/>
      </w:pPr>
      <w:bookmarkStart w:id="509" w:name="_Ref67512498"/>
      <w:r w:rsidRPr="007C3BF5">
        <w:t>Table </w:t>
      </w:r>
      <w:r w:rsidRPr="00240396">
        <w:fldChar w:fldCharType="begin"/>
      </w:r>
      <w:r>
        <w:instrText xml:space="preserve"> SEQ Table \* ARABIC </w:instrText>
      </w:r>
      <w:r w:rsidRPr="00240396">
        <w:fldChar w:fldCharType="separate"/>
      </w:r>
      <w:r w:rsidR="004F49F9">
        <w:rPr>
          <w:noProof/>
        </w:rPr>
        <w:t>50</w:t>
      </w:r>
      <w:r w:rsidRPr="00240396">
        <w:fldChar w:fldCharType="end"/>
      </w:r>
      <w:bookmarkEnd w:id="509"/>
      <w:r w:rsidR="004A1DDC" w:rsidRPr="002876E6">
        <w:t xml:space="preserve">: Required separation distances determined in a single-entry study for </w:t>
      </w:r>
      <w:r w:rsidR="004A1DDC">
        <w:t>generic indoor surveil</w:t>
      </w:r>
      <w:r w:rsidR="005E5019">
        <w:t>l</w:t>
      </w:r>
      <w:r w:rsidR="004A1DDC">
        <w:t>ance radar</w:t>
      </w:r>
      <w:r w:rsidR="00A07C6F">
        <w:t xml:space="preserve"> for in-band interference</w:t>
      </w:r>
    </w:p>
    <w:tbl>
      <w:tblPr>
        <w:tblStyle w:val="ECCTable-redheader"/>
        <w:tblW w:w="8931" w:type="dxa"/>
        <w:tblInd w:w="0" w:type="dxa"/>
        <w:tblLook w:val="04A0" w:firstRow="1" w:lastRow="0" w:firstColumn="1" w:lastColumn="0" w:noHBand="0" w:noVBand="1"/>
      </w:tblPr>
      <w:tblGrid>
        <w:gridCol w:w="2289"/>
        <w:gridCol w:w="1242"/>
        <w:gridCol w:w="1369"/>
        <w:gridCol w:w="1196"/>
        <w:gridCol w:w="1134"/>
        <w:gridCol w:w="1701"/>
      </w:tblGrid>
      <w:tr w:rsidR="007C0C1B" w14:paraId="206133FC" w14:textId="77777777" w:rsidTr="00143BE7">
        <w:trPr>
          <w:cnfStyle w:val="100000000000" w:firstRow="1" w:lastRow="0" w:firstColumn="0" w:lastColumn="0" w:oddVBand="0" w:evenVBand="0" w:oddHBand="0" w:evenHBand="0" w:firstRowFirstColumn="0" w:firstRowLastColumn="0" w:lastRowFirstColumn="0" w:lastRowLastColumn="0"/>
        </w:trPr>
        <w:tc>
          <w:tcPr>
            <w:tcW w:w="2289" w:type="dxa"/>
            <w:vMerge w:val="restart"/>
          </w:tcPr>
          <w:p w14:paraId="2D9DE7CD" w14:textId="77777777" w:rsidR="007C0C1B" w:rsidRPr="007C0C1B" w:rsidRDefault="007C0C1B" w:rsidP="00876039">
            <w:pPr>
              <w:pStyle w:val="ECCTableHeaderwhitefont"/>
            </w:pPr>
            <w:bookmarkStart w:id="510" w:name="_Hlk67511935"/>
            <w:r>
              <w:rPr>
                <w:rStyle w:val="ECCParagraph"/>
              </w:rPr>
              <w:t>Device type</w:t>
            </w:r>
          </w:p>
        </w:tc>
        <w:tc>
          <w:tcPr>
            <w:tcW w:w="1242" w:type="dxa"/>
            <w:vMerge w:val="restart"/>
            <w:tcBorders>
              <w:bottom w:val="single" w:sz="4" w:space="0" w:color="FFFFFF" w:themeColor="background1"/>
            </w:tcBorders>
          </w:tcPr>
          <w:p w14:paraId="1DD25FA4" w14:textId="77777777" w:rsidR="007C0C1B" w:rsidRPr="007C0C1B" w:rsidRDefault="007C0C1B" w:rsidP="000A69BD">
            <w:pPr>
              <w:pStyle w:val="ECCTableHeaderwhitefont"/>
            </w:pPr>
            <w:r>
              <w:rPr>
                <w:rStyle w:val="ECCParagraph"/>
              </w:rPr>
              <w:t>Single-entry case</w:t>
            </w:r>
          </w:p>
        </w:tc>
        <w:tc>
          <w:tcPr>
            <w:tcW w:w="5400" w:type="dxa"/>
            <w:gridSpan w:val="4"/>
            <w:tcBorders>
              <w:bottom w:val="single" w:sz="4" w:space="0" w:color="FFFFFF" w:themeColor="background1"/>
            </w:tcBorders>
          </w:tcPr>
          <w:p w14:paraId="2AABEAF3" w14:textId="77777777" w:rsidR="007C0C1B" w:rsidRPr="007C0C1B" w:rsidRDefault="007C0C1B" w:rsidP="000A69BD">
            <w:pPr>
              <w:pStyle w:val="ECCTableHeaderwhitefont"/>
            </w:pPr>
            <w:r w:rsidRPr="00B10E31">
              <w:t xml:space="preserve">Required separation </w:t>
            </w:r>
            <w:r w:rsidRPr="007C0C1B">
              <w:t>distances</w:t>
            </w:r>
          </w:p>
        </w:tc>
      </w:tr>
      <w:tr w:rsidR="007C0C1B" w14:paraId="6EBCB879" w14:textId="77777777" w:rsidTr="00143BE7">
        <w:tc>
          <w:tcPr>
            <w:tcW w:w="2289" w:type="dxa"/>
            <w:vMerge/>
            <w:tcBorders>
              <w:left w:val="single" w:sz="4" w:space="0" w:color="D22A23"/>
              <w:right w:val="single" w:sz="4" w:space="0" w:color="FFFFFF" w:themeColor="background1"/>
            </w:tcBorders>
          </w:tcPr>
          <w:p w14:paraId="4C141DDE" w14:textId="77777777" w:rsidR="007C0C1B" w:rsidRPr="00213B63" w:rsidRDefault="007C0C1B" w:rsidP="007C0C1B">
            <w:pPr>
              <w:pStyle w:val="ECCTableHeaderwhitefont"/>
            </w:pPr>
          </w:p>
        </w:tc>
        <w:tc>
          <w:tcPr>
            <w:tcW w:w="1242" w:type="dxa"/>
            <w:vMerge/>
            <w:tcBorders>
              <w:left w:val="single" w:sz="4" w:space="0" w:color="FFFFFF" w:themeColor="background1"/>
              <w:bottom w:val="single" w:sz="4" w:space="0" w:color="FFFFFF" w:themeColor="background1"/>
              <w:right w:val="single" w:sz="4" w:space="0" w:color="FFFFFF" w:themeColor="background1"/>
            </w:tcBorders>
          </w:tcPr>
          <w:p w14:paraId="3ACAA6E4" w14:textId="77777777" w:rsidR="007C0C1B" w:rsidRPr="00213B63" w:rsidRDefault="007C0C1B" w:rsidP="007C0C1B">
            <w:pPr>
              <w:pStyle w:val="ECCTableHeaderwhitefont"/>
            </w:pPr>
          </w:p>
        </w:tc>
        <w:tc>
          <w:tcPr>
            <w:tcW w:w="25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0B71391F" w14:textId="77777777" w:rsidR="007C0C1B" w:rsidRPr="00143BE7" w:rsidRDefault="007C0C1B" w:rsidP="00876039">
            <w:pPr>
              <w:pStyle w:val="ECCTableHeaderwhitefont"/>
              <w:rPr>
                <w:rStyle w:val="ECCParagraph"/>
                <w:b/>
                <w:bCs w:val="0"/>
              </w:rPr>
            </w:pPr>
            <w:r w:rsidRPr="00143BE7">
              <w:rPr>
                <w:rStyle w:val="ECCParagraph"/>
                <w:b/>
                <w:bCs w:val="0"/>
              </w:rPr>
              <w:t>Allocated RAS band:</w:t>
            </w:r>
          </w:p>
          <w:p w14:paraId="11A907E5" w14:textId="77777777" w:rsidR="007C0C1B" w:rsidRPr="00143BE7" w:rsidRDefault="007C0C1B" w:rsidP="000A69BD">
            <w:pPr>
              <w:pStyle w:val="ECCTableHeaderwhitefont"/>
              <w:rPr>
                <w:b/>
                <w:bCs w:val="0"/>
              </w:rPr>
            </w:pPr>
            <w:r w:rsidRPr="00143BE7">
              <w:rPr>
                <w:rStyle w:val="ECCParagraph"/>
                <w:b/>
                <w:bCs w:val="0"/>
              </w:rPr>
              <w:t>123 to 158</w:t>
            </w:r>
            <w:r w:rsidR="00CF4994" w:rsidRPr="00143BE7">
              <w:rPr>
                <w:rStyle w:val="ECCParagraph"/>
                <w:b/>
                <w:bCs w:val="0"/>
              </w:rPr>
              <w:t>.5</w:t>
            </w:r>
            <w:r w:rsidR="00C87083" w:rsidRPr="00143BE7">
              <w:rPr>
                <w:rStyle w:val="ECCParagraph"/>
                <w:b/>
                <w:bCs w:val="0"/>
              </w:rPr>
              <w:t> </w:t>
            </w:r>
            <w:r w:rsidRPr="00143BE7">
              <w:rPr>
                <w:rStyle w:val="ECCParagraph"/>
                <w:b/>
                <w:bCs w:val="0"/>
              </w:rPr>
              <w:t>GHz</w:t>
            </w:r>
          </w:p>
        </w:tc>
        <w:tc>
          <w:tcPr>
            <w:tcW w:w="2835" w:type="dxa"/>
            <w:gridSpan w:val="2"/>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1CA0A76C" w14:textId="77777777" w:rsidR="007C0C1B" w:rsidRPr="00143BE7" w:rsidRDefault="007C0C1B" w:rsidP="000A69BD">
            <w:pPr>
              <w:pStyle w:val="ECCTableHeaderwhitefont"/>
              <w:rPr>
                <w:rStyle w:val="ECCParagraph"/>
                <w:b/>
                <w:bCs w:val="0"/>
              </w:rPr>
            </w:pPr>
            <w:r w:rsidRPr="00143BE7">
              <w:rPr>
                <w:rStyle w:val="ECCParagraph"/>
                <w:b/>
                <w:bCs w:val="0"/>
              </w:rPr>
              <w:t>Allocated RAS band:</w:t>
            </w:r>
          </w:p>
          <w:p w14:paraId="5A439BCC" w14:textId="77777777" w:rsidR="007C0C1B" w:rsidRPr="00143BE7" w:rsidRDefault="007C0C1B" w:rsidP="000A69BD">
            <w:pPr>
              <w:pStyle w:val="ECCTableHeaderwhitefont"/>
              <w:rPr>
                <w:b/>
                <w:bCs w:val="0"/>
              </w:rPr>
            </w:pPr>
            <w:r w:rsidRPr="00143BE7">
              <w:rPr>
                <w:rStyle w:val="ECCParagraph"/>
                <w:b/>
                <w:bCs w:val="0"/>
              </w:rPr>
              <w:t>123 to 158</w:t>
            </w:r>
            <w:r w:rsidR="00CF4994" w:rsidRPr="00143BE7">
              <w:rPr>
                <w:rStyle w:val="ECCParagraph"/>
                <w:b/>
                <w:bCs w:val="0"/>
              </w:rPr>
              <w:t>.5</w:t>
            </w:r>
            <w:r w:rsidRPr="00143BE7">
              <w:rPr>
                <w:rStyle w:val="ECCParagraph"/>
                <w:b/>
                <w:bCs w:val="0"/>
              </w:rPr>
              <w:t> GHz</w:t>
            </w:r>
          </w:p>
        </w:tc>
      </w:tr>
      <w:tr w:rsidR="007C0C1B" w14:paraId="6DA72C55" w14:textId="77777777" w:rsidTr="00143BE7">
        <w:tc>
          <w:tcPr>
            <w:tcW w:w="2289" w:type="dxa"/>
            <w:vMerge/>
            <w:tcBorders>
              <w:top w:val="single" w:sz="4" w:space="0" w:color="FFFFFF" w:themeColor="background1"/>
              <w:left w:val="single" w:sz="4" w:space="0" w:color="D22A23"/>
              <w:right w:val="single" w:sz="4" w:space="0" w:color="FFFFFF" w:themeColor="background1"/>
            </w:tcBorders>
          </w:tcPr>
          <w:p w14:paraId="58FDF237" w14:textId="77777777" w:rsidR="007C0C1B" w:rsidRPr="00213B63" w:rsidRDefault="007C0C1B" w:rsidP="007C0C1B">
            <w:pPr>
              <w:pStyle w:val="ECCTableHeaderwhitefont"/>
            </w:pPr>
          </w:p>
        </w:tc>
        <w:tc>
          <w:tcPr>
            <w:tcW w:w="124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42165A" w14:textId="77777777" w:rsidR="007C0C1B" w:rsidRPr="00213B63" w:rsidRDefault="007C0C1B" w:rsidP="007C0C1B">
            <w:pPr>
              <w:pStyle w:val="ECCTableHeaderwhitefont"/>
            </w:pPr>
          </w:p>
        </w:tc>
        <w:tc>
          <w:tcPr>
            <w:tcW w:w="25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7F604386" w14:textId="77777777" w:rsidR="007C0C1B" w:rsidRPr="00143BE7" w:rsidRDefault="007C0C1B" w:rsidP="00876039">
            <w:pPr>
              <w:pStyle w:val="ECCTableHeaderwhitefont"/>
              <w:rPr>
                <w:b/>
                <w:bCs w:val="0"/>
              </w:rPr>
            </w:pPr>
            <w:r w:rsidRPr="00143BE7">
              <w:rPr>
                <w:rStyle w:val="ECCParagraph"/>
                <w:b/>
                <w:bCs w:val="0"/>
              </w:rPr>
              <w:t>Evaluated frequency: 126</w:t>
            </w:r>
            <w:r w:rsidR="00CF4994" w:rsidRPr="00143BE7">
              <w:rPr>
                <w:rStyle w:val="ECCParagraph"/>
                <w:b/>
                <w:bCs w:val="0"/>
              </w:rPr>
              <w:t>.5</w:t>
            </w:r>
            <w:r w:rsidRPr="00143BE7">
              <w:rPr>
                <w:rStyle w:val="ECCParagraph"/>
                <w:b/>
                <w:bCs w:val="0"/>
              </w:rPr>
              <w:t> GHz (lower)</w:t>
            </w:r>
          </w:p>
        </w:tc>
        <w:tc>
          <w:tcPr>
            <w:tcW w:w="2835" w:type="dxa"/>
            <w:gridSpan w:val="2"/>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2B0B5ACD" w14:textId="77777777" w:rsidR="007C0C1B" w:rsidRPr="00143BE7" w:rsidRDefault="007C0C1B" w:rsidP="000A69BD">
            <w:pPr>
              <w:pStyle w:val="ECCTableHeaderwhitefont"/>
              <w:rPr>
                <w:b/>
                <w:bCs w:val="0"/>
              </w:rPr>
            </w:pPr>
            <w:r w:rsidRPr="00143BE7">
              <w:rPr>
                <w:rStyle w:val="ECCParagraph"/>
                <w:b/>
                <w:bCs w:val="0"/>
              </w:rPr>
              <w:t>Evaluated frequency: 137</w:t>
            </w:r>
            <w:r w:rsidR="00CF4994" w:rsidRPr="00143BE7">
              <w:rPr>
                <w:rStyle w:val="ECCParagraph"/>
                <w:b/>
                <w:bCs w:val="0"/>
              </w:rPr>
              <w:t>.5</w:t>
            </w:r>
            <w:r w:rsidRPr="00143BE7">
              <w:rPr>
                <w:rStyle w:val="ECCParagraph"/>
                <w:b/>
                <w:bCs w:val="0"/>
              </w:rPr>
              <w:t> GHz (upper)</w:t>
            </w:r>
          </w:p>
        </w:tc>
      </w:tr>
      <w:tr w:rsidR="007C0C1B" w14:paraId="2BF1D677" w14:textId="77777777" w:rsidTr="00143BE7">
        <w:tc>
          <w:tcPr>
            <w:tcW w:w="2289" w:type="dxa"/>
            <w:vMerge/>
            <w:tcBorders>
              <w:left w:val="single" w:sz="4" w:space="0" w:color="D22A23"/>
              <w:bottom w:val="single" w:sz="4" w:space="0" w:color="FFFFFF" w:themeColor="background1"/>
              <w:right w:val="single" w:sz="4" w:space="0" w:color="FFFFFF" w:themeColor="background1"/>
            </w:tcBorders>
          </w:tcPr>
          <w:p w14:paraId="415CAC1E" w14:textId="77777777" w:rsidR="007C0C1B" w:rsidRPr="00213B63" w:rsidRDefault="007C0C1B" w:rsidP="007C0C1B">
            <w:pPr>
              <w:pStyle w:val="ECCTableHeaderwhitefont"/>
            </w:pPr>
          </w:p>
        </w:tc>
        <w:tc>
          <w:tcPr>
            <w:tcW w:w="1242" w:type="dxa"/>
            <w:vMerge/>
            <w:tcBorders>
              <w:left w:val="single" w:sz="4" w:space="0" w:color="FFFFFF" w:themeColor="background1"/>
              <w:bottom w:val="single" w:sz="4" w:space="0" w:color="FFFFFF" w:themeColor="background1"/>
              <w:right w:val="single" w:sz="4" w:space="0" w:color="FFFFFF" w:themeColor="background1"/>
            </w:tcBorders>
          </w:tcPr>
          <w:p w14:paraId="1B43E2D4" w14:textId="77777777" w:rsidR="007C0C1B" w:rsidRPr="00213B63" w:rsidRDefault="007C0C1B" w:rsidP="007C0C1B">
            <w:pPr>
              <w:pStyle w:val="ECCTableHeaderwhitefont"/>
            </w:pPr>
          </w:p>
        </w:tc>
        <w:tc>
          <w:tcPr>
            <w:tcW w:w="1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16619006" w14:textId="77777777" w:rsidR="007C0C1B" w:rsidRPr="00143BE7" w:rsidRDefault="007C0C1B" w:rsidP="00876039">
            <w:pPr>
              <w:pStyle w:val="ECCTableHeaderwhitefont"/>
              <w:rPr>
                <w:b/>
                <w:bCs w:val="0"/>
              </w:rPr>
            </w:pPr>
            <w:r w:rsidRPr="00143BE7">
              <w:rPr>
                <w:rStyle w:val="ECCParagraph"/>
                <w:b/>
                <w:bCs w:val="0"/>
              </w:rPr>
              <w:t>RAS CO</w:t>
            </w:r>
          </w:p>
        </w:tc>
        <w:tc>
          <w:tcPr>
            <w:tcW w:w="11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37DEE1B7" w14:textId="77777777" w:rsidR="007C0C1B" w:rsidRPr="00143BE7" w:rsidRDefault="007C0C1B" w:rsidP="000A69BD">
            <w:pPr>
              <w:pStyle w:val="ECCTableHeaderwhitefont"/>
              <w:rPr>
                <w:b/>
                <w:bCs w:val="0"/>
              </w:rPr>
            </w:pPr>
            <w:r w:rsidRPr="00143BE7">
              <w:rPr>
                <w:rStyle w:val="ECCParagraph"/>
                <w:b/>
                <w:bCs w:val="0"/>
              </w:rPr>
              <w:t>RAS SLO</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7C85F169" w14:textId="77777777" w:rsidR="007C0C1B" w:rsidRPr="00143BE7" w:rsidRDefault="007C0C1B" w:rsidP="000A69BD">
            <w:pPr>
              <w:pStyle w:val="ECCTableHeaderwhitefont"/>
              <w:rPr>
                <w:b/>
                <w:bCs w:val="0"/>
              </w:rPr>
            </w:pPr>
            <w:r w:rsidRPr="00143BE7">
              <w:rPr>
                <w:rStyle w:val="ECCParagraph"/>
                <w:b/>
                <w:bCs w:val="0"/>
              </w:rPr>
              <w:t>RAS CO</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398B315F" w14:textId="77777777" w:rsidR="007C0C1B" w:rsidRPr="00143BE7" w:rsidRDefault="007C0C1B" w:rsidP="000A69BD">
            <w:pPr>
              <w:pStyle w:val="ECCTableHeaderwhitefont"/>
              <w:rPr>
                <w:b/>
                <w:bCs w:val="0"/>
              </w:rPr>
            </w:pPr>
            <w:r w:rsidRPr="00143BE7">
              <w:rPr>
                <w:rStyle w:val="ECCParagraph"/>
                <w:b/>
                <w:bCs w:val="0"/>
              </w:rPr>
              <w:t>RAS SLO</w:t>
            </w:r>
          </w:p>
        </w:tc>
      </w:tr>
      <w:tr w:rsidR="007C0C1B" w14:paraId="49094262" w14:textId="77777777" w:rsidTr="001976F2">
        <w:tc>
          <w:tcPr>
            <w:tcW w:w="2289" w:type="dxa"/>
            <w:tcBorders>
              <w:top w:val="single" w:sz="4" w:space="0" w:color="FFFFFF" w:themeColor="background1"/>
              <w:left w:val="single" w:sz="4" w:space="0" w:color="D22A23"/>
            </w:tcBorders>
          </w:tcPr>
          <w:p w14:paraId="77BD5B9C" w14:textId="77777777" w:rsidR="007C0C1B" w:rsidRPr="007C0C1B" w:rsidRDefault="007C0C1B" w:rsidP="000A69BD">
            <w:pPr>
              <w:pStyle w:val="ECCTabletext"/>
              <w:jc w:val="left"/>
            </w:pPr>
            <w:r w:rsidRPr="0033678D">
              <w:rPr>
                <w:rStyle w:val="ECCParagraph"/>
              </w:rPr>
              <w:t>Fixed</w:t>
            </w:r>
          </w:p>
        </w:tc>
        <w:tc>
          <w:tcPr>
            <w:tcW w:w="1242" w:type="dxa"/>
            <w:tcBorders>
              <w:top w:val="single" w:sz="4" w:space="0" w:color="FFFFFF" w:themeColor="background1"/>
            </w:tcBorders>
          </w:tcPr>
          <w:p w14:paraId="36705B58" w14:textId="77777777" w:rsidR="007C0C1B" w:rsidRPr="007C0C1B" w:rsidRDefault="007C0C1B" w:rsidP="000A69BD">
            <w:pPr>
              <w:pStyle w:val="ECCTabletext"/>
              <w:jc w:val="left"/>
            </w:pPr>
            <w:r w:rsidRPr="0033678D">
              <w:rPr>
                <w:rStyle w:val="ECCParagraph"/>
              </w:rPr>
              <w:t>1</w:t>
            </w:r>
          </w:p>
        </w:tc>
        <w:tc>
          <w:tcPr>
            <w:tcW w:w="1369" w:type="dxa"/>
            <w:tcBorders>
              <w:top w:val="single" w:sz="4" w:space="0" w:color="FFFFFF" w:themeColor="background1"/>
            </w:tcBorders>
          </w:tcPr>
          <w:p w14:paraId="0F6D198F" w14:textId="77777777" w:rsidR="007C0C1B" w:rsidRPr="007C0C1B" w:rsidRDefault="007C0C1B" w:rsidP="000A69BD">
            <w:pPr>
              <w:pStyle w:val="ECCTabletext"/>
              <w:jc w:val="left"/>
            </w:pPr>
            <w:r w:rsidRPr="0033678D">
              <w:rPr>
                <w:rStyle w:val="ECCParagraph"/>
              </w:rPr>
              <w:t>35</w:t>
            </w:r>
            <w:r w:rsidR="00CF4994">
              <w:rPr>
                <w:rStyle w:val="ECCParagraph"/>
              </w:rPr>
              <w:t>.2</w:t>
            </w:r>
            <w:r w:rsidRPr="007C0C1B">
              <w:rPr>
                <w:rStyle w:val="ECCParagraph"/>
              </w:rPr>
              <w:t> km</w:t>
            </w:r>
          </w:p>
        </w:tc>
        <w:tc>
          <w:tcPr>
            <w:tcW w:w="1196" w:type="dxa"/>
            <w:tcBorders>
              <w:top w:val="single" w:sz="4" w:space="0" w:color="FFFFFF" w:themeColor="background1"/>
            </w:tcBorders>
          </w:tcPr>
          <w:p w14:paraId="677A4D93" w14:textId="77777777" w:rsidR="007C0C1B" w:rsidRPr="007C0C1B" w:rsidRDefault="007C0C1B" w:rsidP="007C0C1B">
            <w:r w:rsidRPr="0033678D">
              <w:rPr>
                <w:rStyle w:val="ECCParagraph"/>
              </w:rPr>
              <w:t>14</w:t>
            </w:r>
            <w:r w:rsidRPr="007C0C1B">
              <w:rPr>
                <w:rStyle w:val="ECCParagraph"/>
              </w:rPr>
              <w:t> km</w:t>
            </w:r>
          </w:p>
        </w:tc>
        <w:tc>
          <w:tcPr>
            <w:tcW w:w="1134" w:type="dxa"/>
            <w:tcBorders>
              <w:top w:val="single" w:sz="4" w:space="0" w:color="FFFFFF" w:themeColor="background1"/>
            </w:tcBorders>
          </w:tcPr>
          <w:p w14:paraId="59FEFD4E" w14:textId="77777777" w:rsidR="007C0C1B" w:rsidRPr="007C0C1B" w:rsidRDefault="007C0C1B" w:rsidP="007C0C1B">
            <w:r w:rsidRPr="0033678D">
              <w:rPr>
                <w:rStyle w:val="ECCParagraph"/>
              </w:rPr>
              <w:t>34</w:t>
            </w:r>
            <w:r w:rsidR="00CF4994">
              <w:rPr>
                <w:rStyle w:val="ECCParagraph"/>
              </w:rPr>
              <w:t>.7</w:t>
            </w:r>
            <w:r w:rsidRPr="007C0C1B">
              <w:rPr>
                <w:rStyle w:val="ECCParagraph"/>
              </w:rPr>
              <w:t> km</w:t>
            </w:r>
          </w:p>
        </w:tc>
        <w:tc>
          <w:tcPr>
            <w:tcW w:w="1701" w:type="dxa"/>
            <w:tcBorders>
              <w:top w:val="single" w:sz="4" w:space="0" w:color="FFFFFF" w:themeColor="background1"/>
              <w:right w:val="single" w:sz="4" w:space="0" w:color="D22A23"/>
            </w:tcBorders>
          </w:tcPr>
          <w:p w14:paraId="264891AC" w14:textId="77777777" w:rsidR="007C0C1B" w:rsidRPr="007C0C1B" w:rsidRDefault="007C0C1B" w:rsidP="007C0C1B">
            <w:r w:rsidRPr="0033678D">
              <w:rPr>
                <w:rStyle w:val="ECCParagraph"/>
              </w:rPr>
              <w:t>13</w:t>
            </w:r>
            <w:r w:rsidR="00CF4994">
              <w:rPr>
                <w:rStyle w:val="ECCParagraph"/>
              </w:rPr>
              <w:t>.3</w:t>
            </w:r>
            <w:r w:rsidRPr="007C0C1B">
              <w:rPr>
                <w:rStyle w:val="ECCParagraph"/>
              </w:rPr>
              <w:t> km</w:t>
            </w:r>
          </w:p>
        </w:tc>
      </w:tr>
      <w:tr w:rsidR="007C0C1B" w14:paraId="53F001E4" w14:textId="77777777" w:rsidTr="001976F2">
        <w:tc>
          <w:tcPr>
            <w:tcW w:w="2289" w:type="dxa"/>
            <w:tcBorders>
              <w:left w:val="single" w:sz="4" w:space="0" w:color="D22A23"/>
            </w:tcBorders>
          </w:tcPr>
          <w:p w14:paraId="03448DB6" w14:textId="77777777" w:rsidR="007C0C1B" w:rsidRPr="007C0C1B" w:rsidRDefault="007C0C1B" w:rsidP="000A69BD">
            <w:pPr>
              <w:pStyle w:val="ECCTabletext"/>
              <w:jc w:val="left"/>
              <w:rPr>
                <w:rStyle w:val="ECCParagraph"/>
              </w:rPr>
            </w:pPr>
            <w:r w:rsidRPr="0033678D">
              <w:rPr>
                <w:rStyle w:val="ECCParagraph"/>
              </w:rPr>
              <w:t>Fixed</w:t>
            </w:r>
          </w:p>
        </w:tc>
        <w:tc>
          <w:tcPr>
            <w:tcW w:w="1242" w:type="dxa"/>
          </w:tcPr>
          <w:p w14:paraId="77FD2600" w14:textId="77777777" w:rsidR="007C0C1B" w:rsidRPr="007C0C1B" w:rsidRDefault="007C0C1B" w:rsidP="000A69BD">
            <w:pPr>
              <w:pStyle w:val="ECCTabletext"/>
              <w:jc w:val="left"/>
              <w:rPr>
                <w:rStyle w:val="ECCParagraph"/>
              </w:rPr>
            </w:pPr>
            <w:r w:rsidRPr="0033678D">
              <w:rPr>
                <w:rStyle w:val="ECCParagraph"/>
              </w:rPr>
              <w:t>4</w:t>
            </w:r>
          </w:p>
        </w:tc>
        <w:tc>
          <w:tcPr>
            <w:tcW w:w="1369" w:type="dxa"/>
            <w:tcBorders>
              <w:top w:val="single" w:sz="4" w:space="0" w:color="D22A23"/>
            </w:tcBorders>
          </w:tcPr>
          <w:p w14:paraId="45A7D89F" w14:textId="77777777" w:rsidR="007C0C1B" w:rsidRPr="007C0C1B" w:rsidRDefault="007C0C1B" w:rsidP="000A69BD">
            <w:pPr>
              <w:pStyle w:val="ECCTabletext"/>
              <w:jc w:val="left"/>
              <w:rPr>
                <w:rStyle w:val="ECCParagraph"/>
              </w:rPr>
            </w:pPr>
            <w:r w:rsidRPr="0033678D">
              <w:rPr>
                <w:rStyle w:val="ECCParagraph"/>
              </w:rPr>
              <w:t>17</w:t>
            </w:r>
            <w:r w:rsidR="00CF4994">
              <w:rPr>
                <w:rStyle w:val="ECCParagraph"/>
              </w:rPr>
              <w:t>.5</w:t>
            </w:r>
            <w:r w:rsidRPr="007C0C1B">
              <w:rPr>
                <w:rStyle w:val="ECCParagraph"/>
              </w:rPr>
              <w:t xml:space="preserve"> km </w:t>
            </w:r>
          </w:p>
        </w:tc>
        <w:tc>
          <w:tcPr>
            <w:tcW w:w="1196" w:type="dxa"/>
            <w:tcBorders>
              <w:top w:val="single" w:sz="4" w:space="0" w:color="D22A23"/>
            </w:tcBorders>
          </w:tcPr>
          <w:p w14:paraId="532E17AA" w14:textId="77777777" w:rsidR="007C0C1B" w:rsidRPr="007C0C1B" w:rsidRDefault="007C0C1B" w:rsidP="007C0C1B">
            <w:pPr>
              <w:rPr>
                <w:rStyle w:val="ECCParagraph"/>
              </w:rPr>
            </w:pPr>
            <w:r w:rsidRPr="0033678D">
              <w:rPr>
                <w:rStyle w:val="ECCParagraph"/>
              </w:rPr>
              <w:t>6</w:t>
            </w:r>
            <w:r w:rsidR="00CF4994">
              <w:rPr>
                <w:rStyle w:val="ECCParagraph"/>
              </w:rPr>
              <w:t>.2</w:t>
            </w:r>
            <w:r w:rsidRPr="007C0C1B">
              <w:rPr>
                <w:rStyle w:val="ECCParagraph"/>
              </w:rPr>
              <w:t> km</w:t>
            </w:r>
          </w:p>
        </w:tc>
        <w:tc>
          <w:tcPr>
            <w:tcW w:w="1134" w:type="dxa"/>
            <w:tcBorders>
              <w:top w:val="single" w:sz="4" w:space="0" w:color="D22A23"/>
            </w:tcBorders>
          </w:tcPr>
          <w:p w14:paraId="2A4EAEAC" w14:textId="77777777" w:rsidR="007C0C1B" w:rsidRPr="007C0C1B" w:rsidRDefault="007C0C1B" w:rsidP="007C0C1B">
            <w:pPr>
              <w:rPr>
                <w:rStyle w:val="ECCParagraph"/>
              </w:rPr>
            </w:pPr>
            <w:r w:rsidRPr="0033678D">
              <w:rPr>
                <w:rStyle w:val="ECCParagraph"/>
              </w:rPr>
              <w:t>17</w:t>
            </w:r>
            <w:r w:rsidR="00CF4994">
              <w:rPr>
                <w:rStyle w:val="ECCParagraph"/>
              </w:rPr>
              <w:t>.0</w:t>
            </w:r>
            <w:r w:rsidRPr="007C0C1B">
              <w:rPr>
                <w:rStyle w:val="ECCParagraph"/>
              </w:rPr>
              <w:t> km</w:t>
            </w:r>
          </w:p>
        </w:tc>
        <w:tc>
          <w:tcPr>
            <w:tcW w:w="1701" w:type="dxa"/>
            <w:tcBorders>
              <w:top w:val="single" w:sz="4" w:space="0" w:color="FFFFFF" w:themeColor="background1"/>
              <w:right w:val="single" w:sz="4" w:space="0" w:color="D22A23"/>
            </w:tcBorders>
          </w:tcPr>
          <w:p w14:paraId="278FD520" w14:textId="77777777" w:rsidR="007C0C1B" w:rsidRPr="007C0C1B" w:rsidRDefault="007C0C1B" w:rsidP="007C0C1B">
            <w:pPr>
              <w:rPr>
                <w:rStyle w:val="ECCParagraph"/>
              </w:rPr>
            </w:pPr>
            <w:r w:rsidRPr="0033678D">
              <w:rPr>
                <w:rStyle w:val="ECCParagraph"/>
              </w:rPr>
              <w:t>5</w:t>
            </w:r>
            <w:r w:rsidR="00CF4994">
              <w:rPr>
                <w:rStyle w:val="ECCParagraph"/>
              </w:rPr>
              <w:t>.8</w:t>
            </w:r>
            <w:r w:rsidRPr="007C0C1B">
              <w:rPr>
                <w:rStyle w:val="ECCParagraph"/>
              </w:rPr>
              <w:t> km</w:t>
            </w:r>
          </w:p>
        </w:tc>
      </w:tr>
      <w:tr w:rsidR="007C0C1B" w14:paraId="366339DC" w14:textId="77777777" w:rsidTr="001976F2">
        <w:tc>
          <w:tcPr>
            <w:tcW w:w="2289" w:type="dxa"/>
            <w:tcBorders>
              <w:left w:val="single" w:sz="4" w:space="0" w:color="D22A23"/>
            </w:tcBorders>
          </w:tcPr>
          <w:p w14:paraId="39857CCB" w14:textId="77777777" w:rsidR="007C0C1B" w:rsidRPr="007C0C1B" w:rsidRDefault="007C0C1B" w:rsidP="000A69BD">
            <w:pPr>
              <w:pStyle w:val="ECCTabletext"/>
              <w:jc w:val="left"/>
              <w:rPr>
                <w:rStyle w:val="ECCParagraph"/>
              </w:rPr>
            </w:pPr>
            <w:r w:rsidRPr="0033678D">
              <w:rPr>
                <w:rStyle w:val="ECCParagraph"/>
              </w:rPr>
              <w:t>Fixed</w:t>
            </w:r>
          </w:p>
        </w:tc>
        <w:tc>
          <w:tcPr>
            <w:tcW w:w="1242" w:type="dxa"/>
          </w:tcPr>
          <w:p w14:paraId="51113FFA" w14:textId="77777777" w:rsidR="007C0C1B" w:rsidRPr="007C0C1B" w:rsidRDefault="007C0C1B" w:rsidP="000A69BD">
            <w:pPr>
              <w:pStyle w:val="ECCTabletext"/>
              <w:jc w:val="left"/>
              <w:rPr>
                <w:rStyle w:val="ECCParagraph"/>
              </w:rPr>
            </w:pPr>
            <w:r w:rsidRPr="0033678D">
              <w:rPr>
                <w:rStyle w:val="ECCParagraph"/>
              </w:rPr>
              <w:t>2</w:t>
            </w:r>
          </w:p>
        </w:tc>
        <w:tc>
          <w:tcPr>
            <w:tcW w:w="1369" w:type="dxa"/>
            <w:tcBorders>
              <w:top w:val="single" w:sz="4" w:space="0" w:color="D22A23"/>
            </w:tcBorders>
          </w:tcPr>
          <w:p w14:paraId="1DD0378F" w14:textId="77777777" w:rsidR="007C0C1B" w:rsidRPr="007C0C1B" w:rsidRDefault="007C0C1B" w:rsidP="000A69BD">
            <w:pPr>
              <w:pStyle w:val="ECCTabletext"/>
              <w:jc w:val="left"/>
              <w:rPr>
                <w:rStyle w:val="ECCParagraph"/>
              </w:rPr>
            </w:pPr>
            <w:r w:rsidRPr="0033678D">
              <w:rPr>
                <w:rStyle w:val="ECCParagraph"/>
              </w:rPr>
              <w:t>7</w:t>
            </w:r>
            <w:r w:rsidR="00CF4994">
              <w:rPr>
                <w:rStyle w:val="ECCParagraph"/>
              </w:rPr>
              <w:t>.8</w:t>
            </w:r>
            <w:r w:rsidRPr="007C0C1B">
              <w:rPr>
                <w:rStyle w:val="ECCParagraph"/>
              </w:rPr>
              <w:t> km</w:t>
            </w:r>
          </w:p>
        </w:tc>
        <w:tc>
          <w:tcPr>
            <w:tcW w:w="1196" w:type="dxa"/>
            <w:tcBorders>
              <w:top w:val="single" w:sz="4" w:space="0" w:color="D22A23"/>
            </w:tcBorders>
          </w:tcPr>
          <w:p w14:paraId="57F02557" w14:textId="77777777" w:rsidR="007C0C1B" w:rsidRPr="007C0C1B" w:rsidRDefault="007C0C1B" w:rsidP="007C0C1B">
            <w:pPr>
              <w:rPr>
                <w:rStyle w:val="ECCParagraph"/>
              </w:rPr>
            </w:pPr>
            <w:r w:rsidRPr="0033678D">
              <w:rPr>
                <w:rStyle w:val="ECCParagraph"/>
              </w:rPr>
              <w:t>2</w:t>
            </w:r>
            <w:r w:rsidR="00CF4994">
              <w:rPr>
                <w:rStyle w:val="ECCParagraph"/>
              </w:rPr>
              <w:t>.5</w:t>
            </w:r>
            <w:r w:rsidRPr="007C0C1B">
              <w:rPr>
                <w:rStyle w:val="ECCParagraph"/>
              </w:rPr>
              <w:t> km</w:t>
            </w:r>
          </w:p>
        </w:tc>
        <w:tc>
          <w:tcPr>
            <w:tcW w:w="1134" w:type="dxa"/>
            <w:tcBorders>
              <w:top w:val="single" w:sz="4" w:space="0" w:color="D22A23"/>
            </w:tcBorders>
          </w:tcPr>
          <w:p w14:paraId="32D563E1" w14:textId="77777777" w:rsidR="007C0C1B" w:rsidRPr="007C0C1B" w:rsidRDefault="007C0C1B" w:rsidP="007C0C1B">
            <w:pPr>
              <w:rPr>
                <w:rStyle w:val="ECCParagraph"/>
              </w:rPr>
            </w:pPr>
            <w:r w:rsidRPr="0033678D">
              <w:rPr>
                <w:rStyle w:val="ECCParagraph"/>
              </w:rPr>
              <w:t>7</w:t>
            </w:r>
            <w:r w:rsidR="00CF4994">
              <w:rPr>
                <w:rStyle w:val="ECCParagraph"/>
              </w:rPr>
              <w:t>.5</w:t>
            </w:r>
            <w:r w:rsidRPr="007C0C1B">
              <w:rPr>
                <w:rStyle w:val="ECCParagraph"/>
              </w:rPr>
              <w:t> km</w:t>
            </w:r>
          </w:p>
        </w:tc>
        <w:tc>
          <w:tcPr>
            <w:tcW w:w="1701" w:type="dxa"/>
            <w:tcBorders>
              <w:top w:val="single" w:sz="4" w:space="0" w:color="FFFFFF" w:themeColor="background1"/>
              <w:right w:val="single" w:sz="4" w:space="0" w:color="D22A23"/>
            </w:tcBorders>
          </w:tcPr>
          <w:p w14:paraId="3F659072" w14:textId="77777777" w:rsidR="007C0C1B" w:rsidRPr="007C0C1B" w:rsidRDefault="007C0C1B" w:rsidP="007C0C1B">
            <w:pPr>
              <w:rPr>
                <w:rStyle w:val="ECCParagraph"/>
              </w:rPr>
            </w:pPr>
            <w:r w:rsidRPr="0033678D">
              <w:rPr>
                <w:rStyle w:val="ECCParagraph"/>
              </w:rPr>
              <w:t>2</w:t>
            </w:r>
            <w:r w:rsidR="00CF4994">
              <w:rPr>
                <w:rStyle w:val="ECCParagraph"/>
              </w:rPr>
              <w:t>.4</w:t>
            </w:r>
            <w:r w:rsidRPr="007C0C1B">
              <w:rPr>
                <w:rStyle w:val="ECCParagraph"/>
              </w:rPr>
              <w:t> km</w:t>
            </w:r>
          </w:p>
        </w:tc>
      </w:tr>
      <w:tr w:rsidR="007C0C1B" w14:paraId="5DB0CA46" w14:textId="77777777" w:rsidTr="001976F2">
        <w:tc>
          <w:tcPr>
            <w:tcW w:w="2289" w:type="dxa"/>
            <w:tcBorders>
              <w:left w:val="single" w:sz="4" w:space="0" w:color="D22A23"/>
            </w:tcBorders>
          </w:tcPr>
          <w:p w14:paraId="17AF7B99" w14:textId="77777777" w:rsidR="007C0C1B" w:rsidRPr="007C0C1B" w:rsidRDefault="007C0C1B" w:rsidP="000A69BD">
            <w:pPr>
              <w:pStyle w:val="ECCTabletext"/>
              <w:jc w:val="left"/>
              <w:rPr>
                <w:rStyle w:val="ECCParagraph"/>
              </w:rPr>
            </w:pPr>
            <w:r w:rsidRPr="0033678D">
              <w:rPr>
                <w:rStyle w:val="ECCParagraph"/>
              </w:rPr>
              <w:t>Fixed</w:t>
            </w:r>
          </w:p>
        </w:tc>
        <w:tc>
          <w:tcPr>
            <w:tcW w:w="1242" w:type="dxa"/>
          </w:tcPr>
          <w:p w14:paraId="42256BC8" w14:textId="77777777" w:rsidR="007C0C1B" w:rsidRPr="007C0C1B" w:rsidRDefault="007C0C1B" w:rsidP="000A69BD">
            <w:pPr>
              <w:pStyle w:val="ECCTabletext"/>
              <w:jc w:val="left"/>
              <w:rPr>
                <w:rStyle w:val="ECCParagraph"/>
              </w:rPr>
            </w:pPr>
            <w:r w:rsidRPr="0033678D">
              <w:rPr>
                <w:rStyle w:val="ECCParagraph"/>
              </w:rPr>
              <w:t>3</w:t>
            </w:r>
          </w:p>
        </w:tc>
        <w:tc>
          <w:tcPr>
            <w:tcW w:w="1369" w:type="dxa"/>
            <w:tcBorders>
              <w:top w:val="single" w:sz="4" w:space="0" w:color="D22A23"/>
            </w:tcBorders>
          </w:tcPr>
          <w:p w14:paraId="30A4B146" w14:textId="77777777" w:rsidR="007C0C1B" w:rsidRPr="007C0C1B" w:rsidRDefault="007C0C1B" w:rsidP="000A69BD">
            <w:pPr>
              <w:pStyle w:val="ECCTabletext"/>
              <w:jc w:val="left"/>
              <w:rPr>
                <w:rStyle w:val="ECCParagraph"/>
              </w:rPr>
            </w:pPr>
            <w:r w:rsidRPr="0033678D">
              <w:rPr>
                <w:rStyle w:val="ECCParagraph"/>
              </w:rPr>
              <w:t>10</w:t>
            </w:r>
            <w:r w:rsidR="00CF4994">
              <w:rPr>
                <w:rStyle w:val="ECCParagraph"/>
              </w:rPr>
              <w:t>.7</w:t>
            </w:r>
            <w:r w:rsidRPr="007C0C1B">
              <w:rPr>
                <w:rStyle w:val="ECCParagraph"/>
              </w:rPr>
              <w:t> km</w:t>
            </w:r>
          </w:p>
        </w:tc>
        <w:tc>
          <w:tcPr>
            <w:tcW w:w="1196" w:type="dxa"/>
            <w:tcBorders>
              <w:top w:val="single" w:sz="4" w:space="0" w:color="D22A23"/>
            </w:tcBorders>
          </w:tcPr>
          <w:p w14:paraId="39318733" w14:textId="77777777" w:rsidR="007C0C1B" w:rsidRPr="007C0C1B" w:rsidRDefault="007C0C1B" w:rsidP="007C0C1B">
            <w:pPr>
              <w:rPr>
                <w:rStyle w:val="ECCParagraph"/>
              </w:rPr>
            </w:pPr>
            <w:r w:rsidRPr="0033678D">
              <w:rPr>
                <w:rStyle w:val="ECCParagraph"/>
              </w:rPr>
              <w:t>3</w:t>
            </w:r>
            <w:r w:rsidR="00CF4994">
              <w:rPr>
                <w:rStyle w:val="ECCParagraph"/>
              </w:rPr>
              <w:t>.5</w:t>
            </w:r>
            <w:r w:rsidRPr="007C0C1B">
              <w:rPr>
                <w:rStyle w:val="ECCParagraph"/>
              </w:rPr>
              <w:t> km</w:t>
            </w:r>
          </w:p>
        </w:tc>
        <w:tc>
          <w:tcPr>
            <w:tcW w:w="1134" w:type="dxa"/>
            <w:tcBorders>
              <w:top w:val="single" w:sz="4" w:space="0" w:color="D22A23"/>
            </w:tcBorders>
          </w:tcPr>
          <w:p w14:paraId="3C1C6EEB" w14:textId="77777777" w:rsidR="007C0C1B" w:rsidRPr="007C0C1B" w:rsidRDefault="007C0C1B" w:rsidP="007C0C1B">
            <w:pPr>
              <w:rPr>
                <w:rStyle w:val="ECCParagraph"/>
              </w:rPr>
            </w:pPr>
            <w:r w:rsidRPr="0033678D">
              <w:rPr>
                <w:rStyle w:val="ECCParagraph"/>
              </w:rPr>
              <w:t>10</w:t>
            </w:r>
            <w:r w:rsidRPr="007C0C1B">
              <w:rPr>
                <w:rStyle w:val="ECCParagraph"/>
              </w:rPr>
              <w:t> km</w:t>
            </w:r>
          </w:p>
        </w:tc>
        <w:tc>
          <w:tcPr>
            <w:tcW w:w="1701" w:type="dxa"/>
            <w:tcBorders>
              <w:top w:val="single" w:sz="4" w:space="0" w:color="FFFFFF" w:themeColor="background1"/>
              <w:right w:val="single" w:sz="4" w:space="0" w:color="D22A23"/>
            </w:tcBorders>
          </w:tcPr>
          <w:p w14:paraId="29D7FA79" w14:textId="77777777" w:rsidR="007C0C1B" w:rsidRPr="007C0C1B" w:rsidRDefault="007C0C1B" w:rsidP="007C0C1B">
            <w:pPr>
              <w:rPr>
                <w:rStyle w:val="ECCParagraph"/>
              </w:rPr>
            </w:pPr>
            <w:r w:rsidRPr="0033678D">
              <w:rPr>
                <w:rStyle w:val="ECCParagraph"/>
              </w:rPr>
              <w:t>3</w:t>
            </w:r>
            <w:r w:rsidR="00CF4994">
              <w:rPr>
                <w:rStyle w:val="ECCParagraph"/>
              </w:rPr>
              <w:t>.3</w:t>
            </w:r>
            <w:r w:rsidRPr="007C0C1B">
              <w:rPr>
                <w:rStyle w:val="ECCParagraph"/>
              </w:rPr>
              <w:t> km</w:t>
            </w:r>
          </w:p>
        </w:tc>
      </w:tr>
      <w:tr w:rsidR="007C0C1B" w14:paraId="631243C1" w14:textId="77777777" w:rsidTr="001976F2">
        <w:tc>
          <w:tcPr>
            <w:tcW w:w="2289" w:type="dxa"/>
            <w:tcBorders>
              <w:left w:val="single" w:sz="4" w:space="0" w:color="D22A23"/>
            </w:tcBorders>
          </w:tcPr>
          <w:p w14:paraId="624CC2DC" w14:textId="7A177795" w:rsidR="007C0C1B" w:rsidRPr="007C0C1B" w:rsidRDefault="009D5FA2" w:rsidP="000A69BD">
            <w:pPr>
              <w:pStyle w:val="ECCTabletext"/>
              <w:jc w:val="left"/>
              <w:rPr>
                <w:rStyle w:val="ECCParagraph"/>
              </w:rPr>
            </w:pPr>
            <w:r>
              <w:rPr>
                <w:rStyle w:val="ECCParagraph"/>
              </w:rPr>
              <w:t>Hand-held</w:t>
            </w:r>
            <w:r w:rsidR="007C0C1B" w:rsidRPr="007C0C1B">
              <w:rPr>
                <w:rStyle w:val="ECCParagraph"/>
              </w:rPr>
              <w:t>/mobile</w:t>
            </w:r>
          </w:p>
        </w:tc>
        <w:tc>
          <w:tcPr>
            <w:tcW w:w="1242" w:type="dxa"/>
          </w:tcPr>
          <w:p w14:paraId="35DC4D2F" w14:textId="77777777" w:rsidR="007C0C1B" w:rsidRPr="007C0C1B" w:rsidRDefault="007C0C1B" w:rsidP="000A69BD">
            <w:pPr>
              <w:pStyle w:val="ECCTabletext"/>
              <w:jc w:val="left"/>
              <w:rPr>
                <w:rStyle w:val="ECCParagraph"/>
              </w:rPr>
            </w:pPr>
            <w:r w:rsidRPr="0033678D">
              <w:rPr>
                <w:rStyle w:val="ECCParagraph"/>
              </w:rPr>
              <w:t>1</w:t>
            </w:r>
          </w:p>
        </w:tc>
        <w:tc>
          <w:tcPr>
            <w:tcW w:w="1369" w:type="dxa"/>
            <w:tcBorders>
              <w:top w:val="single" w:sz="4" w:space="0" w:color="D22A23"/>
            </w:tcBorders>
          </w:tcPr>
          <w:p w14:paraId="5F89E70E" w14:textId="77777777" w:rsidR="007C0C1B" w:rsidRPr="007C0C1B" w:rsidRDefault="007C0C1B" w:rsidP="000A69BD">
            <w:pPr>
              <w:pStyle w:val="ECCTabletext"/>
              <w:jc w:val="left"/>
              <w:rPr>
                <w:rStyle w:val="ECCParagraph"/>
              </w:rPr>
            </w:pPr>
            <w:r w:rsidRPr="0033678D">
              <w:rPr>
                <w:rStyle w:val="ECCParagraph"/>
              </w:rPr>
              <w:t>19</w:t>
            </w:r>
            <w:r w:rsidRPr="007C0C1B">
              <w:rPr>
                <w:rStyle w:val="ECCParagraph"/>
              </w:rPr>
              <w:t> km</w:t>
            </w:r>
          </w:p>
        </w:tc>
        <w:tc>
          <w:tcPr>
            <w:tcW w:w="1196" w:type="dxa"/>
            <w:tcBorders>
              <w:top w:val="single" w:sz="4" w:space="0" w:color="D22A23"/>
            </w:tcBorders>
          </w:tcPr>
          <w:p w14:paraId="4871DBE7" w14:textId="77777777" w:rsidR="007C0C1B" w:rsidRPr="007C0C1B" w:rsidRDefault="007C0C1B" w:rsidP="007C0C1B">
            <w:pPr>
              <w:rPr>
                <w:rStyle w:val="ECCParagraph"/>
              </w:rPr>
            </w:pPr>
            <w:r w:rsidRPr="0033678D">
              <w:rPr>
                <w:rStyle w:val="ECCParagraph"/>
              </w:rPr>
              <w:t>6</w:t>
            </w:r>
            <w:r w:rsidR="00CF4994">
              <w:rPr>
                <w:rStyle w:val="ECCParagraph"/>
              </w:rPr>
              <w:t>.8</w:t>
            </w:r>
            <w:r w:rsidRPr="007C0C1B">
              <w:rPr>
                <w:rStyle w:val="ECCParagraph"/>
              </w:rPr>
              <w:t> km</w:t>
            </w:r>
          </w:p>
        </w:tc>
        <w:tc>
          <w:tcPr>
            <w:tcW w:w="1134" w:type="dxa"/>
            <w:tcBorders>
              <w:top w:val="single" w:sz="4" w:space="0" w:color="D22A23"/>
            </w:tcBorders>
          </w:tcPr>
          <w:p w14:paraId="530E0243" w14:textId="77777777" w:rsidR="007C0C1B" w:rsidRPr="007C0C1B" w:rsidRDefault="007C0C1B" w:rsidP="007C0C1B">
            <w:pPr>
              <w:rPr>
                <w:rStyle w:val="ECCParagraph"/>
              </w:rPr>
            </w:pPr>
            <w:r w:rsidRPr="0033678D">
              <w:rPr>
                <w:rStyle w:val="ECCParagraph"/>
              </w:rPr>
              <w:t>18</w:t>
            </w:r>
            <w:r w:rsidR="00CF4994">
              <w:rPr>
                <w:rStyle w:val="ECCParagraph"/>
              </w:rPr>
              <w:t>.7</w:t>
            </w:r>
            <w:r w:rsidRPr="007C0C1B">
              <w:t> km</w:t>
            </w:r>
          </w:p>
        </w:tc>
        <w:tc>
          <w:tcPr>
            <w:tcW w:w="1701" w:type="dxa"/>
            <w:tcBorders>
              <w:top w:val="single" w:sz="4" w:space="0" w:color="FFFFFF" w:themeColor="background1"/>
              <w:right w:val="single" w:sz="4" w:space="0" w:color="D22A23"/>
            </w:tcBorders>
          </w:tcPr>
          <w:p w14:paraId="5B7999E8" w14:textId="77777777" w:rsidR="007C0C1B" w:rsidRPr="007C0C1B" w:rsidRDefault="007C0C1B" w:rsidP="007C0C1B">
            <w:pPr>
              <w:rPr>
                <w:rStyle w:val="ECCParagraph"/>
              </w:rPr>
            </w:pPr>
            <w:r w:rsidRPr="0033678D">
              <w:rPr>
                <w:rStyle w:val="ECCParagraph"/>
              </w:rPr>
              <w:t>6</w:t>
            </w:r>
            <w:r w:rsidR="00CF4994">
              <w:rPr>
                <w:rStyle w:val="ECCParagraph"/>
              </w:rPr>
              <w:t>.4</w:t>
            </w:r>
            <w:r w:rsidRPr="007C0C1B">
              <w:rPr>
                <w:rStyle w:val="ECCParagraph"/>
              </w:rPr>
              <w:t> km</w:t>
            </w:r>
          </w:p>
        </w:tc>
      </w:tr>
      <w:tr w:rsidR="007C0C1B" w14:paraId="2B2ECF0C" w14:textId="77777777" w:rsidTr="001976F2">
        <w:tc>
          <w:tcPr>
            <w:tcW w:w="2289" w:type="dxa"/>
            <w:tcBorders>
              <w:left w:val="single" w:sz="4" w:space="0" w:color="D22A23"/>
            </w:tcBorders>
          </w:tcPr>
          <w:p w14:paraId="4EBE2139" w14:textId="71539267" w:rsidR="007C0C1B" w:rsidRPr="007C0C1B" w:rsidRDefault="009D5FA2" w:rsidP="000A69BD">
            <w:pPr>
              <w:pStyle w:val="ECCTabletext"/>
              <w:jc w:val="left"/>
              <w:rPr>
                <w:rStyle w:val="ECCParagraph"/>
              </w:rPr>
            </w:pPr>
            <w:r>
              <w:rPr>
                <w:rStyle w:val="ECCParagraph"/>
              </w:rPr>
              <w:t>Hand-held</w:t>
            </w:r>
            <w:r w:rsidR="007C0C1B" w:rsidRPr="007C0C1B">
              <w:rPr>
                <w:rStyle w:val="ECCParagraph"/>
              </w:rPr>
              <w:t>/mobile</w:t>
            </w:r>
          </w:p>
        </w:tc>
        <w:tc>
          <w:tcPr>
            <w:tcW w:w="1242" w:type="dxa"/>
          </w:tcPr>
          <w:p w14:paraId="6F0D66F0" w14:textId="77777777" w:rsidR="007C0C1B" w:rsidRPr="007C0C1B" w:rsidRDefault="007C0C1B" w:rsidP="000A69BD">
            <w:pPr>
              <w:pStyle w:val="ECCTabletext"/>
              <w:jc w:val="left"/>
              <w:rPr>
                <w:rStyle w:val="ECCParagraph"/>
              </w:rPr>
            </w:pPr>
            <w:r w:rsidRPr="0033678D">
              <w:rPr>
                <w:rStyle w:val="ECCParagraph"/>
              </w:rPr>
              <w:t>2</w:t>
            </w:r>
          </w:p>
        </w:tc>
        <w:tc>
          <w:tcPr>
            <w:tcW w:w="1369" w:type="dxa"/>
            <w:tcBorders>
              <w:top w:val="single" w:sz="4" w:space="0" w:color="D22A23"/>
            </w:tcBorders>
          </w:tcPr>
          <w:p w14:paraId="70330038" w14:textId="77777777" w:rsidR="007C0C1B" w:rsidRPr="007C0C1B" w:rsidRDefault="007C0C1B" w:rsidP="000A69BD">
            <w:pPr>
              <w:pStyle w:val="ECCTabletext"/>
              <w:jc w:val="left"/>
              <w:rPr>
                <w:rStyle w:val="ECCParagraph"/>
              </w:rPr>
            </w:pPr>
            <w:r w:rsidRPr="0033678D">
              <w:rPr>
                <w:rStyle w:val="ECCParagraph"/>
              </w:rPr>
              <w:t>3</w:t>
            </w:r>
            <w:r w:rsidR="00CF4994">
              <w:rPr>
                <w:rStyle w:val="ECCParagraph"/>
              </w:rPr>
              <w:t>.7</w:t>
            </w:r>
            <w:r w:rsidRPr="007C0C1B">
              <w:rPr>
                <w:rStyle w:val="ECCParagraph"/>
              </w:rPr>
              <w:t> km</w:t>
            </w:r>
          </w:p>
        </w:tc>
        <w:tc>
          <w:tcPr>
            <w:tcW w:w="1196" w:type="dxa"/>
            <w:tcBorders>
              <w:top w:val="single" w:sz="4" w:space="0" w:color="D22A23"/>
            </w:tcBorders>
          </w:tcPr>
          <w:p w14:paraId="6F9C4812" w14:textId="77777777" w:rsidR="007C0C1B" w:rsidRPr="007C0C1B" w:rsidRDefault="007C0C1B" w:rsidP="007C0C1B">
            <w:pPr>
              <w:rPr>
                <w:rStyle w:val="ECCParagraph"/>
              </w:rPr>
            </w:pPr>
            <w:r w:rsidRPr="0033678D">
              <w:rPr>
                <w:rStyle w:val="ECCParagraph"/>
              </w:rPr>
              <w:t>1</w:t>
            </w:r>
            <w:r w:rsidR="00CF4994">
              <w:rPr>
                <w:rStyle w:val="ECCParagraph"/>
              </w:rPr>
              <w:t>.1</w:t>
            </w:r>
            <w:r w:rsidRPr="007C0C1B">
              <w:rPr>
                <w:rStyle w:val="ECCParagraph"/>
              </w:rPr>
              <w:t> km</w:t>
            </w:r>
          </w:p>
        </w:tc>
        <w:tc>
          <w:tcPr>
            <w:tcW w:w="1134" w:type="dxa"/>
            <w:tcBorders>
              <w:top w:val="single" w:sz="4" w:space="0" w:color="D22A23"/>
            </w:tcBorders>
          </w:tcPr>
          <w:p w14:paraId="5985D1C0" w14:textId="77777777" w:rsidR="007C0C1B" w:rsidRPr="007C0C1B" w:rsidRDefault="007C0C1B" w:rsidP="007C0C1B">
            <w:pPr>
              <w:rPr>
                <w:rStyle w:val="ECCParagraph"/>
              </w:rPr>
            </w:pPr>
            <w:r w:rsidRPr="0033678D">
              <w:rPr>
                <w:rStyle w:val="ECCParagraph"/>
              </w:rPr>
              <w:t>3</w:t>
            </w:r>
            <w:r w:rsidR="00CF4994">
              <w:rPr>
                <w:rStyle w:val="ECCParagraph"/>
              </w:rPr>
              <w:t>.5</w:t>
            </w:r>
            <w:r w:rsidRPr="007C0C1B">
              <w:rPr>
                <w:rStyle w:val="ECCParagraph"/>
              </w:rPr>
              <w:t> km</w:t>
            </w:r>
          </w:p>
        </w:tc>
        <w:tc>
          <w:tcPr>
            <w:tcW w:w="1701" w:type="dxa"/>
            <w:tcBorders>
              <w:top w:val="single" w:sz="4" w:space="0" w:color="FFFFFF" w:themeColor="background1"/>
              <w:right w:val="single" w:sz="4" w:space="0" w:color="D22A23"/>
            </w:tcBorders>
          </w:tcPr>
          <w:p w14:paraId="7DCC8C49" w14:textId="77777777" w:rsidR="007C0C1B" w:rsidRPr="007C0C1B" w:rsidRDefault="007C0C1B" w:rsidP="007C0C1B">
            <w:pPr>
              <w:rPr>
                <w:rStyle w:val="ECCParagraph"/>
              </w:rPr>
            </w:pPr>
            <w:r w:rsidRPr="0033678D">
              <w:rPr>
                <w:rStyle w:val="ECCParagraph"/>
              </w:rPr>
              <w:t>1</w:t>
            </w:r>
            <w:r w:rsidRPr="007C0C1B">
              <w:rPr>
                <w:rStyle w:val="ECCParagraph"/>
              </w:rPr>
              <w:t> km</w:t>
            </w:r>
          </w:p>
        </w:tc>
      </w:tr>
      <w:tr w:rsidR="007C0C1B" w14:paraId="1552EB84" w14:textId="77777777" w:rsidTr="00143BE7">
        <w:tc>
          <w:tcPr>
            <w:tcW w:w="2289" w:type="dxa"/>
            <w:tcBorders>
              <w:left w:val="single" w:sz="4" w:space="0" w:color="D22A23"/>
            </w:tcBorders>
          </w:tcPr>
          <w:p w14:paraId="3DC9C305" w14:textId="2503EDEA" w:rsidR="007C0C1B" w:rsidRPr="007C0C1B" w:rsidRDefault="009D5FA2" w:rsidP="000A69BD">
            <w:pPr>
              <w:pStyle w:val="ECCTabletext"/>
              <w:jc w:val="left"/>
              <w:rPr>
                <w:rStyle w:val="ECCParagraph"/>
              </w:rPr>
            </w:pPr>
            <w:r>
              <w:rPr>
                <w:rStyle w:val="ECCParagraph"/>
              </w:rPr>
              <w:t>Hand-held</w:t>
            </w:r>
            <w:r w:rsidR="007C0C1B" w:rsidRPr="007C0C1B">
              <w:rPr>
                <w:rStyle w:val="ECCParagraph"/>
              </w:rPr>
              <w:t>/mobile</w:t>
            </w:r>
          </w:p>
        </w:tc>
        <w:tc>
          <w:tcPr>
            <w:tcW w:w="1242" w:type="dxa"/>
          </w:tcPr>
          <w:p w14:paraId="004B717C" w14:textId="77777777" w:rsidR="007C0C1B" w:rsidRPr="007C0C1B" w:rsidRDefault="007C0C1B" w:rsidP="000A69BD">
            <w:pPr>
              <w:pStyle w:val="ECCTabletext"/>
              <w:jc w:val="left"/>
              <w:rPr>
                <w:rStyle w:val="ECCParagraph"/>
              </w:rPr>
            </w:pPr>
            <w:r w:rsidRPr="0033678D">
              <w:rPr>
                <w:rStyle w:val="ECCParagraph"/>
              </w:rPr>
              <w:t>3</w:t>
            </w:r>
          </w:p>
        </w:tc>
        <w:tc>
          <w:tcPr>
            <w:tcW w:w="1369" w:type="dxa"/>
            <w:tcBorders>
              <w:top w:val="single" w:sz="4" w:space="0" w:color="D22A23"/>
            </w:tcBorders>
          </w:tcPr>
          <w:p w14:paraId="694D4D47" w14:textId="77777777" w:rsidR="007C0C1B" w:rsidRPr="007C0C1B" w:rsidRDefault="007C0C1B" w:rsidP="000A69BD">
            <w:pPr>
              <w:pStyle w:val="ECCTabletext"/>
              <w:jc w:val="left"/>
              <w:rPr>
                <w:rStyle w:val="ECCParagraph"/>
              </w:rPr>
            </w:pPr>
            <w:r w:rsidRPr="0033678D">
              <w:rPr>
                <w:rStyle w:val="ECCParagraph"/>
              </w:rPr>
              <w:t>5</w:t>
            </w:r>
            <w:r w:rsidR="00CF4994">
              <w:rPr>
                <w:rStyle w:val="ECCParagraph"/>
              </w:rPr>
              <w:t>.1</w:t>
            </w:r>
            <w:r w:rsidRPr="007C0C1B">
              <w:rPr>
                <w:rStyle w:val="ECCParagraph"/>
              </w:rPr>
              <w:t> km</w:t>
            </w:r>
          </w:p>
        </w:tc>
        <w:tc>
          <w:tcPr>
            <w:tcW w:w="1196" w:type="dxa"/>
            <w:tcBorders>
              <w:top w:val="single" w:sz="4" w:space="0" w:color="D22A23"/>
            </w:tcBorders>
          </w:tcPr>
          <w:p w14:paraId="559A9594" w14:textId="77777777" w:rsidR="007C0C1B" w:rsidRPr="007C0C1B" w:rsidRDefault="007C0C1B" w:rsidP="007C0C1B">
            <w:pPr>
              <w:rPr>
                <w:rStyle w:val="ECCParagraph"/>
              </w:rPr>
            </w:pPr>
            <w:r w:rsidRPr="0033678D">
              <w:rPr>
                <w:rStyle w:val="ECCParagraph"/>
              </w:rPr>
              <w:t>1</w:t>
            </w:r>
            <w:r w:rsidR="00CF4994">
              <w:rPr>
                <w:rStyle w:val="ECCParagraph"/>
              </w:rPr>
              <w:t>.6</w:t>
            </w:r>
            <w:r w:rsidRPr="007C0C1B">
              <w:t> km</w:t>
            </w:r>
          </w:p>
        </w:tc>
        <w:tc>
          <w:tcPr>
            <w:tcW w:w="1134" w:type="dxa"/>
            <w:tcBorders>
              <w:top w:val="single" w:sz="4" w:space="0" w:color="D22A23"/>
            </w:tcBorders>
          </w:tcPr>
          <w:p w14:paraId="26692F80" w14:textId="77777777" w:rsidR="007C0C1B" w:rsidRPr="007C0C1B" w:rsidRDefault="007C0C1B" w:rsidP="007C0C1B">
            <w:pPr>
              <w:rPr>
                <w:rStyle w:val="ECCParagraph"/>
              </w:rPr>
            </w:pPr>
            <w:r w:rsidRPr="0033678D">
              <w:rPr>
                <w:rStyle w:val="ECCParagraph"/>
              </w:rPr>
              <w:t>4</w:t>
            </w:r>
            <w:r w:rsidR="00CF4994">
              <w:rPr>
                <w:rStyle w:val="ECCParagraph"/>
              </w:rPr>
              <w:t>.9</w:t>
            </w:r>
            <w:r w:rsidRPr="007C0C1B">
              <w:rPr>
                <w:rStyle w:val="ECCParagraph"/>
              </w:rPr>
              <w:t> km</w:t>
            </w:r>
          </w:p>
        </w:tc>
        <w:tc>
          <w:tcPr>
            <w:tcW w:w="1701" w:type="dxa"/>
            <w:tcBorders>
              <w:top w:val="single" w:sz="4" w:space="0" w:color="FFFFFF" w:themeColor="background1"/>
              <w:right w:val="single" w:sz="4" w:space="0" w:color="D22A23"/>
            </w:tcBorders>
          </w:tcPr>
          <w:p w14:paraId="2C500815" w14:textId="77777777" w:rsidR="007C0C1B" w:rsidRPr="007C0C1B" w:rsidRDefault="007C0C1B" w:rsidP="007C0C1B">
            <w:pPr>
              <w:rPr>
                <w:rStyle w:val="ECCParagraph"/>
              </w:rPr>
            </w:pPr>
            <w:r w:rsidRPr="0033678D">
              <w:rPr>
                <w:rStyle w:val="ECCParagraph"/>
              </w:rPr>
              <w:t>1</w:t>
            </w:r>
            <w:r w:rsidR="00CF4994">
              <w:rPr>
                <w:rStyle w:val="ECCParagraph"/>
              </w:rPr>
              <w:t>.5</w:t>
            </w:r>
            <w:r w:rsidRPr="007C0C1B">
              <w:rPr>
                <w:rStyle w:val="ECCParagraph"/>
              </w:rPr>
              <w:t> km</w:t>
            </w:r>
          </w:p>
        </w:tc>
      </w:tr>
    </w:tbl>
    <w:bookmarkEnd w:id="510"/>
    <w:p w14:paraId="2921F149" w14:textId="47690D21" w:rsidR="00A07C6F" w:rsidRPr="00B10E31" w:rsidRDefault="008A2916" w:rsidP="00A07C6F">
      <w:r>
        <w:fldChar w:fldCharType="begin"/>
      </w:r>
      <w:r>
        <w:instrText xml:space="preserve"> REF _Ref67560028 \h </w:instrText>
      </w:r>
      <w:r>
        <w:fldChar w:fldCharType="separate"/>
      </w:r>
      <w:r w:rsidR="0041125F" w:rsidRPr="007C3BF5">
        <w:t>Table </w:t>
      </w:r>
      <w:r w:rsidR="0041125F">
        <w:rPr>
          <w:noProof/>
        </w:rPr>
        <w:t>51</w:t>
      </w:r>
      <w:r>
        <w:fldChar w:fldCharType="end"/>
      </w:r>
      <w:r>
        <w:t xml:space="preserve"> </w:t>
      </w:r>
      <w:r w:rsidR="00A07C6F" w:rsidRPr="00B10E31">
        <w:t xml:space="preserve">shows the single-entry </w:t>
      </w:r>
      <w:r w:rsidR="00A07C6F">
        <w:t>worst</w:t>
      </w:r>
      <w:r w:rsidR="00A07C6F" w:rsidRPr="00B10E31">
        <w:t xml:space="preserve">-case results for </w:t>
      </w:r>
      <w:r w:rsidR="00A07C6F">
        <w:t xml:space="preserve">the adjacent band interference case for </w:t>
      </w:r>
      <w:r w:rsidR="009D5FA2">
        <w:t>hand-held</w:t>
      </w:r>
      <w:r w:rsidR="00A07C6F">
        <w:t>/mobile and fixed indoor equipment</w:t>
      </w:r>
      <w:r w:rsidR="00A07C6F" w:rsidRPr="00B10E31">
        <w:t>, e.g. the largest separation distances for the individual frequency ranges, and RAS victim sensor types.</w:t>
      </w:r>
    </w:p>
    <w:p w14:paraId="16323831" w14:textId="0426AAD7" w:rsidR="00A07C6F" w:rsidRDefault="00A07C6F" w:rsidP="00A07C6F">
      <w:pPr>
        <w:pStyle w:val="Caption"/>
        <w:rPr>
          <w:rStyle w:val="ECCParagraph"/>
        </w:rPr>
      </w:pPr>
      <w:bookmarkStart w:id="511" w:name="_Ref67560028"/>
      <w:r w:rsidRPr="007C3BF5">
        <w:t>Table </w:t>
      </w:r>
      <w:r w:rsidRPr="00240396">
        <w:fldChar w:fldCharType="begin"/>
      </w:r>
      <w:r>
        <w:instrText xml:space="preserve"> SEQ Table \* ARABIC </w:instrText>
      </w:r>
      <w:r w:rsidRPr="00240396">
        <w:fldChar w:fldCharType="separate"/>
      </w:r>
      <w:r w:rsidR="004F49F9">
        <w:rPr>
          <w:noProof/>
        </w:rPr>
        <w:t>51</w:t>
      </w:r>
      <w:r w:rsidRPr="00240396">
        <w:fldChar w:fldCharType="end"/>
      </w:r>
      <w:bookmarkEnd w:id="511"/>
      <w:r w:rsidRPr="002876E6">
        <w:t xml:space="preserve">: Required separation distances determined in a single-entry study for </w:t>
      </w:r>
      <w:r>
        <w:t>generic indoor surveil</w:t>
      </w:r>
      <w:r w:rsidR="005E5019">
        <w:t>l</w:t>
      </w:r>
      <w:r>
        <w:t>ance radar for adjacent band interference</w:t>
      </w:r>
    </w:p>
    <w:tbl>
      <w:tblPr>
        <w:tblStyle w:val="ECCTable-redheader"/>
        <w:tblW w:w="9362" w:type="dxa"/>
        <w:tblInd w:w="0" w:type="dxa"/>
        <w:tblLook w:val="04A0" w:firstRow="1" w:lastRow="0" w:firstColumn="1" w:lastColumn="0" w:noHBand="0" w:noVBand="1"/>
      </w:tblPr>
      <w:tblGrid>
        <w:gridCol w:w="1413"/>
        <w:gridCol w:w="1276"/>
        <w:gridCol w:w="2126"/>
        <w:gridCol w:w="2154"/>
        <w:gridCol w:w="2393"/>
      </w:tblGrid>
      <w:tr w:rsidR="00F11B8D" w14:paraId="74B5AB4D" w14:textId="77777777" w:rsidTr="001B18C0">
        <w:trPr>
          <w:cnfStyle w:val="100000000000" w:firstRow="1" w:lastRow="0" w:firstColumn="0" w:lastColumn="0" w:oddVBand="0" w:evenVBand="0" w:oddHBand="0" w:evenHBand="0" w:firstRowFirstColumn="0" w:firstRowLastColumn="0" w:lastRowFirstColumn="0" w:lastRowLastColumn="0"/>
        </w:trPr>
        <w:tc>
          <w:tcPr>
            <w:tcW w:w="1413" w:type="dxa"/>
            <w:vMerge w:val="restart"/>
            <w:tcBorders>
              <w:top w:val="single" w:sz="4" w:space="0" w:color="FFFFFF" w:themeColor="background1"/>
            </w:tcBorders>
          </w:tcPr>
          <w:p w14:paraId="1FA26BE5" w14:textId="77777777" w:rsidR="00F11B8D" w:rsidRPr="00F11B8D" w:rsidRDefault="00F11B8D" w:rsidP="00876039">
            <w:pPr>
              <w:pStyle w:val="ECCTableHeaderwhitefont"/>
            </w:pPr>
            <w:r>
              <w:rPr>
                <w:rStyle w:val="ECCParagraph"/>
              </w:rPr>
              <w:t>Device type</w:t>
            </w:r>
          </w:p>
        </w:tc>
        <w:tc>
          <w:tcPr>
            <w:tcW w:w="1276" w:type="dxa"/>
            <w:vMerge w:val="restart"/>
            <w:tcBorders>
              <w:top w:val="single" w:sz="4" w:space="0" w:color="FFFFFF" w:themeColor="background1"/>
            </w:tcBorders>
          </w:tcPr>
          <w:p w14:paraId="3511FD98" w14:textId="77777777" w:rsidR="00F11B8D" w:rsidRPr="00F11B8D" w:rsidRDefault="00F11B8D" w:rsidP="000A69BD">
            <w:pPr>
              <w:pStyle w:val="ECCTableHeaderwhitefont"/>
            </w:pPr>
            <w:r w:rsidRPr="00B04FCA">
              <w:rPr>
                <w:rStyle w:val="ECCParagraph"/>
              </w:rPr>
              <w:t>Single-</w:t>
            </w:r>
            <w:r w:rsidRPr="00F11B8D">
              <w:rPr>
                <w:rStyle w:val="ECCParagraph"/>
              </w:rPr>
              <w:t>entry case</w:t>
            </w:r>
          </w:p>
        </w:tc>
        <w:tc>
          <w:tcPr>
            <w:tcW w:w="6673" w:type="dxa"/>
            <w:gridSpan w:val="3"/>
            <w:tcBorders>
              <w:top w:val="single" w:sz="4" w:space="0" w:color="FFFFFF" w:themeColor="background1"/>
              <w:bottom w:val="single" w:sz="4" w:space="0" w:color="FFFFFF" w:themeColor="background1"/>
            </w:tcBorders>
          </w:tcPr>
          <w:p w14:paraId="0E3A7C0D" w14:textId="77777777" w:rsidR="00F11B8D" w:rsidRPr="00F11B8D" w:rsidRDefault="00F11B8D" w:rsidP="000A69BD">
            <w:pPr>
              <w:pStyle w:val="ECCTableHeaderwhitefont"/>
            </w:pPr>
            <w:r w:rsidRPr="00B10E31">
              <w:t>Required separation distance</w:t>
            </w:r>
            <w:r w:rsidRPr="00F11B8D">
              <w:t>s</w:t>
            </w:r>
          </w:p>
        </w:tc>
      </w:tr>
      <w:tr w:rsidR="00F11B8D" w14:paraId="2CB280C0" w14:textId="77777777" w:rsidTr="001B18C0">
        <w:tc>
          <w:tcPr>
            <w:tcW w:w="1413" w:type="dxa"/>
            <w:vMerge/>
            <w:tcBorders>
              <w:right w:val="single" w:sz="4" w:space="0" w:color="FFFFFF" w:themeColor="background1"/>
            </w:tcBorders>
          </w:tcPr>
          <w:p w14:paraId="7879AC18" w14:textId="77777777" w:rsidR="00F11B8D" w:rsidRPr="00213B63" w:rsidRDefault="00F11B8D" w:rsidP="00F11B8D">
            <w:pPr>
              <w:pStyle w:val="ECCTableHeaderwhitefont"/>
            </w:pPr>
          </w:p>
        </w:tc>
        <w:tc>
          <w:tcPr>
            <w:tcW w:w="1276" w:type="dxa"/>
            <w:vMerge/>
            <w:tcBorders>
              <w:left w:val="single" w:sz="4" w:space="0" w:color="FFFFFF" w:themeColor="background1"/>
              <w:right w:val="single" w:sz="4" w:space="0" w:color="FFFFFF" w:themeColor="background1"/>
            </w:tcBorders>
          </w:tcPr>
          <w:p w14:paraId="6ECC1020" w14:textId="77777777" w:rsidR="00F11B8D" w:rsidRPr="00213B63" w:rsidRDefault="00F11B8D" w:rsidP="00F11B8D">
            <w:pPr>
              <w:pStyle w:val="ECCTableHeaderwhitefont"/>
            </w:pP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25937BC3" w14:textId="77777777" w:rsidR="00F11B8D" w:rsidRPr="001976F2" w:rsidRDefault="00F11B8D" w:rsidP="00876039">
            <w:pPr>
              <w:pStyle w:val="ECCTableHeaderwhitefont"/>
              <w:rPr>
                <w:rStyle w:val="ECCParagraph"/>
                <w:b/>
                <w:bCs w:val="0"/>
              </w:rPr>
            </w:pPr>
            <w:r w:rsidRPr="001976F2">
              <w:rPr>
                <w:rStyle w:val="ECCParagraph"/>
                <w:b/>
                <w:bCs w:val="0"/>
              </w:rPr>
              <w:t>Allocated RAS band:</w:t>
            </w:r>
          </w:p>
          <w:p w14:paraId="25FF9D1E" w14:textId="77777777" w:rsidR="00F11B8D" w:rsidRPr="001976F2" w:rsidRDefault="00352B49" w:rsidP="000A69BD">
            <w:pPr>
              <w:pStyle w:val="ECCTableHeaderwhitefont"/>
              <w:rPr>
                <w:b/>
                <w:bCs w:val="0"/>
              </w:rPr>
            </w:pPr>
            <w:r w:rsidRPr="001976F2">
              <w:rPr>
                <w:rStyle w:val="ECCParagraph"/>
                <w:b/>
                <w:bCs w:val="0"/>
              </w:rPr>
              <w:t>76</w:t>
            </w:r>
            <w:r w:rsidR="00F11B8D" w:rsidRPr="001976F2">
              <w:rPr>
                <w:rStyle w:val="ECCParagraph"/>
                <w:b/>
                <w:bCs w:val="0"/>
              </w:rPr>
              <w:t xml:space="preserve"> to 116 GHz</w:t>
            </w:r>
          </w:p>
        </w:tc>
        <w:tc>
          <w:tcPr>
            <w:tcW w:w="21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A3B40FE" w14:textId="77777777" w:rsidR="00F11B8D" w:rsidRPr="001976F2" w:rsidRDefault="00F11B8D" w:rsidP="000A69BD">
            <w:pPr>
              <w:pStyle w:val="ECCTableHeaderwhitefont"/>
              <w:rPr>
                <w:rStyle w:val="ECCParagraph"/>
                <w:b/>
                <w:bCs w:val="0"/>
              </w:rPr>
            </w:pPr>
            <w:r w:rsidRPr="001976F2">
              <w:rPr>
                <w:rStyle w:val="ECCParagraph"/>
                <w:b/>
                <w:bCs w:val="0"/>
              </w:rPr>
              <w:t>Allocated RAS band:</w:t>
            </w:r>
          </w:p>
          <w:p w14:paraId="2E3939D9" w14:textId="77777777" w:rsidR="00F11B8D" w:rsidRPr="001976F2" w:rsidRDefault="00F11B8D" w:rsidP="000A69BD">
            <w:pPr>
              <w:pStyle w:val="ECCTableHeaderwhitefont"/>
              <w:rPr>
                <w:b/>
                <w:bCs w:val="0"/>
              </w:rPr>
            </w:pPr>
            <w:r w:rsidRPr="001976F2">
              <w:rPr>
                <w:rStyle w:val="ECCParagraph"/>
                <w:b/>
                <w:bCs w:val="0"/>
              </w:rPr>
              <w:t>114</w:t>
            </w:r>
            <w:r w:rsidR="00CF4994" w:rsidRPr="001976F2">
              <w:rPr>
                <w:rStyle w:val="ECCParagraph"/>
                <w:b/>
                <w:bCs w:val="0"/>
              </w:rPr>
              <w:t>.2</w:t>
            </w:r>
            <w:r w:rsidRPr="001976F2">
              <w:rPr>
                <w:rStyle w:val="ECCParagraph"/>
                <w:b/>
                <w:bCs w:val="0"/>
              </w:rPr>
              <w:t>5-116</w:t>
            </w:r>
            <w:r w:rsidR="00FF56C8" w:rsidRPr="001976F2">
              <w:rPr>
                <w:rStyle w:val="ECCParagraph"/>
                <w:b/>
                <w:bCs w:val="0"/>
              </w:rPr>
              <w:t> </w:t>
            </w:r>
            <w:r w:rsidRPr="001976F2">
              <w:rPr>
                <w:rStyle w:val="ECCParagraph"/>
                <w:b/>
                <w:bCs w:val="0"/>
              </w:rPr>
              <w:t>GHz (5.340)</w:t>
            </w:r>
          </w:p>
        </w:tc>
        <w:tc>
          <w:tcPr>
            <w:tcW w:w="23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646D110C" w14:textId="77777777" w:rsidR="00F11B8D" w:rsidRPr="001976F2" w:rsidRDefault="00F11B8D" w:rsidP="000A69BD">
            <w:pPr>
              <w:pStyle w:val="ECCTableHeaderwhitefont"/>
              <w:rPr>
                <w:rStyle w:val="ECCParagraph"/>
                <w:b/>
                <w:bCs w:val="0"/>
              </w:rPr>
            </w:pPr>
            <w:r w:rsidRPr="001976F2">
              <w:rPr>
                <w:rStyle w:val="ECCParagraph"/>
                <w:b/>
                <w:bCs w:val="0"/>
              </w:rPr>
              <w:t>Allocated RAS band:</w:t>
            </w:r>
          </w:p>
          <w:p w14:paraId="4733E3AF" w14:textId="77777777" w:rsidR="00F11B8D" w:rsidRPr="001976F2" w:rsidRDefault="00F11B8D" w:rsidP="000A69BD">
            <w:pPr>
              <w:pStyle w:val="ECCTableHeaderwhitefont"/>
              <w:rPr>
                <w:b/>
                <w:bCs w:val="0"/>
              </w:rPr>
            </w:pPr>
            <w:r w:rsidRPr="001976F2">
              <w:rPr>
                <w:rStyle w:val="ECCParagraph"/>
                <w:b/>
                <w:bCs w:val="0"/>
              </w:rPr>
              <w:t>148</w:t>
            </w:r>
            <w:r w:rsidR="00CF4994" w:rsidRPr="001976F2">
              <w:rPr>
                <w:rStyle w:val="ECCParagraph"/>
                <w:b/>
                <w:bCs w:val="0"/>
              </w:rPr>
              <w:t>.5</w:t>
            </w:r>
            <w:r w:rsidRPr="001976F2">
              <w:rPr>
                <w:rStyle w:val="ECCParagraph"/>
                <w:b/>
                <w:bCs w:val="0"/>
              </w:rPr>
              <w:t>-151</w:t>
            </w:r>
            <w:r w:rsidR="00CF4994" w:rsidRPr="001976F2">
              <w:rPr>
                <w:rStyle w:val="ECCParagraph"/>
                <w:b/>
                <w:bCs w:val="0"/>
              </w:rPr>
              <w:t>.5</w:t>
            </w:r>
            <w:r w:rsidR="00FF56C8" w:rsidRPr="001976F2">
              <w:rPr>
                <w:rStyle w:val="ECCParagraph"/>
                <w:b/>
                <w:bCs w:val="0"/>
              </w:rPr>
              <w:t> </w:t>
            </w:r>
            <w:r w:rsidRPr="001976F2">
              <w:rPr>
                <w:rStyle w:val="ECCParagraph"/>
                <w:b/>
                <w:bCs w:val="0"/>
              </w:rPr>
              <w:t>GHz (5.340)</w:t>
            </w:r>
          </w:p>
        </w:tc>
      </w:tr>
      <w:tr w:rsidR="00F11B8D" w14:paraId="7555D8AB" w14:textId="77777777" w:rsidTr="001B18C0">
        <w:tc>
          <w:tcPr>
            <w:tcW w:w="1413" w:type="dxa"/>
            <w:vMerge/>
            <w:tcBorders>
              <w:right w:val="single" w:sz="4" w:space="0" w:color="FFFFFF" w:themeColor="background1"/>
            </w:tcBorders>
          </w:tcPr>
          <w:p w14:paraId="570206DD" w14:textId="77777777" w:rsidR="00F11B8D" w:rsidRPr="00213B63" w:rsidRDefault="00F11B8D" w:rsidP="00F11B8D">
            <w:pPr>
              <w:pStyle w:val="ECCTableHeaderwhitefont"/>
            </w:pPr>
          </w:p>
        </w:tc>
        <w:tc>
          <w:tcPr>
            <w:tcW w:w="1276" w:type="dxa"/>
            <w:vMerge/>
            <w:tcBorders>
              <w:left w:val="single" w:sz="4" w:space="0" w:color="FFFFFF" w:themeColor="background1"/>
              <w:right w:val="single" w:sz="4" w:space="0" w:color="FFFFFF" w:themeColor="background1"/>
            </w:tcBorders>
          </w:tcPr>
          <w:p w14:paraId="03CE2035" w14:textId="77777777" w:rsidR="00F11B8D" w:rsidRPr="00213B63" w:rsidRDefault="00F11B8D" w:rsidP="00F11B8D">
            <w:pPr>
              <w:pStyle w:val="ECCTableHeaderwhitefont"/>
            </w:pP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15B65584" w14:textId="77777777" w:rsidR="00F11B8D" w:rsidRPr="001976F2" w:rsidRDefault="00F11B8D" w:rsidP="00876039">
            <w:pPr>
              <w:pStyle w:val="ECCTableHeaderwhitefont"/>
              <w:rPr>
                <w:b/>
                <w:bCs w:val="0"/>
              </w:rPr>
            </w:pPr>
            <w:r w:rsidRPr="001976F2">
              <w:rPr>
                <w:rStyle w:val="ECCParagraph"/>
                <w:b/>
                <w:bCs w:val="0"/>
              </w:rPr>
              <w:t xml:space="preserve">Evaluated frequency: </w:t>
            </w:r>
            <w:r w:rsidR="00FF56C8" w:rsidRPr="001976F2">
              <w:rPr>
                <w:rStyle w:val="ECCParagraph"/>
                <w:b/>
                <w:bCs w:val="0"/>
              </w:rPr>
              <w:t>113</w:t>
            </w:r>
            <w:r w:rsidR="00CF4994" w:rsidRPr="001976F2">
              <w:rPr>
                <w:rStyle w:val="ECCParagraph"/>
                <w:b/>
                <w:bCs w:val="0"/>
              </w:rPr>
              <w:t>.9</w:t>
            </w:r>
            <w:r w:rsidRPr="001976F2">
              <w:rPr>
                <w:rStyle w:val="ECCParagraph"/>
                <w:b/>
                <w:bCs w:val="0"/>
              </w:rPr>
              <w:t> GHz</w:t>
            </w:r>
          </w:p>
        </w:tc>
        <w:tc>
          <w:tcPr>
            <w:tcW w:w="21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0EFB6EA4" w14:textId="77777777" w:rsidR="00F11B8D" w:rsidRPr="001976F2" w:rsidRDefault="00F11B8D" w:rsidP="000A69BD">
            <w:pPr>
              <w:pStyle w:val="ECCTableHeaderwhitefont"/>
              <w:rPr>
                <w:b/>
                <w:bCs w:val="0"/>
              </w:rPr>
            </w:pPr>
            <w:r w:rsidRPr="001976F2">
              <w:rPr>
                <w:rStyle w:val="ECCParagraph"/>
                <w:b/>
                <w:bCs w:val="0"/>
              </w:rPr>
              <w:t xml:space="preserve">Evaluated frequency: </w:t>
            </w:r>
            <w:r w:rsidR="00FF56C8" w:rsidRPr="001976F2">
              <w:rPr>
                <w:rStyle w:val="ECCParagraph"/>
                <w:b/>
                <w:bCs w:val="0"/>
              </w:rPr>
              <w:t>115</w:t>
            </w:r>
            <w:r w:rsidR="00CF4994" w:rsidRPr="001976F2">
              <w:rPr>
                <w:rStyle w:val="ECCParagraph"/>
                <w:b/>
                <w:bCs w:val="0"/>
              </w:rPr>
              <w:t>.1</w:t>
            </w:r>
            <w:r w:rsidR="00FF56C8" w:rsidRPr="001976F2">
              <w:rPr>
                <w:rStyle w:val="ECCParagraph"/>
                <w:b/>
                <w:bCs w:val="0"/>
              </w:rPr>
              <w:t>25</w:t>
            </w:r>
            <w:r w:rsidRPr="001976F2">
              <w:rPr>
                <w:rStyle w:val="ECCParagraph"/>
                <w:b/>
                <w:bCs w:val="0"/>
              </w:rPr>
              <w:t> GHz</w:t>
            </w:r>
          </w:p>
        </w:tc>
        <w:tc>
          <w:tcPr>
            <w:tcW w:w="23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ED03A34" w14:textId="77777777" w:rsidR="00F11B8D" w:rsidRPr="001976F2" w:rsidRDefault="00F11B8D" w:rsidP="000A69BD">
            <w:pPr>
              <w:pStyle w:val="ECCTableHeaderwhitefont"/>
              <w:rPr>
                <w:b/>
                <w:bCs w:val="0"/>
              </w:rPr>
            </w:pPr>
            <w:r w:rsidRPr="001976F2">
              <w:rPr>
                <w:rStyle w:val="ECCParagraph"/>
                <w:b/>
                <w:bCs w:val="0"/>
              </w:rPr>
              <w:t xml:space="preserve">Evaluated frequency: </w:t>
            </w:r>
            <w:r w:rsidR="005C269F" w:rsidRPr="001976F2">
              <w:rPr>
                <w:rStyle w:val="ECCParagraph"/>
                <w:b/>
                <w:bCs w:val="0"/>
              </w:rPr>
              <w:t>150</w:t>
            </w:r>
            <w:r w:rsidRPr="001976F2">
              <w:rPr>
                <w:rStyle w:val="ECCParagraph"/>
                <w:b/>
                <w:bCs w:val="0"/>
              </w:rPr>
              <w:t> GHz</w:t>
            </w:r>
          </w:p>
        </w:tc>
      </w:tr>
      <w:tr w:rsidR="00F11B8D" w14:paraId="0E75FE0D" w14:textId="77777777" w:rsidTr="001B18C0">
        <w:tc>
          <w:tcPr>
            <w:tcW w:w="1413" w:type="dxa"/>
            <w:vMerge/>
            <w:tcBorders>
              <w:right w:val="single" w:sz="4" w:space="0" w:color="FFFFFF" w:themeColor="background1"/>
            </w:tcBorders>
          </w:tcPr>
          <w:p w14:paraId="79661B05" w14:textId="77777777" w:rsidR="00F11B8D" w:rsidRPr="00213B63" w:rsidRDefault="00F11B8D" w:rsidP="00F11B8D">
            <w:pPr>
              <w:pStyle w:val="ECCTableHeaderwhitefont"/>
            </w:pPr>
          </w:p>
        </w:tc>
        <w:tc>
          <w:tcPr>
            <w:tcW w:w="1276" w:type="dxa"/>
            <w:vMerge/>
            <w:tcBorders>
              <w:left w:val="single" w:sz="4" w:space="0" w:color="FFFFFF" w:themeColor="background1"/>
              <w:right w:val="single" w:sz="4" w:space="0" w:color="FFFFFF" w:themeColor="background1"/>
            </w:tcBorders>
          </w:tcPr>
          <w:p w14:paraId="5D27753E" w14:textId="77777777" w:rsidR="00F11B8D" w:rsidRPr="00213B63" w:rsidRDefault="00F11B8D" w:rsidP="00F11B8D">
            <w:pPr>
              <w:pStyle w:val="ECCTableHeaderwhitefont"/>
            </w:pPr>
          </w:p>
        </w:tc>
        <w:tc>
          <w:tcPr>
            <w:tcW w:w="2126"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DC9B10D" w14:textId="77777777" w:rsidR="00F11B8D" w:rsidRPr="001976F2" w:rsidRDefault="00F11B8D" w:rsidP="00876039">
            <w:pPr>
              <w:pStyle w:val="ECCTableHeaderwhitefont"/>
              <w:rPr>
                <w:b/>
                <w:bCs w:val="0"/>
              </w:rPr>
            </w:pPr>
            <w:r w:rsidRPr="001976F2">
              <w:rPr>
                <w:rStyle w:val="ECCParagraph"/>
                <w:b/>
                <w:bCs w:val="0"/>
              </w:rPr>
              <w:t>RAS CO</w:t>
            </w:r>
            <w:r w:rsidR="00FF56C8" w:rsidRPr="001976F2">
              <w:rPr>
                <w:rStyle w:val="ECCParagraph"/>
                <w:b/>
                <w:bCs w:val="0"/>
              </w:rPr>
              <w:t xml:space="preserve"> (Note 1)</w:t>
            </w:r>
          </w:p>
        </w:tc>
        <w:tc>
          <w:tcPr>
            <w:tcW w:w="2154"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D9A1E48" w14:textId="77777777" w:rsidR="00F11B8D" w:rsidRPr="001976F2" w:rsidRDefault="00F11B8D" w:rsidP="000A69BD">
            <w:pPr>
              <w:pStyle w:val="ECCTableHeaderwhitefont"/>
              <w:rPr>
                <w:b/>
                <w:bCs w:val="0"/>
              </w:rPr>
            </w:pPr>
            <w:r w:rsidRPr="001976F2">
              <w:rPr>
                <w:rStyle w:val="ECCParagraph"/>
                <w:b/>
                <w:bCs w:val="0"/>
              </w:rPr>
              <w:t>RAS CO</w:t>
            </w:r>
            <w:r w:rsidR="00FF56C8" w:rsidRPr="001976F2">
              <w:rPr>
                <w:rStyle w:val="ECCParagraph"/>
                <w:b/>
                <w:bCs w:val="0"/>
              </w:rPr>
              <w:t xml:space="preserve"> (Note 1)</w:t>
            </w:r>
          </w:p>
        </w:tc>
        <w:tc>
          <w:tcPr>
            <w:tcW w:w="2393"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C8892D7" w14:textId="77777777" w:rsidR="00F11B8D" w:rsidRPr="001976F2" w:rsidRDefault="00F11B8D" w:rsidP="000A69BD">
            <w:pPr>
              <w:pStyle w:val="ECCTableHeaderwhitefont"/>
              <w:rPr>
                <w:b/>
                <w:bCs w:val="0"/>
              </w:rPr>
            </w:pPr>
            <w:r w:rsidRPr="001976F2">
              <w:rPr>
                <w:rStyle w:val="ECCParagraph"/>
                <w:b/>
                <w:bCs w:val="0"/>
              </w:rPr>
              <w:t>RAS CO</w:t>
            </w:r>
            <w:r w:rsidR="00FF56C8" w:rsidRPr="001976F2">
              <w:rPr>
                <w:rStyle w:val="ECCParagraph"/>
                <w:b/>
                <w:bCs w:val="0"/>
              </w:rPr>
              <w:t xml:space="preserve"> (Note 1)</w:t>
            </w:r>
          </w:p>
        </w:tc>
      </w:tr>
      <w:tr w:rsidR="00F11B8D" w14:paraId="1372E541" w14:textId="77777777" w:rsidTr="001B18C0">
        <w:tc>
          <w:tcPr>
            <w:tcW w:w="1413" w:type="dxa"/>
            <w:tcBorders>
              <w:left w:val="single" w:sz="4" w:space="0" w:color="D22A23"/>
            </w:tcBorders>
          </w:tcPr>
          <w:p w14:paraId="5F9FF82F" w14:textId="77777777" w:rsidR="00F11B8D" w:rsidRPr="00F11B8D" w:rsidRDefault="00F11B8D" w:rsidP="000A69BD">
            <w:pPr>
              <w:pStyle w:val="ECCTabletext"/>
              <w:jc w:val="left"/>
            </w:pPr>
            <w:r w:rsidRPr="0049271C">
              <w:rPr>
                <w:rStyle w:val="ECCParagraph"/>
              </w:rPr>
              <w:t>Fixed</w:t>
            </w:r>
          </w:p>
        </w:tc>
        <w:tc>
          <w:tcPr>
            <w:tcW w:w="1276" w:type="dxa"/>
          </w:tcPr>
          <w:p w14:paraId="17011D83" w14:textId="77777777" w:rsidR="00F11B8D" w:rsidRPr="00F11B8D" w:rsidRDefault="00F11B8D" w:rsidP="000A69BD">
            <w:pPr>
              <w:pStyle w:val="ECCTabletext"/>
              <w:jc w:val="left"/>
            </w:pPr>
            <w:r w:rsidRPr="0049271C">
              <w:rPr>
                <w:rStyle w:val="ECCParagraph"/>
              </w:rPr>
              <w:t>1</w:t>
            </w:r>
          </w:p>
        </w:tc>
        <w:tc>
          <w:tcPr>
            <w:tcW w:w="2126" w:type="dxa"/>
            <w:tcBorders>
              <w:top w:val="single" w:sz="4" w:space="0" w:color="D22A23"/>
            </w:tcBorders>
          </w:tcPr>
          <w:p w14:paraId="20D5D66D" w14:textId="77777777" w:rsidR="00F11B8D" w:rsidRPr="00F11B8D" w:rsidRDefault="00F11B8D" w:rsidP="000A69BD">
            <w:pPr>
              <w:pStyle w:val="ECCTabletext"/>
              <w:jc w:val="left"/>
            </w:pPr>
            <w:r w:rsidRPr="0049271C">
              <w:rPr>
                <w:rStyle w:val="ECCParagraph"/>
              </w:rPr>
              <w:t>4</w:t>
            </w:r>
            <w:r w:rsidR="00CF4994">
              <w:rPr>
                <w:rStyle w:val="ECCParagraph"/>
              </w:rPr>
              <w:t>.9</w:t>
            </w:r>
            <w:r>
              <w:rPr>
                <w:rStyle w:val="ECCParagraph"/>
              </w:rPr>
              <w:t> </w:t>
            </w:r>
            <w:r w:rsidRPr="0049271C">
              <w:rPr>
                <w:rStyle w:val="ECCParagraph"/>
              </w:rPr>
              <w:t>k</w:t>
            </w:r>
            <w:r w:rsidRPr="00F11B8D">
              <w:rPr>
                <w:rStyle w:val="ECCParagraph"/>
              </w:rPr>
              <w:t>m</w:t>
            </w:r>
          </w:p>
        </w:tc>
        <w:tc>
          <w:tcPr>
            <w:tcW w:w="2154" w:type="dxa"/>
            <w:tcBorders>
              <w:top w:val="single" w:sz="4" w:space="0" w:color="D22A23"/>
            </w:tcBorders>
          </w:tcPr>
          <w:p w14:paraId="468FD10A" w14:textId="77777777" w:rsidR="00F11B8D" w:rsidRPr="00F11B8D" w:rsidRDefault="00F11B8D" w:rsidP="00F11B8D">
            <w:r w:rsidRPr="0049271C">
              <w:rPr>
                <w:rStyle w:val="ECCParagraph"/>
              </w:rPr>
              <w:t>4</w:t>
            </w:r>
            <w:r w:rsidR="00CF4994">
              <w:rPr>
                <w:rStyle w:val="ECCParagraph"/>
              </w:rPr>
              <w:t>.9</w:t>
            </w:r>
            <w:r>
              <w:rPr>
                <w:rStyle w:val="ECCParagraph"/>
              </w:rPr>
              <w:t> </w:t>
            </w:r>
            <w:r w:rsidRPr="0049271C">
              <w:rPr>
                <w:rStyle w:val="ECCParagraph"/>
              </w:rPr>
              <w:t>k</w:t>
            </w:r>
            <w:r w:rsidRPr="00F11B8D">
              <w:rPr>
                <w:rStyle w:val="ECCParagraph"/>
              </w:rPr>
              <w:t>m</w:t>
            </w:r>
          </w:p>
        </w:tc>
        <w:tc>
          <w:tcPr>
            <w:tcW w:w="2393" w:type="dxa"/>
            <w:tcBorders>
              <w:top w:val="single" w:sz="4" w:space="0" w:color="D22A23"/>
            </w:tcBorders>
          </w:tcPr>
          <w:p w14:paraId="16534460" w14:textId="77777777" w:rsidR="00F11B8D" w:rsidRPr="00F11B8D" w:rsidRDefault="00F11B8D" w:rsidP="00F11B8D">
            <w:r w:rsidRPr="0049271C">
              <w:rPr>
                <w:rStyle w:val="ECCParagraph"/>
              </w:rPr>
              <w:t>4</w:t>
            </w:r>
            <w:r w:rsidR="00CF4994">
              <w:rPr>
                <w:rStyle w:val="ECCParagraph"/>
              </w:rPr>
              <w:t>.3</w:t>
            </w:r>
            <w:r>
              <w:rPr>
                <w:rStyle w:val="ECCParagraph"/>
              </w:rPr>
              <w:t> </w:t>
            </w:r>
            <w:r w:rsidRPr="0049271C">
              <w:rPr>
                <w:rStyle w:val="ECCParagraph"/>
              </w:rPr>
              <w:t>km</w:t>
            </w:r>
          </w:p>
        </w:tc>
      </w:tr>
      <w:tr w:rsidR="00F11B8D" w14:paraId="494D627C" w14:textId="77777777" w:rsidTr="001B18C0">
        <w:tc>
          <w:tcPr>
            <w:tcW w:w="1413" w:type="dxa"/>
            <w:tcBorders>
              <w:left w:val="single" w:sz="4" w:space="0" w:color="D22A23"/>
            </w:tcBorders>
          </w:tcPr>
          <w:p w14:paraId="39D1A1F1" w14:textId="3D171917" w:rsidR="00F11B8D" w:rsidRPr="00F11B8D" w:rsidRDefault="009D5FA2" w:rsidP="000A69BD">
            <w:pPr>
              <w:pStyle w:val="ECCTabletext"/>
              <w:jc w:val="left"/>
              <w:rPr>
                <w:rStyle w:val="ECCParagraph"/>
              </w:rPr>
            </w:pPr>
            <w:r>
              <w:rPr>
                <w:rStyle w:val="ECCParagraph"/>
              </w:rPr>
              <w:t>Hand-held</w:t>
            </w:r>
          </w:p>
        </w:tc>
        <w:tc>
          <w:tcPr>
            <w:tcW w:w="1276" w:type="dxa"/>
          </w:tcPr>
          <w:p w14:paraId="3A3E5E49" w14:textId="77777777" w:rsidR="00F11B8D" w:rsidRPr="00F11B8D" w:rsidRDefault="00F11B8D" w:rsidP="000A69BD">
            <w:pPr>
              <w:pStyle w:val="ECCTabletext"/>
              <w:jc w:val="left"/>
              <w:rPr>
                <w:rStyle w:val="ECCParagraph"/>
              </w:rPr>
            </w:pPr>
            <w:r w:rsidRPr="0049271C">
              <w:rPr>
                <w:rStyle w:val="ECCParagraph"/>
              </w:rPr>
              <w:t>1</w:t>
            </w:r>
          </w:p>
        </w:tc>
        <w:tc>
          <w:tcPr>
            <w:tcW w:w="2126" w:type="dxa"/>
            <w:tcBorders>
              <w:top w:val="single" w:sz="4" w:space="0" w:color="D22A23"/>
            </w:tcBorders>
          </w:tcPr>
          <w:p w14:paraId="05B3F828" w14:textId="77777777" w:rsidR="00F11B8D" w:rsidRPr="00F11B8D" w:rsidRDefault="00F11B8D" w:rsidP="000A69BD">
            <w:pPr>
              <w:pStyle w:val="ECCTabletext"/>
              <w:jc w:val="left"/>
              <w:rPr>
                <w:rStyle w:val="ECCParagraph"/>
              </w:rPr>
            </w:pPr>
            <w:r w:rsidRPr="0049271C">
              <w:rPr>
                <w:rStyle w:val="ECCParagraph"/>
              </w:rPr>
              <w:t>2</w:t>
            </w:r>
            <w:r w:rsidR="00CF4994">
              <w:rPr>
                <w:rStyle w:val="ECCParagraph"/>
              </w:rPr>
              <w:t>.4</w:t>
            </w:r>
            <w:r>
              <w:rPr>
                <w:rStyle w:val="ECCParagraph"/>
              </w:rPr>
              <w:t> </w:t>
            </w:r>
            <w:r w:rsidRPr="0049271C">
              <w:rPr>
                <w:rStyle w:val="ECCParagraph"/>
              </w:rPr>
              <w:t>k</w:t>
            </w:r>
            <w:r w:rsidRPr="00F11B8D">
              <w:rPr>
                <w:rStyle w:val="ECCParagraph"/>
              </w:rPr>
              <w:t>m</w:t>
            </w:r>
          </w:p>
        </w:tc>
        <w:tc>
          <w:tcPr>
            <w:tcW w:w="2154" w:type="dxa"/>
            <w:tcBorders>
              <w:top w:val="single" w:sz="4" w:space="0" w:color="D22A23"/>
            </w:tcBorders>
          </w:tcPr>
          <w:p w14:paraId="6443BDA4" w14:textId="77777777" w:rsidR="00F11B8D" w:rsidRPr="00F11B8D" w:rsidRDefault="00F11B8D" w:rsidP="00F11B8D">
            <w:pPr>
              <w:rPr>
                <w:rStyle w:val="ECCParagraph"/>
              </w:rPr>
            </w:pPr>
            <w:r w:rsidRPr="0049271C">
              <w:rPr>
                <w:rStyle w:val="ECCParagraph"/>
              </w:rPr>
              <w:t>2</w:t>
            </w:r>
            <w:r w:rsidR="00CF4994">
              <w:rPr>
                <w:rStyle w:val="ECCParagraph"/>
              </w:rPr>
              <w:t>.4</w:t>
            </w:r>
            <w:r>
              <w:rPr>
                <w:rStyle w:val="ECCParagraph"/>
              </w:rPr>
              <w:t> </w:t>
            </w:r>
            <w:r w:rsidRPr="0049271C">
              <w:rPr>
                <w:rStyle w:val="ECCParagraph"/>
              </w:rPr>
              <w:t>k</w:t>
            </w:r>
            <w:r w:rsidRPr="00F11B8D">
              <w:rPr>
                <w:rStyle w:val="ECCParagraph"/>
              </w:rPr>
              <w:t>m</w:t>
            </w:r>
          </w:p>
        </w:tc>
        <w:tc>
          <w:tcPr>
            <w:tcW w:w="2393" w:type="dxa"/>
            <w:tcBorders>
              <w:top w:val="single" w:sz="4" w:space="0" w:color="D22A23"/>
            </w:tcBorders>
          </w:tcPr>
          <w:p w14:paraId="15CF35BD" w14:textId="77777777" w:rsidR="00F11B8D" w:rsidRPr="00F11B8D" w:rsidRDefault="00F11B8D" w:rsidP="00F11B8D">
            <w:pPr>
              <w:rPr>
                <w:rStyle w:val="ECCParagraph"/>
              </w:rPr>
            </w:pPr>
            <w:r w:rsidRPr="0049271C">
              <w:rPr>
                <w:rStyle w:val="ECCParagraph"/>
              </w:rPr>
              <w:t>1</w:t>
            </w:r>
            <w:r w:rsidR="00CF4994">
              <w:rPr>
                <w:rStyle w:val="ECCParagraph"/>
              </w:rPr>
              <w:t>.9</w:t>
            </w:r>
            <w:r>
              <w:rPr>
                <w:rStyle w:val="ECCParagraph"/>
              </w:rPr>
              <w:t> </w:t>
            </w:r>
            <w:r w:rsidRPr="0049271C">
              <w:rPr>
                <w:rStyle w:val="ECCParagraph"/>
              </w:rPr>
              <w:t>km</w:t>
            </w:r>
          </w:p>
        </w:tc>
      </w:tr>
      <w:tr w:rsidR="00F11B8D" w14:paraId="6236CCEE" w14:textId="77777777" w:rsidTr="001B18C0">
        <w:tc>
          <w:tcPr>
            <w:tcW w:w="1413" w:type="dxa"/>
            <w:tcBorders>
              <w:left w:val="single" w:sz="4" w:space="0" w:color="D22A23"/>
            </w:tcBorders>
          </w:tcPr>
          <w:p w14:paraId="38C80C2F" w14:textId="77777777" w:rsidR="00F11B8D" w:rsidRPr="00F11B8D" w:rsidRDefault="00F11B8D" w:rsidP="000A69BD">
            <w:pPr>
              <w:pStyle w:val="ECCTabletext"/>
              <w:jc w:val="left"/>
              <w:rPr>
                <w:rStyle w:val="ECCParagraph"/>
              </w:rPr>
            </w:pPr>
            <w:r w:rsidRPr="0049271C">
              <w:rPr>
                <w:rStyle w:val="ECCParagraph"/>
              </w:rPr>
              <w:t>Fixed</w:t>
            </w:r>
          </w:p>
        </w:tc>
        <w:tc>
          <w:tcPr>
            <w:tcW w:w="1276" w:type="dxa"/>
          </w:tcPr>
          <w:p w14:paraId="6D883872" w14:textId="77777777" w:rsidR="00F11B8D" w:rsidRPr="00F11B8D" w:rsidRDefault="00F11B8D" w:rsidP="000A69BD">
            <w:pPr>
              <w:pStyle w:val="ECCTabletext"/>
              <w:jc w:val="left"/>
              <w:rPr>
                <w:rStyle w:val="ECCParagraph"/>
              </w:rPr>
            </w:pPr>
            <w:r w:rsidRPr="0049271C">
              <w:rPr>
                <w:rStyle w:val="ECCParagraph"/>
              </w:rPr>
              <w:t>2</w:t>
            </w:r>
          </w:p>
        </w:tc>
        <w:tc>
          <w:tcPr>
            <w:tcW w:w="2126" w:type="dxa"/>
            <w:tcBorders>
              <w:top w:val="single" w:sz="4" w:space="0" w:color="D22A23"/>
            </w:tcBorders>
          </w:tcPr>
          <w:p w14:paraId="1DEA514C" w14:textId="77777777" w:rsidR="00F11B8D" w:rsidRPr="00F11B8D" w:rsidRDefault="00F11B8D" w:rsidP="000A69BD">
            <w:pPr>
              <w:pStyle w:val="ECCTabletext"/>
              <w:jc w:val="left"/>
              <w:rPr>
                <w:rStyle w:val="ECCParagraph"/>
              </w:rPr>
            </w:pPr>
            <w:r w:rsidRPr="0049271C">
              <w:rPr>
                <w:rStyle w:val="ECCParagraph"/>
              </w:rPr>
              <w:t>0</w:t>
            </w:r>
            <w:r w:rsidR="00CF4994">
              <w:rPr>
                <w:rStyle w:val="ECCParagraph"/>
              </w:rPr>
              <w:t>.9</w:t>
            </w:r>
            <w:r>
              <w:rPr>
                <w:rStyle w:val="ECCParagraph"/>
              </w:rPr>
              <w:t> </w:t>
            </w:r>
            <w:r w:rsidRPr="0049271C">
              <w:rPr>
                <w:rStyle w:val="ECCParagraph"/>
              </w:rPr>
              <w:t>km</w:t>
            </w:r>
          </w:p>
        </w:tc>
        <w:tc>
          <w:tcPr>
            <w:tcW w:w="2154" w:type="dxa"/>
            <w:tcBorders>
              <w:top w:val="single" w:sz="4" w:space="0" w:color="D22A23"/>
            </w:tcBorders>
          </w:tcPr>
          <w:p w14:paraId="413D8908" w14:textId="77777777" w:rsidR="00F11B8D" w:rsidRPr="00F11B8D" w:rsidRDefault="00F11B8D" w:rsidP="00F11B8D">
            <w:pPr>
              <w:rPr>
                <w:rStyle w:val="ECCParagraph"/>
              </w:rPr>
            </w:pPr>
            <w:r w:rsidRPr="0049271C">
              <w:rPr>
                <w:rStyle w:val="ECCParagraph"/>
              </w:rPr>
              <w:t>0</w:t>
            </w:r>
            <w:r w:rsidR="00CF4994">
              <w:rPr>
                <w:rStyle w:val="ECCParagraph"/>
              </w:rPr>
              <w:t>.9</w:t>
            </w:r>
            <w:r>
              <w:rPr>
                <w:rStyle w:val="ECCParagraph"/>
              </w:rPr>
              <w:t> </w:t>
            </w:r>
            <w:r w:rsidRPr="0049271C">
              <w:rPr>
                <w:rStyle w:val="ECCParagraph"/>
              </w:rPr>
              <w:t>km</w:t>
            </w:r>
          </w:p>
        </w:tc>
        <w:tc>
          <w:tcPr>
            <w:tcW w:w="2393" w:type="dxa"/>
            <w:tcBorders>
              <w:top w:val="single" w:sz="4" w:space="0" w:color="D22A23"/>
            </w:tcBorders>
          </w:tcPr>
          <w:p w14:paraId="70BEC920" w14:textId="77777777" w:rsidR="00F11B8D" w:rsidRPr="00F11B8D" w:rsidRDefault="00F11B8D" w:rsidP="00F11B8D">
            <w:pPr>
              <w:rPr>
                <w:rStyle w:val="ECCParagraph"/>
              </w:rPr>
            </w:pPr>
            <w:r w:rsidRPr="0049271C">
              <w:rPr>
                <w:rStyle w:val="ECCParagraph"/>
              </w:rPr>
              <w:t>0</w:t>
            </w:r>
            <w:r w:rsidR="00CF4994">
              <w:rPr>
                <w:rStyle w:val="ECCParagraph"/>
              </w:rPr>
              <w:t>.7</w:t>
            </w:r>
            <w:r>
              <w:rPr>
                <w:rStyle w:val="ECCParagraph"/>
              </w:rPr>
              <w:t> </w:t>
            </w:r>
            <w:r w:rsidRPr="0049271C">
              <w:rPr>
                <w:rStyle w:val="ECCParagraph"/>
              </w:rPr>
              <w:t>km</w:t>
            </w:r>
          </w:p>
        </w:tc>
      </w:tr>
      <w:tr w:rsidR="00F11B8D" w14:paraId="780BF244" w14:textId="77777777" w:rsidTr="00F40538">
        <w:tc>
          <w:tcPr>
            <w:tcW w:w="1413" w:type="dxa"/>
            <w:tcBorders>
              <w:left w:val="single" w:sz="4" w:space="0" w:color="D22A23"/>
            </w:tcBorders>
          </w:tcPr>
          <w:p w14:paraId="6B60AD7C" w14:textId="3A2A49BE" w:rsidR="00F11B8D" w:rsidRPr="00F11B8D" w:rsidRDefault="009D5FA2" w:rsidP="000A69BD">
            <w:pPr>
              <w:pStyle w:val="ECCTabletext"/>
              <w:jc w:val="left"/>
              <w:rPr>
                <w:rStyle w:val="ECCParagraph"/>
              </w:rPr>
            </w:pPr>
            <w:r>
              <w:rPr>
                <w:rStyle w:val="ECCParagraph"/>
              </w:rPr>
              <w:t>Hand-held</w:t>
            </w:r>
          </w:p>
        </w:tc>
        <w:tc>
          <w:tcPr>
            <w:tcW w:w="1276" w:type="dxa"/>
          </w:tcPr>
          <w:p w14:paraId="76EC64E1" w14:textId="77777777" w:rsidR="00F11B8D" w:rsidRPr="00F11B8D" w:rsidRDefault="00F11B8D" w:rsidP="000A69BD">
            <w:pPr>
              <w:pStyle w:val="ECCTabletext"/>
              <w:jc w:val="left"/>
              <w:rPr>
                <w:rStyle w:val="ECCParagraph"/>
              </w:rPr>
            </w:pPr>
            <w:r w:rsidRPr="0049271C">
              <w:rPr>
                <w:rStyle w:val="ECCParagraph"/>
              </w:rPr>
              <w:t xml:space="preserve">2 </w:t>
            </w:r>
          </w:p>
        </w:tc>
        <w:tc>
          <w:tcPr>
            <w:tcW w:w="2126" w:type="dxa"/>
            <w:tcBorders>
              <w:top w:val="single" w:sz="4" w:space="0" w:color="D22A23"/>
              <w:bottom w:val="single" w:sz="4" w:space="0" w:color="D22A23"/>
            </w:tcBorders>
          </w:tcPr>
          <w:p w14:paraId="65E70F3C" w14:textId="77777777" w:rsidR="00F11B8D" w:rsidRPr="00F11B8D" w:rsidRDefault="00F11B8D" w:rsidP="000A69BD">
            <w:pPr>
              <w:pStyle w:val="ECCTabletext"/>
              <w:jc w:val="left"/>
              <w:rPr>
                <w:rStyle w:val="ECCParagraph"/>
              </w:rPr>
            </w:pPr>
            <w:r w:rsidRPr="0049271C">
              <w:rPr>
                <w:rStyle w:val="ECCParagraph"/>
              </w:rPr>
              <w:t>0</w:t>
            </w:r>
            <w:r w:rsidR="00CF4994">
              <w:rPr>
                <w:rStyle w:val="ECCParagraph"/>
              </w:rPr>
              <w:t>.4</w:t>
            </w:r>
            <w:r>
              <w:rPr>
                <w:rStyle w:val="ECCParagraph"/>
              </w:rPr>
              <w:t> </w:t>
            </w:r>
            <w:r w:rsidRPr="0049271C">
              <w:rPr>
                <w:rStyle w:val="ECCParagraph"/>
              </w:rPr>
              <w:t>km</w:t>
            </w:r>
          </w:p>
        </w:tc>
        <w:tc>
          <w:tcPr>
            <w:tcW w:w="2154" w:type="dxa"/>
            <w:tcBorders>
              <w:top w:val="single" w:sz="4" w:space="0" w:color="D22A23"/>
              <w:bottom w:val="single" w:sz="4" w:space="0" w:color="D22A23"/>
            </w:tcBorders>
          </w:tcPr>
          <w:p w14:paraId="6C40689B" w14:textId="77777777" w:rsidR="00F11B8D" w:rsidRPr="00F11B8D" w:rsidRDefault="00F11B8D" w:rsidP="00F11B8D">
            <w:pPr>
              <w:rPr>
                <w:rStyle w:val="ECCParagraph"/>
              </w:rPr>
            </w:pPr>
            <w:r w:rsidRPr="0049271C">
              <w:rPr>
                <w:rStyle w:val="ECCParagraph"/>
              </w:rPr>
              <w:t>0</w:t>
            </w:r>
            <w:r w:rsidR="00CF4994">
              <w:rPr>
                <w:rStyle w:val="ECCParagraph"/>
              </w:rPr>
              <w:t>.4</w:t>
            </w:r>
            <w:r>
              <w:rPr>
                <w:rStyle w:val="ECCParagraph"/>
              </w:rPr>
              <w:t> </w:t>
            </w:r>
            <w:r w:rsidRPr="0049271C">
              <w:rPr>
                <w:rStyle w:val="ECCParagraph"/>
              </w:rPr>
              <w:t>km</w:t>
            </w:r>
          </w:p>
        </w:tc>
        <w:tc>
          <w:tcPr>
            <w:tcW w:w="2393" w:type="dxa"/>
            <w:tcBorders>
              <w:top w:val="single" w:sz="4" w:space="0" w:color="D22A23"/>
              <w:bottom w:val="single" w:sz="4" w:space="0" w:color="D22A23"/>
            </w:tcBorders>
          </w:tcPr>
          <w:p w14:paraId="7DF9ED27" w14:textId="77777777" w:rsidR="00F11B8D" w:rsidRPr="00F11B8D" w:rsidRDefault="00F11B8D" w:rsidP="00F11B8D">
            <w:pPr>
              <w:rPr>
                <w:rStyle w:val="ECCParagraph"/>
              </w:rPr>
            </w:pPr>
            <w:r w:rsidRPr="0049271C">
              <w:rPr>
                <w:rStyle w:val="ECCParagraph"/>
              </w:rPr>
              <w:t>0</w:t>
            </w:r>
            <w:r w:rsidR="00CF4994">
              <w:rPr>
                <w:rStyle w:val="ECCParagraph"/>
              </w:rPr>
              <w:t>.3</w:t>
            </w:r>
            <w:r>
              <w:rPr>
                <w:rStyle w:val="ECCParagraph"/>
              </w:rPr>
              <w:t> </w:t>
            </w:r>
            <w:r w:rsidRPr="0049271C">
              <w:rPr>
                <w:rStyle w:val="ECCParagraph"/>
              </w:rPr>
              <w:t>km</w:t>
            </w:r>
          </w:p>
        </w:tc>
      </w:tr>
      <w:tr w:rsidR="00F40538" w14:paraId="04990A1A" w14:textId="77777777" w:rsidTr="00200700">
        <w:tc>
          <w:tcPr>
            <w:tcW w:w="9362" w:type="dxa"/>
            <w:gridSpan w:val="5"/>
            <w:tcBorders>
              <w:left w:val="single" w:sz="4" w:space="0" w:color="D22A23"/>
            </w:tcBorders>
          </w:tcPr>
          <w:p w14:paraId="7D5A19B4" w14:textId="1244E2FF" w:rsidR="00F40538" w:rsidRPr="00F40538" w:rsidRDefault="00F40538" w:rsidP="00464AE0">
            <w:pPr>
              <w:pStyle w:val="ECCTablenote"/>
              <w:rPr>
                <w:rStyle w:val="ECCParagraph"/>
                <w:sz w:val="16"/>
              </w:rPr>
            </w:pPr>
            <w:r>
              <w:t>N</w:t>
            </w:r>
            <w:r w:rsidRPr="00F40538">
              <w:t xml:space="preserve">ote 1: The results for RAS spectral line observation (SLO) have not been included in this table since it turned out that the separation distances for the RAS continuum observation (CO) are always larger and therefore more critical (see also </w:t>
            </w:r>
            <w:r w:rsidRPr="00F40538">
              <w:fldChar w:fldCharType="begin"/>
            </w:r>
            <w:r w:rsidRPr="00F40538">
              <w:instrText xml:space="preserve"> REF _Ref67512498 \h </w:instrText>
            </w:r>
            <w:r w:rsidRPr="00F40538">
              <w:fldChar w:fldCharType="separate"/>
            </w:r>
            <w:r w:rsidR="0041125F" w:rsidRPr="007C3BF5">
              <w:t>Table </w:t>
            </w:r>
            <w:r w:rsidR="0041125F">
              <w:rPr>
                <w:noProof/>
              </w:rPr>
              <w:t>50</w:t>
            </w:r>
            <w:r w:rsidRPr="00F40538">
              <w:fldChar w:fldCharType="end"/>
            </w:r>
            <w:r w:rsidRPr="00F40538">
              <w:t>).</w:t>
            </w:r>
          </w:p>
        </w:tc>
      </w:tr>
    </w:tbl>
    <w:p w14:paraId="7E2536B9" w14:textId="04B288B9" w:rsidR="00B61F8C" w:rsidRDefault="00B61F8C" w:rsidP="00B61F8C">
      <w:r>
        <w:t xml:space="preserve">The conclusions drawn from these results can be found in </w:t>
      </w:r>
      <w:r w:rsidR="009D5FA2">
        <w:t>section</w:t>
      </w:r>
      <w:r>
        <w:t xml:space="preserve"> </w:t>
      </w:r>
      <w:r w:rsidR="009F7DA8">
        <w:fldChar w:fldCharType="begin"/>
      </w:r>
      <w:r w:rsidR="009F7DA8">
        <w:instrText xml:space="preserve"> REF _Ref67515751 \r \h </w:instrText>
      </w:r>
      <w:r w:rsidR="009F7DA8">
        <w:fldChar w:fldCharType="separate"/>
      </w:r>
      <w:r w:rsidR="004F49F9">
        <w:t>8.1.2</w:t>
      </w:r>
      <w:r w:rsidR="009F7DA8">
        <w:fldChar w:fldCharType="end"/>
      </w:r>
      <w:r>
        <w:t>.</w:t>
      </w:r>
    </w:p>
    <w:p w14:paraId="74B148A5" w14:textId="3522DDEA" w:rsidR="00BE053A" w:rsidRDefault="00BE053A" w:rsidP="00BE053A">
      <w:pPr>
        <w:pStyle w:val="Heading2"/>
      </w:pPr>
      <w:bookmarkStart w:id="512" w:name="_Toc84325350"/>
      <w:bookmarkStart w:id="513" w:name="_Toc127346274"/>
      <w:r w:rsidRPr="00B06E7F">
        <w:t>Radiodetermination systems for industry automation (RDI)</w:t>
      </w:r>
      <w:bookmarkEnd w:id="512"/>
      <w:bookmarkEnd w:id="513"/>
    </w:p>
    <w:p w14:paraId="503CE271" w14:textId="60ED1DE0" w:rsidR="00BE053A" w:rsidRPr="00B43787" w:rsidRDefault="00BE053A" w:rsidP="00BE053A">
      <w:pPr>
        <w:pStyle w:val="Heading3"/>
      </w:pPr>
      <w:bookmarkStart w:id="514" w:name="_Ref67388530"/>
      <w:bookmarkStart w:id="515" w:name="_Ref67389076"/>
      <w:bookmarkStart w:id="516" w:name="_Toc84325351"/>
      <w:bookmarkStart w:id="517" w:name="_Toc127346275"/>
      <w:r w:rsidRPr="00B43787">
        <w:t>Technical parameters of RDI</w:t>
      </w:r>
      <w:bookmarkEnd w:id="514"/>
      <w:bookmarkEnd w:id="515"/>
      <w:bookmarkEnd w:id="516"/>
      <w:bookmarkEnd w:id="517"/>
    </w:p>
    <w:p w14:paraId="4AC7F6AC" w14:textId="6358B773" w:rsidR="002876E6" w:rsidRPr="00B10E31" w:rsidRDefault="002876E6" w:rsidP="002876E6">
      <w:r w:rsidRPr="00B10E31">
        <w:t xml:space="preserve">For RDI altogether five potential frequency bands have been defined (see </w:t>
      </w:r>
      <w:r w:rsidR="009D5FA2">
        <w:t>section</w:t>
      </w:r>
      <w:r w:rsidRPr="00B10E31">
        <w:t xml:space="preserve"> </w:t>
      </w:r>
      <w:r w:rsidR="007C3BF5">
        <w:rPr>
          <w:highlight w:val="yellow"/>
        </w:rPr>
        <w:fldChar w:fldCharType="begin"/>
      </w:r>
      <w:r w:rsidR="007C3BF5">
        <w:instrText xml:space="preserve"> REF _Ref66448158 \r \h </w:instrText>
      </w:r>
      <w:r w:rsidR="007C3BF5">
        <w:rPr>
          <w:highlight w:val="yellow"/>
        </w:rPr>
      </w:r>
      <w:r w:rsidR="007C3BF5">
        <w:rPr>
          <w:highlight w:val="yellow"/>
        </w:rPr>
        <w:fldChar w:fldCharType="separate"/>
      </w:r>
      <w:r w:rsidR="004F49F9">
        <w:t>2.2.2.2</w:t>
      </w:r>
      <w:r w:rsidR="007C3BF5">
        <w:rPr>
          <w:highlight w:val="yellow"/>
        </w:rPr>
        <w:fldChar w:fldCharType="end"/>
      </w:r>
      <w:r w:rsidRPr="00B10E31">
        <w:t>). Due to the fact that in all defined frequency bands allocations for RAS are affected</w:t>
      </w:r>
      <w:r w:rsidR="001D7996">
        <w:t>-</w:t>
      </w:r>
      <w:r w:rsidRPr="00B10E31">
        <w:t>either within these bands or adjacent to them – all five bands have been investigated by single-entry studies. In these studies the individually required separation distance (</w:t>
      </w:r>
      <w:r w:rsidR="009D5FA2">
        <w:t>section</w:t>
      </w:r>
      <w:r w:rsidRPr="00B10E31">
        <w:t xml:space="preserve"> </w:t>
      </w:r>
      <w:r w:rsidR="007C3BF5">
        <w:rPr>
          <w:highlight w:val="yellow"/>
        </w:rPr>
        <w:fldChar w:fldCharType="begin"/>
      </w:r>
      <w:r w:rsidR="007C3BF5">
        <w:instrText xml:space="preserve"> REF _Ref15293384 \r \h </w:instrText>
      </w:r>
      <w:r w:rsidR="007C3BF5">
        <w:rPr>
          <w:highlight w:val="yellow"/>
        </w:rPr>
      </w:r>
      <w:r w:rsidR="007C3BF5">
        <w:rPr>
          <w:highlight w:val="yellow"/>
        </w:rPr>
        <w:fldChar w:fldCharType="separate"/>
      </w:r>
      <w:r w:rsidR="004F49F9">
        <w:t>3.4.2</w:t>
      </w:r>
      <w:r w:rsidR="007C3BF5">
        <w:rPr>
          <w:highlight w:val="yellow"/>
        </w:rPr>
        <w:fldChar w:fldCharType="end"/>
      </w:r>
      <w:r w:rsidRPr="00B10E31">
        <w:t>) is determined by means of the technical parameters (</w:t>
      </w:r>
      <w:r w:rsidR="009D5FA2">
        <w:t>section</w:t>
      </w:r>
      <w:r w:rsidRPr="00B10E31">
        <w:t xml:space="preserve"> </w:t>
      </w:r>
      <w:r w:rsidR="007C3BF5">
        <w:rPr>
          <w:highlight w:val="yellow"/>
        </w:rPr>
        <w:fldChar w:fldCharType="begin"/>
      </w:r>
      <w:r w:rsidR="007C3BF5">
        <w:instrText xml:space="preserve"> REF _Ref66448217 \r \h </w:instrText>
      </w:r>
      <w:r w:rsidR="007C3BF5">
        <w:rPr>
          <w:highlight w:val="yellow"/>
        </w:rPr>
      </w:r>
      <w:r w:rsidR="007C3BF5">
        <w:rPr>
          <w:highlight w:val="yellow"/>
        </w:rPr>
        <w:fldChar w:fldCharType="separate"/>
      </w:r>
      <w:r w:rsidR="004F49F9">
        <w:t>2.2.2.3</w:t>
      </w:r>
      <w:r w:rsidR="007C3BF5">
        <w:rPr>
          <w:highlight w:val="yellow"/>
        </w:rPr>
        <w:fldChar w:fldCharType="end"/>
      </w:r>
      <w:r w:rsidRPr="00B10E31">
        <w:t>), the antenna data (</w:t>
      </w:r>
      <w:r w:rsidR="009D5FA2">
        <w:t>section</w:t>
      </w:r>
      <w:r w:rsidRPr="00B10E31">
        <w:t xml:space="preserve"> </w:t>
      </w:r>
      <w:r w:rsidR="007C3BF5">
        <w:rPr>
          <w:highlight w:val="yellow"/>
        </w:rPr>
        <w:fldChar w:fldCharType="begin"/>
      </w:r>
      <w:r w:rsidR="007C3BF5">
        <w:instrText xml:space="preserve"> REF _Ref20137901 \r \h </w:instrText>
      </w:r>
      <w:r w:rsidR="007C3BF5">
        <w:rPr>
          <w:highlight w:val="yellow"/>
        </w:rPr>
      </w:r>
      <w:r w:rsidR="007C3BF5">
        <w:rPr>
          <w:highlight w:val="yellow"/>
        </w:rPr>
        <w:fldChar w:fldCharType="separate"/>
      </w:r>
      <w:r w:rsidR="004F49F9">
        <w:t>2.2.2.4</w:t>
      </w:r>
      <w:r w:rsidR="007C3BF5">
        <w:rPr>
          <w:highlight w:val="yellow"/>
        </w:rPr>
        <w:fldChar w:fldCharType="end"/>
      </w:r>
      <w:r w:rsidRPr="00B10E31">
        <w:t>), the interference scenarios (</w:t>
      </w:r>
      <w:r w:rsidR="009D5FA2">
        <w:t>section</w:t>
      </w:r>
      <w:r w:rsidRPr="00B10E31">
        <w:t xml:space="preserve"> </w:t>
      </w:r>
      <w:r w:rsidR="007C3BF5">
        <w:rPr>
          <w:highlight w:val="yellow"/>
        </w:rPr>
        <w:fldChar w:fldCharType="begin"/>
      </w:r>
      <w:r w:rsidR="007C3BF5">
        <w:instrText xml:space="preserve"> REF _Ref53582739 \r \h </w:instrText>
      </w:r>
      <w:r w:rsidR="007C3BF5">
        <w:rPr>
          <w:highlight w:val="yellow"/>
        </w:rPr>
      </w:r>
      <w:r w:rsidR="007C3BF5">
        <w:rPr>
          <w:highlight w:val="yellow"/>
        </w:rPr>
        <w:fldChar w:fldCharType="separate"/>
      </w:r>
      <w:r w:rsidR="004F49F9">
        <w:t>2.2.2.6</w:t>
      </w:r>
      <w:r w:rsidR="007C3BF5">
        <w:rPr>
          <w:highlight w:val="yellow"/>
        </w:rPr>
        <w:fldChar w:fldCharType="end"/>
      </w:r>
      <w:r w:rsidRPr="00B10E31">
        <w:t>) and the protection requirements for RAS (</w:t>
      </w:r>
      <w:r w:rsidR="009D5FA2">
        <w:t>section</w:t>
      </w:r>
      <w:r w:rsidRPr="00B10E31">
        <w:t xml:space="preserve"> </w:t>
      </w:r>
      <w:r w:rsidR="007C3BF5">
        <w:rPr>
          <w:highlight w:val="yellow"/>
        </w:rPr>
        <w:fldChar w:fldCharType="begin"/>
      </w:r>
      <w:r w:rsidR="007C3BF5">
        <w:instrText xml:space="preserve"> REF _Ref25574886 \r \h </w:instrText>
      </w:r>
      <w:r w:rsidR="007C3BF5">
        <w:rPr>
          <w:highlight w:val="yellow"/>
        </w:rPr>
      </w:r>
      <w:r w:rsidR="007C3BF5">
        <w:rPr>
          <w:highlight w:val="yellow"/>
        </w:rPr>
        <w:fldChar w:fldCharType="separate"/>
      </w:r>
      <w:r w:rsidR="004F49F9">
        <w:t>3.5.2</w:t>
      </w:r>
      <w:r w:rsidR="007C3BF5">
        <w:rPr>
          <w:highlight w:val="yellow"/>
        </w:rPr>
        <w:fldChar w:fldCharType="end"/>
      </w:r>
      <w:r w:rsidRPr="00B10E31">
        <w:t xml:space="preserve">). The exact calculations can be found in an Excel-spreadsheet which is attached to this </w:t>
      </w:r>
      <w:hyperlink r:id="rId116" w:history="1">
        <w:r w:rsidR="00C70410">
          <w:rPr>
            <w:rStyle w:val="Hyperlink"/>
          </w:rPr>
          <w:t>Report</w:t>
        </w:r>
      </w:hyperlink>
      <w:r w:rsidRPr="00B10E31">
        <w:t>.</w:t>
      </w:r>
    </w:p>
    <w:p w14:paraId="744EF45B" w14:textId="3BF35032" w:rsidR="002876E6" w:rsidRPr="00B10E31" w:rsidRDefault="002876E6" w:rsidP="002876E6">
      <w:r w:rsidRPr="00B10E31">
        <w:t>The following technical parameters of the RDI application (</w:t>
      </w:r>
      <w:r w:rsidR="009D5FA2">
        <w:t>section</w:t>
      </w:r>
      <w:r w:rsidRPr="00B10E31">
        <w:t xml:space="preserve"> </w:t>
      </w:r>
      <w:r w:rsidR="007C3BF5">
        <w:rPr>
          <w:highlight w:val="yellow"/>
        </w:rPr>
        <w:fldChar w:fldCharType="begin"/>
      </w:r>
      <w:r w:rsidR="007C3BF5">
        <w:instrText xml:space="preserve"> REF _Ref66448249 \r \h </w:instrText>
      </w:r>
      <w:r w:rsidR="007C3BF5">
        <w:rPr>
          <w:highlight w:val="yellow"/>
        </w:rPr>
      </w:r>
      <w:r w:rsidR="007C3BF5">
        <w:rPr>
          <w:highlight w:val="yellow"/>
        </w:rPr>
        <w:fldChar w:fldCharType="separate"/>
      </w:r>
      <w:r w:rsidR="004F49F9">
        <w:t>2.2.2.3</w:t>
      </w:r>
      <w:r w:rsidR="007C3BF5">
        <w:rPr>
          <w:highlight w:val="yellow"/>
        </w:rPr>
        <w:fldChar w:fldCharType="end"/>
      </w:r>
      <w:r w:rsidRPr="00B10E31">
        <w:t>) have been used in the studies in the different frequency ranges.</w:t>
      </w:r>
    </w:p>
    <w:p w14:paraId="14013907" w14:textId="37334A19" w:rsidR="002876E6" w:rsidRDefault="007C3BF5" w:rsidP="002876E6">
      <w:pPr>
        <w:pStyle w:val="Caption"/>
        <w:rPr>
          <w:rStyle w:val="ECCParagraph"/>
        </w:rPr>
      </w:pPr>
      <w:bookmarkStart w:id="518" w:name="_Ref66453563"/>
      <w:r w:rsidRPr="007C3BF5">
        <w:t>Table </w:t>
      </w:r>
      <w:r>
        <w:fldChar w:fldCharType="begin"/>
      </w:r>
      <w:r>
        <w:instrText>SEQ Table \* ARABIC</w:instrText>
      </w:r>
      <w:r>
        <w:fldChar w:fldCharType="separate"/>
      </w:r>
      <w:r w:rsidR="004F49F9">
        <w:rPr>
          <w:noProof/>
        </w:rPr>
        <w:t>52</w:t>
      </w:r>
      <w:r>
        <w:fldChar w:fldCharType="end"/>
      </w:r>
      <w:bookmarkEnd w:id="518"/>
      <w:r w:rsidR="002876E6" w:rsidRPr="002876E6">
        <w:t>: Technical parameters of RDI used for the conducted studies in the different frequency bands</w:t>
      </w:r>
    </w:p>
    <w:tbl>
      <w:tblPr>
        <w:tblStyle w:val="ECCTable-redheader"/>
        <w:tblW w:w="9407" w:type="dxa"/>
        <w:tblInd w:w="0" w:type="dxa"/>
        <w:tblLook w:val="04A0" w:firstRow="1" w:lastRow="0" w:firstColumn="1" w:lastColumn="0" w:noHBand="0" w:noVBand="1"/>
      </w:tblPr>
      <w:tblGrid>
        <w:gridCol w:w="1838"/>
        <w:gridCol w:w="1569"/>
        <w:gridCol w:w="1266"/>
        <w:gridCol w:w="2014"/>
        <w:gridCol w:w="1360"/>
        <w:gridCol w:w="1360"/>
      </w:tblGrid>
      <w:tr w:rsidR="00A83DEE" w:rsidRPr="00566944" w14:paraId="04FB1BAC" w14:textId="77777777" w:rsidTr="00A83DEE">
        <w:trPr>
          <w:cnfStyle w:val="100000000000" w:firstRow="1" w:lastRow="0" w:firstColumn="0" w:lastColumn="0" w:oddVBand="0" w:evenVBand="0" w:oddHBand="0" w:evenHBand="0" w:firstRowFirstColumn="0" w:firstRowLastColumn="0" w:lastRowFirstColumn="0" w:lastRowLastColumn="0"/>
        </w:trPr>
        <w:tc>
          <w:tcPr>
            <w:tcW w:w="1838" w:type="dxa"/>
          </w:tcPr>
          <w:p w14:paraId="0DF57FA9" w14:textId="77777777" w:rsidR="00A83DEE" w:rsidRPr="00A83DEE" w:rsidRDefault="00A83DEE" w:rsidP="00876039">
            <w:pPr>
              <w:pStyle w:val="ECCTableHeaderwhitefont"/>
            </w:pPr>
            <w:r w:rsidRPr="002876E6">
              <w:t>Investigated frequency range</w:t>
            </w:r>
          </w:p>
        </w:tc>
        <w:tc>
          <w:tcPr>
            <w:tcW w:w="1569" w:type="dxa"/>
          </w:tcPr>
          <w:p w14:paraId="1E2F4020" w14:textId="77777777" w:rsidR="00A83DEE" w:rsidRPr="00A83DEE" w:rsidRDefault="00E84DB9" w:rsidP="000A69BD">
            <w:pPr>
              <w:pStyle w:val="ECCTableHeaderwhitefont"/>
            </w:pPr>
            <w:r>
              <w:t>Assumed m</w:t>
            </w:r>
            <w:r w:rsidR="00A83DEE" w:rsidRPr="002876E6">
              <w:t>odulation bandwidth</w:t>
            </w:r>
          </w:p>
        </w:tc>
        <w:tc>
          <w:tcPr>
            <w:tcW w:w="1266" w:type="dxa"/>
          </w:tcPr>
          <w:p w14:paraId="15BBDB47" w14:textId="77777777" w:rsidR="00A83DEE" w:rsidRPr="00A83DEE" w:rsidRDefault="00A83DEE" w:rsidP="000A69BD">
            <w:pPr>
              <w:pStyle w:val="ECCTableHeaderwhitefont"/>
            </w:pPr>
            <w:r w:rsidRPr="002876E6">
              <w:t>Duty cycle</w:t>
            </w:r>
          </w:p>
        </w:tc>
        <w:tc>
          <w:tcPr>
            <w:tcW w:w="2014" w:type="dxa"/>
          </w:tcPr>
          <w:p w14:paraId="62D7E97D" w14:textId="77777777" w:rsidR="00A83DEE" w:rsidRPr="00A83DEE" w:rsidRDefault="00A83DEE" w:rsidP="000A69BD">
            <w:pPr>
              <w:pStyle w:val="ECCTableHeaderwhitefont"/>
            </w:pPr>
            <w:r w:rsidRPr="00B10E31">
              <w:t xml:space="preserve">Mean </w:t>
            </w:r>
            <w:r w:rsidR="00C943B8">
              <w:t>e.i.r.p.</w:t>
            </w:r>
            <w:r w:rsidRPr="00A83DEE">
              <w:t xml:space="preserve"> spectral density </w:t>
            </w:r>
            <w:r w:rsidR="00143CCA">
              <w:t>(Note 2)</w:t>
            </w:r>
          </w:p>
        </w:tc>
        <w:tc>
          <w:tcPr>
            <w:tcW w:w="1360" w:type="dxa"/>
          </w:tcPr>
          <w:p w14:paraId="1025512E" w14:textId="77777777" w:rsidR="00A83DEE" w:rsidRPr="00A83DEE" w:rsidRDefault="00A83DEE" w:rsidP="000A69BD">
            <w:pPr>
              <w:pStyle w:val="ECCTableHeaderwhitefont"/>
            </w:pPr>
            <w:r w:rsidRPr="00B10E31">
              <w:t xml:space="preserve">Peak </w:t>
            </w:r>
            <w:r w:rsidRPr="00A83DEE">
              <w:t>e.i.r.p.</w:t>
            </w:r>
          </w:p>
        </w:tc>
        <w:tc>
          <w:tcPr>
            <w:tcW w:w="1360" w:type="dxa"/>
          </w:tcPr>
          <w:p w14:paraId="02A8135A" w14:textId="77777777" w:rsidR="00A83DEE" w:rsidRPr="00A83DEE" w:rsidRDefault="00A83DEE" w:rsidP="000A69BD">
            <w:pPr>
              <w:pStyle w:val="ECCTableHeaderwhitefont"/>
            </w:pPr>
            <w:r>
              <w:t>OOB attenuation</w:t>
            </w:r>
            <w:r w:rsidRPr="00A83DEE">
              <w:t xml:space="preserve"> (Note 1)</w:t>
            </w:r>
          </w:p>
        </w:tc>
      </w:tr>
      <w:tr w:rsidR="00A83DEE" w:rsidRPr="00C53FB5" w14:paraId="02C5BE5A" w14:textId="77777777" w:rsidTr="00A83DEE">
        <w:tc>
          <w:tcPr>
            <w:tcW w:w="1838" w:type="dxa"/>
          </w:tcPr>
          <w:p w14:paraId="30613CE6" w14:textId="77777777" w:rsidR="00A83DEE" w:rsidRPr="00A83DEE" w:rsidRDefault="00A83DEE" w:rsidP="000A69BD">
            <w:pPr>
              <w:pStyle w:val="ECCTabletext"/>
              <w:jc w:val="left"/>
            </w:pPr>
            <w:r w:rsidRPr="00C53FB5">
              <w:t>116 to 130 GHz</w:t>
            </w:r>
          </w:p>
        </w:tc>
        <w:tc>
          <w:tcPr>
            <w:tcW w:w="1569" w:type="dxa"/>
          </w:tcPr>
          <w:p w14:paraId="1D6A22DB" w14:textId="77777777" w:rsidR="00A83DEE" w:rsidRPr="00A83DEE" w:rsidRDefault="00A83DEE" w:rsidP="000A69BD">
            <w:pPr>
              <w:pStyle w:val="ECCTabletext"/>
              <w:jc w:val="left"/>
            </w:pPr>
            <w:r>
              <w:t>14 GHz</w:t>
            </w:r>
          </w:p>
        </w:tc>
        <w:tc>
          <w:tcPr>
            <w:tcW w:w="1266" w:type="dxa"/>
          </w:tcPr>
          <w:p w14:paraId="0BC7F7F4" w14:textId="7DAE6D87" w:rsidR="00A83DEE" w:rsidRPr="00A83DEE" w:rsidRDefault="00A83DEE" w:rsidP="000A69BD">
            <w:pPr>
              <w:pStyle w:val="ECCTabletext"/>
              <w:jc w:val="left"/>
            </w:pPr>
            <w:r>
              <w:t>5</w:t>
            </w:r>
            <w:r w:rsidR="00F800A2">
              <w:t>%</w:t>
            </w:r>
          </w:p>
        </w:tc>
        <w:tc>
          <w:tcPr>
            <w:tcW w:w="2014" w:type="dxa"/>
          </w:tcPr>
          <w:p w14:paraId="117FF2F2" w14:textId="77777777" w:rsidR="00A83DEE" w:rsidRPr="00A83DEE" w:rsidRDefault="00A83DEE" w:rsidP="000A69BD">
            <w:pPr>
              <w:pStyle w:val="ECCTabletext"/>
              <w:jc w:val="left"/>
            </w:pPr>
            <w:r>
              <w:t>-2</w:t>
            </w:r>
            <w:r w:rsidR="00E84DB9">
              <w:t>3</w:t>
            </w:r>
            <w:r w:rsidR="00CF4994">
              <w:t>.5</w:t>
            </w:r>
            <w:r>
              <w:t> dBm/MHz</w:t>
            </w:r>
          </w:p>
        </w:tc>
        <w:tc>
          <w:tcPr>
            <w:tcW w:w="1360" w:type="dxa"/>
          </w:tcPr>
          <w:p w14:paraId="7497D895" w14:textId="77777777" w:rsidR="00A83DEE" w:rsidRPr="00A83DEE" w:rsidRDefault="00A83DEE" w:rsidP="000A69BD">
            <w:pPr>
              <w:pStyle w:val="ECCTabletext"/>
              <w:jc w:val="left"/>
            </w:pPr>
            <w:r>
              <w:t>3</w:t>
            </w:r>
            <w:r w:rsidR="00E84DB9">
              <w:t>1</w:t>
            </w:r>
            <w:r>
              <w:t> dBm</w:t>
            </w:r>
          </w:p>
        </w:tc>
        <w:tc>
          <w:tcPr>
            <w:tcW w:w="1360" w:type="dxa"/>
          </w:tcPr>
          <w:p w14:paraId="005CCA33" w14:textId="77777777" w:rsidR="00A83DEE" w:rsidRPr="00A83DEE" w:rsidRDefault="00A83DEE" w:rsidP="000A69BD">
            <w:pPr>
              <w:pStyle w:val="ECCTabletext"/>
              <w:jc w:val="left"/>
            </w:pPr>
            <w:r w:rsidRPr="00497690">
              <w:t>20 dB</w:t>
            </w:r>
          </w:p>
        </w:tc>
      </w:tr>
      <w:tr w:rsidR="00A83DEE" w:rsidRPr="00C53FB5" w14:paraId="5F274943" w14:textId="77777777" w:rsidTr="00A83DEE">
        <w:tc>
          <w:tcPr>
            <w:tcW w:w="1838" w:type="dxa"/>
          </w:tcPr>
          <w:p w14:paraId="77244288" w14:textId="77777777" w:rsidR="00A83DEE" w:rsidRPr="00A83DEE" w:rsidRDefault="00A83DEE" w:rsidP="000A69BD">
            <w:pPr>
              <w:pStyle w:val="ECCTabletext"/>
              <w:jc w:val="left"/>
            </w:pPr>
            <w:r w:rsidRPr="00C53FB5">
              <w:t>134 to 141 GHz</w:t>
            </w:r>
          </w:p>
        </w:tc>
        <w:tc>
          <w:tcPr>
            <w:tcW w:w="1569" w:type="dxa"/>
          </w:tcPr>
          <w:p w14:paraId="451960B1" w14:textId="77777777" w:rsidR="00A83DEE" w:rsidRPr="00A83DEE" w:rsidRDefault="00A83DEE" w:rsidP="000A69BD">
            <w:pPr>
              <w:pStyle w:val="ECCTabletext"/>
              <w:jc w:val="left"/>
            </w:pPr>
            <w:r>
              <w:t>7 GHz</w:t>
            </w:r>
          </w:p>
        </w:tc>
        <w:tc>
          <w:tcPr>
            <w:tcW w:w="1266" w:type="dxa"/>
          </w:tcPr>
          <w:p w14:paraId="799F45AE" w14:textId="27ACC14A" w:rsidR="00A83DEE" w:rsidRPr="00A83DEE" w:rsidRDefault="00A83DEE" w:rsidP="000A69BD">
            <w:pPr>
              <w:pStyle w:val="ECCTabletext"/>
              <w:jc w:val="left"/>
            </w:pPr>
            <w:r>
              <w:t>5</w:t>
            </w:r>
            <w:r w:rsidR="00F800A2">
              <w:t>%</w:t>
            </w:r>
          </w:p>
        </w:tc>
        <w:tc>
          <w:tcPr>
            <w:tcW w:w="2014" w:type="dxa"/>
          </w:tcPr>
          <w:p w14:paraId="6E412D2D" w14:textId="77777777" w:rsidR="00A83DEE" w:rsidRPr="00A83DEE" w:rsidRDefault="00A83DEE" w:rsidP="000A69BD">
            <w:pPr>
              <w:pStyle w:val="ECCTabletext"/>
              <w:jc w:val="left"/>
            </w:pPr>
            <w:r>
              <w:t>-2</w:t>
            </w:r>
            <w:r w:rsidR="00E11AAA">
              <w:t>0</w:t>
            </w:r>
            <w:r w:rsidR="00CF4994">
              <w:t>.5</w:t>
            </w:r>
            <w:r>
              <w:t> dBm/MHz</w:t>
            </w:r>
          </w:p>
        </w:tc>
        <w:tc>
          <w:tcPr>
            <w:tcW w:w="1360" w:type="dxa"/>
          </w:tcPr>
          <w:p w14:paraId="556F190C" w14:textId="77777777" w:rsidR="00A83DEE" w:rsidRPr="00A83DEE" w:rsidRDefault="00A83DEE" w:rsidP="000A69BD">
            <w:pPr>
              <w:pStyle w:val="ECCTabletext"/>
              <w:jc w:val="left"/>
            </w:pPr>
            <w:r>
              <w:t>3</w:t>
            </w:r>
            <w:r w:rsidR="00E84DB9">
              <w:t>1</w:t>
            </w:r>
            <w:r>
              <w:t> dBm</w:t>
            </w:r>
          </w:p>
        </w:tc>
        <w:tc>
          <w:tcPr>
            <w:tcW w:w="1360" w:type="dxa"/>
          </w:tcPr>
          <w:p w14:paraId="2220CB63" w14:textId="77777777" w:rsidR="00A83DEE" w:rsidRPr="00A83DEE" w:rsidRDefault="00A83DEE" w:rsidP="000A69BD">
            <w:pPr>
              <w:pStyle w:val="ECCTabletext"/>
              <w:jc w:val="left"/>
            </w:pPr>
            <w:r w:rsidRPr="00497690">
              <w:t>20 dB</w:t>
            </w:r>
          </w:p>
        </w:tc>
      </w:tr>
      <w:tr w:rsidR="00A83DEE" w:rsidRPr="00C53FB5" w14:paraId="0CF3F2E5" w14:textId="77777777" w:rsidTr="00A83DEE">
        <w:tc>
          <w:tcPr>
            <w:tcW w:w="1838" w:type="dxa"/>
          </w:tcPr>
          <w:p w14:paraId="0132874E" w14:textId="77777777" w:rsidR="00A83DEE" w:rsidRPr="00A83DEE" w:rsidRDefault="00A83DEE" w:rsidP="000A69BD">
            <w:pPr>
              <w:pStyle w:val="ECCTabletext"/>
              <w:jc w:val="left"/>
            </w:pPr>
            <w:r w:rsidRPr="00C53FB5">
              <w:t>174</w:t>
            </w:r>
            <w:r w:rsidR="00CF4994">
              <w:t>.8</w:t>
            </w:r>
            <w:r w:rsidRPr="00C53FB5">
              <w:t xml:space="preserve"> to 182 GHz</w:t>
            </w:r>
          </w:p>
        </w:tc>
        <w:tc>
          <w:tcPr>
            <w:tcW w:w="1569" w:type="dxa"/>
          </w:tcPr>
          <w:p w14:paraId="0A7D6766" w14:textId="77777777" w:rsidR="00A83DEE" w:rsidRPr="00A83DEE" w:rsidRDefault="00A64EFF" w:rsidP="000A69BD">
            <w:pPr>
              <w:pStyle w:val="ECCTabletext"/>
              <w:jc w:val="left"/>
            </w:pPr>
            <w:r>
              <w:t>1</w:t>
            </w:r>
            <w:r w:rsidR="00CF4994">
              <w:t>.5</w:t>
            </w:r>
            <w:r w:rsidR="00A83DEE">
              <w:t> GHz</w:t>
            </w:r>
          </w:p>
        </w:tc>
        <w:tc>
          <w:tcPr>
            <w:tcW w:w="1266" w:type="dxa"/>
          </w:tcPr>
          <w:p w14:paraId="07F4600B" w14:textId="2980076E" w:rsidR="00A83DEE" w:rsidRPr="00A83DEE" w:rsidRDefault="00A83DEE" w:rsidP="000A69BD">
            <w:pPr>
              <w:pStyle w:val="ECCTabletext"/>
              <w:jc w:val="left"/>
            </w:pPr>
            <w:r>
              <w:t>5</w:t>
            </w:r>
            <w:r w:rsidR="00F800A2">
              <w:t>%</w:t>
            </w:r>
          </w:p>
        </w:tc>
        <w:tc>
          <w:tcPr>
            <w:tcW w:w="2014" w:type="dxa"/>
          </w:tcPr>
          <w:p w14:paraId="45153683" w14:textId="77777777" w:rsidR="00A83DEE" w:rsidRPr="00A83DEE" w:rsidRDefault="00A83DEE" w:rsidP="000A69BD">
            <w:pPr>
              <w:pStyle w:val="ECCTabletext"/>
              <w:jc w:val="left"/>
            </w:pPr>
            <w:r>
              <w:t>-</w:t>
            </w:r>
            <w:r w:rsidR="00E11AAA">
              <w:t>13</w:t>
            </w:r>
            <w:r w:rsidR="00CF4994">
              <w:t>.8</w:t>
            </w:r>
            <w:r>
              <w:t> dBm/MHz</w:t>
            </w:r>
          </w:p>
        </w:tc>
        <w:tc>
          <w:tcPr>
            <w:tcW w:w="1360" w:type="dxa"/>
          </w:tcPr>
          <w:p w14:paraId="59D91DBC" w14:textId="77777777" w:rsidR="00A83DEE" w:rsidRPr="00A83DEE" w:rsidRDefault="00A83DEE" w:rsidP="000A69BD">
            <w:pPr>
              <w:pStyle w:val="ECCTabletext"/>
              <w:jc w:val="left"/>
            </w:pPr>
            <w:r>
              <w:t>3</w:t>
            </w:r>
            <w:r w:rsidR="00E84DB9">
              <w:t>1</w:t>
            </w:r>
            <w:r>
              <w:t> dBm</w:t>
            </w:r>
          </w:p>
        </w:tc>
        <w:tc>
          <w:tcPr>
            <w:tcW w:w="1360" w:type="dxa"/>
          </w:tcPr>
          <w:p w14:paraId="7956AB3B" w14:textId="77777777" w:rsidR="00A83DEE" w:rsidRPr="00A83DEE" w:rsidRDefault="00A83DEE" w:rsidP="000A69BD">
            <w:pPr>
              <w:pStyle w:val="ECCTabletext"/>
              <w:jc w:val="left"/>
            </w:pPr>
            <w:r w:rsidRPr="00497690">
              <w:t>20 dB</w:t>
            </w:r>
          </w:p>
        </w:tc>
      </w:tr>
      <w:tr w:rsidR="00A83DEE" w:rsidRPr="00C53FB5" w14:paraId="7194BB50" w14:textId="77777777" w:rsidTr="00A83DEE">
        <w:tc>
          <w:tcPr>
            <w:tcW w:w="1838" w:type="dxa"/>
          </w:tcPr>
          <w:p w14:paraId="05B9E36F" w14:textId="77777777" w:rsidR="00A83DEE" w:rsidRPr="00A83DEE" w:rsidRDefault="00A83DEE" w:rsidP="000A69BD">
            <w:pPr>
              <w:pStyle w:val="ECCTabletext"/>
              <w:jc w:val="left"/>
            </w:pPr>
            <w:r w:rsidRPr="00C53FB5">
              <w:t>185 to 190 GHz</w:t>
            </w:r>
          </w:p>
        </w:tc>
        <w:tc>
          <w:tcPr>
            <w:tcW w:w="1569" w:type="dxa"/>
          </w:tcPr>
          <w:p w14:paraId="4756BB31" w14:textId="77777777" w:rsidR="00A83DEE" w:rsidRPr="00A83DEE" w:rsidRDefault="00A64EFF" w:rsidP="000A69BD">
            <w:pPr>
              <w:pStyle w:val="ECCTabletext"/>
              <w:jc w:val="left"/>
            </w:pPr>
            <w:r>
              <w:t>1</w:t>
            </w:r>
            <w:r w:rsidR="00CF4994">
              <w:t>.5</w:t>
            </w:r>
            <w:r w:rsidR="00A83DEE">
              <w:t> GHz</w:t>
            </w:r>
          </w:p>
        </w:tc>
        <w:tc>
          <w:tcPr>
            <w:tcW w:w="1266" w:type="dxa"/>
          </w:tcPr>
          <w:p w14:paraId="65582489" w14:textId="2FA9CEBE" w:rsidR="00A83DEE" w:rsidRPr="00A83DEE" w:rsidRDefault="00A83DEE" w:rsidP="000A69BD">
            <w:pPr>
              <w:pStyle w:val="ECCTabletext"/>
              <w:jc w:val="left"/>
            </w:pPr>
            <w:r>
              <w:t>5</w:t>
            </w:r>
            <w:r w:rsidR="00F800A2">
              <w:t>%</w:t>
            </w:r>
          </w:p>
        </w:tc>
        <w:tc>
          <w:tcPr>
            <w:tcW w:w="2014" w:type="dxa"/>
          </w:tcPr>
          <w:p w14:paraId="017E7E87" w14:textId="77777777" w:rsidR="00A83DEE" w:rsidRPr="00A83DEE" w:rsidRDefault="00A83DEE" w:rsidP="000A69BD">
            <w:pPr>
              <w:pStyle w:val="ECCTabletext"/>
              <w:jc w:val="left"/>
            </w:pPr>
            <w:r>
              <w:t>-</w:t>
            </w:r>
            <w:r w:rsidR="00E11AAA">
              <w:t>13</w:t>
            </w:r>
            <w:r w:rsidR="00CF4994">
              <w:t>.8</w:t>
            </w:r>
            <w:r>
              <w:t> dBm/MHz</w:t>
            </w:r>
          </w:p>
        </w:tc>
        <w:tc>
          <w:tcPr>
            <w:tcW w:w="1360" w:type="dxa"/>
          </w:tcPr>
          <w:p w14:paraId="6CC8C3F4" w14:textId="77777777" w:rsidR="00A83DEE" w:rsidRPr="00A83DEE" w:rsidRDefault="00A83DEE" w:rsidP="000A69BD">
            <w:pPr>
              <w:pStyle w:val="ECCTabletext"/>
              <w:jc w:val="left"/>
            </w:pPr>
            <w:r>
              <w:t>3</w:t>
            </w:r>
            <w:r w:rsidR="00E84DB9">
              <w:t>1</w:t>
            </w:r>
            <w:r>
              <w:t> dBm</w:t>
            </w:r>
          </w:p>
        </w:tc>
        <w:tc>
          <w:tcPr>
            <w:tcW w:w="1360" w:type="dxa"/>
          </w:tcPr>
          <w:p w14:paraId="6D124959" w14:textId="77777777" w:rsidR="00A83DEE" w:rsidRDefault="00A83DEE" w:rsidP="000A69BD">
            <w:pPr>
              <w:pStyle w:val="ECCTabletext"/>
              <w:jc w:val="left"/>
            </w:pPr>
            <w:r>
              <w:t>20 dB</w:t>
            </w:r>
          </w:p>
        </w:tc>
      </w:tr>
      <w:tr w:rsidR="00A83DEE" w:rsidRPr="00C53FB5" w14:paraId="062CDC25" w14:textId="77777777" w:rsidTr="00A83DEE">
        <w:tc>
          <w:tcPr>
            <w:tcW w:w="1838" w:type="dxa"/>
          </w:tcPr>
          <w:p w14:paraId="71E2E020" w14:textId="77777777" w:rsidR="00A83DEE" w:rsidRPr="00A83DEE" w:rsidRDefault="00A83DEE" w:rsidP="000A69BD">
            <w:pPr>
              <w:pStyle w:val="ECCTabletext"/>
              <w:jc w:val="left"/>
            </w:pPr>
            <w:r w:rsidRPr="00C53FB5">
              <w:t>231</w:t>
            </w:r>
            <w:r w:rsidR="00CF4994">
              <w:t>.5</w:t>
            </w:r>
            <w:r w:rsidRPr="00C53FB5">
              <w:t xml:space="preserve"> to </w:t>
            </w:r>
            <w:r w:rsidRPr="00A83DEE">
              <w:t>250 GHz</w:t>
            </w:r>
          </w:p>
        </w:tc>
        <w:tc>
          <w:tcPr>
            <w:tcW w:w="1569" w:type="dxa"/>
          </w:tcPr>
          <w:p w14:paraId="27BD1367" w14:textId="77777777" w:rsidR="00A83DEE" w:rsidRPr="00A83DEE" w:rsidRDefault="00A83DEE" w:rsidP="000A69BD">
            <w:pPr>
              <w:pStyle w:val="ECCTabletext"/>
              <w:jc w:val="left"/>
            </w:pPr>
            <w:r>
              <w:t>15 GHz</w:t>
            </w:r>
          </w:p>
        </w:tc>
        <w:tc>
          <w:tcPr>
            <w:tcW w:w="1266" w:type="dxa"/>
          </w:tcPr>
          <w:p w14:paraId="1B9E1FED" w14:textId="206D2950" w:rsidR="00A83DEE" w:rsidRPr="00A83DEE" w:rsidRDefault="00A83DEE" w:rsidP="000A69BD">
            <w:pPr>
              <w:pStyle w:val="ECCTabletext"/>
              <w:jc w:val="left"/>
            </w:pPr>
            <w:r>
              <w:t>5</w:t>
            </w:r>
            <w:r w:rsidR="00F800A2">
              <w:t>%</w:t>
            </w:r>
          </w:p>
        </w:tc>
        <w:tc>
          <w:tcPr>
            <w:tcW w:w="2014" w:type="dxa"/>
          </w:tcPr>
          <w:p w14:paraId="1C3B81D8" w14:textId="77777777" w:rsidR="00A83DEE" w:rsidRPr="00A83DEE" w:rsidRDefault="00A83DEE" w:rsidP="000A69BD">
            <w:pPr>
              <w:pStyle w:val="ECCTabletext"/>
              <w:jc w:val="left"/>
            </w:pPr>
            <w:r>
              <w:t>-2</w:t>
            </w:r>
            <w:r w:rsidR="00E11AAA">
              <w:t>5</w:t>
            </w:r>
            <w:r w:rsidR="00CF4994">
              <w:t>.6</w:t>
            </w:r>
            <w:r>
              <w:t> dBm/MHz</w:t>
            </w:r>
          </w:p>
        </w:tc>
        <w:tc>
          <w:tcPr>
            <w:tcW w:w="1360" w:type="dxa"/>
          </w:tcPr>
          <w:p w14:paraId="31F0FE88" w14:textId="77777777" w:rsidR="00A83DEE" w:rsidRPr="00A83DEE" w:rsidRDefault="00A83DEE" w:rsidP="000A69BD">
            <w:pPr>
              <w:pStyle w:val="ECCTabletext"/>
              <w:jc w:val="left"/>
            </w:pPr>
            <w:r>
              <w:t>3</w:t>
            </w:r>
            <w:r w:rsidR="00E84DB9">
              <w:t>1</w:t>
            </w:r>
            <w:r>
              <w:t> dBm</w:t>
            </w:r>
          </w:p>
        </w:tc>
        <w:tc>
          <w:tcPr>
            <w:tcW w:w="1360" w:type="dxa"/>
          </w:tcPr>
          <w:p w14:paraId="056170B1" w14:textId="77777777" w:rsidR="00A83DEE" w:rsidRDefault="00A83DEE" w:rsidP="000A69BD">
            <w:pPr>
              <w:pStyle w:val="ECCTabletext"/>
              <w:jc w:val="left"/>
            </w:pPr>
            <w:r>
              <w:t>20 dB</w:t>
            </w:r>
          </w:p>
        </w:tc>
      </w:tr>
      <w:tr w:rsidR="00F40538" w:rsidRPr="00C53FB5" w14:paraId="36753F96" w14:textId="77777777" w:rsidTr="00200700">
        <w:tc>
          <w:tcPr>
            <w:tcW w:w="9407" w:type="dxa"/>
            <w:gridSpan w:val="6"/>
          </w:tcPr>
          <w:p w14:paraId="02062082" w14:textId="77777777" w:rsidR="00F40538" w:rsidRPr="00F40538" w:rsidRDefault="00F40538" w:rsidP="00464AE0">
            <w:pPr>
              <w:pStyle w:val="ECCTablenote"/>
            </w:pPr>
            <w:r>
              <w:t xml:space="preserve">Note 1: Assumed out-of-band attenuation of the RDI-signal in adjacent bands allocated to </w:t>
            </w:r>
            <w:r w:rsidRPr="00F40538">
              <w:t>RAS.</w:t>
            </w:r>
          </w:p>
          <w:p w14:paraId="4019BD05" w14:textId="693DFA4A" w:rsidR="00F40538" w:rsidRDefault="00F40538" w:rsidP="00464AE0">
            <w:pPr>
              <w:pStyle w:val="ECCTablenote"/>
            </w:pPr>
            <w:r w:rsidRPr="00143CCA">
              <w:t>Note 2: The duty cycle of 5</w:t>
            </w:r>
            <w:r w:rsidR="00F800A2">
              <w:t>%</w:t>
            </w:r>
            <w:r w:rsidRPr="00143CCA">
              <w:t xml:space="preserve"> is already considered in this mean e.i.r.p. </w:t>
            </w:r>
            <w:r w:rsidRPr="00F40538">
              <w:t>spectral density value. Consequently, the given mean e.i.r.p. spectral density is valid for averaging over the whole measurement cycle T</w:t>
            </w:r>
            <w:r w:rsidRPr="00F40538">
              <w:rPr>
                <w:rStyle w:val="ECCHLsubscript"/>
              </w:rPr>
              <w:t xml:space="preserve">meas_cycle </w:t>
            </w:r>
            <w:r w:rsidRPr="00F40538">
              <w:t>of the device including any T</w:t>
            </w:r>
            <w:r w:rsidRPr="00F40538">
              <w:rPr>
                <w:rStyle w:val="ECCHLsubscript"/>
              </w:rPr>
              <w:t>off</w:t>
            </w:r>
            <w:r w:rsidRPr="00F40538">
              <w:t xml:space="preserve"> times (see </w:t>
            </w:r>
            <w:r w:rsidRPr="00F40538">
              <w:fldChar w:fldCharType="begin"/>
            </w:r>
            <w:r w:rsidRPr="00F40538">
              <w:instrText xml:space="preserve"> REF _Ref8900572 \h </w:instrText>
            </w:r>
            <w:r w:rsidRPr="00F40538">
              <w:fldChar w:fldCharType="separate"/>
            </w:r>
            <w:r w:rsidR="0041125F" w:rsidRPr="006D6727">
              <w:rPr>
                <w:noProof/>
              </w:rPr>
              <w:t>Figure </w:t>
            </w:r>
            <w:r w:rsidR="0041125F">
              <w:rPr>
                <w:noProof/>
              </w:rPr>
              <w:t>36</w:t>
            </w:r>
            <w:r w:rsidRPr="00F40538">
              <w:fldChar w:fldCharType="end"/>
            </w:r>
            <w:r w:rsidRPr="00F40538">
              <w:t>).</w:t>
            </w:r>
          </w:p>
        </w:tc>
      </w:tr>
    </w:tbl>
    <w:p w14:paraId="4B153502" w14:textId="77777777" w:rsidR="00BE053A" w:rsidRDefault="00BE053A" w:rsidP="00BE053A">
      <w:pPr>
        <w:pStyle w:val="Heading3"/>
      </w:pPr>
      <w:bookmarkStart w:id="519" w:name="_Ref67389041"/>
      <w:bookmarkStart w:id="520" w:name="_Ref67389176"/>
      <w:bookmarkStart w:id="521" w:name="_Toc84325352"/>
      <w:bookmarkStart w:id="522" w:name="_Toc127346276"/>
      <w:r>
        <w:t>Results</w:t>
      </w:r>
      <w:bookmarkEnd w:id="519"/>
      <w:bookmarkEnd w:id="520"/>
      <w:bookmarkEnd w:id="521"/>
      <w:bookmarkEnd w:id="522"/>
    </w:p>
    <w:p w14:paraId="079F6D90" w14:textId="4E643FCD" w:rsidR="002876E6" w:rsidRPr="00B10E31" w:rsidRDefault="00911900" w:rsidP="002876E6">
      <w:r>
        <w:fldChar w:fldCharType="begin"/>
      </w:r>
      <w:r>
        <w:instrText xml:space="preserve"> REF _Ref67512631 \h </w:instrText>
      </w:r>
      <w:r>
        <w:fldChar w:fldCharType="separate"/>
      </w:r>
      <w:r w:rsidR="0041125F" w:rsidRPr="007C3BF5">
        <w:t>Table </w:t>
      </w:r>
      <w:r w:rsidR="0041125F">
        <w:rPr>
          <w:noProof/>
        </w:rPr>
        <w:t>53</w:t>
      </w:r>
      <w:r>
        <w:fldChar w:fldCharType="end"/>
      </w:r>
      <w:r>
        <w:t xml:space="preserve"> </w:t>
      </w:r>
      <w:r w:rsidR="002876E6" w:rsidRPr="00B10E31">
        <w:t xml:space="preserve">shows the single-entry </w:t>
      </w:r>
      <w:r w:rsidR="00791D2C">
        <w:t>worst</w:t>
      </w:r>
      <w:r w:rsidR="002876E6" w:rsidRPr="00B10E31">
        <w:t>-case results for RDI, e.g. the largest separation distances for the individual frequency ranges, and RAS victim sensor types.</w:t>
      </w:r>
    </w:p>
    <w:p w14:paraId="0A3AED01" w14:textId="71200EA2" w:rsidR="002876E6" w:rsidRDefault="007C3BF5" w:rsidP="002876E6">
      <w:pPr>
        <w:pStyle w:val="Caption"/>
        <w:rPr>
          <w:rStyle w:val="ECCParagraph"/>
        </w:rPr>
      </w:pPr>
      <w:bookmarkStart w:id="523" w:name="_Ref67512631"/>
      <w:r w:rsidRPr="007C3BF5">
        <w:t>Table </w:t>
      </w:r>
      <w:r>
        <w:fldChar w:fldCharType="begin"/>
      </w:r>
      <w:r>
        <w:instrText>SEQ Table \* ARABIC</w:instrText>
      </w:r>
      <w:r>
        <w:fldChar w:fldCharType="separate"/>
      </w:r>
      <w:r w:rsidR="004F49F9">
        <w:rPr>
          <w:noProof/>
        </w:rPr>
        <w:t>53</w:t>
      </w:r>
      <w:r>
        <w:fldChar w:fldCharType="end"/>
      </w:r>
      <w:bookmarkEnd w:id="523"/>
      <w:r w:rsidR="002876E6" w:rsidRPr="002876E6">
        <w:t>: Required separation distances determined in a single-entry study for RDI</w:t>
      </w:r>
    </w:p>
    <w:tbl>
      <w:tblPr>
        <w:tblStyle w:val="ECCTable-redheader"/>
        <w:tblW w:w="5000" w:type="pct"/>
        <w:tblInd w:w="0" w:type="dxa"/>
        <w:tblLook w:val="04A0" w:firstRow="1" w:lastRow="0" w:firstColumn="1" w:lastColumn="0" w:noHBand="0" w:noVBand="1"/>
      </w:tblPr>
      <w:tblGrid>
        <w:gridCol w:w="1980"/>
        <w:gridCol w:w="2492"/>
        <w:gridCol w:w="2582"/>
        <w:gridCol w:w="2575"/>
      </w:tblGrid>
      <w:tr w:rsidR="002876E6" w14:paraId="3F5B01C3" w14:textId="77777777" w:rsidTr="007326E5">
        <w:trPr>
          <w:cnfStyle w:val="100000000000" w:firstRow="1" w:lastRow="0" w:firstColumn="0" w:lastColumn="0" w:oddVBand="0" w:evenVBand="0" w:oddHBand="0" w:evenHBand="0" w:firstRowFirstColumn="0" w:firstRowLastColumn="0" w:lastRowFirstColumn="0" w:lastRowLastColumn="0"/>
        </w:trPr>
        <w:tc>
          <w:tcPr>
            <w:tcW w:w="1028" w:type="pct"/>
          </w:tcPr>
          <w:p w14:paraId="11A301FA" w14:textId="77777777" w:rsidR="002876E6" w:rsidRPr="002876E6" w:rsidRDefault="002876E6" w:rsidP="00876039">
            <w:pPr>
              <w:pStyle w:val="ECCTableHeaderwhitefont"/>
            </w:pPr>
            <w:r w:rsidRPr="002876E6">
              <w:t>Investigated frequency range</w:t>
            </w:r>
          </w:p>
        </w:tc>
        <w:tc>
          <w:tcPr>
            <w:tcW w:w="1294" w:type="pct"/>
          </w:tcPr>
          <w:p w14:paraId="358F99A8" w14:textId="77777777" w:rsidR="002876E6" w:rsidRPr="002876E6" w:rsidRDefault="002876E6" w:rsidP="000A69BD">
            <w:pPr>
              <w:pStyle w:val="ECCTableHeaderwhitefont"/>
            </w:pPr>
            <w:r w:rsidRPr="002876E6">
              <w:t>Allocated band for RAS</w:t>
            </w:r>
          </w:p>
        </w:tc>
        <w:tc>
          <w:tcPr>
            <w:tcW w:w="1341" w:type="pct"/>
          </w:tcPr>
          <w:p w14:paraId="61068098" w14:textId="77777777" w:rsidR="002876E6" w:rsidRPr="002876E6" w:rsidRDefault="002876E6" w:rsidP="000A69BD">
            <w:pPr>
              <w:pStyle w:val="ECCTableHeaderwhitefont"/>
            </w:pPr>
            <w:r w:rsidRPr="00B10E31">
              <w:t>Required separation distance for RAS CO</w:t>
            </w:r>
          </w:p>
        </w:tc>
        <w:tc>
          <w:tcPr>
            <w:tcW w:w="1337" w:type="pct"/>
          </w:tcPr>
          <w:p w14:paraId="51803AC2" w14:textId="77777777" w:rsidR="002876E6" w:rsidRPr="002876E6" w:rsidRDefault="002876E6" w:rsidP="000A69BD">
            <w:pPr>
              <w:pStyle w:val="ECCTableHeaderwhitefont"/>
            </w:pPr>
            <w:r w:rsidRPr="00B10E31">
              <w:t>Required separation distance for RAS SLO</w:t>
            </w:r>
          </w:p>
        </w:tc>
      </w:tr>
      <w:tr w:rsidR="002876E6" w14:paraId="45CAE7B0" w14:textId="77777777" w:rsidTr="007326E5">
        <w:tc>
          <w:tcPr>
            <w:tcW w:w="1028" w:type="pct"/>
          </w:tcPr>
          <w:p w14:paraId="215F7527" w14:textId="77777777" w:rsidR="002876E6" w:rsidRPr="002876E6" w:rsidRDefault="002876E6" w:rsidP="000A69BD">
            <w:pPr>
              <w:pStyle w:val="ECCTabletext"/>
              <w:jc w:val="left"/>
            </w:pPr>
            <w:r w:rsidRPr="00C53FB5">
              <w:t>116 to 130 GHz</w:t>
            </w:r>
          </w:p>
        </w:tc>
        <w:tc>
          <w:tcPr>
            <w:tcW w:w="1294" w:type="pct"/>
          </w:tcPr>
          <w:p w14:paraId="661E0E71" w14:textId="77777777" w:rsidR="002876E6" w:rsidRPr="002876E6" w:rsidRDefault="002876E6" w:rsidP="000A69BD">
            <w:pPr>
              <w:pStyle w:val="ECCTabletext"/>
              <w:jc w:val="left"/>
            </w:pPr>
            <w:r w:rsidRPr="00C53FB5">
              <w:t>123 to 158</w:t>
            </w:r>
            <w:r w:rsidR="00CF4994">
              <w:t>.8</w:t>
            </w:r>
            <w:r w:rsidRPr="00C53FB5">
              <w:t> GHz</w:t>
            </w:r>
            <w:r w:rsidR="00A83DEE">
              <w:t xml:space="preserve"> (In-band)</w:t>
            </w:r>
          </w:p>
        </w:tc>
        <w:tc>
          <w:tcPr>
            <w:tcW w:w="1341" w:type="pct"/>
          </w:tcPr>
          <w:p w14:paraId="2A1CE483" w14:textId="77777777" w:rsidR="002876E6" w:rsidRPr="002876E6" w:rsidRDefault="00C26A37" w:rsidP="000A69BD">
            <w:pPr>
              <w:pStyle w:val="ECCTabletext"/>
              <w:jc w:val="left"/>
            </w:pPr>
            <w:r>
              <w:t>53</w:t>
            </w:r>
            <w:r w:rsidR="00CF4994">
              <w:t>.3</w:t>
            </w:r>
            <w:r w:rsidR="002876E6" w:rsidRPr="00C53FB5">
              <w:t> km</w:t>
            </w:r>
          </w:p>
        </w:tc>
        <w:tc>
          <w:tcPr>
            <w:tcW w:w="1337" w:type="pct"/>
          </w:tcPr>
          <w:p w14:paraId="317738CD" w14:textId="77777777" w:rsidR="002876E6" w:rsidRPr="002876E6" w:rsidRDefault="00C26A37" w:rsidP="000A69BD">
            <w:pPr>
              <w:pStyle w:val="ECCTabletext"/>
              <w:jc w:val="left"/>
              <w:rPr>
                <w:highlight w:val="yellow"/>
              </w:rPr>
            </w:pPr>
            <w:r>
              <w:t>10</w:t>
            </w:r>
            <w:r w:rsidR="00CF4994">
              <w:t>.0</w:t>
            </w:r>
            <w:r w:rsidR="002876E6" w:rsidRPr="00C53FB5">
              <w:t> km</w:t>
            </w:r>
          </w:p>
        </w:tc>
      </w:tr>
      <w:tr w:rsidR="002876E6" w14:paraId="2AAE7B58" w14:textId="77777777" w:rsidTr="007326E5">
        <w:tc>
          <w:tcPr>
            <w:tcW w:w="1028" w:type="pct"/>
          </w:tcPr>
          <w:p w14:paraId="14273544" w14:textId="77777777" w:rsidR="002876E6" w:rsidRPr="002876E6" w:rsidRDefault="002876E6" w:rsidP="000A69BD">
            <w:pPr>
              <w:pStyle w:val="ECCTabletext"/>
              <w:jc w:val="left"/>
            </w:pPr>
            <w:r w:rsidRPr="00C53FB5">
              <w:t>134 to 141 GHz</w:t>
            </w:r>
          </w:p>
        </w:tc>
        <w:tc>
          <w:tcPr>
            <w:tcW w:w="1294" w:type="pct"/>
          </w:tcPr>
          <w:p w14:paraId="3F331B83" w14:textId="77777777" w:rsidR="002876E6" w:rsidRPr="002876E6" w:rsidRDefault="002876E6" w:rsidP="000A69BD">
            <w:pPr>
              <w:pStyle w:val="ECCTabletext"/>
              <w:jc w:val="left"/>
            </w:pPr>
            <w:r w:rsidRPr="00C53FB5">
              <w:t xml:space="preserve">123 to </w:t>
            </w:r>
            <w:r w:rsidRPr="002876E6">
              <w:t>158</w:t>
            </w:r>
            <w:r w:rsidR="00CF4994">
              <w:t>.5</w:t>
            </w:r>
            <w:r w:rsidRPr="002876E6">
              <w:t> GHz</w:t>
            </w:r>
            <w:r w:rsidR="00A83DEE">
              <w:t xml:space="preserve"> (In-band)</w:t>
            </w:r>
          </w:p>
        </w:tc>
        <w:tc>
          <w:tcPr>
            <w:tcW w:w="1341" w:type="pct"/>
          </w:tcPr>
          <w:p w14:paraId="26B35811" w14:textId="77777777" w:rsidR="002876E6" w:rsidRPr="002876E6" w:rsidRDefault="00C26A37" w:rsidP="000A69BD">
            <w:pPr>
              <w:pStyle w:val="ECCTabletext"/>
              <w:jc w:val="left"/>
            </w:pPr>
            <w:r>
              <w:t>63</w:t>
            </w:r>
            <w:r w:rsidR="00CF4994">
              <w:t>.0</w:t>
            </w:r>
            <w:r w:rsidR="002876E6" w:rsidRPr="00C53FB5">
              <w:t> km</w:t>
            </w:r>
          </w:p>
        </w:tc>
        <w:tc>
          <w:tcPr>
            <w:tcW w:w="1337" w:type="pct"/>
          </w:tcPr>
          <w:p w14:paraId="49465818" w14:textId="77777777" w:rsidR="002876E6" w:rsidRPr="002876E6" w:rsidRDefault="002876E6" w:rsidP="000A69BD">
            <w:pPr>
              <w:pStyle w:val="ECCTabletext"/>
              <w:jc w:val="left"/>
            </w:pPr>
            <w:r w:rsidRPr="00C53FB5">
              <w:t>1</w:t>
            </w:r>
            <w:r w:rsidR="00C26A37">
              <w:t>2</w:t>
            </w:r>
            <w:r w:rsidR="00CF4994">
              <w:t>.7</w:t>
            </w:r>
            <w:r w:rsidRPr="00C53FB5">
              <w:t> km</w:t>
            </w:r>
          </w:p>
        </w:tc>
      </w:tr>
      <w:tr w:rsidR="002876E6" w14:paraId="1034A2BC" w14:textId="77777777" w:rsidTr="007326E5">
        <w:tc>
          <w:tcPr>
            <w:tcW w:w="1028" w:type="pct"/>
            <w:vMerge w:val="restart"/>
          </w:tcPr>
          <w:p w14:paraId="02BEA4A8" w14:textId="77777777" w:rsidR="002876E6" w:rsidRPr="002876E6" w:rsidRDefault="002876E6" w:rsidP="000A69BD">
            <w:pPr>
              <w:pStyle w:val="ECCTabletext"/>
              <w:jc w:val="left"/>
            </w:pPr>
            <w:r w:rsidRPr="00C53FB5">
              <w:t>174</w:t>
            </w:r>
            <w:r w:rsidR="00CF4994">
              <w:t>.8</w:t>
            </w:r>
            <w:r w:rsidRPr="00C53FB5">
              <w:t xml:space="preserve"> to 182 GHz</w:t>
            </w:r>
          </w:p>
        </w:tc>
        <w:tc>
          <w:tcPr>
            <w:tcW w:w="1294" w:type="pct"/>
          </w:tcPr>
          <w:p w14:paraId="66BF71A8" w14:textId="77777777" w:rsidR="002876E6" w:rsidRPr="002876E6" w:rsidRDefault="002876E6" w:rsidP="000A69BD">
            <w:pPr>
              <w:pStyle w:val="ECCTabletext"/>
              <w:jc w:val="left"/>
            </w:pPr>
            <w:r w:rsidRPr="00C53FB5">
              <w:t>164 to 174</w:t>
            </w:r>
            <w:r w:rsidR="00CF4994">
              <w:t>.5</w:t>
            </w:r>
            <w:r w:rsidRPr="00C53FB5">
              <w:t> GHz</w:t>
            </w:r>
            <w:r w:rsidR="00A83DEE">
              <w:t xml:space="preserve"> (OOB)</w:t>
            </w:r>
          </w:p>
        </w:tc>
        <w:tc>
          <w:tcPr>
            <w:tcW w:w="1341" w:type="pct"/>
          </w:tcPr>
          <w:p w14:paraId="597835D0" w14:textId="77777777" w:rsidR="002876E6" w:rsidRPr="002876E6" w:rsidRDefault="00264622" w:rsidP="000A69BD">
            <w:pPr>
              <w:pStyle w:val="ECCTabletext"/>
              <w:jc w:val="left"/>
            </w:pPr>
            <w:r>
              <w:t>15</w:t>
            </w:r>
            <w:r w:rsidR="00CF4994">
              <w:t>.3</w:t>
            </w:r>
            <w:r w:rsidR="002876E6" w:rsidRPr="00C53FB5">
              <w:t> km</w:t>
            </w:r>
          </w:p>
        </w:tc>
        <w:tc>
          <w:tcPr>
            <w:tcW w:w="1337" w:type="pct"/>
          </w:tcPr>
          <w:p w14:paraId="73B56019" w14:textId="77777777" w:rsidR="002876E6" w:rsidRPr="002876E6" w:rsidRDefault="00C26A37" w:rsidP="000A69BD">
            <w:pPr>
              <w:pStyle w:val="ECCTabletext"/>
              <w:jc w:val="left"/>
            </w:pPr>
            <w:r>
              <w:t>2</w:t>
            </w:r>
            <w:r w:rsidR="00CF4994">
              <w:t>.4</w:t>
            </w:r>
            <w:r w:rsidR="002876E6" w:rsidRPr="00C53FB5">
              <w:t> km</w:t>
            </w:r>
          </w:p>
        </w:tc>
      </w:tr>
      <w:tr w:rsidR="002876E6" w14:paraId="58AEC499" w14:textId="77777777" w:rsidTr="007326E5">
        <w:tc>
          <w:tcPr>
            <w:tcW w:w="1028" w:type="pct"/>
            <w:vMerge/>
          </w:tcPr>
          <w:p w14:paraId="4E53BF51" w14:textId="77777777" w:rsidR="002876E6" w:rsidRPr="00C53FB5" w:rsidRDefault="002876E6" w:rsidP="002876E6">
            <w:pPr>
              <w:pStyle w:val="ECCTabletext"/>
            </w:pPr>
          </w:p>
        </w:tc>
        <w:tc>
          <w:tcPr>
            <w:tcW w:w="1294" w:type="pct"/>
          </w:tcPr>
          <w:p w14:paraId="7DDF6907" w14:textId="77777777" w:rsidR="002876E6" w:rsidRPr="002876E6" w:rsidRDefault="002876E6" w:rsidP="000A69BD">
            <w:pPr>
              <w:pStyle w:val="ECCTabletext"/>
              <w:jc w:val="left"/>
            </w:pPr>
            <w:r w:rsidRPr="00C53FB5">
              <w:t>182 to 185 GHz</w:t>
            </w:r>
            <w:r w:rsidR="00A83DEE">
              <w:t xml:space="preserve"> (OOB)</w:t>
            </w:r>
          </w:p>
        </w:tc>
        <w:tc>
          <w:tcPr>
            <w:tcW w:w="1341" w:type="pct"/>
          </w:tcPr>
          <w:p w14:paraId="7ECD333E" w14:textId="77777777" w:rsidR="002876E6" w:rsidRPr="002876E6" w:rsidRDefault="00093F1B" w:rsidP="000A69BD">
            <w:pPr>
              <w:pStyle w:val="ECCTabletext"/>
              <w:jc w:val="left"/>
            </w:pPr>
            <w:r>
              <w:t>2</w:t>
            </w:r>
            <w:r w:rsidR="00C26A37">
              <w:t>.</w:t>
            </w:r>
            <w:r>
              <w:t>9 </w:t>
            </w:r>
            <w:r w:rsidR="002876E6" w:rsidRPr="00C53FB5">
              <w:t>km</w:t>
            </w:r>
          </w:p>
        </w:tc>
        <w:tc>
          <w:tcPr>
            <w:tcW w:w="1337" w:type="pct"/>
          </w:tcPr>
          <w:p w14:paraId="2133BB8D" w14:textId="77777777" w:rsidR="002876E6" w:rsidRPr="002876E6" w:rsidRDefault="00C26A37" w:rsidP="000A69BD">
            <w:pPr>
              <w:pStyle w:val="ECCTabletext"/>
              <w:jc w:val="left"/>
            </w:pPr>
            <w:r>
              <w:t>1</w:t>
            </w:r>
            <w:r w:rsidR="00CF4994">
              <w:t>.4</w:t>
            </w:r>
            <w:r w:rsidR="002876E6" w:rsidRPr="00C53FB5">
              <w:t> km</w:t>
            </w:r>
          </w:p>
        </w:tc>
      </w:tr>
      <w:tr w:rsidR="002876E6" w14:paraId="2A53B8AC" w14:textId="77777777" w:rsidTr="007326E5">
        <w:tc>
          <w:tcPr>
            <w:tcW w:w="1028" w:type="pct"/>
            <w:vMerge w:val="restart"/>
          </w:tcPr>
          <w:p w14:paraId="43B8FA26" w14:textId="77777777" w:rsidR="002876E6" w:rsidRPr="002876E6" w:rsidRDefault="002876E6" w:rsidP="000A69BD">
            <w:pPr>
              <w:pStyle w:val="ECCTabletext"/>
              <w:jc w:val="left"/>
            </w:pPr>
            <w:r w:rsidRPr="00C53FB5">
              <w:t>185 to 190 GHz</w:t>
            </w:r>
          </w:p>
        </w:tc>
        <w:tc>
          <w:tcPr>
            <w:tcW w:w="1294" w:type="pct"/>
          </w:tcPr>
          <w:p w14:paraId="2A61521B" w14:textId="77777777" w:rsidR="002876E6" w:rsidRPr="002876E6" w:rsidRDefault="002876E6" w:rsidP="000A69BD">
            <w:pPr>
              <w:pStyle w:val="ECCTabletext"/>
              <w:jc w:val="left"/>
            </w:pPr>
            <w:r w:rsidRPr="00C53FB5">
              <w:t>182 to 185 GHz</w:t>
            </w:r>
            <w:r w:rsidR="00A83DEE">
              <w:t xml:space="preserve"> (OOB)</w:t>
            </w:r>
          </w:p>
        </w:tc>
        <w:tc>
          <w:tcPr>
            <w:tcW w:w="1341" w:type="pct"/>
          </w:tcPr>
          <w:p w14:paraId="7297A887" w14:textId="77777777" w:rsidR="002876E6" w:rsidRPr="00093F1B" w:rsidRDefault="00C26A37" w:rsidP="000A69BD">
            <w:pPr>
              <w:pStyle w:val="ECCTabletext"/>
              <w:jc w:val="left"/>
            </w:pPr>
            <w:r w:rsidRPr="00093F1B">
              <w:t>2</w:t>
            </w:r>
            <w:r w:rsidR="00CF4994">
              <w:t>.7</w:t>
            </w:r>
            <w:r w:rsidR="002876E6" w:rsidRPr="00093F1B">
              <w:t> km</w:t>
            </w:r>
          </w:p>
        </w:tc>
        <w:tc>
          <w:tcPr>
            <w:tcW w:w="1337" w:type="pct"/>
          </w:tcPr>
          <w:p w14:paraId="3F293143" w14:textId="77777777" w:rsidR="002876E6" w:rsidRPr="00093F1B" w:rsidRDefault="00C26A37" w:rsidP="000A69BD">
            <w:pPr>
              <w:pStyle w:val="ECCTabletext"/>
              <w:jc w:val="left"/>
            </w:pPr>
            <w:r w:rsidRPr="00093F1B">
              <w:t>1</w:t>
            </w:r>
            <w:r w:rsidR="00CF4994">
              <w:t>.4</w:t>
            </w:r>
            <w:r w:rsidR="002876E6" w:rsidRPr="00093F1B">
              <w:t> km</w:t>
            </w:r>
          </w:p>
        </w:tc>
      </w:tr>
      <w:tr w:rsidR="002876E6" w14:paraId="662AE73C" w14:textId="77777777" w:rsidTr="007326E5">
        <w:tc>
          <w:tcPr>
            <w:tcW w:w="1028" w:type="pct"/>
            <w:vMerge/>
          </w:tcPr>
          <w:p w14:paraId="68E07673" w14:textId="77777777" w:rsidR="002876E6" w:rsidRPr="00C53FB5" w:rsidRDefault="002876E6" w:rsidP="002876E6">
            <w:pPr>
              <w:pStyle w:val="ECCTabletext"/>
            </w:pPr>
          </w:p>
        </w:tc>
        <w:tc>
          <w:tcPr>
            <w:tcW w:w="1294" w:type="pct"/>
          </w:tcPr>
          <w:p w14:paraId="062CFD10" w14:textId="77777777" w:rsidR="002876E6" w:rsidRPr="002876E6" w:rsidRDefault="002876E6" w:rsidP="000A69BD">
            <w:pPr>
              <w:pStyle w:val="ECCTabletext"/>
              <w:jc w:val="left"/>
            </w:pPr>
            <w:r w:rsidRPr="00C53FB5">
              <w:t>190 to 231</w:t>
            </w:r>
            <w:r w:rsidR="00CF4994">
              <w:t>.5</w:t>
            </w:r>
            <w:r w:rsidRPr="00C53FB5">
              <w:t> GHz</w:t>
            </w:r>
            <w:r w:rsidR="00A83DEE">
              <w:t xml:space="preserve"> (OOB)</w:t>
            </w:r>
          </w:p>
        </w:tc>
        <w:tc>
          <w:tcPr>
            <w:tcW w:w="1341" w:type="pct"/>
          </w:tcPr>
          <w:p w14:paraId="06F4F5C7" w14:textId="77777777" w:rsidR="002876E6" w:rsidRPr="00093F1B" w:rsidRDefault="00093F1B" w:rsidP="000A69BD">
            <w:pPr>
              <w:pStyle w:val="ECCTabletext"/>
              <w:jc w:val="left"/>
            </w:pPr>
            <w:r>
              <w:t>9</w:t>
            </w:r>
            <w:r w:rsidR="00CF4994">
              <w:t>.6</w:t>
            </w:r>
            <w:r w:rsidR="002876E6" w:rsidRPr="00093F1B">
              <w:t> km</w:t>
            </w:r>
          </w:p>
        </w:tc>
        <w:tc>
          <w:tcPr>
            <w:tcW w:w="1337" w:type="pct"/>
          </w:tcPr>
          <w:p w14:paraId="7E859826" w14:textId="77777777" w:rsidR="002876E6" w:rsidRPr="00093F1B" w:rsidRDefault="00C26A37" w:rsidP="000A69BD">
            <w:pPr>
              <w:pStyle w:val="ECCTabletext"/>
              <w:jc w:val="left"/>
            </w:pPr>
            <w:r w:rsidRPr="00093F1B">
              <w:t>1</w:t>
            </w:r>
            <w:r w:rsidR="00CF4994">
              <w:t>.6</w:t>
            </w:r>
            <w:r w:rsidR="002876E6" w:rsidRPr="00093F1B">
              <w:t> km</w:t>
            </w:r>
          </w:p>
        </w:tc>
      </w:tr>
      <w:tr w:rsidR="002876E6" w14:paraId="1CC8F3EE" w14:textId="77777777" w:rsidTr="007326E5">
        <w:tc>
          <w:tcPr>
            <w:tcW w:w="1028" w:type="pct"/>
            <w:vMerge w:val="restart"/>
          </w:tcPr>
          <w:p w14:paraId="16F5C556" w14:textId="77777777" w:rsidR="002876E6" w:rsidRPr="002876E6" w:rsidRDefault="002876E6" w:rsidP="000A69BD">
            <w:pPr>
              <w:pStyle w:val="ECCTabletext"/>
              <w:jc w:val="left"/>
            </w:pPr>
            <w:r w:rsidRPr="00C53FB5">
              <w:t>231</w:t>
            </w:r>
            <w:r w:rsidR="00CF4994">
              <w:t>.5</w:t>
            </w:r>
            <w:r w:rsidRPr="00C53FB5">
              <w:t xml:space="preserve"> to 250 GHz</w:t>
            </w:r>
          </w:p>
        </w:tc>
        <w:tc>
          <w:tcPr>
            <w:tcW w:w="1294" w:type="pct"/>
          </w:tcPr>
          <w:p w14:paraId="6DA0343A" w14:textId="77777777" w:rsidR="002876E6" w:rsidRPr="002876E6" w:rsidRDefault="002876E6" w:rsidP="000A69BD">
            <w:pPr>
              <w:pStyle w:val="ECCTabletext"/>
              <w:jc w:val="left"/>
            </w:pPr>
            <w:r w:rsidRPr="00C53FB5">
              <w:t>190 to 231</w:t>
            </w:r>
            <w:r w:rsidR="00CF4994">
              <w:t>.5</w:t>
            </w:r>
            <w:r w:rsidRPr="00C53FB5">
              <w:t> GHz</w:t>
            </w:r>
            <w:r w:rsidR="00A83DEE">
              <w:t xml:space="preserve"> (OOB)</w:t>
            </w:r>
          </w:p>
        </w:tc>
        <w:tc>
          <w:tcPr>
            <w:tcW w:w="1341" w:type="pct"/>
          </w:tcPr>
          <w:p w14:paraId="360099EB" w14:textId="77777777" w:rsidR="002876E6" w:rsidRPr="002876E6" w:rsidRDefault="00C26A37" w:rsidP="000A69BD">
            <w:pPr>
              <w:pStyle w:val="ECCTabletext"/>
              <w:jc w:val="left"/>
            </w:pPr>
            <w:r>
              <w:t>3</w:t>
            </w:r>
            <w:r w:rsidR="00CF4994">
              <w:t>.7</w:t>
            </w:r>
            <w:r w:rsidR="002876E6" w:rsidRPr="00C53FB5">
              <w:t> km</w:t>
            </w:r>
          </w:p>
        </w:tc>
        <w:tc>
          <w:tcPr>
            <w:tcW w:w="1337" w:type="pct"/>
          </w:tcPr>
          <w:p w14:paraId="501DA828" w14:textId="77777777" w:rsidR="002876E6" w:rsidRPr="002876E6" w:rsidRDefault="002876E6" w:rsidP="000A69BD">
            <w:pPr>
              <w:pStyle w:val="ECCTabletext"/>
              <w:jc w:val="left"/>
            </w:pPr>
            <w:r w:rsidRPr="00C53FB5">
              <w:t>0</w:t>
            </w:r>
            <w:r w:rsidR="00CF4994">
              <w:t>.4</w:t>
            </w:r>
            <w:r w:rsidRPr="00C53FB5">
              <w:t> km</w:t>
            </w:r>
          </w:p>
        </w:tc>
      </w:tr>
      <w:tr w:rsidR="002876E6" w14:paraId="77F08767" w14:textId="77777777" w:rsidTr="007326E5">
        <w:tc>
          <w:tcPr>
            <w:tcW w:w="1028" w:type="pct"/>
            <w:vMerge/>
          </w:tcPr>
          <w:p w14:paraId="6442AC6D" w14:textId="77777777" w:rsidR="002876E6" w:rsidRPr="00C53FB5" w:rsidRDefault="002876E6" w:rsidP="002876E6">
            <w:pPr>
              <w:pStyle w:val="ECCTabletext"/>
            </w:pPr>
          </w:p>
        </w:tc>
        <w:tc>
          <w:tcPr>
            <w:tcW w:w="1294" w:type="pct"/>
          </w:tcPr>
          <w:p w14:paraId="6CDDCFED" w14:textId="77777777" w:rsidR="002876E6" w:rsidRPr="002876E6" w:rsidRDefault="002876E6" w:rsidP="000A69BD">
            <w:pPr>
              <w:pStyle w:val="ECCTabletext"/>
              <w:jc w:val="left"/>
            </w:pPr>
            <w:r w:rsidRPr="00C53FB5">
              <w:t xml:space="preserve">235 to </w:t>
            </w:r>
            <w:r w:rsidRPr="002876E6">
              <w:t>238 GHz</w:t>
            </w:r>
            <w:r w:rsidR="00A83DEE">
              <w:t xml:space="preserve"> (In-band)</w:t>
            </w:r>
          </w:p>
        </w:tc>
        <w:tc>
          <w:tcPr>
            <w:tcW w:w="1341" w:type="pct"/>
          </w:tcPr>
          <w:p w14:paraId="147E9A61" w14:textId="77777777" w:rsidR="002876E6" w:rsidRPr="002876E6" w:rsidRDefault="00C26A37" w:rsidP="000A69BD">
            <w:pPr>
              <w:pStyle w:val="ECCTabletext"/>
              <w:jc w:val="left"/>
            </w:pPr>
            <w:r>
              <w:t>19</w:t>
            </w:r>
            <w:r w:rsidR="00CF4994">
              <w:t>.9</w:t>
            </w:r>
            <w:r w:rsidR="002876E6" w:rsidRPr="00C53FB5">
              <w:t> km</w:t>
            </w:r>
          </w:p>
        </w:tc>
        <w:tc>
          <w:tcPr>
            <w:tcW w:w="1337" w:type="pct"/>
          </w:tcPr>
          <w:p w14:paraId="57F548A3" w14:textId="77777777" w:rsidR="002876E6" w:rsidRPr="002876E6" w:rsidRDefault="002876E6" w:rsidP="000A69BD">
            <w:pPr>
              <w:pStyle w:val="ECCTabletext"/>
              <w:jc w:val="left"/>
            </w:pPr>
            <w:r w:rsidRPr="00C53FB5">
              <w:t>3</w:t>
            </w:r>
            <w:r w:rsidR="00CF4994">
              <w:t>.4</w:t>
            </w:r>
            <w:r w:rsidRPr="00C53FB5">
              <w:t> km</w:t>
            </w:r>
          </w:p>
        </w:tc>
      </w:tr>
      <w:tr w:rsidR="002876E6" w14:paraId="6F244DC2" w14:textId="77777777" w:rsidTr="007326E5">
        <w:tc>
          <w:tcPr>
            <w:tcW w:w="1028" w:type="pct"/>
            <w:vMerge/>
          </w:tcPr>
          <w:p w14:paraId="618773BA" w14:textId="77777777" w:rsidR="002876E6" w:rsidRPr="00C53FB5" w:rsidRDefault="002876E6" w:rsidP="002876E6">
            <w:pPr>
              <w:pStyle w:val="ECCTabletext"/>
            </w:pPr>
          </w:p>
        </w:tc>
        <w:tc>
          <w:tcPr>
            <w:tcW w:w="1294" w:type="pct"/>
          </w:tcPr>
          <w:p w14:paraId="246F8369" w14:textId="77777777" w:rsidR="002876E6" w:rsidRPr="002876E6" w:rsidRDefault="002876E6" w:rsidP="000A69BD">
            <w:pPr>
              <w:pStyle w:val="ECCTabletext"/>
              <w:jc w:val="left"/>
            </w:pPr>
            <w:r w:rsidRPr="00C53FB5">
              <w:t>241 to 275 GHz</w:t>
            </w:r>
            <w:r w:rsidR="00A83DEE">
              <w:t xml:space="preserve"> (In-band)</w:t>
            </w:r>
          </w:p>
        </w:tc>
        <w:tc>
          <w:tcPr>
            <w:tcW w:w="1341" w:type="pct"/>
          </w:tcPr>
          <w:p w14:paraId="651108A4" w14:textId="77777777" w:rsidR="002876E6" w:rsidRPr="002876E6" w:rsidRDefault="002876E6" w:rsidP="000A69BD">
            <w:pPr>
              <w:pStyle w:val="ECCTabletext"/>
              <w:jc w:val="left"/>
            </w:pPr>
            <w:r w:rsidRPr="00C53FB5">
              <w:t>1</w:t>
            </w:r>
            <w:r w:rsidR="00C26A37">
              <w:t>7</w:t>
            </w:r>
            <w:r w:rsidR="00CF4994">
              <w:t>.6</w:t>
            </w:r>
            <w:r w:rsidRPr="00C53FB5">
              <w:t> km</w:t>
            </w:r>
          </w:p>
        </w:tc>
        <w:tc>
          <w:tcPr>
            <w:tcW w:w="1337" w:type="pct"/>
          </w:tcPr>
          <w:p w14:paraId="59856FF1" w14:textId="77777777" w:rsidR="002876E6" w:rsidRPr="002876E6" w:rsidRDefault="002876E6" w:rsidP="000A69BD">
            <w:pPr>
              <w:pStyle w:val="ECCTabletext"/>
              <w:jc w:val="left"/>
            </w:pPr>
            <w:r w:rsidRPr="00C53FB5">
              <w:t>3</w:t>
            </w:r>
            <w:r w:rsidR="00CF4994">
              <w:t>.3</w:t>
            </w:r>
            <w:r w:rsidRPr="00C53FB5">
              <w:t> km</w:t>
            </w:r>
          </w:p>
        </w:tc>
      </w:tr>
    </w:tbl>
    <w:p w14:paraId="5EC80A2E" w14:textId="4981CC0E" w:rsidR="002876E6" w:rsidRDefault="00D77369" w:rsidP="002876E6">
      <w:r>
        <w:t xml:space="preserve">The conclusions drawn from these results can be found in </w:t>
      </w:r>
      <w:r w:rsidR="009D5FA2">
        <w:t>section</w:t>
      </w:r>
      <w:r>
        <w:t xml:space="preserve"> </w:t>
      </w:r>
      <w:r>
        <w:fldChar w:fldCharType="begin"/>
      </w:r>
      <w:r>
        <w:instrText xml:space="preserve"> REF _Ref67391716 \r \h </w:instrText>
      </w:r>
      <w:r>
        <w:fldChar w:fldCharType="separate"/>
      </w:r>
      <w:r w:rsidR="004F49F9">
        <w:t>8.2.2</w:t>
      </w:r>
      <w:r>
        <w:fldChar w:fldCharType="end"/>
      </w:r>
      <w:r>
        <w:t>.</w:t>
      </w:r>
    </w:p>
    <w:p w14:paraId="3B3B668B" w14:textId="77777777" w:rsidR="00E421AD" w:rsidRDefault="00E421AD" w:rsidP="00E421AD">
      <w:pPr>
        <w:pStyle w:val="Heading2"/>
      </w:pPr>
      <w:bookmarkStart w:id="524" w:name="_Toc36127075"/>
      <w:bookmarkStart w:id="525" w:name="_Toc84325353"/>
      <w:bookmarkStart w:id="526" w:name="_Toc127346277"/>
      <w:r w:rsidRPr="00E421AD">
        <w:t>Short</w:t>
      </w:r>
      <w:r w:rsidR="00FF50FD">
        <w:t>-</w:t>
      </w:r>
      <w:r w:rsidRPr="00E421AD">
        <w:t>range assist and Surrounding monitoring for vehicles and autonomous systems</w:t>
      </w:r>
      <w:bookmarkEnd w:id="524"/>
      <w:bookmarkEnd w:id="525"/>
      <w:bookmarkEnd w:id="526"/>
    </w:p>
    <w:p w14:paraId="70D9C88C" w14:textId="77777777" w:rsidR="00FF50FD" w:rsidRPr="00FF50FD" w:rsidRDefault="00FF50FD" w:rsidP="00FF50FD">
      <w:pPr>
        <w:pStyle w:val="Heading3"/>
      </w:pPr>
      <w:bookmarkStart w:id="527" w:name="_Toc84325354"/>
      <w:bookmarkStart w:id="528" w:name="_Toc127346278"/>
      <w:bookmarkStart w:id="529" w:name="_Hlk67922214"/>
      <w:r w:rsidRPr="00FF50FD">
        <w:t>Calculation of the effectual power of "</w:t>
      </w:r>
      <w:r>
        <w:t>Short-Range</w:t>
      </w:r>
      <w:r w:rsidRPr="00FF50FD">
        <w:t xml:space="preserve"> assist and </w:t>
      </w:r>
      <w:r>
        <w:t>Surrounding</w:t>
      </w:r>
      <w:r w:rsidRPr="00FF50FD">
        <w:t xml:space="preserve"> monitoring for vehicles and autonomous systems”</w:t>
      </w:r>
      <w:bookmarkEnd w:id="527"/>
      <w:bookmarkEnd w:id="528"/>
    </w:p>
    <w:p w14:paraId="6DEF8BD5" w14:textId="63970838" w:rsidR="00FF50FD" w:rsidRPr="00FF50FD" w:rsidRDefault="00FF50FD" w:rsidP="00FF50FD">
      <w:r w:rsidRPr="00FF50FD">
        <w:t>The following frequency bands are relevant for considering</w:t>
      </w:r>
      <w:r w:rsidRPr="00FF50FD" w:rsidDel="00C52747">
        <w:t xml:space="preserve"> </w:t>
      </w:r>
      <w:r w:rsidRPr="00FF50FD">
        <w:t>the potential for sharing (co-channel) between radio astronomy service and radio</w:t>
      </w:r>
      <w:r w:rsidR="00FD0723">
        <w:t>determination</w:t>
      </w:r>
      <w:r w:rsidRPr="00FF50FD">
        <w:t xml:space="preserve"> devices intended to be mounted on vehicles as described in section </w:t>
      </w:r>
      <w:r w:rsidRPr="00FF50FD">
        <w:fldChar w:fldCharType="begin"/>
      </w:r>
      <w:r w:rsidRPr="00FF50FD">
        <w:instrText xml:space="preserve"> REF _Ref20473265 \r \h </w:instrText>
      </w:r>
      <w:r w:rsidRPr="00FF50FD">
        <w:fldChar w:fldCharType="separate"/>
      </w:r>
      <w:r w:rsidR="004F49F9">
        <w:t>2.2.3</w:t>
      </w:r>
      <w:r w:rsidRPr="00FF50FD">
        <w:fldChar w:fldCharType="end"/>
      </w:r>
      <w:r w:rsidR="00DC5972">
        <w:t>:</w:t>
      </w:r>
    </w:p>
    <w:p w14:paraId="19D456A7" w14:textId="6DA78304" w:rsidR="00FF50FD" w:rsidRPr="00FF50FD" w:rsidRDefault="00FF50FD" w:rsidP="00FF50FD">
      <w:pPr>
        <w:pStyle w:val="ECCBulletsLv1"/>
      </w:pPr>
      <w:r w:rsidRPr="00FF50FD">
        <w:t>123-130 GHz</w:t>
      </w:r>
      <w:r w:rsidR="006A6083">
        <w:t>;</w:t>
      </w:r>
    </w:p>
    <w:p w14:paraId="020D0A48" w14:textId="172855FC" w:rsidR="00FF50FD" w:rsidRPr="00FF50FD" w:rsidRDefault="00FF50FD" w:rsidP="00FF50FD">
      <w:pPr>
        <w:pStyle w:val="ECCBulletsLv1"/>
      </w:pPr>
      <w:r w:rsidRPr="00FF50FD">
        <w:t>130-141 GHz</w:t>
      </w:r>
      <w:r w:rsidR="006A6083">
        <w:t>;</w:t>
      </w:r>
    </w:p>
    <w:p w14:paraId="495015D1" w14:textId="321244E8" w:rsidR="00FF50FD" w:rsidRPr="00FF50FD" w:rsidRDefault="00FF50FD" w:rsidP="00FF50FD">
      <w:pPr>
        <w:pStyle w:val="ECCBulletsLv1"/>
      </w:pPr>
      <w:r w:rsidRPr="00FF50FD">
        <w:t>141-148</w:t>
      </w:r>
      <w:r w:rsidR="00CF4994">
        <w:t>.5</w:t>
      </w:r>
      <w:r w:rsidRPr="00FF50FD">
        <w:t> GHz</w:t>
      </w:r>
      <w:r w:rsidR="006A6083">
        <w:t>.</w:t>
      </w:r>
    </w:p>
    <w:p w14:paraId="2061CC78" w14:textId="470EC19F" w:rsidR="00FF50FD" w:rsidRPr="00FF50FD" w:rsidRDefault="00FF50FD" w:rsidP="00FF50FD">
      <w:r w:rsidRPr="00FF50FD">
        <w:t>The radio</w:t>
      </w:r>
      <w:r w:rsidR="00DB2CAF">
        <w:t>determination</w:t>
      </w:r>
      <w:r w:rsidR="00EF0583">
        <w:t xml:space="preserve"> </w:t>
      </w:r>
      <w:r w:rsidRPr="00FF50FD">
        <w:t xml:space="preserve">device assumed is type A, and the application analysed is the one described in section </w:t>
      </w:r>
      <w:r w:rsidRPr="00FF50FD">
        <w:fldChar w:fldCharType="begin"/>
      </w:r>
      <w:r w:rsidRPr="00FF50FD">
        <w:instrText xml:space="preserve"> REF _Ref20473476 \r \h </w:instrText>
      </w:r>
      <w:r w:rsidRPr="00FF50FD">
        <w:fldChar w:fldCharType="separate"/>
      </w:r>
      <w:r w:rsidR="004F49F9">
        <w:t>2.2.3</w:t>
      </w:r>
      <w:r w:rsidRPr="00FF50FD">
        <w:fldChar w:fldCharType="end"/>
      </w:r>
      <w:r w:rsidRPr="00FF50FD">
        <w:t>.</w:t>
      </w:r>
    </w:p>
    <w:p w14:paraId="62EDE465" w14:textId="6313B78D" w:rsidR="00FF50FD" w:rsidRPr="00FF50FD" w:rsidRDefault="00FF50FD" w:rsidP="00FF50FD">
      <w:pPr>
        <w:rPr>
          <w:rStyle w:val="ECCParagraph"/>
        </w:rPr>
      </w:pPr>
      <w:r w:rsidRPr="00FF50FD">
        <w:rPr>
          <w:rStyle w:val="ECCParagraph"/>
        </w:rPr>
        <w:t xml:space="preserve">The power levels used in the simulations are derived from </w:t>
      </w:r>
      <w:r w:rsidRPr="00FF50FD">
        <w:rPr>
          <w:rStyle w:val="ECCParagraph"/>
        </w:rPr>
        <w:fldChar w:fldCharType="begin"/>
      </w:r>
      <w:r w:rsidRPr="00FF50FD">
        <w:rPr>
          <w:rStyle w:val="ECCParagraph"/>
        </w:rPr>
        <w:instrText xml:space="preserve"> REF _Ref15637850 \h  \* MERGEFORMAT </w:instrText>
      </w:r>
      <w:r w:rsidRPr="00FF50FD">
        <w:rPr>
          <w:rStyle w:val="ECCParagraph"/>
        </w:rPr>
      </w:r>
      <w:r w:rsidRPr="00FF50FD">
        <w:rPr>
          <w:rStyle w:val="ECCParagraph"/>
        </w:rPr>
        <w:fldChar w:fldCharType="separate"/>
      </w:r>
      <w:r w:rsidR="0041125F" w:rsidRPr="0041125F">
        <w:rPr>
          <w:rStyle w:val="ECCParagraph"/>
        </w:rPr>
        <w:t>Figure 16</w:t>
      </w:r>
      <w:r w:rsidRPr="00FF50FD">
        <w:rPr>
          <w:rStyle w:val="ECCParagraph"/>
        </w:rPr>
        <w:fldChar w:fldCharType="end"/>
      </w:r>
      <w:r w:rsidRPr="00FF50FD">
        <w:rPr>
          <w:rStyle w:val="ECCParagraph"/>
        </w:rPr>
        <w:t xml:space="preserve">, </w:t>
      </w:r>
      <w:r w:rsidRPr="00FF50FD">
        <w:rPr>
          <w:rStyle w:val="ECCParagraph"/>
        </w:rPr>
        <w:fldChar w:fldCharType="begin"/>
      </w:r>
      <w:r w:rsidRPr="00FF50FD">
        <w:rPr>
          <w:rStyle w:val="ECCParagraph"/>
        </w:rPr>
        <w:instrText xml:space="preserve"> REF _Ref20474269 \h  \* MERGEFORMAT </w:instrText>
      </w:r>
      <w:r w:rsidRPr="00FF50FD">
        <w:rPr>
          <w:rStyle w:val="ECCParagraph"/>
        </w:rPr>
      </w:r>
      <w:r w:rsidRPr="00FF50FD">
        <w:rPr>
          <w:rStyle w:val="ECCParagraph"/>
        </w:rPr>
        <w:fldChar w:fldCharType="separate"/>
      </w:r>
      <w:r w:rsidR="0041125F" w:rsidRPr="0041125F">
        <w:rPr>
          <w:rStyle w:val="ECCParagraph"/>
        </w:rPr>
        <w:t>Figure 17</w:t>
      </w:r>
      <w:r w:rsidRPr="00FF50FD">
        <w:rPr>
          <w:rStyle w:val="ECCParagraph"/>
        </w:rPr>
        <w:fldChar w:fldCharType="end"/>
      </w:r>
      <w:r w:rsidRPr="00FF50FD">
        <w:rPr>
          <w:rStyle w:val="ECCParagraph"/>
        </w:rPr>
        <w:t xml:space="preserve"> and </w:t>
      </w:r>
      <w:r w:rsidRPr="00FF50FD">
        <w:rPr>
          <w:rStyle w:val="ECCParagraph"/>
        </w:rPr>
        <w:fldChar w:fldCharType="begin"/>
      </w:r>
      <w:r w:rsidRPr="00FF50FD">
        <w:rPr>
          <w:rStyle w:val="ECCParagraph"/>
        </w:rPr>
        <w:instrText xml:space="preserve"> REF _Ref15637856 \h  \* MERGEFORMAT </w:instrText>
      </w:r>
      <w:r w:rsidRPr="00FF50FD">
        <w:rPr>
          <w:rStyle w:val="ECCParagraph"/>
        </w:rPr>
      </w:r>
      <w:r w:rsidRPr="00FF50FD">
        <w:rPr>
          <w:rStyle w:val="ECCParagraph"/>
        </w:rPr>
        <w:fldChar w:fldCharType="separate"/>
      </w:r>
      <w:r w:rsidR="0041125F" w:rsidRPr="0041125F">
        <w:rPr>
          <w:rStyle w:val="ECCParagraph"/>
        </w:rPr>
        <w:t>Figure 18</w:t>
      </w:r>
      <w:r w:rsidRPr="00FF50FD">
        <w:rPr>
          <w:rStyle w:val="ECCParagraph"/>
        </w:rPr>
        <w:fldChar w:fldCharType="end"/>
      </w:r>
      <w:r w:rsidRPr="00FF50FD">
        <w:rPr>
          <w:rStyle w:val="ECCParagraph"/>
        </w:rPr>
        <w:t xml:space="preserve"> in </w:t>
      </w:r>
      <w:r w:rsidR="009D5FA2">
        <w:rPr>
          <w:rStyle w:val="ECCParagraph"/>
        </w:rPr>
        <w:t>section</w:t>
      </w:r>
      <w:r w:rsidRPr="00FF50FD">
        <w:rPr>
          <w:rStyle w:val="ECCParagraph"/>
        </w:rPr>
        <w:t xml:space="preserve"> </w:t>
      </w:r>
      <w:r w:rsidRPr="00FF50FD">
        <w:rPr>
          <w:rStyle w:val="ECCParagraph"/>
        </w:rPr>
        <w:fldChar w:fldCharType="begin"/>
      </w:r>
      <w:r w:rsidRPr="00FF50FD">
        <w:rPr>
          <w:rStyle w:val="ECCParagraph"/>
        </w:rPr>
        <w:instrText xml:space="preserve"> REF _Ref20475313 \r \h </w:instrText>
      </w:r>
      <w:r w:rsidRPr="00FF50FD">
        <w:rPr>
          <w:rStyle w:val="ECCParagraph"/>
        </w:rPr>
      </w:r>
      <w:r w:rsidRPr="00FF50FD">
        <w:rPr>
          <w:rStyle w:val="ECCParagraph"/>
        </w:rPr>
        <w:fldChar w:fldCharType="separate"/>
      </w:r>
      <w:r w:rsidR="004F49F9">
        <w:rPr>
          <w:rStyle w:val="ECCParagraph"/>
        </w:rPr>
        <w:t>2.2.3</w:t>
      </w:r>
      <w:r w:rsidRPr="00FF50FD">
        <w:rPr>
          <w:rStyle w:val="ECCParagraph"/>
        </w:rPr>
        <w:fldChar w:fldCharType="end"/>
      </w:r>
      <w:r w:rsidRPr="00FF50FD">
        <w:rPr>
          <w:rStyle w:val="ECCParagraph"/>
        </w:rPr>
        <w:t xml:space="preserve"> as follows. The lowest and the highest peak power levels correspond to the cases in which the radio location device uses bandwidths of 1 GHz and 7 GHz, respectively. Given that the application under consideration is mainly intended for close detection of small objects, which implies low RCS and few centimetres of resolution, a distance of 20 m seems reasonable as detection range. From </w:t>
      </w:r>
      <w:r w:rsidR="00DB2CAF">
        <w:rPr>
          <w:rStyle w:val="ECCParagraph"/>
        </w:rPr>
        <w:fldChar w:fldCharType="begin"/>
      </w:r>
      <w:r w:rsidR="00DB2CAF">
        <w:rPr>
          <w:rStyle w:val="ECCParagraph"/>
        </w:rPr>
        <w:instrText xml:space="preserve"> REF _Ref66872326 \h </w:instrText>
      </w:r>
      <w:r w:rsidR="00DB2CAF">
        <w:rPr>
          <w:rStyle w:val="ECCParagraph"/>
        </w:rPr>
      </w:r>
      <w:r w:rsidR="00DB2CAF">
        <w:rPr>
          <w:rStyle w:val="ECCParagraph"/>
        </w:rPr>
        <w:fldChar w:fldCharType="separate"/>
      </w:r>
      <w:r w:rsidR="0041125F" w:rsidRPr="00FF50FD">
        <w:t>Figure </w:t>
      </w:r>
      <w:r w:rsidR="0041125F">
        <w:rPr>
          <w:noProof/>
        </w:rPr>
        <w:t>87</w:t>
      </w:r>
      <w:r w:rsidR="00DB2CAF">
        <w:rPr>
          <w:rStyle w:val="ECCParagraph"/>
        </w:rPr>
        <w:fldChar w:fldCharType="end"/>
      </w:r>
      <w:r w:rsidRPr="00FF50FD">
        <w:rPr>
          <w:rStyle w:val="ECCParagraph"/>
        </w:rPr>
        <w:t>, this corresponds to around 48 dBm of peak power for the case of 7 GHz bandwidth (RCS of -30 dBm²).</w:t>
      </w:r>
    </w:p>
    <w:p w14:paraId="5B5FD77F" w14:textId="77777777" w:rsidR="00FF50FD" w:rsidRPr="00FF50FD" w:rsidRDefault="00FF50FD" w:rsidP="00FF50FD">
      <w:pPr>
        <w:pStyle w:val="ECCFiguregraphcentered"/>
      </w:pPr>
      <w:r w:rsidRPr="00FF50FD">
        <w:drawing>
          <wp:inline distT="0" distB="0" distL="0" distR="0" wp14:anchorId="28508C9C" wp14:editId="0BB6A20C">
            <wp:extent cx="5062331" cy="3886423"/>
            <wp:effectExtent l="0" t="0" r="0" b="0"/>
            <wp:docPr id="201"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5085904" cy="3904520"/>
                    </a:xfrm>
                    <a:prstGeom prst="rect">
                      <a:avLst/>
                    </a:prstGeom>
                    <a:noFill/>
                    <a:ln>
                      <a:noFill/>
                    </a:ln>
                  </pic:spPr>
                </pic:pic>
              </a:graphicData>
            </a:graphic>
          </wp:inline>
        </w:drawing>
      </w:r>
    </w:p>
    <w:p w14:paraId="06DB170E" w14:textId="5D1A293F" w:rsidR="00FF50FD" w:rsidRPr="00FF50FD" w:rsidRDefault="00FF50FD" w:rsidP="00FF50FD">
      <w:pPr>
        <w:pStyle w:val="Caption"/>
      </w:pPr>
      <w:bookmarkStart w:id="530" w:name="_Ref66872326"/>
      <w:r w:rsidRPr="00FF50FD">
        <w:t>Figure </w:t>
      </w:r>
      <w:r>
        <w:fldChar w:fldCharType="begin"/>
      </w:r>
      <w:r>
        <w:instrText>SEQ Figure \* ARABIC</w:instrText>
      </w:r>
      <w:r>
        <w:fldChar w:fldCharType="separate"/>
      </w:r>
      <w:r w:rsidR="004F49F9">
        <w:rPr>
          <w:noProof/>
        </w:rPr>
        <w:t>87</w:t>
      </w:r>
      <w:r>
        <w:fldChar w:fldCharType="end"/>
      </w:r>
      <w:bookmarkEnd w:id="530"/>
      <w:r w:rsidRPr="00FF50FD">
        <w:t xml:space="preserve">: Highest and lowest requirements of peak power level for </w:t>
      </w:r>
      <w:r>
        <w:t>short</w:t>
      </w:r>
      <w:r w:rsidR="00832E5D">
        <w:t>-</w:t>
      </w:r>
      <w:r>
        <w:t>range assist</w:t>
      </w:r>
      <w:r w:rsidRPr="00FF50FD">
        <w:t xml:space="preserve"> and </w:t>
      </w:r>
      <w:r>
        <w:t>surrounding</w:t>
      </w:r>
      <w:r w:rsidRPr="00FF50FD">
        <w:t xml:space="preserve"> monitoring radars for vehicles</w:t>
      </w:r>
    </w:p>
    <w:p w14:paraId="1E10277D" w14:textId="77777777" w:rsidR="00FF50FD" w:rsidRPr="00FF50FD" w:rsidRDefault="00FF50FD" w:rsidP="00FF50FD">
      <w:r w:rsidRPr="00FF50FD">
        <w:t>The case of a radar using smaller bandwidth typically corresponds to the detection of targets at larger distance from the vehicle performing autonomous functions. In this case, the radar does not require a precise resolution; therefore, a smaller bandwidth would be enough. Given that e.i.r.p. level considered in this study corresponds to the most demanding application in terms of range resolution and target RCS, the same value can be preserved for devices using smaller bandwidths. This leads to different e.i.r.p. density levels for different bandwidths (1 GHz and 7 GHz) but to a single e.i.r.p. value that is not bandwidth dependent.</w:t>
      </w:r>
    </w:p>
    <w:p w14:paraId="6CC7B11C" w14:textId="77777777" w:rsidR="00FF50FD" w:rsidRPr="00FF50FD" w:rsidRDefault="00FF50FD" w:rsidP="00FF50FD">
      <w:pPr>
        <w:pStyle w:val="Heading3"/>
      </w:pPr>
      <w:bookmarkStart w:id="531" w:name="_Toc84325355"/>
      <w:bookmarkStart w:id="532" w:name="_Toc127346279"/>
      <w:r w:rsidRPr="00FF50FD">
        <w:t>Bandwidth correction factor</w:t>
      </w:r>
      <w:bookmarkEnd w:id="531"/>
      <w:bookmarkEnd w:id="532"/>
    </w:p>
    <w:p w14:paraId="43E2830C" w14:textId="77777777" w:rsidR="00FF50FD" w:rsidRPr="00FF50FD" w:rsidRDefault="00FF50FD" w:rsidP="00FF50FD">
      <w:r w:rsidRPr="00FF50FD">
        <w:t>Given that the bandwidth values considered for this application range between 1 GHz and 7GHz, and that the RAS power threshold is provided for a reference bandwidth of 8 GHz, there is no need to apply a bandwidth correction for the calculation of the effective power falling into the RAS frequency band.</w:t>
      </w:r>
    </w:p>
    <w:p w14:paraId="63CA3135" w14:textId="77777777" w:rsidR="00FF50FD" w:rsidRPr="00FF50FD" w:rsidRDefault="00FF50FD" w:rsidP="00FF50FD">
      <w:pPr>
        <w:pStyle w:val="Heading3"/>
      </w:pPr>
      <w:bookmarkStart w:id="533" w:name="_Toc84325356"/>
      <w:bookmarkStart w:id="534" w:name="_Toc127346280"/>
      <w:r w:rsidRPr="00FF50FD">
        <w:t>Duty cycle</w:t>
      </w:r>
      <w:bookmarkEnd w:id="533"/>
      <w:bookmarkEnd w:id="534"/>
    </w:p>
    <w:p w14:paraId="5ECEB3E4" w14:textId="2E6D844C" w:rsidR="00FF50FD" w:rsidRPr="00FF50FD" w:rsidRDefault="00FF50FD" w:rsidP="00FF50FD">
      <w:r w:rsidRPr="00FF50FD">
        <w:t xml:space="preserve">The typical duty cycle values from </w:t>
      </w:r>
      <w:r w:rsidRPr="00FF50FD">
        <w:fldChar w:fldCharType="begin"/>
      </w:r>
      <w:r w:rsidRPr="00FF50FD">
        <w:instrText xml:space="preserve"> REF _Ref15636231 \h </w:instrText>
      </w:r>
      <w:r w:rsidRPr="00FF50FD">
        <w:fldChar w:fldCharType="separate"/>
      </w:r>
      <w:r w:rsidR="0041125F" w:rsidRPr="006D6727">
        <w:rPr>
          <w:noProof/>
        </w:rPr>
        <w:t>Table </w:t>
      </w:r>
      <w:r w:rsidR="0041125F">
        <w:rPr>
          <w:noProof/>
        </w:rPr>
        <w:t>18</w:t>
      </w:r>
      <w:r w:rsidRPr="00FF50FD">
        <w:fldChar w:fldCharType="end"/>
      </w:r>
      <w:r w:rsidRPr="00FF50FD">
        <w:t xml:space="preserve"> range from 30</w:t>
      </w:r>
      <w:r w:rsidR="00F800A2">
        <w:t>%</w:t>
      </w:r>
      <w:r w:rsidRPr="00FF50FD">
        <w:t xml:space="preserve"> to 50</w:t>
      </w:r>
      <w:r w:rsidR="00F800A2">
        <w:t>%</w:t>
      </w:r>
      <w:r w:rsidRPr="00FF50FD">
        <w:t xml:space="preserve"> for the considered type of radars. The highest duty cycle 50</w:t>
      </w:r>
      <w:r w:rsidR="00F800A2">
        <w:t>%</w:t>
      </w:r>
      <w:r w:rsidRPr="00FF50FD">
        <w:t xml:space="preserve"> leads to a mean power level of 45 dBm. Using the 10 dBi antenna gain from </w:t>
      </w:r>
      <w:r w:rsidRPr="00FF50FD">
        <w:rPr>
          <w:highlight w:val="yellow"/>
        </w:rPr>
        <w:fldChar w:fldCharType="begin"/>
      </w:r>
      <w:r w:rsidRPr="00FF50FD">
        <w:instrText xml:space="preserve"> REF _Ref15636231 \h </w:instrText>
      </w:r>
      <w:r w:rsidRPr="00FF50FD">
        <w:rPr>
          <w:highlight w:val="yellow"/>
        </w:rPr>
      </w:r>
      <w:r w:rsidRPr="00FF50FD">
        <w:rPr>
          <w:highlight w:val="yellow"/>
        </w:rPr>
        <w:fldChar w:fldCharType="separate"/>
      </w:r>
      <w:r w:rsidR="0041125F" w:rsidRPr="006D6727">
        <w:rPr>
          <w:noProof/>
        </w:rPr>
        <w:t>Table </w:t>
      </w:r>
      <w:r w:rsidR="0041125F">
        <w:rPr>
          <w:noProof/>
        </w:rPr>
        <w:t>18</w:t>
      </w:r>
      <w:r w:rsidRPr="00FF50FD">
        <w:rPr>
          <w:highlight w:val="yellow"/>
        </w:rPr>
        <w:fldChar w:fldCharType="end"/>
      </w:r>
      <w:r w:rsidRPr="00FF50FD">
        <w:t>, the mean e.i.r.p. is calculated 55 dBm for a bandwidth ranging from 1 to 7 GHz.</w:t>
      </w:r>
    </w:p>
    <w:p w14:paraId="3AD81269" w14:textId="77777777" w:rsidR="00FF50FD" w:rsidRPr="00FF50FD" w:rsidRDefault="00FF50FD" w:rsidP="00FF50FD">
      <w:pPr>
        <w:pStyle w:val="Heading3"/>
      </w:pPr>
      <w:bookmarkStart w:id="535" w:name="_Toc84325357"/>
      <w:bookmarkStart w:id="536" w:name="_Toc127346281"/>
      <w:r w:rsidRPr="00FF50FD">
        <w:t>Antenna pointing</w:t>
      </w:r>
      <w:bookmarkEnd w:id="535"/>
      <w:bookmarkEnd w:id="536"/>
    </w:p>
    <w:p w14:paraId="0E472528" w14:textId="6509B541" w:rsidR="00FF50FD" w:rsidRPr="00FF50FD" w:rsidRDefault="00FF50FD" w:rsidP="00FF50FD">
      <w:r w:rsidRPr="00FF50FD">
        <w:t>The offset between the main lobe of the transmitting antenna (radio</w:t>
      </w:r>
      <w:r w:rsidR="00FD0723">
        <w:t>determination</w:t>
      </w:r>
      <w:r w:rsidRPr="00FF50FD">
        <w:t xml:space="preserve"> device) and the direction of the RAS station should be considered to calculate the “effective power” level that can actually reach the RAS station. This is due to the fact that the results in section </w:t>
      </w:r>
      <w:r w:rsidRPr="00FF50FD">
        <w:rPr>
          <w:highlight w:val="yellow"/>
        </w:rPr>
        <w:fldChar w:fldCharType="begin"/>
      </w:r>
      <w:r w:rsidRPr="00FF50FD">
        <w:instrText xml:space="preserve"> REF _Ref17906293 \r \h </w:instrText>
      </w:r>
      <w:r w:rsidRPr="00FF50FD">
        <w:rPr>
          <w:highlight w:val="yellow"/>
        </w:rPr>
      </w:r>
      <w:r w:rsidRPr="00FF50FD">
        <w:rPr>
          <w:highlight w:val="yellow"/>
        </w:rPr>
        <w:fldChar w:fldCharType="separate"/>
      </w:r>
      <w:r w:rsidR="004F49F9">
        <w:t>4.12</w:t>
      </w:r>
      <w:r w:rsidRPr="00FF50FD">
        <w:rPr>
          <w:highlight w:val="yellow"/>
        </w:rPr>
        <w:fldChar w:fldCharType="end"/>
      </w:r>
      <w:r w:rsidRPr="00FF50FD">
        <w:t xml:space="preserve"> consider that the radar antenna is pointing towards the RAS station with its main beam (maximum antenna gain). This offset is application-dependant. The effective power is considered to reach the RAS antenna through its sidelobe. For the case of automotive radars, the following analysis was performed for </w:t>
      </w:r>
      <w:r>
        <w:t>the French NOEMA site.</w:t>
      </w:r>
    </w:p>
    <w:p w14:paraId="5A692F4B" w14:textId="2484D89C" w:rsidR="00FF50FD" w:rsidRPr="00FF50FD" w:rsidRDefault="00FF50FD" w:rsidP="00FF50FD">
      <w:r w:rsidRPr="00FF50FD">
        <w:t>The terrain profile around the RAS station was used to analyse the possible locations from which automotive radars could be in line of sight with the station. This was done, by using the data base of the French roads ROUTE 500 by IGN</w:t>
      </w:r>
      <w:r w:rsidRPr="00FF50FD">
        <w:rPr>
          <w:rStyle w:val="FootnoteReference"/>
        </w:rPr>
        <w:footnoteReference w:id="7"/>
      </w:r>
      <w:r w:rsidRPr="00FF50FD">
        <w:t xml:space="preserve">. In </w:t>
      </w:r>
      <w:r w:rsidR="00DB2CAF">
        <w:rPr>
          <w:highlight w:val="yellow"/>
        </w:rPr>
        <w:fldChar w:fldCharType="begin"/>
      </w:r>
      <w:r w:rsidR="00DB2CAF">
        <w:instrText xml:space="preserve"> REF _Ref66872591 \h </w:instrText>
      </w:r>
      <w:r w:rsidR="00DB2CAF">
        <w:rPr>
          <w:highlight w:val="yellow"/>
        </w:rPr>
      </w:r>
      <w:r w:rsidR="00DB2CAF">
        <w:rPr>
          <w:highlight w:val="yellow"/>
        </w:rPr>
        <w:fldChar w:fldCharType="separate"/>
      </w:r>
      <w:r w:rsidR="0041125F" w:rsidRPr="00FF50FD">
        <w:t>Figure </w:t>
      </w:r>
      <w:r w:rsidR="0041125F">
        <w:rPr>
          <w:noProof/>
        </w:rPr>
        <w:t>88</w:t>
      </w:r>
      <w:r w:rsidR="00DB2CAF">
        <w:rPr>
          <w:highlight w:val="yellow"/>
        </w:rPr>
        <w:fldChar w:fldCharType="end"/>
      </w:r>
      <w:r w:rsidRPr="00FF50FD">
        <w:t>, the RAS station is represented by the red point and the roads are presented in blue. The points represented in orange are both located on the roads and in line of sight (LOS) of the RAS station.</w:t>
      </w:r>
    </w:p>
    <w:p w14:paraId="10484031" w14:textId="77777777" w:rsidR="00FF50FD" w:rsidRPr="00FF50FD" w:rsidRDefault="00FF50FD" w:rsidP="00FF50FD">
      <w:r w:rsidRPr="00FF50FD">
        <w:rPr>
          <w:noProof/>
          <w:lang w:val="de-DE" w:eastAsia="de-DE"/>
        </w:rPr>
        <w:drawing>
          <wp:inline distT="0" distB="0" distL="0" distR="0" wp14:anchorId="65EAA606" wp14:editId="75F02D56">
            <wp:extent cx="3183013" cy="2246948"/>
            <wp:effectExtent l="0" t="0" r="0" b="1270"/>
            <wp:docPr id="20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hqprint">
                      <a:extLst>
                        <a:ext uri="{28A0092B-C50C-407E-A947-70E740481C1C}">
                          <a14:useLocalDpi xmlns:a14="http://schemas.microsoft.com/office/drawing/2010/main"/>
                        </a:ext>
                      </a:extLst>
                    </a:blip>
                    <a:srcRect l="8268" r="6932"/>
                    <a:stretch/>
                  </pic:blipFill>
                  <pic:spPr bwMode="auto">
                    <a:xfrm>
                      <a:off x="0" y="0"/>
                      <a:ext cx="3213681" cy="2268597"/>
                    </a:xfrm>
                    <a:prstGeom prst="rect">
                      <a:avLst/>
                    </a:prstGeom>
                    <a:ln>
                      <a:noFill/>
                    </a:ln>
                    <a:extLst>
                      <a:ext uri="{53640926-AAD7-44D8-BBD7-CCE9431645EC}">
                        <a14:shadowObscured xmlns:a14="http://schemas.microsoft.com/office/drawing/2010/main"/>
                      </a:ext>
                    </a:extLst>
                  </pic:spPr>
                </pic:pic>
              </a:graphicData>
            </a:graphic>
          </wp:inline>
        </w:drawing>
      </w:r>
      <w:r w:rsidRPr="00FF50FD">
        <w:rPr>
          <w:noProof/>
          <w:lang w:val="de-DE" w:eastAsia="de-DE"/>
        </w:rPr>
        <w:drawing>
          <wp:inline distT="0" distB="0" distL="0" distR="0" wp14:anchorId="1A08316F" wp14:editId="475D2619">
            <wp:extent cx="2924175" cy="2330436"/>
            <wp:effectExtent l="0" t="0" r="0" b="0"/>
            <wp:docPr id="20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2956454" cy="2356161"/>
                    </a:xfrm>
                    <a:prstGeom prst="rect">
                      <a:avLst/>
                    </a:prstGeom>
                    <a:noFill/>
                    <a:ln>
                      <a:noFill/>
                    </a:ln>
                    <a:extLst>
                      <a:ext uri="{53640926-AAD7-44D8-BBD7-CCE9431645EC}">
                        <a14:shadowObscured xmlns:a14="http://schemas.microsoft.com/office/drawing/2010/main"/>
                      </a:ext>
                    </a:extLst>
                  </pic:spPr>
                </pic:pic>
              </a:graphicData>
            </a:graphic>
          </wp:inline>
        </w:drawing>
      </w:r>
    </w:p>
    <w:p w14:paraId="3ED35983" w14:textId="77777777" w:rsidR="00FF50FD" w:rsidRPr="00FF50FD" w:rsidRDefault="00FF50FD" w:rsidP="00FF50FD">
      <w:pPr>
        <w:pStyle w:val="Caption"/>
      </w:pPr>
      <w:r w:rsidRPr="00FF50FD">
        <w:rPr>
          <w:noProof/>
          <w:lang w:val="de-DE" w:eastAsia="de-DE"/>
        </w:rPr>
        <w:drawing>
          <wp:inline distT="0" distB="0" distL="0" distR="0" wp14:anchorId="5B8B5E74" wp14:editId="0CB36C06">
            <wp:extent cx="3716216" cy="2438137"/>
            <wp:effectExtent l="0" t="0" r="0" b="635"/>
            <wp:docPr id="20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3740409" cy="2454009"/>
                    </a:xfrm>
                    <a:prstGeom prst="rect">
                      <a:avLst/>
                    </a:prstGeom>
                    <a:ln>
                      <a:noFill/>
                    </a:ln>
                    <a:extLst>
                      <a:ext uri="{53640926-AAD7-44D8-BBD7-CCE9431645EC}">
                        <a14:shadowObscured xmlns:a14="http://schemas.microsoft.com/office/drawing/2010/main"/>
                      </a:ext>
                    </a:extLst>
                  </pic:spPr>
                </pic:pic>
              </a:graphicData>
            </a:graphic>
          </wp:inline>
        </w:drawing>
      </w:r>
    </w:p>
    <w:p w14:paraId="4D1DDBE4" w14:textId="119880E4" w:rsidR="00FF50FD" w:rsidRPr="00FF50FD" w:rsidRDefault="00FF50FD" w:rsidP="00FF50FD">
      <w:pPr>
        <w:pStyle w:val="Caption"/>
      </w:pPr>
      <w:bookmarkStart w:id="537" w:name="_Ref66872591"/>
      <w:r w:rsidRPr="00FF50FD">
        <w:t>Figure </w:t>
      </w:r>
      <w:r>
        <w:fldChar w:fldCharType="begin"/>
      </w:r>
      <w:r>
        <w:instrText>SEQ Figure \* ARABIC</w:instrText>
      </w:r>
      <w:r>
        <w:fldChar w:fldCharType="separate"/>
      </w:r>
      <w:r w:rsidR="004F49F9">
        <w:rPr>
          <w:noProof/>
        </w:rPr>
        <w:t>88</w:t>
      </w:r>
      <w:r>
        <w:fldChar w:fldCharType="end"/>
      </w:r>
      <w:bookmarkEnd w:id="537"/>
      <w:r w:rsidRPr="00FF50FD">
        <w:t>: Terrain and road data around Noema station (France)</w:t>
      </w:r>
    </w:p>
    <w:p w14:paraId="0D89A9D9" w14:textId="3E6AAE19" w:rsidR="00FF50FD" w:rsidRPr="00FF50FD" w:rsidRDefault="00FF50FD" w:rsidP="00FF50FD">
      <w:r w:rsidRPr="00FF50FD">
        <w:t xml:space="preserve">In addition to the identification of road points in LOS with the RAS station, the elevation angle at which the station is seen from every road point was calculated using the same procedure described in section </w:t>
      </w:r>
      <w:r w:rsidRPr="00FF50FD">
        <w:rPr>
          <w:highlight w:val="yellow"/>
        </w:rPr>
        <w:fldChar w:fldCharType="begin"/>
      </w:r>
      <w:r w:rsidRPr="00FF50FD">
        <w:instrText xml:space="preserve"> REF _Ref36540326 \r \h </w:instrText>
      </w:r>
      <w:r w:rsidRPr="00FF50FD">
        <w:rPr>
          <w:highlight w:val="yellow"/>
        </w:rPr>
      </w:r>
      <w:r w:rsidRPr="00FF50FD">
        <w:rPr>
          <w:highlight w:val="yellow"/>
        </w:rPr>
        <w:fldChar w:fldCharType="separate"/>
      </w:r>
      <w:r w:rsidR="004F49F9">
        <w:t>4.11.1</w:t>
      </w:r>
      <w:r w:rsidRPr="00FF50FD">
        <w:rPr>
          <w:highlight w:val="yellow"/>
        </w:rPr>
        <w:fldChar w:fldCharType="end"/>
      </w:r>
      <w:r w:rsidRPr="00FF50FD">
        <w:t>. Then, by using the road data, the slope of the road was calculated for each of the points in LOS to estimate the orientation in the elevation plane of a vehicle on the road. The results of these calculations are presented in</w:t>
      </w:r>
      <w:r w:rsidR="00DB2CAF">
        <w:t xml:space="preserve"> </w:t>
      </w:r>
      <w:r w:rsidR="00DB2CAF">
        <w:rPr>
          <w:highlight w:val="yellow"/>
        </w:rPr>
        <w:fldChar w:fldCharType="begin"/>
      </w:r>
      <w:r w:rsidR="00DB2CAF">
        <w:rPr>
          <w:highlight w:val="yellow"/>
        </w:rPr>
        <w:instrText xml:space="preserve"> REF _Ref66872770 \h </w:instrText>
      </w:r>
      <w:r w:rsidR="00DB2CAF">
        <w:rPr>
          <w:highlight w:val="yellow"/>
        </w:rPr>
      </w:r>
      <w:r w:rsidR="00DB2CAF">
        <w:rPr>
          <w:highlight w:val="yellow"/>
        </w:rPr>
        <w:fldChar w:fldCharType="separate"/>
      </w:r>
      <w:r w:rsidR="0041125F" w:rsidRPr="00FF50FD">
        <w:t>Figure </w:t>
      </w:r>
      <w:r w:rsidR="0041125F">
        <w:rPr>
          <w:noProof/>
        </w:rPr>
        <w:t>89</w:t>
      </w:r>
      <w:r w:rsidR="00DB2CAF">
        <w:rPr>
          <w:highlight w:val="yellow"/>
        </w:rPr>
        <w:fldChar w:fldCharType="end"/>
      </w:r>
      <w:r w:rsidRPr="00FF50FD">
        <w:t>.</w:t>
      </w:r>
    </w:p>
    <w:p w14:paraId="7545B282" w14:textId="77777777" w:rsidR="00FF50FD" w:rsidRPr="00FF50FD" w:rsidRDefault="00FF50FD" w:rsidP="00FF50FD">
      <w:r w:rsidRPr="00FF50FD">
        <w:rPr>
          <w:noProof/>
          <w:lang w:val="de-DE" w:eastAsia="de-DE"/>
        </w:rPr>
        <w:drawing>
          <wp:inline distT="0" distB="0" distL="0" distR="0" wp14:anchorId="5A43DA86" wp14:editId="7823374B">
            <wp:extent cx="2957198" cy="2700000"/>
            <wp:effectExtent l="0" t="0" r="0" b="0"/>
            <wp:docPr id="20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1" cstate="screen">
                      <a:extLst>
                        <a:ext uri="{28A0092B-C50C-407E-A947-70E740481C1C}">
                          <a14:useLocalDpi xmlns:a14="http://schemas.microsoft.com/office/drawing/2010/main"/>
                        </a:ext>
                      </a:extLst>
                    </a:blip>
                    <a:srcRect l="2325" r="5897"/>
                    <a:stretch/>
                  </pic:blipFill>
                  <pic:spPr bwMode="auto">
                    <a:xfrm>
                      <a:off x="0" y="0"/>
                      <a:ext cx="2957198" cy="2700000"/>
                    </a:xfrm>
                    <a:prstGeom prst="rect">
                      <a:avLst/>
                    </a:prstGeom>
                    <a:noFill/>
                    <a:ln>
                      <a:noFill/>
                    </a:ln>
                    <a:extLst>
                      <a:ext uri="{53640926-AAD7-44D8-BBD7-CCE9431645EC}">
                        <a14:shadowObscured xmlns:a14="http://schemas.microsoft.com/office/drawing/2010/main"/>
                      </a:ext>
                    </a:extLst>
                  </pic:spPr>
                </pic:pic>
              </a:graphicData>
            </a:graphic>
          </wp:inline>
        </w:drawing>
      </w:r>
      <w:r w:rsidRPr="00FF50FD">
        <w:rPr>
          <w:noProof/>
          <w:lang w:val="de-DE" w:eastAsia="de-DE"/>
        </w:rPr>
        <w:drawing>
          <wp:inline distT="0" distB="0" distL="0" distR="0" wp14:anchorId="7A0D38AC" wp14:editId="68440535">
            <wp:extent cx="3137574" cy="2700000"/>
            <wp:effectExtent l="0" t="0" r="0" b="0"/>
            <wp:docPr id="2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2" cstate="screen">
                      <a:extLst>
                        <a:ext uri="{28A0092B-C50C-407E-A947-70E740481C1C}">
                          <a14:useLocalDpi xmlns:a14="http://schemas.microsoft.com/office/drawing/2010/main"/>
                        </a:ext>
                      </a:extLst>
                    </a:blip>
                    <a:srcRect l="5114" r="6002"/>
                    <a:stretch/>
                  </pic:blipFill>
                  <pic:spPr bwMode="auto">
                    <a:xfrm>
                      <a:off x="0" y="0"/>
                      <a:ext cx="3137574"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DDE2CC6" w14:textId="31E3AE25" w:rsidR="00FF50FD" w:rsidRPr="00FF50FD" w:rsidRDefault="00FF50FD" w:rsidP="00FF50FD">
      <w:pPr>
        <w:pStyle w:val="Caption"/>
      </w:pPr>
      <w:bookmarkStart w:id="538" w:name="_Ref66872770"/>
      <w:r w:rsidRPr="00FF50FD">
        <w:t>Figure </w:t>
      </w:r>
      <w:r>
        <w:fldChar w:fldCharType="begin"/>
      </w:r>
      <w:r>
        <w:instrText>SEQ Figure \* ARABIC</w:instrText>
      </w:r>
      <w:r>
        <w:fldChar w:fldCharType="separate"/>
      </w:r>
      <w:r w:rsidR="004F49F9">
        <w:rPr>
          <w:noProof/>
        </w:rPr>
        <w:t>89</w:t>
      </w:r>
      <w:r>
        <w:fldChar w:fldCharType="end"/>
      </w:r>
      <w:bookmarkEnd w:id="538"/>
      <w:r w:rsidRPr="00FF50FD">
        <w:t>: Analysis on pointing direction of automotive radar antenna in the elevation plane</w:t>
      </w:r>
    </w:p>
    <w:p w14:paraId="1F687209" w14:textId="2F32C294" w:rsidR="00FF50FD" w:rsidRPr="00FF50FD" w:rsidRDefault="00FF50FD" w:rsidP="00FF50FD">
      <w:r w:rsidRPr="00FF50FD">
        <w:t>The difference between the elevation angle from the road point towards the RAS station and the orientation of the vehicle at that point, determined by the road slope, is the radar antenna offset in the elevation plane. This offset is the angular difference between the radar pointing direction (in elevation) and its main beam.</w:t>
      </w:r>
      <w:r w:rsidR="00FD0723">
        <w:t xml:space="preserve"> </w:t>
      </w:r>
      <w:r w:rsidR="00FD0723">
        <w:rPr>
          <w:highlight w:val="yellow"/>
        </w:rPr>
        <w:fldChar w:fldCharType="begin"/>
      </w:r>
      <w:r w:rsidR="00FD0723">
        <w:instrText xml:space="preserve"> REF _Ref66872859 \h </w:instrText>
      </w:r>
      <w:r w:rsidR="00FD0723">
        <w:rPr>
          <w:highlight w:val="yellow"/>
        </w:rPr>
      </w:r>
      <w:r w:rsidR="00FD0723">
        <w:rPr>
          <w:highlight w:val="yellow"/>
        </w:rPr>
        <w:fldChar w:fldCharType="separate"/>
      </w:r>
      <w:r w:rsidR="0041125F" w:rsidRPr="00FF50FD">
        <w:t>Figure </w:t>
      </w:r>
      <w:r w:rsidR="0041125F">
        <w:rPr>
          <w:noProof/>
        </w:rPr>
        <w:t>90</w:t>
      </w:r>
      <w:r w:rsidR="00FD0723">
        <w:rPr>
          <w:highlight w:val="yellow"/>
        </w:rPr>
        <w:fldChar w:fldCharType="end"/>
      </w:r>
      <w:r w:rsidRPr="00FF50FD">
        <w:t xml:space="preserve"> presents the results of this calculation in the form of histogram and CDF.</w:t>
      </w:r>
    </w:p>
    <w:p w14:paraId="04EB8F67" w14:textId="77777777" w:rsidR="00FF50FD" w:rsidRPr="00FF50FD" w:rsidRDefault="00FF50FD" w:rsidP="00FF50FD">
      <w:r w:rsidRPr="00FF50FD">
        <w:rPr>
          <w:noProof/>
          <w:lang w:val="de-DE" w:eastAsia="de-DE"/>
        </w:rPr>
        <w:drawing>
          <wp:inline distT="0" distB="0" distL="0" distR="0" wp14:anchorId="1488C3A8" wp14:editId="5DC6D21B">
            <wp:extent cx="2819400" cy="2461592"/>
            <wp:effectExtent l="0" t="0" r="0" b="0"/>
            <wp:docPr id="20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3" cstate="screen">
                      <a:extLst>
                        <a:ext uri="{28A0092B-C50C-407E-A947-70E740481C1C}">
                          <a14:useLocalDpi xmlns:a14="http://schemas.microsoft.com/office/drawing/2010/main"/>
                        </a:ext>
                      </a:extLst>
                    </a:blip>
                    <a:srcRect l="5183" r="7212"/>
                    <a:stretch/>
                  </pic:blipFill>
                  <pic:spPr bwMode="auto">
                    <a:xfrm>
                      <a:off x="0" y="0"/>
                      <a:ext cx="2819400" cy="2461592"/>
                    </a:xfrm>
                    <a:prstGeom prst="rect">
                      <a:avLst/>
                    </a:prstGeom>
                    <a:noFill/>
                    <a:ln>
                      <a:noFill/>
                    </a:ln>
                    <a:extLst>
                      <a:ext uri="{53640926-AAD7-44D8-BBD7-CCE9431645EC}">
                        <a14:shadowObscured xmlns:a14="http://schemas.microsoft.com/office/drawing/2010/main"/>
                      </a:ext>
                    </a:extLst>
                  </pic:spPr>
                </pic:pic>
              </a:graphicData>
            </a:graphic>
          </wp:inline>
        </w:drawing>
      </w:r>
      <w:r w:rsidRPr="00FF50FD">
        <w:t xml:space="preserve"> </w:t>
      </w:r>
      <w:r w:rsidRPr="00FF50FD">
        <w:rPr>
          <w:noProof/>
          <w:lang w:val="de-DE" w:eastAsia="de-DE"/>
        </w:rPr>
        <w:drawing>
          <wp:inline distT="0" distB="0" distL="0" distR="0" wp14:anchorId="2F7739FD" wp14:editId="0BF87322">
            <wp:extent cx="3257550" cy="2505356"/>
            <wp:effectExtent l="0" t="0" r="0" b="0"/>
            <wp:docPr id="20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l="5369" t="1113" r="8029" b="3563"/>
                    <a:stretch/>
                  </pic:blipFill>
                  <pic:spPr bwMode="auto">
                    <a:xfrm>
                      <a:off x="0" y="0"/>
                      <a:ext cx="3258281" cy="2505918"/>
                    </a:xfrm>
                    <a:prstGeom prst="rect">
                      <a:avLst/>
                    </a:prstGeom>
                    <a:noFill/>
                    <a:ln>
                      <a:noFill/>
                    </a:ln>
                    <a:extLst>
                      <a:ext uri="{53640926-AAD7-44D8-BBD7-CCE9431645EC}">
                        <a14:shadowObscured xmlns:a14="http://schemas.microsoft.com/office/drawing/2010/main"/>
                      </a:ext>
                    </a:extLst>
                  </pic:spPr>
                </pic:pic>
              </a:graphicData>
            </a:graphic>
          </wp:inline>
        </w:drawing>
      </w:r>
    </w:p>
    <w:p w14:paraId="5BE90482" w14:textId="3CDB611C" w:rsidR="00FF50FD" w:rsidRPr="00FF50FD" w:rsidRDefault="00FF50FD" w:rsidP="00FF50FD">
      <w:pPr>
        <w:pStyle w:val="Caption"/>
      </w:pPr>
      <w:bookmarkStart w:id="539" w:name="_Ref66872859"/>
      <w:r w:rsidRPr="00FF50FD">
        <w:t>Figure </w:t>
      </w:r>
      <w:r>
        <w:fldChar w:fldCharType="begin"/>
      </w:r>
      <w:r>
        <w:instrText>SEQ Figure \* ARABIC</w:instrText>
      </w:r>
      <w:r>
        <w:fldChar w:fldCharType="separate"/>
      </w:r>
      <w:r w:rsidR="004F49F9">
        <w:rPr>
          <w:noProof/>
        </w:rPr>
        <w:t>90</w:t>
      </w:r>
      <w:r>
        <w:fldChar w:fldCharType="end"/>
      </w:r>
      <w:bookmarkEnd w:id="539"/>
      <w:r w:rsidRPr="00FF50FD">
        <w:t>: Characteristics of the automotive radar antenna de-pointing in the elevation plane</w:t>
      </w:r>
    </w:p>
    <w:p w14:paraId="155EE1DF" w14:textId="0D2763AC" w:rsidR="00FF50FD" w:rsidRPr="00FF50FD" w:rsidRDefault="00FF50FD" w:rsidP="00FF50FD">
      <w:r w:rsidRPr="00FF50FD">
        <w:t>Most of the road points in LOS are located at around 45 km south to the RAS station with elevation angles of around 2.5°. This low elevation angles are comparable to the slope of the roads in that area. Therefore, the offset angle in the elevation plane is relatively low, in the order of 1° for 90</w:t>
      </w:r>
      <w:r w:rsidR="00F800A2">
        <w:t>%</w:t>
      </w:r>
      <w:r w:rsidRPr="00FF50FD">
        <w:t xml:space="preserve"> of the points in line of sight with Noema station. The antenna pattern of the automotive radar described in </w:t>
      </w:r>
      <w:r w:rsidRPr="00FF50FD">
        <w:rPr>
          <w:highlight w:val="yellow"/>
        </w:rPr>
        <w:fldChar w:fldCharType="begin"/>
      </w:r>
      <w:r w:rsidRPr="00FF50FD">
        <w:instrText xml:space="preserve"> REF _Ref15636231 \h </w:instrText>
      </w:r>
      <w:r w:rsidRPr="00FF50FD">
        <w:rPr>
          <w:highlight w:val="yellow"/>
        </w:rPr>
      </w:r>
      <w:r w:rsidRPr="00FF50FD">
        <w:rPr>
          <w:highlight w:val="yellow"/>
        </w:rPr>
        <w:fldChar w:fldCharType="separate"/>
      </w:r>
      <w:r w:rsidR="0041125F" w:rsidRPr="006D6727">
        <w:rPr>
          <w:noProof/>
        </w:rPr>
        <w:t>Table </w:t>
      </w:r>
      <w:r w:rsidR="0041125F">
        <w:rPr>
          <w:noProof/>
        </w:rPr>
        <w:t>18</w:t>
      </w:r>
      <w:r w:rsidRPr="00FF50FD">
        <w:rPr>
          <w:highlight w:val="yellow"/>
        </w:rPr>
        <w:fldChar w:fldCharType="end"/>
      </w:r>
      <w:r w:rsidRPr="00FF50FD">
        <w:t xml:space="preserve"> for this application is particularly large in the elevation plane (60° beamwidth) as shown in </w:t>
      </w:r>
      <w:r w:rsidR="00FD0723">
        <w:fldChar w:fldCharType="begin"/>
      </w:r>
      <w:r w:rsidR="00FD0723">
        <w:instrText xml:space="preserve"> REF _Ref66872988 \h </w:instrText>
      </w:r>
      <w:r w:rsidR="00FD0723">
        <w:fldChar w:fldCharType="separate"/>
      </w:r>
      <w:r w:rsidR="0041125F" w:rsidRPr="00FF50FD">
        <w:t>Figure </w:t>
      </w:r>
      <w:r w:rsidR="0041125F">
        <w:rPr>
          <w:noProof/>
        </w:rPr>
        <w:t>91</w:t>
      </w:r>
      <w:r w:rsidR="00FD0723">
        <w:fldChar w:fldCharType="end"/>
      </w:r>
      <w:r w:rsidRPr="00FF50FD">
        <w:t>.</w:t>
      </w:r>
    </w:p>
    <w:p w14:paraId="740BD80A" w14:textId="77777777" w:rsidR="00FF50FD" w:rsidRPr="00FF50FD" w:rsidRDefault="00FF50FD" w:rsidP="00FF50FD">
      <w:pPr>
        <w:pStyle w:val="Caption"/>
      </w:pPr>
      <w:r w:rsidRPr="00FF50FD">
        <w:rPr>
          <w:noProof/>
          <w:lang w:val="de-DE" w:eastAsia="de-DE"/>
        </w:rPr>
        <w:drawing>
          <wp:inline distT="0" distB="0" distL="0" distR="0" wp14:anchorId="5565991F" wp14:editId="32DF80D3">
            <wp:extent cx="5538423" cy="3426106"/>
            <wp:effectExtent l="0" t="0" r="0" b="0"/>
            <wp:docPr id="20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583115" cy="3453753"/>
                    </a:xfrm>
                    <a:prstGeom prst="rect">
                      <a:avLst/>
                    </a:prstGeom>
                    <a:noFill/>
                    <a:ln>
                      <a:noFill/>
                    </a:ln>
                  </pic:spPr>
                </pic:pic>
              </a:graphicData>
            </a:graphic>
          </wp:inline>
        </w:drawing>
      </w:r>
    </w:p>
    <w:p w14:paraId="056BE209" w14:textId="3B70DBD6" w:rsidR="00FF50FD" w:rsidRPr="00FF50FD" w:rsidRDefault="00FF50FD" w:rsidP="00FF50FD">
      <w:pPr>
        <w:pStyle w:val="Caption"/>
      </w:pPr>
      <w:bookmarkStart w:id="540" w:name="_Ref66872988"/>
      <w:r w:rsidRPr="00FF50FD">
        <w:t>Figure </w:t>
      </w:r>
      <w:r>
        <w:fldChar w:fldCharType="begin"/>
      </w:r>
      <w:r>
        <w:instrText>SEQ Figure \* ARABIC</w:instrText>
      </w:r>
      <w:r>
        <w:fldChar w:fldCharType="separate"/>
      </w:r>
      <w:r w:rsidR="004F49F9">
        <w:rPr>
          <w:noProof/>
        </w:rPr>
        <w:t>91</w:t>
      </w:r>
      <w:r>
        <w:fldChar w:fldCharType="end"/>
      </w:r>
      <w:bookmarkEnd w:id="540"/>
      <w:r w:rsidRPr="00FF50FD">
        <w:t>: Assumed antenna pattern for radio</w:t>
      </w:r>
      <w:r w:rsidR="00FD0723">
        <w:t>determination</w:t>
      </w:r>
      <w:r w:rsidRPr="00FF50FD">
        <w:t xml:space="preserve"> devices for </w:t>
      </w:r>
      <w:r>
        <w:t>short</w:t>
      </w:r>
      <w:r w:rsidR="00832E5D">
        <w:t>-</w:t>
      </w:r>
      <w:r>
        <w:t>range</w:t>
      </w:r>
      <w:r w:rsidRPr="00FF50FD">
        <w:t xml:space="preserve"> assist and </w:t>
      </w:r>
      <w:r>
        <w:t>surrounding</w:t>
      </w:r>
      <w:r w:rsidRPr="00FF50FD">
        <w:t xml:space="preserve"> monitoring applications</w:t>
      </w:r>
    </w:p>
    <w:p w14:paraId="16CB240D" w14:textId="77777777" w:rsidR="00FF50FD" w:rsidRPr="00FF50FD" w:rsidRDefault="00FF50FD" w:rsidP="00FF50FD">
      <w:r w:rsidRPr="00FF50FD">
        <w:t>Given the limited offset in the elevation plane and the large antenna beamwidth of the radar for this application, the antenna discrimination in the elevation plane is negligible.</w:t>
      </w:r>
    </w:p>
    <w:p w14:paraId="0A32C3B8" w14:textId="64B8933B" w:rsidR="00FF50FD" w:rsidRPr="00476C10" w:rsidRDefault="00FF50FD" w:rsidP="00FF50FD">
      <w:r>
        <w:t xml:space="preserve">No dedicated analysis was conducted for </w:t>
      </w:r>
      <w:r w:rsidR="0061450F">
        <w:t xml:space="preserve">the </w:t>
      </w:r>
      <w:r>
        <w:t>Spanish IRAM</w:t>
      </w:r>
      <w:r w:rsidR="0069133D">
        <w:t xml:space="preserve"> </w:t>
      </w:r>
      <w:r>
        <w:t>30</w:t>
      </w:r>
      <w:r w:rsidR="007A20F2">
        <w:t xml:space="preserve"> </w:t>
      </w:r>
      <w:r>
        <w:t xml:space="preserve">m site but by looking at </w:t>
      </w:r>
      <w:r w:rsidR="0082594A">
        <w:fldChar w:fldCharType="begin"/>
      </w:r>
      <w:r w:rsidR="0082594A">
        <w:instrText xml:space="preserve"> REF _Ref4507331 \h </w:instrText>
      </w:r>
      <w:r w:rsidR="0082594A">
        <w:fldChar w:fldCharType="separate"/>
      </w:r>
      <w:r w:rsidR="0041125F" w:rsidRPr="006D6727">
        <w:rPr>
          <w:noProof/>
        </w:rPr>
        <w:t>Figure </w:t>
      </w:r>
      <w:r w:rsidR="0041125F">
        <w:rPr>
          <w:noProof/>
        </w:rPr>
        <w:t>92</w:t>
      </w:r>
      <w:r w:rsidR="0082594A">
        <w:fldChar w:fldCharType="end"/>
      </w:r>
      <w:r w:rsidR="0082594A">
        <w:t xml:space="preserve"> </w:t>
      </w:r>
      <w:r>
        <w:t>(IRAM</w:t>
      </w:r>
      <w:r w:rsidR="00923922">
        <w:t xml:space="preserve"> </w:t>
      </w:r>
      <w:r>
        <w:t xml:space="preserve">30 </w:t>
      </w:r>
      <w:r w:rsidR="007A20F2">
        <w:t xml:space="preserve">m </w:t>
      </w:r>
      <w:r>
        <w:t xml:space="preserve">site) and </w:t>
      </w:r>
      <w:r w:rsidR="0082594A">
        <w:fldChar w:fldCharType="begin"/>
      </w:r>
      <w:r w:rsidR="0082594A">
        <w:instrText xml:space="preserve"> REF _Ref4507344 \h </w:instrText>
      </w:r>
      <w:r w:rsidR="0082594A">
        <w:fldChar w:fldCharType="separate"/>
      </w:r>
      <w:r w:rsidR="0041125F" w:rsidRPr="006D6727">
        <w:rPr>
          <w:noProof/>
        </w:rPr>
        <w:t>Figure </w:t>
      </w:r>
      <w:r w:rsidR="0041125F">
        <w:rPr>
          <w:noProof/>
        </w:rPr>
        <w:t>93</w:t>
      </w:r>
      <w:r w:rsidR="0082594A">
        <w:fldChar w:fldCharType="end"/>
      </w:r>
      <w:r w:rsidR="0082594A">
        <w:t xml:space="preserve"> </w:t>
      </w:r>
      <w:r>
        <w:t xml:space="preserve">(NOEMA site) </w:t>
      </w:r>
      <w:r w:rsidR="00C810FC">
        <w:t>one</w:t>
      </w:r>
      <w:r>
        <w:t xml:space="preserve"> could see that the zones in line of sight are much larger and dense in the case of the IRAM</w:t>
      </w:r>
      <w:r w:rsidR="00923922">
        <w:t xml:space="preserve"> </w:t>
      </w:r>
      <w:r>
        <w:t xml:space="preserve">30 site (from </w:t>
      </w:r>
      <w:r w:rsidR="00C810FC">
        <w:t>s</w:t>
      </w:r>
      <w:r>
        <w:t>outh-</w:t>
      </w:r>
      <w:r w:rsidR="00C810FC">
        <w:t>w</w:t>
      </w:r>
      <w:r>
        <w:t xml:space="preserve">est to </w:t>
      </w:r>
      <w:r w:rsidR="00C810FC">
        <w:t>n</w:t>
      </w:r>
      <w:r>
        <w:t>orth-</w:t>
      </w:r>
      <w:r w:rsidR="00C810FC">
        <w:t>e</w:t>
      </w:r>
      <w:r>
        <w:t xml:space="preserve">ast) compared to the case of </w:t>
      </w:r>
      <w:r w:rsidR="00C810FC">
        <w:t xml:space="preserve">the </w:t>
      </w:r>
      <w:r>
        <w:t xml:space="preserve">NOEMA site. Moreover, </w:t>
      </w:r>
      <w:r w:rsidRPr="000D2E40">
        <w:t xml:space="preserve">among the many roads that start from the </w:t>
      </w:r>
      <w:r>
        <w:t>urban zone</w:t>
      </w:r>
      <w:r w:rsidRPr="000D2E40">
        <w:t xml:space="preserve"> of Granada</w:t>
      </w:r>
      <w:r>
        <w:t xml:space="preserve"> at the West of the RAS site,</w:t>
      </w:r>
      <w:r w:rsidRPr="000D2E40">
        <w:t xml:space="preserve"> there is one that leads by successive laces to the ski </w:t>
      </w:r>
      <w:r>
        <w:t>station</w:t>
      </w:r>
      <w:r w:rsidRPr="000D2E40">
        <w:t xml:space="preserve"> located at the foot of the </w:t>
      </w:r>
      <w:r>
        <w:t>IRAM</w:t>
      </w:r>
      <w:r w:rsidR="007A20F2">
        <w:t xml:space="preserve"> </w:t>
      </w:r>
      <w:r>
        <w:t>30</w:t>
      </w:r>
      <w:r w:rsidR="007A20F2">
        <w:t xml:space="preserve"> </w:t>
      </w:r>
      <w:r>
        <w:t>m</w:t>
      </w:r>
      <w:r w:rsidRPr="000D2E40">
        <w:t xml:space="preserve"> site</w:t>
      </w:r>
      <w:r>
        <w:t xml:space="preserve">. </w:t>
      </w:r>
      <w:r w:rsidR="00936361">
        <w:t>It</w:t>
      </w:r>
      <w:r>
        <w:t xml:space="preserve"> could </w:t>
      </w:r>
      <w:r w:rsidR="00310783">
        <w:t xml:space="preserve">be </w:t>
      </w:r>
      <w:r>
        <w:t>conclude</w:t>
      </w:r>
      <w:r w:rsidR="00310783">
        <w:t>d</w:t>
      </w:r>
      <w:r>
        <w:t xml:space="preserve"> that, for the consideration of </w:t>
      </w:r>
      <w:r w:rsidRPr="00F8508D">
        <w:t>the antenna discrimination in the elevation plane</w:t>
      </w:r>
      <w:r>
        <w:t>,</w:t>
      </w:r>
      <w:r w:rsidRPr="00F8508D">
        <w:t xml:space="preserve"> </w:t>
      </w:r>
      <w:r>
        <w:t>the results would be equivalent for the IRAM</w:t>
      </w:r>
      <w:r w:rsidR="00923922">
        <w:t xml:space="preserve"> </w:t>
      </w:r>
      <w:r>
        <w:t>30</w:t>
      </w:r>
      <w:r w:rsidR="007A20F2">
        <w:t xml:space="preserve"> </w:t>
      </w:r>
      <w:r>
        <w:t xml:space="preserve">m site to those </w:t>
      </w:r>
      <w:r w:rsidR="00C810FC">
        <w:t>obtained</w:t>
      </w:r>
      <w:r>
        <w:t xml:space="preserve"> for the NOEMA site.</w:t>
      </w:r>
    </w:p>
    <w:p w14:paraId="588B17C6" w14:textId="34ECB659" w:rsidR="00FF50FD" w:rsidRPr="00FF50FD" w:rsidRDefault="00FF50FD" w:rsidP="00FF50FD">
      <w:r>
        <w:t>I</w:t>
      </w:r>
      <w:r w:rsidRPr="00FF50FD">
        <w:t>n the azimuth plane</w:t>
      </w:r>
      <w:r>
        <w:t>,</w:t>
      </w:r>
      <w:r w:rsidRPr="000D2E40">
        <w:t xml:space="preserve"> </w:t>
      </w:r>
      <w:r>
        <w:t>by considering that at least seven short</w:t>
      </w:r>
      <w:r w:rsidR="00832E5D">
        <w:t>-</w:t>
      </w:r>
      <w:r>
        <w:t>range radars could be installed all</w:t>
      </w:r>
      <w:r w:rsidR="00C810FC">
        <w:t xml:space="preserve"> a</w:t>
      </w:r>
      <w:r>
        <w:t xml:space="preserve">round the car as shown </w:t>
      </w:r>
      <w:r w:rsidR="00952431">
        <w:t>in</w:t>
      </w:r>
      <w:r>
        <w:t xml:space="preserve"> </w:t>
      </w:r>
      <w:r w:rsidR="00952431">
        <w:fldChar w:fldCharType="begin"/>
      </w:r>
      <w:r w:rsidR="00952431">
        <w:instrText xml:space="preserve"> REF _Ref10021763 \h </w:instrText>
      </w:r>
      <w:r w:rsidR="00952431">
        <w:fldChar w:fldCharType="separate"/>
      </w:r>
      <w:r w:rsidR="0041125F" w:rsidRPr="006D6727">
        <w:rPr>
          <w:noProof/>
        </w:rPr>
        <w:t>Figure </w:t>
      </w:r>
      <w:r w:rsidR="0041125F">
        <w:rPr>
          <w:noProof/>
        </w:rPr>
        <w:t>15</w:t>
      </w:r>
      <w:r w:rsidR="00952431">
        <w:fldChar w:fldCharType="end"/>
      </w:r>
      <w:r w:rsidR="00952431">
        <w:t xml:space="preserve"> </w:t>
      </w:r>
      <w:r>
        <w:t xml:space="preserve">in the application scenario and that the antenna azimuth beamwidth could reach 60°, </w:t>
      </w:r>
      <w:r w:rsidR="00C810FC">
        <w:t>one</w:t>
      </w:r>
      <w:r>
        <w:t xml:space="preserve"> could conclude that no antenna discrimination c</w:t>
      </w:r>
      <w:r w:rsidR="00C810FC">
        <w:t>an</w:t>
      </w:r>
      <w:r>
        <w:t xml:space="preserve"> be considered.</w:t>
      </w:r>
    </w:p>
    <w:p w14:paraId="6B1BEE07" w14:textId="6ED6AACA" w:rsidR="00FF50FD" w:rsidRPr="00FF50FD" w:rsidRDefault="00FF50FD" w:rsidP="00FF50FD">
      <w:r w:rsidRPr="00FF50FD">
        <w:t xml:space="preserve">This analysis leads to the conclusion that for the radar antenna required for the application described in section </w:t>
      </w:r>
      <w:r w:rsidRPr="00FF50FD">
        <w:fldChar w:fldCharType="begin"/>
      </w:r>
      <w:r w:rsidRPr="00FF50FD">
        <w:instrText xml:space="preserve"> REF _Ref20473265 \r \h </w:instrText>
      </w:r>
      <w:r w:rsidRPr="00FF50FD">
        <w:fldChar w:fldCharType="separate"/>
      </w:r>
      <w:r w:rsidR="004F49F9">
        <w:t>2.2.3</w:t>
      </w:r>
      <w:r w:rsidRPr="00FF50FD">
        <w:fldChar w:fldCharType="end"/>
      </w:r>
      <w:r>
        <w:t xml:space="preserve"> and for the two </w:t>
      </w:r>
      <w:r w:rsidR="00C810FC">
        <w:t xml:space="preserve">radio astronomy </w:t>
      </w:r>
      <w:r>
        <w:t>s</w:t>
      </w:r>
      <w:r w:rsidR="00C810FC">
        <w:t>ites</w:t>
      </w:r>
      <w:r w:rsidRPr="00FF50FD">
        <w:t>, no antenna gain reduction is applicable</w:t>
      </w:r>
      <w:r w:rsidRPr="000D2E40">
        <w:t xml:space="preserve"> </w:t>
      </w:r>
      <w:r>
        <w:t>and no antenna discrimination in the azimuth and elevation planes c</w:t>
      </w:r>
      <w:r w:rsidR="000C3E76">
        <w:t>an</w:t>
      </w:r>
      <w:r>
        <w:t xml:space="preserve"> be considered</w:t>
      </w:r>
      <w:r w:rsidRPr="00FF50FD">
        <w:t>.</w:t>
      </w:r>
    </w:p>
    <w:p w14:paraId="29878059" w14:textId="77777777" w:rsidR="00FF50FD" w:rsidRPr="00FF50FD" w:rsidRDefault="00FF50FD" w:rsidP="00FF50FD">
      <w:pPr>
        <w:pStyle w:val="Heading3"/>
      </w:pPr>
      <w:bookmarkStart w:id="541" w:name="_Toc84325358"/>
      <w:bookmarkStart w:id="542" w:name="_Toc127346282"/>
      <w:r>
        <w:t>Clutter loss</w:t>
      </w:r>
      <w:bookmarkEnd w:id="541"/>
      <w:bookmarkEnd w:id="542"/>
    </w:p>
    <w:p w14:paraId="4E53AF45" w14:textId="701DC92B" w:rsidR="00FF50FD" w:rsidRDefault="00FF50FD" w:rsidP="00FF50FD">
      <w:r>
        <w:t xml:space="preserve">The available </w:t>
      </w:r>
      <w:r w:rsidR="00825F19">
        <w:t xml:space="preserve">Recommendation ITU-R </w:t>
      </w:r>
      <w:r>
        <w:t>related to the clutter loss do not cover frequencies in the range 116 to 150</w:t>
      </w:r>
      <w:r w:rsidR="00E86DF7">
        <w:t> </w:t>
      </w:r>
      <w:r>
        <w:t xml:space="preserve">GHz. For example, the </w:t>
      </w:r>
      <w:r w:rsidR="00AE22C2">
        <w:t>R</w:t>
      </w:r>
      <w:r>
        <w:t>ecommendation ITU-R.P.2108</w:t>
      </w:r>
      <w:r w:rsidR="00AE22C2">
        <w:t>-0</w:t>
      </w:r>
      <w:r>
        <w:t xml:space="preserve"> </w:t>
      </w:r>
      <w:r w:rsidR="00AE22C2">
        <w:rPr>
          <w:rStyle w:val="ECCParagraph"/>
        </w:rPr>
        <w:fldChar w:fldCharType="begin"/>
      </w:r>
      <w:r w:rsidR="00AE22C2">
        <w:rPr>
          <w:rStyle w:val="ECCParagraph"/>
        </w:rPr>
        <w:instrText xml:space="preserve"> REF  ITU_R_P_2108_0 \h \w  \* MERGEFORMAT </w:instrText>
      </w:r>
      <w:r w:rsidR="00AE22C2">
        <w:rPr>
          <w:rStyle w:val="ECCParagraph"/>
        </w:rPr>
      </w:r>
      <w:r w:rsidR="00AE22C2">
        <w:rPr>
          <w:rStyle w:val="ECCParagraph"/>
        </w:rPr>
        <w:fldChar w:fldCharType="separate"/>
      </w:r>
      <w:r w:rsidR="004F49F9">
        <w:rPr>
          <w:rStyle w:val="ECCParagraph"/>
        </w:rPr>
        <w:t>[25]</w:t>
      </w:r>
      <w:r w:rsidR="00AE22C2">
        <w:rPr>
          <w:rStyle w:val="ECCParagraph"/>
        </w:rPr>
        <w:fldChar w:fldCharType="end"/>
      </w:r>
      <w:r w:rsidR="00AE22C2">
        <w:rPr>
          <w:rStyle w:val="ECCParagraph"/>
        </w:rPr>
        <w:t xml:space="preserve"> </w:t>
      </w:r>
      <w:r>
        <w:t>for the p</w:t>
      </w:r>
      <w:r w:rsidRPr="002459C7">
        <w:t>rediction of clutter loss</w:t>
      </w:r>
      <w:r>
        <w:t xml:space="preserve"> is limited to 100 GHz. Guidance was sought from The ITU Working Party 3M in charge of the propagation issues concerning the quantification and application of the clutter loss</w:t>
      </w:r>
      <w:r w:rsidR="00E86DF7">
        <w:t>,</w:t>
      </w:r>
      <w:r>
        <w:t xml:space="preserve"> including the </w:t>
      </w:r>
      <w:r w:rsidRPr="0022590C">
        <w:t>effect of obstacles in the signal path</w:t>
      </w:r>
      <w:r w:rsidR="00E86DF7">
        <w:t>,</w:t>
      </w:r>
      <w:r w:rsidRPr="0022590C">
        <w:t xml:space="preserve"> such as guardrails</w:t>
      </w:r>
      <w:r>
        <w:t xml:space="preserve">. WP3 noted the difficulty to extend the </w:t>
      </w:r>
      <w:r w:rsidRPr="00C3040D">
        <w:t>Recommendation ITU-R P.2108</w:t>
      </w:r>
      <w:r w:rsidR="00E86DF7">
        <w:t>-</w:t>
      </w:r>
      <w:r w:rsidR="00AE22C2">
        <w:t>0</w:t>
      </w:r>
      <w:r w:rsidRPr="00C3040D">
        <w:t xml:space="preserve"> </w:t>
      </w:r>
      <w:r>
        <w:t xml:space="preserve">for </w:t>
      </w:r>
      <w:r w:rsidRPr="00C3040D">
        <w:t>f</w:t>
      </w:r>
      <w:r w:rsidR="00E86DF7">
        <w:t>requencies above</w:t>
      </w:r>
      <w:r w:rsidRPr="00C3040D">
        <w:t xml:space="preserve"> 67</w:t>
      </w:r>
      <w:r w:rsidR="00E86DF7">
        <w:t> </w:t>
      </w:r>
      <w:r w:rsidRPr="00C3040D">
        <w:t>GHz for terrestrial pa</w:t>
      </w:r>
      <w:r>
        <w:t xml:space="preserve">ths and </w:t>
      </w:r>
      <w:r w:rsidR="00E86DF7">
        <w:t xml:space="preserve">above </w:t>
      </w:r>
      <w:r>
        <w:t>100</w:t>
      </w:r>
      <w:r w:rsidR="00E86DF7">
        <w:t> </w:t>
      </w:r>
      <w:r>
        <w:t xml:space="preserve">GHz for slant paths because of the lack of </w:t>
      </w:r>
      <w:r w:rsidRPr="00C3040D">
        <w:t xml:space="preserve">measured data </w:t>
      </w:r>
      <w:r>
        <w:t>on which t</w:t>
      </w:r>
      <w:r w:rsidRPr="00C3040D">
        <w:t>hese models were based</w:t>
      </w:r>
      <w:r>
        <w:t>. WP3 advised that in the single-entry interferer scenario and f</w:t>
      </w:r>
      <w:r w:rsidRPr="00B54FCD">
        <w:t xml:space="preserve">or unobstructed </w:t>
      </w:r>
      <w:r w:rsidR="00E86DF7">
        <w:t>signal paths</w:t>
      </w:r>
      <w:r w:rsidRPr="00B54FCD">
        <w:t xml:space="preserve"> </w:t>
      </w:r>
      <w:r w:rsidR="00E86DF7">
        <w:t xml:space="preserve">(unobstructed </w:t>
      </w:r>
      <w:r w:rsidRPr="00B54FCD">
        <w:t>by clutter between roads or highways and the radio telescope</w:t>
      </w:r>
      <w:r w:rsidR="00E86DF7">
        <w:t>)</w:t>
      </w:r>
      <w:r w:rsidRPr="00B54FCD">
        <w:t xml:space="preserve">, free space loss plus atmospheric attenuation </w:t>
      </w:r>
      <w:r>
        <w:t xml:space="preserve">using slant paths as defined in </w:t>
      </w:r>
      <w:r w:rsidRPr="00B54FCD">
        <w:t>Rec ITU-R P</w:t>
      </w:r>
      <w:r w:rsidR="00AE22C2">
        <w:t>.</w:t>
      </w:r>
      <w:r w:rsidRPr="00B54FCD">
        <w:t>676-12</w:t>
      </w:r>
      <w:r w:rsidR="00AE22C2">
        <w:t xml:space="preserve"> </w:t>
      </w:r>
      <w:r w:rsidR="00AE22C2">
        <w:rPr>
          <w:rStyle w:val="ECCParagraph"/>
        </w:rPr>
        <w:fldChar w:fldCharType="begin"/>
      </w:r>
      <w:r w:rsidR="00AE22C2">
        <w:rPr>
          <w:rStyle w:val="ECCParagraph"/>
        </w:rPr>
        <w:instrText xml:space="preserve"> REF  ITU_R_P_676_12 \h \w  \* MERGEFORMAT </w:instrText>
      </w:r>
      <w:r w:rsidR="00AE22C2">
        <w:rPr>
          <w:rStyle w:val="ECCParagraph"/>
        </w:rPr>
      </w:r>
      <w:r w:rsidR="00AE22C2">
        <w:rPr>
          <w:rStyle w:val="ECCParagraph"/>
        </w:rPr>
        <w:fldChar w:fldCharType="separate"/>
      </w:r>
      <w:r w:rsidR="004F49F9">
        <w:rPr>
          <w:rStyle w:val="ECCParagraph"/>
        </w:rPr>
        <w:t>[28]</w:t>
      </w:r>
      <w:r w:rsidR="00AE22C2">
        <w:rPr>
          <w:rStyle w:val="ECCParagraph"/>
        </w:rPr>
        <w:fldChar w:fldCharType="end"/>
      </w:r>
      <w:r>
        <w:t xml:space="preserve"> apply. WP3 also consider</w:t>
      </w:r>
      <w:r w:rsidR="00E86DF7">
        <w:t>ed</w:t>
      </w:r>
      <w:r>
        <w:t xml:space="preserve"> that the clutter due to guard rails cannot be considered as a constant factor. For the aggregated scenario</w:t>
      </w:r>
      <w:r w:rsidR="00E86DF7">
        <w:t>,</w:t>
      </w:r>
      <w:r>
        <w:t xml:space="preserve"> only interferers in line</w:t>
      </w:r>
      <w:r w:rsidR="00E86DF7">
        <w:t xml:space="preserve"> </w:t>
      </w:r>
      <w:r>
        <w:t>of</w:t>
      </w:r>
      <w:r w:rsidR="00E86DF7">
        <w:t xml:space="preserve"> </w:t>
      </w:r>
      <w:r>
        <w:t>sight</w:t>
      </w:r>
      <w:r w:rsidR="00E86DF7">
        <w:t xml:space="preserve"> (LOS)</w:t>
      </w:r>
      <w:r>
        <w:t xml:space="preserve"> have to be considered and </w:t>
      </w:r>
      <w:r w:rsidR="00E86DF7">
        <w:t>non-line of sight (NLOS)</w:t>
      </w:r>
      <w:r w:rsidRPr="00B54FCD">
        <w:t xml:space="preserve"> interferers </w:t>
      </w:r>
      <w:r>
        <w:t>could</w:t>
      </w:r>
      <w:r w:rsidRPr="00B54FCD">
        <w:t xml:space="preserve"> be neglected</w:t>
      </w:r>
      <w:r>
        <w:t>.</w:t>
      </w:r>
    </w:p>
    <w:p w14:paraId="7B77DB34" w14:textId="2285DF92" w:rsidR="00FF50FD" w:rsidRPr="00121069" w:rsidRDefault="00FF50FD" w:rsidP="00FF50FD">
      <w:r>
        <w:rPr>
          <w:rStyle w:val="ECCParagraph"/>
        </w:rPr>
        <w:t xml:space="preserve">It could be concluded that in the sharing and compatibility study for the single-entry interferer scenario developed in section </w:t>
      </w:r>
      <w:r w:rsidR="00DD0E6D">
        <w:rPr>
          <w:rStyle w:val="ECCParagraph"/>
        </w:rPr>
        <w:fldChar w:fldCharType="begin"/>
      </w:r>
      <w:r w:rsidR="00DD0E6D">
        <w:rPr>
          <w:rStyle w:val="ECCParagraph"/>
        </w:rPr>
        <w:instrText xml:space="preserve"> REF _Ref17905823 \r \h </w:instrText>
      </w:r>
      <w:r w:rsidR="00DD0E6D">
        <w:rPr>
          <w:rStyle w:val="ECCParagraph"/>
        </w:rPr>
      </w:r>
      <w:r w:rsidR="00DD0E6D">
        <w:rPr>
          <w:rStyle w:val="ECCParagraph"/>
        </w:rPr>
        <w:fldChar w:fldCharType="separate"/>
      </w:r>
      <w:r w:rsidR="004F49F9">
        <w:rPr>
          <w:rStyle w:val="ECCParagraph"/>
        </w:rPr>
        <w:t>4.11</w:t>
      </w:r>
      <w:r w:rsidR="00DD0E6D">
        <w:rPr>
          <w:rStyle w:val="ECCParagraph"/>
        </w:rPr>
        <w:fldChar w:fldCharType="end"/>
      </w:r>
      <w:r w:rsidR="00DD0E6D">
        <w:rPr>
          <w:rStyle w:val="ECCParagraph"/>
        </w:rPr>
        <w:t xml:space="preserve"> </w:t>
      </w:r>
      <w:r>
        <w:rPr>
          <w:rStyle w:val="ECCParagraph"/>
        </w:rPr>
        <w:t xml:space="preserve">and </w:t>
      </w:r>
      <w:r w:rsidR="00DD0E6D">
        <w:rPr>
          <w:rStyle w:val="ECCParagraph"/>
        </w:rPr>
        <w:fldChar w:fldCharType="begin"/>
      </w:r>
      <w:r w:rsidR="00DD0E6D">
        <w:rPr>
          <w:rStyle w:val="ECCParagraph"/>
        </w:rPr>
        <w:instrText xml:space="preserve"> REF _Ref17906293 \r \h </w:instrText>
      </w:r>
      <w:r w:rsidR="00DD0E6D">
        <w:rPr>
          <w:rStyle w:val="ECCParagraph"/>
        </w:rPr>
      </w:r>
      <w:r w:rsidR="00DD0E6D">
        <w:rPr>
          <w:rStyle w:val="ECCParagraph"/>
        </w:rPr>
        <w:fldChar w:fldCharType="separate"/>
      </w:r>
      <w:r w:rsidR="004F49F9">
        <w:rPr>
          <w:rStyle w:val="ECCParagraph"/>
        </w:rPr>
        <w:t>4.12</w:t>
      </w:r>
      <w:r w:rsidR="00DD0E6D">
        <w:rPr>
          <w:rStyle w:val="ECCParagraph"/>
        </w:rPr>
        <w:fldChar w:fldCharType="end"/>
      </w:r>
      <w:r>
        <w:rPr>
          <w:rStyle w:val="ECCParagraph"/>
        </w:rPr>
        <w:t>, no clutter has to be considered.</w:t>
      </w:r>
    </w:p>
    <w:p w14:paraId="402164BC" w14:textId="77777777" w:rsidR="00FF50FD" w:rsidRPr="00BF657C" w:rsidRDefault="00FF50FD" w:rsidP="00FF50FD">
      <w:pPr>
        <w:pStyle w:val="Heading3"/>
      </w:pPr>
      <w:bookmarkStart w:id="543" w:name="_Ref67389348"/>
      <w:bookmarkStart w:id="544" w:name="_Toc84325359"/>
      <w:bookmarkStart w:id="545" w:name="_Toc127346283"/>
      <w:r w:rsidRPr="00BF657C">
        <w:t>Calculation of “effectual e</w:t>
      </w:r>
      <w:r w:rsidR="00F37503">
        <w:t>.</w:t>
      </w:r>
      <w:r w:rsidRPr="00BF657C">
        <w:t>i</w:t>
      </w:r>
      <w:r w:rsidR="00F37503">
        <w:t>.</w:t>
      </w:r>
      <w:r w:rsidRPr="00BF657C">
        <w:t>r</w:t>
      </w:r>
      <w:r w:rsidR="00F37503">
        <w:t>.</w:t>
      </w:r>
      <w:r w:rsidRPr="00BF657C">
        <w:t>p</w:t>
      </w:r>
      <w:r w:rsidR="00F37503">
        <w:t>.</w:t>
      </w:r>
      <w:r w:rsidRPr="00BF657C">
        <w:t>” level for radio</w:t>
      </w:r>
      <w:r>
        <w:t>determination</w:t>
      </w:r>
      <w:r w:rsidRPr="00BF657C">
        <w:t xml:space="preserve"> devices for </w:t>
      </w:r>
      <w:r>
        <w:t>short-range</w:t>
      </w:r>
      <w:r w:rsidRPr="00BF657C">
        <w:t xml:space="preserve"> assist and </w:t>
      </w:r>
      <w:r>
        <w:t>surrounding</w:t>
      </w:r>
      <w:r w:rsidRPr="00BF657C">
        <w:t xml:space="preserve"> monitoring for vehicles and autonomous systems</w:t>
      </w:r>
      <w:bookmarkEnd w:id="543"/>
      <w:bookmarkEnd w:id="544"/>
      <w:bookmarkEnd w:id="545"/>
    </w:p>
    <w:p w14:paraId="5C224A1A" w14:textId="5A6DF85C" w:rsidR="00C42773" w:rsidRDefault="00C42773" w:rsidP="00C42773">
      <w:pPr>
        <w:rPr>
          <w:rFonts w:cs="Arial"/>
          <w:szCs w:val="26"/>
        </w:rPr>
      </w:pPr>
      <w:r>
        <w:fldChar w:fldCharType="begin"/>
      </w:r>
      <w:r>
        <w:instrText xml:space="preserve"> REF _Ref65009743 \h </w:instrText>
      </w:r>
      <w:r>
        <w:fldChar w:fldCharType="separate"/>
      </w:r>
      <w:r w:rsidR="0041125F" w:rsidRPr="00FF50FD">
        <w:t>Table </w:t>
      </w:r>
      <w:r w:rsidR="0041125F">
        <w:rPr>
          <w:noProof/>
        </w:rPr>
        <w:t>54</w:t>
      </w:r>
      <w:r>
        <w:fldChar w:fldCharType="end"/>
      </w:r>
      <w:r w:rsidR="00FF50FD" w:rsidRPr="00BF657C">
        <w:t xml:space="preserve"> summari</w:t>
      </w:r>
      <w:r w:rsidR="00310783">
        <w:t>s</w:t>
      </w:r>
      <w:r w:rsidR="00FF50FD" w:rsidRPr="00BF657C">
        <w:t>e</w:t>
      </w:r>
      <w:r w:rsidR="00FF50FD">
        <w:t>s</w:t>
      </w:r>
      <w:r w:rsidR="00FF50FD" w:rsidRPr="00BF657C">
        <w:t xml:space="preserve"> the </w:t>
      </w:r>
      <w:r w:rsidR="00FF50FD">
        <w:t>considerations</w:t>
      </w:r>
      <w:r w:rsidR="00FF50FD" w:rsidRPr="00BF657C">
        <w:t xml:space="preserve"> and correction factors developed in this </w:t>
      </w:r>
      <w:r w:rsidR="00FF50FD">
        <w:t>section</w:t>
      </w:r>
      <w:r w:rsidR="00FF50FD" w:rsidRPr="00BF657C">
        <w:t xml:space="preserve"> for the calculation of the effectual e</w:t>
      </w:r>
      <w:r w:rsidR="0061450F">
        <w:t>.</w:t>
      </w:r>
      <w:r w:rsidR="00FF50FD" w:rsidRPr="00BF657C">
        <w:t>i</w:t>
      </w:r>
      <w:r w:rsidR="0061450F">
        <w:t>.</w:t>
      </w:r>
      <w:r w:rsidR="00FF50FD" w:rsidRPr="00BF657C">
        <w:t>r</w:t>
      </w:r>
      <w:r w:rsidR="0061450F">
        <w:t>.</w:t>
      </w:r>
      <w:r w:rsidR="00FF50FD" w:rsidRPr="00BF657C">
        <w:t>p</w:t>
      </w:r>
      <w:r w:rsidR="0061450F">
        <w:t>.</w:t>
      </w:r>
    </w:p>
    <w:p w14:paraId="2A819E10" w14:textId="64A570F0" w:rsidR="00FF50FD" w:rsidRPr="00FF50FD" w:rsidRDefault="00FF50FD" w:rsidP="00FF50FD">
      <w:pPr>
        <w:pStyle w:val="Caption"/>
      </w:pPr>
      <w:bookmarkStart w:id="546" w:name="_Ref65009743"/>
      <w:r w:rsidRPr="00FF50FD">
        <w:t>Table </w:t>
      </w:r>
      <w:r w:rsidRPr="0091705E">
        <w:fldChar w:fldCharType="begin"/>
      </w:r>
      <w:r w:rsidRPr="00FF50FD">
        <w:instrText xml:space="preserve"> SEQ Table \* ARABIC </w:instrText>
      </w:r>
      <w:r w:rsidRPr="0091705E">
        <w:fldChar w:fldCharType="separate"/>
      </w:r>
      <w:r w:rsidR="004F49F9">
        <w:rPr>
          <w:noProof/>
        </w:rPr>
        <w:t>54</w:t>
      </w:r>
      <w:r w:rsidRPr="0091705E">
        <w:fldChar w:fldCharType="end"/>
      </w:r>
      <w:bookmarkEnd w:id="546"/>
      <w:r w:rsidRPr="00FF50FD">
        <w:t>: Calculation of the ”effectual e</w:t>
      </w:r>
      <w:r w:rsidR="00F37503">
        <w:t>.</w:t>
      </w:r>
      <w:r w:rsidRPr="00FF50FD">
        <w:t>i</w:t>
      </w:r>
      <w:r w:rsidR="00F37503">
        <w:t>.</w:t>
      </w:r>
      <w:r w:rsidRPr="00FF50FD">
        <w:t>r</w:t>
      </w:r>
      <w:r w:rsidR="00F37503">
        <w:t>.</w:t>
      </w:r>
      <w:r w:rsidRPr="00FF50FD">
        <w:t>p</w:t>
      </w:r>
      <w:r w:rsidR="00F37503">
        <w:t>.</w:t>
      </w:r>
      <w:r w:rsidRPr="00FF50FD">
        <w:t xml:space="preserve"> level” for radio</w:t>
      </w:r>
      <w:r>
        <w:t xml:space="preserve">determination </w:t>
      </w:r>
      <w:r w:rsidRPr="00FF50FD">
        <w:t xml:space="preserve">devices for </w:t>
      </w:r>
      <w:r>
        <w:t>short-range</w:t>
      </w:r>
      <w:r w:rsidRPr="00FF50FD">
        <w:t xml:space="preserve"> assist and </w:t>
      </w:r>
      <w:r>
        <w:t>surrounding</w:t>
      </w:r>
      <w:r w:rsidRPr="00FF50FD">
        <w:t xml:space="preserve"> monitoring for vehicles and autonomous systems</w:t>
      </w:r>
    </w:p>
    <w:tbl>
      <w:tblPr>
        <w:tblStyle w:val="ECCTable-redheader"/>
        <w:tblW w:w="9735" w:type="dxa"/>
        <w:tblInd w:w="0" w:type="dxa"/>
        <w:tblLayout w:type="fixed"/>
        <w:tblLook w:val="04A0" w:firstRow="1" w:lastRow="0" w:firstColumn="1" w:lastColumn="0" w:noHBand="0" w:noVBand="1"/>
      </w:tblPr>
      <w:tblGrid>
        <w:gridCol w:w="3592"/>
        <w:gridCol w:w="2126"/>
        <w:gridCol w:w="4017"/>
      </w:tblGrid>
      <w:tr w:rsidR="00FF50FD" w14:paraId="04A92D6F" w14:textId="77777777" w:rsidTr="00566D98">
        <w:trPr>
          <w:cnfStyle w:val="100000000000" w:firstRow="1" w:lastRow="0" w:firstColumn="0" w:lastColumn="0" w:oddVBand="0" w:evenVBand="0" w:oddHBand="0" w:evenHBand="0" w:firstRowFirstColumn="0" w:firstRowLastColumn="0" w:lastRowFirstColumn="0" w:lastRowLastColumn="0"/>
          <w:trHeight w:val="421"/>
        </w:trPr>
        <w:tc>
          <w:tcPr>
            <w:tcW w:w="3592" w:type="dxa"/>
            <w:hideMark/>
          </w:tcPr>
          <w:p w14:paraId="4999A4C1" w14:textId="77777777" w:rsidR="00FF50FD" w:rsidRPr="00FF50FD" w:rsidRDefault="00FF50FD" w:rsidP="00FF50FD">
            <w:r w:rsidRPr="0091705E">
              <w:t>Parameter</w:t>
            </w:r>
          </w:p>
        </w:tc>
        <w:tc>
          <w:tcPr>
            <w:tcW w:w="2126" w:type="dxa"/>
            <w:hideMark/>
          </w:tcPr>
          <w:p w14:paraId="26524AE5" w14:textId="77777777" w:rsidR="00FF50FD" w:rsidRPr="00FF50FD" w:rsidRDefault="00FF50FD" w:rsidP="00FF50FD">
            <w:r w:rsidRPr="0091705E">
              <w:t>Value</w:t>
            </w:r>
          </w:p>
        </w:tc>
        <w:tc>
          <w:tcPr>
            <w:tcW w:w="4017" w:type="dxa"/>
            <w:hideMark/>
          </w:tcPr>
          <w:p w14:paraId="3E0FF14F" w14:textId="77777777" w:rsidR="00FF50FD" w:rsidRPr="00FF50FD" w:rsidRDefault="00FF50FD" w:rsidP="00FF50FD">
            <w:r w:rsidRPr="0091705E">
              <w:t>Comment</w:t>
            </w:r>
          </w:p>
        </w:tc>
      </w:tr>
      <w:tr w:rsidR="00FF50FD" w:rsidRPr="009D629B" w14:paraId="5B6D321A" w14:textId="77777777" w:rsidTr="00566D98">
        <w:trPr>
          <w:trHeight w:val="99"/>
        </w:trPr>
        <w:tc>
          <w:tcPr>
            <w:tcW w:w="3592" w:type="dxa"/>
            <w:hideMark/>
          </w:tcPr>
          <w:p w14:paraId="6940A49C" w14:textId="77777777" w:rsidR="00FF50FD" w:rsidRPr="00FF50FD" w:rsidRDefault="00FF50FD" w:rsidP="00FF50FD">
            <w:r w:rsidRPr="0091705E">
              <w:t>Bandwidth</w:t>
            </w:r>
          </w:p>
        </w:tc>
        <w:tc>
          <w:tcPr>
            <w:tcW w:w="2126" w:type="dxa"/>
            <w:hideMark/>
          </w:tcPr>
          <w:p w14:paraId="6FF7D1BB" w14:textId="77777777" w:rsidR="00FF50FD" w:rsidRPr="00FF50FD" w:rsidRDefault="00FF50FD" w:rsidP="00FF50FD">
            <w:r w:rsidRPr="0091705E">
              <w:t xml:space="preserve">1 GHz </w:t>
            </w:r>
            <w:r w:rsidRPr="00FF50FD">
              <w:t>to 7 GHz</w:t>
            </w:r>
          </w:p>
        </w:tc>
        <w:tc>
          <w:tcPr>
            <w:tcW w:w="4017" w:type="dxa"/>
            <w:hideMark/>
          </w:tcPr>
          <w:p w14:paraId="1135E3B4" w14:textId="77777777" w:rsidR="00FF50FD" w:rsidRPr="00FF50FD" w:rsidRDefault="00FF50FD" w:rsidP="00FF50FD">
            <w:r w:rsidRPr="0091705E">
              <w:t xml:space="preserve">Depending on the required range resolution </w:t>
            </w:r>
          </w:p>
        </w:tc>
      </w:tr>
      <w:tr w:rsidR="00FF50FD" w:rsidRPr="009D629B" w14:paraId="53FCC10C" w14:textId="77777777" w:rsidTr="00566D98">
        <w:trPr>
          <w:trHeight w:val="99"/>
        </w:trPr>
        <w:tc>
          <w:tcPr>
            <w:tcW w:w="3592" w:type="dxa"/>
          </w:tcPr>
          <w:p w14:paraId="0727F4C1" w14:textId="77777777" w:rsidR="00FF50FD" w:rsidRPr="00FF50FD" w:rsidRDefault="00FF50FD" w:rsidP="00FF50FD">
            <w:r>
              <w:t>Peak power</w:t>
            </w:r>
            <w:r w:rsidRPr="00FF50FD">
              <w:t xml:space="preserve"> of the radar for BW = 1</w:t>
            </w:r>
            <w:r w:rsidR="0082594A">
              <w:t> </w:t>
            </w:r>
            <w:r w:rsidRPr="00FF50FD">
              <w:t>GHz</w:t>
            </w:r>
          </w:p>
        </w:tc>
        <w:tc>
          <w:tcPr>
            <w:tcW w:w="2126" w:type="dxa"/>
          </w:tcPr>
          <w:p w14:paraId="22E53368" w14:textId="77777777" w:rsidR="00FF50FD" w:rsidRPr="00FF50FD" w:rsidRDefault="00FF50FD" w:rsidP="00FF50FD">
            <w:r>
              <w:t>39.5</w:t>
            </w:r>
            <w:r w:rsidR="0082594A">
              <w:t> </w:t>
            </w:r>
            <w:r>
              <w:t>dBm</w:t>
            </w:r>
          </w:p>
        </w:tc>
        <w:tc>
          <w:tcPr>
            <w:tcW w:w="4017" w:type="dxa"/>
          </w:tcPr>
          <w:p w14:paraId="4DF1E576" w14:textId="77777777" w:rsidR="00FF50FD" w:rsidRPr="00FF50FD" w:rsidRDefault="00FF50FD" w:rsidP="00FF50FD">
            <w:r>
              <w:t>RCS = -30</w:t>
            </w:r>
            <w:r w:rsidR="0082594A">
              <w:t> </w:t>
            </w:r>
            <w:r>
              <w:t>dBm</w:t>
            </w:r>
            <w:r w:rsidRPr="00FF50FD">
              <w:t>, detection range = 20</w:t>
            </w:r>
            <w:r w:rsidR="0082594A">
              <w:t> </w:t>
            </w:r>
            <w:r w:rsidRPr="00FF50FD">
              <w:t>m</w:t>
            </w:r>
          </w:p>
        </w:tc>
      </w:tr>
      <w:tr w:rsidR="00FF50FD" w:rsidRPr="009D629B" w14:paraId="731230A0" w14:textId="77777777" w:rsidTr="00566D98">
        <w:trPr>
          <w:trHeight w:val="99"/>
        </w:trPr>
        <w:tc>
          <w:tcPr>
            <w:tcW w:w="3592" w:type="dxa"/>
          </w:tcPr>
          <w:p w14:paraId="2286D9C1" w14:textId="77777777" w:rsidR="00FF50FD" w:rsidRPr="00FF50FD" w:rsidRDefault="00FF50FD" w:rsidP="00FF50FD">
            <w:r w:rsidRPr="00A309FC">
              <w:t xml:space="preserve">Peak power of the radar for BW = </w:t>
            </w:r>
            <w:r w:rsidRPr="00FF50FD">
              <w:t>7</w:t>
            </w:r>
            <w:r w:rsidR="0082594A">
              <w:t> </w:t>
            </w:r>
            <w:r w:rsidRPr="00FF50FD">
              <w:t>GHz</w:t>
            </w:r>
          </w:p>
        </w:tc>
        <w:tc>
          <w:tcPr>
            <w:tcW w:w="2126" w:type="dxa"/>
          </w:tcPr>
          <w:p w14:paraId="2A5C8646" w14:textId="77777777" w:rsidR="00FF50FD" w:rsidRPr="00FF50FD" w:rsidRDefault="00FF50FD" w:rsidP="00FF50FD">
            <w:r>
              <w:t>48</w:t>
            </w:r>
            <w:r w:rsidR="0082594A">
              <w:t> </w:t>
            </w:r>
            <w:r w:rsidRPr="00FF50FD">
              <w:t>dBm</w:t>
            </w:r>
          </w:p>
        </w:tc>
        <w:tc>
          <w:tcPr>
            <w:tcW w:w="4017" w:type="dxa"/>
          </w:tcPr>
          <w:p w14:paraId="3A97F802" w14:textId="77777777" w:rsidR="00FF50FD" w:rsidRPr="00FF50FD" w:rsidRDefault="00FF50FD" w:rsidP="00FF50FD">
            <w:r w:rsidRPr="00A309FC">
              <w:t>RCS = -30</w:t>
            </w:r>
            <w:r w:rsidR="0082594A">
              <w:t> </w:t>
            </w:r>
            <w:r w:rsidRPr="00A309FC">
              <w:t>dBm, detection range = 20</w:t>
            </w:r>
            <w:r w:rsidR="0082594A">
              <w:t> </w:t>
            </w:r>
            <w:r w:rsidRPr="00A309FC">
              <w:t>m</w:t>
            </w:r>
          </w:p>
        </w:tc>
      </w:tr>
      <w:tr w:rsidR="00FF50FD" w:rsidRPr="009D629B" w14:paraId="4B293F71" w14:textId="77777777" w:rsidTr="00566D98">
        <w:trPr>
          <w:trHeight w:val="99"/>
        </w:trPr>
        <w:tc>
          <w:tcPr>
            <w:tcW w:w="3592" w:type="dxa"/>
          </w:tcPr>
          <w:p w14:paraId="1BE06A68" w14:textId="77777777" w:rsidR="00FF50FD" w:rsidRPr="00FF50FD" w:rsidRDefault="00FF50FD" w:rsidP="00FF50FD">
            <w:r>
              <w:t>Duty cycle correction factor</w:t>
            </w:r>
          </w:p>
        </w:tc>
        <w:tc>
          <w:tcPr>
            <w:tcW w:w="2126" w:type="dxa"/>
          </w:tcPr>
          <w:p w14:paraId="0B5ECA10" w14:textId="77777777" w:rsidR="00FF50FD" w:rsidRPr="00FF50FD" w:rsidRDefault="00FF50FD" w:rsidP="00FF50FD">
            <w:r>
              <w:t>-3</w:t>
            </w:r>
            <w:r w:rsidR="0082594A">
              <w:t> </w:t>
            </w:r>
            <w:r>
              <w:t>dB</w:t>
            </w:r>
          </w:p>
        </w:tc>
        <w:tc>
          <w:tcPr>
            <w:tcW w:w="4017" w:type="dxa"/>
          </w:tcPr>
          <w:p w14:paraId="4E7A76B8" w14:textId="4A04330D" w:rsidR="00FF50FD" w:rsidRPr="00FF50FD" w:rsidRDefault="00FF50FD" w:rsidP="0082594A">
            <w:r>
              <w:t>Maximum r</w:t>
            </w:r>
            <w:r w:rsidRPr="00FF50FD">
              <w:t>adar duty cycle of 50</w:t>
            </w:r>
            <w:r w:rsidR="00F800A2">
              <w:t>%</w:t>
            </w:r>
          </w:p>
        </w:tc>
      </w:tr>
      <w:tr w:rsidR="00FF50FD" w:rsidRPr="009D629B" w14:paraId="4D387F38" w14:textId="77777777" w:rsidTr="00566D98">
        <w:trPr>
          <w:trHeight w:val="438"/>
        </w:trPr>
        <w:tc>
          <w:tcPr>
            <w:tcW w:w="3592" w:type="dxa"/>
          </w:tcPr>
          <w:p w14:paraId="0873C0A6" w14:textId="77777777" w:rsidR="00FF50FD" w:rsidRPr="00FF50FD" w:rsidDel="00584B0E" w:rsidRDefault="00FF50FD" w:rsidP="00FF50FD">
            <w:r w:rsidRPr="0091705E">
              <w:t>Bandwidth correction factor</w:t>
            </w:r>
          </w:p>
        </w:tc>
        <w:tc>
          <w:tcPr>
            <w:tcW w:w="2126" w:type="dxa"/>
          </w:tcPr>
          <w:p w14:paraId="5BB257AD" w14:textId="77777777" w:rsidR="00FF50FD" w:rsidRPr="00FF50FD" w:rsidDel="00584B0E" w:rsidRDefault="00FF50FD" w:rsidP="00FF50FD">
            <w:r w:rsidRPr="0091705E">
              <w:t>0</w:t>
            </w:r>
            <w:r w:rsidR="0082594A">
              <w:t> </w:t>
            </w:r>
            <w:r w:rsidRPr="0091705E">
              <w:t>dB</w:t>
            </w:r>
          </w:p>
        </w:tc>
        <w:tc>
          <w:tcPr>
            <w:tcW w:w="4017" w:type="dxa"/>
          </w:tcPr>
          <w:p w14:paraId="63DA6A9A" w14:textId="77777777" w:rsidR="00FF50FD" w:rsidRPr="00FF50FD" w:rsidDel="00584B0E" w:rsidRDefault="0082594A" w:rsidP="00FF50FD">
            <w:r w:rsidRPr="0082594A">
              <w:t>All the radar power falls in the 8 GHz RAS band</w:t>
            </w:r>
          </w:p>
        </w:tc>
      </w:tr>
      <w:tr w:rsidR="00FF50FD" w14:paraId="6B6EBECE" w14:textId="77777777" w:rsidTr="00566D98">
        <w:trPr>
          <w:trHeight w:val="570"/>
        </w:trPr>
        <w:tc>
          <w:tcPr>
            <w:tcW w:w="3592" w:type="dxa"/>
            <w:hideMark/>
          </w:tcPr>
          <w:p w14:paraId="0B75690E" w14:textId="77777777" w:rsidR="00FF50FD" w:rsidRPr="00FF50FD" w:rsidRDefault="00FF50FD" w:rsidP="00FF50FD">
            <w:r w:rsidRPr="0091705E">
              <w:t>Maximum antenna gain</w:t>
            </w:r>
          </w:p>
        </w:tc>
        <w:tc>
          <w:tcPr>
            <w:tcW w:w="2126" w:type="dxa"/>
            <w:hideMark/>
          </w:tcPr>
          <w:p w14:paraId="324BEC2B" w14:textId="77777777" w:rsidR="00FF50FD" w:rsidRPr="00FF50FD" w:rsidRDefault="00FF50FD" w:rsidP="00FF50FD">
            <w:r w:rsidRPr="0091705E">
              <w:t>10 dBi</w:t>
            </w:r>
          </w:p>
        </w:tc>
        <w:tc>
          <w:tcPr>
            <w:tcW w:w="4017" w:type="dxa"/>
            <w:hideMark/>
          </w:tcPr>
          <w:p w14:paraId="25AFFC4C" w14:textId="77777777" w:rsidR="00FF50FD" w:rsidRPr="0091705E" w:rsidRDefault="00FF50FD" w:rsidP="00FF50FD"/>
        </w:tc>
      </w:tr>
      <w:tr w:rsidR="00FF50FD" w:rsidRPr="009D629B" w14:paraId="6B7C942F" w14:textId="77777777" w:rsidTr="00566D98">
        <w:trPr>
          <w:trHeight w:val="438"/>
        </w:trPr>
        <w:tc>
          <w:tcPr>
            <w:tcW w:w="3592" w:type="dxa"/>
          </w:tcPr>
          <w:p w14:paraId="129AE4D1" w14:textId="77777777" w:rsidR="00FF50FD" w:rsidRPr="00FF50FD" w:rsidRDefault="00FF50FD" w:rsidP="00FF50FD">
            <w:r w:rsidRPr="0091705E">
              <w:t>Mean</w:t>
            </w:r>
            <w:r w:rsidRPr="00FF50FD">
              <w:t xml:space="preserve"> e.i.r.p. for BW = 1</w:t>
            </w:r>
            <w:r w:rsidR="0082594A">
              <w:t> </w:t>
            </w:r>
            <w:r w:rsidRPr="00FF50FD">
              <w:t>GHz</w:t>
            </w:r>
          </w:p>
        </w:tc>
        <w:tc>
          <w:tcPr>
            <w:tcW w:w="2126" w:type="dxa"/>
          </w:tcPr>
          <w:p w14:paraId="5B48E2B1" w14:textId="77777777" w:rsidR="00FF50FD" w:rsidRPr="00FF50FD" w:rsidRDefault="00FF50FD" w:rsidP="00FF50FD">
            <w:pPr>
              <w:rPr>
                <w:rStyle w:val="ECCHLyellow"/>
              </w:rPr>
            </w:pPr>
            <w:r>
              <w:t>46</w:t>
            </w:r>
            <w:r w:rsidR="0082594A">
              <w:t>.</w:t>
            </w:r>
            <w:r>
              <w:t>5</w:t>
            </w:r>
            <w:r w:rsidRPr="00FF50FD">
              <w:t> dBm</w:t>
            </w:r>
          </w:p>
        </w:tc>
        <w:tc>
          <w:tcPr>
            <w:tcW w:w="4017" w:type="dxa"/>
          </w:tcPr>
          <w:p w14:paraId="162D860E" w14:textId="77777777" w:rsidR="00FF50FD" w:rsidRPr="0091705E" w:rsidRDefault="00FF50FD" w:rsidP="00FF50FD"/>
        </w:tc>
      </w:tr>
      <w:tr w:rsidR="00FF50FD" w:rsidRPr="009D629B" w14:paraId="6B240674" w14:textId="77777777" w:rsidTr="00566D98">
        <w:trPr>
          <w:trHeight w:val="438"/>
        </w:trPr>
        <w:tc>
          <w:tcPr>
            <w:tcW w:w="3592" w:type="dxa"/>
          </w:tcPr>
          <w:p w14:paraId="254DCBC2" w14:textId="77777777" w:rsidR="00FF50FD" w:rsidRPr="00FF50FD" w:rsidRDefault="00FF50FD" w:rsidP="00FF50FD">
            <w:r w:rsidRPr="0091705E">
              <w:t>Mean</w:t>
            </w:r>
            <w:r w:rsidRPr="00FF50FD">
              <w:t xml:space="preserve"> e.i.r.p. for BW = 7</w:t>
            </w:r>
            <w:r w:rsidR="0082594A">
              <w:t> </w:t>
            </w:r>
            <w:r w:rsidRPr="00FF50FD">
              <w:t>GHz</w:t>
            </w:r>
          </w:p>
        </w:tc>
        <w:tc>
          <w:tcPr>
            <w:tcW w:w="2126" w:type="dxa"/>
          </w:tcPr>
          <w:p w14:paraId="348E8E8B" w14:textId="77777777" w:rsidR="00FF50FD" w:rsidRPr="00FF50FD" w:rsidRDefault="00FF50FD" w:rsidP="00FF50FD">
            <w:pPr>
              <w:rPr>
                <w:rStyle w:val="ECCHLyellow"/>
              </w:rPr>
            </w:pPr>
            <w:r w:rsidRPr="0091705E">
              <w:t>55 dBm</w:t>
            </w:r>
          </w:p>
        </w:tc>
        <w:tc>
          <w:tcPr>
            <w:tcW w:w="4017" w:type="dxa"/>
          </w:tcPr>
          <w:p w14:paraId="5BFF45C2" w14:textId="77777777" w:rsidR="00FF50FD" w:rsidRPr="0091705E" w:rsidRDefault="00FF50FD" w:rsidP="00FF50FD"/>
        </w:tc>
      </w:tr>
      <w:tr w:rsidR="00FF50FD" w:rsidRPr="009D629B" w14:paraId="26E857D9" w14:textId="77777777" w:rsidTr="00566D98">
        <w:trPr>
          <w:trHeight w:val="438"/>
        </w:trPr>
        <w:tc>
          <w:tcPr>
            <w:tcW w:w="3592" w:type="dxa"/>
          </w:tcPr>
          <w:p w14:paraId="60188E51" w14:textId="77777777" w:rsidR="00FF50FD" w:rsidRPr="00FF50FD" w:rsidRDefault="00FF50FD" w:rsidP="00FF50FD">
            <w:r w:rsidRPr="0091705E">
              <w:t xml:space="preserve">Radar </w:t>
            </w:r>
            <w:r w:rsidRPr="00FF50FD">
              <w:t>antenna offset</w:t>
            </w:r>
          </w:p>
        </w:tc>
        <w:tc>
          <w:tcPr>
            <w:tcW w:w="2126" w:type="dxa"/>
          </w:tcPr>
          <w:p w14:paraId="2918B522" w14:textId="77777777" w:rsidR="00FF50FD" w:rsidRPr="00FF50FD" w:rsidRDefault="00FF50FD" w:rsidP="00FF50FD">
            <w:r w:rsidRPr="0091705E">
              <w:t>0</w:t>
            </w:r>
            <w:r w:rsidRPr="00FF50FD">
              <w:t> dB</w:t>
            </w:r>
          </w:p>
        </w:tc>
        <w:tc>
          <w:tcPr>
            <w:tcW w:w="4017" w:type="dxa"/>
          </w:tcPr>
          <w:p w14:paraId="33E9AEEC" w14:textId="77777777" w:rsidR="00FF50FD" w:rsidRPr="00FF50FD" w:rsidDel="00584B0E" w:rsidRDefault="00FF50FD" w:rsidP="00FF50FD">
            <w:r w:rsidRPr="0091705E">
              <w:t>For the points in LOS with the RAS station</w:t>
            </w:r>
          </w:p>
        </w:tc>
      </w:tr>
      <w:tr w:rsidR="00FF50FD" w:rsidRPr="009D629B" w14:paraId="29D7EFB4" w14:textId="77777777" w:rsidTr="00566D98">
        <w:trPr>
          <w:trHeight w:val="438"/>
        </w:trPr>
        <w:tc>
          <w:tcPr>
            <w:tcW w:w="3592" w:type="dxa"/>
          </w:tcPr>
          <w:p w14:paraId="3A7ED794" w14:textId="77777777" w:rsidR="00FF50FD" w:rsidRPr="00FF50FD" w:rsidRDefault="00FF50FD" w:rsidP="00FF50FD">
            <w:r w:rsidRPr="0091705E">
              <w:t>Clutter loss</w:t>
            </w:r>
            <w:r w:rsidRPr="00FF50FD">
              <w:t xml:space="preserve"> for single-entry cases</w:t>
            </w:r>
          </w:p>
        </w:tc>
        <w:tc>
          <w:tcPr>
            <w:tcW w:w="2126" w:type="dxa"/>
          </w:tcPr>
          <w:p w14:paraId="2F212800" w14:textId="77777777" w:rsidR="00FF50FD" w:rsidRPr="00FF50FD" w:rsidRDefault="00FF50FD" w:rsidP="00FF50FD">
            <w:r>
              <w:t>0</w:t>
            </w:r>
            <w:r w:rsidRPr="00FF50FD">
              <w:t> dB</w:t>
            </w:r>
          </w:p>
        </w:tc>
        <w:tc>
          <w:tcPr>
            <w:tcW w:w="4017" w:type="dxa"/>
          </w:tcPr>
          <w:p w14:paraId="26085CAC" w14:textId="77777777" w:rsidR="00FF50FD" w:rsidRPr="00FF50FD" w:rsidRDefault="00FF50FD" w:rsidP="00FF50FD">
            <w:r>
              <w:t>No clutter loss considered</w:t>
            </w:r>
          </w:p>
        </w:tc>
      </w:tr>
      <w:tr w:rsidR="00FF50FD" w:rsidRPr="009D629B" w14:paraId="4E8A64A7" w14:textId="77777777" w:rsidTr="00566D98">
        <w:trPr>
          <w:trHeight w:val="438"/>
        </w:trPr>
        <w:tc>
          <w:tcPr>
            <w:tcW w:w="3592" w:type="dxa"/>
          </w:tcPr>
          <w:p w14:paraId="5C138F3A" w14:textId="77777777" w:rsidR="00FF50FD" w:rsidRPr="00FF50FD" w:rsidRDefault="00FF50FD" w:rsidP="00FF50FD">
            <w:r w:rsidRPr="0091705E">
              <w:t>Effectual e</w:t>
            </w:r>
            <w:r w:rsidR="0013154F">
              <w:t>.</w:t>
            </w:r>
            <w:r w:rsidRPr="0091705E">
              <w:t>i</w:t>
            </w:r>
            <w:r w:rsidR="0013154F">
              <w:t>.</w:t>
            </w:r>
            <w:r w:rsidRPr="0091705E">
              <w:t>r</w:t>
            </w:r>
            <w:r w:rsidR="0013154F">
              <w:t>.</w:t>
            </w:r>
            <w:r w:rsidRPr="0091705E">
              <w:t>p</w:t>
            </w:r>
            <w:r w:rsidR="0013154F">
              <w:t>.</w:t>
            </w:r>
            <w:r w:rsidRPr="0091705E">
              <w:t xml:space="preserve"> </w:t>
            </w:r>
            <w:r w:rsidRPr="00FF50FD">
              <w:t>for BW = 7</w:t>
            </w:r>
            <w:r w:rsidR="0082594A">
              <w:t> </w:t>
            </w:r>
            <w:r w:rsidRPr="00FF50FD">
              <w:t>GHz</w:t>
            </w:r>
          </w:p>
        </w:tc>
        <w:tc>
          <w:tcPr>
            <w:tcW w:w="2126" w:type="dxa"/>
          </w:tcPr>
          <w:p w14:paraId="756A7ECE" w14:textId="77777777" w:rsidR="00FF50FD" w:rsidRPr="00FF50FD" w:rsidRDefault="00FF50FD" w:rsidP="00FF50FD">
            <w:r>
              <w:t>55</w:t>
            </w:r>
            <w:r w:rsidR="0082594A">
              <w:t> </w:t>
            </w:r>
            <w:r w:rsidRPr="00FF50FD">
              <w:t>dBm</w:t>
            </w:r>
          </w:p>
        </w:tc>
        <w:tc>
          <w:tcPr>
            <w:tcW w:w="4017" w:type="dxa"/>
          </w:tcPr>
          <w:p w14:paraId="118FA3C5" w14:textId="46FC250F" w:rsidR="00FF50FD" w:rsidRPr="00FF50FD" w:rsidRDefault="00FF50FD" w:rsidP="00FF50FD">
            <w:r w:rsidRPr="0091705E">
              <w:t xml:space="preserve">Level to be considered to read the results in section </w:t>
            </w:r>
            <w:r w:rsidR="0013154F">
              <w:fldChar w:fldCharType="begin"/>
            </w:r>
            <w:r w:rsidR="0013154F">
              <w:instrText xml:space="preserve"> REF _Ref17906293 \r \h </w:instrText>
            </w:r>
            <w:r w:rsidR="0013154F">
              <w:fldChar w:fldCharType="separate"/>
            </w:r>
            <w:r w:rsidR="004F49F9">
              <w:t>4.12</w:t>
            </w:r>
            <w:r w:rsidR="0013154F">
              <w:fldChar w:fldCharType="end"/>
            </w:r>
            <w:r w:rsidR="0013154F">
              <w:t>.</w:t>
            </w:r>
          </w:p>
        </w:tc>
      </w:tr>
    </w:tbl>
    <w:bookmarkEnd w:id="529"/>
    <w:p w14:paraId="2E443B54" w14:textId="2A1E725F" w:rsidR="008E01D1" w:rsidRDefault="008E01D1" w:rsidP="008E01D1">
      <w:r>
        <w:t xml:space="preserve">The conclusions drawn from these results can be found in </w:t>
      </w:r>
      <w:r w:rsidR="00DA3555">
        <w:t>section</w:t>
      </w:r>
      <w:r>
        <w:t xml:space="preserve"> </w:t>
      </w:r>
      <w:r>
        <w:fldChar w:fldCharType="begin"/>
      </w:r>
      <w:r>
        <w:instrText xml:space="preserve"> REF _Ref67391932 \r \h </w:instrText>
      </w:r>
      <w:r>
        <w:fldChar w:fldCharType="separate"/>
      </w:r>
      <w:r w:rsidR="004F49F9">
        <w:t>8.3.2</w:t>
      </w:r>
      <w:r>
        <w:fldChar w:fldCharType="end"/>
      </w:r>
      <w:r>
        <w:t>.</w:t>
      </w:r>
    </w:p>
    <w:p w14:paraId="0AA4C522" w14:textId="77777777" w:rsidR="00E421AD" w:rsidRDefault="00E421AD" w:rsidP="00E421AD">
      <w:pPr>
        <w:pStyle w:val="Heading2"/>
      </w:pPr>
      <w:bookmarkStart w:id="547" w:name="_Toc36127082"/>
      <w:bookmarkStart w:id="548" w:name="_Toc84325360"/>
      <w:bookmarkStart w:id="549" w:name="_Toc127346284"/>
      <w:r w:rsidRPr="00E421AD">
        <w:t>Ground Based Synthetic Aperture Radar (GBSAR)</w:t>
      </w:r>
      <w:bookmarkEnd w:id="547"/>
      <w:bookmarkEnd w:id="548"/>
      <w:bookmarkEnd w:id="549"/>
    </w:p>
    <w:p w14:paraId="6E2B64FE" w14:textId="11A6011F" w:rsidR="002B6985" w:rsidRPr="002B6985" w:rsidRDefault="00F7570D" w:rsidP="002B6985">
      <w:pPr>
        <w:rPr>
          <w:lang w:val="da-DK"/>
        </w:rPr>
      </w:pPr>
      <w:r>
        <w:t xml:space="preserve">No study has been conducted to evaluate the compatibility between GBSAR and </w:t>
      </w:r>
      <w:r w:rsidR="002B6985">
        <w:t>Radio Astronomy Service</w:t>
      </w:r>
      <w:r w:rsidR="00956184">
        <w:t xml:space="preserve"> </w:t>
      </w:r>
      <w:r w:rsidR="008E01D1">
        <w:t xml:space="preserve">(see </w:t>
      </w:r>
      <w:r w:rsidR="009D5FA2">
        <w:t>section</w:t>
      </w:r>
      <w:r w:rsidR="00956184">
        <w:t xml:space="preserve"> </w:t>
      </w:r>
      <w:r w:rsidR="00956184">
        <w:fldChar w:fldCharType="begin"/>
      </w:r>
      <w:r w:rsidR="00956184">
        <w:instrText xml:space="preserve"> REF _Ref67392333 \r \h </w:instrText>
      </w:r>
      <w:r w:rsidR="00956184">
        <w:fldChar w:fldCharType="separate"/>
      </w:r>
      <w:r w:rsidR="004F49F9">
        <w:t>8.4.2</w:t>
      </w:r>
      <w:r w:rsidR="00956184">
        <w:fldChar w:fldCharType="end"/>
      </w:r>
      <w:r w:rsidR="00956184">
        <w:t>)</w:t>
      </w:r>
      <w:r>
        <w:t>.</w:t>
      </w:r>
    </w:p>
    <w:p w14:paraId="11CE5498" w14:textId="77777777" w:rsidR="00E421AD" w:rsidRPr="00E421AD" w:rsidRDefault="00E421AD" w:rsidP="00E421AD">
      <w:pPr>
        <w:pStyle w:val="Heading2"/>
      </w:pPr>
      <w:bookmarkStart w:id="550" w:name="_Toc36127083"/>
      <w:bookmarkStart w:id="551" w:name="_Toc84325361"/>
      <w:bookmarkStart w:id="552" w:name="_Toc127346285"/>
      <w:r w:rsidRPr="00B06E7F">
        <w:t>Level Probing Radar (LPR)</w:t>
      </w:r>
      <w:bookmarkEnd w:id="550"/>
      <w:bookmarkEnd w:id="551"/>
      <w:bookmarkEnd w:id="552"/>
    </w:p>
    <w:p w14:paraId="3390097C" w14:textId="77777777" w:rsidR="00E421AD" w:rsidRPr="00896D50" w:rsidRDefault="00E421AD" w:rsidP="00E421AD">
      <w:pPr>
        <w:pStyle w:val="Heading3"/>
      </w:pPr>
      <w:bookmarkStart w:id="553" w:name="_Ref67390632"/>
      <w:bookmarkStart w:id="554" w:name="_Toc84325362"/>
      <w:bookmarkStart w:id="555" w:name="_Toc127346286"/>
      <w:r w:rsidRPr="00896D50">
        <w:t>Technical parameters of LPR</w:t>
      </w:r>
      <w:bookmarkEnd w:id="553"/>
      <w:bookmarkEnd w:id="554"/>
      <w:bookmarkEnd w:id="555"/>
    </w:p>
    <w:p w14:paraId="37C8B1B7" w14:textId="0EBACB2A" w:rsidR="00E421AD" w:rsidRPr="00B10E31" w:rsidRDefault="00E421AD" w:rsidP="00E421AD">
      <w:r w:rsidRPr="00B10E31">
        <w:t xml:space="preserve">For LPR three potential frequency bands have been defined (see </w:t>
      </w:r>
      <w:r w:rsidR="009D5FA2">
        <w:t>section</w:t>
      </w:r>
      <w:r w:rsidRPr="00B10E31">
        <w:t xml:space="preserve"> </w:t>
      </w:r>
      <w:r w:rsidR="00CB26D1">
        <w:rPr>
          <w:highlight w:val="yellow"/>
        </w:rPr>
        <w:fldChar w:fldCharType="begin"/>
      </w:r>
      <w:r w:rsidR="00CB26D1">
        <w:instrText xml:space="preserve"> REF _Ref66452152 \r \h </w:instrText>
      </w:r>
      <w:r w:rsidR="00CB26D1">
        <w:rPr>
          <w:highlight w:val="yellow"/>
        </w:rPr>
      </w:r>
      <w:r w:rsidR="00CB26D1">
        <w:rPr>
          <w:highlight w:val="yellow"/>
        </w:rPr>
        <w:fldChar w:fldCharType="separate"/>
      </w:r>
      <w:r w:rsidR="004F49F9">
        <w:t>2.2.5.2</w:t>
      </w:r>
      <w:r w:rsidR="00CB26D1">
        <w:rPr>
          <w:highlight w:val="yellow"/>
        </w:rPr>
        <w:fldChar w:fldCharType="end"/>
      </w:r>
      <w:r w:rsidRPr="00B10E31">
        <w:t>). Due to the fact that in all defined frequency bands allocations for RAS are affected</w:t>
      </w:r>
      <w:r w:rsidR="001D7996">
        <w:t>-</w:t>
      </w:r>
      <w:r w:rsidRPr="00B10E31">
        <w:t>either within these bands or adjacent to them – all three bands have been investigated by single-entry studies. In these studies the individually required separation distance (</w:t>
      </w:r>
      <w:r w:rsidR="009D5FA2">
        <w:t>section</w:t>
      </w:r>
      <w:r w:rsidRPr="00B10E31">
        <w:t xml:space="preserve"> </w:t>
      </w:r>
      <w:r w:rsidR="00CB26D1">
        <w:rPr>
          <w:highlight w:val="yellow"/>
        </w:rPr>
        <w:fldChar w:fldCharType="begin"/>
      </w:r>
      <w:r w:rsidR="00CB26D1">
        <w:instrText xml:space="preserve"> REF _Ref15293384 \r \h </w:instrText>
      </w:r>
      <w:r w:rsidR="00CB26D1">
        <w:rPr>
          <w:highlight w:val="yellow"/>
        </w:rPr>
      </w:r>
      <w:r w:rsidR="00CB26D1">
        <w:rPr>
          <w:highlight w:val="yellow"/>
        </w:rPr>
        <w:fldChar w:fldCharType="separate"/>
      </w:r>
      <w:r w:rsidR="004F49F9">
        <w:t>3.4.2</w:t>
      </w:r>
      <w:r w:rsidR="00CB26D1">
        <w:rPr>
          <w:highlight w:val="yellow"/>
        </w:rPr>
        <w:fldChar w:fldCharType="end"/>
      </w:r>
      <w:r w:rsidRPr="00B10E31">
        <w:t>) is determined by means of the technical parameters (</w:t>
      </w:r>
      <w:r w:rsidR="009D5FA2">
        <w:t>section</w:t>
      </w:r>
      <w:r w:rsidRPr="00B10E31">
        <w:t xml:space="preserve"> </w:t>
      </w:r>
      <w:r w:rsidR="00CB26D1">
        <w:rPr>
          <w:highlight w:val="yellow"/>
        </w:rPr>
        <w:fldChar w:fldCharType="begin"/>
      </w:r>
      <w:r w:rsidR="00CB26D1">
        <w:instrText xml:space="preserve"> REF _Ref20319451 \r \h </w:instrText>
      </w:r>
      <w:r w:rsidR="00CB26D1">
        <w:rPr>
          <w:highlight w:val="yellow"/>
        </w:rPr>
      </w:r>
      <w:r w:rsidR="00CB26D1">
        <w:rPr>
          <w:highlight w:val="yellow"/>
        </w:rPr>
        <w:fldChar w:fldCharType="separate"/>
      </w:r>
      <w:r w:rsidR="004F49F9">
        <w:t>2.2.5.3</w:t>
      </w:r>
      <w:r w:rsidR="00CB26D1">
        <w:rPr>
          <w:highlight w:val="yellow"/>
        </w:rPr>
        <w:fldChar w:fldCharType="end"/>
      </w:r>
      <w:r w:rsidRPr="00B10E31">
        <w:t>), the antenna data (</w:t>
      </w:r>
      <w:r w:rsidR="009D5FA2">
        <w:t>section</w:t>
      </w:r>
      <w:r w:rsidRPr="00B10E31">
        <w:t xml:space="preserve"> </w:t>
      </w:r>
      <w:r w:rsidR="00CB26D1">
        <w:rPr>
          <w:highlight w:val="yellow"/>
        </w:rPr>
        <w:fldChar w:fldCharType="begin"/>
      </w:r>
      <w:r w:rsidR="00CB26D1">
        <w:instrText xml:space="preserve"> REF _Ref20470811 \r \h </w:instrText>
      </w:r>
      <w:r w:rsidR="00CB26D1">
        <w:rPr>
          <w:highlight w:val="yellow"/>
        </w:rPr>
      </w:r>
      <w:r w:rsidR="00CB26D1">
        <w:rPr>
          <w:highlight w:val="yellow"/>
        </w:rPr>
        <w:fldChar w:fldCharType="separate"/>
      </w:r>
      <w:r w:rsidR="004F49F9">
        <w:t>2.2.5.4</w:t>
      </w:r>
      <w:r w:rsidR="00CB26D1">
        <w:rPr>
          <w:highlight w:val="yellow"/>
        </w:rPr>
        <w:fldChar w:fldCharType="end"/>
      </w:r>
      <w:r w:rsidRPr="00B10E31">
        <w:t>), the interference scenarios (</w:t>
      </w:r>
      <w:r w:rsidR="009D5FA2">
        <w:t>section</w:t>
      </w:r>
      <w:r w:rsidRPr="00B10E31">
        <w:t xml:space="preserve"> </w:t>
      </w:r>
      <w:r w:rsidR="00CB26D1">
        <w:rPr>
          <w:highlight w:val="yellow"/>
        </w:rPr>
        <w:fldChar w:fldCharType="begin"/>
      </w:r>
      <w:r w:rsidR="00CB26D1">
        <w:instrText xml:space="preserve"> REF _Ref36548155 \r \h </w:instrText>
      </w:r>
      <w:r w:rsidR="00CB26D1">
        <w:rPr>
          <w:highlight w:val="yellow"/>
        </w:rPr>
      </w:r>
      <w:r w:rsidR="00CB26D1">
        <w:rPr>
          <w:highlight w:val="yellow"/>
        </w:rPr>
        <w:fldChar w:fldCharType="separate"/>
      </w:r>
      <w:r w:rsidR="004F49F9">
        <w:t>2.2.5.6</w:t>
      </w:r>
      <w:r w:rsidR="00CB26D1">
        <w:rPr>
          <w:highlight w:val="yellow"/>
        </w:rPr>
        <w:fldChar w:fldCharType="end"/>
      </w:r>
      <w:r w:rsidRPr="00B10E31">
        <w:t>) and the protection requirements for RAS (</w:t>
      </w:r>
      <w:r w:rsidR="009D5FA2">
        <w:t>section</w:t>
      </w:r>
      <w:r w:rsidRPr="00B10E31">
        <w:t xml:space="preserve"> </w:t>
      </w:r>
      <w:r w:rsidR="00CB26D1">
        <w:rPr>
          <w:highlight w:val="yellow"/>
        </w:rPr>
        <w:fldChar w:fldCharType="begin"/>
      </w:r>
      <w:r w:rsidR="00CB26D1">
        <w:instrText xml:space="preserve"> REF _Ref25574886 \r \h </w:instrText>
      </w:r>
      <w:r w:rsidR="00CB26D1">
        <w:rPr>
          <w:highlight w:val="yellow"/>
        </w:rPr>
      </w:r>
      <w:r w:rsidR="00CB26D1">
        <w:rPr>
          <w:highlight w:val="yellow"/>
        </w:rPr>
        <w:fldChar w:fldCharType="separate"/>
      </w:r>
      <w:r w:rsidR="004F49F9">
        <w:t>3.5.2</w:t>
      </w:r>
      <w:r w:rsidR="00CB26D1">
        <w:rPr>
          <w:highlight w:val="yellow"/>
        </w:rPr>
        <w:fldChar w:fldCharType="end"/>
      </w:r>
      <w:r w:rsidRPr="00B10E31">
        <w:t xml:space="preserve">). The exact calculations can be found in an Excel-spreadsheet which is attached to this </w:t>
      </w:r>
      <w:hyperlink r:id="rId126" w:history="1">
        <w:r w:rsidR="00C70410">
          <w:rPr>
            <w:rStyle w:val="Hyperlink"/>
          </w:rPr>
          <w:t>Report</w:t>
        </w:r>
      </w:hyperlink>
      <w:r w:rsidRPr="00B10E31">
        <w:t>.</w:t>
      </w:r>
    </w:p>
    <w:p w14:paraId="295680E4" w14:textId="6D2ECACC" w:rsidR="00E421AD" w:rsidRPr="00B10E31" w:rsidRDefault="00E421AD" w:rsidP="00E421AD">
      <w:r w:rsidRPr="00B10E31">
        <w:t>The following technical parameters of the LPR application (</w:t>
      </w:r>
      <w:r w:rsidR="009D5FA2">
        <w:t>section</w:t>
      </w:r>
      <w:r w:rsidRPr="00B10E31">
        <w:t xml:space="preserve"> </w:t>
      </w:r>
      <w:r w:rsidR="00CB26D1">
        <w:rPr>
          <w:highlight w:val="yellow"/>
        </w:rPr>
        <w:fldChar w:fldCharType="begin"/>
      </w:r>
      <w:r w:rsidR="00CB26D1">
        <w:instrText xml:space="preserve"> REF _Ref20319451 \r \h </w:instrText>
      </w:r>
      <w:r w:rsidR="00CB26D1">
        <w:rPr>
          <w:highlight w:val="yellow"/>
        </w:rPr>
      </w:r>
      <w:r w:rsidR="00CB26D1">
        <w:rPr>
          <w:highlight w:val="yellow"/>
        </w:rPr>
        <w:fldChar w:fldCharType="separate"/>
      </w:r>
      <w:r w:rsidR="004F49F9">
        <w:t>2.2.5.3</w:t>
      </w:r>
      <w:r w:rsidR="00CB26D1">
        <w:rPr>
          <w:highlight w:val="yellow"/>
        </w:rPr>
        <w:fldChar w:fldCharType="end"/>
      </w:r>
      <w:r w:rsidRPr="00B10E31">
        <w:t>) have been used in the studies in the different frequency ranges.</w:t>
      </w:r>
    </w:p>
    <w:p w14:paraId="769B6246" w14:textId="023EBDA3" w:rsidR="00E421AD" w:rsidRDefault="00971656" w:rsidP="00E421AD">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F49F9">
        <w:rPr>
          <w:noProof/>
        </w:rPr>
        <w:t>55</w:t>
      </w:r>
      <w:r w:rsidRPr="0091705E">
        <w:fldChar w:fldCharType="end"/>
      </w:r>
      <w:r w:rsidR="00E421AD" w:rsidRPr="00E421AD">
        <w:t>: Technical parameters of 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360"/>
        <w:gridCol w:w="1360"/>
      </w:tblGrid>
      <w:tr w:rsidR="00C943B8" w:rsidRPr="00566944" w14:paraId="7E6E0BA2"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42160127" w14:textId="77777777" w:rsidR="00C943B8" w:rsidRPr="00C943B8" w:rsidRDefault="00C943B8" w:rsidP="00876039">
            <w:pPr>
              <w:pStyle w:val="ECCTableHeaderwhitefont"/>
            </w:pPr>
            <w:r w:rsidRPr="00C943B8">
              <w:t>Investigated frequency range</w:t>
            </w:r>
          </w:p>
        </w:tc>
        <w:tc>
          <w:tcPr>
            <w:tcW w:w="1569" w:type="dxa"/>
          </w:tcPr>
          <w:p w14:paraId="61371A65" w14:textId="77777777" w:rsidR="00C943B8" w:rsidRPr="00C943B8" w:rsidRDefault="00C943B8" w:rsidP="000A69BD">
            <w:pPr>
              <w:pStyle w:val="ECCTableHeaderwhitefont"/>
            </w:pPr>
            <w:r w:rsidRPr="00C943B8">
              <w:t>Assumed modulation bandwidth</w:t>
            </w:r>
          </w:p>
        </w:tc>
        <w:tc>
          <w:tcPr>
            <w:tcW w:w="1513" w:type="dxa"/>
          </w:tcPr>
          <w:p w14:paraId="19FC7DBE" w14:textId="77777777" w:rsidR="00C943B8" w:rsidRPr="00C943B8" w:rsidRDefault="00C943B8" w:rsidP="000A69BD">
            <w:pPr>
              <w:pStyle w:val="ECCTableHeaderwhitefont"/>
            </w:pPr>
            <w:r w:rsidRPr="00C943B8">
              <w:t>Duty cycle</w:t>
            </w:r>
          </w:p>
        </w:tc>
        <w:tc>
          <w:tcPr>
            <w:tcW w:w="1767" w:type="dxa"/>
          </w:tcPr>
          <w:p w14:paraId="0670AED4" w14:textId="77777777" w:rsidR="00C943B8" w:rsidRPr="00C943B8" w:rsidRDefault="00C943B8" w:rsidP="000A69BD">
            <w:pPr>
              <w:pStyle w:val="ECCTableHeaderwhitefont"/>
            </w:pPr>
            <w:r w:rsidRPr="00C943B8">
              <w:t xml:space="preserve">Mean e.i.r.p. spectral density </w:t>
            </w:r>
            <w:r w:rsidR="00143CCA">
              <w:t>(Note 2)</w:t>
            </w:r>
          </w:p>
        </w:tc>
        <w:tc>
          <w:tcPr>
            <w:tcW w:w="1360" w:type="dxa"/>
          </w:tcPr>
          <w:p w14:paraId="2BEFB576" w14:textId="77777777" w:rsidR="00C943B8" w:rsidRPr="00C943B8" w:rsidRDefault="00C943B8" w:rsidP="000A69BD">
            <w:pPr>
              <w:pStyle w:val="ECCTableHeaderwhitefont"/>
            </w:pPr>
            <w:r w:rsidRPr="00C943B8">
              <w:t>Peak e.i.r.p.</w:t>
            </w:r>
          </w:p>
        </w:tc>
        <w:tc>
          <w:tcPr>
            <w:tcW w:w="1360" w:type="dxa"/>
          </w:tcPr>
          <w:p w14:paraId="26113D6B" w14:textId="77777777" w:rsidR="00C943B8" w:rsidRPr="00C943B8" w:rsidRDefault="00C943B8" w:rsidP="000A69BD">
            <w:pPr>
              <w:pStyle w:val="ECCTableHeaderwhitefont"/>
            </w:pPr>
            <w:r w:rsidRPr="00C943B8">
              <w:t>OOB attenuation (Note 1)</w:t>
            </w:r>
          </w:p>
        </w:tc>
      </w:tr>
      <w:tr w:rsidR="00C160C7" w:rsidRPr="00C53FB5" w14:paraId="1B314D36" w14:textId="77777777" w:rsidTr="00BF4052">
        <w:tc>
          <w:tcPr>
            <w:tcW w:w="1838" w:type="dxa"/>
          </w:tcPr>
          <w:p w14:paraId="5EC136EB" w14:textId="77777777" w:rsidR="00C160C7" w:rsidRPr="00C160C7" w:rsidRDefault="00C160C7" w:rsidP="000A69BD">
            <w:pPr>
              <w:pStyle w:val="ECCTabletext"/>
              <w:jc w:val="left"/>
            </w:pPr>
            <w:r w:rsidRPr="00C53FB5">
              <w:t xml:space="preserve">116 to </w:t>
            </w:r>
            <w:r w:rsidRPr="00C160C7">
              <w:t>148</w:t>
            </w:r>
            <w:r w:rsidR="00CF4994">
              <w:t>.5</w:t>
            </w:r>
            <w:r w:rsidRPr="00C160C7">
              <w:t> GHz</w:t>
            </w:r>
          </w:p>
        </w:tc>
        <w:tc>
          <w:tcPr>
            <w:tcW w:w="1569" w:type="dxa"/>
          </w:tcPr>
          <w:p w14:paraId="3564B2F5" w14:textId="77777777" w:rsidR="00C160C7" w:rsidRPr="00C160C7" w:rsidRDefault="00C160C7" w:rsidP="000A69BD">
            <w:pPr>
              <w:pStyle w:val="ECCTabletext"/>
              <w:jc w:val="left"/>
            </w:pPr>
            <w:r>
              <w:t>1</w:t>
            </w:r>
            <w:r w:rsidR="00CF4994">
              <w:t>.6</w:t>
            </w:r>
            <w:r w:rsidRPr="00C160C7">
              <w:t> GHz</w:t>
            </w:r>
          </w:p>
        </w:tc>
        <w:tc>
          <w:tcPr>
            <w:tcW w:w="1513" w:type="dxa"/>
          </w:tcPr>
          <w:p w14:paraId="733235D2" w14:textId="4D652BC3" w:rsidR="00C160C7" w:rsidRPr="00C160C7" w:rsidRDefault="00C160C7" w:rsidP="000A69BD">
            <w:pPr>
              <w:pStyle w:val="ECCTabletext"/>
              <w:jc w:val="left"/>
            </w:pPr>
            <w:r>
              <w:t>5</w:t>
            </w:r>
            <w:r w:rsidR="00F800A2">
              <w:t>%</w:t>
            </w:r>
          </w:p>
        </w:tc>
        <w:tc>
          <w:tcPr>
            <w:tcW w:w="1767" w:type="dxa"/>
          </w:tcPr>
          <w:p w14:paraId="6847AACE" w14:textId="77777777" w:rsidR="00C160C7" w:rsidRPr="00C160C7" w:rsidRDefault="00C160C7" w:rsidP="000A69BD">
            <w:pPr>
              <w:pStyle w:val="ECCTabletext"/>
              <w:jc w:val="left"/>
            </w:pPr>
            <w:r>
              <w:t>-</w:t>
            </w:r>
            <w:r w:rsidR="00111243">
              <w:t>8</w:t>
            </w:r>
            <w:r>
              <w:t> dBm/MHz</w:t>
            </w:r>
          </w:p>
        </w:tc>
        <w:tc>
          <w:tcPr>
            <w:tcW w:w="1360" w:type="dxa"/>
          </w:tcPr>
          <w:p w14:paraId="207081DF" w14:textId="77777777" w:rsidR="00C160C7" w:rsidRPr="00C160C7" w:rsidRDefault="00C160C7" w:rsidP="000A69BD">
            <w:pPr>
              <w:pStyle w:val="ECCTabletext"/>
              <w:jc w:val="left"/>
            </w:pPr>
            <w:r>
              <w:t>3</w:t>
            </w:r>
            <w:r w:rsidR="00111243">
              <w:t>7</w:t>
            </w:r>
            <w:r>
              <w:t> dBm</w:t>
            </w:r>
          </w:p>
        </w:tc>
        <w:tc>
          <w:tcPr>
            <w:tcW w:w="1360" w:type="dxa"/>
          </w:tcPr>
          <w:p w14:paraId="1733041B" w14:textId="77777777" w:rsidR="00C160C7" w:rsidRPr="00C160C7" w:rsidRDefault="00C160C7" w:rsidP="000A69BD">
            <w:pPr>
              <w:pStyle w:val="ECCTabletext"/>
              <w:jc w:val="left"/>
            </w:pPr>
            <w:r w:rsidRPr="00497690">
              <w:t>20 dB</w:t>
            </w:r>
          </w:p>
        </w:tc>
      </w:tr>
      <w:tr w:rsidR="00C160C7" w:rsidRPr="00C53FB5" w14:paraId="7AC5EA8C" w14:textId="77777777" w:rsidTr="00BF4052">
        <w:tc>
          <w:tcPr>
            <w:tcW w:w="1838" w:type="dxa"/>
          </w:tcPr>
          <w:p w14:paraId="4D6BDC72" w14:textId="77777777" w:rsidR="00C160C7" w:rsidRPr="00C160C7" w:rsidRDefault="00C160C7" w:rsidP="000A69BD">
            <w:pPr>
              <w:pStyle w:val="ECCTabletext"/>
              <w:jc w:val="left"/>
            </w:pPr>
            <w:r w:rsidRPr="00C53FB5">
              <w:t>1</w:t>
            </w:r>
            <w:r w:rsidRPr="00C160C7">
              <w:t>67 to 182 GHz</w:t>
            </w:r>
          </w:p>
        </w:tc>
        <w:tc>
          <w:tcPr>
            <w:tcW w:w="1569" w:type="dxa"/>
          </w:tcPr>
          <w:p w14:paraId="3DF4D45C" w14:textId="77777777" w:rsidR="00C160C7" w:rsidRPr="00C160C7" w:rsidRDefault="00C160C7" w:rsidP="000A69BD">
            <w:pPr>
              <w:pStyle w:val="ECCTabletext"/>
              <w:jc w:val="left"/>
            </w:pPr>
            <w:r>
              <w:t>1</w:t>
            </w:r>
            <w:r w:rsidRPr="00C160C7">
              <w:t> GHz</w:t>
            </w:r>
          </w:p>
        </w:tc>
        <w:tc>
          <w:tcPr>
            <w:tcW w:w="1513" w:type="dxa"/>
          </w:tcPr>
          <w:p w14:paraId="7483AA2E" w14:textId="3D4CC250" w:rsidR="00C160C7" w:rsidRPr="00C160C7" w:rsidRDefault="00C160C7" w:rsidP="000A69BD">
            <w:pPr>
              <w:pStyle w:val="ECCTabletext"/>
              <w:jc w:val="left"/>
            </w:pPr>
            <w:r>
              <w:t>5</w:t>
            </w:r>
            <w:r w:rsidR="00F800A2">
              <w:t>%</w:t>
            </w:r>
          </w:p>
        </w:tc>
        <w:tc>
          <w:tcPr>
            <w:tcW w:w="1767" w:type="dxa"/>
          </w:tcPr>
          <w:p w14:paraId="7A24A1F7" w14:textId="77777777" w:rsidR="00C160C7" w:rsidRPr="00C160C7" w:rsidRDefault="00C160C7" w:rsidP="000A69BD">
            <w:pPr>
              <w:pStyle w:val="ECCTabletext"/>
              <w:jc w:val="left"/>
            </w:pPr>
            <w:r>
              <w:t>-</w:t>
            </w:r>
            <w:r w:rsidR="00111243">
              <w:t>6</w:t>
            </w:r>
            <w:r>
              <w:t> dBm/MHz</w:t>
            </w:r>
          </w:p>
        </w:tc>
        <w:tc>
          <w:tcPr>
            <w:tcW w:w="1360" w:type="dxa"/>
          </w:tcPr>
          <w:p w14:paraId="6A66794A" w14:textId="77777777" w:rsidR="00C160C7" w:rsidRPr="00C160C7" w:rsidRDefault="00C160C7" w:rsidP="000A69BD">
            <w:pPr>
              <w:pStyle w:val="ECCTabletext"/>
              <w:jc w:val="left"/>
            </w:pPr>
            <w:r>
              <w:t>3</w:t>
            </w:r>
            <w:r w:rsidR="00111243">
              <w:t>7</w:t>
            </w:r>
            <w:r>
              <w:t> dBm</w:t>
            </w:r>
          </w:p>
        </w:tc>
        <w:tc>
          <w:tcPr>
            <w:tcW w:w="1360" w:type="dxa"/>
          </w:tcPr>
          <w:p w14:paraId="7847EFC2" w14:textId="77777777" w:rsidR="00C160C7" w:rsidRDefault="00C160C7" w:rsidP="000A69BD">
            <w:pPr>
              <w:pStyle w:val="ECCTabletext"/>
              <w:jc w:val="left"/>
            </w:pPr>
            <w:r>
              <w:t>20 dB</w:t>
            </w:r>
          </w:p>
        </w:tc>
      </w:tr>
      <w:tr w:rsidR="00C160C7" w:rsidRPr="00C53FB5" w14:paraId="0A6DE197" w14:textId="77777777" w:rsidTr="00BF4052">
        <w:tc>
          <w:tcPr>
            <w:tcW w:w="1838" w:type="dxa"/>
          </w:tcPr>
          <w:p w14:paraId="15C3ED7B" w14:textId="77777777" w:rsidR="00C160C7" w:rsidRPr="00C160C7" w:rsidRDefault="00C160C7" w:rsidP="000A69BD">
            <w:pPr>
              <w:pStyle w:val="ECCTabletext"/>
              <w:jc w:val="left"/>
            </w:pPr>
            <w:r>
              <w:t>231</w:t>
            </w:r>
            <w:r w:rsidR="00CF4994">
              <w:t>.5</w:t>
            </w:r>
            <w:r w:rsidRPr="00C160C7">
              <w:t xml:space="preserve"> to 250 GHz</w:t>
            </w:r>
          </w:p>
        </w:tc>
        <w:tc>
          <w:tcPr>
            <w:tcW w:w="1569" w:type="dxa"/>
          </w:tcPr>
          <w:p w14:paraId="187A3B76" w14:textId="77777777" w:rsidR="00C160C7" w:rsidRPr="00C160C7" w:rsidRDefault="00C160C7" w:rsidP="000A69BD">
            <w:pPr>
              <w:pStyle w:val="ECCTabletext"/>
              <w:jc w:val="left"/>
            </w:pPr>
            <w:r>
              <w:t>1 GHz</w:t>
            </w:r>
          </w:p>
        </w:tc>
        <w:tc>
          <w:tcPr>
            <w:tcW w:w="1513" w:type="dxa"/>
          </w:tcPr>
          <w:p w14:paraId="2447E50D" w14:textId="44C7552C" w:rsidR="00C160C7" w:rsidRPr="00C160C7" w:rsidRDefault="00C160C7" w:rsidP="000A69BD">
            <w:pPr>
              <w:pStyle w:val="ECCTabletext"/>
              <w:jc w:val="left"/>
            </w:pPr>
            <w:r>
              <w:t>5</w:t>
            </w:r>
            <w:r w:rsidR="00F800A2">
              <w:t>%</w:t>
            </w:r>
          </w:p>
        </w:tc>
        <w:tc>
          <w:tcPr>
            <w:tcW w:w="1767" w:type="dxa"/>
          </w:tcPr>
          <w:p w14:paraId="752AECA0" w14:textId="77777777" w:rsidR="00C160C7" w:rsidRPr="00C160C7" w:rsidRDefault="00C160C7" w:rsidP="000A69BD">
            <w:pPr>
              <w:pStyle w:val="ECCTabletext"/>
              <w:jc w:val="left"/>
            </w:pPr>
            <w:r>
              <w:t>-</w:t>
            </w:r>
            <w:r w:rsidR="00111243">
              <w:t>6</w:t>
            </w:r>
            <w:r>
              <w:t> dBm/MHz</w:t>
            </w:r>
          </w:p>
        </w:tc>
        <w:tc>
          <w:tcPr>
            <w:tcW w:w="1360" w:type="dxa"/>
          </w:tcPr>
          <w:p w14:paraId="0AC4AC37" w14:textId="77777777" w:rsidR="00C160C7" w:rsidRPr="00C160C7" w:rsidRDefault="00C160C7" w:rsidP="000A69BD">
            <w:pPr>
              <w:pStyle w:val="ECCTabletext"/>
              <w:jc w:val="left"/>
            </w:pPr>
            <w:r>
              <w:t>3</w:t>
            </w:r>
            <w:r w:rsidR="00111243">
              <w:t>7</w:t>
            </w:r>
            <w:r>
              <w:t> dBm</w:t>
            </w:r>
          </w:p>
        </w:tc>
        <w:tc>
          <w:tcPr>
            <w:tcW w:w="1360" w:type="dxa"/>
          </w:tcPr>
          <w:p w14:paraId="360F77A6" w14:textId="77777777" w:rsidR="00C160C7" w:rsidRDefault="00C160C7" w:rsidP="000A69BD">
            <w:pPr>
              <w:pStyle w:val="ECCTabletext"/>
              <w:jc w:val="left"/>
            </w:pPr>
            <w:r>
              <w:t>20 dB</w:t>
            </w:r>
          </w:p>
        </w:tc>
      </w:tr>
      <w:tr w:rsidR="00F40538" w:rsidRPr="00C53FB5" w14:paraId="5E892866" w14:textId="77777777" w:rsidTr="00200700">
        <w:tc>
          <w:tcPr>
            <w:tcW w:w="9407" w:type="dxa"/>
            <w:gridSpan w:val="6"/>
          </w:tcPr>
          <w:p w14:paraId="34741FDE" w14:textId="77777777" w:rsidR="00F40538" w:rsidRPr="00F40538" w:rsidRDefault="00F40538" w:rsidP="00464AE0">
            <w:pPr>
              <w:pStyle w:val="ECCTablenote"/>
            </w:pPr>
            <w:r>
              <w:t xml:space="preserve">Note 1: Assumed out-of-band attenuation of the </w:t>
            </w:r>
            <w:r w:rsidRPr="00F40538">
              <w:t>LPR-signal in adjacent bands allocated to RAS.</w:t>
            </w:r>
          </w:p>
          <w:p w14:paraId="65F76276" w14:textId="7D847A40" w:rsidR="00F40538" w:rsidRDefault="00F40538" w:rsidP="00464AE0">
            <w:pPr>
              <w:pStyle w:val="ECCTablenote"/>
            </w:pPr>
            <w:r w:rsidRPr="00143CCA">
              <w:t>Note 2: The duty cycle of 5</w:t>
            </w:r>
            <w:r w:rsidR="00F800A2">
              <w:t>%</w:t>
            </w:r>
            <w:r w:rsidRPr="00143CCA">
              <w:t xml:space="preserve"> is already considered in this mean e.i.r.p. spectral density value. Consequently, the given mean e.i.r.p. spectral density is valid </w:t>
            </w:r>
            <w:r w:rsidRPr="00F40538">
              <w:t>for averaging over the whole measurement cycle T</w:t>
            </w:r>
            <w:r w:rsidRPr="00F40538">
              <w:rPr>
                <w:rStyle w:val="ECCHLsubscript"/>
              </w:rPr>
              <w:t xml:space="preserve">meas_cycle </w:t>
            </w:r>
            <w:r w:rsidRPr="00F40538">
              <w:t>of the device including any T</w:t>
            </w:r>
            <w:r w:rsidRPr="00F40538">
              <w:rPr>
                <w:rStyle w:val="ECCHLsubscript"/>
              </w:rPr>
              <w:t>off</w:t>
            </w:r>
            <w:r w:rsidRPr="00F40538">
              <w:t xml:space="preserve"> times (see </w:t>
            </w:r>
            <w:r w:rsidRPr="00F40538">
              <w:fldChar w:fldCharType="begin"/>
            </w:r>
            <w:r w:rsidRPr="00F40538">
              <w:instrText xml:space="preserve"> REF _Ref8900572 \h </w:instrText>
            </w:r>
            <w:r w:rsidRPr="00F40538">
              <w:fldChar w:fldCharType="separate"/>
            </w:r>
            <w:r w:rsidR="0041125F" w:rsidRPr="006D6727">
              <w:rPr>
                <w:noProof/>
              </w:rPr>
              <w:t>Figure </w:t>
            </w:r>
            <w:r w:rsidR="0041125F">
              <w:rPr>
                <w:noProof/>
              </w:rPr>
              <w:t>36</w:t>
            </w:r>
            <w:r w:rsidRPr="00F40538">
              <w:fldChar w:fldCharType="end"/>
            </w:r>
            <w:r w:rsidRPr="00F40538">
              <w:t>).</w:t>
            </w:r>
          </w:p>
        </w:tc>
      </w:tr>
    </w:tbl>
    <w:p w14:paraId="4EDFC199" w14:textId="77777777" w:rsidR="00E421AD" w:rsidRDefault="00E421AD" w:rsidP="00E421AD">
      <w:pPr>
        <w:pStyle w:val="Heading3"/>
      </w:pPr>
      <w:bookmarkStart w:id="556" w:name="_Ref67328546"/>
      <w:bookmarkStart w:id="557" w:name="_Ref67328647"/>
      <w:bookmarkStart w:id="558" w:name="_Ref67389134"/>
      <w:bookmarkStart w:id="559" w:name="_Toc84325363"/>
      <w:bookmarkStart w:id="560" w:name="_Toc127346287"/>
      <w:r>
        <w:t>Results</w:t>
      </w:r>
      <w:bookmarkEnd w:id="556"/>
      <w:bookmarkEnd w:id="557"/>
      <w:bookmarkEnd w:id="558"/>
      <w:bookmarkEnd w:id="559"/>
      <w:bookmarkEnd w:id="560"/>
    </w:p>
    <w:p w14:paraId="7912DDAD" w14:textId="38553DE7" w:rsidR="00E421AD" w:rsidRPr="00B10E31" w:rsidRDefault="00CB26D1" w:rsidP="00E421AD">
      <w:r>
        <w:fldChar w:fldCharType="begin"/>
      </w:r>
      <w:r>
        <w:instrText xml:space="preserve"> REF _Ref66452120 \h </w:instrText>
      </w:r>
      <w:r>
        <w:fldChar w:fldCharType="separate"/>
      </w:r>
      <w:r w:rsidR="0041125F" w:rsidRPr="00FF50FD">
        <w:t>Table </w:t>
      </w:r>
      <w:r w:rsidR="0041125F">
        <w:rPr>
          <w:noProof/>
        </w:rPr>
        <w:t>56</w:t>
      </w:r>
      <w:r>
        <w:fldChar w:fldCharType="end"/>
      </w:r>
      <w:r>
        <w:t xml:space="preserve"> </w:t>
      </w:r>
      <w:r w:rsidR="00E421AD" w:rsidRPr="00B10E31">
        <w:t xml:space="preserve">shows the single-entry </w:t>
      </w:r>
      <w:r w:rsidR="00791D2C">
        <w:t>worst</w:t>
      </w:r>
      <w:r w:rsidR="00E421AD" w:rsidRPr="00B10E31">
        <w:t>-case results for LPR, e.g. the largest separation distances for the individual frequency ranges, and RAS victim sensor types.</w:t>
      </w:r>
    </w:p>
    <w:p w14:paraId="63CF208B" w14:textId="705C84E0" w:rsidR="00E421AD" w:rsidRDefault="00CB26D1" w:rsidP="00E421AD">
      <w:pPr>
        <w:pStyle w:val="Caption"/>
        <w:rPr>
          <w:rStyle w:val="ECCParagraph"/>
        </w:rPr>
      </w:pPr>
      <w:bookmarkStart w:id="561" w:name="_Ref66452120"/>
      <w:r w:rsidRPr="00FF50FD">
        <w:t>Table </w:t>
      </w:r>
      <w:r w:rsidRPr="0091705E">
        <w:fldChar w:fldCharType="begin"/>
      </w:r>
      <w:r w:rsidRPr="00FF50FD">
        <w:instrText xml:space="preserve"> SEQ Table \* ARABIC </w:instrText>
      </w:r>
      <w:r w:rsidRPr="0091705E">
        <w:fldChar w:fldCharType="separate"/>
      </w:r>
      <w:r w:rsidR="004F49F9">
        <w:rPr>
          <w:noProof/>
        </w:rPr>
        <w:t>56</w:t>
      </w:r>
      <w:r w:rsidRPr="0091705E">
        <w:fldChar w:fldCharType="end"/>
      </w:r>
      <w:bookmarkEnd w:id="561"/>
      <w:r w:rsidR="00E421AD" w:rsidRPr="00E421AD">
        <w:t>: Required separation distances determined in a single-entry study for LPR</w:t>
      </w:r>
    </w:p>
    <w:tbl>
      <w:tblPr>
        <w:tblStyle w:val="ECCTable-redheader"/>
        <w:tblW w:w="4267" w:type="pct"/>
        <w:tblInd w:w="0" w:type="dxa"/>
        <w:tblLook w:val="04A0" w:firstRow="1" w:lastRow="0" w:firstColumn="1" w:lastColumn="0" w:noHBand="0" w:noVBand="1"/>
      </w:tblPr>
      <w:tblGrid>
        <w:gridCol w:w="2123"/>
        <w:gridCol w:w="2835"/>
        <w:gridCol w:w="1701"/>
        <w:gridCol w:w="1558"/>
      </w:tblGrid>
      <w:tr w:rsidR="006A6083" w14:paraId="4F1388E4" w14:textId="77777777" w:rsidTr="006A6083">
        <w:trPr>
          <w:cnfStyle w:val="100000000000" w:firstRow="1" w:lastRow="0" w:firstColumn="0" w:lastColumn="0" w:oddVBand="0" w:evenVBand="0" w:oddHBand="0" w:evenHBand="0" w:firstRowFirstColumn="0" w:firstRowLastColumn="0" w:lastRowFirstColumn="0" w:lastRowLastColumn="0"/>
        </w:trPr>
        <w:tc>
          <w:tcPr>
            <w:tcW w:w="1292" w:type="pct"/>
          </w:tcPr>
          <w:p w14:paraId="1C206783" w14:textId="77777777" w:rsidR="00E421AD" w:rsidRPr="00E421AD" w:rsidRDefault="00E421AD" w:rsidP="00876039">
            <w:pPr>
              <w:pStyle w:val="ECCTableHeaderwhitefont"/>
            </w:pPr>
            <w:r w:rsidRPr="00E421AD">
              <w:t>Investigated frequency range</w:t>
            </w:r>
          </w:p>
        </w:tc>
        <w:tc>
          <w:tcPr>
            <w:tcW w:w="1725" w:type="pct"/>
          </w:tcPr>
          <w:p w14:paraId="222FDF76" w14:textId="77777777" w:rsidR="00E421AD" w:rsidRPr="00E421AD" w:rsidRDefault="00E421AD" w:rsidP="000A69BD">
            <w:pPr>
              <w:pStyle w:val="ECCTableHeaderwhitefont"/>
            </w:pPr>
            <w:r w:rsidRPr="00E421AD">
              <w:t>Allocated band for RAS</w:t>
            </w:r>
          </w:p>
        </w:tc>
        <w:tc>
          <w:tcPr>
            <w:tcW w:w="1035" w:type="pct"/>
          </w:tcPr>
          <w:p w14:paraId="219C87AA" w14:textId="77777777" w:rsidR="00E421AD" w:rsidRPr="00E421AD" w:rsidRDefault="00E421AD" w:rsidP="000A69BD">
            <w:pPr>
              <w:pStyle w:val="ECCTableHeaderwhitefont"/>
            </w:pPr>
            <w:r w:rsidRPr="00B10E31">
              <w:t>Required separation distance for RAS CO</w:t>
            </w:r>
          </w:p>
        </w:tc>
        <w:tc>
          <w:tcPr>
            <w:tcW w:w="948" w:type="pct"/>
          </w:tcPr>
          <w:p w14:paraId="0D0D376A" w14:textId="77777777" w:rsidR="00E421AD" w:rsidRPr="00E421AD" w:rsidRDefault="00E421AD" w:rsidP="000A69BD">
            <w:pPr>
              <w:pStyle w:val="ECCTableHeaderwhitefont"/>
            </w:pPr>
            <w:r w:rsidRPr="00B10E31">
              <w:t>Required separation distance for RAS SLO</w:t>
            </w:r>
          </w:p>
        </w:tc>
      </w:tr>
      <w:tr w:rsidR="00E421AD" w14:paraId="6D160467" w14:textId="77777777" w:rsidTr="006A6083">
        <w:tc>
          <w:tcPr>
            <w:tcW w:w="1292" w:type="pct"/>
            <w:vMerge w:val="restart"/>
          </w:tcPr>
          <w:p w14:paraId="3B777330" w14:textId="77777777" w:rsidR="00E421AD" w:rsidRPr="00E421AD" w:rsidRDefault="00E421AD" w:rsidP="000A69BD">
            <w:pPr>
              <w:pStyle w:val="ECCTabletext"/>
              <w:jc w:val="left"/>
            </w:pPr>
            <w:r w:rsidRPr="00C53FB5">
              <w:t>116 to 148</w:t>
            </w:r>
            <w:r w:rsidR="00CF4994">
              <w:t>.5</w:t>
            </w:r>
            <w:r w:rsidRPr="00C53FB5">
              <w:t> GHz</w:t>
            </w:r>
          </w:p>
        </w:tc>
        <w:tc>
          <w:tcPr>
            <w:tcW w:w="1725" w:type="pct"/>
          </w:tcPr>
          <w:p w14:paraId="708AC28A" w14:textId="77777777" w:rsidR="00E421AD" w:rsidRPr="00E421AD" w:rsidRDefault="00E421AD" w:rsidP="000A69BD">
            <w:pPr>
              <w:pStyle w:val="ECCTabletext"/>
              <w:jc w:val="left"/>
            </w:pPr>
            <w:r w:rsidRPr="00C53FB5">
              <w:t>76 to 116 GHz</w:t>
            </w:r>
            <w:r w:rsidR="00C160C7">
              <w:t xml:space="preserve"> (OOB)</w:t>
            </w:r>
          </w:p>
        </w:tc>
        <w:tc>
          <w:tcPr>
            <w:tcW w:w="1035" w:type="pct"/>
          </w:tcPr>
          <w:p w14:paraId="16561AA0" w14:textId="77777777" w:rsidR="00E421AD" w:rsidRPr="00E421AD" w:rsidRDefault="00390608" w:rsidP="000A69BD">
            <w:pPr>
              <w:pStyle w:val="ECCTabletext"/>
              <w:jc w:val="left"/>
            </w:pPr>
            <w:r>
              <w:t>1</w:t>
            </w:r>
            <w:r w:rsidR="00CF4994">
              <w:t>.2</w:t>
            </w:r>
            <w:r w:rsidR="00E421AD" w:rsidRPr="00C53FB5">
              <w:t> km</w:t>
            </w:r>
          </w:p>
        </w:tc>
        <w:tc>
          <w:tcPr>
            <w:tcW w:w="948" w:type="pct"/>
          </w:tcPr>
          <w:p w14:paraId="00483496" w14:textId="77777777" w:rsidR="00E421AD" w:rsidRPr="00E421AD" w:rsidRDefault="00E421AD" w:rsidP="000A69BD">
            <w:pPr>
              <w:pStyle w:val="ECCTabletext"/>
              <w:jc w:val="left"/>
            </w:pPr>
            <w:r w:rsidRPr="00C53FB5">
              <w:t>0</w:t>
            </w:r>
            <w:r w:rsidR="00CF4994">
              <w:t>.3</w:t>
            </w:r>
            <w:r w:rsidRPr="00C53FB5">
              <w:t> km</w:t>
            </w:r>
          </w:p>
        </w:tc>
      </w:tr>
      <w:tr w:rsidR="006A6083" w14:paraId="0C811CDB" w14:textId="77777777" w:rsidTr="006A6083">
        <w:tc>
          <w:tcPr>
            <w:tcW w:w="1292" w:type="pct"/>
            <w:vMerge/>
          </w:tcPr>
          <w:p w14:paraId="00B3E02E" w14:textId="77777777" w:rsidR="00E421AD" w:rsidRPr="00C53FB5" w:rsidRDefault="00E421AD" w:rsidP="00E421AD">
            <w:pPr>
              <w:pStyle w:val="ECCTabletext"/>
            </w:pPr>
          </w:p>
        </w:tc>
        <w:tc>
          <w:tcPr>
            <w:tcW w:w="1725" w:type="pct"/>
          </w:tcPr>
          <w:p w14:paraId="0FABF0D9" w14:textId="77777777" w:rsidR="00E421AD" w:rsidRPr="00E421AD" w:rsidRDefault="00E421AD" w:rsidP="000A69BD">
            <w:pPr>
              <w:pStyle w:val="ECCTabletext"/>
              <w:jc w:val="left"/>
            </w:pPr>
            <w:r w:rsidRPr="00C53FB5">
              <w:t>123 to 158</w:t>
            </w:r>
            <w:r w:rsidR="00CF4994">
              <w:t>.5</w:t>
            </w:r>
            <w:r w:rsidRPr="00C53FB5">
              <w:t> GHz</w:t>
            </w:r>
            <w:r w:rsidR="00C160C7">
              <w:t xml:space="preserve"> (In-band)</w:t>
            </w:r>
          </w:p>
        </w:tc>
        <w:tc>
          <w:tcPr>
            <w:tcW w:w="1035" w:type="pct"/>
          </w:tcPr>
          <w:p w14:paraId="524367C9" w14:textId="77777777" w:rsidR="00E421AD" w:rsidRPr="00E421AD" w:rsidRDefault="00390608" w:rsidP="000A69BD">
            <w:pPr>
              <w:pStyle w:val="ECCTabletext"/>
              <w:jc w:val="left"/>
            </w:pPr>
            <w:r>
              <w:t>13</w:t>
            </w:r>
            <w:r w:rsidR="00CF4994">
              <w:t>.0</w:t>
            </w:r>
            <w:r w:rsidR="00E421AD" w:rsidRPr="00C53FB5">
              <w:t> km</w:t>
            </w:r>
          </w:p>
        </w:tc>
        <w:tc>
          <w:tcPr>
            <w:tcW w:w="948" w:type="pct"/>
            <w:shd w:val="clear" w:color="auto" w:fill="auto"/>
          </w:tcPr>
          <w:p w14:paraId="7EF15CC6" w14:textId="77777777" w:rsidR="00E421AD" w:rsidRPr="00E421AD" w:rsidRDefault="00390608" w:rsidP="000A69BD">
            <w:pPr>
              <w:pStyle w:val="ECCTabletext"/>
              <w:jc w:val="left"/>
            </w:pPr>
            <w:r>
              <w:t>1</w:t>
            </w:r>
            <w:r w:rsidR="00CF4994">
              <w:t>.6</w:t>
            </w:r>
            <w:r w:rsidR="008C6EE6">
              <w:t> </w:t>
            </w:r>
            <w:r w:rsidR="00E421AD" w:rsidRPr="00C53FB5">
              <w:t>km</w:t>
            </w:r>
          </w:p>
        </w:tc>
      </w:tr>
      <w:tr w:rsidR="00E421AD" w14:paraId="26206A54" w14:textId="77777777" w:rsidTr="006A6083">
        <w:tc>
          <w:tcPr>
            <w:tcW w:w="1292" w:type="pct"/>
            <w:vMerge w:val="restart"/>
          </w:tcPr>
          <w:p w14:paraId="503CBA06" w14:textId="77777777" w:rsidR="00E421AD" w:rsidRPr="00E421AD" w:rsidRDefault="00E421AD" w:rsidP="000A69BD">
            <w:pPr>
              <w:pStyle w:val="ECCTabletext"/>
              <w:jc w:val="left"/>
            </w:pPr>
            <w:r w:rsidRPr="00C53FB5">
              <w:t>167 to 182 GHz</w:t>
            </w:r>
          </w:p>
        </w:tc>
        <w:tc>
          <w:tcPr>
            <w:tcW w:w="1725" w:type="pct"/>
          </w:tcPr>
          <w:p w14:paraId="44B9686C" w14:textId="77777777" w:rsidR="00E421AD" w:rsidRPr="00E421AD" w:rsidRDefault="00E421AD" w:rsidP="000A69BD">
            <w:pPr>
              <w:pStyle w:val="ECCTabletext"/>
              <w:jc w:val="left"/>
            </w:pPr>
            <w:r w:rsidRPr="00C53FB5">
              <w:t>164 to 174</w:t>
            </w:r>
            <w:r w:rsidR="00CF4994">
              <w:t>.5</w:t>
            </w:r>
            <w:r w:rsidRPr="00C53FB5">
              <w:t> GHz</w:t>
            </w:r>
            <w:r w:rsidR="00C160C7">
              <w:t xml:space="preserve"> (In-band)</w:t>
            </w:r>
          </w:p>
        </w:tc>
        <w:tc>
          <w:tcPr>
            <w:tcW w:w="1035" w:type="pct"/>
          </w:tcPr>
          <w:p w14:paraId="17E7D4D3" w14:textId="77777777" w:rsidR="00E421AD" w:rsidRPr="00E421AD" w:rsidRDefault="00390608" w:rsidP="000A69BD">
            <w:pPr>
              <w:pStyle w:val="ECCTabletext"/>
              <w:jc w:val="left"/>
            </w:pPr>
            <w:r>
              <w:t>10</w:t>
            </w:r>
            <w:r w:rsidR="00CF4994">
              <w:t>.0</w:t>
            </w:r>
            <w:r w:rsidR="00E421AD" w:rsidRPr="00C53FB5">
              <w:t> km</w:t>
            </w:r>
          </w:p>
        </w:tc>
        <w:tc>
          <w:tcPr>
            <w:tcW w:w="948" w:type="pct"/>
          </w:tcPr>
          <w:p w14:paraId="33DC511C" w14:textId="77777777" w:rsidR="00E421AD" w:rsidRPr="00E421AD" w:rsidRDefault="00390608" w:rsidP="000A69BD">
            <w:pPr>
              <w:pStyle w:val="ECCTabletext"/>
              <w:jc w:val="left"/>
            </w:pPr>
            <w:r>
              <w:t>1</w:t>
            </w:r>
            <w:r w:rsidR="00CF4994">
              <w:t>.4</w:t>
            </w:r>
            <w:r w:rsidR="008C6EE6">
              <w:t> </w:t>
            </w:r>
            <w:r w:rsidR="00E421AD" w:rsidRPr="00C53FB5">
              <w:t>km</w:t>
            </w:r>
          </w:p>
        </w:tc>
      </w:tr>
      <w:tr w:rsidR="00E421AD" w14:paraId="1708F71F" w14:textId="77777777" w:rsidTr="006A6083">
        <w:tc>
          <w:tcPr>
            <w:tcW w:w="1292" w:type="pct"/>
            <w:vMerge/>
          </w:tcPr>
          <w:p w14:paraId="449BD31C" w14:textId="77777777" w:rsidR="00E421AD" w:rsidRPr="00C53FB5" w:rsidRDefault="00E421AD" w:rsidP="00E421AD">
            <w:pPr>
              <w:pStyle w:val="ECCTabletext"/>
            </w:pPr>
          </w:p>
        </w:tc>
        <w:tc>
          <w:tcPr>
            <w:tcW w:w="1725" w:type="pct"/>
          </w:tcPr>
          <w:p w14:paraId="28FEB4A9" w14:textId="77777777" w:rsidR="00E421AD" w:rsidRPr="00E421AD" w:rsidRDefault="00E421AD" w:rsidP="000A69BD">
            <w:pPr>
              <w:pStyle w:val="ECCTabletext"/>
              <w:jc w:val="left"/>
            </w:pPr>
            <w:r w:rsidRPr="00C53FB5">
              <w:t>182 to 185 GHz</w:t>
            </w:r>
            <w:r w:rsidR="00C160C7">
              <w:t xml:space="preserve"> (OOB)</w:t>
            </w:r>
          </w:p>
        </w:tc>
        <w:tc>
          <w:tcPr>
            <w:tcW w:w="1035" w:type="pct"/>
          </w:tcPr>
          <w:p w14:paraId="4E6588EA" w14:textId="77777777" w:rsidR="00E421AD" w:rsidRPr="00E421AD" w:rsidRDefault="00390608" w:rsidP="000A69BD">
            <w:pPr>
              <w:pStyle w:val="ECCTabletext"/>
              <w:jc w:val="left"/>
            </w:pPr>
            <w:r>
              <w:t>0</w:t>
            </w:r>
            <w:r w:rsidR="00CF4994">
              <w:t>.5</w:t>
            </w:r>
            <w:r w:rsidR="00E421AD" w:rsidRPr="00C53FB5">
              <w:t> km</w:t>
            </w:r>
          </w:p>
        </w:tc>
        <w:tc>
          <w:tcPr>
            <w:tcW w:w="948" w:type="pct"/>
          </w:tcPr>
          <w:p w14:paraId="28426AD3" w14:textId="77777777" w:rsidR="00E421AD" w:rsidRPr="00E421AD" w:rsidRDefault="00E421AD" w:rsidP="000A69BD">
            <w:pPr>
              <w:pStyle w:val="ECCTabletext"/>
              <w:jc w:val="left"/>
              <w:rPr>
                <w:highlight w:val="yellow"/>
              </w:rPr>
            </w:pPr>
            <w:r w:rsidRPr="00C53FB5">
              <w:t>0</w:t>
            </w:r>
            <w:r w:rsidR="00CF4994">
              <w:t>.2</w:t>
            </w:r>
            <w:r w:rsidRPr="00C53FB5">
              <w:t> km</w:t>
            </w:r>
          </w:p>
        </w:tc>
      </w:tr>
      <w:tr w:rsidR="00E421AD" w14:paraId="4E4AA0DD" w14:textId="77777777" w:rsidTr="006A6083">
        <w:tc>
          <w:tcPr>
            <w:tcW w:w="1292" w:type="pct"/>
            <w:vMerge w:val="restart"/>
          </w:tcPr>
          <w:p w14:paraId="4DFD2B44" w14:textId="77777777" w:rsidR="00E421AD" w:rsidRPr="00E421AD" w:rsidRDefault="00E421AD" w:rsidP="000A69BD">
            <w:pPr>
              <w:pStyle w:val="ECCTabletext"/>
              <w:jc w:val="left"/>
            </w:pPr>
            <w:r w:rsidRPr="00C53FB5">
              <w:t>231</w:t>
            </w:r>
            <w:r w:rsidR="00CF4994">
              <w:t>.5</w:t>
            </w:r>
            <w:r w:rsidRPr="00C53FB5">
              <w:t xml:space="preserve"> to 250 GHz</w:t>
            </w:r>
          </w:p>
        </w:tc>
        <w:tc>
          <w:tcPr>
            <w:tcW w:w="1725" w:type="pct"/>
          </w:tcPr>
          <w:p w14:paraId="0471A2BA" w14:textId="77777777" w:rsidR="00E421AD" w:rsidRPr="00E421AD" w:rsidRDefault="00E421AD" w:rsidP="000A69BD">
            <w:pPr>
              <w:pStyle w:val="ECCTabletext"/>
              <w:jc w:val="left"/>
            </w:pPr>
            <w:r w:rsidRPr="00C53FB5">
              <w:t>190 to 231</w:t>
            </w:r>
            <w:r w:rsidR="00CF4994">
              <w:t>.5</w:t>
            </w:r>
            <w:r w:rsidRPr="00C53FB5">
              <w:t> GHz</w:t>
            </w:r>
            <w:r w:rsidR="00C160C7">
              <w:t xml:space="preserve"> (OOB)</w:t>
            </w:r>
          </w:p>
        </w:tc>
        <w:tc>
          <w:tcPr>
            <w:tcW w:w="1035" w:type="pct"/>
          </w:tcPr>
          <w:p w14:paraId="167C76F0" w14:textId="77777777" w:rsidR="00E421AD" w:rsidRPr="00E421AD" w:rsidRDefault="00E421AD" w:rsidP="000A69BD">
            <w:pPr>
              <w:pStyle w:val="ECCTabletext"/>
              <w:jc w:val="left"/>
            </w:pPr>
            <w:r w:rsidRPr="00C53FB5">
              <w:t>0</w:t>
            </w:r>
            <w:r w:rsidR="00CF4994">
              <w:t>.9</w:t>
            </w:r>
            <w:r w:rsidRPr="00C53FB5">
              <w:t> km</w:t>
            </w:r>
          </w:p>
        </w:tc>
        <w:tc>
          <w:tcPr>
            <w:tcW w:w="948" w:type="pct"/>
          </w:tcPr>
          <w:p w14:paraId="3FEBA5F6" w14:textId="77777777" w:rsidR="00E421AD" w:rsidRPr="00E421AD" w:rsidRDefault="00E421AD" w:rsidP="000A69BD">
            <w:pPr>
              <w:pStyle w:val="ECCTabletext"/>
              <w:jc w:val="left"/>
            </w:pPr>
            <w:r w:rsidRPr="00C53FB5">
              <w:t>0</w:t>
            </w:r>
            <w:r w:rsidR="00CF4994">
              <w:t>.1</w:t>
            </w:r>
            <w:r w:rsidR="0017043C">
              <w:t> </w:t>
            </w:r>
            <w:r w:rsidRPr="00C53FB5">
              <w:t>km</w:t>
            </w:r>
          </w:p>
        </w:tc>
      </w:tr>
      <w:tr w:rsidR="00E421AD" w14:paraId="3DE0FD3E" w14:textId="77777777" w:rsidTr="006A6083">
        <w:tc>
          <w:tcPr>
            <w:tcW w:w="1292" w:type="pct"/>
            <w:vMerge/>
          </w:tcPr>
          <w:p w14:paraId="200A179A" w14:textId="77777777" w:rsidR="00E421AD" w:rsidRPr="00C53FB5" w:rsidRDefault="00E421AD" w:rsidP="00E421AD">
            <w:pPr>
              <w:pStyle w:val="ECCTabletext"/>
            </w:pPr>
          </w:p>
        </w:tc>
        <w:tc>
          <w:tcPr>
            <w:tcW w:w="1725" w:type="pct"/>
          </w:tcPr>
          <w:p w14:paraId="3E383634" w14:textId="77777777" w:rsidR="00E421AD" w:rsidRPr="00E421AD" w:rsidRDefault="00E421AD" w:rsidP="000A69BD">
            <w:pPr>
              <w:pStyle w:val="ECCTabletext"/>
              <w:jc w:val="left"/>
            </w:pPr>
            <w:r w:rsidRPr="00C53FB5">
              <w:t>235 to 238 GHz</w:t>
            </w:r>
            <w:r w:rsidR="00C160C7">
              <w:t xml:space="preserve"> (In-band)</w:t>
            </w:r>
          </w:p>
        </w:tc>
        <w:tc>
          <w:tcPr>
            <w:tcW w:w="1035" w:type="pct"/>
          </w:tcPr>
          <w:p w14:paraId="0D8438C5" w14:textId="77777777" w:rsidR="00E421AD" w:rsidRPr="00E421AD" w:rsidRDefault="002E6095" w:rsidP="000A69BD">
            <w:pPr>
              <w:pStyle w:val="ECCTabletext"/>
              <w:jc w:val="left"/>
            </w:pPr>
            <w:r>
              <w:t>6</w:t>
            </w:r>
            <w:r w:rsidR="00CF4994">
              <w:t>.4</w:t>
            </w:r>
            <w:r w:rsidR="00E421AD" w:rsidRPr="00C53FB5">
              <w:t> km</w:t>
            </w:r>
          </w:p>
        </w:tc>
        <w:tc>
          <w:tcPr>
            <w:tcW w:w="948" w:type="pct"/>
          </w:tcPr>
          <w:p w14:paraId="248282CF" w14:textId="77777777" w:rsidR="00E421AD" w:rsidRPr="00E421AD" w:rsidRDefault="00E421AD" w:rsidP="000A69BD">
            <w:pPr>
              <w:pStyle w:val="ECCTabletext"/>
              <w:jc w:val="left"/>
            </w:pPr>
            <w:r w:rsidRPr="00C53FB5">
              <w:t>0</w:t>
            </w:r>
            <w:r w:rsidR="00CF4994">
              <w:t>.8</w:t>
            </w:r>
            <w:r w:rsidRPr="00C53FB5">
              <w:t> km</w:t>
            </w:r>
          </w:p>
        </w:tc>
      </w:tr>
      <w:tr w:rsidR="006A6083" w14:paraId="744958C0" w14:textId="77777777" w:rsidTr="006A6083">
        <w:tc>
          <w:tcPr>
            <w:tcW w:w="1292" w:type="pct"/>
            <w:vMerge/>
          </w:tcPr>
          <w:p w14:paraId="7B5FF648" w14:textId="77777777" w:rsidR="00E421AD" w:rsidRPr="00C53FB5" w:rsidRDefault="00E421AD" w:rsidP="00E421AD">
            <w:pPr>
              <w:pStyle w:val="ECCTabletext"/>
            </w:pPr>
          </w:p>
        </w:tc>
        <w:tc>
          <w:tcPr>
            <w:tcW w:w="1725" w:type="pct"/>
          </w:tcPr>
          <w:p w14:paraId="2B78224A" w14:textId="77777777" w:rsidR="00E421AD" w:rsidRPr="00E421AD" w:rsidRDefault="00E421AD" w:rsidP="000A69BD">
            <w:pPr>
              <w:pStyle w:val="ECCTabletext"/>
              <w:jc w:val="left"/>
            </w:pPr>
            <w:r w:rsidRPr="00C53FB5">
              <w:t>241 to 275 GHz</w:t>
            </w:r>
            <w:r w:rsidR="00C160C7">
              <w:t xml:space="preserve"> (In-band)</w:t>
            </w:r>
          </w:p>
        </w:tc>
        <w:tc>
          <w:tcPr>
            <w:tcW w:w="1035" w:type="pct"/>
          </w:tcPr>
          <w:p w14:paraId="3AC84DB8" w14:textId="77777777" w:rsidR="00E421AD" w:rsidRPr="00E421AD" w:rsidRDefault="002E6095" w:rsidP="000A69BD">
            <w:pPr>
              <w:pStyle w:val="ECCTabletext"/>
              <w:jc w:val="left"/>
            </w:pPr>
            <w:r>
              <w:t>5</w:t>
            </w:r>
            <w:r w:rsidR="00CF4994">
              <w:t>.6</w:t>
            </w:r>
            <w:r w:rsidR="00E421AD" w:rsidRPr="00C53FB5">
              <w:t> km</w:t>
            </w:r>
          </w:p>
        </w:tc>
        <w:tc>
          <w:tcPr>
            <w:tcW w:w="948" w:type="pct"/>
            <w:shd w:val="clear" w:color="auto" w:fill="auto"/>
          </w:tcPr>
          <w:p w14:paraId="315A67B5" w14:textId="77777777" w:rsidR="00E421AD" w:rsidRPr="00E421AD" w:rsidRDefault="00E421AD" w:rsidP="000A69BD">
            <w:pPr>
              <w:pStyle w:val="ECCTabletext"/>
              <w:jc w:val="left"/>
            </w:pPr>
            <w:r w:rsidRPr="00C53FB5">
              <w:t>0</w:t>
            </w:r>
            <w:r w:rsidR="00CF4994">
              <w:t>.8</w:t>
            </w:r>
            <w:r w:rsidRPr="00C53FB5">
              <w:t> km</w:t>
            </w:r>
          </w:p>
        </w:tc>
      </w:tr>
    </w:tbl>
    <w:p w14:paraId="3CDEC153" w14:textId="3EA1E584" w:rsidR="00E421AD" w:rsidRDefault="00530C48" w:rsidP="00530C48">
      <w:r>
        <w:t xml:space="preserve">The conclusions drawn from these results can be found in </w:t>
      </w:r>
      <w:r w:rsidR="009D5FA2">
        <w:t>section</w:t>
      </w:r>
      <w:r>
        <w:t xml:space="preserve"> </w:t>
      </w:r>
      <w:r>
        <w:fldChar w:fldCharType="begin"/>
      </w:r>
      <w:r>
        <w:instrText xml:space="preserve"> REF _Ref67392435 \r \h </w:instrText>
      </w:r>
      <w:r>
        <w:fldChar w:fldCharType="separate"/>
      </w:r>
      <w:r w:rsidR="004F49F9">
        <w:t>8.5.2</w:t>
      </w:r>
      <w:r>
        <w:fldChar w:fldCharType="end"/>
      </w:r>
      <w:r>
        <w:t>.</w:t>
      </w:r>
    </w:p>
    <w:p w14:paraId="48AB657E" w14:textId="77777777" w:rsidR="00B766AB" w:rsidRPr="00B766AB" w:rsidRDefault="00B766AB" w:rsidP="00B766AB">
      <w:pPr>
        <w:pStyle w:val="Heading2"/>
      </w:pPr>
      <w:bookmarkStart w:id="562" w:name="_Toc84325364"/>
      <w:bookmarkStart w:id="563" w:name="_Toc127346288"/>
      <w:r w:rsidRPr="00B766AB">
        <w:t>Contour determination and acquisition (CDR)</w:t>
      </w:r>
      <w:bookmarkEnd w:id="562"/>
      <w:bookmarkEnd w:id="563"/>
    </w:p>
    <w:p w14:paraId="72617287" w14:textId="77777777" w:rsidR="00B766AB" w:rsidRPr="00650CF6" w:rsidRDefault="00B766AB" w:rsidP="00B766AB">
      <w:pPr>
        <w:pStyle w:val="Heading3"/>
      </w:pPr>
      <w:bookmarkStart w:id="564" w:name="_Toc84325365"/>
      <w:bookmarkStart w:id="565" w:name="_Toc127346289"/>
      <w:r w:rsidRPr="00650CF6">
        <w:t>Technical parameters of CDR</w:t>
      </w:r>
      <w:bookmarkEnd w:id="564"/>
      <w:bookmarkEnd w:id="565"/>
    </w:p>
    <w:p w14:paraId="1F73AA7E" w14:textId="435F0A0C" w:rsidR="00B766AB" w:rsidRPr="00B10E31" w:rsidRDefault="00B766AB" w:rsidP="00B766AB">
      <w:r w:rsidRPr="00B10E31">
        <w:t xml:space="preserve">For contour determination radar (CDR) three potential frequency bands have been defined (see </w:t>
      </w:r>
      <w:r w:rsidR="009D5FA2">
        <w:t>section</w:t>
      </w:r>
      <w:r w:rsidRPr="00B10E31">
        <w:t xml:space="preserve"> </w:t>
      </w:r>
      <w:r w:rsidR="009916C5">
        <w:rPr>
          <w:highlight w:val="yellow"/>
        </w:rPr>
        <w:fldChar w:fldCharType="begin"/>
      </w:r>
      <w:r w:rsidR="009916C5">
        <w:instrText xml:space="preserve"> REF _Ref66452422 \r \h </w:instrText>
      </w:r>
      <w:r w:rsidR="009916C5">
        <w:rPr>
          <w:highlight w:val="yellow"/>
        </w:rPr>
      </w:r>
      <w:r w:rsidR="009916C5">
        <w:rPr>
          <w:highlight w:val="yellow"/>
        </w:rPr>
        <w:fldChar w:fldCharType="separate"/>
      </w:r>
      <w:r w:rsidR="004F49F9">
        <w:t>2.2.6.2</w:t>
      </w:r>
      <w:r w:rsidR="009916C5">
        <w:rPr>
          <w:highlight w:val="yellow"/>
        </w:rPr>
        <w:fldChar w:fldCharType="end"/>
      </w:r>
      <w:r w:rsidRPr="00B10E31">
        <w:t>). Due to the fact that in all defined frequency bands allocations for RAS are affected – either within these bands or adjacent to them – all three bands have been investigated by single-entry studies. In these studies the individually required separation distance (</w:t>
      </w:r>
      <w:r w:rsidR="009D5FA2">
        <w:t>section</w:t>
      </w:r>
      <w:r w:rsidRPr="00B10E31">
        <w:t xml:space="preserve"> </w:t>
      </w:r>
      <w:r w:rsidR="009916C5">
        <w:rPr>
          <w:highlight w:val="yellow"/>
        </w:rPr>
        <w:fldChar w:fldCharType="begin"/>
      </w:r>
      <w:r w:rsidR="009916C5">
        <w:instrText xml:space="preserve"> REF _Ref15293384 \r \h </w:instrText>
      </w:r>
      <w:r w:rsidR="009916C5">
        <w:rPr>
          <w:highlight w:val="yellow"/>
        </w:rPr>
      </w:r>
      <w:r w:rsidR="009916C5">
        <w:rPr>
          <w:highlight w:val="yellow"/>
        </w:rPr>
        <w:fldChar w:fldCharType="separate"/>
      </w:r>
      <w:r w:rsidR="004F49F9">
        <w:t>3.4.2</w:t>
      </w:r>
      <w:r w:rsidR="009916C5">
        <w:rPr>
          <w:highlight w:val="yellow"/>
        </w:rPr>
        <w:fldChar w:fldCharType="end"/>
      </w:r>
      <w:r w:rsidRPr="00B10E31">
        <w:t>) is determined by means of the technical parameters (</w:t>
      </w:r>
      <w:r w:rsidR="009D5FA2">
        <w:t>section</w:t>
      </w:r>
      <w:r w:rsidRPr="00B10E31">
        <w:t xml:space="preserve"> </w:t>
      </w:r>
      <w:r w:rsidR="009916C5">
        <w:rPr>
          <w:highlight w:val="yellow"/>
        </w:rPr>
        <w:fldChar w:fldCharType="begin"/>
      </w:r>
      <w:r w:rsidR="009916C5">
        <w:instrText xml:space="preserve"> REF _Ref66452445 \r \h </w:instrText>
      </w:r>
      <w:r w:rsidR="009916C5">
        <w:rPr>
          <w:highlight w:val="yellow"/>
        </w:rPr>
      </w:r>
      <w:r w:rsidR="009916C5">
        <w:rPr>
          <w:highlight w:val="yellow"/>
        </w:rPr>
        <w:fldChar w:fldCharType="separate"/>
      </w:r>
      <w:r w:rsidR="004F49F9">
        <w:t>2.2.6.3</w:t>
      </w:r>
      <w:r w:rsidR="009916C5">
        <w:rPr>
          <w:highlight w:val="yellow"/>
        </w:rPr>
        <w:fldChar w:fldCharType="end"/>
      </w:r>
      <w:r w:rsidRPr="00B10E31">
        <w:t>), the antenna data (</w:t>
      </w:r>
      <w:r w:rsidR="009D5FA2">
        <w:t>section</w:t>
      </w:r>
      <w:r w:rsidRPr="00B10E31">
        <w:t xml:space="preserve"> </w:t>
      </w:r>
      <w:r w:rsidR="009916C5">
        <w:rPr>
          <w:highlight w:val="yellow"/>
        </w:rPr>
        <w:fldChar w:fldCharType="begin"/>
      </w:r>
      <w:r w:rsidR="009916C5">
        <w:instrText xml:space="preserve"> REF _Ref53992426 \r \h </w:instrText>
      </w:r>
      <w:r w:rsidR="009916C5">
        <w:rPr>
          <w:highlight w:val="yellow"/>
        </w:rPr>
      </w:r>
      <w:r w:rsidR="009916C5">
        <w:rPr>
          <w:highlight w:val="yellow"/>
        </w:rPr>
        <w:fldChar w:fldCharType="separate"/>
      </w:r>
      <w:r w:rsidR="004F49F9">
        <w:t>2.2.6.4</w:t>
      </w:r>
      <w:r w:rsidR="009916C5">
        <w:rPr>
          <w:highlight w:val="yellow"/>
        </w:rPr>
        <w:fldChar w:fldCharType="end"/>
      </w:r>
      <w:r w:rsidRPr="00B10E31">
        <w:t>), the interference scenarios (</w:t>
      </w:r>
      <w:r w:rsidR="009D5FA2">
        <w:t>section</w:t>
      </w:r>
      <w:r w:rsidRPr="00B10E31">
        <w:t xml:space="preserve"> </w:t>
      </w:r>
      <w:r w:rsidR="009916C5">
        <w:rPr>
          <w:highlight w:val="yellow"/>
        </w:rPr>
        <w:fldChar w:fldCharType="begin"/>
      </w:r>
      <w:r w:rsidR="009916C5">
        <w:instrText xml:space="preserve"> REF _Ref66452431 \r \h </w:instrText>
      </w:r>
      <w:r w:rsidR="009916C5">
        <w:rPr>
          <w:highlight w:val="yellow"/>
        </w:rPr>
      </w:r>
      <w:r w:rsidR="009916C5">
        <w:rPr>
          <w:highlight w:val="yellow"/>
        </w:rPr>
        <w:fldChar w:fldCharType="separate"/>
      </w:r>
      <w:r w:rsidR="004F49F9">
        <w:t>2.2.6.6</w:t>
      </w:r>
      <w:r w:rsidR="009916C5">
        <w:rPr>
          <w:highlight w:val="yellow"/>
        </w:rPr>
        <w:fldChar w:fldCharType="end"/>
      </w:r>
      <w:r w:rsidRPr="00B10E31">
        <w:t>) and the protection requirements for RAS (</w:t>
      </w:r>
      <w:r w:rsidR="009D5FA2">
        <w:t>section</w:t>
      </w:r>
      <w:r w:rsidRPr="00B10E31">
        <w:t xml:space="preserve"> </w:t>
      </w:r>
      <w:r w:rsidR="009916C5">
        <w:rPr>
          <w:highlight w:val="yellow"/>
        </w:rPr>
        <w:fldChar w:fldCharType="begin"/>
      </w:r>
      <w:r w:rsidR="009916C5">
        <w:instrText xml:space="preserve"> REF _Ref25574886 \r \h </w:instrText>
      </w:r>
      <w:r w:rsidR="009916C5">
        <w:rPr>
          <w:highlight w:val="yellow"/>
        </w:rPr>
      </w:r>
      <w:r w:rsidR="009916C5">
        <w:rPr>
          <w:highlight w:val="yellow"/>
        </w:rPr>
        <w:fldChar w:fldCharType="separate"/>
      </w:r>
      <w:r w:rsidR="004F49F9">
        <w:t>3.5.2</w:t>
      </w:r>
      <w:r w:rsidR="009916C5">
        <w:rPr>
          <w:highlight w:val="yellow"/>
        </w:rPr>
        <w:fldChar w:fldCharType="end"/>
      </w:r>
      <w:r w:rsidRPr="00B10E31">
        <w:t xml:space="preserve">). The exact calculations can be found in an Excel-spreadsheet which is attached to this </w:t>
      </w:r>
      <w:hyperlink r:id="rId127" w:history="1">
        <w:r w:rsidR="00C70410">
          <w:rPr>
            <w:rStyle w:val="Hyperlink"/>
          </w:rPr>
          <w:t>Report</w:t>
        </w:r>
      </w:hyperlink>
      <w:r w:rsidRPr="00B10E31">
        <w:t xml:space="preserve">. In light of compatibility and sharing considerations, the contour determination application is divided into two different systems, digital beamforming CDR (DBF-CDR) and mechanical or phased-array CDR (M- or PA-CDR) as described in </w:t>
      </w:r>
      <w:r w:rsidR="009D5FA2">
        <w:t>section</w:t>
      </w:r>
      <w:r w:rsidRPr="00B10E31">
        <w:t xml:space="preserve"> </w:t>
      </w:r>
      <w:r w:rsidR="009916C5">
        <w:rPr>
          <w:highlight w:val="yellow"/>
        </w:rPr>
        <w:fldChar w:fldCharType="begin"/>
      </w:r>
      <w:r w:rsidR="009916C5">
        <w:instrText xml:space="preserve"> REF _Ref66452466 \r \h </w:instrText>
      </w:r>
      <w:r w:rsidR="009916C5">
        <w:rPr>
          <w:highlight w:val="yellow"/>
        </w:rPr>
      </w:r>
      <w:r w:rsidR="009916C5">
        <w:rPr>
          <w:highlight w:val="yellow"/>
        </w:rPr>
        <w:fldChar w:fldCharType="separate"/>
      </w:r>
      <w:r w:rsidR="004F49F9">
        <w:t>2.2.6.1</w:t>
      </w:r>
      <w:r w:rsidR="009916C5">
        <w:rPr>
          <w:highlight w:val="yellow"/>
        </w:rPr>
        <w:fldChar w:fldCharType="end"/>
      </w:r>
      <w:r w:rsidRPr="00B10E31">
        <w:t>.</w:t>
      </w:r>
    </w:p>
    <w:p w14:paraId="33606A95" w14:textId="7CF22B30" w:rsidR="00B766AB" w:rsidRPr="00B10E31" w:rsidRDefault="00B766AB" w:rsidP="00B766AB">
      <w:r w:rsidRPr="00B10E31">
        <w:t>The following technical parameters of the CDR application (</w:t>
      </w:r>
      <w:r w:rsidR="009D5FA2">
        <w:t>section</w:t>
      </w:r>
      <w:r w:rsidRPr="00B10E31">
        <w:t xml:space="preserve"> </w:t>
      </w:r>
      <w:r w:rsidR="009916C5">
        <w:rPr>
          <w:highlight w:val="yellow"/>
        </w:rPr>
        <w:fldChar w:fldCharType="begin"/>
      </w:r>
      <w:r w:rsidR="009916C5">
        <w:instrText xml:space="preserve"> REF _Ref66452453 \r \h </w:instrText>
      </w:r>
      <w:r w:rsidR="009916C5">
        <w:rPr>
          <w:highlight w:val="yellow"/>
        </w:rPr>
      </w:r>
      <w:r w:rsidR="009916C5">
        <w:rPr>
          <w:highlight w:val="yellow"/>
        </w:rPr>
        <w:fldChar w:fldCharType="separate"/>
      </w:r>
      <w:r w:rsidR="004F49F9">
        <w:t>2.2.6.3</w:t>
      </w:r>
      <w:r w:rsidR="009916C5">
        <w:rPr>
          <w:highlight w:val="yellow"/>
        </w:rPr>
        <w:fldChar w:fldCharType="end"/>
      </w:r>
      <w:r w:rsidRPr="00B10E31">
        <w:t>) have been used in the studies in the different frequency ranges.</w:t>
      </w:r>
    </w:p>
    <w:p w14:paraId="14E5A28F" w14:textId="214DBA4D" w:rsidR="00B766AB" w:rsidRDefault="009916C5" w:rsidP="00B766AB">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F49F9">
        <w:rPr>
          <w:noProof/>
        </w:rPr>
        <w:t>57</w:t>
      </w:r>
      <w:r w:rsidRPr="0091705E">
        <w:fldChar w:fldCharType="end"/>
      </w:r>
      <w:r w:rsidR="00B766AB" w:rsidRPr="00B766AB">
        <w:t>: Technical parameters of CDR used for the conducted studies in the different frequency bands</w:t>
      </w:r>
    </w:p>
    <w:tbl>
      <w:tblPr>
        <w:tblStyle w:val="ECCTable-redheader"/>
        <w:tblW w:w="0" w:type="auto"/>
        <w:tblInd w:w="0" w:type="dxa"/>
        <w:tblLayout w:type="fixed"/>
        <w:tblLook w:val="04A0" w:firstRow="1" w:lastRow="0" w:firstColumn="1" w:lastColumn="0" w:noHBand="0" w:noVBand="1"/>
      </w:tblPr>
      <w:tblGrid>
        <w:gridCol w:w="1413"/>
        <w:gridCol w:w="1524"/>
        <w:gridCol w:w="1338"/>
        <w:gridCol w:w="810"/>
        <w:gridCol w:w="1998"/>
        <w:gridCol w:w="1134"/>
        <w:gridCol w:w="1412"/>
      </w:tblGrid>
      <w:tr w:rsidR="00C943B8" w:rsidRPr="00566944" w14:paraId="0B3B0196" w14:textId="77777777" w:rsidTr="004C22B2">
        <w:trPr>
          <w:cnfStyle w:val="100000000000" w:firstRow="1" w:lastRow="0" w:firstColumn="0" w:lastColumn="0" w:oddVBand="0" w:evenVBand="0" w:oddHBand="0" w:evenHBand="0" w:firstRowFirstColumn="0" w:firstRowLastColumn="0" w:lastRowFirstColumn="0" w:lastRowLastColumn="0"/>
        </w:trPr>
        <w:tc>
          <w:tcPr>
            <w:tcW w:w="1413" w:type="dxa"/>
          </w:tcPr>
          <w:p w14:paraId="489A05EA" w14:textId="77777777" w:rsidR="00C943B8" w:rsidRPr="00C943B8" w:rsidRDefault="00C943B8" w:rsidP="00876039">
            <w:pPr>
              <w:pStyle w:val="ECCTableHeaderwhitefont"/>
            </w:pPr>
            <w:r w:rsidRPr="00C943B8">
              <w:t>Investigated frequency range</w:t>
            </w:r>
          </w:p>
        </w:tc>
        <w:tc>
          <w:tcPr>
            <w:tcW w:w="1524" w:type="dxa"/>
          </w:tcPr>
          <w:p w14:paraId="57E1C42A" w14:textId="77777777" w:rsidR="00C943B8" w:rsidRPr="00C943B8" w:rsidRDefault="00C943B8" w:rsidP="000A69BD">
            <w:pPr>
              <w:pStyle w:val="ECCTableHeaderwhitefont"/>
            </w:pPr>
            <w:r w:rsidRPr="00C943B8">
              <w:t>CDR</w:t>
            </w:r>
            <w:r w:rsidR="00240396">
              <w:t xml:space="preserve"> </w:t>
            </w:r>
            <w:r w:rsidRPr="00C943B8">
              <w:t>type</w:t>
            </w:r>
          </w:p>
        </w:tc>
        <w:tc>
          <w:tcPr>
            <w:tcW w:w="1338" w:type="dxa"/>
          </w:tcPr>
          <w:p w14:paraId="0B2F5727" w14:textId="77777777" w:rsidR="00C943B8" w:rsidRPr="00C943B8" w:rsidRDefault="00C943B8" w:rsidP="000A69BD">
            <w:pPr>
              <w:pStyle w:val="ECCTableHeaderwhitefont"/>
            </w:pPr>
            <w:r w:rsidRPr="00C943B8">
              <w:t>Assumed modulation bandwidth</w:t>
            </w:r>
          </w:p>
        </w:tc>
        <w:tc>
          <w:tcPr>
            <w:tcW w:w="810" w:type="dxa"/>
          </w:tcPr>
          <w:p w14:paraId="322F291E" w14:textId="77777777" w:rsidR="00C943B8" w:rsidRPr="00C943B8" w:rsidRDefault="00C943B8" w:rsidP="000A69BD">
            <w:pPr>
              <w:pStyle w:val="ECCTableHeaderwhitefont"/>
            </w:pPr>
            <w:r w:rsidRPr="00C943B8">
              <w:t>Duty cycle</w:t>
            </w:r>
          </w:p>
        </w:tc>
        <w:tc>
          <w:tcPr>
            <w:tcW w:w="1998" w:type="dxa"/>
          </w:tcPr>
          <w:p w14:paraId="56493558" w14:textId="77777777" w:rsidR="00C943B8" w:rsidRPr="00C943B8" w:rsidRDefault="00C943B8" w:rsidP="000A69BD">
            <w:pPr>
              <w:pStyle w:val="ECCTableHeaderwhitefont"/>
            </w:pPr>
            <w:r w:rsidRPr="00C943B8">
              <w:t xml:space="preserve">Mean e.i.r.p. spectral density </w:t>
            </w:r>
            <w:r w:rsidR="00143CCA">
              <w:t>(Note 2)</w:t>
            </w:r>
          </w:p>
        </w:tc>
        <w:tc>
          <w:tcPr>
            <w:tcW w:w="1134" w:type="dxa"/>
          </w:tcPr>
          <w:p w14:paraId="51905BD1" w14:textId="77777777" w:rsidR="00C943B8" w:rsidRPr="00C943B8" w:rsidRDefault="00C943B8" w:rsidP="000A69BD">
            <w:pPr>
              <w:pStyle w:val="ECCTableHeaderwhitefont"/>
            </w:pPr>
            <w:r w:rsidRPr="00C943B8">
              <w:t>Peak e.i.r.p.</w:t>
            </w:r>
          </w:p>
        </w:tc>
        <w:tc>
          <w:tcPr>
            <w:tcW w:w="1412" w:type="dxa"/>
          </w:tcPr>
          <w:p w14:paraId="2A1F3B84" w14:textId="77777777" w:rsidR="00C943B8" w:rsidRPr="00C943B8" w:rsidRDefault="00C943B8" w:rsidP="000A69BD">
            <w:pPr>
              <w:pStyle w:val="ECCTableHeaderwhitefont"/>
            </w:pPr>
            <w:r w:rsidRPr="00C943B8">
              <w:t>OOB attenuation (Note 1)</w:t>
            </w:r>
          </w:p>
        </w:tc>
      </w:tr>
      <w:tr w:rsidR="008F1B01" w:rsidRPr="00C53FB5" w14:paraId="05A9895B" w14:textId="77777777" w:rsidTr="004C22B2">
        <w:tc>
          <w:tcPr>
            <w:tcW w:w="1413" w:type="dxa"/>
            <w:vMerge w:val="restart"/>
          </w:tcPr>
          <w:p w14:paraId="71B887AB" w14:textId="77777777" w:rsidR="008F1B01" w:rsidRPr="008F1B01" w:rsidRDefault="008F1B01" w:rsidP="000A69BD">
            <w:pPr>
              <w:pStyle w:val="ECCTabletext"/>
              <w:jc w:val="left"/>
            </w:pPr>
            <w:r w:rsidRPr="00C53FB5">
              <w:t xml:space="preserve">116 to </w:t>
            </w:r>
            <w:r w:rsidRPr="008F1B01">
              <w:t>148</w:t>
            </w:r>
            <w:r w:rsidR="00CF4994">
              <w:t>.5</w:t>
            </w:r>
            <w:r w:rsidRPr="008F1B01">
              <w:t> GHz</w:t>
            </w:r>
          </w:p>
        </w:tc>
        <w:tc>
          <w:tcPr>
            <w:tcW w:w="1524" w:type="dxa"/>
          </w:tcPr>
          <w:p w14:paraId="4F39A375" w14:textId="77777777" w:rsidR="008F1B01" w:rsidRPr="008F1B01" w:rsidRDefault="008F1B01" w:rsidP="000A69BD">
            <w:pPr>
              <w:pStyle w:val="ECCTabletext"/>
              <w:jc w:val="left"/>
            </w:pPr>
            <w:r>
              <w:t>DBF-CDR</w:t>
            </w:r>
          </w:p>
        </w:tc>
        <w:tc>
          <w:tcPr>
            <w:tcW w:w="1338" w:type="dxa"/>
          </w:tcPr>
          <w:p w14:paraId="71408E8D" w14:textId="77777777" w:rsidR="008F1B01" w:rsidRPr="008F1B01" w:rsidRDefault="005D6F50" w:rsidP="000A69BD">
            <w:pPr>
              <w:pStyle w:val="ECCTabletext"/>
              <w:jc w:val="left"/>
            </w:pPr>
            <w:r>
              <w:t>5</w:t>
            </w:r>
            <w:r w:rsidR="00CF4994">
              <w:t>.7</w:t>
            </w:r>
            <w:r w:rsidR="008F1B01">
              <w:t> GHz</w:t>
            </w:r>
          </w:p>
        </w:tc>
        <w:tc>
          <w:tcPr>
            <w:tcW w:w="810" w:type="dxa"/>
          </w:tcPr>
          <w:p w14:paraId="54A9A943" w14:textId="4C1AF2DD" w:rsidR="008F1B01" w:rsidRPr="008F1B01" w:rsidRDefault="008F1B01" w:rsidP="000A69BD">
            <w:pPr>
              <w:pStyle w:val="ECCTabletext"/>
              <w:jc w:val="left"/>
            </w:pPr>
            <w:r>
              <w:t>10</w:t>
            </w:r>
            <w:r w:rsidR="00F800A2">
              <w:t>%</w:t>
            </w:r>
          </w:p>
        </w:tc>
        <w:tc>
          <w:tcPr>
            <w:tcW w:w="1998" w:type="dxa"/>
          </w:tcPr>
          <w:p w14:paraId="0BCF5ADE" w14:textId="77777777" w:rsidR="008F1B01" w:rsidRPr="008F1B01" w:rsidRDefault="008F1B01" w:rsidP="000A69BD">
            <w:pPr>
              <w:pStyle w:val="ECCTabletext"/>
              <w:jc w:val="left"/>
            </w:pPr>
            <w:r>
              <w:t>-3</w:t>
            </w:r>
            <w:r w:rsidR="005D6F50">
              <w:t>2</w:t>
            </w:r>
            <w:r w:rsidR="00CF4994">
              <w:t>.6</w:t>
            </w:r>
            <w:r>
              <w:t> dBm/MHz</w:t>
            </w:r>
          </w:p>
        </w:tc>
        <w:tc>
          <w:tcPr>
            <w:tcW w:w="1134" w:type="dxa"/>
          </w:tcPr>
          <w:p w14:paraId="2CDD9CDD" w14:textId="77777777" w:rsidR="008F1B01" w:rsidRPr="008F1B01" w:rsidRDefault="008F1B01" w:rsidP="000A69BD">
            <w:pPr>
              <w:pStyle w:val="ECCTabletext"/>
              <w:jc w:val="left"/>
            </w:pPr>
            <w:r>
              <w:t>15 dBm</w:t>
            </w:r>
          </w:p>
        </w:tc>
        <w:tc>
          <w:tcPr>
            <w:tcW w:w="1412" w:type="dxa"/>
          </w:tcPr>
          <w:p w14:paraId="4CD79630" w14:textId="77777777" w:rsidR="008F1B01" w:rsidRPr="008F1B01" w:rsidRDefault="008F1B01" w:rsidP="000A69BD">
            <w:pPr>
              <w:pStyle w:val="ECCTabletext"/>
              <w:jc w:val="left"/>
            </w:pPr>
            <w:r w:rsidRPr="00497690">
              <w:t>20 dB</w:t>
            </w:r>
          </w:p>
        </w:tc>
      </w:tr>
      <w:tr w:rsidR="008F1B01" w:rsidRPr="00C53FB5" w14:paraId="62D051C3" w14:textId="77777777" w:rsidTr="004C22B2">
        <w:tc>
          <w:tcPr>
            <w:tcW w:w="1413" w:type="dxa"/>
            <w:vMerge/>
          </w:tcPr>
          <w:p w14:paraId="54071A56" w14:textId="77777777" w:rsidR="008F1B01" w:rsidRPr="00C53FB5" w:rsidRDefault="008F1B01" w:rsidP="008F1B01">
            <w:pPr>
              <w:pStyle w:val="ECCTabletext"/>
            </w:pPr>
          </w:p>
        </w:tc>
        <w:tc>
          <w:tcPr>
            <w:tcW w:w="1524" w:type="dxa"/>
          </w:tcPr>
          <w:p w14:paraId="2F8A2A83" w14:textId="77777777" w:rsidR="008F1B01" w:rsidRPr="008F1B01" w:rsidRDefault="008F1B01" w:rsidP="000A69BD">
            <w:pPr>
              <w:pStyle w:val="ECCTabletext"/>
              <w:jc w:val="left"/>
            </w:pPr>
            <w:r>
              <w:t>M-/PA-CDR</w:t>
            </w:r>
          </w:p>
        </w:tc>
        <w:tc>
          <w:tcPr>
            <w:tcW w:w="1338" w:type="dxa"/>
          </w:tcPr>
          <w:p w14:paraId="628DB230" w14:textId="77777777" w:rsidR="008F1B01" w:rsidRPr="008F1B01" w:rsidRDefault="004C22B2" w:rsidP="000A69BD">
            <w:pPr>
              <w:pStyle w:val="ECCTabletext"/>
              <w:jc w:val="left"/>
            </w:pPr>
            <w:r>
              <w:t>8</w:t>
            </w:r>
            <w:r w:rsidR="008F1B01">
              <w:t> GHz</w:t>
            </w:r>
          </w:p>
        </w:tc>
        <w:tc>
          <w:tcPr>
            <w:tcW w:w="810" w:type="dxa"/>
          </w:tcPr>
          <w:p w14:paraId="70F9CA07" w14:textId="40E3E68C" w:rsidR="008F1B01" w:rsidRPr="008F1B01" w:rsidRDefault="008F1B01" w:rsidP="000A69BD">
            <w:pPr>
              <w:pStyle w:val="ECCTabletext"/>
              <w:jc w:val="left"/>
            </w:pPr>
            <w:r>
              <w:t>10</w:t>
            </w:r>
            <w:r w:rsidR="00F800A2">
              <w:t>%</w:t>
            </w:r>
          </w:p>
        </w:tc>
        <w:tc>
          <w:tcPr>
            <w:tcW w:w="1998" w:type="dxa"/>
          </w:tcPr>
          <w:p w14:paraId="39C872A4" w14:textId="77777777" w:rsidR="008F1B01" w:rsidRPr="008F1B01" w:rsidRDefault="008F1B01" w:rsidP="000A69BD">
            <w:pPr>
              <w:pStyle w:val="ECCTabletext"/>
              <w:jc w:val="left"/>
            </w:pPr>
            <w:r>
              <w:t>-1</w:t>
            </w:r>
            <w:r w:rsidR="004C22B2">
              <w:t>2</w:t>
            </w:r>
            <w:r>
              <w:t> dBm/MHz</w:t>
            </w:r>
          </w:p>
        </w:tc>
        <w:tc>
          <w:tcPr>
            <w:tcW w:w="1134" w:type="dxa"/>
          </w:tcPr>
          <w:p w14:paraId="59E2E068" w14:textId="77777777" w:rsidR="008F1B01" w:rsidRPr="008F1B01" w:rsidRDefault="004C22B2" w:rsidP="000A69BD">
            <w:pPr>
              <w:pStyle w:val="ECCTabletext"/>
              <w:jc w:val="left"/>
            </w:pPr>
            <w:r>
              <w:t>28</w:t>
            </w:r>
            <w:r w:rsidR="00CF4994">
              <w:t>.6</w:t>
            </w:r>
            <w:r w:rsidR="008F1B01">
              <w:t> dBm</w:t>
            </w:r>
          </w:p>
        </w:tc>
        <w:tc>
          <w:tcPr>
            <w:tcW w:w="1412" w:type="dxa"/>
          </w:tcPr>
          <w:p w14:paraId="6FC7E605" w14:textId="77777777" w:rsidR="008F1B01" w:rsidRPr="008F1B01" w:rsidRDefault="008F1B01" w:rsidP="000A69BD">
            <w:pPr>
              <w:pStyle w:val="ECCTabletext"/>
              <w:jc w:val="left"/>
            </w:pPr>
            <w:r>
              <w:t>20 dB</w:t>
            </w:r>
          </w:p>
        </w:tc>
      </w:tr>
      <w:tr w:rsidR="008F1B01" w:rsidRPr="00C53FB5" w14:paraId="1CD19C63" w14:textId="77777777" w:rsidTr="004C22B2">
        <w:tc>
          <w:tcPr>
            <w:tcW w:w="1413" w:type="dxa"/>
            <w:vMerge w:val="restart"/>
          </w:tcPr>
          <w:p w14:paraId="6CDDA118" w14:textId="77777777" w:rsidR="008F1B01" w:rsidRPr="008F1B01" w:rsidRDefault="008F1B01" w:rsidP="000A69BD">
            <w:pPr>
              <w:pStyle w:val="ECCTabletext"/>
              <w:jc w:val="left"/>
            </w:pPr>
            <w:r w:rsidRPr="00C53FB5">
              <w:t>1</w:t>
            </w:r>
            <w:r w:rsidRPr="008F1B01">
              <w:t>67 to 182 GHz</w:t>
            </w:r>
          </w:p>
        </w:tc>
        <w:tc>
          <w:tcPr>
            <w:tcW w:w="1524" w:type="dxa"/>
          </w:tcPr>
          <w:p w14:paraId="0D7A0E35" w14:textId="77777777" w:rsidR="008F1B01" w:rsidRPr="008F1B01" w:rsidRDefault="008F1B01" w:rsidP="000A69BD">
            <w:pPr>
              <w:pStyle w:val="ECCTabletext"/>
              <w:jc w:val="left"/>
            </w:pPr>
            <w:r>
              <w:t>DBF-CDR</w:t>
            </w:r>
          </w:p>
        </w:tc>
        <w:tc>
          <w:tcPr>
            <w:tcW w:w="1338" w:type="dxa"/>
          </w:tcPr>
          <w:p w14:paraId="1E7FBDBB" w14:textId="77777777" w:rsidR="008F1B01" w:rsidRPr="008F1B01" w:rsidRDefault="005D6F50" w:rsidP="000A69BD">
            <w:pPr>
              <w:pStyle w:val="ECCTabletext"/>
              <w:jc w:val="left"/>
            </w:pPr>
            <w:r>
              <w:t>2</w:t>
            </w:r>
            <w:r w:rsidR="00CF4994">
              <w:t>.5</w:t>
            </w:r>
            <w:r w:rsidR="008F1B01">
              <w:t> GHz</w:t>
            </w:r>
          </w:p>
        </w:tc>
        <w:tc>
          <w:tcPr>
            <w:tcW w:w="810" w:type="dxa"/>
          </w:tcPr>
          <w:p w14:paraId="259E646F" w14:textId="02104FAC" w:rsidR="008F1B01" w:rsidRPr="008F1B01" w:rsidRDefault="008F1B01" w:rsidP="000A69BD">
            <w:pPr>
              <w:pStyle w:val="ECCTabletext"/>
              <w:jc w:val="left"/>
            </w:pPr>
            <w:r>
              <w:t>10</w:t>
            </w:r>
            <w:r w:rsidR="00F800A2">
              <w:t>%</w:t>
            </w:r>
          </w:p>
        </w:tc>
        <w:tc>
          <w:tcPr>
            <w:tcW w:w="1998" w:type="dxa"/>
          </w:tcPr>
          <w:p w14:paraId="487FC453" w14:textId="77777777" w:rsidR="008F1B01" w:rsidRPr="008F1B01" w:rsidRDefault="008F1B01" w:rsidP="000A69BD">
            <w:pPr>
              <w:pStyle w:val="ECCTabletext"/>
              <w:jc w:val="left"/>
            </w:pPr>
            <w:r>
              <w:t>-</w:t>
            </w:r>
            <w:r w:rsidR="005D6F50">
              <w:t>29</w:t>
            </w:r>
            <w:r>
              <w:t> dBm/MHz</w:t>
            </w:r>
          </w:p>
        </w:tc>
        <w:tc>
          <w:tcPr>
            <w:tcW w:w="1134" w:type="dxa"/>
          </w:tcPr>
          <w:p w14:paraId="689B815C" w14:textId="77777777" w:rsidR="008F1B01" w:rsidRPr="008F1B01" w:rsidRDefault="008F1B01" w:rsidP="000A69BD">
            <w:pPr>
              <w:pStyle w:val="ECCTabletext"/>
              <w:jc w:val="left"/>
            </w:pPr>
            <w:r>
              <w:t>15 dBm</w:t>
            </w:r>
          </w:p>
        </w:tc>
        <w:tc>
          <w:tcPr>
            <w:tcW w:w="1412" w:type="dxa"/>
          </w:tcPr>
          <w:p w14:paraId="30BEA520" w14:textId="77777777" w:rsidR="008F1B01" w:rsidRDefault="008F1B01" w:rsidP="000A69BD">
            <w:pPr>
              <w:pStyle w:val="ECCTabletext"/>
              <w:jc w:val="left"/>
            </w:pPr>
            <w:r>
              <w:t>20 dB</w:t>
            </w:r>
          </w:p>
        </w:tc>
      </w:tr>
      <w:tr w:rsidR="008F1B01" w:rsidRPr="00C53FB5" w14:paraId="21D8B74B" w14:textId="77777777" w:rsidTr="004C22B2">
        <w:tc>
          <w:tcPr>
            <w:tcW w:w="1413" w:type="dxa"/>
            <w:vMerge/>
          </w:tcPr>
          <w:p w14:paraId="30693AB0" w14:textId="77777777" w:rsidR="008F1B01" w:rsidRPr="00C53FB5" w:rsidRDefault="008F1B01" w:rsidP="008F1B01">
            <w:pPr>
              <w:pStyle w:val="ECCTabletext"/>
            </w:pPr>
          </w:p>
        </w:tc>
        <w:tc>
          <w:tcPr>
            <w:tcW w:w="1524" w:type="dxa"/>
          </w:tcPr>
          <w:p w14:paraId="4FFD38AB" w14:textId="77777777" w:rsidR="008F1B01" w:rsidRPr="008F1B01" w:rsidRDefault="008F1B01" w:rsidP="000A69BD">
            <w:pPr>
              <w:pStyle w:val="ECCTabletext"/>
              <w:jc w:val="left"/>
            </w:pPr>
            <w:r>
              <w:t>M-/PA-CDR</w:t>
            </w:r>
          </w:p>
        </w:tc>
        <w:tc>
          <w:tcPr>
            <w:tcW w:w="1338" w:type="dxa"/>
          </w:tcPr>
          <w:p w14:paraId="4073E3F1" w14:textId="77777777" w:rsidR="008F1B01" w:rsidRPr="008F1B01" w:rsidRDefault="004C22B2" w:rsidP="000A69BD">
            <w:pPr>
              <w:pStyle w:val="ECCTabletext"/>
              <w:jc w:val="left"/>
            </w:pPr>
            <w:r>
              <w:t>8</w:t>
            </w:r>
            <w:r w:rsidR="008F1B01">
              <w:t> GHz</w:t>
            </w:r>
          </w:p>
        </w:tc>
        <w:tc>
          <w:tcPr>
            <w:tcW w:w="810" w:type="dxa"/>
          </w:tcPr>
          <w:p w14:paraId="38FC7D00" w14:textId="46CD1F8C" w:rsidR="008F1B01" w:rsidRPr="008F1B01" w:rsidRDefault="008F1B01" w:rsidP="000A69BD">
            <w:pPr>
              <w:pStyle w:val="ECCTabletext"/>
              <w:jc w:val="left"/>
            </w:pPr>
            <w:r>
              <w:t>10</w:t>
            </w:r>
            <w:r w:rsidR="00F800A2">
              <w:t>%</w:t>
            </w:r>
          </w:p>
        </w:tc>
        <w:tc>
          <w:tcPr>
            <w:tcW w:w="1998" w:type="dxa"/>
          </w:tcPr>
          <w:p w14:paraId="49544AC8" w14:textId="77777777" w:rsidR="008F1B01" w:rsidRPr="008F1B01" w:rsidRDefault="008F1B01" w:rsidP="000A69BD">
            <w:pPr>
              <w:pStyle w:val="ECCTabletext"/>
              <w:jc w:val="left"/>
            </w:pPr>
            <w:r>
              <w:t>-</w:t>
            </w:r>
            <w:r w:rsidR="004C22B2">
              <w:t>9</w:t>
            </w:r>
            <w:r>
              <w:t> dBm/MHz</w:t>
            </w:r>
          </w:p>
        </w:tc>
        <w:tc>
          <w:tcPr>
            <w:tcW w:w="1134" w:type="dxa"/>
          </w:tcPr>
          <w:p w14:paraId="41C5B612" w14:textId="77777777" w:rsidR="008F1B01" w:rsidRPr="008F1B01" w:rsidRDefault="004C22B2" w:rsidP="000A69BD">
            <w:pPr>
              <w:pStyle w:val="ECCTabletext"/>
              <w:jc w:val="left"/>
            </w:pPr>
            <w:r>
              <w:t>34</w:t>
            </w:r>
            <w:r w:rsidR="00CF4994">
              <w:t>.6</w:t>
            </w:r>
            <w:r>
              <w:t> </w:t>
            </w:r>
            <w:r w:rsidR="008F1B01">
              <w:t>dBm</w:t>
            </w:r>
          </w:p>
        </w:tc>
        <w:tc>
          <w:tcPr>
            <w:tcW w:w="1412" w:type="dxa"/>
          </w:tcPr>
          <w:p w14:paraId="58E69B17" w14:textId="77777777" w:rsidR="008F1B01" w:rsidRDefault="008F1B01" w:rsidP="000A69BD">
            <w:pPr>
              <w:pStyle w:val="ECCTabletext"/>
              <w:jc w:val="left"/>
            </w:pPr>
            <w:r>
              <w:t>20 dB</w:t>
            </w:r>
          </w:p>
        </w:tc>
      </w:tr>
      <w:tr w:rsidR="008F1B01" w:rsidRPr="00C53FB5" w14:paraId="2CAD3885" w14:textId="77777777" w:rsidTr="004C22B2">
        <w:tc>
          <w:tcPr>
            <w:tcW w:w="1413" w:type="dxa"/>
            <w:vMerge w:val="restart"/>
          </w:tcPr>
          <w:p w14:paraId="11FC8E58" w14:textId="77777777" w:rsidR="008F1B01" w:rsidRPr="008F1B01" w:rsidRDefault="008F1B01" w:rsidP="000A69BD">
            <w:pPr>
              <w:pStyle w:val="ECCTabletext"/>
              <w:jc w:val="left"/>
            </w:pPr>
            <w:r>
              <w:t>231</w:t>
            </w:r>
            <w:r w:rsidR="00CF4994">
              <w:t>.5</w:t>
            </w:r>
            <w:r w:rsidRPr="008F1B01">
              <w:t xml:space="preserve"> to 250 GHz</w:t>
            </w:r>
          </w:p>
        </w:tc>
        <w:tc>
          <w:tcPr>
            <w:tcW w:w="1524" w:type="dxa"/>
          </w:tcPr>
          <w:p w14:paraId="20ED6E22" w14:textId="77777777" w:rsidR="008F1B01" w:rsidRPr="008F1B01" w:rsidRDefault="008F1B01" w:rsidP="000A69BD">
            <w:pPr>
              <w:pStyle w:val="ECCTabletext"/>
              <w:jc w:val="left"/>
            </w:pPr>
            <w:r>
              <w:t>DBF-CDR</w:t>
            </w:r>
          </w:p>
        </w:tc>
        <w:tc>
          <w:tcPr>
            <w:tcW w:w="1338" w:type="dxa"/>
          </w:tcPr>
          <w:p w14:paraId="4FA6CF9D" w14:textId="77777777" w:rsidR="008F1B01" w:rsidRPr="008F1B01" w:rsidRDefault="005D6F50" w:rsidP="000A69BD">
            <w:pPr>
              <w:pStyle w:val="ECCTabletext"/>
              <w:jc w:val="left"/>
            </w:pPr>
            <w:r>
              <w:t>0</w:t>
            </w:r>
            <w:r w:rsidR="00CF4994">
              <w:t>.6</w:t>
            </w:r>
            <w:r>
              <w:t>3</w:t>
            </w:r>
            <w:r w:rsidR="008F1B01">
              <w:t> GHz</w:t>
            </w:r>
          </w:p>
        </w:tc>
        <w:tc>
          <w:tcPr>
            <w:tcW w:w="810" w:type="dxa"/>
          </w:tcPr>
          <w:p w14:paraId="4D779BE4" w14:textId="46402231" w:rsidR="008F1B01" w:rsidRPr="008F1B01" w:rsidRDefault="008F1B01" w:rsidP="000A69BD">
            <w:pPr>
              <w:pStyle w:val="ECCTabletext"/>
              <w:jc w:val="left"/>
            </w:pPr>
            <w:r>
              <w:t>10</w:t>
            </w:r>
            <w:r w:rsidR="00F800A2">
              <w:t>%</w:t>
            </w:r>
          </w:p>
        </w:tc>
        <w:tc>
          <w:tcPr>
            <w:tcW w:w="1998" w:type="dxa"/>
          </w:tcPr>
          <w:p w14:paraId="00A45C37" w14:textId="77777777" w:rsidR="008F1B01" w:rsidRPr="008F1B01" w:rsidRDefault="008F1B01" w:rsidP="000A69BD">
            <w:pPr>
              <w:pStyle w:val="ECCTabletext"/>
              <w:jc w:val="left"/>
            </w:pPr>
            <w:r>
              <w:t>-</w:t>
            </w:r>
            <w:r w:rsidR="005D6F50">
              <w:t>23</w:t>
            </w:r>
            <w:r>
              <w:t> dBm/MHz</w:t>
            </w:r>
          </w:p>
        </w:tc>
        <w:tc>
          <w:tcPr>
            <w:tcW w:w="1134" w:type="dxa"/>
          </w:tcPr>
          <w:p w14:paraId="3C724A0D" w14:textId="77777777" w:rsidR="008F1B01" w:rsidRPr="008F1B01" w:rsidRDefault="008F1B01" w:rsidP="000A69BD">
            <w:pPr>
              <w:pStyle w:val="ECCTabletext"/>
              <w:jc w:val="left"/>
            </w:pPr>
            <w:r>
              <w:t>15 dBm</w:t>
            </w:r>
          </w:p>
        </w:tc>
        <w:tc>
          <w:tcPr>
            <w:tcW w:w="1412" w:type="dxa"/>
          </w:tcPr>
          <w:p w14:paraId="078FA4AD" w14:textId="77777777" w:rsidR="008F1B01" w:rsidRDefault="008F1B01" w:rsidP="000A69BD">
            <w:pPr>
              <w:pStyle w:val="ECCTabletext"/>
              <w:jc w:val="left"/>
            </w:pPr>
            <w:r>
              <w:t>20 dB</w:t>
            </w:r>
          </w:p>
        </w:tc>
      </w:tr>
      <w:tr w:rsidR="008F1B01" w:rsidRPr="00C53FB5" w14:paraId="3D4BF94E" w14:textId="77777777" w:rsidTr="004C22B2">
        <w:tc>
          <w:tcPr>
            <w:tcW w:w="1413" w:type="dxa"/>
            <w:vMerge/>
          </w:tcPr>
          <w:p w14:paraId="0C5E1E96" w14:textId="77777777" w:rsidR="008F1B01" w:rsidRPr="00C53FB5" w:rsidRDefault="008F1B01" w:rsidP="008F1B01">
            <w:pPr>
              <w:pStyle w:val="ECCTabletext"/>
            </w:pPr>
          </w:p>
        </w:tc>
        <w:tc>
          <w:tcPr>
            <w:tcW w:w="1524" w:type="dxa"/>
          </w:tcPr>
          <w:p w14:paraId="11C812EC" w14:textId="77777777" w:rsidR="008F1B01" w:rsidRPr="008F1B01" w:rsidRDefault="008F1B01" w:rsidP="000A69BD">
            <w:pPr>
              <w:pStyle w:val="ECCTabletext"/>
              <w:jc w:val="left"/>
            </w:pPr>
            <w:r>
              <w:t>M-/PA-CDR</w:t>
            </w:r>
          </w:p>
        </w:tc>
        <w:tc>
          <w:tcPr>
            <w:tcW w:w="1338" w:type="dxa"/>
          </w:tcPr>
          <w:p w14:paraId="438AA494" w14:textId="77777777" w:rsidR="008F1B01" w:rsidRPr="008F1B01" w:rsidRDefault="004C22B2" w:rsidP="000A69BD">
            <w:pPr>
              <w:pStyle w:val="ECCTabletext"/>
              <w:jc w:val="left"/>
            </w:pPr>
            <w:r>
              <w:t>8</w:t>
            </w:r>
            <w:r w:rsidR="008F1B01">
              <w:t> GHz</w:t>
            </w:r>
          </w:p>
        </w:tc>
        <w:tc>
          <w:tcPr>
            <w:tcW w:w="810" w:type="dxa"/>
          </w:tcPr>
          <w:p w14:paraId="38D88820" w14:textId="256C8499" w:rsidR="008F1B01" w:rsidRPr="008F1B01" w:rsidRDefault="008F1B01" w:rsidP="000A69BD">
            <w:pPr>
              <w:pStyle w:val="ECCTabletext"/>
              <w:jc w:val="left"/>
            </w:pPr>
            <w:r>
              <w:t>10</w:t>
            </w:r>
            <w:r w:rsidR="00F800A2">
              <w:t>%</w:t>
            </w:r>
          </w:p>
        </w:tc>
        <w:tc>
          <w:tcPr>
            <w:tcW w:w="1998" w:type="dxa"/>
          </w:tcPr>
          <w:p w14:paraId="65EAFC9A" w14:textId="77777777" w:rsidR="008F1B01" w:rsidRPr="008F1B01" w:rsidRDefault="008F1B01" w:rsidP="000A69BD">
            <w:pPr>
              <w:pStyle w:val="ECCTabletext"/>
              <w:jc w:val="left"/>
            </w:pPr>
            <w:r>
              <w:t>-</w:t>
            </w:r>
            <w:r w:rsidR="004C22B2">
              <w:t>6</w:t>
            </w:r>
            <w:r>
              <w:t> dBm/MHz</w:t>
            </w:r>
          </w:p>
        </w:tc>
        <w:tc>
          <w:tcPr>
            <w:tcW w:w="1134" w:type="dxa"/>
          </w:tcPr>
          <w:p w14:paraId="02E99D01" w14:textId="77777777" w:rsidR="008F1B01" w:rsidRPr="008F1B01" w:rsidRDefault="008F1B01" w:rsidP="000A69BD">
            <w:pPr>
              <w:pStyle w:val="ECCTabletext"/>
              <w:jc w:val="left"/>
            </w:pPr>
            <w:r>
              <w:t>37 dBm</w:t>
            </w:r>
          </w:p>
        </w:tc>
        <w:tc>
          <w:tcPr>
            <w:tcW w:w="1412" w:type="dxa"/>
          </w:tcPr>
          <w:p w14:paraId="5738E8E8" w14:textId="77777777" w:rsidR="008F1B01" w:rsidRDefault="008F1B01" w:rsidP="000A69BD">
            <w:pPr>
              <w:pStyle w:val="ECCTabletext"/>
              <w:jc w:val="left"/>
            </w:pPr>
            <w:r>
              <w:t>20 dB</w:t>
            </w:r>
          </w:p>
        </w:tc>
      </w:tr>
      <w:tr w:rsidR="00F40538" w:rsidRPr="00C53FB5" w14:paraId="7EBF228B" w14:textId="77777777" w:rsidTr="00200700">
        <w:tc>
          <w:tcPr>
            <w:tcW w:w="9629" w:type="dxa"/>
            <w:gridSpan w:val="7"/>
          </w:tcPr>
          <w:p w14:paraId="26A7FAD5" w14:textId="77777777" w:rsidR="00F40538" w:rsidRDefault="00F40538" w:rsidP="00464AE0">
            <w:pPr>
              <w:pStyle w:val="ECCTablenote"/>
            </w:pPr>
            <w:r>
              <w:t>Note 1: Assumed out-of-band attenuation of the CDR-signal in adjacent bands allocated to RAS.</w:t>
            </w:r>
          </w:p>
          <w:p w14:paraId="154E7A86" w14:textId="75165502" w:rsidR="00F40538" w:rsidRDefault="00F40538" w:rsidP="00464AE0">
            <w:pPr>
              <w:pStyle w:val="ECCTablenote"/>
            </w:pPr>
            <w:r w:rsidRPr="00143CCA">
              <w:t xml:space="preserve">Note 2: The duty cycle of </w:t>
            </w:r>
            <w:r>
              <w:t>10</w:t>
            </w:r>
            <w:r w:rsidR="00F800A2">
              <w:t>%</w:t>
            </w:r>
            <w:r w:rsidRPr="00143CCA">
              <w:t xml:space="preserve"> is already considered in this mean e.i.r.p. spectral density value. Consequently, the given mean e.i.r.p. spectral density is valid for averaging over the whole measurement cycle T</w:t>
            </w:r>
            <w:r w:rsidRPr="00143CCA">
              <w:rPr>
                <w:rStyle w:val="ECCHLsubscript"/>
              </w:rPr>
              <w:t xml:space="preserve">meas_cycle </w:t>
            </w:r>
            <w:r w:rsidRPr="00143CCA">
              <w:t>of the device including any T</w:t>
            </w:r>
            <w:r w:rsidRPr="00143CCA">
              <w:rPr>
                <w:rStyle w:val="ECCHLsubscript"/>
              </w:rPr>
              <w:t>off</w:t>
            </w:r>
            <w:r w:rsidRPr="00143CCA">
              <w:t xml:space="preserve"> times (see </w:t>
            </w:r>
            <w:r w:rsidRPr="00143CCA">
              <w:fldChar w:fldCharType="begin"/>
            </w:r>
            <w:r w:rsidRPr="00143CCA">
              <w:instrText xml:space="preserve"> REF _Ref8900572 \h </w:instrText>
            </w:r>
            <w:r w:rsidRPr="00143CCA">
              <w:fldChar w:fldCharType="separate"/>
            </w:r>
            <w:r w:rsidR="0041125F" w:rsidRPr="006D6727">
              <w:rPr>
                <w:noProof/>
              </w:rPr>
              <w:t>Figure </w:t>
            </w:r>
            <w:r w:rsidR="0041125F">
              <w:rPr>
                <w:noProof/>
              </w:rPr>
              <w:t>36</w:t>
            </w:r>
            <w:r w:rsidRPr="00143CCA">
              <w:fldChar w:fldCharType="end"/>
            </w:r>
            <w:r w:rsidRPr="00143CCA">
              <w:t>).</w:t>
            </w:r>
          </w:p>
        </w:tc>
      </w:tr>
    </w:tbl>
    <w:p w14:paraId="059D33B9" w14:textId="77777777" w:rsidR="00B766AB" w:rsidRDefault="00B766AB" w:rsidP="00B766AB">
      <w:pPr>
        <w:pStyle w:val="Heading3"/>
      </w:pPr>
      <w:bookmarkStart w:id="566" w:name="_Ref67346187"/>
      <w:bookmarkStart w:id="567" w:name="_Toc84325366"/>
      <w:bookmarkStart w:id="568" w:name="_Toc127346290"/>
      <w:r>
        <w:t>Results</w:t>
      </w:r>
      <w:bookmarkEnd w:id="566"/>
      <w:bookmarkEnd w:id="567"/>
      <w:bookmarkEnd w:id="568"/>
    </w:p>
    <w:p w14:paraId="7AD5F22E" w14:textId="034E3094" w:rsidR="00B766AB" w:rsidRPr="00B10E31" w:rsidRDefault="009916C5" w:rsidP="00B766AB">
      <w:r>
        <w:fldChar w:fldCharType="begin"/>
      </w:r>
      <w:r>
        <w:instrText xml:space="preserve"> REF _Ref66452385 \h </w:instrText>
      </w:r>
      <w:r>
        <w:fldChar w:fldCharType="separate"/>
      </w:r>
      <w:r w:rsidR="0041125F" w:rsidRPr="00FF50FD">
        <w:t>Table </w:t>
      </w:r>
      <w:r w:rsidR="0041125F">
        <w:rPr>
          <w:noProof/>
        </w:rPr>
        <w:t>58</w:t>
      </w:r>
      <w:r>
        <w:fldChar w:fldCharType="end"/>
      </w:r>
      <w:r>
        <w:t xml:space="preserve"> </w:t>
      </w:r>
      <w:r w:rsidR="00B766AB" w:rsidRPr="00B10E31">
        <w:t xml:space="preserve">shows the single-entry </w:t>
      </w:r>
      <w:r w:rsidR="00791D2C">
        <w:t>worst</w:t>
      </w:r>
      <w:r w:rsidR="00B766AB" w:rsidRPr="00B10E31">
        <w:t>-case results for the two different CDR systems, e.g. the largest separation distances for the individual frequency ranges, and RAS victim sensor types.</w:t>
      </w:r>
    </w:p>
    <w:p w14:paraId="7CB8D4D4" w14:textId="6E693037" w:rsidR="00B766AB" w:rsidRDefault="009916C5" w:rsidP="00B766AB">
      <w:pPr>
        <w:pStyle w:val="Caption"/>
        <w:rPr>
          <w:rStyle w:val="ECCParagraph"/>
        </w:rPr>
      </w:pPr>
      <w:bookmarkStart w:id="569" w:name="_Ref66452385"/>
      <w:r w:rsidRPr="00FF50FD">
        <w:t>Table </w:t>
      </w:r>
      <w:r w:rsidRPr="0091705E">
        <w:fldChar w:fldCharType="begin"/>
      </w:r>
      <w:r w:rsidRPr="00FF50FD">
        <w:instrText xml:space="preserve"> SEQ Table \* ARABIC </w:instrText>
      </w:r>
      <w:r w:rsidRPr="0091705E">
        <w:fldChar w:fldCharType="separate"/>
      </w:r>
      <w:r w:rsidR="004F49F9">
        <w:rPr>
          <w:noProof/>
        </w:rPr>
        <w:t>58</w:t>
      </w:r>
      <w:r w:rsidRPr="0091705E">
        <w:fldChar w:fldCharType="end"/>
      </w:r>
      <w:bookmarkEnd w:id="569"/>
      <w:r w:rsidR="00B766AB" w:rsidRPr="00B766AB">
        <w:t>: Required separation distances determined in a single-entry study for CDR</w:t>
      </w:r>
    </w:p>
    <w:tbl>
      <w:tblPr>
        <w:tblStyle w:val="ECCTable-redheader"/>
        <w:tblW w:w="5000" w:type="pct"/>
        <w:tblInd w:w="0" w:type="dxa"/>
        <w:tblLook w:val="04A0" w:firstRow="1" w:lastRow="0" w:firstColumn="1" w:lastColumn="0" w:noHBand="0" w:noVBand="1"/>
      </w:tblPr>
      <w:tblGrid>
        <w:gridCol w:w="1696"/>
        <w:gridCol w:w="2544"/>
        <w:gridCol w:w="1306"/>
        <w:gridCol w:w="1308"/>
        <w:gridCol w:w="1469"/>
        <w:gridCol w:w="1306"/>
      </w:tblGrid>
      <w:tr w:rsidR="00B766AB" w14:paraId="01900031" w14:textId="77777777" w:rsidTr="006A6083">
        <w:trPr>
          <w:cnfStyle w:val="100000000000" w:firstRow="1" w:lastRow="0" w:firstColumn="0" w:lastColumn="0" w:oddVBand="0" w:evenVBand="0" w:oddHBand="0" w:evenHBand="0" w:firstRowFirstColumn="0" w:firstRowLastColumn="0" w:lastRowFirstColumn="0" w:lastRowLastColumn="0"/>
        </w:trPr>
        <w:tc>
          <w:tcPr>
            <w:tcW w:w="881" w:type="pct"/>
            <w:vMerge w:val="restart"/>
            <w:tcBorders>
              <w:top w:val="single" w:sz="4" w:space="0" w:color="FFFFFF" w:themeColor="background1"/>
            </w:tcBorders>
          </w:tcPr>
          <w:p w14:paraId="59C9CE9D" w14:textId="77777777" w:rsidR="00B766AB" w:rsidRPr="00B766AB" w:rsidRDefault="00B766AB" w:rsidP="00876039">
            <w:pPr>
              <w:pStyle w:val="ECCTableHeaderwhitefont"/>
            </w:pPr>
            <w:bookmarkStart w:id="570" w:name="_Hlk67494634"/>
            <w:r w:rsidRPr="00213B63">
              <w:t xml:space="preserve">Investigated </w:t>
            </w:r>
            <w:r w:rsidRPr="00B766AB">
              <w:t>frequency range</w:t>
            </w:r>
          </w:p>
        </w:tc>
        <w:tc>
          <w:tcPr>
            <w:tcW w:w="1321" w:type="pct"/>
            <w:vMerge w:val="restart"/>
            <w:tcBorders>
              <w:top w:val="single" w:sz="4" w:space="0" w:color="FFFFFF" w:themeColor="background1"/>
            </w:tcBorders>
          </w:tcPr>
          <w:p w14:paraId="2E0831C8" w14:textId="77777777" w:rsidR="00B766AB" w:rsidRPr="00B766AB" w:rsidRDefault="00B766AB" w:rsidP="000A69BD">
            <w:pPr>
              <w:pStyle w:val="ECCTableHeaderwhitefont"/>
            </w:pPr>
            <w:r w:rsidRPr="00213B63">
              <w:t>Allocated band for RAS</w:t>
            </w:r>
          </w:p>
        </w:tc>
        <w:tc>
          <w:tcPr>
            <w:tcW w:w="1357" w:type="pct"/>
            <w:gridSpan w:val="2"/>
            <w:tcBorders>
              <w:top w:val="single" w:sz="4" w:space="0" w:color="FFFFFF" w:themeColor="background1"/>
              <w:bottom w:val="single" w:sz="4" w:space="0" w:color="FFFFFF" w:themeColor="background1"/>
            </w:tcBorders>
          </w:tcPr>
          <w:p w14:paraId="0B6A89D8" w14:textId="77777777" w:rsidR="00B766AB" w:rsidRPr="00B766AB" w:rsidRDefault="00B766AB" w:rsidP="000A69BD">
            <w:pPr>
              <w:pStyle w:val="ECCTableHeaderwhitefont"/>
            </w:pPr>
            <w:r>
              <w:t>Required</w:t>
            </w:r>
            <w:r w:rsidRPr="00B766AB">
              <w:t xml:space="preserve"> separation distance for RAS CO</w:t>
            </w:r>
          </w:p>
        </w:tc>
        <w:tc>
          <w:tcPr>
            <w:tcW w:w="1441" w:type="pct"/>
            <w:gridSpan w:val="2"/>
            <w:tcBorders>
              <w:top w:val="single" w:sz="4" w:space="0" w:color="FFFFFF" w:themeColor="background1"/>
              <w:bottom w:val="single" w:sz="4" w:space="0" w:color="FFFFFF" w:themeColor="background1"/>
            </w:tcBorders>
          </w:tcPr>
          <w:p w14:paraId="1136E230" w14:textId="77777777" w:rsidR="00B766AB" w:rsidRPr="00B766AB" w:rsidRDefault="00B766AB" w:rsidP="000A69BD">
            <w:pPr>
              <w:pStyle w:val="ECCTableHeaderwhitefont"/>
            </w:pPr>
            <w:r>
              <w:t>Required</w:t>
            </w:r>
            <w:r w:rsidRPr="00B766AB">
              <w:t xml:space="preserve"> separation distance for RAS SLO</w:t>
            </w:r>
          </w:p>
        </w:tc>
      </w:tr>
      <w:tr w:rsidR="00B766AB" w14:paraId="13D863BE" w14:textId="77777777" w:rsidTr="006A6083">
        <w:tc>
          <w:tcPr>
            <w:tcW w:w="881" w:type="pct"/>
            <w:vMerge/>
            <w:tcBorders>
              <w:top w:val="single" w:sz="4" w:space="0" w:color="FFFFFF" w:themeColor="background1"/>
              <w:left w:val="single" w:sz="4" w:space="0" w:color="D22A23"/>
              <w:right w:val="single" w:sz="4" w:space="0" w:color="FFFFFF" w:themeColor="background1"/>
            </w:tcBorders>
          </w:tcPr>
          <w:p w14:paraId="0C64067C" w14:textId="77777777" w:rsidR="00B766AB" w:rsidRPr="00213B63" w:rsidRDefault="00B766AB" w:rsidP="00B766AB">
            <w:pPr>
              <w:pStyle w:val="ECCTableHeaderwhitefont"/>
            </w:pPr>
          </w:p>
        </w:tc>
        <w:tc>
          <w:tcPr>
            <w:tcW w:w="1321" w:type="pct"/>
            <w:vMerge/>
            <w:tcBorders>
              <w:top w:val="single" w:sz="4" w:space="0" w:color="FFFFFF" w:themeColor="background1"/>
              <w:left w:val="single" w:sz="4" w:space="0" w:color="FFFFFF" w:themeColor="background1"/>
              <w:right w:val="single" w:sz="4" w:space="0" w:color="FFFFFF" w:themeColor="background1"/>
            </w:tcBorders>
          </w:tcPr>
          <w:p w14:paraId="74597CBD" w14:textId="77777777" w:rsidR="00B766AB" w:rsidRPr="00213B63" w:rsidRDefault="00B766AB" w:rsidP="00B766AB">
            <w:pPr>
              <w:pStyle w:val="ECCTableHeaderwhitefont"/>
            </w:pPr>
          </w:p>
        </w:tc>
        <w:tc>
          <w:tcPr>
            <w:tcW w:w="678"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813651F" w14:textId="77777777" w:rsidR="00B766AB" w:rsidRPr="006A6083" w:rsidRDefault="00B766AB" w:rsidP="00876039">
            <w:pPr>
              <w:pStyle w:val="ECCTableHeaderwhitefont"/>
              <w:rPr>
                <w:b/>
                <w:bCs w:val="0"/>
              </w:rPr>
            </w:pPr>
            <w:r w:rsidRPr="006A6083">
              <w:rPr>
                <w:b/>
                <w:bCs w:val="0"/>
              </w:rPr>
              <w:t>DBF-CDR</w:t>
            </w:r>
          </w:p>
        </w:tc>
        <w:tc>
          <w:tcPr>
            <w:tcW w:w="679"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B1B1B46" w14:textId="77777777" w:rsidR="00B766AB" w:rsidRPr="006A6083" w:rsidRDefault="00B766AB" w:rsidP="000A69BD">
            <w:pPr>
              <w:pStyle w:val="ECCTableHeaderwhitefont"/>
              <w:rPr>
                <w:b/>
                <w:bCs w:val="0"/>
              </w:rPr>
            </w:pPr>
            <w:r w:rsidRPr="006A6083">
              <w:rPr>
                <w:b/>
                <w:bCs w:val="0"/>
              </w:rPr>
              <w:t>M- and PA-CDR</w:t>
            </w:r>
          </w:p>
        </w:tc>
        <w:tc>
          <w:tcPr>
            <w:tcW w:w="763"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9F20B12" w14:textId="77777777" w:rsidR="00B766AB" w:rsidRPr="006A6083" w:rsidRDefault="00B766AB" w:rsidP="000A69BD">
            <w:pPr>
              <w:pStyle w:val="ECCTableHeaderwhitefont"/>
              <w:rPr>
                <w:b/>
                <w:bCs w:val="0"/>
              </w:rPr>
            </w:pPr>
            <w:r w:rsidRPr="006A6083">
              <w:rPr>
                <w:b/>
                <w:bCs w:val="0"/>
              </w:rPr>
              <w:t>DBF-CDR</w:t>
            </w:r>
          </w:p>
        </w:tc>
        <w:tc>
          <w:tcPr>
            <w:tcW w:w="678" w:type="pct"/>
            <w:tcBorders>
              <w:top w:val="single" w:sz="4" w:space="0" w:color="FFFFFF" w:themeColor="background1"/>
              <w:left w:val="single" w:sz="4" w:space="0" w:color="FFFFFF" w:themeColor="background1"/>
              <w:bottom w:val="single" w:sz="4" w:space="0" w:color="D22A23"/>
              <w:right w:val="single" w:sz="4" w:space="0" w:color="D22A23"/>
            </w:tcBorders>
            <w:shd w:val="clear" w:color="auto" w:fill="D22A23"/>
          </w:tcPr>
          <w:p w14:paraId="459F85AF" w14:textId="77777777" w:rsidR="00B766AB" w:rsidRPr="006A6083" w:rsidRDefault="00B766AB" w:rsidP="000A69BD">
            <w:pPr>
              <w:pStyle w:val="ECCTableHeaderwhitefont"/>
              <w:rPr>
                <w:b/>
                <w:bCs w:val="0"/>
              </w:rPr>
            </w:pPr>
            <w:r w:rsidRPr="006A6083">
              <w:rPr>
                <w:b/>
                <w:bCs w:val="0"/>
              </w:rPr>
              <w:t>M- and PA-CDR</w:t>
            </w:r>
          </w:p>
        </w:tc>
      </w:tr>
      <w:tr w:rsidR="00B766AB" w14:paraId="4D200BCB" w14:textId="77777777" w:rsidTr="006A6083">
        <w:tc>
          <w:tcPr>
            <w:tcW w:w="881" w:type="pct"/>
            <w:vMerge w:val="restart"/>
            <w:tcBorders>
              <w:left w:val="single" w:sz="4" w:space="0" w:color="D22A23"/>
            </w:tcBorders>
          </w:tcPr>
          <w:p w14:paraId="6F772957" w14:textId="77777777" w:rsidR="00B766AB" w:rsidRPr="00B766AB" w:rsidRDefault="00B766AB" w:rsidP="000A69BD">
            <w:pPr>
              <w:pStyle w:val="ECCTabletext"/>
              <w:jc w:val="left"/>
            </w:pPr>
            <w:r w:rsidRPr="00C53FB5">
              <w:t>116 to 148</w:t>
            </w:r>
            <w:r w:rsidR="00CF4994">
              <w:t>.5</w:t>
            </w:r>
            <w:r w:rsidRPr="00C53FB5">
              <w:t> GHz</w:t>
            </w:r>
          </w:p>
        </w:tc>
        <w:tc>
          <w:tcPr>
            <w:tcW w:w="1321" w:type="pct"/>
          </w:tcPr>
          <w:p w14:paraId="4979ED16" w14:textId="77777777" w:rsidR="00B766AB" w:rsidRPr="00B766AB" w:rsidRDefault="00B766AB" w:rsidP="000A69BD">
            <w:pPr>
              <w:pStyle w:val="ECCTabletext"/>
              <w:jc w:val="left"/>
            </w:pPr>
            <w:r w:rsidRPr="00C53FB5">
              <w:t>76 to 116 GHz</w:t>
            </w:r>
            <w:r w:rsidR="008F1B01">
              <w:t xml:space="preserve"> (OOB)</w:t>
            </w:r>
          </w:p>
        </w:tc>
        <w:tc>
          <w:tcPr>
            <w:tcW w:w="678" w:type="pct"/>
            <w:tcBorders>
              <w:top w:val="single" w:sz="4" w:space="0" w:color="D22A23"/>
            </w:tcBorders>
          </w:tcPr>
          <w:p w14:paraId="65892FD8" w14:textId="77777777" w:rsidR="00B766AB" w:rsidRPr="00B766AB" w:rsidRDefault="002C7E84" w:rsidP="000A69BD">
            <w:pPr>
              <w:pStyle w:val="ECCTabletext"/>
              <w:jc w:val="left"/>
            </w:pPr>
            <w:r>
              <w:t>2</w:t>
            </w:r>
            <w:r w:rsidR="00B766AB" w:rsidRPr="00C53FB5">
              <w:t> km</w:t>
            </w:r>
          </w:p>
        </w:tc>
        <w:tc>
          <w:tcPr>
            <w:tcW w:w="679" w:type="pct"/>
            <w:tcBorders>
              <w:top w:val="single" w:sz="4" w:space="0" w:color="D22A23"/>
            </w:tcBorders>
          </w:tcPr>
          <w:p w14:paraId="5AFD5CEA" w14:textId="77777777" w:rsidR="00B766AB" w:rsidRPr="00314B0A" w:rsidRDefault="00314B0A" w:rsidP="00314B0A">
            <w:r w:rsidRPr="00314B0A">
              <w:t>1</w:t>
            </w:r>
            <w:r w:rsidR="00CF4994">
              <w:t>.3</w:t>
            </w:r>
            <w:r w:rsidR="00B766AB" w:rsidRPr="00314B0A">
              <w:t> km</w:t>
            </w:r>
          </w:p>
        </w:tc>
        <w:tc>
          <w:tcPr>
            <w:tcW w:w="763" w:type="pct"/>
            <w:tcBorders>
              <w:top w:val="single" w:sz="4" w:space="0" w:color="D22A23"/>
            </w:tcBorders>
          </w:tcPr>
          <w:p w14:paraId="44E268FB" w14:textId="77777777" w:rsidR="00B766AB" w:rsidRPr="00314B0A" w:rsidRDefault="00B766AB" w:rsidP="00314B0A">
            <w:r w:rsidRPr="00314B0A">
              <w:t>0</w:t>
            </w:r>
            <w:r w:rsidR="00CF4994">
              <w:t>.4</w:t>
            </w:r>
            <w:r w:rsidR="00A85787">
              <w:t> </w:t>
            </w:r>
            <w:r w:rsidRPr="00314B0A">
              <w:t>km</w:t>
            </w:r>
          </w:p>
        </w:tc>
        <w:tc>
          <w:tcPr>
            <w:tcW w:w="678" w:type="pct"/>
            <w:tcBorders>
              <w:top w:val="single" w:sz="4" w:space="0" w:color="FFFFFF" w:themeColor="background1"/>
            </w:tcBorders>
          </w:tcPr>
          <w:p w14:paraId="3CE23535" w14:textId="77777777" w:rsidR="00B766AB" w:rsidRPr="00314B0A" w:rsidRDefault="00B766AB" w:rsidP="00314B0A">
            <w:r w:rsidRPr="00314B0A">
              <w:t>0</w:t>
            </w:r>
            <w:r w:rsidR="00CF4994">
              <w:t>.3</w:t>
            </w:r>
            <w:r w:rsidR="005074A8" w:rsidRPr="00314B0A">
              <w:t> </w:t>
            </w:r>
            <w:r w:rsidRPr="00314B0A">
              <w:t>km</w:t>
            </w:r>
          </w:p>
        </w:tc>
      </w:tr>
      <w:tr w:rsidR="00B766AB" w14:paraId="375449B9" w14:textId="77777777" w:rsidTr="006A6083">
        <w:tc>
          <w:tcPr>
            <w:tcW w:w="881" w:type="pct"/>
            <w:vMerge/>
            <w:tcBorders>
              <w:left w:val="single" w:sz="4" w:space="0" w:color="D22A23"/>
            </w:tcBorders>
          </w:tcPr>
          <w:p w14:paraId="617146E8" w14:textId="77777777" w:rsidR="00B766AB" w:rsidRPr="00C53FB5" w:rsidRDefault="00B766AB" w:rsidP="00B766AB">
            <w:pPr>
              <w:pStyle w:val="ECCTabletext"/>
            </w:pPr>
          </w:p>
        </w:tc>
        <w:tc>
          <w:tcPr>
            <w:tcW w:w="1321" w:type="pct"/>
          </w:tcPr>
          <w:p w14:paraId="51BA1C27" w14:textId="77777777" w:rsidR="00B766AB" w:rsidRPr="00B766AB" w:rsidRDefault="00B766AB" w:rsidP="000A69BD">
            <w:pPr>
              <w:pStyle w:val="ECCTabletext"/>
              <w:jc w:val="left"/>
            </w:pPr>
            <w:r w:rsidRPr="00C53FB5">
              <w:t>123 to 158</w:t>
            </w:r>
            <w:r w:rsidR="00CF4994">
              <w:t>.5</w:t>
            </w:r>
            <w:r w:rsidRPr="00C53FB5">
              <w:t> GHz</w:t>
            </w:r>
            <w:r w:rsidR="008F1B01">
              <w:t xml:space="preserve"> (In-band)</w:t>
            </w:r>
          </w:p>
        </w:tc>
        <w:tc>
          <w:tcPr>
            <w:tcW w:w="678" w:type="pct"/>
          </w:tcPr>
          <w:p w14:paraId="6BD6F741" w14:textId="77777777" w:rsidR="00B766AB" w:rsidRPr="00332677" w:rsidRDefault="00B766AB" w:rsidP="00314B0A">
            <w:r w:rsidRPr="00314B0A">
              <w:t>1</w:t>
            </w:r>
            <w:r w:rsidR="002C7E84" w:rsidRPr="00314B0A">
              <w:t>9</w:t>
            </w:r>
            <w:r w:rsidR="00CF4994">
              <w:t>.9</w:t>
            </w:r>
            <w:r w:rsidRPr="00314B0A">
              <w:t> km</w:t>
            </w:r>
          </w:p>
        </w:tc>
        <w:tc>
          <w:tcPr>
            <w:tcW w:w="679" w:type="pct"/>
          </w:tcPr>
          <w:p w14:paraId="30D878D1" w14:textId="77777777" w:rsidR="00B766AB" w:rsidRPr="00314B0A" w:rsidRDefault="00B766AB" w:rsidP="00314B0A">
            <w:r w:rsidRPr="00314B0A">
              <w:t>1</w:t>
            </w:r>
            <w:r w:rsidR="00314B0A" w:rsidRPr="00314B0A">
              <w:t>4</w:t>
            </w:r>
            <w:r w:rsidR="00CF4994">
              <w:t>.2</w:t>
            </w:r>
            <w:r w:rsidRPr="00314B0A">
              <w:t> km</w:t>
            </w:r>
          </w:p>
        </w:tc>
        <w:tc>
          <w:tcPr>
            <w:tcW w:w="763" w:type="pct"/>
          </w:tcPr>
          <w:p w14:paraId="7B9FBBAB" w14:textId="77777777" w:rsidR="00B766AB" w:rsidRPr="00314B0A" w:rsidRDefault="002C7E84" w:rsidP="00314B0A">
            <w:r w:rsidRPr="00314B0A">
              <w:t>2</w:t>
            </w:r>
            <w:r w:rsidR="00CF4994">
              <w:t>.6</w:t>
            </w:r>
            <w:r w:rsidR="005074A8" w:rsidRPr="00314B0A">
              <w:t> </w:t>
            </w:r>
            <w:r w:rsidR="00B766AB" w:rsidRPr="00314B0A">
              <w:t>km</w:t>
            </w:r>
          </w:p>
        </w:tc>
        <w:tc>
          <w:tcPr>
            <w:tcW w:w="678" w:type="pct"/>
          </w:tcPr>
          <w:p w14:paraId="39EF95D8" w14:textId="77777777" w:rsidR="00B766AB" w:rsidRPr="00314B0A" w:rsidRDefault="00B766AB" w:rsidP="00314B0A">
            <w:r w:rsidRPr="00314B0A">
              <w:t>1</w:t>
            </w:r>
            <w:r w:rsidR="00CF4994">
              <w:t>.7</w:t>
            </w:r>
            <w:r w:rsidRPr="00314B0A">
              <w:t> km</w:t>
            </w:r>
          </w:p>
        </w:tc>
      </w:tr>
      <w:tr w:rsidR="00B766AB" w14:paraId="2B74CBEC" w14:textId="77777777" w:rsidTr="006A6083">
        <w:tc>
          <w:tcPr>
            <w:tcW w:w="881" w:type="pct"/>
            <w:vMerge w:val="restart"/>
            <w:tcBorders>
              <w:left w:val="single" w:sz="4" w:space="0" w:color="D22A23"/>
            </w:tcBorders>
          </w:tcPr>
          <w:p w14:paraId="379D1846" w14:textId="77777777" w:rsidR="00B766AB" w:rsidRPr="00B766AB" w:rsidRDefault="00B766AB" w:rsidP="000A69BD">
            <w:pPr>
              <w:pStyle w:val="ECCTabletext"/>
              <w:jc w:val="left"/>
            </w:pPr>
            <w:r w:rsidRPr="00C53FB5">
              <w:t xml:space="preserve">167 to </w:t>
            </w:r>
            <w:r w:rsidRPr="00B766AB">
              <w:t>182 GHz</w:t>
            </w:r>
          </w:p>
        </w:tc>
        <w:tc>
          <w:tcPr>
            <w:tcW w:w="1321" w:type="pct"/>
          </w:tcPr>
          <w:p w14:paraId="20B8F5A5" w14:textId="77777777" w:rsidR="00B766AB" w:rsidRPr="00B766AB" w:rsidRDefault="00B766AB" w:rsidP="000A69BD">
            <w:pPr>
              <w:pStyle w:val="ECCTabletext"/>
              <w:jc w:val="left"/>
            </w:pPr>
            <w:r w:rsidRPr="00C53FB5">
              <w:t>164 to 174</w:t>
            </w:r>
            <w:r w:rsidR="00CF4994">
              <w:t>.5</w:t>
            </w:r>
            <w:r w:rsidRPr="00C53FB5">
              <w:t> GHz</w:t>
            </w:r>
            <w:r w:rsidR="008F1B01">
              <w:t xml:space="preserve"> (In-band)</w:t>
            </w:r>
          </w:p>
        </w:tc>
        <w:tc>
          <w:tcPr>
            <w:tcW w:w="678" w:type="pct"/>
          </w:tcPr>
          <w:p w14:paraId="72B487F7" w14:textId="77777777" w:rsidR="00B766AB" w:rsidRPr="00B766AB" w:rsidRDefault="002C7E84" w:rsidP="000A69BD">
            <w:pPr>
              <w:pStyle w:val="ECCTabletext"/>
              <w:jc w:val="left"/>
            </w:pPr>
            <w:r>
              <w:t>18</w:t>
            </w:r>
            <w:r w:rsidR="00CF4994">
              <w:t>.3</w:t>
            </w:r>
            <w:r w:rsidR="00B766AB" w:rsidRPr="00C53FB5">
              <w:t> km</w:t>
            </w:r>
          </w:p>
        </w:tc>
        <w:tc>
          <w:tcPr>
            <w:tcW w:w="679" w:type="pct"/>
          </w:tcPr>
          <w:p w14:paraId="12D10472" w14:textId="77777777" w:rsidR="00B766AB" w:rsidRPr="00314B0A" w:rsidRDefault="00314B0A" w:rsidP="00314B0A">
            <w:r w:rsidRPr="00314B0A">
              <w:t>13</w:t>
            </w:r>
            <w:r w:rsidR="00CF4994">
              <w:t>.1</w:t>
            </w:r>
            <w:r w:rsidR="00B766AB" w:rsidRPr="00314B0A">
              <w:t> km</w:t>
            </w:r>
          </w:p>
        </w:tc>
        <w:tc>
          <w:tcPr>
            <w:tcW w:w="763" w:type="pct"/>
          </w:tcPr>
          <w:p w14:paraId="77A44AAC" w14:textId="77777777" w:rsidR="00B766AB" w:rsidRPr="00314B0A" w:rsidRDefault="002C7E84" w:rsidP="00314B0A">
            <w:r w:rsidRPr="00314B0A">
              <w:t>2</w:t>
            </w:r>
            <w:r w:rsidR="00CF4994">
              <w:t>.9</w:t>
            </w:r>
            <w:r w:rsidR="00B766AB" w:rsidRPr="00314B0A">
              <w:t> km</w:t>
            </w:r>
          </w:p>
        </w:tc>
        <w:tc>
          <w:tcPr>
            <w:tcW w:w="678" w:type="pct"/>
          </w:tcPr>
          <w:p w14:paraId="74D1B0B3" w14:textId="77777777" w:rsidR="00B766AB" w:rsidRPr="00314B0A" w:rsidRDefault="00B766AB" w:rsidP="00314B0A">
            <w:r w:rsidRPr="00314B0A">
              <w:t>1</w:t>
            </w:r>
            <w:r w:rsidR="00CF4994">
              <w:t>.9</w:t>
            </w:r>
            <w:r w:rsidRPr="00314B0A">
              <w:t> km</w:t>
            </w:r>
          </w:p>
        </w:tc>
      </w:tr>
      <w:tr w:rsidR="00B766AB" w14:paraId="083149FC" w14:textId="77777777" w:rsidTr="006A6083">
        <w:tc>
          <w:tcPr>
            <w:tcW w:w="881" w:type="pct"/>
            <w:vMerge/>
            <w:tcBorders>
              <w:left w:val="single" w:sz="4" w:space="0" w:color="D22A23"/>
              <w:bottom w:val="single" w:sz="4" w:space="0" w:color="D22A23"/>
            </w:tcBorders>
          </w:tcPr>
          <w:p w14:paraId="3ABFF12E" w14:textId="77777777" w:rsidR="00B766AB" w:rsidRPr="00C53FB5" w:rsidRDefault="00B766AB" w:rsidP="00B766AB">
            <w:pPr>
              <w:pStyle w:val="ECCTabletext"/>
            </w:pPr>
          </w:p>
        </w:tc>
        <w:tc>
          <w:tcPr>
            <w:tcW w:w="1321" w:type="pct"/>
            <w:tcBorders>
              <w:bottom w:val="single" w:sz="4" w:space="0" w:color="D22A23"/>
            </w:tcBorders>
          </w:tcPr>
          <w:p w14:paraId="70944062" w14:textId="77777777" w:rsidR="00B766AB" w:rsidRPr="00B766AB" w:rsidRDefault="00B766AB" w:rsidP="000A69BD">
            <w:pPr>
              <w:pStyle w:val="ECCTabletext"/>
              <w:jc w:val="left"/>
            </w:pPr>
            <w:r w:rsidRPr="00C53FB5">
              <w:t>182 to 185 GHz</w:t>
            </w:r>
            <w:r w:rsidR="008F1B01">
              <w:t xml:space="preserve"> (OOB)</w:t>
            </w:r>
          </w:p>
        </w:tc>
        <w:tc>
          <w:tcPr>
            <w:tcW w:w="678" w:type="pct"/>
            <w:tcBorders>
              <w:bottom w:val="single" w:sz="4" w:space="0" w:color="D22A23"/>
            </w:tcBorders>
          </w:tcPr>
          <w:p w14:paraId="0276E52B" w14:textId="77777777" w:rsidR="00B766AB" w:rsidRPr="00B766AB" w:rsidRDefault="00B766AB" w:rsidP="000A69BD">
            <w:pPr>
              <w:pStyle w:val="ECCTabletext"/>
              <w:jc w:val="left"/>
            </w:pPr>
            <w:r w:rsidRPr="00C53FB5">
              <w:t>0</w:t>
            </w:r>
            <w:r w:rsidR="00CF4994">
              <w:t>.9</w:t>
            </w:r>
            <w:r w:rsidRPr="00C53FB5">
              <w:t> km</w:t>
            </w:r>
          </w:p>
        </w:tc>
        <w:tc>
          <w:tcPr>
            <w:tcW w:w="679" w:type="pct"/>
            <w:tcBorders>
              <w:bottom w:val="single" w:sz="4" w:space="0" w:color="D22A23"/>
            </w:tcBorders>
          </w:tcPr>
          <w:p w14:paraId="264255F3" w14:textId="77777777" w:rsidR="00B766AB" w:rsidRPr="00314B0A" w:rsidRDefault="00B766AB" w:rsidP="00314B0A">
            <w:r w:rsidRPr="00314B0A">
              <w:t>0</w:t>
            </w:r>
            <w:r w:rsidR="00CF4994">
              <w:t>.6</w:t>
            </w:r>
            <w:r w:rsidR="00A85787">
              <w:t> </w:t>
            </w:r>
            <w:r w:rsidRPr="00314B0A">
              <w:t>km</w:t>
            </w:r>
          </w:p>
        </w:tc>
        <w:tc>
          <w:tcPr>
            <w:tcW w:w="763" w:type="pct"/>
            <w:tcBorders>
              <w:bottom w:val="single" w:sz="4" w:space="0" w:color="D22A23"/>
            </w:tcBorders>
          </w:tcPr>
          <w:p w14:paraId="59E80F03" w14:textId="77777777" w:rsidR="00B766AB" w:rsidRPr="00314B0A" w:rsidRDefault="00B766AB" w:rsidP="00314B0A">
            <w:r w:rsidRPr="00314B0A">
              <w:t>0</w:t>
            </w:r>
            <w:r w:rsidR="00CF4994">
              <w:t>.3</w:t>
            </w:r>
            <w:r w:rsidR="005074A8" w:rsidRPr="00314B0A">
              <w:t> </w:t>
            </w:r>
            <w:r w:rsidRPr="00314B0A">
              <w:t>km</w:t>
            </w:r>
          </w:p>
        </w:tc>
        <w:tc>
          <w:tcPr>
            <w:tcW w:w="678" w:type="pct"/>
            <w:tcBorders>
              <w:bottom w:val="single" w:sz="4" w:space="0" w:color="D22A23"/>
            </w:tcBorders>
          </w:tcPr>
          <w:p w14:paraId="3694DEBA" w14:textId="77777777" w:rsidR="00B766AB" w:rsidRPr="00314B0A" w:rsidRDefault="00B766AB" w:rsidP="00314B0A">
            <w:r w:rsidRPr="00314B0A">
              <w:t>0</w:t>
            </w:r>
            <w:r w:rsidR="00CF4994">
              <w:t>.2</w:t>
            </w:r>
            <w:r w:rsidRPr="00314B0A">
              <w:t> km</w:t>
            </w:r>
          </w:p>
        </w:tc>
      </w:tr>
      <w:tr w:rsidR="00B766AB" w14:paraId="5AB1A1E7" w14:textId="77777777" w:rsidTr="006A6083">
        <w:tc>
          <w:tcPr>
            <w:tcW w:w="881" w:type="pct"/>
            <w:vMerge w:val="restart"/>
            <w:tcBorders>
              <w:left w:val="single" w:sz="4" w:space="0" w:color="D22A23"/>
            </w:tcBorders>
          </w:tcPr>
          <w:p w14:paraId="65EFF5CD" w14:textId="77777777" w:rsidR="00B766AB" w:rsidRPr="00B766AB" w:rsidRDefault="00B766AB" w:rsidP="000A69BD">
            <w:pPr>
              <w:pStyle w:val="ECCTabletext"/>
              <w:jc w:val="left"/>
            </w:pPr>
            <w:r w:rsidRPr="00C53FB5">
              <w:t>231</w:t>
            </w:r>
            <w:r w:rsidR="00CF4994">
              <w:t>.5</w:t>
            </w:r>
            <w:r w:rsidRPr="00C53FB5">
              <w:t xml:space="preserve"> to 250 GHz</w:t>
            </w:r>
          </w:p>
        </w:tc>
        <w:tc>
          <w:tcPr>
            <w:tcW w:w="1321" w:type="pct"/>
          </w:tcPr>
          <w:p w14:paraId="41B5AE96" w14:textId="77777777" w:rsidR="00B766AB" w:rsidRPr="00B766AB" w:rsidRDefault="00B766AB" w:rsidP="000A69BD">
            <w:pPr>
              <w:pStyle w:val="ECCTabletext"/>
              <w:jc w:val="left"/>
            </w:pPr>
            <w:r w:rsidRPr="00C53FB5">
              <w:t>190 to 231</w:t>
            </w:r>
            <w:r w:rsidR="00CF4994">
              <w:t>.5</w:t>
            </w:r>
            <w:r w:rsidRPr="00C53FB5">
              <w:t> GHz</w:t>
            </w:r>
            <w:r w:rsidR="008F1B01">
              <w:t xml:space="preserve"> (OOB)</w:t>
            </w:r>
          </w:p>
        </w:tc>
        <w:tc>
          <w:tcPr>
            <w:tcW w:w="678" w:type="pct"/>
          </w:tcPr>
          <w:p w14:paraId="71F786A8" w14:textId="77777777" w:rsidR="00B766AB" w:rsidRPr="00314B0A" w:rsidRDefault="002C7E84" w:rsidP="00314B0A">
            <w:r w:rsidRPr="00314B0A">
              <w:t>3</w:t>
            </w:r>
            <w:r w:rsidR="00CF4994">
              <w:t>.6</w:t>
            </w:r>
            <w:r w:rsidR="00B766AB" w:rsidRPr="00314B0A">
              <w:t> km</w:t>
            </w:r>
          </w:p>
        </w:tc>
        <w:tc>
          <w:tcPr>
            <w:tcW w:w="679" w:type="pct"/>
          </w:tcPr>
          <w:p w14:paraId="3FF5D6E3" w14:textId="77777777" w:rsidR="00B766AB" w:rsidRPr="00314B0A" w:rsidRDefault="00314B0A" w:rsidP="00314B0A">
            <w:r w:rsidRPr="00314B0A">
              <w:t>1</w:t>
            </w:r>
            <w:r w:rsidR="00CF4994">
              <w:t>.7</w:t>
            </w:r>
            <w:r w:rsidR="00B766AB" w:rsidRPr="00314B0A">
              <w:t> km</w:t>
            </w:r>
          </w:p>
        </w:tc>
        <w:tc>
          <w:tcPr>
            <w:tcW w:w="763" w:type="pct"/>
          </w:tcPr>
          <w:p w14:paraId="5541A60B" w14:textId="77777777" w:rsidR="00B766AB" w:rsidRPr="00314B0A" w:rsidRDefault="00B766AB" w:rsidP="00314B0A">
            <w:r w:rsidRPr="00314B0A">
              <w:t>0</w:t>
            </w:r>
            <w:r w:rsidR="00CF4994">
              <w:t>.4</w:t>
            </w:r>
            <w:r w:rsidRPr="00314B0A">
              <w:t> km</w:t>
            </w:r>
          </w:p>
        </w:tc>
        <w:tc>
          <w:tcPr>
            <w:tcW w:w="678" w:type="pct"/>
          </w:tcPr>
          <w:p w14:paraId="528BDD32" w14:textId="77777777" w:rsidR="00B766AB" w:rsidRPr="00314B0A" w:rsidRDefault="00B766AB" w:rsidP="00314B0A">
            <w:r w:rsidRPr="00314B0A">
              <w:t>0</w:t>
            </w:r>
            <w:r w:rsidR="00CF4994">
              <w:t>.2</w:t>
            </w:r>
            <w:r w:rsidRPr="00314B0A">
              <w:t> km</w:t>
            </w:r>
          </w:p>
        </w:tc>
      </w:tr>
      <w:tr w:rsidR="00B766AB" w14:paraId="535AF423" w14:textId="77777777" w:rsidTr="006A6083">
        <w:tc>
          <w:tcPr>
            <w:tcW w:w="881" w:type="pct"/>
            <w:vMerge/>
            <w:tcBorders>
              <w:left w:val="single" w:sz="4" w:space="0" w:color="D22A23"/>
            </w:tcBorders>
          </w:tcPr>
          <w:p w14:paraId="6B9CF37B" w14:textId="77777777" w:rsidR="00B766AB" w:rsidRPr="00C53FB5" w:rsidRDefault="00B766AB" w:rsidP="00B766AB">
            <w:pPr>
              <w:pStyle w:val="ECCTabletext"/>
            </w:pPr>
          </w:p>
        </w:tc>
        <w:tc>
          <w:tcPr>
            <w:tcW w:w="1321" w:type="pct"/>
          </w:tcPr>
          <w:p w14:paraId="7F35AA58" w14:textId="77777777" w:rsidR="00B766AB" w:rsidRPr="00B766AB" w:rsidRDefault="00B766AB" w:rsidP="000A69BD">
            <w:pPr>
              <w:pStyle w:val="ECCTabletext"/>
              <w:jc w:val="left"/>
            </w:pPr>
            <w:r w:rsidRPr="00C53FB5">
              <w:t>235 to 238 GHz</w:t>
            </w:r>
            <w:r w:rsidR="008F1B01">
              <w:t xml:space="preserve"> (In-band)</w:t>
            </w:r>
          </w:p>
        </w:tc>
        <w:tc>
          <w:tcPr>
            <w:tcW w:w="678" w:type="pct"/>
          </w:tcPr>
          <w:p w14:paraId="48D4EB21" w14:textId="77777777" w:rsidR="00B766AB" w:rsidRPr="00314B0A" w:rsidRDefault="002C7E84" w:rsidP="00314B0A">
            <w:r w:rsidRPr="00314B0A">
              <w:t>19</w:t>
            </w:r>
            <w:r w:rsidR="00CF4994">
              <w:t>.3</w:t>
            </w:r>
            <w:r w:rsidR="00B766AB" w:rsidRPr="00314B0A">
              <w:t> km</w:t>
            </w:r>
          </w:p>
        </w:tc>
        <w:tc>
          <w:tcPr>
            <w:tcW w:w="679" w:type="pct"/>
          </w:tcPr>
          <w:p w14:paraId="2B4D1FE4" w14:textId="77777777" w:rsidR="00B766AB" w:rsidRPr="00314B0A" w:rsidRDefault="00314B0A" w:rsidP="00314B0A">
            <w:r w:rsidRPr="00314B0A">
              <w:t>11</w:t>
            </w:r>
            <w:r w:rsidR="00CF4994">
              <w:t>.1</w:t>
            </w:r>
            <w:r w:rsidR="00B766AB" w:rsidRPr="00314B0A">
              <w:t> km</w:t>
            </w:r>
          </w:p>
        </w:tc>
        <w:tc>
          <w:tcPr>
            <w:tcW w:w="763" w:type="pct"/>
          </w:tcPr>
          <w:p w14:paraId="48CD2B92" w14:textId="77777777" w:rsidR="00B766AB" w:rsidRPr="00314B0A" w:rsidRDefault="002C7E84" w:rsidP="00314B0A">
            <w:r w:rsidRPr="00314B0A">
              <w:t>3</w:t>
            </w:r>
            <w:r w:rsidR="00CF4994">
              <w:t>.3</w:t>
            </w:r>
            <w:r w:rsidR="00B766AB" w:rsidRPr="00314B0A">
              <w:t> km</w:t>
            </w:r>
          </w:p>
        </w:tc>
        <w:tc>
          <w:tcPr>
            <w:tcW w:w="678" w:type="pct"/>
          </w:tcPr>
          <w:p w14:paraId="020D4D4B" w14:textId="77777777" w:rsidR="00B766AB" w:rsidRPr="00314B0A" w:rsidRDefault="00314B0A" w:rsidP="00314B0A">
            <w:r w:rsidRPr="00314B0A">
              <w:t>1</w:t>
            </w:r>
            <w:r w:rsidR="00CF4994">
              <w:t>.5</w:t>
            </w:r>
            <w:r w:rsidR="00B766AB" w:rsidRPr="00314B0A">
              <w:t> km</w:t>
            </w:r>
          </w:p>
        </w:tc>
      </w:tr>
      <w:tr w:rsidR="00B766AB" w14:paraId="502A912B" w14:textId="77777777" w:rsidTr="006A6083">
        <w:tc>
          <w:tcPr>
            <w:tcW w:w="881" w:type="pct"/>
            <w:vMerge/>
            <w:tcBorders>
              <w:left w:val="single" w:sz="4" w:space="0" w:color="D22A23"/>
              <w:bottom w:val="single" w:sz="4" w:space="0" w:color="D22A23"/>
            </w:tcBorders>
          </w:tcPr>
          <w:p w14:paraId="6354BDE7" w14:textId="77777777" w:rsidR="00B766AB" w:rsidRPr="00C53FB5" w:rsidRDefault="00B766AB" w:rsidP="00B766AB">
            <w:pPr>
              <w:pStyle w:val="ECCTabletext"/>
            </w:pPr>
          </w:p>
        </w:tc>
        <w:tc>
          <w:tcPr>
            <w:tcW w:w="1321" w:type="pct"/>
            <w:tcBorders>
              <w:bottom w:val="single" w:sz="4" w:space="0" w:color="D22A23"/>
            </w:tcBorders>
          </w:tcPr>
          <w:p w14:paraId="450639EF" w14:textId="77777777" w:rsidR="00B766AB" w:rsidRPr="00B766AB" w:rsidRDefault="00B766AB" w:rsidP="000A69BD">
            <w:pPr>
              <w:pStyle w:val="ECCTabletext"/>
              <w:jc w:val="left"/>
            </w:pPr>
            <w:r w:rsidRPr="00C53FB5">
              <w:t>241 to 275 GHz</w:t>
            </w:r>
            <w:r w:rsidR="008F1B01">
              <w:t xml:space="preserve"> (In-band)</w:t>
            </w:r>
          </w:p>
        </w:tc>
        <w:tc>
          <w:tcPr>
            <w:tcW w:w="678" w:type="pct"/>
            <w:tcBorders>
              <w:bottom w:val="single" w:sz="4" w:space="0" w:color="D22A23"/>
            </w:tcBorders>
          </w:tcPr>
          <w:p w14:paraId="1AE958B3" w14:textId="77777777" w:rsidR="00B766AB" w:rsidRPr="00B766AB" w:rsidRDefault="002C7E84" w:rsidP="000A69BD">
            <w:pPr>
              <w:pStyle w:val="ECCTabletext"/>
              <w:jc w:val="left"/>
            </w:pPr>
            <w:r>
              <w:t>17</w:t>
            </w:r>
            <w:r w:rsidR="00CF4994">
              <w:t>.1</w:t>
            </w:r>
            <w:r w:rsidR="00B766AB" w:rsidRPr="00C53FB5">
              <w:t> km</w:t>
            </w:r>
          </w:p>
        </w:tc>
        <w:tc>
          <w:tcPr>
            <w:tcW w:w="679" w:type="pct"/>
            <w:tcBorders>
              <w:bottom w:val="single" w:sz="4" w:space="0" w:color="D22A23"/>
            </w:tcBorders>
          </w:tcPr>
          <w:p w14:paraId="04FC7A76" w14:textId="77777777" w:rsidR="00B766AB" w:rsidRPr="00332677" w:rsidRDefault="00314B0A" w:rsidP="00332677">
            <w:r w:rsidRPr="00332677">
              <w:t>9</w:t>
            </w:r>
            <w:r w:rsidR="00CF4994">
              <w:t>.8</w:t>
            </w:r>
            <w:r w:rsidR="00B766AB" w:rsidRPr="00332677">
              <w:t> km</w:t>
            </w:r>
          </w:p>
        </w:tc>
        <w:tc>
          <w:tcPr>
            <w:tcW w:w="763" w:type="pct"/>
            <w:tcBorders>
              <w:bottom w:val="single" w:sz="4" w:space="0" w:color="D22A23"/>
            </w:tcBorders>
          </w:tcPr>
          <w:p w14:paraId="64F2B384" w14:textId="77777777" w:rsidR="00B766AB" w:rsidRPr="00332677" w:rsidRDefault="002C7E84" w:rsidP="00332677">
            <w:r w:rsidRPr="00332677">
              <w:t>3</w:t>
            </w:r>
            <w:r w:rsidR="00CF4994">
              <w:t>.1</w:t>
            </w:r>
            <w:r w:rsidR="00B766AB" w:rsidRPr="00332677">
              <w:t> km</w:t>
            </w:r>
          </w:p>
        </w:tc>
        <w:tc>
          <w:tcPr>
            <w:tcW w:w="678" w:type="pct"/>
            <w:tcBorders>
              <w:bottom w:val="single" w:sz="4" w:space="0" w:color="D22A23"/>
            </w:tcBorders>
          </w:tcPr>
          <w:p w14:paraId="4DDDC710" w14:textId="77777777" w:rsidR="00B766AB" w:rsidRPr="00332677" w:rsidRDefault="00332677" w:rsidP="00332677">
            <w:r w:rsidRPr="00332677">
              <w:t>1</w:t>
            </w:r>
            <w:r w:rsidR="00CF4994">
              <w:t>.5</w:t>
            </w:r>
            <w:r w:rsidR="00B766AB" w:rsidRPr="00332677">
              <w:t> km</w:t>
            </w:r>
          </w:p>
        </w:tc>
      </w:tr>
    </w:tbl>
    <w:bookmarkEnd w:id="570"/>
    <w:p w14:paraId="0C100F18" w14:textId="3F0350A4" w:rsidR="00530C48" w:rsidRPr="00530C48" w:rsidRDefault="00530C48" w:rsidP="00530C48">
      <w:r>
        <w:t xml:space="preserve">The conclusions drawn from these results can be found in </w:t>
      </w:r>
      <w:r w:rsidR="009D5FA2">
        <w:t>section</w:t>
      </w:r>
      <w:r>
        <w:t xml:space="preserve"> </w:t>
      </w:r>
      <w:r>
        <w:fldChar w:fldCharType="begin"/>
      </w:r>
      <w:r>
        <w:instrText xml:space="preserve"> REF _Ref67392489 \r \h </w:instrText>
      </w:r>
      <w:r>
        <w:fldChar w:fldCharType="separate"/>
      </w:r>
      <w:r w:rsidR="004F49F9">
        <w:t>8.6.2</w:t>
      </w:r>
      <w:r>
        <w:fldChar w:fldCharType="end"/>
      </w:r>
      <w:r>
        <w:t>.</w:t>
      </w:r>
    </w:p>
    <w:p w14:paraId="5F1FB17B" w14:textId="77777777" w:rsidR="006A35D8" w:rsidRPr="006A35D8" w:rsidRDefault="006A35D8" w:rsidP="006A35D8">
      <w:pPr>
        <w:pStyle w:val="Heading2"/>
      </w:pPr>
      <w:bookmarkStart w:id="571" w:name="_Toc84325367"/>
      <w:bookmarkStart w:id="572" w:name="_Toc127346291"/>
      <w:r w:rsidRPr="006A35D8">
        <w:t>Tank Level Probing Radar (TLPR)</w:t>
      </w:r>
      <w:bookmarkEnd w:id="571"/>
      <w:bookmarkEnd w:id="572"/>
    </w:p>
    <w:p w14:paraId="5DE8AA80" w14:textId="77777777" w:rsidR="006A35D8" w:rsidRPr="00F00428" w:rsidRDefault="006A35D8" w:rsidP="006A35D8">
      <w:pPr>
        <w:pStyle w:val="Heading3"/>
      </w:pPr>
      <w:bookmarkStart w:id="573" w:name="_Toc84325368"/>
      <w:bookmarkStart w:id="574" w:name="_Toc127346292"/>
      <w:r w:rsidRPr="00F00428">
        <w:t>Technical parameters of TLPR</w:t>
      </w:r>
      <w:bookmarkEnd w:id="573"/>
      <w:bookmarkEnd w:id="574"/>
    </w:p>
    <w:p w14:paraId="41E1E324" w14:textId="69AA5463" w:rsidR="006A35D8" w:rsidRPr="00B10E31" w:rsidRDefault="006A35D8" w:rsidP="006A35D8">
      <w:r w:rsidRPr="00B10E31">
        <w:t xml:space="preserve">For TLPR three potential frequency bands have been defined (see </w:t>
      </w:r>
      <w:r w:rsidR="009D5FA2">
        <w:t>section</w:t>
      </w:r>
      <w:r w:rsidRPr="00B10E31">
        <w:t xml:space="preserve"> </w:t>
      </w:r>
      <w:r w:rsidR="00B94B72">
        <w:rPr>
          <w:highlight w:val="yellow"/>
        </w:rPr>
        <w:fldChar w:fldCharType="begin"/>
      </w:r>
      <w:r w:rsidR="00B94B72">
        <w:instrText xml:space="preserve"> REF _Ref66452557 \r \h </w:instrText>
      </w:r>
      <w:r w:rsidR="00B94B72">
        <w:rPr>
          <w:highlight w:val="yellow"/>
        </w:rPr>
      </w:r>
      <w:r w:rsidR="00B94B72">
        <w:rPr>
          <w:highlight w:val="yellow"/>
        </w:rPr>
        <w:fldChar w:fldCharType="separate"/>
      </w:r>
      <w:r w:rsidR="004F49F9">
        <w:t>2.2.7.2</w:t>
      </w:r>
      <w:r w:rsidR="00B94B72">
        <w:rPr>
          <w:highlight w:val="yellow"/>
        </w:rPr>
        <w:fldChar w:fldCharType="end"/>
      </w:r>
      <w:r w:rsidRPr="00B10E31">
        <w:t>). Due to the fact that in all defined frequency bands allocations for RAS are affected</w:t>
      </w:r>
      <w:r w:rsidR="001D7996">
        <w:t>-</w:t>
      </w:r>
      <w:r w:rsidRPr="00B10E31">
        <w:t>either within these bands or adjacent to them – all three bands have been investigated by single-entry studies. In these studies the individually required separation distance (</w:t>
      </w:r>
      <w:r w:rsidR="009D5FA2">
        <w:t>section</w:t>
      </w:r>
      <w:r w:rsidRPr="00B10E31">
        <w:t xml:space="preserve"> </w:t>
      </w:r>
      <w:r w:rsidR="00B94B72">
        <w:rPr>
          <w:highlight w:val="yellow"/>
        </w:rPr>
        <w:fldChar w:fldCharType="begin"/>
      </w:r>
      <w:r w:rsidR="00B94B72">
        <w:instrText xml:space="preserve"> REF _Ref15293384 \r \h </w:instrText>
      </w:r>
      <w:r w:rsidR="00B94B72">
        <w:rPr>
          <w:highlight w:val="yellow"/>
        </w:rPr>
      </w:r>
      <w:r w:rsidR="00B94B72">
        <w:rPr>
          <w:highlight w:val="yellow"/>
        </w:rPr>
        <w:fldChar w:fldCharType="separate"/>
      </w:r>
      <w:r w:rsidR="004F49F9">
        <w:t>3.4.2</w:t>
      </w:r>
      <w:r w:rsidR="00B94B72">
        <w:rPr>
          <w:highlight w:val="yellow"/>
        </w:rPr>
        <w:fldChar w:fldCharType="end"/>
      </w:r>
      <w:r w:rsidRPr="00B10E31">
        <w:t>) is determined by means of the technical parameters (</w:t>
      </w:r>
      <w:r w:rsidR="009D5FA2">
        <w:t>section</w:t>
      </w:r>
      <w:r w:rsidRPr="00B10E31">
        <w:t xml:space="preserve"> </w:t>
      </w:r>
      <w:r w:rsidR="00B94B72">
        <w:rPr>
          <w:highlight w:val="yellow"/>
        </w:rPr>
        <w:fldChar w:fldCharType="begin"/>
      </w:r>
      <w:r w:rsidR="00B94B72">
        <w:instrText xml:space="preserve"> REF _Ref66452573 \r \h </w:instrText>
      </w:r>
      <w:r w:rsidR="00B94B72">
        <w:rPr>
          <w:highlight w:val="yellow"/>
        </w:rPr>
      </w:r>
      <w:r w:rsidR="00B94B72">
        <w:rPr>
          <w:highlight w:val="yellow"/>
        </w:rPr>
        <w:fldChar w:fldCharType="separate"/>
      </w:r>
      <w:r w:rsidR="004F49F9">
        <w:t>2.2.7.3</w:t>
      </w:r>
      <w:r w:rsidR="00B94B72">
        <w:rPr>
          <w:highlight w:val="yellow"/>
        </w:rPr>
        <w:fldChar w:fldCharType="end"/>
      </w:r>
      <w:r w:rsidRPr="00B10E31">
        <w:t>), the antenna data (</w:t>
      </w:r>
      <w:r w:rsidR="009D5FA2">
        <w:t>section</w:t>
      </w:r>
      <w:r w:rsidRPr="00B10E31">
        <w:t xml:space="preserve"> </w:t>
      </w:r>
      <w:r w:rsidR="00B94B72">
        <w:rPr>
          <w:highlight w:val="yellow"/>
        </w:rPr>
        <w:fldChar w:fldCharType="begin"/>
      </w:r>
      <w:r w:rsidR="00B94B72">
        <w:instrText xml:space="preserve"> REF _Ref66452566 \r \h </w:instrText>
      </w:r>
      <w:r w:rsidR="00B94B72">
        <w:rPr>
          <w:highlight w:val="yellow"/>
        </w:rPr>
      </w:r>
      <w:r w:rsidR="00B94B72">
        <w:rPr>
          <w:highlight w:val="yellow"/>
        </w:rPr>
        <w:fldChar w:fldCharType="separate"/>
      </w:r>
      <w:r w:rsidR="004F49F9">
        <w:t>2.2.7.4</w:t>
      </w:r>
      <w:r w:rsidR="00B94B72">
        <w:rPr>
          <w:highlight w:val="yellow"/>
        </w:rPr>
        <w:fldChar w:fldCharType="end"/>
      </w:r>
      <w:r w:rsidRPr="00B10E31">
        <w:t>), the interference scenarios (</w:t>
      </w:r>
      <w:r w:rsidR="009D5FA2">
        <w:t>section</w:t>
      </w:r>
      <w:r w:rsidRPr="00B10E31">
        <w:t xml:space="preserve"> </w:t>
      </w:r>
      <w:r w:rsidR="00B94B72">
        <w:rPr>
          <w:highlight w:val="yellow"/>
        </w:rPr>
        <w:fldChar w:fldCharType="begin"/>
      </w:r>
      <w:r w:rsidR="00B94B72">
        <w:instrText xml:space="preserve"> REF _Ref27486211 \r \h </w:instrText>
      </w:r>
      <w:r w:rsidR="00B94B72">
        <w:rPr>
          <w:highlight w:val="yellow"/>
        </w:rPr>
      </w:r>
      <w:r w:rsidR="00B94B72">
        <w:rPr>
          <w:highlight w:val="yellow"/>
        </w:rPr>
        <w:fldChar w:fldCharType="separate"/>
      </w:r>
      <w:r w:rsidR="004F49F9">
        <w:t>2.2.7.6</w:t>
      </w:r>
      <w:r w:rsidR="00B94B72">
        <w:rPr>
          <w:highlight w:val="yellow"/>
        </w:rPr>
        <w:fldChar w:fldCharType="end"/>
      </w:r>
      <w:r w:rsidRPr="00B10E31">
        <w:t>) and the protection requirements for RAS (</w:t>
      </w:r>
      <w:r w:rsidR="009D5FA2">
        <w:t>section</w:t>
      </w:r>
      <w:r w:rsidRPr="00B10E31">
        <w:t xml:space="preserve"> </w:t>
      </w:r>
      <w:r w:rsidR="00B94B72">
        <w:rPr>
          <w:highlight w:val="yellow"/>
        </w:rPr>
        <w:fldChar w:fldCharType="begin"/>
      </w:r>
      <w:r w:rsidR="00B94B72">
        <w:instrText xml:space="preserve"> REF _Ref25574886 \r \h </w:instrText>
      </w:r>
      <w:r w:rsidR="00B94B72">
        <w:rPr>
          <w:highlight w:val="yellow"/>
        </w:rPr>
      </w:r>
      <w:r w:rsidR="00B94B72">
        <w:rPr>
          <w:highlight w:val="yellow"/>
        </w:rPr>
        <w:fldChar w:fldCharType="separate"/>
      </w:r>
      <w:r w:rsidR="004F49F9">
        <w:t>3.5.2</w:t>
      </w:r>
      <w:r w:rsidR="00B94B72">
        <w:rPr>
          <w:highlight w:val="yellow"/>
        </w:rPr>
        <w:fldChar w:fldCharType="end"/>
      </w:r>
      <w:r w:rsidRPr="00B10E31">
        <w:t xml:space="preserve">). The exact calculations can be found in an Excel-spreadsheet which is attached to this </w:t>
      </w:r>
      <w:hyperlink r:id="rId128" w:history="1">
        <w:r w:rsidR="00C70410">
          <w:rPr>
            <w:rStyle w:val="Hyperlink"/>
          </w:rPr>
          <w:t>Report</w:t>
        </w:r>
      </w:hyperlink>
      <w:r w:rsidRPr="00B10E31">
        <w:t>.</w:t>
      </w:r>
    </w:p>
    <w:p w14:paraId="11D3B279" w14:textId="0B68C6DE" w:rsidR="006A35D8" w:rsidRPr="00B10E31" w:rsidRDefault="006A35D8" w:rsidP="006A35D8">
      <w:r w:rsidRPr="00B10E31">
        <w:t>The following technical parameters of the TLPR application (</w:t>
      </w:r>
      <w:r w:rsidR="009D5FA2">
        <w:t>section</w:t>
      </w:r>
      <w:r w:rsidRPr="00B10E31">
        <w:t xml:space="preserve"> </w:t>
      </w:r>
      <w:r w:rsidR="00B94B72">
        <w:rPr>
          <w:highlight w:val="yellow"/>
        </w:rPr>
        <w:fldChar w:fldCharType="begin"/>
      </w:r>
      <w:r w:rsidR="00B94B72">
        <w:instrText xml:space="preserve"> REF _Ref66452579 \r \h </w:instrText>
      </w:r>
      <w:r w:rsidR="00B94B72">
        <w:rPr>
          <w:highlight w:val="yellow"/>
        </w:rPr>
      </w:r>
      <w:r w:rsidR="00B94B72">
        <w:rPr>
          <w:highlight w:val="yellow"/>
        </w:rPr>
        <w:fldChar w:fldCharType="separate"/>
      </w:r>
      <w:r w:rsidR="004F49F9">
        <w:t>2.2.7.3</w:t>
      </w:r>
      <w:r w:rsidR="00B94B72">
        <w:rPr>
          <w:highlight w:val="yellow"/>
        </w:rPr>
        <w:fldChar w:fldCharType="end"/>
      </w:r>
      <w:r w:rsidRPr="00B10E31">
        <w:t>) have been used in the studies in the different frequency ranges.</w:t>
      </w:r>
    </w:p>
    <w:p w14:paraId="01728FFF" w14:textId="54C856A1" w:rsidR="006A35D8" w:rsidRPr="006A35D8" w:rsidRDefault="00D0433A" w:rsidP="006A35D8">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F49F9">
        <w:rPr>
          <w:noProof/>
        </w:rPr>
        <w:t>59</w:t>
      </w:r>
      <w:r w:rsidRPr="0091705E">
        <w:fldChar w:fldCharType="end"/>
      </w:r>
      <w:r w:rsidR="006A35D8" w:rsidRPr="006A35D8">
        <w:t>: Technical parameters of TLPR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360"/>
        <w:gridCol w:w="1360"/>
      </w:tblGrid>
      <w:tr w:rsidR="00C943B8" w:rsidRPr="00566944" w14:paraId="5713C5F6"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230ADA6B" w14:textId="77777777" w:rsidR="00C943B8" w:rsidRPr="00C943B8" w:rsidRDefault="00C943B8" w:rsidP="00876039">
            <w:pPr>
              <w:pStyle w:val="ECCTableHeaderwhitefont"/>
            </w:pPr>
            <w:r w:rsidRPr="00C943B8">
              <w:t>Investigated frequency range</w:t>
            </w:r>
          </w:p>
        </w:tc>
        <w:tc>
          <w:tcPr>
            <w:tcW w:w="1569" w:type="dxa"/>
          </w:tcPr>
          <w:p w14:paraId="7269F7DC" w14:textId="77777777" w:rsidR="00C943B8" w:rsidRPr="00C943B8" w:rsidRDefault="00C943B8" w:rsidP="000A69BD">
            <w:pPr>
              <w:pStyle w:val="ECCTableHeaderwhitefont"/>
            </w:pPr>
            <w:r w:rsidRPr="00C943B8">
              <w:t>Modulation bandwidth</w:t>
            </w:r>
          </w:p>
        </w:tc>
        <w:tc>
          <w:tcPr>
            <w:tcW w:w="1513" w:type="dxa"/>
          </w:tcPr>
          <w:p w14:paraId="6656B914" w14:textId="77777777" w:rsidR="00C943B8" w:rsidRPr="00C943B8" w:rsidRDefault="00C943B8" w:rsidP="000A69BD">
            <w:pPr>
              <w:pStyle w:val="ECCTableHeaderwhitefont"/>
            </w:pPr>
            <w:r w:rsidRPr="00C943B8">
              <w:t>Duty cycle</w:t>
            </w:r>
          </w:p>
        </w:tc>
        <w:tc>
          <w:tcPr>
            <w:tcW w:w="1767" w:type="dxa"/>
          </w:tcPr>
          <w:p w14:paraId="28072A21" w14:textId="77777777" w:rsidR="00C943B8" w:rsidRPr="00C943B8" w:rsidRDefault="00C943B8" w:rsidP="000A69BD">
            <w:pPr>
              <w:pStyle w:val="ECCTableHeaderwhitefont"/>
            </w:pPr>
            <w:r w:rsidRPr="00C943B8">
              <w:t xml:space="preserve">Mean e.i.r.p. spectral density </w:t>
            </w:r>
          </w:p>
        </w:tc>
        <w:tc>
          <w:tcPr>
            <w:tcW w:w="1360" w:type="dxa"/>
          </w:tcPr>
          <w:p w14:paraId="35E8031D" w14:textId="77777777" w:rsidR="00C943B8" w:rsidRPr="00C943B8" w:rsidRDefault="00C943B8" w:rsidP="000A69BD">
            <w:pPr>
              <w:pStyle w:val="ECCTableHeaderwhitefont"/>
            </w:pPr>
            <w:r w:rsidRPr="00C943B8">
              <w:t>Peak e.i.r.p.</w:t>
            </w:r>
          </w:p>
        </w:tc>
        <w:tc>
          <w:tcPr>
            <w:tcW w:w="1360" w:type="dxa"/>
          </w:tcPr>
          <w:p w14:paraId="20CC422F" w14:textId="77777777" w:rsidR="00C943B8" w:rsidRPr="00C943B8" w:rsidRDefault="00C943B8" w:rsidP="000A69BD">
            <w:pPr>
              <w:pStyle w:val="ECCTableHeaderwhitefont"/>
            </w:pPr>
            <w:r w:rsidRPr="00C943B8">
              <w:t>OOB attenuation (Note 1)</w:t>
            </w:r>
          </w:p>
        </w:tc>
      </w:tr>
      <w:tr w:rsidR="006526F4" w:rsidRPr="00C53FB5" w14:paraId="488490FD" w14:textId="77777777" w:rsidTr="00BF4052">
        <w:tc>
          <w:tcPr>
            <w:tcW w:w="1838" w:type="dxa"/>
          </w:tcPr>
          <w:p w14:paraId="2C9E53BF" w14:textId="77777777" w:rsidR="006526F4" w:rsidRPr="006526F4" w:rsidRDefault="006526F4" w:rsidP="000A69BD">
            <w:pPr>
              <w:pStyle w:val="ECCTabletext"/>
              <w:jc w:val="left"/>
            </w:pPr>
            <w:r w:rsidRPr="00C53FB5">
              <w:t xml:space="preserve">116 to </w:t>
            </w:r>
            <w:r w:rsidRPr="006526F4">
              <w:t>148</w:t>
            </w:r>
            <w:r w:rsidR="00CF4994">
              <w:t>.5</w:t>
            </w:r>
            <w:r w:rsidRPr="006526F4">
              <w:t> GHz</w:t>
            </w:r>
          </w:p>
        </w:tc>
        <w:tc>
          <w:tcPr>
            <w:tcW w:w="1569" w:type="dxa"/>
            <w:shd w:val="clear" w:color="auto" w:fill="auto"/>
          </w:tcPr>
          <w:p w14:paraId="50FF9702" w14:textId="77777777" w:rsidR="006526F4" w:rsidRPr="006526F4" w:rsidRDefault="006526F4" w:rsidP="000A69BD">
            <w:pPr>
              <w:pStyle w:val="ECCTabletext"/>
              <w:jc w:val="left"/>
            </w:pPr>
            <w:r w:rsidRPr="00E7470D">
              <w:t>1 GHz</w:t>
            </w:r>
          </w:p>
        </w:tc>
        <w:tc>
          <w:tcPr>
            <w:tcW w:w="1513" w:type="dxa"/>
            <w:shd w:val="clear" w:color="auto" w:fill="auto"/>
          </w:tcPr>
          <w:p w14:paraId="785112A5" w14:textId="363CDA76" w:rsidR="006526F4" w:rsidRPr="006526F4" w:rsidRDefault="00ED38F8" w:rsidP="000A69BD">
            <w:pPr>
              <w:pStyle w:val="ECCTabletext"/>
              <w:jc w:val="left"/>
            </w:pPr>
            <w:r>
              <w:t>100</w:t>
            </w:r>
            <w:r w:rsidR="00F800A2">
              <w:t>%</w:t>
            </w:r>
          </w:p>
        </w:tc>
        <w:tc>
          <w:tcPr>
            <w:tcW w:w="1767" w:type="dxa"/>
            <w:shd w:val="clear" w:color="auto" w:fill="auto"/>
          </w:tcPr>
          <w:p w14:paraId="59454BDC" w14:textId="77777777" w:rsidR="006526F4" w:rsidRPr="006526F4" w:rsidRDefault="006526F4" w:rsidP="000A69BD">
            <w:pPr>
              <w:pStyle w:val="ECCTabletext"/>
              <w:jc w:val="left"/>
            </w:pPr>
            <w:r w:rsidRPr="00E7470D">
              <w:t>12 dBm/MHz</w:t>
            </w:r>
          </w:p>
        </w:tc>
        <w:tc>
          <w:tcPr>
            <w:tcW w:w="1360" w:type="dxa"/>
            <w:shd w:val="clear" w:color="auto" w:fill="auto"/>
          </w:tcPr>
          <w:p w14:paraId="527C23F1" w14:textId="77777777" w:rsidR="006526F4" w:rsidRPr="006526F4" w:rsidRDefault="006526F4" w:rsidP="000A69BD">
            <w:pPr>
              <w:pStyle w:val="ECCTabletext"/>
              <w:jc w:val="left"/>
              <w:rPr>
                <w:highlight w:val="yellow"/>
              </w:rPr>
            </w:pPr>
            <w:r w:rsidRPr="006A16BF">
              <w:t>42 dBm</w:t>
            </w:r>
          </w:p>
        </w:tc>
        <w:tc>
          <w:tcPr>
            <w:tcW w:w="1360" w:type="dxa"/>
          </w:tcPr>
          <w:p w14:paraId="7F7BB967" w14:textId="77777777" w:rsidR="006526F4" w:rsidRPr="006526F4" w:rsidRDefault="006526F4" w:rsidP="000A69BD">
            <w:pPr>
              <w:pStyle w:val="ECCTabletext"/>
              <w:jc w:val="left"/>
            </w:pPr>
            <w:r w:rsidRPr="00497690">
              <w:t>20 dB</w:t>
            </w:r>
          </w:p>
        </w:tc>
      </w:tr>
      <w:tr w:rsidR="006526F4" w:rsidRPr="00C53FB5" w14:paraId="2B2885C0" w14:textId="77777777" w:rsidTr="00BF4052">
        <w:tc>
          <w:tcPr>
            <w:tcW w:w="1838" w:type="dxa"/>
          </w:tcPr>
          <w:p w14:paraId="20BB1B65" w14:textId="77777777" w:rsidR="006526F4" w:rsidRPr="006526F4" w:rsidRDefault="006526F4" w:rsidP="000A69BD">
            <w:pPr>
              <w:pStyle w:val="ECCTabletext"/>
              <w:jc w:val="left"/>
            </w:pPr>
            <w:r w:rsidRPr="00C53FB5">
              <w:t>1</w:t>
            </w:r>
            <w:r w:rsidRPr="006526F4">
              <w:t>67 to 182 GHz</w:t>
            </w:r>
          </w:p>
        </w:tc>
        <w:tc>
          <w:tcPr>
            <w:tcW w:w="1569" w:type="dxa"/>
            <w:shd w:val="clear" w:color="auto" w:fill="auto"/>
          </w:tcPr>
          <w:p w14:paraId="4516B13B" w14:textId="77777777" w:rsidR="006526F4" w:rsidRPr="006526F4" w:rsidRDefault="006526F4" w:rsidP="000A69BD">
            <w:pPr>
              <w:pStyle w:val="ECCTabletext"/>
              <w:jc w:val="left"/>
            </w:pPr>
            <w:r w:rsidRPr="00E7470D">
              <w:t>1 GHz</w:t>
            </w:r>
          </w:p>
        </w:tc>
        <w:tc>
          <w:tcPr>
            <w:tcW w:w="1513" w:type="dxa"/>
            <w:shd w:val="clear" w:color="auto" w:fill="auto"/>
          </w:tcPr>
          <w:p w14:paraId="1299FF79" w14:textId="5795B815" w:rsidR="006526F4" w:rsidRPr="006526F4" w:rsidRDefault="00ED38F8" w:rsidP="000A69BD">
            <w:pPr>
              <w:pStyle w:val="ECCTabletext"/>
              <w:jc w:val="left"/>
            </w:pPr>
            <w:r>
              <w:t>100</w:t>
            </w:r>
            <w:r w:rsidR="00F800A2">
              <w:t>%</w:t>
            </w:r>
          </w:p>
        </w:tc>
        <w:tc>
          <w:tcPr>
            <w:tcW w:w="1767" w:type="dxa"/>
            <w:shd w:val="clear" w:color="auto" w:fill="auto"/>
          </w:tcPr>
          <w:p w14:paraId="38EA9308" w14:textId="77777777" w:rsidR="006526F4" w:rsidRPr="006526F4" w:rsidRDefault="00ED38F8" w:rsidP="000A69BD">
            <w:pPr>
              <w:pStyle w:val="ECCTabletext"/>
              <w:jc w:val="left"/>
            </w:pPr>
            <w:r>
              <w:t>12</w:t>
            </w:r>
            <w:r w:rsidR="006526F4" w:rsidRPr="00E7470D">
              <w:t> dBm/MHz</w:t>
            </w:r>
          </w:p>
        </w:tc>
        <w:tc>
          <w:tcPr>
            <w:tcW w:w="1360" w:type="dxa"/>
            <w:shd w:val="clear" w:color="auto" w:fill="auto"/>
          </w:tcPr>
          <w:p w14:paraId="1A177E17" w14:textId="77777777" w:rsidR="006526F4" w:rsidRPr="006526F4" w:rsidRDefault="006526F4" w:rsidP="000A69BD">
            <w:pPr>
              <w:pStyle w:val="ECCTabletext"/>
              <w:jc w:val="left"/>
              <w:rPr>
                <w:highlight w:val="yellow"/>
              </w:rPr>
            </w:pPr>
            <w:r w:rsidRPr="006A16BF">
              <w:t>4</w:t>
            </w:r>
            <w:r w:rsidR="00ED38F8">
              <w:t>2</w:t>
            </w:r>
            <w:r w:rsidRPr="006A16BF">
              <w:t> dBm</w:t>
            </w:r>
          </w:p>
        </w:tc>
        <w:tc>
          <w:tcPr>
            <w:tcW w:w="1360" w:type="dxa"/>
          </w:tcPr>
          <w:p w14:paraId="124CE637" w14:textId="77777777" w:rsidR="006526F4" w:rsidRPr="006526F4" w:rsidRDefault="006526F4" w:rsidP="000A69BD">
            <w:pPr>
              <w:pStyle w:val="ECCTabletext"/>
              <w:jc w:val="left"/>
            </w:pPr>
            <w:r>
              <w:t>20 dB</w:t>
            </w:r>
          </w:p>
        </w:tc>
      </w:tr>
      <w:tr w:rsidR="006526F4" w:rsidRPr="00C53FB5" w14:paraId="6A85C44E" w14:textId="77777777" w:rsidTr="00BF4052">
        <w:tc>
          <w:tcPr>
            <w:tcW w:w="1838" w:type="dxa"/>
          </w:tcPr>
          <w:p w14:paraId="4C9FF250" w14:textId="77777777" w:rsidR="006526F4" w:rsidRPr="006526F4" w:rsidRDefault="006526F4" w:rsidP="000A69BD">
            <w:pPr>
              <w:pStyle w:val="ECCTabletext"/>
              <w:jc w:val="left"/>
            </w:pPr>
            <w:r>
              <w:t>231</w:t>
            </w:r>
            <w:r w:rsidR="00CF4994">
              <w:t>.5</w:t>
            </w:r>
            <w:r w:rsidRPr="006526F4">
              <w:t xml:space="preserve"> to 250 GHz</w:t>
            </w:r>
          </w:p>
        </w:tc>
        <w:tc>
          <w:tcPr>
            <w:tcW w:w="1569" w:type="dxa"/>
            <w:shd w:val="clear" w:color="auto" w:fill="auto"/>
          </w:tcPr>
          <w:p w14:paraId="2F1FBF8E" w14:textId="77777777" w:rsidR="006526F4" w:rsidRPr="006526F4" w:rsidRDefault="006526F4" w:rsidP="000A69BD">
            <w:pPr>
              <w:pStyle w:val="ECCTabletext"/>
              <w:jc w:val="left"/>
            </w:pPr>
            <w:r w:rsidRPr="00E7470D">
              <w:t>1 GHz</w:t>
            </w:r>
          </w:p>
        </w:tc>
        <w:tc>
          <w:tcPr>
            <w:tcW w:w="1513" w:type="dxa"/>
            <w:shd w:val="clear" w:color="auto" w:fill="auto"/>
          </w:tcPr>
          <w:p w14:paraId="700471EA" w14:textId="25C3E7F4" w:rsidR="006526F4" w:rsidRPr="006526F4" w:rsidRDefault="00ED38F8" w:rsidP="000A69BD">
            <w:pPr>
              <w:pStyle w:val="ECCTabletext"/>
              <w:jc w:val="left"/>
            </w:pPr>
            <w:r>
              <w:t>100</w:t>
            </w:r>
            <w:r w:rsidR="00F800A2">
              <w:t>%</w:t>
            </w:r>
          </w:p>
        </w:tc>
        <w:tc>
          <w:tcPr>
            <w:tcW w:w="1767" w:type="dxa"/>
            <w:shd w:val="clear" w:color="auto" w:fill="auto"/>
          </w:tcPr>
          <w:p w14:paraId="75931B36" w14:textId="77777777" w:rsidR="006526F4" w:rsidRPr="006526F4" w:rsidRDefault="00ED38F8" w:rsidP="000A69BD">
            <w:pPr>
              <w:pStyle w:val="ECCTabletext"/>
              <w:jc w:val="left"/>
            </w:pPr>
            <w:r>
              <w:t>12</w:t>
            </w:r>
            <w:r w:rsidR="006526F4" w:rsidRPr="00E7470D">
              <w:t> dBm/MHz</w:t>
            </w:r>
          </w:p>
        </w:tc>
        <w:tc>
          <w:tcPr>
            <w:tcW w:w="1360" w:type="dxa"/>
            <w:shd w:val="clear" w:color="auto" w:fill="auto"/>
          </w:tcPr>
          <w:p w14:paraId="2787D48A" w14:textId="77777777" w:rsidR="006526F4" w:rsidRPr="006526F4" w:rsidRDefault="00B92F48" w:rsidP="000A69BD">
            <w:pPr>
              <w:pStyle w:val="ECCTabletext"/>
              <w:jc w:val="left"/>
              <w:rPr>
                <w:highlight w:val="yellow"/>
              </w:rPr>
            </w:pPr>
            <w:r>
              <w:t>4</w:t>
            </w:r>
            <w:r w:rsidR="00ED38F8">
              <w:t>2</w:t>
            </w:r>
            <w:r w:rsidR="006526F4" w:rsidRPr="00DD0930">
              <w:t> dBm</w:t>
            </w:r>
          </w:p>
        </w:tc>
        <w:tc>
          <w:tcPr>
            <w:tcW w:w="1360" w:type="dxa"/>
          </w:tcPr>
          <w:p w14:paraId="20F17798" w14:textId="77777777" w:rsidR="006526F4" w:rsidRPr="006526F4" w:rsidRDefault="006526F4" w:rsidP="000A69BD">
            <w:pPr>
              <w:pStyle w:val="ECCTabletext"/>
              <w:jc w:val="left"/>
            </w:pPr>
            <w:r>
              <w:t>20 dB</w:t>
            </w:r>
          </w:p>
        </w:tc>
      </w:tr>
      <w:tr w:rsidR="00F40538" w:rsidRPr="00C53FB5" w14:paraId="39654850" w14:textId="77777777" w:rsidTr="00200700">
        <w:tc>
          <w:tcPr>
            <w:tcW w:w="9407" w:type="dxa"/>
            <w:gridSpan w:val="6"/>
          </w:tcPr>
          <w:p w14:paraId="28C8C61E" w14:textId="77777777" w:rsidR="00F40538" w:rsidRDefault="00F40538" w:rsidP="00464AE0">
            <w:pPr>
              <w:pStyle w:val="ECCTablenote"/>
            </w:pPr>
            <w:r>
              <w:t xml:space="preserve">Note 1: Assumed </w:t>
            </w:r>
            <w:r w:rsidRPr="00F40538">
              <w:t>out-of-band attenuation of the TLPR-signal in adjacent bands allocated to RAS.</w:t>
            </w:r>
          </w:p>
        </w:tc>
      </w:tr>
    </w:tbl>
    <w:p w14:paraId="7D93EF9D" w14:textId="77777777" w:rsidR="006A35D8" w:rsidRDefault="006A35D8" w:rsidP="006A35D8">
      <w:pPr>
        <w:pStyle w:val="Heading3"/>
      </w:pPr>
      <w:bookmarkStart w:id="575" w:name="_Ref67328908"/>
      <w:bookmarkStart w:id="576" w:name="_Toc84325369"/>
      <w:bookmarkStart w:id="577" w:name="_Toc127346293"/>
      <w:r>
        <w:t>Results</w:t>
      </w:r>
      <w:bookmarkEnd w:id="575"/>
      <w:bookmarkEnd w:id="576"/>
      <w:bookmarkEnd w:id="577"/>
    </w:p>
    <w:p w14:paraId="2F5C4FF9" w14:textId="755892F6" w:rsidR="00C53097" w:rsidRDefault="00667141" w:rsidP="006A35D8">
      <w:r>
        <w:fldChar w:fldCharType="begin"/>
      </w:r>
      <w:r>
        <w:instrText xml:space="preserve"> REF _Ref66452710 \h </w:instrText>
      </w:r>
      <w:r>
        <w:fldChar w:fldCharType="separate"/>
      </w:r>
      <w:r w:rsidR="0041125F" w:rsidRPr="00FF50FD">
        <w:t>Table </w:t>
      </w:r>
      <w:r w:rsidR="0041125F">
        <w:rPr>
          <w:noProof/>
        </w:rPr>
        <w:t>60</w:t>
      </w:r>
      <w:r>
        <w:fldChar w:fldCharType="end"/>
      </w:r>
      <w:r>
        <w:t xml:space="preserve"> </w:t>
      </w:r>
      <w:r w:rsidR="006A35D8" w:rsidRPr="00B10E31">
        <w:t>shows the single-entry worst-case results for TLPR, e.g. the largest separation distances for the individual frequency ranges, and RAS victim sensor types.</w:t>
      </w:r>
    </w:p>
    <w:p w14:paraId="0374D9B4" w14:textId="17F12C65" w:rsidR="006A35D8" w:rsidRPr="00714CAA" w:rsidRDefault="00D0433A" w:rsidP="006A35D8">
      <w:pPr>
        <w:pStyle w:val="Caption"/>
        <w:rPr>
          <w:rStyle w:val="ECCParagraph"/>
        </w:rPr>
      </w:pPr>
      <w:bookmarkStart w:id="578" w:name="_Ref66452710"/>
      <w:r w:rsidRPr="00FF50FD">
        <w:t>Table </w:t>
      </w:r>
      <w:r w:rsidRPr="0091705E">
        <w:fldChar w:fldCharType="begin"/>
      </w:r>
      <w:r w:rsidRPr="00FF50FD">
        <w:instrText xml:space="preserve"> SEQ Table \* ARABIC </w:instrText>
      </w:r>
      <w:r w:rsidRPr="0091705E">
        <w:fldChar w:fldCharType="separate"/>
      </w:r>
      <w:r w:rsidR="004F49F9">
        <w:rPr>
          <w:noProof/>
        </w:rPr>
        <w:t>60</w:t>
      </w:r>
      <w:r w:rsidRPr="0091705E">
        <w:fldChar w:fldCharType="end"/>
      </w:r>
      <w:bookmarkEnd w:id="578"/>
      <w:r w:rsidR="006A35D8" w:rsidRPr="006A35D8">
        <w:t>: Required separation distances determined in a single-entry study for TLPR</w:t>
      </w:r>
    </w:p>
    <w:tbl>
      <w:tblPr>
        <w:tblStyle w:val="ECCTable-redheader"/>
        <w:tblW w:w="5000" w:type="pct"/>
        <w:tblInd w:w="0" w:type="dxa"/>
        <w:tblLook w:val="04A0" w:firstRow="1" w:lastRow="0" w:firstColumn="1" w:lastColumn="0" w:noHBand="0" w:noVBand="1"/>
      </w:tblPr>
      <w:tblGrid>
        <w:gridCol w:w="1549"/>
        <w:gridCol w:w="2796"/>
        <w:gridCol w:w="2642"/>
        <w:gridCol w:w="2642"/>
      </w:tblGrid>
      <w:tr w:rsidR="006A35D8" w14:paraId="058C18DC" w14:textId="77777777" w:rsidTr="00F319E9">
        <w:trPr>
          <w:cnfStyle w:val="100000000000" w:firstRow="1" w:lastRow="0" w:firstColumn="0" w:lastColumn="0" w:oddVBand="0" w:evenVBand="0" w:oddHBand="0" w:evenHBand="0" w:firstRowFirstColumn="0" w:firstRowLastColumn="0" w:lastRowFirstColumn="0" w:lastRowLastColumn="0"/>
        </w:trPr>
        <w:tc>
          <w:tcPr>
            <w:tcW w:w="804" w:type="pct"/>
          </w:tcPr>
          <w:p w14:paraId="34D0847D" w14:textId="77777777" w:rsidR="006A35D8" w:rsidRPr="006A35D8" w:rsidRDefault="006A35D8" w:rsidP="00876039">
            <w:pPr>
              <w:pStyle w:val="ECCTableHeaderwhitefont"/>
            </w:pPr>
            <w:r w:rsidRPr="006A35D8">
              <w:t>Investigated frequency range</w:t>
            </w:r>
          </w:p>
        </w:tc>
        <w:tc>
          <w:tcPr>
            <w:tcW w:w="1452" w:type="pct"/>
          </w:tcPr>
          <w:p w14:paraId="3E778ECB" w14:textId="77777777" w:rsidR="006A35D8" w:rsidRPr="006A35D8" w:rsidRDefault="006A35D8" w:rsidP="000A69BD">
            <w:pPr>
              <w:pStyle w:val="ECCTableHeaderwhitefont"/>
            </w:pPr>
            <w:r w:rsidRPr="006A35D8">
              <w:t>Allocated band for RAS</w:t>
            </w:r>
          </w:p>
        </w:tc>
        <w:tc>
          <w:tcPr>
            <w:tcW w:w="1372" w:type="pct"/>
          </w:tcPr>
          <w:p w14:paraId="0BADE45B" w14:textId="77777777" w:rsidR="006A35D8" w:rsidRPr="006A35D8" w:rsidRDefault="006A35D8" w:rsidP="000A69BD">
            <w:pPr>
              <w:pStyle w:val="ECCTableHeaderwhitefont"/>
            </w:pPr>
            <w:r w:rsidRPr="00B10E31">
              <w:t>Required separation distance for RAS CO</w:t>
            </w:r>
          </w:p>
        </w:tc>
        <w:tc>
          <w:tcPr>
            <w:tcW w:w="1372" w:type="pct"/>
          </w:tcPr>
          <w:p w14:paraId="291E2C09" w14:textId="77777777" w:rsidR="006A35D8" w:rsidRPr="006A35D8" w:rsidRDefault="006A35D8" w:rsidP="000A69BD">
            <w:pPr>
              <w:pStyle w:val="ECCTableHeaderwhitefont"/>
            </w:pPr>
            <w:r w:rsidRPr="00B10E31">
              <w:t>Required separation distance for RAS SLO</w:t>
            </w:r>
          </w:p>
        </w:tc>
      </w:tr>
      <w:tr w:rsidR="006A35D8" w14:paraId="15236296" w14:textId="77777777" w:rsidTr="00F319E9">
        <w:tc>
          <w:tcPr>
            <w:tcW w:w="804" w:type="pct"/>
            <w:vMerge w:val="restart"/>
          </w:tcPr>
          <w:p w14:paraId="6AA25D40" w14:textId="77777777" w:rsidR="006A35D8" w:rsidRPr="006A35D8" w:rsidRDefault="006A35D8" w:rsidP="000A69BD">
            <w:pPr>
              <w:pStyle w:val="ECCTabletext"/>
              <w:jc w:val="left"/>
            </w:pPr>
            <w:r w:rsidRPr="00C53FB5">
              <w:t>116 to 148</w:t>
            </w:r>
            <w:r w:rsidR="00CF4994">
              <w:t>.5</w:t>
            </w:r>
            <w:r w:rsidRPr="00C53FB5">
              <w:t> GHz</w:t>
            </w:r>
          </w:p>
        </w:tc>
        <w:tc>
          <w:tcPr>
            <w:tcW w:w="1452" w:type="pct"/>
          </w:tcPr>
          <w:p w14:paraId="71E05C54" w14:textId="77777777" w:rsidR="006A35D8" w:rsidRPr="006A35D8" w:rsidRDefault="006A35D8" w:rsidP="000A69BD">
            <w:pPr>
              <w:pStyle w:val="ECCTabletext"/>
              <w:jc w:val="left"/>
            </w:pPr>
            <w:r w:rsidRPr="00C53FB5">
              <w:t>76 to 116 GHz</w:t>
            </w:r>
            <w:r w:rsidR="006526F4">
              <w:t xml:space="preserve"> (OOB)</w:t>
            </w:r>
          </w:p>
        </w:tc>
        <w:tc>
          <w:tcPr>
            <w:tcW w:w="1372" w:type="pct"/>
          </w:tcPr>
          <w:p w14:paraId="4742FAED" w14:textId="77777777" w:rsidR="006A35D8" w:rsidRPr="006A35D8" w:rsidRDefault="00BA6606" w:rsidP="000A69BD">
            <w:pPr>
              <w:pStyle w:val="ECCTabletext"/>
              <w:jc w:val="left"/>
            </w:pPr>
            <w:r>
              <w:t>0</w:t>
            </w:r>
            <w:r w:rsidR="00CF4994">
              <w:t>.8</w:t>
            </w:r>
            <w:r w:rsidR="006A35D8" w:rsidRPr="00C53FB5">
              <w:t> </w:t>
            </w:r>
            <w:r>
              <w:t>k</w:t>
            </w:r>
            <w:r w:rsidR="006A35D8" w:rsidRPr="00C53FB5">
              <w:t>m</w:t>
            </w:r>
          </w:p>
        </w:tc>
        <w:tc>
          <w:tcPr>
            <w:tcW w:w="1372" w:type="pct"/>
          </w:tcPr>
          <w:p w14:paraId="6FA12C0A" w14:textId="77777777" w:rsidR="006A35D8" w:rsidRPr="006A35D8" w:rsidRDefault="00BA6606" w:rsidP="000A69BD">
            <w:pPr>
              <w:pStyle w:val="ECCTabletext"/>
              <w:jc w:val="left"/>
            </w:pPr>
            <w:r>
              <w:t>0</w:t>
            </w:r>
            <w:r w:rsidR="00CF4994">
              <w:t>.2</w:t>
            </w:r>
            <w:r w:rsidR="006A35D8" w:rsidRPr="00C53FB5">
              <w:t> </w:t>
            </w:r>
            <w:r>
              <w:t>k</w:t>
            </w:r>
            <w:r w:rsidR="006A35D8" w:rsidRPr="00C53FB5">
              <w:t>m</w:t>
            </w:r>
          </w:p>
        </w:tc>
      </w:tr>
      <w:tr w:rsidR="006A35D8" w14:paraId="3E3E5D64" w14:textId="77777777" w:rsidTr="00F319E9">
        <w:tc>
          <w:tcPr>
            <w:tcW w:w="804" w:type="pct"/>
            <w:vMerge/>
          </w:tcPr>
          <w:p w14:paraId="0989DE26" w14:textId="77777777" w:rsidR="006A35D8" w:rsidRPr="00C53FB5" w:rsidRDefault="006A35D8" w:rsidP="006A35D8">
            <w:pPr>
              <w:pStyle w:val="ECCTabletext"/>
            </w:pPr>
          </w:p>
        </w:tc>
        <w:tc>
          <w:tcPr>
            <w:tcW w:w="1452" w:type="pct"/>
          </w:tcPr>
          <w:p w14:paraId="091C207D" w14:textId="77777777" w:rsidR="006A35D8" w:rsidRPr="006A35D8" w:rsidRDefault="006A35D8" w:rsidP="000A69BD">
            <w:pPr>
              <w:pStyle w:val="ECCTabletext"/>
              <w:jc w:val="left"/>
            </w:pPr>
            <w:r w:rsidRPr="00C53FB5">
              <w:t>123 to 158</w:t>
            </w:r>
            <w:r w:rsidR="00CF4994">
              <w:t>.5</w:t>
            </w:r>
            <w:r w:rsidRPr="00C53FB5">
              <w:t> GHz</w:t>
            </w:r>
            <w:r w:rsidR="006526F4">
              <w:t xml:space="preserve"> (In-band)</w:t>
            </w:r>
          </w:p>
        </w:tc>
        <w:tc>
          <w:tcPr>
            <w:tcW w:w="1372" w:type="pct"/>
          </w:tcPr>
          <w:p w14:paraId="1717163B" w14:textId="77777777" w:rsidR="006A35D8" w:rsidRPr="006A35D8" w:rsidRDefault="00BA6606" w:rsidP="000A69BD">
            <w:pPr>
              <w:pStyle w:val="ECCTabletext"/>
              <w:jc w:val="left"/>
            </w:pPr>
            <w:r>
              <w:t>5</w:t>
            </w:r>
            <w:r w:rsidR="00CF4994">
              <w:t>.3</w:t>
            </w:r>
            <w:r w:rsidR="006A35D8" w:rsidRPr="00C53FB5">
              <w:t> </w:t>
            </w:r>
            <w:r>
              <w:t>k</w:t>
            </w:r>
            <w:r w:rsidR="006A35D8" w:rsidRPr="00C53FB5">
              <w:t>m</w:t>
            </w:r>
          </w:p>
        </w:tc>
        <w:tc>
          <w:tcPr>
            <w:tcW w:w="1372" w:type="pct"/>
          </w:tcPr>
          <w:p w14:paraId="6BBC9F76" w14:textId="77777777" w:rsidR="006A35D8" w:rsidRPr="006A35D8" w:rsidRDefault="00BA6606" w:rsidP="000A69BD">
            <w:pPr>
              <w:pStyle w:val="ECCTabletext"/>
              <w:jc w:val="left"/>
            </w:pPr>
            <w:r>
              <w:t>0</w:t>
            </w:r>
            <w:r w:rsidR="00CF4994">
              <w:t>.6</w:t>
            </w:r>
            <w:r w:rsidR="006A35D8" w:rsidRPr="00C53FB5">
              <w:t> </w:t>
            </w:r>
            <w:r>
              <w:t>k</w:t>
            </w:r>
            <w:r w:rsidR="006A35D8" w:rsidRPr="00C53FB5">
              <w:t>m</w:t>
            </w:r>
          </w:p>
        </w:tc>
      </w:tr>
      <w:tr w:rsidR="006A35D8" w14:paraId="481A50A4" w14:textId="77777777" w:rsidTr="00F319E9">
        <w:tc>
          <w:tcPr>
            <w:tcW w:w="804" w:type="pct"/>
            <w:vMerge w:val="restart"/>
          </w:tcPr>
          <w:p w14:paraId="799191FA" w14:textId="77777777" w:rsidR="006A35D8" w:rsidRPr="006A35D8" w:rsidRDefault="006A35D8" w:rsidP="000A69BD">
            <w:pPr>
              <w:pStyle w:val="ECCTabletext"/>
              <w:jc w:val="left"/>
            </w:pPr>
            <w:r w:rsidRPr="00C53FB5">
              <w:t>167 to 182 GHz</w:t>
            </w:r>
          </w:p>
        </w:tc>
        <w:tc>
          <w:tcPr>
            <w:tcW w:w="1452" w:type="pct"/>
          </w:tcPr>
          <w:p w14:paraId="609A1D0D" w14:textId="77777777" w:rsidR="006A35D8" w:rsidRPr="006A35D8" w:rsidRDefault="006A35D8" w:rsidP="000A69BD">
            <w:pPr>
              <w:pStyle w:val="ECCTabletext"/>
              <w:jc w:val="left"/>
            </w:pPr>
            <w:r w:rsidRPr="00C53FB5">
              <w:t>164 to 174</w:t>
            </w:r>
            <w:r w:rsidR="00CF4994">
              <w:t>.5</w:t>
            </w:r>
            <w:r w:rsidRPr="00C53FB5">
              <w:t> GHz</w:t>
            </w:r>
            <w:r w:rsidR="006526F4">
              <w:t xml:space="preserve"> (In-band)</w:t>
            </w:r>
          </w:p>
        </w:tc>
        <w:tc>
          <w:tcPr>
            <w:tcW w:w="1372" w:type="pct"/>
          </w:tcPr>
          <w:p w14:paraId="13597808" w14:textId="77777777" w:rsidR="006A35D8" w:rsidRPr="006A35D8" w:rsidRDefault="00BA6606" w:rsidP="000A69BD">
            <w:pPr>
              <w:pStyle w:val="ECCTabletext"/>
              <w:jc w:val="left"/>
            </w:pPr>
            <w:r>
              <w:t>2</w:t>
            </w:r>
            <w:r w:rsidR="00CF4994">
              <w:t>.7</w:t>
            </w:r>
            <w:r w:rsidR="006A35D8" w:rsidRPr="00C53FB5">
              <w:t> </w:t>
            </w:r>
            <w:r>
              <w:t>k</w:t>
            </w:r>
            <w:r w:rsidR="006A35D8" w:rsidRPr="00C53FB5">
              <w:t>m</w:t>
            </w:r>
          </w:p>
        </w:tc>
        <w:tc>
          <w:tcPr>
            <w:tcW w:w="1372" w:type="pct"/>
          </w:tcPr>
          <w:p w14:paraId="6A5E8B7E" w14:textId="77777777" w:rsidR="006A35D8" w:rsidRPr="006A35D8" w:rsidRDefault="00BA6606" w:rsidP="000A69BD">
            <w:pPr>
              <w:pStyle w:val="ECCTabletext"/>
              <w:jc w:val="left"/>
            </w:pPr>
            <w:r>
              <w:t>0</w:t>
            </w:r>
            <w:r w:rsidR="00CF4994">
              <w:t>.3</w:t>
            </w:r>
            <w:r w:rsidR="006A35D8" w:rsidRPr="00C53FB5">
              <w:t> </w:t>
            </w:r>
            <w:r>
              <w:t>k</w:t>
            </w:r>
            <w:r w:rsidR="006A35D8" w:rsidRPr="00C53FB5">
              <w:t>m</w:t>
            </w:r>
          </w:p>
        </w:tc>
      </w:tr>
      <w:tr w:rsidR="006A35D8" w14:paraId="39D65AD9" w14:textId="77777777" w:rsidTr="00F319E9">
        <w:tc>
          <w:tcPr>
            <w:tcW w:w="804" w:type="pct"/>
            <w:vMerge/>
          </w:tcPr>
          <w:p w14:paraId="349484B0" w14:textId="77777777" w:rsidR="006A35D8" w:rsidRPr="00C53FB5" w:rsidRDefault="006A35D8" w:rsidP="006A35D8">
            <w:pPr>
              <w:pStyle w:val="ECCTabletext"/>
            </w:pPr>
          </w:p>
        </w:tc>
        <w:tc>
          <w:tcPr>
            <w:tcW w:w="1452" w:type="pct"/>
          </w:tcPr>
          <w:p w14:paraId="40B31700" w14:textId="77777777" w:rsidR="006A35D8" w:rsidRPr="006A35D8" w:rsidRDefault="006A35D8" w:rsidP="000A69BD">
            <w:pPr>
              <w:pStyle w:val="ECCTabletext"/>
              <w:jc w:val="left"/>
            </w:pPr>
            <w:r w:rsidRPr="00C53FB5">
              <w:t>182 to 185 GHz</w:t>
            </w:r>
            <w:r w:rsidR="006526F4">
              <w:t xml:space="preserve"> (OOB)</w:t>
            </w:r>
          </w:p>
        </w:tc>
        <w:tc>
          <w:tcPr>
            <w:tcW w:w="1372" w:type="pct"/>
          </w:tcPr>
          <w:p w14:paraId="31862448" w14:textId="77777777" w:rsidR="006A35D8" w:rsidRPr="006A35D8" w:rsidRDefault="00BA6606" w:rsidP="000A69BD">
            <w:pPr>
              <w:pStyle w:val="ECCTabletext"/>
              <w:jc w:val="left"/>
            </w:pPr>
            <w:r>
              <w:t>0</w:t>
            </w:r>
            <w:r w:rsidR="00CF4994">
              <w:t>.1</w:t>
            </w:r>
            <w:r w:rsidR="006A35D8" w:rsidRPr="00C53FB5">
              <w:t> </w:t>
            </w:r>
            <w:r>
              <w:t>k</w:t>
            </w:r>
            <w:r w:rsidR="006A35D8" w:rsidRPr="00C53FB5">
              <w:t>m</w:t>
            </w:r>
          </w:p>
        </w:tc>
        <w:tc>
          <w:tcPr>
            <w:tcW w:w="1372" w:type="pct"/>
          </w:tcPr>
          <w:p w14:paraId="022AAA5D" w14:textId="77777777" w:rsidR="006A35D8" w:rsidRPr="006A35D8" w:rsidRDefault="00BA6606" w:rsidP="000A69BD">
            <w:pPr>
              <w:pStyle w:val="ECCTabletext"/>
              <w:jc w:val="left"/>
              <w:rPr>
                <w:highlight w:val="yellow"/>
              </w:rPr>
            </w:pPr>
            <w:r>
              <w:t>26</w:t>
            </w:r>
            <w:r w:rsidR="006A35D8" w:rsidRPr="00C53FB5">
              <w:t> m</w:t>
            </w:r>
          </w:p>
        </w:tc>
      </w:tr>
      <w:tr w:rsidR="006A35D8" w14:paraId="45032C2D" w14:textId="77777777" w:rsidTr="00F319E9">
        <w:tc>
          <w:tcPr>
            <w:tcW w:w="804" w:type="pct"/>
            <w:vMerge w:val="restart"/>
          </w:tcPr>
          <w:p w14:paraId="6F67FEFD" w14:textId="77777777" w:rsidR="006A35D8" w:rsidRPr="006A35D8" w:rsidRDefault="006A35D8" w:rsidP="000A69BD">
            <w:pPr>
              <w:pStyle w:val="ECCTabletext"/>
              <w:jc w:val="left"/>
            </w:pPr>
            <w:r w:rsidRPr="00C53FB5">
              <w:t>231</w:t>
            </w:r>
            <w:r w:rsidR="00CF4994">
              <w:t>.5</w:t>
            </w:r>
            <w:r w:rsidRPr="00C53FB5">
              <w:t xml:space="preserve"> to 250 GHz</w:t>
            </w:r>
          </w:p>
        </w:tc>
        <w:tc>
          <w:tcPr>
            <w:tcW w:w="1452" w:type="pct"/>
          </w:tcPr>
          <w:p w14:paraId="03AE1DAF" w14:textId="77777777" w:rsidR="006A35D8" w:rsidRPr="006A35D8" w:rsidRDefault="006A35D8" w:rsidP="000A69BD">
            <w:pPr>
              <w:pStyle w:val="ECCTabletext"/>
              <w:jc w:val="left"/>
            </w:pPr>
            <w:r w:rsidRPr="00C53FB5">
              <w:t>190 to 231</w:t>
            </w:r>
            <w:r w:rsidR="00CF4994">
              <w:t>.5</w:t>
            </w:r>
            <w:r w:rsidRPr="00C53FB5">
              <w:t> GHz</w:t>
            </w:r>
            <w:r w:rsidR="006526F4">
              <w:t xml:space="preserve"> (OOB)</w:t>
            </w:r>
          </w:p>
        </w:tc>
        <w:tc>
          <w:tcPr>
            <w:tcW w:w="1372" w:type="pct"/>
          </w:tcPr>
          <w:p w14:paraId="49B57A19" w14:textId="77777777" w:rsidR="006A35D8" w:rsidRPr="006A35D8" w:rsidRDefault="00BA6606" w:rsidP="000A69BD">
            <w:pPr>
              <w:pStyle w:val="ECCTabletext"/>
              <w:jc w:val="left"/>
            </w:pPr>
            <w:r>
              <w:t>0</w:t>
            </w:r>
            <w:r w:rsidR="00CF4994">
              <w:t>.2</w:t>
            </w:r>
            <w:r w:rsidR="006A35D8" w:rsidRPr="00C53FB5">
              <w:t> m</w:t>
            </w:r>
          </w:p>
        </w:tc>
        <w:tc>
          <w:tcPr>
            <w:tcW w:w="1372" w:type="pct"/>
          </w:tcPr>
          <w:p w14:paraId="5219DB69" w14:textId="77777777" w:rsidR="006A35D8" w:rsidRPr="006A35D8" w:rsidRDefault="00BA6606" w:rsidP="000A69BD">
            <w:pPr>
              <w:pStyle w:val="ECCTabletext"/>
              <w:jc w:val="left"/>
            </w:pPr>
            <w:r>
              <w:t>14</w:t>
            </w:r>
            <w:r w:rsidR="006A35D8" w:rsidRPr="00C53FB5">
              <w:t> m</w:t>
            </w:r>
          </w:p>
        </w:tc>
      </w:tr>
      <w:tr w:rsidR="006A35D8" w14:paraId="560F5952" w14:textId="77777777" w:rsidTr="00F319E9">
        <w:tc>
          <w:tcPr>
            <w:tcW w:w="804" w:type="pct"/>
            <w:vMerge/>
          </w:tcPr>
          <w:p w14:paraId="25C29CCE" w14:textId="77777777" w:rsidR="006A35D8" w:rsidRPr="00C53FB5" w:rsidRDefault="006A35D8" w:rsidP="006A35D8">
            <w:pPr>
              <w:pStyle w:val="ECCTabletext"/>
            </w:pPr>
          </w:p>
        </w:tc>
        <w:tc>
          <w:tcPr>
            <w:tcW w:w="1452" w:type="pct"/>
          </w:tcPr>
          <w:p w14:paraId="3606583D" w14:textId="77777777" w:rsidR="006A35D8" w:rsidRPr="006A35D8" w:rsidRDefault="006A35D8" w:rsidP="000A69BD">
            <w:pPr>
              <w:pStyle w:val="ECCTabletext"/>
              <w:jc w:val="left"/>
            </w:pPr>
            <w:r w:rsidRPr="00C53FB5">
              <w:t>235 to 238 GHz</w:t>
            </w:r>
            <w:r w:rsidR="006526F4">
              <w:t xml:space="preserve"> (In-band)</w:t>
            </w:r>
          </w:p>
        </w:tc>
        <w:tc>
          <w:tcPr>
            <w:tcW w:w="1372" w:type="pct"/>
          </w:tcPr>
          <w:p w14:paraId="2C73E7FD" w14:textId="77777777" w:rsidR="006A35D8" w:rsidRPr="006A35D8" w:rsidRDefault="00BA6606" w:rsidP="000A69BD">
            <w:pPr>
              <w:pStyle w:val="ECCTabletext"/>
              <w:jc w:val="left"/>
            </w:pPr>
            <w:r>
              <w:t>1</w:t>
            </w:r>
            <w:r w:rsidR="006A35D8" w:rsidRPr="00C53FB5">
              <w:t> </w:t>
            </w:r>
            <w:r>
              <w:t>k</w:t>
            </w:r>
            <w:r w:rsidR="006A35D8" w:rsidRPr="00C53FB5">
              <w:t>m</w:t>
            </w:r>
          </w:p>
        </w:tc>
        <w:tc>
          <w:tcPr>
            <w:tcW w:w="1372" w:type="pct"/>
          </w:tcPr>
          <w:p w14:paraId="7597A7DA" w14:textId="77777777" w:rsidR="006A35D8" w:rsidRPr="006A35D8" w:rsidRDefault="00BA6606" w:rsidP="000A69BD">
            <w:pPr>
              <w:pStyle w:val="ECCTabletext"/>
              <w:jc w:val="left"/>
            </w:pPr>
            <w:r>
              <w:t>0</w:t>
            </w:r>
            <w:r w:rsidR="00CF4994">
              <w:t>.1</w:t>
            </w:r>
            <w:r w:rsidR="006A35D8" w:rsidRPr="00C53FB5">
              <w:t> </w:t>
            </w:r>
            <w:r>
              <w:t>k</w:t>
            </w:r>
            <w:r w:rsidR="006A35D8" w:rsidRPr="00C53FB5">
              <w:t>m</w:t>
            </w:r>
          </w:p>
        </w:tc>
      </w:tr>
      <w:tr w:rsidR="006A35D8" w14:paraId="012E9966" w14:textId="77777777" w:rsidTr="00F319E9">
        <w:tc>
          <w:tcPr>
            <w:tcW w:w="804" w:type="pct"/>
            <w:vMerge/>
          </w:tcPr>
          <w:p w14:paraId="25E273D6" w14:textId="77777777" w:rsidR="006A35D8" w:rsidRPr="00C53FB5" w:rsidRDefault="006A35D8" w:rsidP="006A35D8">
            <w:pPr>
              <w:pStyle w:val="ECCTabletext"/>
            </w:pPr>
          </w:p>
        </w:tc>
        <w:tc>
          <w:tcPr>
            <w:tcW w:w="1452" w:type="pct"/>
          </w:tcPr>
          <w:p w14:paraId="7B82926F" w14:textId="77777777" w:rsidR="006A35D8" w:rsidRPr="006A35D8" w:rsidRDefault="006A35D8" w:rsidP="000A69BD">
            <w:pPr>
              <w:pStyle w:val="ECCTabletext"/>
              <w:jc w:val="left"/>
            </w:pPr>
            <w:r w:rsidRPr="00C53FB5">
              <w:t>241 to 275 GHz</w:t>
            </w:r>
            <w:r w:rsidR="006526F4">
              <w:t xml:space="preserve"> (In-band)</w:t>
            </w:r>
          </w:p>
        </w:tc>
        <w:tc>
          <w:tcPr>
            <w:tcW w:w="1372" w:type="pct"/>
          </w:tcPr>
          <w:p w14:paraId="5B38A748" w14:textId="77777777" w:rsidR="006A35D8" w:rsidRPr="006A35D8" w:rsidRDefault="00BA6606" w:rsidP="000A69BD">
            <w:pPr>
              <w:pStyle w:val="ECCTabletext"/>
              <w:jc w:val="left"/>
            </w:pPr>
            <w:r>
              <w:t>0</w:t>
            </w:r>
            <w:r w:rsidR="00CF4994">
              <w:t>.8</w:t>
            </w:r>
            <w:r w:rsidR="006A35D8" w:rsidRPr="00C53FB5">
              <w:t> </w:t>
            </w:r>
            <w:r>
              <w:t>k</w:t>
            </w:r>
            <w:r w:rsidR="006A35D8" w:rsidRPr="00C53FB5">
              <w:t>m</w:t>
            </w:r>
          </w:p>
        </w:tc>
        <w:tc>
          <w:tcPr>
            <w:tcW w:w="1372" w:type="pct"/>
          </w:tcPr>
          <w:p w14:paraId="277651D8" w14:textId="77777777" w:rsidR="006A35D8" w:rsidRPr="006A35D8" w:rsidRDefault="00BA6606" w:rsidP="000A69BD">
            <w:pPr>
              <w:pStyle w:val="ECCTabletext"/>
              <w:jc w:val="left"/>
            </w:pPr>
            <w:r>
              <w:t>0</w:t>
            </w:r>
            <w:r w:rsidR="00CF4994">
              <w:t>.1</w:t>
            </w:r>
            <w:r w:rsidR="006A35D8" w:rsidRPr="00C53FB5">
              <w:t> </w:t>
            </w:r>
            <w:r>
              <w:t>k</w:t>
            </w:r>
            <w:r w:rsidR="006A35D8" w:rsidRPr="00C53FB5">
              <w:t>m</w:t>
            </w:r>
          </w:p>
        </w:tc>
      </w:tr>
    </w:tbl>
    <w:p w14:paraId="73BF8DEE" w14:textId="52D0B2F6" w:rsidR="00530C48" w:rsidRPr="00530C48" w:rsidRDefault="00530C48" w:rsidP="00530C48">
      <w:r>
        <w:t xml:space="preserve">The conclusions drawn from these results can be found in </w:t>
      </w:r>
      <w:r w:rsidR="009D5FA2">
        <w:t>section</w:t>
      </w:r>
      <w:r>
        <w:t xml:space="preserve"> </w:t>
      </w:r>
      <w:r>
        <w:fldChar w:fldCharType="begin"/>
      </w:r>
      <w:r>
        <w:instrText xml:space="preserve"> REF _Ref67392528 \r \h </w:instrText>
      </w:r>
      <w:r>
        <w:fldChar w:fldCharType="separate"/>
      </w:r>
      <w:r w:rsidR="004F49F9">
        <w:t>8.7.2</w:t>
      </w:r>
      <w:r>
        <w:fldChar w:fldCharType="end"/>
      </w:r>
      <w:r>
        <w:t>.</w:t>
      </w:r>
    </w:p>
    <w:p w14:paraId="16B4E64A" w14:textId="77777777" w:rsidR="006A35D8" w:rsidRPr="006A35D8" w:rsidRDefault="006A35D8" w:rsidP="006A35D8">
      <w:pPr>
        <w:pStyle w:val="Heading2"/>
      </w:pPr>
      <w:bookmarkStart w:id="579" w:name="_Toc36127104"/>
      <w:bookmarkStart w:id="580" w:name="_Toc84325370"/>
      <w:bookmarkStart w:id="581" w:name="_Toc127346294"/>
      <w:r w:rsidRPr="006A35D8">
        <w:t>Radiodetermination systems for industry automation in shielded environments (RDI-S)</w:t>
      </w:r>
      <w:bookmarkEnd w:id="579"/>
      <w:bookmarkEnd w:id="580"/>
      <w:bookmarkEnd w:id="581"/>
    </w:p>
    <w:p w14:paraId="34F36971" w14:textId="77777777" w:rsidR="006A35D8" w:rsidRPr="00730998" w:rsidRDefault="006A35D8" w:rsidP="006A35D8">
      <w:pPr>
        <w:pStyle w:val="Heading3"/>
      </w:pPr>
      <w:bookmarkStart w:id="582" w:name="_Toc84325371"/>
      <w:bookmarkStart w:id="583" w:name="_Toc127346295"/>
      <w:r w:rsidRPr="00730998">
        <w:t>Technical parameters of RDI-S</w:t>
      </w:r>
      <w:bookmarkEnd w:id="582"/>
      <w:bookmarkEnd w:id="583"/>
    </w:p>
    <w:p w14:paraId="7920F59B" w14:textId="4B0F52FD" w:rsidR="006A35D8" w:rsidRPr="00B10E31" w:rsidRDefault="006A35D8" w:rsidP="006A35D8">
      <w:r w:rsidRPr="00B10E31">
        <w:t xml:space="preserve">For the RDI-S application the whole frequency range from 116 to 260 GHz has been defined (see </w:t>
      </w:r>
      <w:r w:rsidR="009D5FA2">
        <w:t>section</w:t>
      </w:r>
      <w:r w:rsidRPr="00B10E31">
        <w:t xml:space="preserve"> </w:t>
      </w:r>
      <w:r w:rsidR="0029762D">
        <w:rPr>
          <w:highlight w:val="yellow"/>
        </w:rPr>
        <w:fldChar w:fldCharType="begin"/>
      </w:r>
      <w:r w:rsidR="0029762D">
        <w:instrText xml:space="preserve"> REF _Ref66452766 \r \h </w:instrText>
      </w:r>
      <w:r w:rsidR="0029762D">
        <w:rPr>
          <w:highlight w:val="yellow"/>
        </w:rPr>
      </w:r>
      <w:r w:rsidR="0029762D">
        <w:rPr>
          <w:highlight w:val="yellow"/>
        </w:rPr>
        <w:fldChar w:fldCharType="separate"/>
      </w:r>
      <w:r w:rsidR="004F49F9">
        <w:t>2.2.8.2</w:t>
      </w:r>
      <w:r w:rsidR="0029762D">
        <w:rPr>
          <w:highlight w:val="yellow"/>
        </w:rPr>
        <w:fldChar w:fldCharType="end"/>
      </w:r>
      <w:r w:rsidRPr="00B10E31">
        <w:t xml:space="preserve">). In this band several allocations for RAS are affected (see </w:t>
      </w:r>
      <w:r w:rsidR="009D5FA2">
        <w:t>section</w:t>
      </w:r>
      <w:r w:rsidRPr="00B10E31">
        <w:t xml:space="preserve"> </w:t>
      </w:r>
      <w:r w:rsidR="0029762D">
        <w:rPr>
          <w:highlight w:val="yellow"/>
        </w:rPr>
        <w:fldChar w:fldCharType="begin"/>
      </w:r>
      <w:r w:rsidR="0029762D">
        <w:instrText xml:space="preserve"> REF _Ref66361706 \r \h </w:instrText>
      </w:r>
      <w:r w:rsidR="0029762D">
        <w:rPr>
          <w:highlight w:val="yellow"/>
        </w:rPr>
      </w:r>
      <w:r w:rsidR="0029762D">
        <w:rPr>
          <w:highlight w:val="yellow"/>
        </w:rPr>
        <w:fldChar w:fldCharType="separate"/>
      </w:r>
      <w:r w:rsidR="004F49F9">
        <w:t>3.3</w:t>
      </w:r>
      <w:r w:rsidR="0029762D">
        <w:rPr>
          <w:highlight w:val="yellow"/>
        </w:rPr>
        <w:fldChar w:fldCharType="end"/>
      </w:r>
      <w:r w:rsidRPr="00B10E31">
        <w:t xml:space="preserve">). In addition to that altogether eight bands are affected which are protected by article 5.340 in the ITU Radio Regulations </w:t>
      </w:r>
      <w:r w:rsidR="00FE7D1A">
        <w:fldChar w:fldCharType="begin"/>
      </w:r>
      <w:r w:rsidR="00FE7D1A">
        <w:instrText xml:space="preserve"> REF _Ref127346430 \r \h </w:instrText>
      </w:r>
      <w:r w:rsidR="00FE7D1A">
        <w:fldChar w:fldCharType="separate"/>
      </w:r>
      <w:r w:rsidR="00FE7D1A">
        <w:t>[71]</w:t>
      </w:r>
      <w:r w:rsidR="00FE7D1A">
        <w:fldChar w:fldCharType="end"/>
      </w:r>
      <w:r w:rsidR="004632D3">
        <w:fldChar w:fldCharType="begin"/>
      </w:r>
      <w:r w:rsidR="004632D3">
        <w:instrText xml:space="preserve"> REF ITU_RR \w \h </w:instrText>
      </w:r>
      <w:r w:rsidR="00E55534">
        <w:fldChar w:fldCharType="separate"/>
      </w:r>
      <w:r w:rsidR="004632D3">
        <w:fldChar w:fldCharType="end"/>
      </w:r>
      <w:r w:rsidR="004632D3">
        <w:t xml:space="preserve"> </w:t>
      </w:r>
      <w:r w:rsidRPr="00B10E31">
        <w:t xml:space="preserve">(compare </w:t>
      </w:r>
      <w:r w:rsidR="009D5FA2">
        <w:t>section</w:t>
      </w:r>
      <w:r w:rsidRPr="00B10E31">
        <w:t xml:space="preserve"> </w:t>
      </w:r>
      <w:r w:rsidRPr="006A35D8">
        <w:t>3.4</w:t>
      </w:r>
      <w:r w:rsidRPr="00B10E31">
        <w:t>). In all protected bands there are also allocations of the Radio Astronomy Service. All these identified bands have been investigated by single-entry studies. In these studies the individually required separation distance (</w:t>
      </w:r>
      <w:r w:rsidR="009D5FA2">
        <w:t>section</w:t>
      </w:r>
      <w:r w:rsidRPr="00B10E31">
        <w:t xml:space="preserve"> </w:t>
      </w:r>
      <w:r w:rsidR="0029762D">
        <w:rPr>
          <w:highlight w:val="yellow"/>
        </w:rPr>
        <w:fldChar w:fldCharType="begin"/>
      </w:r>
      <w:r w:rsidR="0029762D">
        <w:instrText xml:space="preserve"> REF _Ref15293384 \r \h </w:instrText>
      </w:r>
      <w:r w:rsidR="0029762D">
        <w:rPr>
          <w:highlight w:val="yellow"/>
        </w:rPr>
      </w:r>
      <w:r w:rsidR="0029762D">
        <w:rPr>
          <w:highlight w:val="yellow"/>
        </w:rPr>
        <w:fldChar w:fldCharType="separate"/>
      </w:r>
      <w:r w:rsidR="004F49F9">
        <w:t>3.4.2</w:t>
      </w:r>
      <w:r w:rsidR="0029762D">
        <w:rPr>
          <w:highlight w:val="yellow"/>
        </w:rPr>
        <w:fldChar w:fldCharType="end"/>
      </w:r>
      <w:r w:rsidRPr="00B10E31">
        <w:t>) is determined by means of the technical parameters (</w:t>
      </w:r>
      <w:r w:rsidR="009D5FA2">
        <w:t>section</w:t>
      </w:r>
      <w:r w:rsidRPr="00B10E31">
        <w:t xml:space="preserve"> </w:t>
      </w:r>
      <w:r w:rsidR="0029762D">
        <w:rPr>
          <w:highlight w:val="yellow"/>
        </w:rPr>
        <w:fldChar w:fldCharType="begin"/>
      </w:r>
      <w:r w:rsidR="0029762D">
        <w:instrText xml:space="preserve"> REF _Ref66452779 \r \h </w:instrText>
      </w:r>
      <w:r w:rsidR="0029762D">
        <w:rPr>
          <w:highlight w:val="yellow"/>
        </w:rPr>
      </w:r>
      <w:r w:rsidR="0029762D">
        <w:rPr>
          <w:highlight w:val="yellow"/>
        </w:rPr>
        <w:fldChar w:fldCharType="separate"/>
      </w:r>
      <w:r w:rsidR="004F49F9">
        <w:t>2.2.8.3</w:t>
      </w:r>
      <w:r w:rsidR="0029762D">
        <w:rPr>
          <w:highlight w:val="yellow"/>
        </w:rPr>
        <w:fldChar w:fldCharType="end"/>
      </w:r>
      <w:r w:rsidRPr="00B10E31">
        <w:t>), the antenna data (</w:t>
      </w:r>
      <w:r w:rsidR="009D5FA2">
        <w:t>section</w:t>
      </w:r>
      <w:r w:rsidRPr="00B10E31">
        <w:t xml:space="preserve"> </w:t>
      </w:r>
      <w:r w:rsidR="0029762D">
        <w:rPr>
          <w:highlight w:val="yellow"/>
        </w:rPr>
        <w:fldChar w:fldCharType="begin"/>
      </w:r>
      <w:r w:rsidR="0029762D">
        <w:instrText xml:space="preserve"> REF _Ref66452804 \r \h </w:instrText>
      </w:r>
      <w:r w:rsidR="0029762D">
        <w:rPr>
          <w:highlight w:val="yellow"/>
        </w:rPr>
      </w:r>
      <w:r w:rsidR="0029762D">
        <w:rPr>
          <w:highlight w:val="yellow"/>
        </w:rPr>
        <w:fldChar w:fldCharType="separate"/>
      </w:r>
      <w:r w:rsidR="004F49F9">
        <w:t>2.2.8.4</w:t>
      </w:r>
      <w:r w:rsidR="0029762D">
        <w:rPr>
          <w:highlight w:val="yellow"/>
        </w:rPr>
        <w:fldChar w:fldCharType="end"/>
      </w:r>
      <w:r w:rsidRPr="00B10E31">
        <w:t>), the interference scenarios (</w:t>
      </w:r>
      <w:r w:rsidR="009D5FA2">
        <w:t>section</w:t>
      </w:r>
      <w:r w:rsidRPr="00B10E31">
        <w:t xml:space="preserve"> </w:t>
      </w:r>
      <w:r w:rsidR="0029762D">
        <w:rPr>
          <w:highlight w:val="yellow"/>
        </w:rPr>
        <w:fldChar w:fldCharType="begin"/>
      </w:r>
      <w:r w:rsidR="0029762D">
        <w:instrText xml:space="preserve"> REF _Ref66452787 \r \h </w:instrText>
      </w:r>
      <w:r w:rsidR="0029762D">
        <w:rPr>
          <w:highlight w:val="yellow"/>
        </w:rPr>
      </w:r>
      <w:r w:rsidR="0029762D">
        <w:rPr>
          <w:highlight w:val="yellow"/>
        </w:rPr>
        <w:fldChar w:fldCharType="separate"/>
      </w:r>
      <w:r w:rsidR="004F49F9">
        <w:t>2.2.8.6</w:t>
      </w:r>
      <w:r w:rsidR="0029762D">
        <w:rPr>
          <w:highlight w:val="yellow"/>
        </w:rPr>
        <w:fldChar w:fldCharType="end"/>
      </w:r>
      <w:r w:rsidRPr="00B10E31">
        <w:t>) and the protection requirements for RAS (</w:t>
      </w:r>
      <w:r w:rsidR="009D5FA2">
        <w:t>section</w:t>
      </w:r>
      <w:r w:rsidRPr="00B10E31">
        <w:t xml:space="preserve"> </w:t>
      </w:r>
      <w:r w:rsidR="0029762D">
        <w:rPr>
          <w:highlight w:val="yellow"/>
        </w:rPr>
        <w:fldChar w:fldCharType="begin"/>
      </w:r>
      <w:r w:rsidR="0029762D">
        <w:instrText xml:space="preserve"> REF _Ref25574886 \r \h </w:instrText>
      </w:r>
      <w:r w:rsidR="0029762D">
        <w:rPr>
          <w:highlight w:val="yellow"/>
        </w:rPr>
      </w:r>
      <w:r w:rsidR="0029762D">
        <w:rPr>
          <w:highlight w:val="yellow"/>
        </w:rPr>
        <w:fldChar w:fldCharType="separate"/>
      </w:r>
      <w:r w:rsidR="004F49F9">
        <w:t>3.5.2</w:t>
      </w:r>
      <w:r w:rsidR="0029762D">
        <w:rPr>
          <w:highlight w:val="yellow"/>
        </w:rPr>
        <w:fldChar w:fldCharType="end"/>
      </w:r>
      <w:r w:rsidRPr="00B10E31">
        <w:t xml:space="preserve">). The exact calculations can be found in an Excel-spreadsheet which is attached to this </w:t>
      </w:r>
      <w:hyperlink r:id="rId129" w:history="1">
        <w:r w:rsidR="00C70410">
          <w:rPr>
            <w:rStyle w:val="Hyperlink"/>
          </w:rPr>
          <w:t>Report</w:t>
        </w:r>
      </w:hyperlink>
      <w:r w:rsidRPr="00B10E31">
        <w:t>.</w:t>
      </w:r>
    </w:p>
    <w:p w14:paraId="007B282F" w14:textId="55449AAB" w:rsidR="006A35D8" w:rsidRPr="00B10E31" w:rsidRDefault="006A35D8" w:rsidP="006A35D8">
      <w:r w:rsidRPr="00B10E31">
        <w:t>The following technical parameters of the RDI-S application (</w:t>
      </w:r>
      <w:r w:rsidR="009D5FA2">
        <w:t>section</w:t>
      </w:r>
      <w:r w:rsidRPr="00B10E31">
        <w:t xml:space="preserve"> </w:t>
      </w:r>
      <w:r w:rsidR="0029762D">
        <w:rPr>
          <w:highlight w:val="yellow"/>
        </w:rPr>
        <w:fldChar w:fldCharType="begin"/>
      </w:r>
      <w:r w:rsidR="0029762D">
        <w:instrText xml:space="preserve"> REF _Ref66452795 \r \h </w:instrText>
      </w:r>
      <w:r w:rsidR="0029762D">
        <w:rPr>
          <w:highlight w:val="yellow"/>
        </w:rPr>
      </w:r>
      <w:r w:rsidR="0029762D">
        <w:rPr>
          <w:highlight w:val="yellow"/>
        </w:rPr>
        <w:fldChar w:fldCharType="separate"/>
      </w:r>
      <w:r w:rsidR="004F49F9">
        <w:t>2.2.8.3</w:t>
      </w:r>
      <w:r w:rsidR="0029762D">
        <w:rPr>
          <w:highlight w:val="yellow"/>
        </w:rPr>
        <w:fldChar w:fldCharType="end"/>
      </w:r>
      <w:r w:rsidRPr="00B10E31">
        <w:t>) have been used in the studies in the different frequency ranges.</w:t>
      </w:r>
    </w:p>
    <w:p w14:paraId="0FC143B5" w14:textId="4B70FC20" w:rsidR="006A35D8" w:rsidRPr="007E68AF" w:rsidRDefault="0029762D" w:rsidP="006A35D8">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F49F9">
        <w:rPr>
          <w:noProof/>
        </w:rPr>
        <w:t>61</w:t>
      </w:r>
      <w:r w:rsidRPr="0091705E">
        <w:fldChar w:fldCharType="end"/>
      </w:r>
      <w:r w:rsidR="006A35D8" w:rsidRPr="006A35D8">
        <w:t>: Technical parameters of RDI-S used for the conducted studies in RAS frequency allocations outside RR article 5.340 protected bands</w:t>
      </w:r>
    </w:p>
    <w:tbl>
      <w:tblPr>
        <w:tblStyle w:val="ECCTable-redheader"/>
        <w:tblW w:w="0" w:type="auto"/>
        <w:tblInd w:w="0" w:type="dxa"/>
        <w:tblLook w:val="04A0" w:firstRow="1" w:lastRow="0" w:firstColumn="1" w:lastColumn="0" w:noHBand="0" w:noVBand="1"/>
      </w:tblPr>
      <w:tblGrid>
        <w:gridCol w:w="1645"/>
        <w:gridCol w:w="1402"/>
        <w:gridCol w:w="1346"/>
        <w:gridCol w:w="1104"/>
        <w:gridCol w:w="1639"/>
        <w:gridCol w:w="1199"/>
        <w:gridCol w:w="1294"/>
      </w:tblGrid>
      <w:tr w:rsidR="00C943B8" w:rsidRPr="00566944" w14:paraId="369BA22D" w14:textId="77777777" w:rsidTr="00463DA2">
        <w:trPr>
          <w:cnfStyle w:val="100000000000" w:firstRow="1" w:lastRow="0" w:firstColumn="0" w:lastColumn="0" w:oddVBand="0" w:evenVBand="0" w:oddHBand="0" w:evenHBand="0" w:firstRowFirstColumn="0" w:firstRowLastColumn="0" w:lastRowFirstColumn="0" w:lastRowLastColumn="0"/>
        </w:trPr>
        <w:tc>
          <w:tcPr>
            <w:tcW w:w="1645" w:type="dxa"/>
          </w:tcPr>
          <w:p w14:paraId="044F25D0" w14:textId="77777777" w:rsidR="00C943B8" w:rsidRPr="00C943B8" w:rsidRDefault="00C943B8" w:rsidP="00876039">
            <w:pPr>
              <w:pStyle w:val="ECCTableHeaderwhitefont"/>
            </w:pPr>
            <w:r w:rsidRPr="00C943B8">
              <w:t>Investigated frequency range</w:t>
            </w:r>
          </w:p>
        </w:tc>
        <w:tc>
          <w:tcPr>
            <w:tcW w:w="1402" w:type="dxa"/>
          </w:tcPr>
          <w:p w14:paraId="6B6A5E3C" w14:textId="77777777" w:rsidR="00C943B8" w:rsidRPr="00C943B8" w:rsidRDefault="00C943B8" w:rsidP="000A69BD">
            <w:pPr>
              <w:pStyle w:val="ECCTableHeaderwhitefont"/>
            </w:pPr>
            <w:r w:rsidRPr="00C943B8">
              <w:t>Investigated centre frequency</w:t>
            </w:r>
          </w:p>
        </w:tc>
        <w:tc>
          <w:tcPr>
            <w:tcW w:w="1346" w:type="dxa"/>
          </w:tcPr>
          <w:p w14:paraId="6AAE18CC" w14:textId="77777777" w:rsidR="00C943B8" w:rsidRPr="00C943B8" w:rsidRDefault="00C943B8" w:rsidP="000A69BD">
            <w:pPr>
              <w:pStyle w:val="ECCTableHeaderwhitefont"/>
            </w:pPr>
            <w:r w:rsidRPr="00C943B8">
              <w:t>Modulation bandwidth</w:t>
            </w:r>
          </w:p>
        </w:tc>
        <w:tc>
          <w:tcPr>
            <w:tcW w:w="1104" w:type="dxa"/>
          </w:tcPr>
          <w:p w14:paraId="33FA290B" w14:textId="77777777" w:rsidR="00C943B8" w:rsidRPr="00C943B8" w:rsidRDefault="00C943B8" w:rsidP="000A69BD">
            <w:pPr>
              <w:pStyle w:val="ECCTableHeaderwhitefont"/>
            </w:pPr>
            <w:r w:rsidRPr="00C943B8">
              <w:t>Duty cycle</w:t>
            </w:r>
          </w:p>
        </w:tc>
        <w:tc>
          <w:tcPr>
            <w:tcW w:w="1639" w:type="dxa"/>
          </w:tcPr>
          <w:p w14:paraId="1F056A28" w14:textId="77777777" w:rsidR="00C943B8" w:rsidRPr="00C943B8" w:rsidRDefault="00C943B8" w:rsidP="000A69BD">
            <w:pPr>
              <w:pStyle w:val="ECCTableHeaderwhitefont"/>
            </w:pPr>
            <w:r w:rsidRPr="00C943B8">
              <w:t xml:space="preserve">Mean e.i.r.p. spectral density </w:t>
            </w:r>
          </w:p>
        </w:tc>
        <w:tc>
          <w:tcPr>
            <w:tcW w:w="1199" w:type="dxa"/>
          </w:tcPr>
          <w:p w14:paraId="2DC64E3C" w14:textId="77777777" w:rsidR="00C943B8" w:rsidRPr="00C943B8" w:rsidRDefault="00C943B8" w:rsidP="000A69BD">
            <w:pPr>
              <w:pStyle w:val="ECCTableHeaderwhitefont"/>
            </w:pPr>
            <w:r w:rsidRPr="00C943B8">
              <w:t>Peak e.i.r.p.</w:t>
            </w:r>
          </w:p>
        </w:tc>
        <w:tc>
          <w:tcPr>
            <w:tcW w:w="1294" w:type="dxa"/>
          </w:tcPr>
          <w:p w14:paraId="2BB41523" w14:textId="77777777" w:rsidR="00C943B8" w:rsidRPr="00C943B8" w:rsidRDefault="00C943B8" w:rsidP="000A69BD">
            <w:pPr>
              <w:pStyle w:val="ECCTableHeaderwhitefont"/>
            </w:pPr>
            <w:r w:rsidRPr="00C943B8">
              <w:t>OOB attenuation (Note 1)</w:t>
            </w:r>
          </w:p>
        </w:tc>
      </w:tr>
      <w:tr w:rsidR="00463DA2" w:rsidRPr="00C53FB5" w14:paraId="2DB035CF" w14:textId="77777777" w:rsidTr="00463DA2">
        <w:tc>
          <w:tcPr>
            <w:tcW w:w="1645" w:type="dxa"/>
          </w:tcPr>
          <w:p w14:paraId="0BA9769C" w14:textId="77777777" w:rsidR="00463DA2" w:rsidRPr="006A35D8" w:rsidRDefault="00463DA2" w:rsidP="000A69BD">
            <w:pPr>
              <w:pStyle w:val="ECCTabletext"/>
              <w:jc w:val="left"/>
            </w:pPr>
            <w:r w:rsidRPr="009B5279">
              <w:t>76 to 116 GHz</w:t>
            </w:r>
          </w:p>
        </w:tc>
        <w:tc>
          <w:tcPr>
            <w:tcW w:w="1402" w:type="dxa"/>
          </w:tcPr>
          <w:p w14:paraId="7F38057A" w14:textId="77777777" w:rsidR="00463DA2" w:rsidRPr="006A35D8" w:rsidRDefault="00463DA2" w:rsidP="000A69BD">
            <w:pPr>
              <w:pStyle w:val="ECCTabletext"/>
              <w:jc w:val="left"/>
              <w:rPr>
                <w:highlight w:val="yellow"/>
              </w:rPr>
            </w:pPr>
            <w:r w:rsidRPr="009B5279">
              <w:t>113</w:t>
            </w:r>
            <w:r w:rsidR="00CF4994">
              <w:t>.9</w:t>
            </w:r>
            <w:r w:rsidRPr="009B5279">
              <w:t> GHz</w:t>
            </w:r>
          </w:p>
        </w:tc>
        <w:tc>
          <w:tcPr>
            <w:tcW w:w="1346" w:type="dxa"/>
            <w:shd w:val="clear" w:color="auto" w:fill="auto"/>
          </w:tcPr>
          <w:p w14:paraId="23370C1D" w14:textId="77777777" w:rsidR="00463DA2" w:rsidRPr="006A35D8" w:rsidRDefault="00463DA2" w:rsidP="000A69BD">
            <w:pPr>
              <w:pStyle w:val="ECCTabletext"/>
              <w:jc w:val="left"/>
            </w:pPr>
            <w:r>
              <w:t>100</w:t>
            </w:r>
            <w:r w:rsidRPr="00EB5660">
              <w:t> GHz</w:t>
            </w:r>
          </w:p>
        </w:tc>
        <w:tc>
          <w:tcPr>
            <w:tcW w:w="1104" w:type="dxa"/>
            <w:shd w:val="clear" w:color="auto" w:fill="auto"/>
          </w:tcPr>
          <w:p w14:paraId="11D87281" w14:textId="3028417F" w:rsidR="00463DA2" w:rsidRPr="006A35D8" w:rsidRDefault="00463DA2" w:rsidP="000A69BD">
            <w:pPr>
              <w:pStyle w:val="ECCTabletext"/>
              <w:jc w:val="left"/>
            </w:pPr>
            <w:r w:rsidRPr="00B9577F">
              <w:t>100</w:t>
            </w:r>
            <w:r w:rsidR="00F800A2">
              <w:t>%</w:t>
            </w:r>
          </w:p>
        </w:tc>
        <w:tc>
          <w:tcPr>
            <w:tcW w:w="1639" w:type="dxa"/>
            <w:shd w:val="clear" w:color="auto" w:fill="auto"/>
          </w:tcPr>
          <w:p w14:paraId="37AD7AA8" w14:textId="77777777" w:rsidR="00463DA2" w:rsidRPr="006A35D8" w:rsidRDefault="00463DA2" w:rsidP="000A69BD">
            <w:pPr>
              <w:pStyle w:val="ECCTabletext"/>
              <w:jc w:val="left"/>
              <w:rPr>
                <w:highlight w:val="yellow"/>
              </w:rPr>
            </w:pPr>
            <w:r>
              <w:t>-15 dBm/MHz</w:t>
            </w:r>
          </w:p>
        </w:tc>
        <w:tc>
          <w:tcPr>
            <w:tcW w:w="1199" w:type="dxa"/>
            <w:shd w:val="clear" w:color="auto" w:fill="auto"/>
          </w:tcPr>
          <w:p w14:paraId="154756ED" w14:textId="77777777" w:rsidR="00463DA2" w:rsidRPr="006A35D8" w:rsidRDefault="00463DA2" w:rsidP="000A69BD">
            <w:pPr>
              <w:pStyle w:val="ECCTabletext"/>
              <w:jc w:val="left"/>
            </w:pPr>
            <w:r>
              <w:t>35</w:t>
            </w:r>
            <w:r w:rsidRPr="00A9361E">
              <w:t> dBm</w:t>
            </w:r>
          </w:p>
        </w:tc>
        <w:tc>
          <w:tcPr>
            <w:tcW w:w="1294" w:type="dxa"/>
            <w:vMerge w:val="restart"/>
          </w:tcPr>
          <w:p w14:paraId="6CDE780B" w14:textId="77777777" w:rsidR="00463DA2" w:rsidRPr="00A9361E" w:rsidRDefault="00463DA2" w:rsidP="000A69BD">
            <w:pPr>
              <w:pStyle w:val="ECCTabletext"/>
              <w:jc w:val="left"/>
            </w:pPr>
            <w:r>
              <w:t>10 dB</w:t>
            </w:r>
          </w:p>
        </w:tc>
      </w:tr>
      <w:tr w:rsidR="00463DA2" w:rsidRPr="00C53FB5" w14:paraId="5423E56F" w14:textId="77777777" w:rsidTr="00463DA2">
        <w:tc>
          <w:tcPr>
            <w:tcW w:w="1645" w:type="dxa"/>
            <w:vMerge w:val="restart"/>
          </w:tcPr>
          <w:p w14:paraId="5C0D0AC2" w14:textId="77777777" w:rsidR="00463DA2" w:rsidRPr="006A35D8" w:rsidRDefault="00463DA2" w:rsidP="000A69BD">
            <w:pPr>
              <w:pStyle w:val="ECCTabletext"/>
              <w:jc w:val="left"/>
            </w:pPr>
            <w:r w:rsidRPr="009B5279">
              <w:t>123</w:t>
            </w:r>
            <w:r w:rsidR="00CF4994">
              <w:t>.5</w:t>
            </w:r>
            <w:r w:rsidRPr="009B5279">
              <w:t xml:space="preserve"> to </w:t>
            </w:r>
            <w:r w:rsidRPr="006A35D8">
              <w:t>158</w:t>
            </w:r>
            <w:r w:rsidR="00CF4994">
              <w:t>.5</w:t>
            </w:r>
            <w:r w:rsidRPr="006A35D8">
              <w:t> GHz</w:t>
            </w:r>
          </w:p>
        </w:tc>
        <w:tc>
          <w:tcPr>
            <w:tcW w:w="1402" w:type="dxa"/>
          </w:tcPr>
          <w:p w14:paraId="7B629608" w14:textId="77777777" w:rsidR="00463DA2" w:rsidRPr="006A35D8" w:rsidRDefault="00463DA2" w:rsidP="000A69BD">
            <w:pPr>
              <w:pStyle w:val="ECCTabletext"/>
              <w:jc w:val="left"/>
              <w:rPr>
                <w:highlight w:val="yellow"/>
              </w:rPr>
            </w:pPr>
            <w:r w:rsidRPr="009B5279">
              <w:t>126</w:t>
            </w:r>
            <w:r w:rsidR="00CF4994">
              <w:t>.5</w:t>
            </w:r>
            <w:r w:rsidRPr="009B5279">
              <w:t> GHz</w:t>
            </w:r>
          </w:p>
        </w:tc>
        <w:tc>
          <w:tcPr>
            <w:tcW w:w="1346" w:type="dxa"/>
            <w:shd w:val="clear" w:color="auto" w:fill="auto"/>
          </w:tcPr>
          <w:p w14:paraId="10229DC8" w14:textId="77777777" w:rsidR="00463DA2" w:rsidRPr="006A35D8" w:rsidRDefault="00463DA2" w:rsidP="000A69BD">
            <w:pPr>
              <w:pStyle w:val="ECCTabletext"/>
              <w:jc w:val="left"/>
            </w:pPr>
            <w:r>
              <w:t>100</w:t>
            </w:r>
            <w:r w:rsidRPr="00463DA2">
              <w:t> GHz</w:t>
            </w:r>
          </w:p>
        </w:tc>
        <w:tc>
          <w:tcPr>
            <w:tcW w:w="1104" w:type="dxa"/>
            <w:shd w:val="clear" w:color="auto" w:fill="auto"/>
          </w:tcPr>
          <w:p w14:paraId="1B0BB24A" w14:textId="13656534" w:rsidR="00463DA2" w:rsidRPr="006A35D8" w:rsidRDefault="00463DA2" w:rsidP="000A69BD">
            <w:pPr>
              <w:pStyle w:val="ECCTabletext"/>
              <w:jc w:val="left"/>
            </w:pPr>
            <w:r w:rsidRPr="00B9577F">
              <w:t>100</w:t>
            </w:r>
            <w:r w:rsidR="00F800A2">
              <w:t>%</w:t>
            </w:r>
          </w:p>
        </w:tc>
        <w:tc>
          <w:tcPr>
            <w:tcW w:w="1639" w:type="dxa"/>
            <w:shd w:val="clear" w:color="auto" w:fill="auto"/>
          </w:tcPr>
          <w:p w14:paraId="2AC36FF0" w14:textId="77777777" w:rsidR="00463DA2" w:rsidRPr="006A35D8" w:rsidRDefault="00463DA2" w:rsidP="000A69BD">
            <w:pPr>
              <w:pStyle w:val="ECCTabletext"/>
              <w:jc w:val="left"/>
              <w:rPr>
                <w:highlight w:val="yellow"/>
              </w:rPr>
            </w:pPr>
            <w:r>
              <w:t>10 dBm/MHz</w:t>
            </w:r>
          </w:p>
        </w:tc>
        <w:tc>
          <w:tcPr>
            <w:tcW w:w="1199" w:type="dxa"/>
            <w:shd w:val="clear" w:color="auto" w:fill="auto"/>
          </w:tcPr>
          <w:p w14:paraId="26AA26BA" w14:textId="77777777" w:rsidR="00463DA2" w:rsidRPr="006A35D8" w:rsidRDefault="00463DA2" w:rsidP="000A69BD">
            <w:pPr>
              <w:pStyle w:val="ECCTabletext"/>
              <w:jc w:val="left"/>
            </w:pPr>
            <w:r>
              <w:t>60 dBm</w:t>
            </w:r>
          </w:p>
        </w:tc>
        <w:tc>
          <w:tcPr>
            <w:tcW w:w="1294" w:type="dxa"/>
            <w:vMerge/>
          </w:tcPr>
          <w:p w14:paraId="689C6D8F" w14:textId="77777777" w:rsidR="00463DA2" w:rsidRDefault="00463DA2" w:rsidP="006A35D8">
            <w:pPr>
              <w:pStyle w:val="ECCTabletext"/>
            </w:pPr>
          </w:p>
        </w:tc>
      </w:tr>
      <w:tr w:rsidR="00463DA2" w:rsidRPr="00C53FB5" w14:paraId="19A0C1C7" w14:textId="77777777" w:rsidTr="00463DA2">
        <w:tc>
          <w:tcPr>
            <w:tcW w:w="1645" w:type="dxa"/>
            <w:vMerge/>
          </w:tcPr>
          <w:p w14:paraId="0025AF0A" w14:textId="77777777" w:rsidR="00463DA2" w:rsidRPr="009B5279" w:rsidRDefault="00463DA2" w:rsidP="006A35D8">
            <w:pPr>
              <w:pStyle w:val="ECCTabletext"/>
            </w:pPr>
          </w:p>
        </w:tc>
        <w:tc>
          <w:tcPr>
            <w:tcW w:w="1402" w:type="dxa"/>
          </w:tcPr>
          <w:p w14:paraId="40B8D2B2" w14:textId="77777777" w:rsidR="00463DA2" w:rsidRPr="006A35D8" w:rsidRDefault="00463DA2" w:rsidP="000A69BD">
            <w:pPr>
              <w:pStyle w:val="ECCTabletext"/>
              <w:jc w:val="left"/>
              <w:rPr>
                <w:highlight w:val="yellow"/>
              </w:rPr>
            </w:pPr>
            <w:r w:rsidRPr="009B5279">
              <w:t>137</w:t>
            </w:r>
            <w:r w:rsidR="00CF4994">
              <w:t>.5</w:t>
            </w:r>
            <w:r w:rsidRPr="009B5279">
              <w:t> GHz</w:t>
            </w:r>
          </w:p>
        </w:tc>
        <w:tc>
          <w:tcPr>
            <w:tcW w:w="1346" w:type="dxa"/>
            <w:shd w:val="clear" w:color="auto" w:fill="auto"/>
          </w:tcPr>
          <w:p w14:paraId="0D77DC1F" w14:textId="77777777" w:rsidR="00463DA2" w:rsidRPr="006A35D8" w:rsidRDefault="00463DA2" w:rsidP="000A69BD">
            <w:pPr>
              <w:pStyle w:val="ECCTabletext"/>
              <w:jc w:val="left"/>
            </w:pPr>
            <w:r>
              <w:t>100</w:t>
            </w:r>
            <w:r w:rsidRPr="00463DA2">
              <w:t> GHz</w:t>
            </w:r>
          </w:p>
        </w:tc>
        <w:tc>
          <w:tcPr>
            <w:tcW w:w="1104" w:type="dxa"/>
            <w:shd w:val="clear" w:color="auto" w:fill="auto"/>
          </w:tcPr>
          <w:p w14:paraId="4A4450E0" w14:textId="33E83AFB" w:rsidR="00463DA2" w:rsidRPr="006A35D8" w:rsidRDefault="00463DA2" w:rsidP="000A69BD">
            <w:pPr>
              <w:pStyle w:val="ECCTabletext"/>
              <w:jc w:val="left"/>
            </w:pPr>
            <w:r w:rsidRPr="00B9577F">
              <w:t>100</w:t>
            </w:r>
            <w:r w:rsidR="00F800A2">
              <w:t>%</w:t>
            </w:r>
          </w:p>
        </w:tc>
        <w:tc>
          <w:tcPr>
            <w:tcW w:w="1639" w:type="dxa"/>
            <w:shd w:val="clear" w:color="auto" w:fill="auto"/>
          </w:tcPr>
          <w:p w14:paraId="39DF8362" w14:textId="77777777" w:rsidR="00463DA2" w:rsidRPr="006A35D8" w:rsidRDefault="00463DA2" w:rsidP="000A69BD">
            <w:pPr>
              <w:pStyle w:val="ECCTabletext"/>
              <w:jc w:val="left"/>
              <w:rPr>
                <w:highlight w:val="yellow"/>
              </w:rPr>
            </w:pPr>
            <w:r>
              <w:t>-5 dBm/MHz</w:t>
            </w:r>
          </w:p>
        </w:tc>
        <w:tc>
          <w:tcPr>
            <w:tcW w:w="1199" w:type="dxa"/>
            <w:shd w:val="clear" w:color="auto" w:fill="auto"/>
          </w:tcPr>
          <w:p w14:paraId="4EC0108E" w14:textId="77777777" w:rsidR="00463DA2" w:rsidRPr="006A35D8" w:rsidRDefault="00463DA2" w:rsidP="000A69BD">
            <w:pPr>
              <w:pStyle w:val="ECCTabletext"/>
              <w:jc w:val="left"/>
            </w:pPr>
            <w:r>
              <w:t>45 dBm</w:t>
            </w:r>
          </w:p>
        </w:tc>
        <w:tc>
          <w:tcPr>
            <w:tcW w:w="1294" w:type="dxa"/>
            <w:vMerge/>
          </w:tcPr>
          <w:p w14:paraId="3947FC24" w14:textId="77777777" w:rsidR="00463DA2" w:rsidRDefault="00463DA2" w:rsidP="006A35D8">
            <w:pPr>
              <w:pStyle w:val="ECCTabletext"/>
            </w:pPr>
          </w:p>
        </w:tc>
      </w:tr>
      <w:tr w:rsidR="00463DA2" w:rsidRPr="00C53FB5" w14:paraId="1BCE26E2" w14:textId="77777777" w:rsidTr="00463DA2">
        <w:tc>
          <w:tcPr>
            <w:tcW w:w="1645" w:type="dxa"/>
          </w:tcPr>
          <w:p w14:paraId="4736BAD2" w14:textId="77777777" w:rsidR="00463DA2" w:rsidRPr="006A35D8" w:rsidRDefault="00463DA2" w:rsidP="000A69BD">
            <w:pPr>
              <w:pStyle w:val="ECCTabletext"/>
              <w:jc w:val="left"/>
            </w:pPr>
            <w:r w:rsidRPr="009B5279">
              <w:t>164 to 174</w:t>
            </w:r>
            <w:r w:rsidR="00CF4994">
              <w:t>.5</w:t>
            </w:r>
            <w:r w:rsidRPr="009B5279">
              <w:t> GHz</w:t>
            </w:r>
          </w:p>
        </w:tc>
        <w:tc>
          <w:tcPr>
            <w:tcW w:w="1402" w:type="dxa"/>
          </w:tcPr>
          <w:p w14:paraId="19A9E7BA" w14:textId="77777777" w:rsidR="00463DA2" w:rsidRPr="006A35D8" w:rsidRDefault="00463DA2" w:rsidP="000A69BD">
            <w:pPr>
              <w:pStyle w:val="ECCTabletext"/>
              <w:jc w:val="left"/>
              <w:rPr>
                <w:highlight w:val="yellow"/>
              </w:rPr>
            </w:pPr>
            <w:r w:rsidRPr="009B5279">
              <w:t>169</w:t>
            </w:r>
            <w:r w:rsidR="00CF4994">
              <w:t>.2</w:t>
            </w:r>
            <w:r w:rsidRPr="009B5279">
              <w:t>5 GHz</w:t>
            </w:r>
          </w:p>
        </w:tc>
        <w:tc>
          <w:tcPr>
            <w:tcW w:w="1346" w:type="dxa"/>
            <w:shd w:val="clear" w:color="auto" w:fill="auto"/>
          </w:tcPr>
          <w:p w14:paraId="262B9174" w14:textId="77777777" w:rsidR="00463DA2" w:rsidRPr="006A35D8" w:rsidRDefault="00463DA2" w:rsidP="000A69BD">
            <w:pPr>
              <w:pStyle w:val="ECCTabletext"/>
              <w:jc w:val="left"/>
            </w:pPr>
            <w:r>
              <w:t>100</w:t>
            </w:r>
            <w:r w:rsidRPr="00463DA2">
              <w:t> GHz</w:t>
            </w:r>
          </w:p>
        </w:tc>
        <w:tc>
          <w:tcPr>
            <w:tcW w:w="1104" w:type="dxa"/>
            <w:shd w:val="clear" w:color="auto" w:fill="auto"/>
          </w:tcPr>
          <w:p w14:paraId="7077E288" w14:textId="6F2B86C6" w:rsidR="00463DA2" w:rsidRPr="006A35D8" w:rsidRDefault="00463DA2" w:rsidP="000A69BD">
            <w:pPr>
              <w:pStyle w:val="ECCTabletext"/>
              <w:jc w:val="left"/>
            </w:pPr>
            <w:r w:rsidRPr="00B9577F">
              <w:t>100</w:t>
            </w:r>
            <w:r w:rsidR="00F800A2">
              <w:t>%</w:t>
            </w:r>
          </w:p>
        </w:tc>
        <w:tc>
          <w:tcPr>
            <w:tcW w:w="1639" w:type="dxa"/>
            <w:shd w:val="clear" w:color="auto" w:fill="auto"/>
          </w:tcPr>
          <w:p w14:paraId="423A81FA" w14:textId="77777777" w:rsidR="00463DA2" w:rsidRPr="006A35D8" w:rsidRDefault="00463DA2" w:rsidP="000A69BD">
            <w:pPr>
              <w:pStyle w:val="ECCTabletext"/>
              <w:jc w:val="left"/>
              <w:rPr>
                <w:highlight w:val="yellow"/>
              </w:rPr>
            </w:pPr>
            <w:r>
              <w:t>-15 dBm/MHz</w:t>
            </w:r>
          </w:p>
        </w:tc>
        <w:tc>
          <w:tcPr>
            <w:tcW w:w="1199" w:type="dxa"/>
            <w:shd w:val="clear" w:color="auto" w:fill="auto"/>
          </w:tcPr>
          <w:p w14:paraId="5999365A" w14:textId="77777777" w:rsidR="00463DA2" w:rsidRPr="006A35D8" w:rsidRDefault="00463DA2" w:rsidP="000A69BD">
            <w:pPr>
              <w:pStyle w:val="ECCTabletext"/>
              <w:jc w:val="left"/>
            </w:pPr>
            <w:r>
              <w:t>35 dBm</w:t>
            </w:r>
          </w:p>
        </w:tc>
        <w:tc>
          <w:tcPr>
            <w:tcW w:w="1294" w:type="dxa"/>
            <w:vMerge/>
          </w:tcPr>
          <w:p w14:paraId="65C6EF10" w14:textId="77777777" w:rsidR="00463DA2" w:rsidRDefault="00463DA2" w:rsidP="006A35D8">
            <w:pPr>
              <w:pStyle w:val="ECCTabletext"/>
            </w:pPr>
          </w:p>
        </w:tc>
      </w:tr>
      <w:tr w:rsidR="00463DA2" w:rsidRPr="00C53FB5" w14:paraId="316AC4DE" w14:textId="77777777" w:rsidTr="00463DA2">
        <w:tc>
          <w:tcPr>
            <w:tcW w:w="1645" w:type="dxa"/>
          </w:tcPr>
          <w:p w14:paraId="4EB67F6C" w14:textId="77777777" w:rsidR="00463DA2" w:rsidRPr="006A35D8" w:rsidRDefault="00463DA2" w:rsidP="000A69BD">
            <w:pPr>
              <w:pStyle w:val="ECCTabletext"/>
              <w:jc w:val="left"/>
            </w:pPr>
            <w:r w:rsidRPr="009B5279">
              <w:t>190 to 231</w:t>
            </w:r>
            <w:r w:rsidR="00CF4994">
              <w:t>.5</w:t>
            </w:r>
            <w:r w:rsidRPr="009B5279">
              <w:t> GHz</w:t>
            </w:r>
          </w:p>
        </w:tc>
        <w:tc>
          <w:tcPr>
            <w:tcW w:w="1402" w:type="dxa"/>
          </w:tcPr>
          <w:p w14:paraId="4A432B79" w14:textId="77777777" w:rsidR="00463DA2" w:rsidRPr="006A35D8" w:rsidRDefault="00463DA2" w:rsidP="000A69BD">
            <w:pPr>
              <w:pStyle w:val="ECCTabletext"/>
              <w:jc w:val="left"/>
              <w:rPr>
                <w:highlight w:val="yellow"/>
              </w:rPr>
            </w:pPr>
            <w:r w:rsidRPr="009B5279">
              <w:t>210</w:t>
            </w:r>
            <w:r w:rsidR="00CF4994">
              <w:t>.7</w:t>
            </w:r>
            <w:r w:rsidRPr="009B5279">
              <w:t>5 GHz</w:t>
            </w:r>
          </w:p>
        </w:tc>
        <w:tc>
          <w:tcPr>
            <w:tcW w:w="1346" w:type="dxa"/>
            <w:shd w:val="clear" w:color="auto" w:fill="auto"/>
          </w:tcPr>
          <w:p w14:paraId="0DE7A79D" w14:textId="77777777" w:rsidR="00463DA2" w:rsidRPr="006A35D8" w:rsidRDefault="00463DA2" w:rsidP="000A69BD">
            <w:pPr>
              <w:pStyle w:val="ECCTabletext"/>
              <w:jc w:val="left"/>
            </w:pPr>
            <w:r>
              <w:t>100</w:t>
            </w:r>
            <w:r w:rsidRPr="00463DA2">
              <w:t> GHz</w:t>
            </w:r>
          </w:p>
        </w:tc>
        <w:tc>
          <w:tcPr>
            <w:tcW w:w="1104" w:type="dxa"/>
            <w:shd w:val="clear" w:color="auto" w:fill="auto"/>
          </w:tcPr>
          <w:p w14:paraId="0B15DFAC" w14:textId="46D39C4D" w:rsidR="00463DA2" w:rsidRPr="006A35D8" w:rsidRDefault="00463DA2" w:rsidP="000A69BD">
            <w:pPr>
              <w:pStyle w:val="ECCTabletext"/>
              <w:jc w:val="left"/>
            </w:pPr>
            <w:r w:rsidRPr="00B9577F">
              <w:t>100</w:t>
            </w:r>
            <w:r w:rsidR="00F800A2">
              <w:t>%</w:t>
            </w:r>
          </w:p>
        </w:tc>
        <w:tc>
          <w:tcPr>
            <w:tcW w:w="1639" w:type="dxa"/>
            <w:shd w:val="clear" w:color="auto" w:fill="auto"/>
          </w:tcPr>
          <w:p w14:paraId="61326E59" w14:textId="77777777" w:rsidR="00463DA2" w:rsidRPr="006A35D8" w:rsidRDefault="00463DA2" w:rsidP="000A69BD">
            <w:pPr>
              <w:pStyle w:val="ECCTabletext"/>
              <w:jc w:val="left"/>
              <w:rPr>
                <w:highlight w:val="yellow"/>
              </w:rPr>
            </w:pPr>
            <w:r>
              <w:t>-15 dBm/MHz</w:t>
            </w:r>
          </w:p>
        </w:tc>
        <w:tc>
          <w:tcPr>
            <w:tcW w:w="1199" w:type="dxa"/>
            <w:shd w:val="clear" w:color="auto" w:fill="auto"/>
          </w:tcPr>
          <w:p w14:paraId="66C03441" w14:textId="77777777" w:rsidR="00463DA2" w:rsidRPr="006A35D8" w:rsidRDefault="00463DA2" w:rsidP="000A69BD">
            <w:pPr>
              <w:pStyle w:val="ECCTabletext"/>
              <w:jc w:val="left"/>
            </w:pPr>
            <w:r>
              <w:t>35 dBm</w:t>
            </w:r>
          </w:p>
        </w:tc>
        <w:tc>
          <w:tcPr>
            <w:tcW w:w="1294" w:type="dxa"/>
            <w:vMerge/>
          </w:tcPr>
          <w:p w14:paraId="76A19F57" w14:textId="77777777" w:rsidR="00463DA2" w:rsidRDefault="00463DA2" w:rsidP="006A35D8">
            <w:pPr>
              <w:pStyle w:val="ECCTabletext"/>
            </w:pPr>
          </w:p>
        </w:tc>
      </w:tr>
      <w:tr w:rsidR="00463DA2" w:rsidRPr="00C53FB5" w14:paraId="1893C10A" w14:textId="77777777" w:rsidTr="00463DA2">
        <w:tc>
          <w:tcPr>
            <w:tcW w:w="1645" w:type="dxa"/>
          </w:tcPr>
          <w:p w14:paraId="680F40A7" w14:textId="77777777" w:rsidR="00463DA2" w:rsidRPr="006A35D8" w:rsidRDefault="00463DA2" w:rsidP="000A69BD">
            <w:pPr>
              <w:pStyle w:val="ECCTabletext"/>
              <w:jc w:val="left"/>
            </w:pPr>
            <w:r w:rsidRPr="009B5279">
              <w:t>235 to 238 GHz</w:t>
            </w:r>
          </w:p>
        </w:tc>
        <w:tc>
          <w:tcPr>
            <w:tcW w:w="1402" w:type="dxa"/>
          </w:tcPr>
          <w:p w14:paraId="2C3035DD" w14:textId="77777777" w:rsidR="00463DA2" w:rsidRPr="006A35D8" w:rsidRDefault="00463DA2" w:rsidP="000A69BD">
            <w:pPr>
              <w:pStyle w:val="ECCTabletext"/>
              <w:jc w:val="left"/>
              <w:rPr>
                <w:highlight w:val="yellow"/>
              </w:rPr>
            </w:pPr>
            <w:r w:rsidRPr="009B5279">
              <w:t>236</w:t>
            </w:r>
            <w:r w:rsidR="00CF4994">
              <w:t>.5</w:t>
            </w:r>
            <w:r w:rsidRPr="009B5279">
              <w:t> GHz</w:t>
            </w:r>
          </w:p>
        </w:tc>
        <w:tc>
          <w:tcPr>
            <w:tcW w:w="1346" w:type="dxa"/>
            <w:shd w:val="clear" w:color="auto" w:fill="auto"/>
          </w:tcPr>
          <w:p w14:paraId="508F280A" w14:textId="77777777" w:rsidR="00463DA2" w:rsidRPr="006A35D8" w:rsidRDefault="00463DA2" w:rsidP="000A69BD">
            <w:pPr>
              <w:pStyle w:val="ECCTabletext"/>
              <w:jc w:val="left"/>
            </w:pPr>
            <w:r>
              <w:t>100</w:t>
            </w:r>
            <w:r w:rsidRPr="00463DA2">
              <w:t> GHz</w:t>
            </w:r>
          </w:p>
        </w:tc>
        <w:tc>
          <w:tcPr>
            <w:tcW w:w="1104" w:type="dxa"/>
            <w:shd w:val="clear" w:color="auto" w:fill="auto"/>
          </w:tcPr>
          <w:p w14:paraId="1EFFEFC9" w14:textId="3F2019ED" w:rsidR="00463DA2" w:rsidRPr="006A35D8" w:rsidRDefault="00463DA2" w:rsidP="000A69BD">
            <w:pPr>
              <w:pStyle w:val="ECCTabletext"/>
              <w:jc w:val="left"/>
            </w:pPr>
            <w:r w:rsidRPr="00B9577F">
              <w:t>100</w:t>
            </w:r>
            <w:r w:rsidR="00F800A2">
              <w:t>%</w:t>
            </w:r>
          </w:p>
        </w:tc>
        <w:tc>
          <w:tcPr>
            <w:tcW w:w="1639" w:type="dxa"/>
            <w:shd w:val="clear" w:color="auto" w:fill="auto"/>
          </w:tcPr>
          <w:p w14:paraId="5B9EB7ED" w14:textId="77777777" w:rsidR="00463DA2" w:rsidRPr="006A35D8" w:rsidRDefault="00463DA2" w:rsidP="000A69BD">
            <w:pPr>
              <w:pStyle w:val="ECCTabletext"/>
              <w:jc w:val="left"/>
              <w:rPr>
                <w:highlight w:val="yellow"/>
              </w:rPr>
            </w:pPr>
            <w:r>
              <w:t>-5 dBm/MHz</w:t>
            </w:r>
          </w:p>
        </w:tc>
        <w:tc>
          <w:tcPr>
            <w:tcW w:w="1199" w:type="dxa"/>
            <w:shd w:val="clear" w:color="auto" w:fill="auto"/>
          </w:tcPr>
          <w:p w14:paraId="7302EAFE" w14:textId="77777777" w:rsidR="00463DA2" w:rsidRPr="006A35D8" w:rsidRDefault="00463DA2" w:rsidP="000A69BD">
            <w:pPr>
              <w:pStyle w:val="ECCTabletext"/>
              <w:jc w:val="left"/>
            </w:pPr>
            <w:r>
              <w:t>45 dBm</w:t>
            </w:r>
          </w:p>
        </w:tc>
        <w:tc>
          <w:tcPr>
            <w:tcW w:w="1294" w:type="dxa"/>
            <w:vMerge/>
          </w:tcPr>
          <w:p w14:paraId="51FE01B1" w14:textId="77777777" w:rsidR="00463DA2" w:rsidRDefault="00463DA2" w:rsidP="006A35D8">
            <w:pPr>
              <w:pStyle w:val="ECCTabletext"/>
            </w:pPr>
          </w:p>
        </w:tc>
      </w:tr>
      <w:tr w:rsidR="00463DA2" w:rsidRPr="00C53FB5" w14:paraId="6D413007" w14:textId="77777777" w:rsidTr="00463DA2">
        <w:tc>
          <w:tcPr>
            <w:tcW w:w="1645" w:type="dxa"/>
          </w:tcPr>
          <w:p w14:paraId="77615906" w14:textId="77777777" w:rsidR="00463DA2" w:rsidRPr="006A35D8" w:rsidRDefault="00463DA2" w:rsidP="000A69BD">
            <w:pPr>
              <w:pStyle w:val="ECCTabletext"/>
              <w:jc w:val="left"/>
            </w:pPr>
            <w:r w:rsidRPr="009B5279">
              <w:t>241 to 275 GHz</w:t>
            </w:r>
          </w:p>
        </w:tc>
        <w:tc>
          <w:tcPr>
            <w:tcW w:w="1402" w:type="dxa"/>
          </w:tcPr>
          <w:p w14:paraId="6CA12474" w14:textId="77777777" w:rsidR="00463DA2" w:rsidRPr="006A35D8" w:rsidRDefault="00463DA2" w:rsidP="000A69BD">
            <w:pPr>
              <w:pStyle w:val="ECCTabletext"/>
              <w:jc w:val="left"/>
              <w:rPr>
                <w:highlight w:val="yellow"/>
              </w:rPr>
            </w:pPr>
            <w:r w:rsidRPr="009B5279">
              <w:t>245</w:t>
            </w:r>
            <w:r w:rsidR="00CF4994">
              <w:t>.5</w:t>
            </w:r>
            <w:r w:rsidRPr="009B5279">
              <w:t> GHz</w:t>
            </w:r>
          </w:p>
        </w:tc>
        <w:tc>
          <w:tcPr>
            <w:tcW w:w="1346" w:type="dxa"/>
            <w:shd w:val="clear" w:color="auto" w:fill="auto"/>
          </w:tcPr>
          <w:p w14:paraId="7D0057EB" w14:textId="77777777" w:rsidR="00463DA2" w:rsidRPr="006A35D8" w:rsidRDefault="00463DA2" w:rsidP="000A69BD">
            <w:pPr>
              <w:pStyle w:val="ECCTabletext"/>
              <w:jc w:val="left"/>
            </w:pPr>
            <w:r>
              <w:t>100</w:t>
            </w:r>
            <w:r w:rsidRPr="00463DA2">
              <w:t> GHz</w:t>
            </w:r>
          </w:p>
        </w:tc>
        <w:tc>
          <w:tcPr>
            <w:tcW w:w="1104" w:type="dxa"/>
            <w:shd w:val="clear" w:color="auto" w:fill="auto"/>
          </w:tcPr>
          <w:p w14:paraId="1139D43A" w14:textId="4D8F7EC6" w:rsidR="00463DA2" w:rsidRPr="006A35D8" w:rsidRDefault="00463DA2" w:rsidP="000A69BD">
            <w:pPr>
              <w:pStyle w:val="ECCTabletext"/>
              <w:jc w:val="left"/>
            </w:pPr>
            <w:r w:rsidRPr="00B9577F">
              <w:t>100</w:t>
            </w:r>
            <w:r w:rsidR="00F800A2">
              <w:t>%</w:t>
            </w:r>
          </w:p>
        </w:tc>
        <w:tc>
          <w:tcPr>
            <w:tcW w:w="1639" w:type="dxa"/>
            <w:shd w:val="clear" w:color="auto" w:fill="auto"/>
          </w:tcPr>
          <w:p w14:paraId="728F604D" w14:textId="77777777" w:rsidR="00463DA2" w:rsidRPr="006A35D8" w:rsidRDefault="00463DA2" w:rsidP="000A69BD">
            <w:pPr>
              <w:pStyle w:val="ECCTabletext"/>
              <w:jc w:val="left"/>
              <w:rPr>
                <w:highlight w:val="yellow"/>
              </w:rPr>
            </w:pPr>
            <w:r>
              <w:t>-5 dBm/MHz</w:t>
            </w:r>
          </w:p>
        </w:tc>
        <w:tc>
          <w:tcPr>
            <w:tcW w:w="1199" w:type="dxa"/>
            <w:shd w:val="clear" w:color="auto" w:fill="auto"/>
          </w:tcPr>
          <w:p w14:paraId="016E62C3" w14:textId="77777777" w:rsidR="00463DA2" w:rsidRPr="006A35D8" w:rsidRDefault="00463DA2" w:rsidP="000A69BD">
            <w:pPr>
              <w:pStyle w:val="ECCTabletext"/>
              <w:jc w:val="left"/>
            </w:pPr>
            <w:r>
              <w:t>45 dBm</w:t>
            </w:r>
          </w:p>
        </w:tc>
        <w:tc>
          <w:tcPr>
            <w:tcW w:w="1294" w:type="dxa"/>
            <w:vMerge/>
          </w:tcPr>
          <w:p w14:paraId="02CF7ED4" w14:textId="77777777" w:rsidR="00463DA2" w:rsidRDefault="00463DA2" w:rsidP="006A35D8">
            <w:pPr>
              <w:pStyle w:val="ECCTabletext"/>
            </w:pPr>
          </w:p>
        </w:tc>
      </w:tr>
      <w:tr w:rsidR="00643FF4" w:rsidRPr="00C53FB5" w14:paraId="3DD6F417" w14:textId="77777777" w:rsidTr="00200700">
        <w:tc>
          <w:tcPr>
            <w:tcW w:w="9629" w:type="dxa"/>
            <w:gridSpan w:val="7"/>
          </w:tcPr>
          <w:p w14:paraId="78DC7DE7" w14:textId="77777777" w:rsidR="00643FF4" w:rsidRDefault="00643FF4" w:rsidP="00464AE0">
            <w:pPr>
              <w:pStyle w:val="ECCTablenote"/>
            </w:pPr>
            <w:r>
              <w:t>Note 1: Assumed out-of-band attenuation of the RDI-S-signal in adjacent bands allocated to RAS.</w:t>
            </w:r>
          </w:p>
        </w:tc>
      </w:tr>
    </w:tbl>
    <w:p w14:paraId="7A5EE2DB" w14:textId="1CBB9298" w:rsidR="006A35D8" w:rsidRPr="0061104F" w:rsidRDefault="0029762D" w:rsidP="006A35D8">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F49F9">
        <w:rPr>
          <w:noProof/>
        </w:rPr>
        <w:t>62</w:t>
      </w:r>
      <w:r w:rsidRPr="0091705E">
        <w:fldChar w:fldCharType="end"/>
      </w:r>
      <w:r w:rsidR="006A35D8" w:rsidRPr="006A35D8">
        <w:t>: Technical parameters of RDI-S used for the conducted studies in RAS frequency allocations inside RR article 5.340 protected bands</w:t>
      </w:r>
    </w:p>
    <w:tbl>
      <w:tblPr>
        <w:tblStyle w:val="ECCTable-redheader"/>
        <w:tblW w:w="0" w:type="auto"/>
        <w:tblInd w:w="0" w:type="dxa"/>
        <w:tblLook w:val="04A0" w:firstRow="1" w:lastRow="0" w:firstColumn="1" w:lastColumn="0" w:noHBand="0" w:noVBand="1"/>
      </w:tblPr>
      <w:tblGrid>
        <w:gridCol w:w="1680"/>
        <w:gridCol w:w="1432"/>
        <w:gridCol w:w="1283"/>
        <w:gridCol w:w="987"/>
        <w:gridCol w:w="1799"/>
        <w:gridCol w:w="1154"/>
        <w:gridCol w:w="1294"/>
      </w:tblGrid>
      <w:tr w:rsidR="00C943B8" w:rsidRPr="00566944" w14:paraId="0EC9D5D3" w14:textId="77777777" w:rsidTr="00463DA2">
        <w:trPr>
          <w:cnfStyle w:val="100000000000" w:firstRow="1" w:lastRow="0" w:firstColumn="0" w:lastColumn="0" w:oddVBand="0" w:evenVBand="0" w:oddHBand="0" w:evenHBand="0" w:firstRowFirstColumn="0" w:firstRowLastColumn="0" w:lastRowFirstColumn="0" w:lastRowLastColumn="0"/>
        </w:trPr>
        <w:tc>
          <w:tcPr>
            <w:tcW w:w="1680" w:type="dxa"/>
          </w:tcPr>
          <w:p w14:paraId="2531D6DC" w14:textId="77777777" w:rsidR="00C943B8" w:rsidRPr="00C943B8" w:rsidRDefault="00C943B8" w:rsidP="00876039">
            <w:pPr>
              <w:pStyle w:val="ECCTableHeaderwhitefont"/>
            </w:pPr>
            <w:r w:rsidRPr="00C943B8">
              <w:t>Investigated frequency range</w:t>
            </w:r>
          </w:p>
        </w:tc>
        <w:tc>
          <w:tcPr>
            <w:tcW w:w="1432" w:type="dxa"/>
          </w:tcPr>
          <w:p w14:paraId="040C6D99" w14:textId="77777777" w:rsidR="00C943B8" w:rsidRPr="00C943B8" w:rsidRDefault="00C943B8" w:rsidP="000A69BD">
            <w:pPr>
              <w:pStyle w:val="ECCTableHeaderwhitefont"/>
            </w:pPr>
            <w:r w:rsidRPr="00C943B8">
              <w:t>Investigated centre frequency</w:t>
            </w:r>
          </w:p>
        </w:tc>
        <w:tc>
          <w:tcPr>
            <w:tcW w:w="1283" w:type="dxa"/>
          </w:tcPr>
          <w:p w14:paraId="6BD5387B" w14:textId="77777777" w:rsidR="00C943B8" w:rsidRPr="00C943B8" w:rsidRDefault="00C943B8" w:rsidP="000A69BD">
            <w:pPr>
              <w:pStyle w:val="ECCTableHeaderwhitefont"/>
            </w:pPr>
            <w:r w:rsidRPr="00C943B8">
              <w:t>Modulation bandwidth</w:t>
            </w:r>
          </w:p>
        </w:tc>
        <w:tc>
          <w:tcPr>
            <w:tcW w:w="987" w:type="dxa"/>
          </w:tcPr>
          <w:p w14:paraId="6DE4C5D6" w14:textId="77777777" w:rsidR="00C943B8" w:rsidRPr="00C943B8" w:rsidRDefault="00C943B8" w:rsidP="000A69BD">
            <w:pPr>
              <w:pStyle w:val="ECCTableHeaderwhitefont"/>
            </w:pPr>
            <w:r w:rsidRPr="00C943B8">
              <w:t>Duty cycle</w:t>
            </w:r>
          </w:p>
        </w:tc>
        <w:tc>
          <w:tcPr>
            <w:tcW w:w="1799" w:type="dxa"/>
          </w:tcPr>
          <w:p w14:paraId="7C868605" w14:textId="77777777" w:rsidR="00C943B8" w:rsidRPr="00C943B8" w:rsidRDefault="00C943B8" w:rsidP="000A69BD">
            <w:pPr>
              <w:pStyle w:val="ECCTableHeaderwhitefont"/>
            </w:pPr>
            <w:r w:rsidRPr="00C943B8">
              <w:t xml:space="preserve">Mean e.i.r.p. spectral density </w:t>
            </w:r>
          </w:p>
        </w:tc>
        <w:tc>
          <w:tcPr>
            <w:tcW w:w="1154" w:type="dxa"/>
          </w:tcPr>
          <w:p w14:paraId="4FD06194" w14:textId="77777777" w:rsidR="00C943B8" w:rsidRPr="00C943B8" w:rsidRDefault="00C943B8" w:rsidP="000A69BD">
            <w:pPr>
              <w:pStyle w:val="ECCTableHeaderwhitefont"/>
            </w:pPr>
            <w:r w:rsidRPr="00C943B8">
              <w:t>Peak e.i.r.p.</w:t>
            </w:r>
          </w:p>
        </w:tc>
        <w:tc>
          <w:tcPr>
            <w:tcW w:w="1294" w:type="dxa"/>
          </w:tcPr>
          <w:p w14:paraId="083C5D09" w14:textId="77777777" w:rsidR="00C943B8" w:rsidRPr="00C943B8" w:rsidRDefault="00C943B8" w:rsidP="000A69BD">
            <w:pPr>
              <w:pStyle w:val="ECCTableHeaderwhitefont"/>
            </w:pPr>
            <w:r w:rsidRPr="00C943B8">
              <w:t>OOB attenuation (Note 1)</w:t>
            </w:r>
          </w:p>
        </w:tc>
      </w:tr>
      <w:tr w:rsidR="00463DA2" w:rsidRPr="00C53FB5" w14:paraId="15C2CF75" w14:textId="77777777" w:rsidTr="00463DA2">
        <w:tc>
          <w:tcPr>
            <w:tcW w:w="1680" w:type="dxa"/>
          </w:tcPr>
          <w:p w14:paraId="701CB1ED" w14:textId="77777777" w:rsidR="00463DA2" w:rsidRPr="006A35D8" w:rsidRDefault="00463DA2" w:rsidP="000A69BD">
            <w:pPr>
              <w:pStyle w:val="ECCTabletext"/>
              <w:jc w:val="left"/>
            </w:pPr>
            <w:r w:rsidRPr="00C53FB5">
              <w:t>114</w:t>
            </w:r>
            <w:r w:rsidR="00CF4994">
              <w:t>.2</w:t>
            </w:r>
            <w:r w:rsidRPr="00C53FB5">
              <w:t>5 to 116 GHz</w:t>
            </w:r>
          </w:p>
        </w:tc>
        <w:tc>
          <w:tcPr>
            <w:tcW w:w="1432" w:type="dxa"/>
          </w:tcPr>
          <w:p w14:paraId="17E2CCBB" w14:textId="77777777" w:rsidR="00463DA2" w:rsidRPr="006A35D8" w:rsidRDefault="00463DA2" w:rsidP="000A69BD">
            <w:pPr>
              <w:pStyle w:val="ECCTabletext"/>
              <w:jc w:val="left"/>
              <w:rPr>
                <w:highlight w:val="yellow"/>
              </w:rPr>
            </w:pPr>
            <w:r w:rsidRPr="00C53FB5">
              <w:t>115</w:t>
            </w:r>
            <w:r w:rsidR="00CF4994">
              <w:t>.1</w:t>
            </w:r>
            <w:r w:rsidRPr="00C53FB5">
              <w:t>25 GHz</w:t>
            </w:r>
          </w:p>
        </w:tc>
        <w:tc>
          <w:tcPr>
            <w:tcW w:w="1283" w:type="dxa"/>
            <w:shd w:val="clear" w:color="auto" w:fill="auto"/>
          </w:tcPr>
          <w:p w14:paraId="72D4F0AE" w14:textId="77777777" w:rsidR="00463DA2" w:rsidRPr="006A35D8" w:rsidRDefault="00463DA2" w:rsidP="000A69BD">
            <w:pPr>
              <w:pStyle w:val="ECCTabletext"/>
              <w:jc w:val="left"/>
            </w:pPr>
            <w:r>
              <w:t>100</w:t>
            </w:r>
            <w:r w:rsidRPr="00106A53">
              <w:t> GHz</w:t>
            </w:r>
          </w:p>
        </w:tc>
        <w:tc>
          <w:tcPr>
            <w:tcW w:w="987" w:type="dxa"/>
            <w:shd w:val="clear" w:color="auto" w:fill="auto"/>
          </w:tcPr>
          <w:p w14:paraId="6E223FBD" w14:textId="14FF5E6E"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32F431AB"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5D223846" w14:textId="77777777" w:rsidR="00463DA2" w:rsidRPr="006A35D8" w:rsidRDefault="00463DA2" w:rsidP="000A69BD">
            <w:pPr>
              <w:pStyle w:val="ECCTabletext"/>
              <w:jc w:val="left"/>
            </w:pPr>
            <w:r>
              <w:t>35</w:t>
            </w:r>
            <w:r w:rsidRPr="006A35D8">
              <w:t> dBm</w:t>
            </w:r>
          </w:p>
        </w:tc>
        <w:tc>
          <w:tcPr>
            <w:tcW w:w="1294" w:type="dxa"/>
            <w:vMerge w:val="restart"/>
          </w:tcPr>
          <w:p w14:paraId="04D5B664" w14:textId="77777777" w:rsidR="00463DA2" w:rsidRPr="00280FF9" w:rsidRDefault="00463DA2" w:rsidP="000A69BD">
            <w:pPr>
              <w:pStyle w:val="ECCTabletext"/>
              <w:jc w:val="left"/>
            </w:pPr>
            <w:r>
              <w:t>10 dB</w:t>
            </w:r>
          </w:p>
        </w:tc>
      </w:tr>
      <w:tr w:rsidR="00463DA2" w:rsidRPr="00C53FB5" w14:paraId="5A340570" w14:textId="77777777" w:rsidTr="00463DA2">
        <w:tc>
          <w:tcPr>
            <w:tcW w:w="1680" w:type="dxa"/>
          </w:tcPr>
          <w:p w14:paraId="6D9D66A9" w14:textId="77777777" w:rsidR="00463DA2" w:rsidRPr="006A35D8" w:rsidRDefault="00463DA2" w:rsidP="000A69BD">
            <w:pPr>
              <w:pStyle w:val="ECCTabletext"/>
              <w:jc w:val="left"/>
            </w:pPr>
            <w:r w:rsidRPr="00C53FB5">
              <w:t>148</w:t>
            </w:r>
            <w:r w:rsidR="00CF4994">
              <w:t>.5</w:t>
            </w:r>
            <w:r w:rsidRPr="00C53FB5">
              <w:t xml:space="preserve"> to 151</w:t>
            </w:r>
            <w:r w:rsidR="00CF4994">
              <w:t>.5</w:t>
            </w:r>
            <w:r w:rsidRPr="00C53FB5">
              <w:t> GHz</w:t>
            </w:r>
          </w:p>
        </w:tc>
        <w:tc>
          <w:tcPr>
            <w:tcW w:w="1432" w:type="dxa"/>
          </w:tcPr>
          <w:p w14:paraId="4A785336" w14:textId="77777777" w:rsidR="00463DA2" w:rsidRPr="006A35D8" w:rsidRDefault="00463DA2" w:rsidP="000A69BD">
            <w:pPr>
              <w:pStyle w:val="ECCTabletext"/>
              <w:jc w:val="left"/>
              <w:rPr>
                <w:highlight w:val="yellow"/>
              </w:rPr>
            </w:pPr>
            <w:r w:rsidRPr="00C53FB5">
              <w:t>150 GHz</w:t>
            </w:r>
          </w:p>
        </w:tc>
        <w:tc>
          <w:tcPr>
            <w:tcW w:w="1283" w:type="dxa"/>
            <w:shd w:val="clear" w:color="auto" w:fill="auto"/>
          </w:tcPr>
          <w:p w14:paraId="051D152A" w14:textId="77777777" w:rsidR="00463DA2" w:rsidRPr="006A35D8" w:rsidRDefault="00463DA2" w:rsidP="000A69BD">
            <w:pPr>
              <w:pStyle w:val="ECCTabletext"/>
              <w:jc w:val="left"/>
            </w:pPr>
            <w:r>
              <w:t>100</w:t>
            </w:r>
            <w:r w:rsidRPr="00106A53">
              <w:t> GHz</w:t>
            </w:r>
          </w:p>
        </w:tc>
        <w:tc>
          <w:tcPr>
            <w:tcW w:w="987" w:type="dxa"/>
            <w:shd w:val="clear" w:color="auto" w:fill="auto"/>
          </w:tcPr>
          <w:p w14:paraId="47C197DE" w14:textId="23D6560A"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68EBEE8C"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3E2B54F7" w14:textId="77777777" w:rsidR="00463DA2" w:rsidRPr="006A35D8" w:rsidRDefault="00463DA2" w:rsidP="000A69BD">
            <w:pPr>
              <w:pStyle w:val="ECCTabletext"/>
              <w:jc w:val="left"/>
            </w:pPr>
            <w:r w:rsidRPr="00280FF9">
              <w:t>3</w:t>
            </w:r>
            <w:r>
              <w:t>5</w:t>
            </w:r>
            <w:r w:rsidRPr="006A35D8">
              <w:t> dBm</w:t>
            </w:r>
          </w:p>
        </w:tc>
        <w:tc>
          <w:tcPr>
            <w:tcW w:w="1294" w:type="dxa"/>
            <w:vMerge/>
          </w:tcPr>
          <w:p w14:paraId="1F6754FC" w14:textId="77777777" w:rsidR="00463DA2" w:rsidRPr="00280FF9" w:rsidRDefault="00463DA2" w:rsidP="006A35D8">
            <w:pPr>
              <w:pStyle w:val="ECCTabletext"/>
            </w:pPr>
          </w:p>
        </w:tc>
      </w:tr>
      <w:tr w:rsidR="00463DA2" w:rsidRPr="00C53FB5" w14:paraId="3E0F7919" w14:textId="77777777" w:rsidTr="00463DA2">
        <w:tc>
          <w:tcPr>
            <w:tcW w:w="1680" w:type="dxa"/>
          </w:tcPr>
          <w:p w14:paraId="18C174E1" w14:textId="77777777" w:rsidR="00463DA2" w:rsidRPr="006A35D8" w:rsidRDefault="00463DA2" w:rsidP="000A69BD">
            <w:pPr>
              <w:pStyle w:val="ECCTabletext"/>
              <w:jc w:val="left"/>
            </w:pPr>
            <w:r w:rsidRPr="00C53FB5">
              <w:t>164 to 167</w:t>
            </w:r>
            <w:r w:rsidRPr="006A35D8">
              <w:t> GHz</w:t>
            </w:r>
          </w:p>
        </w:tc>
        <w:tc>
          <w:tcPr>
            <w:tcW w:w="1432" w:type="dxa"/>
          </w:tcPr>
          <w:p w14:paraId="50AD9163" w14:textId="77777777" w:rsidR="00463DA2" w:rsidRPr="006A35D8" w:rsidRDefault="00463DA2" w:rsidP="000A69BD">
            <w:pPr>
              <w:pStyle w:val="ECCTabletext"/>
              <w:jc w:val="left"/>
              <w:rPr>
                <w:highlight w:val="yellow"/>
              </w:rPr>
            </w:pPr>
            <w:r w:rsidRPr="00C53FB5">
              <w:t>165</w:t>
            </w:r>
            <w:r w:rsidR="00CF4994">
              <w:t>.5</w:t>
            </w:r>
            <w:r w:rsidRPr="00C53FB5">
              <w:t> GHz</w:t>
            </w:r>
          </w:p>
        </w:tc>
        <w:tc>
          <w:tcPr>
            <w:tcW w:w="1283" w:type="dxa"/>
            <w:shd w:val="clear" w:color="auto" w:fill="auto"/>
          </w:tcPr>
          <w:p w14:paraId="2DAF5EE7" w14:textId="77777777" w:rsidR="00463DA2" w:rsidRPr="006A35D8" w:rsidRDefault="00463DA2" w:rsidP="000A69BD">
            <w:pPr>
              <w:pStyle w:val="ECCTabletext"/>
              <w:jc w:val="left"/>
            </w:pPr>
            <w:r>
              <w:t>100</w:t>
            </w:r>
            <w:r w:rsidRPr="00106A53">
              <w:t> GHz</w:t>
            </w:r>
          </w:p>
        </w:tc>
        <w:tc>
          <w:tcPr>
            <w:tcW w:w="987" w:type="dxa"/>
            <w:shd w:val="clear" w:color="auto" w:fill="auto"/>
          </w:tcPr>
          <w:p w14:paraId="3BD898E3" w14:textId="70AF7A52"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7F6E158D"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3D3DC14D" w14:textId="77777777" w:rsidR="00463DA2" w:rsidRPr="006A35D8" w:rsidRDefault="00463DA2" w:rsidP="000A69BD">
            <w:pPr>
              <w:pStyle w:val="ECCTabletext"/>
              <w:jc w:val="left"/>
            </w:pPr>
            <w:r w:rsidRPr="00280FF9">
              <w:t>3</w:t>
            </w:r>
            <w:r>
              <w:t>5 </w:t>
            </w:r>
            <w:r w:rsidRPr="006A35D8">
              <w:t>dBm</w:t>
            </w:r>
          </w:p>
        </w:tc>
        <w:tc>
          <w:tcPr>
            <w:tcW w:w="1294" w:type="dxa"/>
            <w:vMerge/>
          </w:tcPr>
          <w:p w14:paraId="052D8337" w14:textId="77777777" w:rsidR="00463DA2" w:rsidRPr="00280FF9" w:rsidRDefault="00463DA2" w:rsidP="006A35D8">
            <w:pPr>
              <w:pStyle w:val="ECCTabletext"/>
            </w:pPr>
          </w:p>
        </w:tc>
      </w:tr>
      <w:tr w:rsidR="00463DA2" w:rsidRPr="00C53FB5" w14:paraId="1F1A53E6" w14:textId="77777777" w:rsidTr="00463DA2">
        <w:tc>
          <w:tcPr>
            <w:tcW w:w="1680" w:type="dxa"/>
          </w:tcPr>
          <w:p w14:paraId="72A57CAF" w14:textId="77777777" w:rsidR="00463DA2" w:rsidRPr="006A35D8" w:rsidRDefault="00463DA2" w:rsidP="000A69BD">
            <w:pPr>
              <w:pStyle w:val="ECCTabletext"/>
              <w:jc w:val="left"/>
            </w:pPr>
            <w:r w:rsidRPr="00C53FB5">
              <w:t>182 to 185 GHz</w:t>
            </w:r>
          </w:p>
        </w:tc>
        <w:tc>
          <w:tcPr>
            <w:tcW w:w="1432" w:type="dxa"/>
          </w:tcPr>
          <w:p w14:paraId="51AD4627" w14:textId="77777777" w:rsidR="00463DA2" w:rsidRPr="006A35D8" w:rsidRDefault="00463DA2" w:rsidP="000A69BD">
            <w:pPr>
              <w:pStyle w:val="ECCTabletext"/>
              <w:jc w:val="left"/>
              <w:rPr>
                <w:highlight w:val="yellow"/>
              </w:rPr>
            </w:pPr>
            <w:r w:rsidRPr="00C53FB5">
              <w:t>183</w:t>
            </w:r>
            <w:r w:rsidR="00CF4994">
              <w:t>.5</w:t>
            </w:r>
            <w:r w:rsidRPr="00C53FB5">
              <w:t> GHz</w:t>
            </w:r>
          </w:p>
        </w:tc>
        <w:tc>
          <w:tcPr>
            <w:tcW w:w="1283" w:type="dxa"/>
            <w:shd w:val="clear" w:color="auto" w:fill="auto"/>
          </w:tcPr>
          <w:p w14:paraId="7F691451" w14:textId="77777777" w:rsidR="00463DA2" w:rsidRPr="006A35D8" w:rsidRDefault="00463DA2" w:rsidP="000A69BD">
            <w:pPr>
              <w:pStyle w:val="ECCTabletext"/>
              <w:jc w:val="left"/>
            </w:pPr>
            <w:r>
              <w:t>100</w:t>
            </w:r>
            <w:r w:rsidRPr="00106A53">
              <w:t> GHz</w:t>
            </w:r>
          </w:p>
        </w:tc>
        <w:tc>
          <w:tcPr>
            <w:tcW w:w="987" w:type="dxa"/>
            <w:shd w:val="clear" w:color="auto" w:fill="auto"/>
          </w:tcPr>
          <w:p w14:paraId="7D3D5292" w14:textId="16F4A0F1"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3495A1A7"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6B674BD2" w14:textId="77777777" w:rsidR="00463DA2" w:rsidRPr="006A35D8" w:rsidRDefault="00463DA2" w:rsidP="000A69BD">
            <w:pPr>
              <w:pStyle w:val="ECCTabletext"/>
              <w:jc w:val="left"/>
            </w:pPr>
            <w:r w:rsidRPr="00280FF9">
              <w:t>3</w:t>
            </w:r>
            <w:r>
              <w:t>5</w:t>
            </w:r>
            <w:r w:rsidRPr="006A35D8">
              <w:t> dBm</w:t>
            </w:r>
          </w:p>
        </w:tc>
        <w:tc>
          <w:tcPr>
            <w:tcW w:w="1294" w:type="dxa"/>
            <w:vMerge/>
          </w:tcPr>
          <w:p w14:paraId="74D4B46B" w14:textId="77777777" w:rsidR="00463DA2" w:rsidRPr="00280FF9" w:rsidRDefault="00463DA2" w:rsidP="006A35D8">
            <w:pPr>
              <w:pStyle w:val="ECCTabletext"/>
            </w:pPr>
          </w:p>
        </w:tc>
      </w:tr>
      <w:tr w:rsidR="00463DA2" w:rsidRPr="00C53FB5" w14:paraId="41B4E01E" w14:textId="77777777" w:rsidTr="00463DA2">
        <w:tc>
          <w:tcPr>
            <w:tcW w:w="1680" w:type="dxa"/>
          </w:tcPr>
          <w:p w14:paraId="50116F1A" w14:textId="77777777" w:rsidR="00463DA2" w:rsidRPr="006A35D8" w:rsidRDefault="00463DA2" w:rsidP="000A69BD">
            <w:pPr>
              <w:pStyle w:val="ECCTabletext"/>
              <w:jc w:val="left"/>
            </w:pPr>
            <w:r w:rsidRPr="00C53FB5">
              <w:t>190 to 191</w:t>
            </w:r>
            <w:r w:rsidR="00CF4994">
              <w:t>.8</w:t>
            </w:r>
            <w:r w:rsidRPr="00C53FB5">
              <w:t> GHz</w:t>
            </w:r>
          </w:p>
        </w:tc>
        <w:tc>
          <w:tcPr>
            <w:tcW w:w="1432" w:type="dxa"/>
          </w:tcPr>
          <w:p w14:paraId="47E01C66" w14:textId="77777777" w:rsidR="00463DA2" w:rsidRPr="006A35D8" w:rsidRDefault="00463DA2" w:rsidP="000A69BD">
            <w:pPr>
              <w:pStyle w:val="ECCTabletext"/>
              <w:jc w:val="left"/>
              <w:rPr>
                <w:highlight w:val="yellow"/>
              </w:rPr>
            </w:pPr>
            <w:r w:rsidRPr="00C53FB5">
              <w:t>190</w:t>
            </w:r>
            <w:r w:rsidR="00CF4994">
              <w:t>.9</w:t>
            </w:r>
            <w:r w:rsidRPr="00C53FB5">
              <w:t> GHz</w:t>
            </w:r>
          </w:p>
        </w:tc>
        <w:tc>
          <w:tcPr>
            <w:tcW w:w="1283" w:type="dxa"/>
            <w:shd w:val="clear" w:color="auto" w:fill="auto"/>
          </w:tcPr>
          <w:p w14:paraId="7BAE5ABB" w14:textId="77777777" w:rsidR="00463DA2" w:rsidRPr="006A35D8" w:rsidRDefault="00463DA2" w:rsidP="000A69BD">
            <w:pPr>
              <w:pStyle w:val="ECCTabletext"/>
              <w:jc w:val="left"/>
            </w:pPr>
            <w:r>
              <w:t>100</w:t>
            </w:r>
            <w:r w:rsidRPr="00106A53">
              <w:t> GHz</w:t>
            </w:r>
          </w:p>
        </w:tc>
        <w:tc>
          <w:tcPr>
            <w:tcW w:w="987" w:type="dxa"/>
            <w:shd w:val="clear" w:color="auto" w:fill="auto"/>
          </w:tcPr>
          <w:p w14:paraId="6ADBA46D" w14:textId="41CEE87C"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073FEA67"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3A102E2F" w14:textId="77777777" w:rsidR="00463DA2" w:rsidRPr="006A35D8" w:rsidRDefault="00463DA2" w:rsidP="000A69BD">
            <w:pPr>
              <w:pStyle w:val="ECCTabletext"/>
              <w:jc w:val="left"/>
            </w:pPr>
            <w:r w:rsidRPr="00280FF9">
              <w:t>3</w:t>
            </w:r>
            <w:r>
              <w:t>5</w:t>
            </w:r>
            <w:r w:rsidRPr="00280FF9">
              <w:t> dBm</w:t>
            </w:r>
          </w:p>
        </w:tc>
        <w:tc>
          <w:tcPr>
            <w:tcW w:w="1294" w:type="dxa"/>
            <w:vMerge/>
          </w:tcPr>
          <w:p w14:paraId="19C8A6D4" w14:textId="77777777" w:rsidR="00463DA2" w:rsidRPr="00280FF9" w:rsidRDefault="00463DA2" w:rsidP="006A35D8">
            <w:pPr>
              <w:pStyle w:val="ECCTabletext"/>
            </w:pPr>
          </w:p>
        </w:tc>
      </w:tr>
      <w:tr w:rsidR="00463DA2" w:rsidRPr="00C53FB5" w14:paraId="181EE8AD" w14:textId="77777777" w:rsidTr="00463DA2">
        <w:tc>
          <w:tcPr>
            <w:tcW w:w="1680" w:type="dxa"/>
          </w:tcPr>
          <w:p w14:paraId="5306B537" w14:textId="77777777" w:rsidR="00463DA2" w:rsidRPr="006A35D8" w:rsidRDefault="00463DA2" w:rsidP="000A69BD">
            <w:pPr>
              <w:pStyle w:val="ECCTabletext"/>
              <w:jc w:val="left"/>
            </w:pPr>
            <w:r w:rsidRPr="00C53FB5">
              <w:t>200 to 209 GHz</w:t>
            </w:r>
          </w:p>
        </w:tc>
        <w:tc>
          <w:tcPr>
            <w:tcW w:w="1432" w:type="dxa"/>
          </w:tcPr>
          <w:p w14:paraId="4362E269" w14:textId="77777777" w:rsidR="00463DA2" w:rsidRPr="006A35D8" w:rsidRDefault="00463DA2" w:rsidP="000A69BD">
            <w:pPr>
              <w:pStyle w:val="ECCTabletext"/>
              <w:jc w:val="left"/>
              <w:rPr>
                <w:highlight w:val="yellow"/>
              </w:rPr>
            </w:pPr>
            <w:r w:rsidRPr="00C53FB5">
              <w:t>204</w:t>
            </w:r>
            <w:r w:rsidR="00CF4994">
              <w:t>.5</w:t>
            </w:r>
            <w:r w:rsidRPr="00C53FB5">
              <w:t> GHz</w:t>
            </w:r>
          </w:p>
        </w:tc>
        <w:tc>
          <w:tcPr>
            <w:tcW w:w="1283" w:type="dxa"/>
            <w:shd w:val="clear" w:color="auto" w:fill="auto"/>
          </w:tcPr>
          <w:p w14:paraId="4394B168" w14:textId="77777777" w:rsidR="00463DA2" w:rsidRPr="006A35D8" w:rsidRDefault="00463DA2" w:rsidP="000A69BD">
            <w:pPr>
              <w:pStyle w:val="ECCTabletext"/>
              <w:jc w:val="left"/>
            </w:pPr>
            <w:r>
              <w:t>100</w:t>
            </w:r>
            <w:r w:rsidRPr="00106A53">
              <w:t> GHz</w:t>
            </w:r>
          </w:p>
        </w:tc>
        <w:tc>
          <w:tcPr>
            <w:tcW w:w="987" w:type="dxa"/>
            <w:shd w:val="clear" w:color="auto" w:fill="auto"/>
          </w:tcPr>
          <w:p w14:paraId="3A66C5C3" w14:textId="39B9B9F5"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13BDA1A9"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6CEF7F5F" w14:textId="77777777" w:rsidR="00463DA2" w:rsidRPr="006A35D8" w:rsidRDefault="00463DA2" w:rsidP="000A69BD">
            <w:pPr>
              <w:pStyle w:val="ECCTabletext"/>
              <w:jc w:val="left"/>
            </w:pPr>
            <w:r w:rsidRPr="00280FF9">
              <w:t>3</w:t>
            </w:r>
            <w:r>
              <w:t>5</w:t>
            </w:r>
            <w:r w:rsidRPr="00280FF9">
              <w:t> dBm</w:t>
            </w:r>
          </w:p>
        </w:tc>
        <w:tc>
          <w:tcPr>
            <w:tcW w:w="1294" w:type="dxa"/>
            <w:vMerge/>
          </w:tcPr>
          <w:p w14:paraId="3AF65B72" w14:textId="77777777" w:rsidR="00463DA2" w:rsidRPr="00280FF9" w:rsidRDefault="00463DA2" w:rsidP="006A35D8">
            <w:pPr>
              <w:pStyle w:val="ECCTabletext"/>
            </w:pPr>
          </w:p>
        </w:tc>
      </w:tr>
      <w:tr w:rsidR="00463DA2" w:rsidRPr="00C53FB5" w14:paraId="638C406F" w14:textId="77777777" w:rsidTr="00463DA2">
        <w:tc>
          <w:tcPr>
            <w:tcW w:w="1680" w:type="dxa"/>
          </w:tcPr>
          <w:p w14:paraId="74D0FA87" w14:textId="77777777" w:rsidR="00463DA2" w:rsidRPr="006A35D8" w:rsidRDefault="00463DA2" w:rsidP="000A69BD">
            <w:pPr>
              <w:pStyle w:val="ECCTabletext"/>
              <w:jc w:val="left"/>
            </w:pPr>
            <w:r w:rsidRPr="00C53FB5">
              <w:t>226 to 231</w:t>
            </w:r>
            <w:r w:rsidR="00CF4994">
              <w:t>.5</w:t>
            </w:r>
            <w:r w:rsidRPr="00C53FB5">
              <w:t> GHz</w:t>
            </w:r>
          </w:p>
        </w:tc>
        <w:tc>
          <w:tcPr>
            <w:tcW w:w="1432" w:type="dxa"/>
          </w:tcPr>
          <w:p w14:paraId="10280A67" w14:textId="77777777" w:rsidR="00463DA2" w:rsidRPr="006A35D8" w:rsidRDefault="00463DA2" w:rsidP="000A69BD">
            <w:pPr>
              <w:pStyle w:val="ECCTabletext"/>
              <w:jc w:val="left"/>
              <w:rPr>
                <w:highlight w:val="yellow"/>
              </w:rPr>
            </w:pPr>
            <w:r w:rsidRPr="00C53FB5">
              <w:t>228</w:t>
            </w:r>
            <w:r w:rsidR="00CF4994">
              <w:t>.2</w:t>
            </w:r>
            <w:r w:rsidRPr="00C53FB5">
              <w:t>5 GHz</w:t>
            </w:r>
          </w:p>
        </w:tc>
        <w:tc>
          <w:tcPr>
            <w:tcW w:w="1283" w:type="dxa"/>
            <w:shd w:val="clear" w:color="auto" w:fill="auto"/>
          </w:tcPr>
          <w:p w14:paraId="6B23C08C" w14:textId="77777777" w:rsidR="00463DA2" w:rsidRPr="006A35D8" w:rsidRDefault="00463DA2" w:rsidP="000A69BD">
            <w:pPr>
              <w:pStyle w:val="ECCTabletext"/>
              <w:jc w:val="left"/>
            </w:pPr>
            <w:r>
              <w:t>100</w:t>
            </w:r>
            <w:r w:rsidRPr="00106A53">
              <w:t> GHz</w:t>
            </w:r>
          </w:p>
        </w:tc>
        <w:tc>
          <w:tcPr>
            <w:tcW w:w="987" w:type="dxa"/>
            <w:shd w:val="clear" w:color="auto" w:fill="auto"/>
          </w:tcPr>
          <w:p w14:paraId="559E9E5D" w14:textId="251FCED6"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412E3804"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2527D050" w14:textId="77777777" w:rsidR="00463DA2" w:rsidRPr="006A35D8" w:rsidRDefault="00463DA2" w:rsidP="000A69BD">
            <w:pPr>
              <w:pStyle w:val="ECCTabletext"/>
              <w:jc w:val="left"/>
            </w:pPr>
            <w:r w:rsidRPr="00280FF9">
              <w:t>3</w:t>
            </w:r>
            <w:r>
              <w:t>5</w:t>
            </w:r>
            <w:r w:rsidRPr="00280FF9">
              <w:t> dBm</w:t>
            </w:r>
          </w:p>
        </w:tc>
        <w:tc>
          <w:tcPr>
            <w:tcW w:w="1294" w:type="dxa"/>
            <w:vMerge/>
          </w:tcPr>
          <w:p w14:paraId="036F6542" w14:textId="77777777" w:rsidR="00463DA2" w:rsidRPr="00280FF9" w:rsidRDefault="00463DA2" w:rsidP="006A35D8">
            <w:pPr>
              <w:pStyle w:val="ECCTabletext"/>
            </w:pPr>
          </w:p>
        </w:tc>
      </w:tr>
      <w:tr w:rsidR="00463DA2" w:rsidRPr="00C53FB5" w14:paraId="73EBE8C0" w14:textId="77777777" w:rsidTr="00463DA2">
        <w:tc>
          <w:tcPr>
            <w:tcW w:w="1680" w:type="dxa"/>
          </w:tcPr>
          <w:p w14:paraId="1690C9A7" w14:textId="77777777" w:rsidR="00463DA2" w:rsidRPr="006A35D8" w:rsidRDefault="00463DA2" w:rsidP="000A69BD">
            <w:pPr>
              <w:pStyle w:val="ECCTabletext"/>
              <w:jc w:val="left"/>
            </w:pPr>
            <w:r>
              <w:t>250 to 252 GHz</w:t>
            </w:r>
          </w:p>
        </w:tc>
        <w:tc>
          <w:tcPr>
            <w:tcW w:w="1432" w:type="dxa"/>
          </w:tcPr>
          <w:p w14:paraId="4B94D1A7" w14:textId="77777777" w:rsidR="00463DA2" w:rsidRPr="006A35D8" w:rsidRDefault="00463DA2" w:rsidP="000A69BD">
            <w:pPr>
              <w:pStyle w:val="ECCTabletext"/>
              <w:jc w:val="left"/>
              <w:rPr>
                <w:highlight w:val="yellow"/>
              </w:rPr>
            </w:pPr>
            <w:r w:rsidRPr="00C53FB5">
              <w:t>251</w:t>
            </w:r>
            <w:r>
              <w:t> </w:t>
            </w:r>
            <w:r w:rsidRPr="00C53FB5">
              <w:t>GHz</w:t>
            </w:r>
          </w:p>
        </w:tc>
        <w:tc>
          <w:tcPr>
            <w:tcW w:w="1283" w:type="dxa"/>
            <w:shd w:val="clear" w:color="auto" w:fill="auto"/>
          </w:tcPr>
          <w:p w14:paraId="273BC02C" w14:textId="77777777" w:rsidR="00463DA2" w:rsidRPr="006A35D8" w:rsidRDefault="00463DA2" w:rsidP="000A69BD">
            <w:pPr>
              <w:pStyle w:val="ECCTabletext"/>
              <w:jc w:val="left"/>
            </w:pPr>
            <w:r>
              <w:t>100</w:t>
            </w:r>
            <w:r w:rsidRPr="00106A53">
              <w:t> GHz</w:t>
            </w:r>
          </w:p>
        </w:tc>
        <w:tc>
          <w:tcPr>
            <w:tcW w:w="987" w:type="dxa"/>
            <w:shd w:val="clear" w:color="auto" w:fill="auto"/>
          </w:tcPr>
          <w:p w14:paraId="3A481CEB" w14:textId="504EB19F"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7B8A4167"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01FC0B0D" w14:textId="77777777" w:rsidR="00463DA2" w:rsidRPr="006A35D8" w:rsidRDefault="00463DA2" w:rsidP="000A69BD">
            <w:pPr>
              <w:pStyle w:val="ECCTabletext"/>
              <w:jc w:val="left"/>
            </w:pPr>
            <w:r w:rsidRPr="00280FF9">
              <w:t>3</w:t>
            </w:r>
            <w:r>
              <w:t>5</w:t>
            </w:r>
            <w:r w:rsidRPr="00280FF9">
              <w:t> dBm</w:t>
            </w:r>
          </w:p>
        </w:tc>
        <w:tc>
          <w:tcPr>
            <w:tcW w:w="1294" w:type="dxa"/>
            <w:vMerge/>
          </w:tcPr>
          <w:p w14:paraId="3D40A44D" w14:textId="77777777" w:rsidR="00463DA2" w:rsidRPr="00280FF9" w:rsidRDefault="00463DA2" w:rsidP="006A35D8">
            <w:pPr>
              <w:pStyle w:val="ECCTabletext"/>
            </w:pPr>
          </w:p>
        </w:tc>
      </w:tr>
      <w:tr w:rsidR="00643FF4" w:rsidRPr="00C53FB5" w14:paraId="72680375" w14:textId="77777777" w:rsidTr="00200700">
        <w:tc>
          <w:tcPr>
            <w:tcW w:w="9629" w:type="dxa"/>
            <w:gridSpan w:val="7"/>
          </w:tcPr>
          <w:p w14:paraId="3C4D093B" w14:textId="77777777" w:rsidR="00643FF4" w:rsidRPr="00280FF9" w:rsidRDefault="00643FF4" w:rsidP="00464AE0">
            <w:pPr>
              <w:pStyle w:val="ECCTablenote"/>
            </w:pPr>
            <w:r>
              <w:t xml:space="preserve">Note 1: </w:t>
            </w:r>
            <w:r w:rsidRPr="00643FF4">
              <w:t>Assumed out-of-band attenuation of the RDI-S-signal in adjacent bands allocated to RAS.</w:t>
            </w:r>
          </w:p>
        </w:tc>
      </w:tr>
    </w:tbl>
    <w:p w14:paraId="1B599658" w14:textId="77777777" w:rsidR="006A35D8" w:rsidRDefault="006A35D8" w:rsidP="006A35D8">
      <w:pPr>
        <w:pStyle w:val="Heading3"/>
      </w:pPr>
      <w:bookmarkStart w:id="584" w:name="_Ref67330077"/>
      <w:bookmarkStart w:id="585" w:name="_Ref67330081"/>
      <w:bookmarkStart w:id="586" w:name="_Toc84325372"/>
      <w:bookmarkStart w:id="587" w:name="_Toc127346296"/>
      <w:r>
        <w:t>Results</w:t>
      </w:r>
      <w:bookmarkEnd w:id="584"/>
      <w:bookmarkEnd w:id="585"/>
      <w:bookmarkEnd w:id="586"/>
      <w:bookmarkEnd w:id="587"/>
    </w:p>
    <w:p w14:paraId="56E964BE" w14:textId="01DDE3E8" w:rsidR="006A35D8" w:rsidRPr="00B10E31" w:rsidRDefault="0029762D" w:rsidP="006A35D8">
      <w:r>
        <w:fldChar w:fldCharType="begin"/>
      </w:r>
      <w:r>
        <w:instrText xml:space="preserve"> REF _Ref66452952 \h </w:instrText>
      </w:r>
      <w:r>
        <w:fldChar w:fldCharType="separate"/>
      </w:r>
      <w:r w:rsidR="0041125F" w:rsidRPr="00FF50FD">
        <w:t>Table </w:t>
      </w:r>
      <w:r w:rsidR="0041125F">
        <w:rPr>
          <w:noProof/>
        </w:rPr>
        <w:t>63</w:t>
      </w:r>
      <w:r>
        <w:fldChar w:fldCharType="end"/>
      </w:r>
      <w:r>
        <w:t xml:space="preserve"> </w:t>
      </w:r>
      <w:r w:rsidR="006A35D8" w:rsidRPr="00B10E31">
        <w:t xml:space="preserve">shows the single-entry </w:t>
      </w:r>
      <w:r w:rsidR="00791D2C">
        <w:t>worst</w:t>
      </w:r>
      <w:r w:rsidR="006A35D8" w:rsidRPr="00B10E31">
        <w:t>-case results for RDI-S, e.g. the largest separation distances for the individual frequency ranges outside RR article 5.340 protected bands, and RAS victim sensor types.</w:t>
      </w:r>
    </w:p>
    <w:p w14:paraId="52CA9E65" w14:textId="0247E666" w:rsidR="006A35D8" w:rsidRDefault="0029762D" w:rsidP="006A35D8">
      <w:pPr>
        <w:pStyle w:val="Caption"/>
        <w:rPr>
          <w:rStyle w:val="ECCParagraph"/>
        </w:rPr>
      </w:pPr>
      <w:bookmarkStart w:id="588" w:name="_Ref66452952"/>
      <w:r w:rsidRPr="00FF50FD">
        <w:t>Table </w:t>
      </w:r>
      <w:r w:rsidRPr="0091705E">
        <w:fldChar w:fldCharType="begin"/>
      </w:r>
      <w:r w:rsidRPr="00FF50FD">
        <w:instrText xml:space="preserve"> SEQ Table \* ARABIC </w:instrText>
      </w:r>
      <w:r w:rsidRPr="0091705E">
        <w:fldChar w:fldCharType="separate"/>
      </w:r>
      <w:r w:rsidR="004F49F9">
        <w:rPr>
          <w:noProof/>
        </w:rPr>
        <w:t>63</w:t>
      </w:r>
      <w:r w:rsidRPr="0091705E">
        <w:fldChar w:fldCharType="end"/>
      </w:r>
      <w:bookmarkEnd w:id="588"/>
      <w:r w:rsidR="006A35D8" w:rsidRPr="006A35D8">
        <w:t>: Required separation distances determined in a single-entry study for RDI-S in frequency ranges outside RR article 5.340 protected bands</w:t>
      </w:r>
    </w:p>
    <w:tbl>
      <w:tblPr>
        <w:tblStyle w:val="ECCTable-redheader"/>
        <w:tblW w:w="8217" w:type="dxa"/>
        <w:tblInd w:w="0" w:type="dxa"/>
        <w:tblLook w:val="04A0" w:firstRow="1" w:lastRow="0" w:firstColumn="1" w:lastColumn="0" w:noHBand="0" w:noVBand="1"/>
      </w:tblPr>
      <w:tblGrid>
        <w:gridCol w:w="1413"/>
        <w:gridCol w:w="2881"/>
        <w:gridCol w:w="1383"/>
        <w:gridCol w:w="1270"/>
        <w:gridCol w:w="1270"/>
      </w:tblGrid>
      <w:tr w:rsidR="006A35D8" w14:paraId="61D9125F" w14:textId="77777777" w:rsidTr="008E658F">
        <w:trPr>
          <w:cnfStyle w:val="100000000000" w:firstRow="1" w:lastRow="0" w:firstColumn="0" w:lastColumn="0" w:oddVBand="0" w:evenVBand="0" w:oddHBand="0" w:evenHBand="0" w:firstRowFirstColumn="0" w:firstRowLastColumn="0" w:lastRowFirstColumn="0" w:lastRowLastColumn="0"/>
        </w:trPr>
        <w:tc>
          <w:tcPr>
            <w:tcW w:w="1413" w:type="dxa"/>
          </w:tcPr>
          <w:p w14:paraId="422B6C92" w14:textId="77777777" w:rsidR="006A35D8" w:rsidRPr="006A35D8" w:rsidRDefault="006A35D8" w:rsidP="00876039">
            <w:pPr>
              <w:pStyle w:val="ECCTableHeaderwhitefont"/>
            </w:pPr>
            <w:r w:rsidRPr="00566944">
              <w:t>Investigated Frequency range</w:t>
            </w:r>
          </w:p>
        </w:tc>
        <w:tc>
          <w:tcPr>
            <w:tcW w:w="2881" w:type="dxa"/>
          </w:tcPr>
          <w:p w14:paraId="16F0FBC0" w14:textId="77777777" w:rsidR="006A35D8" w:rsidRPr="006A35D8" w:rsidRDefault="006A35D8" w:rsidP="000A69BD">
            <w:pPr>
              <w:pStyle w:val="ECCTableHeaderwhitefont"/>
            </w:pPr>
            <w:r w:rsidRPr="00566944">
              <w:t xml:space="preserve">Allocated </w:t>
            </w:r>
            <w:r w:rsidRPr="006A35D8">
              <w:t>RAS band</w:t>
            </w:r>
          </w:p>
        </w:tc>
        <w:tc>
          <w:tcPr>
            <w:tcW w:w="1383" w:type="dxa"/>
          </w:tcPr>
          <w:p w14:paraId="35F6BF01" w14:textId="77777777" w:rsidR="006A35D8" w:rsidRPr="006A35D8" w:rsidRDefault="006A35D8" w:rsidP="000A69BD">
            <w:pPr>
              <w:pStyle w:val="ECCTableHeaderwhitefont"/>
            </w:pPr>
            <w:r>
              <w:t>Investigated centre frequency</w:t>
            </w:r>
          </w:p>
        </w:tc>
        <w:tc>
          <w:tcPr>
            <w:tcW w:w="1270" w:type="dxa"/>
          </w:tcPr>
          <w:p w14:paraId="560A636D" w14:textId="77777777" w:rsidR="006A35D8" w:rsidRPr="006A35D8" w:rsidRDefault="006A35D8" w:rsidP="000A69BD">
            <w:pPr>
              <w:pStyle w:val="ECCTableHeaderwhitefont"/>
            </w:pPr>
            <w:r>
              <w:t>Required separation distance</w:t>
            </w:r>
            <w:r w:rsidRPr="006A35D8">
              <w:t xml:space="preserve"> for RAS CO</w:t>
            </w:r>
          </w:p>
        </w:tc>
        <w:tc>
          <w:tcPr>
            <w:tcW w:w="1270" w:type="dxa"/>
          </w:tcPr>
          <w:p w14:paraId="6795332C" w14:textId="77777777" w:rsidR="006A35D8" w:rsidRPr="006A35D8" w:rsidRDefault="006A35D8" w:rsidP="000A69BD">
            <w:pPr>
              <w:pStyle w:val="ECCTableHeaderwhitefont"/>
            </w:pPr>
            <w:r>
              <w:t>Required separation distance</w:t>
            </w:r>
            <w:r w:rsidRPr="006A35D8">
              <w:t xml:space="preserve"> for RAS SLO</w:t>
            </w:r>
          </w:p>
        </w:tc>
      </w:tr>
      <w:tr w:rsidR="006A35D8" w14:paraId="622AF5C8" w14:textId="77777777" w:rsidTr="008E658F">
        <w:tc>
          <w:tcPr>
            <w:tcW w:w="1413" w:type="dxa"/>
            <w:vMerge w:val="restart"/>
          </w:tcPr>
          <w:p w14:paraId="5FA2BC39" w14:textId="77777777" w:rsidR="006A35D8" w:rsidRPr="006A35D8" w:rsidRDefault="006A35D8" w:rsidP="000A69BD">
            <w:pPr>
              <w:pStyle w:val="ECCTabletext"/>
              <w:jc w:val="left"/>
            </w:pPr>
            <w:r w:rsidRPr="009B5279">
              <w:t>116 to 260 GHz</w:t>
            </w:r>
          </w:p>
        </w:tc>
        <w:tc>
          <w:tcPr>
            <w:tcW w:w="2881" w:type="dxa"/>
          </w:tcPr>
          <w:p w14:paraId="011BBE43" w14:textId="77777777" w:rsidR="006A35D8" w:rsidRPr="006A35D8" w:rsidRDefault="006A35D8" w:rsidP="000A69BD">
            <w:pPr>
              <w:pStyle w:val="ECCTabletext"/>
              <w:jc w:val="left"/>
            </w:pPr>
            <w:r w:rsidRPr="009B5279">
              <w:t>76 to 116 GHz</w:t>
            </w:r>
            <w:r w:rsidR="008E658F">
              <w:t xml:space="preserve"> (OOB)</w:t>
            </w:r>
          </w:p>
        </w:tc>
        <w:tc>
          <w:tcPr>
            <w:tcW w:w="1383" w:type="dxa"/>
          </w:tcPr>
          <w:p w14:paraId="205EC4DE" w14:textId="77777777" w:rsidR="006A35D8" w:rsidRPr="006A35D8" w:rsidRDefault="006A35D8" w:rsidP="000A69BD">
            <w:pPr>
              <w:pStyle w:val="ECCTabletext"/>
              <w:jc w:val="left"/>
            </w:pPr>
            <w:r w:rsidRPr="009B5279">
              <w:t>113</w:t>
            </w:r>
            <w:r w:rsidR="00CF4994">
              <w:t>.9</w:t>
            </w:r>
            <w:r w:rsidRPr="009B5279">
              <w:t> GHz</w:t>
            </w:r>
          </w:p>
        </w:tc>
        <w:tc>
          <w:tcPr>
            <w:tcW w:w="1270" w:type="dxa"/>
          </w:tcPr>
          <w:p w14:paraId="6EB338C9" w14:textId="77777777" w:rsidR="006A35D8" w:rsidRPr="006A35D8" w:rsidRDefault="001919BF" w:rsidP="000A69BD">
            <w:pPr>
              <w:pStyle w:val="ECCTabletext"/>
              <w:jc w:val="left"/>
            </w:pPr>
            <w:r>
              <w:t>910</w:t>
            </w:r>
            <w:r w:rsidR="006A35D8" w:rsidRPr="009B5279">
              <w:t> m</w:t>
            </w:r>
          </w:p>
        </w:tc>
        <w:tc>
          <w:tcPr>
            <w:tcW w:w="1270" w:type="dxa"/>
          </w:tcPr>
          <w:p w14:paraId="6C966EF1" w14:textId="77777777" w:rsidR="006A35D8" w:rsidRPr="006A35D8" w:rsidRDefault="001919BF" w:rsidP="000A69BD">
            <w:pPr>
              <w:pStyle w:val="ECCTabletext"/>
              <w:jc w:val="left"/>
            </w:pPr>
            <w:r>
              <w:t>105</w:t>
            </w:r>
            <w:r w:rsidR="00B34F10">
              <w:t> </w:t>
            </w:r>
            <w:r w:rsidR="006A35D8" w:rsidRPr="009B5279">
              <w:t>m</w:t>
            </w:r>
          </w:p>
        </w:tc>
      </w:tr>
      <w:tr w:rsidR="006A35D8" w14:paraId="379A351C" w14:textId="77777777" w:rsidTr="008E658F">
        <w:tc>
          <w:tcPr>
            <w:tcW w:w="1413" w:type="dxa"/>
            <w:vMerge/>
          </w:tcPr>
          <w:p w14:paraId="2523D898" w14:textId="77777777" w:rsidR="006A35D8" w:rsidRPr="009B5279" w:rsidRDefault="006A35D8" w:rsidP="006A35D8">
            <w:pPr>
              <w:pStyle w:val="ECCTabletext"/>
            </w:pPr>
          </w:p>
        </w:tc>
        <w:tc>
          <w:tcPr>
            <w:tcW w:w="2881" w:type="dxa"/>
            <w:vMerge w:val="restart"/>
          </w:tcPr>
          <w:p w14:paraId="6B38F803" w14:textId="77777777" w:rsidR="006A35D8" w:rsidRPr="006A35D8" w:rsidRDefault="006A35D8" w:rsidP="000A69BD">
            <w:pPr>
              <w:pStyle w:val="ECCTabletext"/>
              <w:jc w:val="left"/>
            </w:pPr>
            <w:r w:rsidRPr="009B5279">
              <w:t>123</w:t>
            </w:r>
            <w:r w:rsidR="00CF4994">
              <w:t>.5</w:t>
            </w:r>
            <w:r w:rsidRPr="009B5279">
              <w:t xml:space="preserve"> to 158</w:t>
            </w:r>
            <w:r w:rsidR="00CF4994">
              <w:t>.5</w:t>
            </w:r>
            <w:r w:rsidRPr="009B5279">
              <w:t> GHz</w:t>
            </w:r>
            <w:r w:rsidR="008E658F">
              <w:t xml:space="preserve"> (In-band)</w:t>
            </w:r>
          </w:p>
        </w:tc>
        <w:tc>
          <w:tcPr>
            <w:tcW w:w="1383" w:type="dxa"/>
          </w:tcPr>
          <w:p w14:paraId="038F7F28" w14:textId="77777777" w:rsidR="006A35D8" w:rsidRPr="006A35D8" w:rsidRDefault="006A35D8" w:rsidP="000A69BD">
            <w:pPr>
              <w:pStyle w:val="ECCTabletext"/>
              <w:jc w:val="left"/>
            </w:pPr>
            <w:r w:rsidRPr="009B5279">
              <w:t>126</w:t>
            </w:r>
            <w:r w:rsidR="00CF4994">
              <w:t>.5</w:t>
            </w:r>
            <w:r w:rsidRPr="009B5279">
              <w:t> GHz</w:t>
            </w:r>
          </w:p>
        </w:tc>
        <w:tc>
          <w:tcPr>
            <w:tcW w:w="1270" w:type="dxa"/>
          </w:tcPr>
          <w:p w14:paraId="330DE2F2" w14:textId="77777777" w:rsidR="006A35D8" w:rsidRPr="006A35D8" w:rsidRDefault="001919BF" w:rsidP="000A69BD">
            <w:pPr>
              <w:pStyle w:val="ECCTabletext"/>
              <w:jc w:val="left"/>
            </w:pPr>
            <w:r>
              <w:t>13</w:t>
            </w:r>
            <w:r w:rsidR="00CF4994">
              <w:t>.2</w:t>
            </w:r>
            <w:r w:rsidR="00B34F10">
              <w:t> </w:t>
            </w:r>
            <w:r>
              <w:t>k</w:t>
            </w:r>
            <w:r w:rsidR="006A35D8" w:rsidRPr="009B5279">
              <w:t>m</w:t>
            </w:r>
          </w:p>
        </w:tc>
        <w:tc>
          <w:tcPr>
            <w:tcW w:w="1270" w:type="dxa"/>
          </w:tcPr>
          <w:p w14:paraId="36C82758" w14:textId="77777777" w:rsidR="006A35D8" w:rsidRPr="006A35D8" w:rsidRDefault="001919BF" w:rsidP="000A69BD">
            <w:pPr>
              <w:pStyle w:val="ECCTabletext"/>
              <w:jc w:val="left"/>
            </w:pPr>
            <w:r>
              <w:t>1</w:t>
            </w:r>
            <w:r w:rsidR="00CF4994">
              <w:t>.6</w:t>
            </w:r>
            <w:r w:rsidR="00B34F10">
              <w:t> </w:t>
            </w:r>
            <w:r>
              <w:t>k</w:t>
            </w:r>
            <w:r w:rsidR="006A35D8" w:rsidRPr="009B5279">
              <w:t>m</w:t>
            </w:r>
          </w:p>
        </w:tc>
      </w:tr>
      <w:tr w:rsidR="006A35D8" w14:paraId="36619D3A" w14:textId="77777777" w:rsidTr="008E658F">
        <w:tc>
          <w:tcPr>
            <w:tcW w:w="1413" w:type="dxa"/>
            <w:vMerge/>
          </w:tcPr>
          <w:p w14:paraId="31F43A5B" w14:textId="77777777" w:rsidR="006A35D8" w:rsidRPr="009B5279" w:rsidRDefault="006A35D8" w:rsidP="006A35D8">
            <w:pPr>
              <w:pStyle w:val="ECCTabletext"/>
            </w:pPr>
          </w:p>
        </w:tc>
        <w:tc>
          <w:tcPr>
            <w:tcW w:w="2881" w:type="dxa"/>
            <w:vMerge/>
          </w:tcPr>
          <w:p w14:paraId="016F7DF8" w14:textId="77777777" w:rsidR="006A35D8" w:rsidRPr="009B5279" w:rsidRDefault="006A35D8" w:rsidP="006A35D8">
            <w:pPr>
              <w:pStyle w:val="ECCTabletext"/>
            </w:pPr>
          </w:p>
        </w:tc>
        <w:tc>
          <w:tcPr>
            <w:tcW w:w="1383" w:type="dxa"/>
          </w:tcPr>
          <w:p w14:paraId="2D403C75" w14:textId="77777777" w:rsidR="006A35D8" w:rsidRPr="006A35D8" w:rsidRDefault="006A35D8" w:rsidP="000A69BD">
            <w:pPr>
              <w:pStyle w:val="ECCTabletext"/>
              <w:jc w:val="left"/>
            </w:pPr>
            <w:r w:rsidRPr="009B5279">
              <w:t>137</w:t>
            </w:r>
            <w:r w:rsidR="00CF4994">
              <w:t>.5</w:t>
            </w:r>
            <w:r w:rsidRPr="009B5279">
              <w:t> GHz</w:t>
            </w:r>
          </w:p>
        </w:tc>
        <w:tc>
          <w:tcPr>
            <w:tcW w:w="1270" w:type="dxa"/>
          </w:tcPr>
          <w:p w14:paraId="145C122D" w14:textId="77777777" w:rsidR="006A35D8" w:rsidRPr="006A35D8" w:rsidRDefault="001919BF" w:rsidP="000A69BD">
            <w:pPr>
              <w:pStyle w:val="ECCTabletext"/>
              <w:jc w:val="left"/>
            </w:pPr>
            <w:r>
              <w:t>2</w:t>
            </w:r>
            <w:r w:rsidR="00CF4994">
              <w:t>.5</w:t>
            </w:r>
            <w:r w:rsidR="00B34F10">
              <w:t> </w:t>
            </w:r>
            <w:r>
              <w:t>k</w:t>
            </w:r>
            <w:r w:rsidR="006A35D8" w:rsidRPr="009B5279">
              <w:t>m</w:t>
            </w:r>
          </w:p>
        </w:tc>
        <w:tc>
          <w:tcPr>
            <w:tcW w:w="1270" w:type="dxa"/>
          </w:tcPr>
          <w:p w14:paraId="2B31F3C5" w14:textId="77777777" w:rsidR="006A35D8" w:rsidRPr="006A35D8" w:rsidRDefault="001919BF" w:rsidP="000A69BD">
            <w:pPr>
              <w:pStyle w:val="ECCTabletext"/>
              <w:jc w:val="left"/>
            </w:pPr>
            <w:r>
              <w:t>274</w:t>
            </w:r>
            <w:r w:rsidR="00B34F10">
              <w:t> </w:t>
            </w:r>
            <w:r w:rsidR="006A35D8" w:rsidRPr="009B5279">
              <w:t>m</w:t>
            </w:r>
          </w:p>
        </w:tc>
      </w:tr>
      <w:tr w:rsidR="006A35D8" w14:paraId="3DDA69CC" w14:textId="77777777" w:rsidTr="008E658F">
        <w:tc>
          <w:tcPr>
            <w:tcW w:w="1413" w:type="dxa"/>
            <w:vMerge/>
          </w:tcPr>
          <w:p w14:paraId="59D9954B" w14:textId="77777777" w:rsidR="006A35D8" w:rsidRPr="009B5279" w:rsidRDefault="006A35D8" w:rsidP="006A35D8">
            <w:pPr>
              <w:pStyle w:val="ECCTabletext"/>
            </w:pPr>
          </w:p>
        </w:tc>
        <w:tc>
          <w:tcPr>
            <w:tcW w:w="2881" w:type="dxa"/>
          </w:tcPr>
          <w:p w14:paraId="0B4150E4" w14:textId="77777777" w:rsidR="006A35D8" w:rsidRPr="006A35D8" w:rsidRDefault="006A35D8" w:rsidP="000A69BD">
            <w:pPr>
              <w:pStyle w:val="ECCTabletext"/>
              <w:jc w:val="left"/>
            </w:pPr>
            <w:r w:rsidRPr="009B5279">
              <w:t>164 to 174</w:t>
            </w:r>
            <w:r w:rsidR="00CF4994">
              <w:t>.5</w:t>
            </w:r>
            <w:r w:rsidRPr="009B5279">
              <w:t> GHz</w:t>
            </w:r>
            <w:r w:rsidR="008E658F">
              <w:t xml:space="preserve"> (In-band)</w:t>
            </w:r>
          </w:p>
        </w:tc>
        <w:tc>
          <w:tcPr>
            <w:tcW w:w="1383" w:type="dxa"/>
          </w:tcPr>
          <w:p w14:paraId="63C8EADB" w14:textId="77777777" w:rsidR="006A35D8" w:rsidRPr="006A35D8" w:rsidRDefault="006A35D8" w:rsidP="000A69BD">
            <w:pPr>
              <w:pStyle w:val="ECCTabletext"/>
              <w:jc w:val="left"/>
            </w:pPr>
            <w:r w:rsidRPr="009B5279">
              <w:t>169</w:t>
            </w:r>
            <w:r w:rsidR="00CF4994">
              <w:t>.2</w:t>
            </w:r>
            <w:r w:rsidRPr="009B5279">
              <w:t>5 GHz</w:t>
            </w:r>
          </w:p>
        </w:tc>
        <w:tc>
          <w:tcPr>
            <w:tcW w:w="1270" w:type="dxa"/>
          </w:tcPr>
          <w:p w14:paraId="2DE6BDF5" w14:textId="77777777" w:rsidR="006A35D8" w:rsidRPr="006A35D8" w:rsidRDefault="001919BF" w:rsidP="000A69BD">
            <w:pPr>
              <w:pStyle w:val="ECCTabletext"/>
              <w:jc w:val="left"/>
            </w:pPr>
            <w:r>
              <w:t>631</w:t>
            </w:r>
            <w:r w:rsidR="00B34F10">
              <w:t> </w:t>
            </w:r>
            <w:r w:rsidR="006A35D8" w:rsidRPr="009B5279">
              <w:t>m</w:t>
            </w:r>
          </w:p>
        </w:tc>
        <w:tc>
          <w:tcPr>
            <w:tcW w:w="1270" w:type="dxa"/>
          </w:tcPr>
          <w:p w14:paraId="08123726" w14:textId="77777777" w:rsidR="006A35D8" w:rsidRPr="006A35D8" w:rsidRDefault="001919BF" w:rsidP="000A69BD">
            <w:pPr>
              <w:pStyle w:val="ECCTabletext"/>
              <w:jc w:val="left"/>
            </w:pPr>
            <w:r>
              <w:t>71</w:t>
            </w:r>
            <w:r w:rsidR="00B34F10">
              <w:t> </w:t>
            </w:r>
            <w:r w:rsidR="006A35D8" w:rsidRPr="009B5279">
              <w:t>m</w:t>
            </w:r>
          </w:p>
        </w:tc>
      </w:tr>
      <w:tr w:rsidR="006A35D8" w14:paraId="191442E5" w14:textId="77777777" w:rsidTr="008E658F">
        <w:tc>
          <w:tcPr>
            <w:tcW w:w="1413" w:type="dxa"/>
            <w:vMerge/>
          </w:tcPr>
          <w:p w14:paraId="7F198B66" w14:textId="77777777" w:rsidR="006A35D8" w:rsidRPr="009B5279" w:rsidRDefault="006A35D8" w:rsidP="006A35D8">
            <w:pPr>
              <w:pStyle w:val="ECCTabletext"/>
            </w:pPr>
          </w:p>
        </w:tc>
        <w:tc>
          <w:tcPr>
            <w:tcW w:w="2881" w:type="dxa"/>
          </w:tcPr>
          <w:p w14:paraId="1205D586" w14:textId="77777777" w:rsidR="006A35D8" w:rsidRPr="006A35D8" w:rsidRDefault="006A35D8" w:rsidP="000A69BD">
            <w:pPr>
              <w:pStyle w:val="ECCTabletext"/>
              <w:jc w:val="left"/>
            </w:pPr>
            <w:r w:rsidRPr="009B5279">
              <w:t>190 to 231</w:t>
            </w:r>
            <w:r w:rsidR="00CF4994">
              <w:t>.5</w:t>
            </w:r>
            <w:r w:rsidRPr="009B5279">
              <w:t> GHz</w:t>
            </w:r>
            <w:r w:rsidR="008E658F">
              <w:t xml:space="preserve"> (In-band)</w:t>
            </w:r>
          </w:p>
        </w:tc>
        <w:tc>
          <w:tcPr>
            <w:tcW w:w="1383" w:type="dxa"/>
          </w:tcPr>
          <w:p w14:paraId="04DD26C3" w14:textId="77777777" w:rsidR="006A35D8" w:rsidRPr="006A35D8" w:rsidRDefault="006A35D8" w:rsidP="000A69BD">
            <w:pPr>
              <w:pStyle w:val="ECCTabletext"/>
              <w:jc w:val="left"/>
            </w:pPr>
            <w:r w:rsidRPr="009B5279">
              <w:t>210</w:t>
            </w:r>
            <w:r w:rsidR="00CF4994">
              <w:t>.7</w:t>
            </w:r>
            <w:r w:rsidRPr="009B5279">
              <w:t>5 GHz</w:t>
            </w:r>
          </w:p>
        </w:tc>
        <w:tc>
          <w:tcPr>
            <w:tcW w:w="1270" w:type="dxa"/>
          </w:tcPr>
          <w:p w14:paraId="3324B958" w14:textId="77777777" w:rsidR="006A35D8" w:rsidRPr="006A35D8" w:rsidRDefault="006A35D8" w:rsidP="000A69BD">
            <w:pPr>
              <w:pStyle w:val="ECCTabletext"/>
              <w:jc w:val="left"/>
            </w:pPr>
            <w:r w:rsidRPr="009B5279">
              <w:t>432</w:t>
            </w:r>
            <w:r w:rsidR="00B34F10">
              <w:t> </w:t>
            </w:r>
            <w:r w:rsidRPr="009B5279">
              <w:t>m</w:t>
            </w:r>
          </w:p>
        </w:tc>
        <w:tc>
          <w:tcPr>
            <w:tcW w:w="1270" w:type="dxa"/>
          </w:tcPr>
          <w:p w14:paraId="22E728C8" w14:textId="77777777" w:rsidR="006A35D8" w:rsidRPr="006A35D8" w:rsidRDefault="001919BF" w:rsidP="000A69BD">
            <w:pPr>
              <w:pStyle w:val="ECCTabletext"/>
              <w:jc w:val="left"/>
            </w:pPr>
            <w:r>
              <w:t>45</w:t>
            </w:r>
            <w:r w:rsidR="00B34F10">
              <w:t> </w:t>
            </w:r>
            <w:r w:rsidR="006A35D8" w:rsidRPr="009B5279">
              <w:t>m</w:t>
            </w:r>
          </w:p>
        </w:tc>
      </w:tr>
      <w:tr w:rsidR="006A35D8" w14:paraId="6DC99DFE" w14:textId="77777777" w:rsidTr="008E658F">
        <w:tc>
          <w:tcPr>
            <w:tcW w:w="1413" w:type="dxa"/>
            <w:vMerge/>
          </w:tcPr>
          <w:p w14:paraId="3957148C" w14:textId="77777777" w:rsidR="006A35D8" w:rsidRPr="009B5279" w:rsidRDefault="006A35D8" w:rsidP="006A35D8">
            <w:pPr>
              <w:pStyle w:val="ECCTabletext"/>
            </w:pPr>
          </w:p>
        </w:tc>
        <w:tc>
          <w:tcPr>
            <w:tcW w:w="2881" w:type="dxa"/>
          </w:tcPr>
          <w:p w14:paraId="5CBC1207" w14:textId="77777777" w:rsidR="006A35D8" w:rsidRPr="006A35D8" w:rsidRDefault="006A35D8" w:rsidP="000A69BD">
            <w:pPr>
              <w:pStyle w:val="ECCTabletext"/>
              <w:jc w:val="left"/>
            </w:pPr>
            <w:r w:rsidRPr="009B5279">
              <w:t>235 to 238 GHz</w:t>
            </w:r>
            <w:r w:rsidR="008E658F">
              <w:t xml:space="preserve"> (In-band)</w:t>
            </w:r>
          </w:p>
        </w:tc>
        <w:tc>
          <w:tcPr>
            <w:tcW w:w="1383" w:type="dxa"/>
          </w:tcPr>
          <w:p w14:paraId="360C8836" w14:textId="77777777" w:rsidR="006A35D8" w:rsidRPr="006A35D8" w:rsidRDefault="006A35D8" w:rsidP="000A69BD">
            <w:pPr>
              <w:pStyle w:val="ECCTabletext"/>
              <w:jc w:val="left"/>
            </w:pPr>
            <w:r w:rsidRPr="009B5279">
              <w:t>236</w:t>
            </w:r>
            <w:r w:rsidR="00CF4994">
              <w:t>.5</w:t>
            </w:r>
            <w:r w:rsidRPr="009B5279">
              <w:t> GHz</w:t>
            </w:r>
          </w:p>
        </w:tc>
        <w:tc>
          <w:tcPr>
            <w:tcW w:w="1270" w:type="dxa"/>
          </w:tcPr>
          <w:p w14:paraId="19D24827" w14:textId="77777777" w:rsidR="006A35D8" w:rsidRPr="006A35D8" w:rsidRDefault="001919BF" w:rsidP="000A69BD">
            <w:pPr>
              <w:pStyle w:val="ECCTabletext"/>
              <w:jc w:val="left"/>
            </w:pPr>
            <w:r>
              <w:t>1</w:t>
            </w:r>
            <w:r w:rsidR="00CF4994">
              <w:t>.2</w:t>
            </w:r>
            <w:r w:rsidR="006A35D8" w:rsidRPr="009B5279">
              <w:t> </w:t>
            </w:r>
            <w:r>
              <w:t>k</w:t>
            </w:r>
            <w:r w:rsidR="006A35D8" w:rsidRPr="009B5279">
              <w:t>m</w:t>
            </w:r>
          </w:p>
        </w:tc>
        <w:tc>
          <w:tcPr>
            <w:tcW w:w="1270" w:type="dxa"/>
          </w:tcPr>
          <w:p w14:paraId="3326AD0D" w14:textId="77777777" w:rsidR="006A35D8" w:rsidRPr="006A35D8" w:rsidRDefault="001919BF" w:rsidP="000A69BD">
            <w:pPr>
              <w:pStyle w:val="ECCTabletext"/>
              <w:jc w:val="left"/>
            </w:pPr>
            <w:r>
              <w:t>127</w:t>
            </w:r>
            <w:r w:rsidR="006A35D8" w:rsidRPr="009B5279">
              <w:t> m</w:t>
            </w:r>
          </w:p>
        </w:tc>
      </w:tr>
      <w:tr w:rsidR="006A35D8" w14:paraId="764D1AF2" w14:textId="77777777" w:rsidTr="008E658F">
        <w:tc>
          <w:tcPr>
            <w:tcW w:w="1413" w:type="dxa"/>
            <w:vMerge/>
          </w:tcPr>
          <w:p w14:paraId="6ABF040B" w14:textId="77777777" w:rsidR="006A35D8" w:rsidRPr="009B5279" w:rsidRDefault="006A35D8" w:rsidP="006A35D8">
            <w:pPr>
              <w:pStyle w:val="ECCTabletext"/>
            </w:pPr>
          </w:p>
        </w:tc>
        <w:tc>
          <w:tcPr>
            <w:tcW w:w="2881" w:type="dxa"/>
          </w:tcPr>
          <w:p w14:paraId="3D0B140E" w14:textId="77777777" w:rsidR="006A35D8" w:rsidRPr="006A35D8" w:rsidRDefault="006A35D8" w:rsidP="000A69BD">
            <w:pPr>
              <w:pStyle w:val="ECCTabletext"/>
              <w:jc w:val="left"/>
            </w:pPr>
            <w:r w:rsidRPr="009B5279">
              <w:t>241 to 275 GHz</w:t>
            </w:r>
            <w:r w:rsidR="008E658F">
              <w:t xml:space="preserve"> (In-band)</w:t>
            </w:r>
          </w:p>
        </w:tc>
        <w:tc>
          <w:tcPr>
            <w:tcW w:w="1383" w:type="dxa"/>
          </w:tcPr>
          <w:p w14:paraId="6D0D32CD" w14:textId="77777777" w:rsidR="006A35D8" w:rsidRPr="006A35D8" w:rsidRDefault="006A35D8" w:rsidP="000A69BD">
            <w:pPr>
              <w:pStyle w:val="ECCTabletext"/>
              <w:jc w:val="left"/>
            </w:pPr>
            <w:r w:rsidRPr="009B5279">
              <w:t>245</w:t>
            </w:r>
            <w:r w:rsidR="00CF4994">
              <w:t>.5</w:t>
            </w:r>
            <w:r w:rsidRPr="009B5279">
              <w:t> GHz</w:t>
            </w:r>
          </w:p>
        </w:tc>
        <w:tc>
          <w:tcPr>
            <w:tcW w:w="1270" w:type="dxa"/>
          </w:tcPr>
          <w:p w14:paraId="2E62DAE2" w14:textId="77777777" w:rsidR="006A35D8" w:rsidRPr="006A35D8" w:rsidRDefault="001919BF" w:rsidP="000A69BD">
            <w:pPr>
              <w:pStyle w:val="ECCTabletext"/>
              <w:jc w:val="left"/>
            </w:pPr>
            <w:r>
              <w:t>1</w:t>
            </w:r>
            <w:r w:rsidR="00CF4994">
              <w:t>.0</w:t>
            </w:r>
            <w:r w:rsidR="006A35D8" w:rsidRPr="009B5279">
              <w:t> </w:t>
            </w:r>
            <w:r>
              <w:t>k</w:t>
            </w:r>
            <w:r w:rsidR="006A35D8" w:rsidRPr="009B5279">
              <w:t>m</w:t>
            </w:r>
          </w:p>
        </w:tc>
        <w:tc>
          <w:tcPr>
            <w:tcW w:w="1270" w:type="dxa"/>
          </w:tcPr>
          <w:p w14:paraId="2173E60C" w14:textId="77777777" w:rsidR="006A35D8" w:rsidRPr="006A35D8" w:rsidRDefault="001919BF" w:rsidP="000A69BD">
            <w:pPr>
              <w:pStyle w:val="ECCTabletext"/>
              <w:jc w:val="left"/>
              <w:rPr>
                <w:highlight w:val="yellow"/>
              </w:rPr>
            </w:pPr>
            <w:r>
              <w:t>122</w:t>
            </w:r>
            <w:r w:rsidR="00B34F10">
              <w:t> </w:t>
            </w:r>
            <w:r w:rsidR="006A35D8" w:rsidRPr="009B5279">
              <w:t>m</w:t>
            </w:r>
          </w:p>
        </w:tc>
      </w:tr>
    </w:tbl>
    <w:p w14:paraId="070FA5C9" w14:textId="558BB2E9" w:rsidR="006A35D8" w:rsidRPr="00B10E31" w:rsidRDefault="0029762D" w:rsidP="006A35D8">
      <w:r>
        <w:fldChar w:fldCharType="begin"/>
      </w:r>
      <w:r>
        <w:instrText xml:space="preserve"> REF _Ref66453050 \h </w:instrText>
      </w:r>
      <w:r>
        <w:fldChar w:fldCharType="separate"/>
      </w:r>
      <w:r w:rsidR="0041125F" w:rsidRPr="00FF50FD">
        <w:t>Table </w:t>
      </w:r>
      <w:r w:rsidR="0041125F">
        <w:rPr>
          <w:noProof/>
        </w:rPr>
        <w:t>64</w:t>
      </w:r>
      <w:r>
        <w:fldChar w:fldCharType="end"/>
      </w:r>
      <w:r>
        <w:t xml:space="preserve"> </w:t>
      </w:r>
      <w:r w:rsidR="006A35D8" w:rsidRPr="00B10E31">
        <w:t xml:space="preserve">shows the single-entry </w:t>
      </w:r>
      <w:r w:rsidR="00791D2C">
        <w:t>worst</w:t>
      </w:r>
      <w:r w:rsidR="006A35D8" w:rsidRPr="00B10E31">
        <w:t>-case results for RDI-S, e.g. the largest separation distances for the individual frequency ranges inside RR article 5.340 protected bands, RAS and victim sensor types.</w:t>
      </w:r>
    </w:p>
    <w:p w14:paraId="7E57CAD6" w14:textId="4194E333" w:rsidR="006A35D8" w:rsidRPr="006A35D8" w:rsidRDefault="0029762D" w:rsidP="006A35D8">
      <w:pPr>
        <w:pStyle w:val="Caption"/>
        <w:rPr>
          <w:rStyle w:val="ECCParagraph"/>
        </w:rPr>
      </w:pPr>
      <w:bookmarkStart w:id="589" w:name="_Ref66453050"/>
      <w:r w:rsidRPr="00FF50FD">
        <w:t>Table </w:t>
      </w:r>
      <w:r w:rsidRPr="0091705E">
        <w:fldChar w:fldCharType="begin"/>
      </w:r>
      <w:r w:rsidRPr="00FF50FD">
        <w:instrText xml:space="preserve"> SEQ Table \* ARABIC </w:instrText>
      </w:r>
      <w:r w:rsidRPr="0091705E">
        <w:fldChar w:fldCharType="separate"/>
      </w:r>
      <w:r w:rsidR="004F49F9">
        <w:rPr>
          <w:noProof/>
        </w:rPr>
        <w:t>64</w:t>
      </w:r>
      <w:r w:rsidRPr="0091705E">
        <w:fldChar w:fldCharType="end"/>
      </w:r>
      <w:bookmarkEnd w:id="589"/>
      <w:r w:rsidR="006A35D8" w:rsidRPr="006A35D8">
        <w:t>: Required separation distances determined in a single-entry study for RDI-S inside RR article 5.340 protected bands</w:t>
      </w:r>
    </w:p>
    <w:tbl>
      <w:tblPr>
        <w:tblStyle w:val="ECCTable-redheader"/>
        <w:tblW w:w="8395" w:type="dxa"/>
        <w:tblInd w:w="0" w:type="dxa"/>
        <w:tblLayout w:type="fixed"/>
        <w:tblLook w:val="04A0" w:firstRow="1" w:lastRow="0" w:firstColumn="1" w:lastColumn="0" w:noHBand="0" w:noVBand="1"/>
      </w:tblPr>
      <w:tblGrid>
        <w:gridCol w:w="1413"/>
        <w:gridCol w:w="2835"/>
        <w:gridCol w:w="1417"/>
        <w:gridCol w:w="1418"/>
        <w:gridCol w:w="1312"/>
      </w:tblGrid>
      <w:tr w:rsidR="006A35D8" w14:paraId="3428DEC9" w14:textId="77777777" w:rsidTr="008E658F">
        <w:trPr>
          <w:cnfStyle w:val="100000000000" w:firstRow="1" w:lastRow="0" w:firstColumn="0" w:lastColumn="0" w:oddVBand="0" w:evenVBand="0" w:oddHBand="0" w:evenHBand="0" w:firstRowFirstColumn="0" w:firstRowLastColumn="0" w:lastRowFirstColumn="0" w:lastRowLastColumn="0"/>
        </w:trPr>
        <w:tc>
          <w:tcPr>
            <w:tcW w:w="1413" w:type="dxa"/>
          </w:tcPr>
          <w:p w14:paraId="090D6423" w14:textId="77777777" w:rsidR="006A35D8" w:rsidRPr="006A35D8" w:rsidRDefault="006A35D8" w:rsidP="00876039">
            <w:pPr>
              <w:pStyle w:val="ECCTableHeaderwhitefont"/>
            </w:pPr>
            <w:r w:rsidRPr="00566944">
              <w:t>Investigated Frequency range</w:t>
            </w:r>
          </w:p>
        </w:tc>
        <w:tc>
          <w:tcPr>
            <w:tcW w:w="2835" w:type="dxa"/>
          </w:tcPr>
          <w:p w14:paraId="61C757DF" w14:textId="77777777" w:rsidR="006A35D8" w:rsidRPr="006A35D8" w:rsidRDefault="006A35D8" w:rsidP="000A69BD">
            <w:pPr>
              <w:pStyle w:val="ECCTableHeaderwhitefont"/>
            </w:pPr>
            <w:r>
              <w:t>Article 5.340 protected</w:t>
            </w:r>
            <w:r w:rsidRPr="006A35D8">
              <w:t xml:space="preserve"> passive band</w:t>
            </w:r>
          </w:p>
        </w:tc>
        <w:tc>
          <w:tcPr>
            <w:tcW w:w="1417" w:type="dxa"/>
          </w:tcPr>
          <w:p w14:paraId="3782F8F4" w14:textId="77777777" w:rsidR="006A35D8" w:rsidRPr="006A35D8" w:rsidRDefault="006A35D8" w:rsidP="000A69BD">
            <w:pPr>
              <w:pStyle w:val="ECCTableHeaderwhitefont"/>
            </w:pPr>
            <w:r>
              <w:t>Investigated centre frequency</w:t>
            </w:r>
          </w:p>
        </w:tc>
        <w:tc>
          <w:tcPr>
            <w:tcW w:w="1418" w:type="dxa"/>
          </w:tcPr>
          <w:p w14:paraId="3695748B" w14:textId="77777777" w:rsidR="006A35D8" w:rsidRPr="006A35D8" w:rsidRDefault="006A35D8" w:rsidP="000A69BD">
            <w:pPr>
              <w:pStyle w:val="ECCTableHeaderwhitefont"/>
            </w:pPr>
            <w:r>
              <w:t>Required separation distance</w:t>
            </w:r>
            <w:r w:rsidRPr="006A35D8">
              <w:t xml:space="preserve"> for RAS CO</w:t>
            </w:r>
          </w:p>
        </w:tc>
        <w:tc>
          <w:tcPr>
            <w:tcW w:w="1312" w:type="dxa"/>
          </w:tcPr>
          <w:p w14:paraId="1EA4D26A" w14:textId="77777777" w:rsidR="006A35D8" w:rsidRPr="006A35D8" w:rsidRDefault="006A35D8" w:rsidP="000A69BD">
            <w:pPr>
              <w:pStyle w:val="ECCTableHeaderwhitefont"/>
            </w:pPr>
            <w:r>
              <w:t>Required separation distance</w:t>
            </w:r>
            <w:r w:rsidRPr="006A35D8">
              <w:t xml:space="preserve"> for RAS SLO</w:t>
            </w:r>
          </w:p>
        </w:tc>
      </w:tr>
      <w:tr w:rsidR="006A35D8" w14:paraId="766DBC62" w14:textId="77777777" w:rsidTr="008E658F">
        <w:tc>
          <w:tcPr>
            <w:tcW w:w="1413" w:type="dxa"/>
            <w:vMerge w:val="restart"/>
          </w:tcPr>
          <w:p w14:paraId="1EF79A4A" w14:textId="77777777" w:rsidR="006A35D8" w:rsidRPr="006A35D8" w:rsidRDefault="006A35D8" w:rsidP="000A69BD">
            <w:pPr>
              <w:pStyle w:val="ECCTabletext"/>
              <w:jc w:val="left"/>
            </w:pPr>
            <w:r w:rsidRPr="00C53FB5">
              <w:t>116 to 260 GHz</w:t>
            </w:r>
          </w:p>
        </w:tc>
        <w:tc>
          <w:tcPr>
            <w:tcW w:w="2835" w:type="dxa"/>
          </w:tcPr>
          <w:p w14:paraId="1BE6D77C" w14:textId="77777777" w:rsidR="006A35D8" w:rsidRPr="006A35D8" w:rsidRDefault="006A35D8" w:rsidP="000A69BD">
            <w:pPr>
              <w:pStyle w:val="ECCTabletext"/>
              <w:jc w:val="left"/>
            </w:pPr>
            <w:r w:rsidRPr="00C53FB5">
              <w:t>114</w:t>
            </w:r>
            <w:r w:rsidR="00CF4994">
              <w:t>.2</w:t>
            </w:r>
            <w:r w:rsidRPr="00C53FB5">
              <w:t>5 to 116 GHz</w:t>
            </w:r>
            <w:r w:rsidR="008E658F">
              <w:t xml:space="preserve"> (OOB)</w:t>
            </w:r>
          </w:p>
        </w:tc>
        <w:tc>
          <w:tcPr>
            <w:tcW w:w="1417" w:type="dxa"/>
          </w:tcPr>
          <w:p w14:paraId="01E57848" w14:textId="77777777" w:rsidR="006A35D8" w:rsidRPr="006A35D8" w:rsidRDefault="006A35D8" w:rsidP="000A69BD">
            <w:pPr>
              <w:pStyle w:val="ECCTabletext"/>
              <w:jc w:val="left"/>
            </w:pPr>
            <w:r w:rsidRPr="00C53FB5">
              <w:t>115</w:t>
            </w:r>
            <w:r w:rsidR="00CF4994">
              <w:t>.1</w:t>
            </w:r>
            <w:r w:rsidRPr="00C53FB5">
              <w:t>25 GHz</w:t>
            </w:r>
          </w:p>
        </w:tc>
        <w:tc>
          <w:tcPr>
            <w:tcW w:w="1418" w:type="dxa"/>
          </w:tcPr>
          <w:p w14:paraId="5B441987" w14:textId="77777777" w:rsidR="006A35D8" w:rsidRPr="006A35D8" w:rsidRDefault="000D0BBA" w:rsidP="000A69BD">
            <w:pPr>
              <w:pStyle w:val="ECCTabletext"/>
              <w:jc w:val="left"/>
            </w:pPr>
            <w:r>
              <w:t>900</w:t>
            </w:r>
            <w:r w:rsidR="006A35D8">
              <w:t> m</w:t>
            </w:r>
          </w:p>
        </w:tc>
        <w:tc>
          <w:tcPr>
            <w:tcW w:w="1312" w:type="dxa"/>
          </w:tcPr>
          <w:p w14:paraId="5E9432CD" w14:textId="77777777" w:rsidR="006A35D8" w:rsidRPr="006A35D8" w:rsidRDefault="000D0BBA" w:rsidP="000A69BD">
            <w:pPr>
              <w:pStyle w:val="ECCTabletext"/>
              <w:jc w:val="left"/>
            </w:pPr>
            <w:r>
              <w:t>104</w:t>
            </w:r>
            <w:r w:rsidR="006A35D8">
              <w:t> m</w:t>
            </w:r>
          </w:p>
        </w:tc>
      </w:tr>
      <w:tr w:rsidR="006A35D8" w14:paraId="001D53CA" w14:textId="77777777" w:rsidTr="008E658F">
        <w:tc>
          <w:tcPr>
            <w:tcW w:w="1413" w:type="dxa"/>
            <w:vMerge/>
          </w:tcPr>
          <w:p w14:paraId="6AE0FA9A" w14:textId="77777777" w:rsidR="006A35D8" w:rsidRPr="00C53FB5" w:rsidRDefault="006A35D8" w:rsidP="006A35D8">
            <w:pPr>
              <w:pStyle w:val="ECCTabletext"/>
            </w:pPr>
          </w:p>
        </w:tc>
        <w:tc>
          <w:tcPr>
            <w:tcW w:w="2835" w:type="dxa"/>
          </w:tcPr>
          <w:p w14:paraId="53FAE1A7" w14:textId="77777777" w:rsidR="006A35D8" w:rsidRPr="006A35D8" w:rsidRDefault="006A35D8" w:rsidP="000A69BD">
            <w:pPr>
              <w:pStyle w:val="ECCTabletext"/>
              <w:jc w:val="left"/>
            </w:pPr>
            <w:r w:rsidRPr="00C53FB5">
              <w:t>148</w:t>
            </w:r>
            <w:r w:rsidR="00CF4994">
              <w:t>.5</w:t>
            </w:r>
            <w:r w:rsidRPr="00C53FB5">
              <w:t xml:space="preserve"> to 151</w:t>
            </w:r>
            <w:r w:rsidR="00CF4994">
              <w:t>.5</w:t>
            </w:r>
            <w:r w:rsidRPr="00C53FB5">
              <w:t> GHz</w:t>
            </w:r>
            <w:r w:rsidR="008E658F">
              <w:t xml:space="preserve"> (In-band)</w:t>
            </w:r>
          </w:p>
        </w:tc>
        <w:tc>
          <w:tcPr>
            <w:tcW w:w="1417" w:type="dxa"/>
          </w:tcPr>
          <w:p w14:paraId="5AAF994F" w14:textId="77777777" w:rsidR="006A35D8" w:rsidRPr="006A35D8" w:rsidRDefault="006A35D8" w:rsidP="000A69BD">
            <w:pPr>
              <w:pStyle w:val="ECCTabletext"/>
              <w:jc w:val="left"/>
            </w:pPr>
            <w:r w:rsidRPr="00C53FB5">
              <w:t>150 GHz</w:t>
            </w:r>
          </w:p>
        </w:tc>
        <w:tc>
          <w:tcPr>
            <w:tcW w:w="1418" w:type="dxa"/>
          </w:tcPr>
          <w:p w14:paraId="1D995D25" w14:textId="77777777" w:rsidR="006A35D8" w:rsidRPr="006A35D8" w:rsidRDefault="000D0BBA" w:rsidP="000A69BD">
            <w:pPr>
              <w:pStyle w:val="ECCTabletext"/>
              <w:jc w:val="left"/>
            </w:pPr>
            <w:r>
              <w:t>707</w:t>
            </w:r>
            <w:r w:rsidR="006A35D8">
              <w:t> m</w:t>
            </w:r>
          </w:p>
        </w:tc>
        <w:tc>
          <w:tcPr>
            <w:tcW w:w="1312" w:type="dxa"/>
          </w:tcPr>
          <w:p w14:paraId="1F970812" w14:textId="77777777" w:rsidR="006A35D8" w:rsidRPr="006A35D8" w:rsidRDefault="000D0BBA" w:rsidP="000A69BD">
            <w:pPr>
              <w:pStyle w:val="ECCTabletext"/>
              <w:jc w:val="left"/>
            </w:pPr>
            <w:r>
              <w:t>80</w:t>
            </w:r>
            <w:r w:rsidR="006A35D8">
              <w:t> m</w:t>
            </w:r>
          </w:p>
        </w:tc>
      </w:tr>
      <w:tr w:rsidR="006A35D8" w14:paraId="23F39919" w14:textId="77777777" w:rsidTr="008E658F">
        <w:tc>
          <w:tcPr>
            <w:tcW w:w="1413" w:type="dxa"/>
            <w:vMerge/>
          </w:tcPr>
          <w:p w14:paraId="0024172C" w14:textId="77777777" w:rsidR="006A35D8" w:rsidRPr="00C53FB5" w:rsidRDefault="006A35D8" w:rsidP="006A35D8">
            <w:pPr>
              <w:pStyle w:val="ECCTabletext"/>
            </w:pPr>
          </w:p>
        </w:tc>
        <w:tc>
          <w:tcPr>
            <w:tcW w:w="2835" w:type="dxa"/>
          </w:tcPr>
          <w:p w14:paraId="03999B9A" w14:textId="77777777" w:rsidR="006A35D8" w:rsidRPr="006A35D8" w:rsidRDefault="006A35D8" w:rsidP="000A69BD">
            <w:pPr>
              <w:pStyle w:val="ECCTabletext"/>
              <w:jc w:val="left"/>
            </w:pPr>
            <w:r w:rsidRPr="00C53FB5">
              <w:t>164 to 167 GHz</w:t>
            </w:r>
            <w:r w:rsidR="008E658F">
              <w:t xml:space="preserve"> (In-band)</w:t>
            </w:r>
          </w:p>
        </w:tc>
        <w:tc>
          <w:tcPr>
            <w:tcW w:w="1417" w:type="dxa"/>
          </w:tcPr>
          <w:p w14:paraId="36F30FAB" w14:textId="77777777" w:rsidR="006A35D8" w:rsidRPr="006A35D8" w:rsidRDefault="006A35D8" w:rsidP="000A69BD">
            <w:pPr>
              <w:pStyle w:val="ECCTabletext"/>
              <w:jc w:val="left"/>
            </w:pPr>
            <w:r w:rsidRPr="00C53FB5">
              <w:t>165</w:t>
            </w:r>
            <w:r w:rsidR="00CF4994">
              <w:t>.5</w:t>
            </w:r>
            <w:r w:rsidRPr="00C53FB5">
              <w:t> GHz</w:t>
            </w:r>
          </w:p>
        </w:tc>
        <w:tc>
          <w:tcPr>
            <w:tcW w:w="1418" w:type="dxa"/>
          </w:tcPr>
          <w:p w14:paraId="25ACD1D2" w14:textId="77777777" w:rsidR="006A35D8" w:rsidRPr="006A35D8" w:rsidRDefault="000D0BBA" w:rsidP="000A69BD">
            <w:pPr>
              <w:pStyle w:val="ECCTabletext"/>
              <w:jc w:val="left"/>
            </w:pPr>
            <w:r>
              <w:t>638</w:t>
            </w:r>
            <w:r w:rsidR="006A35D8">
              <w:t> m</w:t>
            </w:r>
          </w:p>
        </w:tc>
        <w:tc>
          <w:tcPr>
            <w:tcW w:w="1312" w:type="dxa"/>
          </w:tcPr>
          <w:p w14:paraId="71FA21E7" w14:textId="77777777" w:rsidR="006A35D8" w:rsidRPr="006A35D8" w:rsidRDefault="000D0BBA" w:rsidP="000A69BD">
            <w:pPr>
              <w:pStyle w:val="ECCTabletext"/>
              <w:jc w:val="left"/>
            </w:pPr>
            <w:r>
              <w:t>72</w:t>
            </w:r>
            <w:r w:rsidR="006A35D8">
              <w:t> m</w:t>
            </w:r>
          </w:p>
        </w:tc>
      </w:tr>
      <w:tr w:rsidR="006A35D8" w14:paraId="6C911A1A" w14:textId="77777777" w:rsidTr="008E658F">
        <w:tc>
          <w:tcPr>
            <w:tcW w:w="1413" w:type="dxa"/>
            <w:vMerge/>
          </w:tcPr>
          <w:p w14:paraId="5345296D" w14:textId="77777777" w:rsidR="006A35D8" w:rsidRPr="00C53FB5" w:rsidRDefault="006A35D8" w:rsidP="006A35D8">
            <w:pPr>
              <w:pStyle w:val="ECCTabletext"/>
            </w:pPr>
          </w:p>
        </w:tc>
        <w:tc>
          <w:tcPr>
            <w:tcW w:w="2835" w:type="dxa"/>
          </w:tcPr>
          <w:p w14:paraId="1F53102B" w14:textId="77777777" w:rsidR="006A35D8" w:rsidRPr="006A35D8" w:rsidRDefault="006A35D8" w:rsidP="000A69BD">
            <w:pPr>
              <w:pStyle w:val="ECCTabletext"/>
              <w:jc w:val="left"/>
            </w:pPr>
            <w:r w:rsidRPr="00C53FB5">
              <w:t>182 to 185 GHz</w:t>
            </w:r>
            <w:r w:rsidR="008E658F">
              <w:t xml:space="preserve"> (In-band)</w:t>
            </w:r>
          </w:p>
        </w:tc>
        <w:tc>
          <w:tcPr>
            <w:tcW w:w="1417" w:type="dxa"/>
          </w:tcPr>
          <w:p w14:paraId="50A005BB" w14:textId="77777777" w:rsidR="006A35D8" w:rsidRPr="006A35D8" w:rsidRDefault="006A35D8" w:rsidP="000A69BD">
            <w:pPr>
              <w:pStyle w:val="ECCTabletext"/>
              <w:jc w:val="left"/>
            </w:pPr>
            <w:r w:rsidRPr="00C53FB5">
              <w:t>183</w:t>
            </w:r>
            <w:r w:rsidR="00CF4994">
              <w:t>.5</w:t>
            </w:r>
            <w:r w:rsidRPr="00C53FB5">
              <w:t> GHz</w:t>
            </w:r>
          </w:p>
        </w:tc>
        <w:tc>
          <w:tcPr>
            <w:tcW w:w="1418" w:type="dxa"/>
          </w:tcPr>
          <w:p w14:paraId="2608B50C" w14:textId="77777777" w:rsidR="006A35D8" w:rsidRPr="006A35D8" w:rsidRDefault="006A35D8" w:rsidP="000A69BD">
            <w:pPr>
              <w:pStyle w:val="ECCTabletext"/>
              <w:jc w:val="left"/>
            </w:pPr>
            <w:r>
              <w:t>4</w:t>
            </w:r>
            <w:r w:rsidR="000D0BBA">
              <w:t>79</w:t>
            </w:r>
            <w:r>
              <w:t> m</w:t>
            </w:r>
          </w:p>
        </w:tc>
        <w:tc>
          <w:tcPr>
            <w:tcW w:w="1312" w:type="dxa"/>
          </w:tcPr>
          <w:p w14:paraId="3716463B" w14:textId="77777777" w:rsidR="006A35D8" w:rsidRPr="006A35D8" w:rsidRDefault="000D0BBA" w:rsidP="000A69BD">
            <w:pPr>
              <w:pStyle w:val="ECCTabletext"/>
              <w:jc w:val="left"/>
            </w:pPr>
            <w:r>
              <w:t>64</w:t>
            </w:r>
            <w:r w:rsidR="00052482">
              <w:t> </w:t>
            </w:r>
            <w:r w:rsidR="006A35D8">
              <w:t>m</w:t>
            </w:r>
          </w:p>
        </w:tc>
      </w:tr>
      <w:tr w:rsidR="006A35D8" w14:paraId="10CF0E43" w14:textId="77777777" w:rsidTr="008E658F">
        <w:tc>
          <w:tcPr>
            <w:tcW w:w="1413" w:type="dxa"/>
            <w:vMerge/>
          </w:tcPr>
          <w:p w14:paraId="15A33B07" w14:textId="77777777" w:rsidR="006A35D8" w:rsidRPr="00C53FB5" w:rsidRDefault="006A35D8" w:rsidP="006A35D8">
            <w:pPr>
              <w:pStyle w:val="ECCTabletext"/>
            </w:pPr>
          </w:p>
        </w:tc>
        <w:tc>
          <w:tcPr>
            <w:tcW w:w="2835" w:type="dxa"/>
          </w:tcPr>
          <w:p w14:paraId="321C3E75" w14:textId="77777777" w:rsidR="006A35D8" w:rsidRPr="006A35D8" w:rsidRDefault="006A35D8" w:rsidP="000A69BD">
            <w:pPr>
              <w:pStyle w:val="ECCTabletext"/>
              <w:jc w:val="left"/>
            </w:pPr>
            <w:r w:rsidRPr="00C53FB5">
              <w:t>190 to 191</w:t>
            </w:r>
            <w:r w:rsidR="00CF4994">
              <w:t>.8</w:t>
            </w:r>
            <w:r w:rsidRPr="00C53FB5">
              <w:t> GHz</w:t>
            </w:r>
            <w:r w:rsidR="008E658F">
              <w:t xml:space="preserve"> (In-band)</w:t>
            </w:r>
          </w:p>
        </w:tc>
        <w:tc>
          <w:tcPr>
            <w:tcW w:w="1417" w:type="dxa"/>
          </w:tcPr>
          <w:p w14:paraId="0094C9DA" w14:textId="77777777" w:rsidR="006A35D8" w:rsidRPr="006A35D8" w:rsidRDefault="006A35D8" w:rsidP="000A69BD">
            <w:pPr>
              <w:pStyle w:val="ECCTabletext"/>
              <w:jc w:val="left"/>
            </w:pPr>
            <w:r w:rsidRPr="00C53FB5">
              <w:t>190</w:t>
            </w:r>
            <w:r w:rsidR="00CF4994">
              <w:t>.9</w:t>
            </w:r>
            <w:r w:rsidRPr="00C53FB5">
              <w:t> GHz</w:t>
            </w:r>
          </w:p>
        </w:tc>
        <w:tc>
          <w:tcPr>
            <w:tcW w:w="1418" w:type="dxa"/>
          </w:tcPr>
          <w:p w14:paraId="67105E46" w14:textId="77777777" w:rsidR="006A35D8" w:rsidRPr="006A35D8" w:rsidRDefault="006A35D8" w:rsidP="000A69BD">
            <w:pPr>
              <w:pStyle w:val="ECCTabletext"/>
              <w:jc w:val="left"/>
            </w:pPr>
            <w:r>
              <w:t>541 m</w:t>
            </w:r>
          </w:p>
        </w:tc>
        <w:tc>
          <w:tcPr>
            <w:tcW w:w="1312" w:type="dxa"/>
          </w:tcPr>
          <w:p w14:paraId="79FD9877" w14:textId="77777777" w:rsidR="006A35D8" w:rsidRPr="006A35D8" w:rsidRDefault="006A35D8" w:rsidP="000A69BD">
            <w:pPr>
              <w:pStyle w:val="ECCTabletext"/>
              <w:jc w:val="left"/>
            </w:pPr>
            <w:r>
              <w:t>6</w:t>
            </w:r>
            <w:r w:rsidR="000D0BBA">
              <w:t>2</w:t>
            </w:r>
            <w:r>
              <w:t> m</w:t>
            </w:r>
          </w:p>
        </w:tc>
      </w:tr>
      <w:tr w:rsidR="006A35D8" w14:paraId="5AE9F000" w14:textId="77777777" w:rsidTr="008E658F">
        <w:tc>
          <w:tcPr>
            <w:tcW w:w="1413" w:type="dxa"/>
            <w:vMerge/>
          </w:tcPr>
          <w:p w14:paraId="7262CBB8" w14:textId="77777777" w:rsidR="006A35D8" w:rsidRPr="00C53FB5" w:rsidRDefault="006A35D8" w:rsidP="006A35D8">
            <w:pPr>
              <w:pStyle w:val="ECCTabletext"/>
            </w:pPr>
          </w:p>
        </w:tc>
        <w:tc>
          <w:tcPr>
            <w:tcW w:w="2835" w:type="dxa"/>
          </w:tcPr>
          <w:p w14:paraId="532E5890" w14:textId="77777777" w:rsidR="006A35D8" w:rsidRPr="006A35D8" w:rsidRDefault="006A35D8" w:rsidP="000A69BD">
            <w:pPr>
              <w:pStyle w:val="ECCTabletext"/>
              <w:jc w:val="left"/>
            </w:pPr>
            <w:r w:rsidRPr="00C53FB5">
              <w:t>200 to 209 GHz</w:t>
            </w:r>
            <w:r w:rsidR="008E658F">
              <w:t xml:space="preserve"> (In-band)</w:t>
            </w:r>
          </w:p>
        </w:tc>
        <w:tc>
          <w:tcPr>
            <w:tcW w:w="1417" w:type="dxa"/>
          </w:tcPr>
          <w:p w14:paraId="34087CEE" w14:textId="77777777" w:rsidR="006A35D8" w:rsidRPr="006A35D8" w:rsidRDefault="006A35D8" w:rsidP="000A69BD">
            <w:pPr>
              <w:pStyle w:val="ECCTabletext"/>
              <w:jc w:val="left"/>
            </w:pPr>
            <w:r w:rsidRPr="00C53FB5">
              <w:t>204</w:t>
            </w:r>
            <w:r w:rsidR="00CF4994">
              <w:t>.5</w:t>
            </w:r>
            <w:r w:rsidRPr="00C53FB5">
              <w:t> GHz</w:t>
            </w:r>
          </w:p>
        </w:tc>
        <w:tc>
          <w:tcPr>
            <w:tcW w:w="1418" w:type="dxa"/>
          </w:tcPr>
          <w:p w14:paraId="44AD9086" w14:textId="77777777" w:rsidR="006A35D8" w:rsidRPr="006A35D8" w:rsidRDefault="006A35D8" w:rsidP="000A69BD">
            <w:pPr>
              <w:pStyle w:val="ECCTabletext"/>
              <w:jc w:val="left"/>
            </w:pPr>
            <w:r>
              <w:t>50</w:t>
            </w:r>
            <w:r w:rsidR="000D0BBA">
              <w:t>6</w:t>
            </w:r>
            <w:r>
              <w:t> m</w:t>
            </w:r>
          </w:p>
        </w:tc>
        <w:tc>
          <w:tcPr>
            <w:tcW w:w="1312" w:type="dxa"/>
          </w:tcPr>
          <w:p w14:paraId="518E4B41" w14:textId="77777777" w:rsidR="006A35D8" w:rsidRPr="006A35D8" w:rsidRDefault="006A35D8" w:rsidP="000A69BD">
            <w:pPr>
              <w:pStyle w:val="ECCTabletext"/>
              <w:jc w:val="left"/>
              <w:rPr>
                <w:highlight w:val="yellow"/>
              </w:rPr>
            </w:pPr>
            <w:r w:rsidRPr="00337646">
              <w:t>52 m</w:t>
            </w:r>
          </w:p>
        </w:tc>
      </w:tr>
      <w:tr w:rsidR="006A35D8" w14:paraId="5B41A68A" w14:textId="77777777" w:rsidTr="008E658F">
        <w:tc>
          <w:tcPr>
            <w:tcW w:w="1413" w:type="dxa"/>
            <w:vMerge/>
          </w:tcPr>
          <w:p w14:paraId="5BA925B6" w14:textId="77777777" w:rsidR="006A35D8" w:rsidRPr="00C53FB5" w:rsidRDefault="006A35D8" w:rsidP="006A35D8">
            <w:pPr>
              <w:pStyle w:val="ECCTabletext"/>
            </w:pPr>
          </w:p>
        </w:tc>
        <w:tc>
          <w:tcPr>
            <w:tcW w:w="2835" w:type="dxa"/>
          </w:tcPr>
          <w:p w14:paraId="03189EAC" w14:textId="77777777" w:rsidR="006A35D8" w:rsidRPr="006A35D8" w:rsidRDefault="006A35D8" w:rsidP="000A69BD">
            <w:pPr>
              <w:pStyle w:val="ECCTabletext"/>
              <w:jc w:val="left"/>
            </w:pPr>
            <w:r w:rsidRPr="00C53FB5">
              <w:t>226 to 231</w:t>
            </w:r>
            <w:r w:rsidR="00CF4994">
              <w:t>.5</w:t>
            </w:r>
            <w:r w:rsidRPr="00C53FB5">
              <w:t> GHz</w:t>
            </w:r>
            <w:r w:rsidR="008E658F">
              <w:t xml:space="preserve"> (In-band)</w:t>
            </w:r>
          </w:p>
        </w:tc>
        <w:tc>
          <w:tcPr>
            <w:tcW w:w="1417" w:type="dxa"/>
          </w:tcPr>
          <w:p w14:paraId="628BE102" w14:textId="77777777" w:rsidR="006A35D8" w:rsidRPr="006A35D8" w:rsidRDefault="006A35D8" w:rsidP="000A69BD">
            <w:pPr>
              <w:pStyle w:val="ECCTabletext"/>
              <w:jc w:val="left"/>
            </w:pPr>
            <w:r w:rsidRPr="00C53FB5">
              <w:t>228</w:t>
            </w:r>
            <w:r w:rsidR="00CF4994">
              <w:t>.2</w:t>
            </w:r>
            <w:r w:rsidRPr="00C53FB5">
              <w:t>5 GHz</w:t>
            </w:r>
          </w:p>
        </w:tc>
        <w:tc>
          <w:tcPr>
            <w:tcW w:w="1418" w:type="dxa"/>
          </w:tcPr>
          <w:p w14:paraId="2B43F03B" w14:textId="77777777" w:rsidR="006A35D8" w:rsidRPr="006A35D8" w:rsidRDefault="006A35D8" w:rsidP="000A69BD">
            <w:pPr>
              <w:pStyle w:val="ECCTabletext"/>
              <w:jc w:val="left"/>
            </w:pPr>
            <w:r>
              <w:t>407 m</w:t>
            </w:r>
          </w:p>
        </w:tc>
        <w:tc>
          <w:tcPr>
            <w:tcW w:w="1312" w:type="dxa"/>
          </w:tcPr>
          <w:p w14:paraId="6863E47E" w14:textId="77777777" w:rsidR="006A35D8" w:rsidRPr="006A35D8" w:rsidRDefault="006A35D8" w:rsidP="000A69BD">
            <w:pPr>
              <w:pStyle w:val="ECCTabletext"/>
              <w:jc w:val="left"/>
              <w:rPr>
                <w:highlight w:val="yellow"/>
              </w:rPr>
            </w:pPr>
            <w:r w:rsidRPr="00337646">
              <w:t>42</w:t>
            </w:r>
            <w:r w:rsidR="00052482">
              <w:t> </w:t>
            </w:r>
            <w:r w:rsidRPr="00337646">
              <w:t>m</w:t>
            </w:r>
          </w:p>
        </w:tc>
      </w:tr>
      <w:tr w:rsidR="006A35D8" w14:paraId="195DAE1E" w14:textId="77777777" w:rsidTr="008E658F">
        <w:tc>
          <w:tcPr>
            <w:tcW w:w="1413" w:type="dxa"/>
            <w:vMerge/>
          </w:tcPr>
          <w:p w14:paraId="009EE423" w14:textId="77777777" w:rsidR="006A35D8" w:rsidRPr="00C53FB5" w:rsidRDefault="006A35D8" w:rsidP="006A35D8">
            <w:pPr>
              <w:pStyle w:val="ECCTabletext"/>
            </w:pPr>
          </w:p>
        </w:tc>
        <w:tc>
          <w:tcPr>
            <w:tcW w:w="2835" w:type="dxa"/>
          </w:tcPr>
          <w:p w14:paraId="6AA2CAAF" w14:textId="77777777" w:rsidR="006A35D8" w:rsidRPr="006A35D8" w:rsidRDefault="006A35D8" w:rsidP="000A69BD">
            <w:pPr>
              <w:pStyle w:val="ECCTabletext"/>
              <w:jc w:val="left"/>
            </w:pPr>
            <w:r w:rsidRPr="00C53FB5">
              <w:t>250 to 252 GHz</w:t>
            </w:r>
            <w:r w:rsidR="008E658F">
              <w:t xml:space="preserve"> (In-band)</w:t>
            </w:r>
          </w:p>
        </w:tc>
        <w:tc>
          <w:tcPr>
            <w:tcW w:w="1417" w:type="dxa"/>
          </w:tcPr>
          <w:p w14:paraId="02468FB8" w14:textId="7600FE58" w:rsidR="006A35D8" w:rsidRPr="006A35D8" w:rsidRDefault="006A35D8" w:rsidP="000A69BD">
            <w:pPr>
              <w:pStyle w:val="ECCTabletext"/>
              <w:jc w:val="left"/>
            </w:pPr>
            <w:r w:rsidRPr="00C53FB5">
              <w:t>251</w:t>
            </w:r>
            <w:r w:rsidR="00EF0583">
              <w:t> </w:t>
            </w:r>
            <w:r w:rsidRPr="00C53FB5">
              <w:t>GHz</w:t>
            </w:r>
          </w:p>
        </w:tc>
        <w:tc>
          <w:tcPr>
            <w:tcW w:w="1418" w:type="dxa"/>
          </w:tcPr>
          <w:p w14:paraId="68043340" w14:textId="77777777" w:rsidR="006A35D8" w:rsidRPr="006A35D8" w:rsidRDefault="006A35D8" w:rsidP="000A69BD">
            <w:pPr>
              <w:pStyle w:val="ECCTabletext"/>
              <w:jc w:val="left"/>
            </w:pPr>
            <w:r>
              <w:t>371</w:t>
            </w:r>
            <w:r w:rsidR="00052482">
              <w:t> </w:t>
            </w:r>
            <w:r>
              <w:t>m</w:t>
            </w:r>
          </w:p>
        </w:tc>
        <w:tc>
          <w:tcPr>
            <w:tcW w:w="1312" w:type="dxa"/>
          </w:tcPr>
          <w:p w14:paraId="042EFAF1" w14:textId="77777777" w:rsidR="006A35D8" w:rsidRPr="006A35D8" w:rsidRDefault="006A35D8" w:rsidP="000A69BD">
            <w:pPr>
              <w:pStyle w:val="ECCTabletext"/>
              <w:jc w:val="left"/>
              <w:rPr>
                <w:highlight w:val="yellow"/>
              </w:rPr>
            </w:pPr>
            <w:r w:rsidRPr="00337646">
              <w:t>38 m</w:t>
            </w:r>
          </w:p>
        </w:tc>
      </w:tr>
    </w:tbl>
    <w:p w14:paraId="39ED8213" w14:textId="017CF146" w:rsidR="00530C48" w:rsidRPr="00530C48" w:rsidRDefault="00530C48" w:rsidP="00530C48">
      <w:r>
        <w:t xml:space="preserve">The conclusions drawn from these results can be found in </w:t>
      </w:r>
      <w:r w:rsidR="009D5FA2">
        <w:t>section</w:t>
      </w:r>
      <w:r>
        <w:t xml:space="preserve"> </w:t>
      </w:r>
      <w:r>
        <w:fldChar w:fldCharType="begin"/>
      </w:r>
      <w:r>
        <w:instrText xml:space="preserve"> REF _Ref67392580 \r \h </w:instrText>
      </w:r>
      <w:r>
        <w:fldChar w:fldCharType="separate"/>
      </w:r>
      <w:r w:rsidR="004F49F9">
        <w:t>8.8.2</w:t>
      </w:r>
      <w:r>
        <w:fldChar w:fldCharType="end"/>
      </w:r>
      <w:r>
        <w:t>.</w:t>
      </w:r>
    </w:p>
    <w:p w14:paraId="67A3F030" w14:textId="77777777" w:rsidR="00BB568E" w:rsidRDefault="00945F69" w:rsidP="00945F69">
      <w:pPr>
        <w:pStyle w:val="Heading2"/>
        <w:rPr>
          <w:noProof/>
          <w:lang w:val="en-GB"/>
        </w:rPr>
      </w:pPr>
      <w:bookmarkStart w:id="590" w:name="_Toc17880014"/>
      <w:bookmarkStart w:id="591" w:name="_Ref18067331"/>
      <w:bookmarkStart w:id="592" w:name="_Ref18067338"/>
      <w:bookmarkStart w:id="593" w:name="_Ref18067343"/>
      <w:bookmarkStart w:id="594" w:name="_Toc84325373"/>
      <w:bookmarkStart w:id="595" w:name="_Toc127346297"/>
      <w:bookmarkStart w:id="596" w:name="_Hlk67922419"/>
      <w:r w:rsidRPr="00945F69">
        <w:t>T</w:t>
      </w:r>
      <w:r w:rsidR="00BB568E" w:rsidRPr="00945F69">
        <w:rPr>
          <w:noProof/>
          <w:lang w:val="en-GB"/>
        </w:rPr>
        <w:t>echnical parameters of Radio astronomy stations and protection levels in the frequency range 116 to 260 GHz</w:t>
      </w:r>
      <w:bookmarkEnd w:id="590"/>
      <w:bookmarkEnd w:id="591"/>
      <w:bookmarkEnd w:id="592"/>
      <w:bookmarkEnd w:id="593"/>
      <w:bookmarkEnd w:id="594"/>
      <w:bookmarkEnd w:id="595"/>
    </w:p>
    <w:p w14:paraId="174240C0" w14:textId="01738A32" w:rsidR="00C62B11" w:rsidRPr="006D6727" w:rsidRDefault="00C62B11" w:rsidP="003C3B68">
      <w:pPr>
        <w:rPr>
          <w:noProof/>
        </w:rPr>
      </w:pPr>
      <w:r w:rsidRPr="006D6727">
        <w:rPr>
          <w:noProof/>
        </w:rPr>
        <w:t xml:space="preserve">Currently, </w:t>
      </w:r>
      <w:r w:rsidR="003C3B68" w:rsidRPr="006D6727">
        <w:rPr>
          <w:noProof/>
        </w:rPr>
        <w:t xml:space="preserve">Europe hosts the world most sensitive </w:t>
      </w:r>
      <w:r w:rsidR="00BC4ADC" w:rsidRPr="006D6727">
        <w:rPr>
          <w:noProof/>
        </w:rPr>
        <w:t>millimetre</w:t>
      </w:r>
      <w:r w:rsidR="003C3B68" w:rsidRPr="006D6727">
        <w:rPr>
          <w:noProof/>
        </w:rPr>
        <w:t xml:space="preserve"> single antenna and the most sensitive </w:t>
      </w:r>
      <w:r w:rsidR="00BC4ADC" w:rsidRPr="006D6727">
        <w:rPr>
          <w:noProof/>
        </w:rPr>
        <w:t>millimetre</w:t>
      </w:r>
      <w:r w:rsidR="003C3B68" w:rsidRPr="006D6727">
        <w:rPr>
          <w:noProof/>
        </w:rPr>
        <w:t xml:space="preserve"> interferometer in the Northern Hemisphere, the IRAM 30</w:t>
      </w:r>
      <w:r w:rsidR="00BC4ADC" w:rsidRPr="006D6727">
        <w:rPr>
          <w:noProof/>
        </w:rPr>
        <w:t> </w:t>
      </w:r>
      <w:r w:rsidR="003C3B68" w:rsidRPr="006D6727">
        <w:rPr>
          <w:noProof/>
        </w:rPr>
        <w:t xml:space="preserve">m in Spain and NOEMA in France respectively. </w:t>
      </w:r>
      <w:r w:rsidRPr="006D6727">
        <w:rPr>
          <w:noProof/>
        </w:rPr>
        <w:t xml:space="preserve">The site characteristics are provided in </w:t>
      </w:r>
      <w:r w:rsidRPr="006D6727">
        <w:rPr>
          <w:noProof/>
        </w:rPr>
        <w:fldChar w:fldCharType="begin"/>
      </w:r>
      <w:r w:rsidRPr="006D6727">
        <w:rPr>
          <w:noProof/>
        </w:rPr>
        <w:instrText xml:space="preserve"> REF _Ref20386983 \h </w:instrText>
      </w:r>
      <w:r w:rsidRPr="006D6727">
        <w:rPr>
          <w:noProof/>
        </w:rPr>
      </w:r>
      <w:r w:rsidRPr="006D6727">
        <w:rPr>
          <w:noProof/>
        </w:rPr>
        <w:fldChar w:fldCharType="separate"/>
      </w:r>
      <w:r w:rsidR="0041125F" w:rsidRPr="006D6727">
        <w:rPr>
          <w:noProof/>
        </w:rPr>
        <w:t>Table </w:t>
      </w:r>
      <w:r w:rsidR="0041125F">
        <w:rPr>
          <w:noProof/>
        </w:rPr>
        <w:t>65</w:t>
      </w:r>
      <w:r w:rsidRPr="006D6727">
        <w:rPr>
          <w:noProof/>
        </w:rPr>
        <w:fldChar w:fldCharType="end"/>
      </w:r>
      <w:r w:rsidRPr="006D6727">
        <w:rPr>
          <w:noProof/>
        </w:rPr>
        <w:t>.</w:t>
      </w:r>
    </w:p>
    <w:p w14:paraId="63BABB06" w14:textId="51D01ABF" w:rsidR="003C3B68" w:rsidRPr="006D6727" w:rsidRDefault="003C3B68" w:rsidP="003C3B68">
      <w:pPr>
        <w:rPr>
          <w:noProof/>
        </w:rPr>
      </w:pPr>
      <w:r w:rsidRPr="006D6727">
        <w:rPr>
          <w:noProof/>
        </w:rPr>
        <w:t>Both</w:t>
      </w:r>
      <w:r w:rsidR="00C62B11" w:rsidRPr="006D6727">
        <w:rPr>
          <w:noProof/>
        </w:rPr>
        <w:t>,</w:t>
      </w:r>
      <w:r w:rsidRPr="006D6727">
        <w:rPr>
          <w:noProof/>
        </w:rPr>
        <w:t xml:space="preserve"> the 30</w:t>
      </w:r>
      <w:r w:rsidR="00C62B11" w:rsidRPr="006D6727">
        <w:rPr>
          <w:noProof/>
        </w:rPr>
        <w:t> </w:t>
      </w:r>
      <w:r w:rsidRPr="006D6727">
        <w:rPr>
          <w:noProof/>
        </w:rPr>
        <w:t xml:space="preserve">m </w:t>
      </w:r>
      <w:r w:rsidR="00C62B11" w:rsidRPr="006D6727">
        <w:rPr>
          <w:noProof/>
        </w:rPr>
        <w:t xml:space="preserve">IRAM </w:t>
      </w:r>
      <w:r w:rsidRPr="006D6727">
        <w:rPr>
          <w:noProof/>
        </w:rPr>
        <w:t>and NOEMA observe more than 50</w:t>
      </w:r>
      <w:r w:rsidR="00F800A2">
        <w:rPr>
          <w:noProof/>
        </w:rPr>
        <w:t>%</w:t>
      </w:r>
      <w:r w:rsidRPr="006D6727">
        <w:rPr>
          <w:noProof/>
        </w:rPr>
        <w:t xml:space="preserve"> of the time in the bands 120-175</w:t>
      </w:r>
      <w:r w:rsidR="00C62B11" w:rsidRPr="006D6727">
        <w:rPr>
          <w:noProof/>
        </w:rPr>
        <w:t> </w:t>
      </w:r>
      <w:r w:rsidRPr="006D6727">
        <w:rPr>
          <w:noProof/>
        </w:rPr>
        <w:t>GHz and 200-275</w:t>
      </w:r>
      <w:r w:rsidR="00C62B11" w:rsidRPr="006D6727">
        <w:rPr>
          <w:noProof/>
        </w:rPr>
        <w:t> </w:t>
      </w:r>
      <w:r w:rsidRPr="006D6727">
        <w:rPr>
          <w:noProof/>
        </w:rPr>
        <w:t>GHz. As the quest for new molecules (including the search for aminoacids) goes on, one needs ever more sensitive instruments and observations. Recognizing also that the astrophysical lines appear at certain frequencies imposed by physics (often not known prior to the observations), and that a confirmed detection of a new species requires the detection of at least a few lines of that species (spread over the whole band), the RAS has allocations (</w:t>
      </w:r>
      <w:r w:rsidR="00834F91" w:rsidRPr="006D6727">
        <w:rPr>
          <w:noProof/>
        </w:rPr>
        <w:t xml:space="preserve">primary </w:t>
      </w:r>
      <w:r w:rsidRPr="006D6727">
        <w:rPr>
          <w:noProof/>
        </w:rPr>
        <w:t>or secondary) and protecting footnotes (RR 5.149 or RR 5.340) in most of the range.</w:t>
      </w:r>
    </w:p>
    <w:p w14:paraId="0DA5B4A4" w14:textId="227CF6B2" w:rsidR="00C62B11" w:rsidRPr="006D6727" w:rsidRDefault="008B11CA" w:rsidP="00C62B11">
      <w:pPr>
        <w:rPr>
          <w:noProof/>
        </w:rPr>
      </w:pPr>
      <w:r w:rsidRPr="006D6727">
        <w:rPr>
          <w:noProof/>
        </w:rPr>
        <w:t xml:space="preserve">Several </w:t>
      </w:r>
      <w:r w:rsidR="00C62B11" w:rsidRPr="006D6727">
        <w:rPr>
          <w:noProof/>
        </w:rPr>
        <w:t xml:space="preserve">representative frequencies are used in this study, </w:t>
      </w:r>
      <w:r w:rsidR="009B78D8" w:rsidRPr="006D6727">
        <w:rPr>
          <w:noProof/>
        </w:rPr>
        <w:t>116, 120, 130, 140, 160, 185, 210,</w:t>
      </w:r>
      <w:r w:rsidR="00C62B11" w:rsidRPr="006D6727">
        <w:rPr>
          <w:noProof/>
        </w:rPr>
        <w:t xml:space="preserve"> and 2</w:t>
      </w:r>
      <w:r w:rsidR="009B78D8" w:rsidRPr="006D6727">
        <w:rPr>
          <w:noProof/>
        </w:rPr>
        <w:t>60</w:t>
      </w:r>
      <w:r w:rsidR="00C62B11" w:rsidRPr="006D6727">
        <w:rPr>
          <w:noProof/>
        </w:rPr>
        <w:t xml:space="preserve"> GHz and the relevant protection criteria are </w:t>
      </w:r>
      <w:r w:rsidR="009B78D8" w:rsidRPr="006D6727">
        <w:rPr>
          <w:noProof/>
        </w:rPr>
        <w:t xml:space="preserve">contained </w:t>
      </w:r>
      <w:r w:rsidR="00C62B11" w:rsidRPr="006D6727">
        <w:rPr>
          <w:noProof/>
        </w:rPr>
        <w:t>in</w:t>
      </w:r>
      <w:r w:rsidR="009B78D8" w:rsidRPr="006D6727">
        <w:rPr>
          <w:noProof/>
        </w:rPr>
        <w:t xml:space="preserve"> </w:t>
      </w:r>
      <w:r w:rsidR="009D5FA2">
        <w:rPr>
          <w:noProof/>
        </w:rPr>
        <w:t>section</w:t>
      </w:r>
      <w:r w:rsidR="009B78D8" w:rsidRPr="006D6727">
        <w:rPr>
          <w:noProof/>
        </w:rPr>
        <w:t xml:space="preserve"> </w:t>
      </w:r>
      <w:r w:rsidR="009B78D8" w:rsidRPr="006D6727">
        <w:rPr>
          <w:noProof/>
        </w:rPr>
        <w:fldChar w:fldCharType="begin"/>
      </w:r>
      <w:r w:rsidR="009B78D8" w:rsidRPr="006D6727">
        <w:rPr>
          <w:noProof/>
        </w:rPr>
        <w:instrText xml:space="preserve"> REF _Ref25574886 \r \h </w:instrText>
      </w:r>
      <w:r w:rsidR="009B78D8" w:rsidRPr="006D6727">
        <w:rPr>
          <w:noProof/>
        </w:rPr>
      </w:r>
      <w:r w:rsidR="009B78D8" w:rsidRPr="006D6727">
        <w:rPr>
          <w:noProof/>
        </w:rPr>
        <w:fldChar w:fldCharType="separate"/>
      </w:r>
      <w:r w:rsidR="004F49F9">
        <w:rPr>
          <w:noProof/>
        </w:rPr>
        <w:t>3.5.2</w:t>
      </w:r>
      <w:r w:rsidR="009B78D8" w:rsidRPr="006D6727">
        <w:rPr>
          <w:noProof/>
        </w:rPr>
        <w:fldChar w:fldCharType="end"/>
      </w:r>
      <w:r w:rsidR="00D72B6B" w:rsidRPr="006D6727">
        <w:rPr>
          <w:noProof/>
        </w:rPr>
        <w:t xml:space="preserve"> in</w:t>
      </w:r>
      <w:r w:rsidR="009B78D8" w:rsidRPr="006D6727">
        <w:rPr>
          <w:noProof/>
        </w:rPr>
        <w:t xml:space="preserve"> </w:t>
      </w:r>
      <w:r w:rsidR="009B78D8" w:rsidRPr="006D6727">
        <w:rPr>
          <w:noProof/>
        </w:rPr>
        <w:fldChar w:fldCharType="begin"/>
      </w:r>
      <w:r w:rsidR="009B78D8" w:rsidRPr="006D6727">
        <w:rPr>
          <w:noProof/>
        </w:rPr>
        <w:instrText xml:space="preserve"> REF _Ref25573392 \h </w:instrText>
      </w:r>
      <w:r w:rsidR="009B78D8" w:rsidRPr="006D6727">
        <w:rPr>
          <w:noProof/>
        </w:rPr>
      </w:r>
      <w:r w:rsidR="009B78D8" w:rsidRPr="006D6727">
        <w:rPr>
          <w:noProof/>
        </w:rPr>
        <w:fldChar w:fldCharType="separate"/>
      </w:r>
      <w:r w:rsidR="0041125F" w:rsidRPr="006D6727">
        <w:rPr>
          <w:noProof/>
        </w:rPr>
        <w:t>Table </w:t>
      </w:r>
      <w:r w:rsidR="0041125F">
        <w:rPr>
          <w:noProof/>
        </w:rPr>
        <w:t>39</w:t>
      </w:r>
      <w:r w:rsidR="009B78D8" w:rsidRPr="006D6727">
        <w:rPr>
          <w:noProof/>
        </w:rPr>
        <w:fldChar w:fldCharType="end"/>
      </w:r>
      <w:r w:rsidR="00C62B11" w:rsidRPr="006D6727">
        <w:rPr>
          <w:rStyle w:val="ECCParagraph"/>
          <w:noProof/>
        </w:rPr>
        <w:t>.</w:t>
      </w:r>
      <w:r w:rsidR="009B78D8" w:rsidRPr="006D6727">
        <w:rPr>
          <w:rStyle w:val="ECCParagraph"/>
          <w:noProof/>
        </w:rPr>
        <w:t xml:space="preserve"> The most sensitive measurement mode is continuum observations, which are also used extensively at both considered European observatories. Therefore, in this report only calculations for the continuum mode are presented.</w:t>
      </w:r>
    </w:p>
    <w:p w14:paraId="290FBACA" w14:textId="652DCF49" w:rsidR="003C3B68" w:rsidRPr="006D6727" w:rsidRDefault="007F5E7B" w:rsidP="007F5E7B">
      <w:pPr>
        <w:pStyle w:val="Caption"/>
        <w:rPr>
          <w:rStyle w:val="ECCHLyellow"/>
          <w:noProof/>
        </w:rPr>
      </w:pPr>
      <w:bookmarkStart w:id="597" w:name="_Ref20386983"/>
      <w:r w:rsidRPr="006D6727">
        <w:rPr>
          <w:noProof/>
          <w:lang w:val="en-GB"/>
        </w:rPr>
        <w:t>Table </w:t>
      </w:r>
      <w:r w:rsidRPr="006D6727">
        <w:rPr>
          <w:noProof/>
          <w:lang w:val="en-GB"/>
        </w:rPr>
        <w:fldChar w:fldCharType="begin"/>
      </w:r>
      <w:r w:rsidRPr="006D6727">
        <w:rPr>
          <w:noProof/>
          <w:lang w:val="en-GB"/>
        </w:rPr>
        <w:instrText xml:space="preserve"> SEQ Table \* ARABIC </w:instrText>
      </w:r>
      <w:r w:rsidRPr="006D6727">
        <w:rPr>
          <w:noProof/>
          <w:lang w:val="en-GB"/>
        </w:rPr>
        <w:fldChar w:fldCharType="separate"/>
      </w:r>
      <w:r w:rsidR="004F49F9">
        <w:rPr>
          <w:noProof/>
          <w:lang w:val="en-GB"/>
        </w:rPr>
        <w:t>65</w:t>
      </w:r>
      <w:r w:rsidRPr="006D6727">
        <w:rPr>
          <w:noProof/>
          <w:lang w:val="en-GB"/>
        </w:rPr>
        <w:fldChar w:fldCharType="end"/>
      </w:r>
      <w:bookmarkEnd w:id="597"/>
      <w:r w:rsidRPr="006D6727">
        <w:rPr>
          <w:noProof/>
          <w:lang w:val="en-GB"/>
        </w:rPr>
        <w:t xml:space="preserve">: </w:t>
      </w:r>
      <w:r w:rsidRPr="006D6727">
        <w:rPr>
          <w:rStyle w:val="ECCParagraph"/>
          <w:rFonts w:eastAsia="Calibri"/>
          <w:noProof/>
        </w:rPr>
        <w:t>European radio astronomy observatories</w:t>
      </w:r>
      <w:r w:rsidRPr="006D6727">
        <w:rPr>
          <w:noProof/>
          <w:lang w:val="en-GB"/>
        </w:rPr>
        <w:t xml:space="preserve"> operating in the frequency range 116 GHz to 260 GHz</w:t>
      </w:r>
    </w:p>
    <w:tbl>
      <w:tblPr>
        <w:tblStyle w:val="ECCTable-redheader"/>
        <w:tblW w:w="9629" w:type="dxa"/>
        <w:tblInd w:w="0" w:type="dxa"/>
        <w:tblLook w:val="0620" w:firstRow="1" w:lastRow="0" w:firstColumn="0" w:lastColumn="0" w:noHBand="1" w:noVBand="1"/>
      </w:tblPr>
      <w:tblGrid>
        <w:gridCol w:w="1589"/>
        <w:gridCol w:w="1856"/>
        <w:gridCol w:w="1349"/>
        <w:gridCol w:w="1261"/>
        <w:gridCol w:w="1717"/>
        <w:gridCol w:w="1857"/>
      </w:tblGrid>
      <w:tr w:rsidR="003C3B68" w:rsidRPr="006D6727" w14:paraId="6C7701CF" w14:textId="77777777" w:rsidTr="001042A5">
        <w:trPr>
          <w:cnfStyle w:val="100000000000" w:firstRow="1" w:lastRow="0" w:firstColumn="0" w:lastColumn="0" w:oddVBand="0" w:evenVBand="0" w:oddHBand="0" w:evenHBand="0" w:firstRowFirstColumn="0" w:firstRowLastColumn="0" w:lastRowFirstColumn="0" w:lastRowLastColumn="0"/>
        </w:trPr>
        <w:tc>
          <w:tcPr>
            <w:tcW w:w="1589" w:type="dxa"/>
          </w:tcPr>
          <w:p w14:paraId="5B7DAE99" w14:textId="77777777" w:rsidR="003C3B68" w:rsidRPr="006D6727" w:rsidRDefault="003C3B68" w:rsidP="00876039">
            <w:pPr>
              <w:pStyle w:val="ECCTableHeaderwhitefont"/>
              <w:rPr>
                <w:noProof/>
              </w:rPr>
            </w:pPr>
            <w:r w:rsidRPr="006D6727">
              <w:rPr>
                <w:noProof/>
              </w:rPr>
              <w:t>Observatory Name</w:t>
            </w:r>
          </w:p>
        </w:tc>
        <w:tc>
          <w:tcPr>
            <w:tcW w:w="1856" w:type="dxa"/>
          </w:tcPr>
          <w:p w14:paraId="7FA00DE7" w14:textId="77777777" w:rsidR="003C3B68" w:rsidRPr="006D6727" w:rsidRDefault="003C3B68" w:rsidP="00755979">
            <w:pPr>
              <w:pStyle w:val="ECCTableHeaderwhitefont"/>
              <w:rPr>
                <w:noProof/>
              </w:rPr>
            </w:pPr>
            <w:r w:rsidRPr="006D6727">
              <w:rPr>
                <w:noProof/>
              </w:rPr>
              <w:t>Administration</w:t>
            </w:r>
          </w:p>
        </w:tc>
        <w:tc>
          <w:tcPr>
            <w:tcW w:w="1349" w:type="dxa"/>
          </w:tcPr>
          <w:p w14:paraId="3A424D75" w14:textId="77777777" w:rsidR="003C3B68" w:rsidRPr="006D6727" w:rsidRDefault="003C3B68" w:rsidP="00755979">
            <w:pPr>
              <w:pStyle w:val="ECCTableHeaderwhitefont"/>
              <w:rPr>
                <w:noProof/>
              </w:rPr>
            </w:pPr>
            <w:r w:rsidRPr="006D6727">
              <w:rPr>
                <w:noProof/>
              </w:rPr>
              <w:t>Longitude (E), Latitude (N)</w:t>
            </w:r>
          </w:p>
        </w:tc>
        <w:tc>
          <w:tcPr>
            <w:tcW w:w="1261" w:type="dxa"/>
          </w:tcPr>
          <w:p w14:paraId="1CA242C5" w14:textId="77777777" w:rsidR="003C3B68" w:rsidRPr="006D6727" w:rsidRDefault="003C3B68" w:rsidP="00755979">
            <w:pPr>
              <w:pStyle w:val="ECCTableHeaderwhitefont"/>
              <w:rPr>
                <w:noProof/>
              </w:rPr>
            </w:pPr>
            <w:r w:rsidRPr="006D6727">
              <w:rPr>
                <w:noProof/>
              </w:rPr>
              <w:t>Elevation (m AMSL)</w:t>
            </w:r>
          </w:p>
        </w:tc>
        <w:tc>
          <w:tcPr>
            <w:tcW w:w="1717" w:type="dxa"/>
          </w:tcPr>
          <w:p w14:paraId="17E83B10" w14:textId="77777777" w:rsidR="003C3B68" w:rsidRPr="006D6727" w:rsidRDefault="003C3B68" w:rsidP="00755979">
            <w:pPr>
              <w:pStyle w:val="ECCTableHeaderwhitefont"/>
              <w:rPr>
                <w:noProof/>
              </w:rPr>
            </w:pPr>
            <w:r w:rsidRPr="006D6727">
              <w:rPr>
                <w:noProof/>
              </w:rPr>
              <w:t>Observing mode</w:t>
            </w:r>
          </w:p>
        </w:tc>
        <w:tc>
          <w:tcPr>
            <w:tcW w:w="1857" w:type="dxa"/>
          </w:tcPr>
          <w:p w14:paraId="432E90D5" w14:textId="77777777" w:rsidR="003C3B68" w:rsidRPr="006D6727" w:rsidRDefault="003C3B68" w:rsidP="00755979">
            <w:pPr>
              <w:pStyle w:val="ECCTableHeaderwhitefont"/>
              <w:rPr>
                <w:noProof/>
              </w:rPr>
            </w:pPr>
            <w:r w:rsidRPr="006D6727">
              <w:rPr>
                <w:noProof/>
              </w:rPr>
              <w:t>Geographical characteristics</w:t>
            </w:r>
          </w:p>
        </w:tc>
      </w:tr>
      <w:tr w:rsidR="003C3B68" w:rsidRPr="006D6727" w14:paraId="1C669F2A" w14:textId="77777777" w:rsidTr="001042A5">
        <w:tc>
          <w:tcPr>
            <w:tcW w:w="1589" w:type="dxa"/>
          </w:tcPr>
          <w:p w14:paraId="2C8D5883" w14:textId="77777777" w:rsidR="003C3B68" w:rsidRPr="006D6727" w:rsidRDefault="003C3B68" w:rsidP="000A69BD">
            <w:pPr>
              <w:pStyle w:val="ECCTabletext"/>
              <w:jc w:val="left"/>
              <w:rPr>
                <w:noProof/>
              </w:rPr>
            </w:pPr>
            <w:r w:rsidRPr="006D6727">
              <w:rPr>
                <w:noProof/>
              </w:rPr>
              <w:t>NOEMA</w:t>
            </w:r>
          </w:p>
        </w:tc>
        <w:tc>
          <w:tcPr>
            <w:tcW w:w="1856" w:type="dxa"/>
          </w:tcPr>
          <w:p w14:paraId="45896C3C" w14:textId="77777777" w:rsidR="003C3B68" w:rsidRPr="006D6727" w:rsidRDefault="003C3B68" w:rsidP="000A69BD">
            <w:pPr>
              <w:pStyle w:val="ECCTabletext"/>
              <w:jc w:val="left"/>
              <w:rPr>
                <w:noProof/>
              </w:rPr>
            </w:pPr>
            <w:r w:rsidRPr="006D6727">
              <w:rPr>
                <w:noProof/>
              </w:rPr>
              <w:t>France</w:t>
            </w:r>
          </w:p>
        </w:tc>
        <w:tc>
          <w:tcPr>
            <w:tcW w:w="1349" w:type="dxa"/>
          </w:tcPr>
          <w:p w14:paraId="440A210C" w14:textId="77777777" w:rsidR="003C3B68" w:rsidRPr="006D6727" w:rsidRDefault="003C3B68" w:rsidP="000A69BD">
            <w:pPr>
              <w:pStyle w:val="ECCTabletext"/>
              <w:jc w:val="left"/>
              <w:rPr>
                <w:noProof/>
              </w:rPr>
            </w:pPr>
            <w:r w:rsidRPr="006D6727">
              <w:rPr>
                <w:noProof/>
              </w:rPr>
              <w:t>05°54'28"</w:t>
            </w:r>
          </w:p>
          <w:p w14:paraId="53A2AEBD" w14:textId="77777777" w:rsidR="003C3B68" w:rsidRPr="006D6727" w:rsidRDefault="003C3B68" w:rsidP="000A69BD">
            <w:pPr>
              <w:pStyle w:val="ECCTabletext"/>
              <w:jc w:val="left"/>
              <w:rPr>
                <w:noProof/>
              </w:rPr>
            </w:pPr>
            <w:r w:rsidRPr="006D6727">
              <w:rPr>
                <w:noProof/>
              </w:rPr>
              <w:t>44°38'02"</w:t>
            </w:r>
          </w:p>
        </w:tc>
        <w:tc>
          <w:tcPr>
            <w:tcW w:w="1261" w:type="dxa"/>
          </w:tcPr>
          <w:p w14:paraId="23165949" w14:textId="77777777" w:rsidR="003C3B68" w:rsidRPr="006D6727" w:rsidRDefault="003C3B68" w:rsidP="000A69BD">
            <w:pPr>
              <w:pStyle w:val="ECCTabletext"/>
              <w:jc w:val="left"/>
              <w:rPr>
                <w:noProof/>
              </w:rPr>
            </w:pPr>
            <w:r w:rsidRPr="006D6727">
              <w:rPr>
                <w:noProof/>
              </w:rPr>
              <w:t>2253</w:t>
            </w:r>
          </w:p>
        </w:tc>
        <w:tc>
          <w:tcPr>
            <w:tcW w:w="1717" w:type="dxa"/>
          </w:tcPr>
          <w:p w14:paraId="2B6C0A15" w14:textId="77777777" w:rsidR="003C3B68" w:rsidRPr="006D6727" w:rsidRDefault="003C3B68" w:rsidP="000A69BD">
            <w:pPr>
              <w:pStyle w:val="ECCTabletext"/>
              <w:jc w:val="left"/>
              <w:rPr>
                <w:noProof/>
              </w:rPr>
            </w:pPr>
            <w:r w:rsidRPr="006D6727">
              <w:rPr>
                <w:noProof/>
              </w:rPr>
              <w:t>single dish, interferometry, VLBI</w:t>
            </w:r>
          </w:p>
        </w:tc>
        <w:tc>
          <w:tcPr>
            <w:tcW w:w="1857" w:type="dxa"/>
          </w:tcPr>
          <w:p w14:paraId="6ACB82D2" w14:textId="77777777" w:rsidR="003C3B68" w:rsidRPr="006D6727" w:rsidRDefault="003C3B68" w:rsidP="000A69BD">
            <w:pPr>
              <w:pStyle w:val="ECCTabletext"/>
              <w:jc w:val="left"/>
              <w:rPr>
                <w:noProof/>
              </w:rPr>
            </w:pPr>
            <w:r w:rsidRPr="006D6727">
              <w:rPr>
                <w:noProof/>
              </w:rPr>
              <w:t>Isolated high mountain top in the Alps (Plateau de Bure)</w:t>
            </w:r>
          </w:p>
        </w:tc>
      </w:tr>
      <w:tr w:rsidR="003C3B68" w:rsidRPr="006D6727" w14:paraId="051D21FE" w14:textId="77777777" w:rsidTr="001042A5">
        <w:tc>
          <w:tcPr>
            <w:tcW w:w="1589" w:type="dxa"/>
          </w:tcPr>
          <w:p w14:paraId="27F4BEE3" w14:textId="77777777" w:rsidR="003C3B68" w:rsidRPr="006D6727" w:rsidRDefault="003C3B68" w:rsidP="00755979">
            <w:pPr>
              <w:pStyle w:val="ECCTabletext"/>
              <w:jc w:val="left"/>
              <w:rPr>
                <w:noProof/>
              </w:rPr>
            </w:pPr>
            <w:r w:rsidRPr="006D6727">
              <w:rPr>
                <w:noProof/>
              </w:rPr>
              <w:t>IRAM 30</w:t>
            </w:r>
            <w:r w:rsidR="00A527B4" w:rsidRPr="006D6727">
              <w:rPr>
                <w:noProof/>
              </w:rPr>
              <w:t> </w:t>
            </w:r>
            <w:r w:rsidRPr="006D6727">
              <w:rPr>
                <w:noProof/>
              </w:rPr>
              <w:t>m</w:t>
            </w:r>
          </w:p>
        </w:tc>
        <w:tc>
          <w:tcPr>
            <w:tcW w:w="1856" w:type="dxa"/>
          </w:tcPr>
          <w:p w14:paraId="734BDFE1" w14:textId="77777777" w:rsidR="003C3B68" w:rsidRPr="006D6727" w:rsidRDefault="003C3B68" w:rsidP="00755979">
            <w:pPr>
              <w:pStyle w:val="ECCTabletext"/>
              <w:jc w:val="left"/>
              <w:rPr>
                <w:noProof/>
              </w:rPr>
            </w:pPr>
            <w:r w:rsidRPr="006D6727">
              <w:rPr>
                <w:noProof/>
              </w:rPr>
              <w:t>Spain</w:t>
            </w:r>
          </w:p>
        </w:tc>
        <w:tc>
          <w:tcPr>
            <w:tcW w:w="1349" w:type="dxa"/>
          </w:tcPr>
          <w:p w14:paraId="40D8BDA3" w14:textId="77777777" w:rsidR="003C3B68" w:rsidRPr="006D6727" w:rsidRDefault="003C3B68" w:rsidP="00755979">
            <w:pPr>
              <w:pStyle w:val="ECCTabletext"/>
              <w:jc w:val="left"/>
              <w:rPr>
                <w:noProof/>
              </w:rPr>
            </w:pPr>
            <w:r w:rsidRPr="006D6727">
              <w:rPr>
                <w:noProof/>
              </w:rPr>
              <w:t xml:space="preserve">-03°23'34" </w:t>
            </w:r>
          </w:p>
          <w:p w14:paraId="55EFFCA4" w14:textId="77777777" w:rsidR="003C3B68" w:rsidRPr="006D6727" w:rsidRDefault="003C3B68" w:rsidP="00755979">
            <w:pPr>
              <w:pStyle w:val="ECCTabletext"/>
              <w:jc w:val="left"/>
              <w:rPr>
                <w:noProof/>
              </w:rPr>
            </w:pPr>
            <w:r w:rsidRPr="006D6727">
              <w:rPr>
                <w:noProof/>
              </w:rPr>
              <w:t>57°23'45"</w:t>
            </w:r>
          </w:p>
        </w:tc>
        <w:tc>
          <w:tcPr>
            <w:tcW w:w="1261" w:type="dxa"/>
          </w:tcPr>
          <w:p w14:paraId="72BC0507" w14:textId="77777777" w:rsidR="003C3B68" w:rsidRPr="006D6727" w:rsidRDefault="003C3B68" w:rsidP="00755979">
            <w:pPr>
              <w:pStyle w:val="ECCTabletext"/>
              <w:jc w:val="left"/>
              <w:rPr>
                <w:noProof/>
              </w:rPr>
            </w:pPr>
            <w:r w:rsidRPr="006D6727">
              <w:rPr>
                <w:noProof/>
              </w:rPr>
              <w:t>2850</w:t>
            </w:r>
          </w:p>
        </w:tc>
        <w:tc>
          <w:tcPr>
            <w:tcW w:w="1717" w:type="dxa"/>
          </w:tcPr>
          <w:p w14:paraId="3219DB80" w14:textId="77777777" w:rsidR="003C3B68" w:rsidRPr="006D6727" w:rsidRDefault="003C3B68" w:rsidP="00755979">
            <w:pPr>
              <w:pStyle w:val="ECCTabletext"/>
              <w:jc w:val="left"/>
              <w:rPr>
                <w:noProof/>
              </w:rPr>
            </w:pPr>
            <w:r w:rsidRPr="006D6727">
              <w:rPr>
                <w:noProof/>
              </w:rPr>
              <w:t>Single dish, VLBI</w:t>
            </w:r>
          </w:p>
        </w:tc>
        <w:tc>
          <w:tcPr>
            <w:tcW w:w="1857" w:type="dxa"/>
          </w:tcPr>
          <w:p w14:paraId="25067E04" w14:textId="77777777" w:rsidR="003C3B68" w:rsidRPr="006D6727" w:rsidRDefault="003C3B68" w:rsidP="00755979">
            <w:pPr>
              <w:pStyle w:val="ECCTabletext"/>
              <w:jc w:val="left"/>
              <w:rPr>
                <w:noProof/>
              </w:rPr>
            </w:pPr>
            <w:r w:rsidRPr="006D6727">
              <w:rPr>
                <w:noProof/>
              </w:rPr>
              <w:t>Sierra Nevada Mountain (Pico Veleta)</w:t>
            </w:r>
          </w:p>
        </w:tc>
      </w:tr>
    </w:tbl>
    <w:p w14:paraId="49ADCC23" w14:textId="77777777" w:rsidR="00B42060" w:rsidRPr="006D6727" w:rsidRDefault="00945F69" w:rsidP="00B42060">
      <w:pPr>
        <w:pStyle w:val="Heading2"/>
        <w:rPr>
          <w:noProof/>
          <w:lang w:val="en-GB"/>
        </w:rPr>
      </w:pPr>
      <w:bookmarkStart w:id="598" w:name="_Ref25576147"/>
      <w:bookmarkStart w:id="599" w:name="_Toc84325374"/>
      <w:bookmarkStart w:id="600" w:name="_Toc127346298"/>
      <w:r>
        <w:t>T</w:t>
      </w:r>
      <w:r w:rsidR="00B42060" w:rsidRPr="006D6727">
        <w:rPr>
          <w:noProof/>
          <w:lang w:val="en-GB"/>
        </w:rPr>
        <w:t>echnical parameters of short</w:t>
      </w:r>
      <w:r w:rsidR="00832E5D">
        <w:t>-</w:t>
      </w:r>
      <w:r w:rsidR="00B42060" w:rsidRPr="006D6727">
        <w:rPr>
          <w:noProof/>
          <w:lang w:val="en-GB"/>
        </w:rPr>
        <w:t xml:space="preserve">range </w:t>
      </w:r>
      <w:r w:rsidR="00D22BD8">
        <w:t>Radiodetermination</w:t>
      </w:r>
      <w:r w:rsidR="00B42060" w:rsidRPr="006D6727">
        <w:rPr>
          <w:noProof/>
          <w:lang w:val="en-GB"/>
        </w:rPr>
        <w:t>devices</w:t>
      </w:r>
      <w:bookmarkEnd w:id="598"/>
      <w:bookmarkEnd w:id="599"/>
      <w:bookmarkEnd w:id="600"/>
    </w:p>
    <w:p w14:paraId="2B7D43C4" w14:textId="0828564C" w:rsidR="00B42060" w:rsidRPr="006D6727" w:rsidRDefault="00B42060" w:rsidP="00B42060">
      <w:pPr>
        <w:rPr>
          <w:rStyle w:val="ECCParagraph"/>
          <w:noProof/>
        </w:rPr>
      </w:pPr>
      <w:r w:rsidRPr="006D6727">
        <w:rPr>
          <w:rStyle w:val="ECCParagraph"/>
          <w:noProof/>
        </w:rPr>
        <w:t xml:space="preserve">The radio determination applications considered in this Report are categorised into three types A, B and C relating to their interference potential as explained in </w:t>
      </w:r>
      <w:r w:rsidR="009D5FA2">
        <w:rPr>
          <w:rStyle w:val="ECCParagraph"/>
          <w:noProof/>
        </w:rPr>
        <w:t>section</w:t>
      </w:r>
      <w:r w:rsidRPr="006D6727">
        <w:rPr>
          <w:rStyle w:val="ECCParagraph"/>
          <w:noProof/>
        </w:rPr>
        <w:t xml:space="preserve"> </w:t>
      </w:r>
      <w:r w:rsidR="00334C67" w:rsidRPr="006D6727">
        <w:rPr>
          <w:rStyle w:val="ECCParagraph"/>
          <w:noProof/>
        </w:rPr>
        <w:fldChar w:fldCharType="begin"/>
      </w:r>
      <w:r w:rsidR="00334C67" w:rsidRPr="006D6727">
        <w:rPr>
          <w:rStyle w:val="ECCParagraph"/>
          <w:noProof/>
        </w:rPr>
        <w:instrText xml:space="preserve"> REF _Ref20407004 \r \h </w:instrText>
      </w:r>
      <w:r w:rsidR="00334C67" w:rsidRPr="006D6727">
        <w:rPr>
          <w:rStyle w:val="ECCParagraph"/>
          <w:noProof/>
        </w:rPr>
      </w:r>
      <w:r w:rsidR="00334C67" w:rsidRPr="006D6727">
        <w:rPr>
          <w:rStyle w:val="ECCParagraph"/>
          <w:noProof/>
        </w:rPr>
        <w:fldChar w:fldCharType="separate"/>
      </w:r>
      <w:r w:rsidR="004F49F9">
        <w:rPr>
          <w:rStyle w:val="ECCParagraph"/>
          <w:noProof/>
        </w:rPr>
        <w:t>2</w:t>
      </w:r>
      <w:r w:rsidR="00334C67" w:rsidRPr="006D6727">
        <w:rPr>
          <w:rStyle w:val="ECCParagraph"/>
          <w:noProof/>
        </w:rPr>
        <w:fldChar w:fldCharType="end"/>
      </w:r>
      <w:r w:rsidRPr="006D6727">
        <w:rPr>
          <w:rStyle w:val="ECCParagraph"/>
          <w:noProof/>
        </w:rPr>
        <w:t xml:space="preserve">. In addition, the technical parameters of the devices are provided in the same </w:t>
      </w:r>
      <w:r w:rsidR="00DA3555">
        <w:rPr>
          <w:rStyle w:val="ECCParagraph"/>
          <w:noProof/>
        </w:rPr>
        <w:t>section</w:t>
      </w:r>
      <w:r w:rsidRPr="006D6727">
        <w:rPr>
          <w:rStyle w:val="ECCParagraph"/>
          <w:noProof/>
        </w:rPr>
        <w:t xml:space="preserve"> for the different use cases.</w:t>
      </w:r>
      <w:r w:rsidR="009B78D8" w:rsidRPr="006D6727">
        <w:rPr>
          <w:rStyle w:val="ECCParagraph"/>
          <w:noProof/>
        </w:rPr>
        <w:t xml:space="preserve"> </w:t>
      </w:r>
      <w:r w:rsidR="009B78D8" w:rsidRPr="006D6727">
        <w:rPr>
          <w:noProof/>
        </w:rPr>
        <w:t xml:space="preserve">Since applications of type A may radiate in any direction outside a shielded environment, building or housing, they are </w:t>
      </w:r>
      <w:r w:rsidR="009B78D8" w:rsidRPr="006D6727">
        <w:rPr>
          <w:rStyle w:val="ECCParagraph"/>
          <w:noProof/>
        </w:rPr>
        <w:t>considered as the most critical for sharing and compatibility studies.</w:t>
      </w:r>
    </w:p>
    <w:p w14:paraId="7F9D8300" w14:textId="77777777" w:rsidR="009B78D8" w:rsidRPr="006D6727" w:rsidRDefault="009B78D8" w:rsidP="0065017D">
      <w:pPr>
        <w:pStyle w:val="ECCBulletsLv1"/>
        <w:numPr>
          <w:ilvl w:val="0"/>
          <w:numId w:val="0"/>
        </w:numPr>
        <w:rPr>
          <w:rStyle w:val="ECCParagraph"/>
          <w:noProof/>
        </w:rPr>
      </w:pPr>
      <w:r w:rsidRPr="006D6727">
        <w:rPr>
          <w:rStyle w:val="ECCParagraph"/>
          <w:noProof/>
        </w:rPr>
        <w:t>There is a large variety of potential applications to be covered by this report, each with different technical properties, such as antenna patterns, output power levels, or duty cycles. In order to make the RAS compatibility calculations as generic as possible, they are performed in an application-agnostic fashion, i.e., the results are presented for a range of power levels</w:t>
      </w:r>
      <w:r w:rsidR="00834F91" w:rsidRPr="006D6727">
        <w:rPr>
          <w:rStyle w:val="ECCParagraph"/>
          <w:noProof/>
        </w:rPr>
        <w:t xml:space="preserve"> of interference, which</w:t>
      </w:r>
      <w:r w:rsidR="002A3B02" w:rsidRPr="006D6727">
        <w:rPr>
          <w:rStyle w:val="ECCParagraph"/>
          <w:noProof/>
        </w:rPr>
        <w:t xml:space="preserve"> would</w:t>
      </w:r>
      <w:r w:rsidR="00834F91" w:rsidRPr="006D6727">
        <w:rPr>
          <w:rStyle w:val="ECCParagraph"/>
          <w:noProof/>
        </w:rPr>
        <w:t xml:space="preserve"> fall</w:t>
      </w:r>
      <w:r w:rsidR="002A3B02" w:rsidRPr="006D6727">
        <w:rPr>
          <w:rStyle w:val="ECCParagraph"/>
          <w:noProof/>
        </w:rPr>
        <w:t xml:space="preserve"> on average into a RAS band (having 8</w:t>
      </w:r>
      <w:r w:rsidR="002D7767" w:rsidRPr="006D6727">
        <w:rPr>
          <w:rStyle w:val="ECCParagraph"/>
          <w:noProof/>
        </w:rPr>
        <w:t> </w:t>
      </w:r>
      <w:r w:rsidR="002A3B02" w:rsidRPr="006D6727">
        <w:rPr>
          <w:rStyle w:val="ECCParagraph"/>
          <w:noProof/>
        </w:rPr>
        <w:t xml:space="preserve">GHz bandwidth). Therefore, all kinds of mitigation effects, e.g., Radar duty cycles, should already be included in the </w:t>
      </w:r>
      <w:r w:rsidR="00F37503">
        <w:rPr>
          <w:rStyle w:val="ECCParagraph"/>
        </w:rPr>
        <w:t>e.i.r.p.</w:t>
      </w:r>
      <w:r w:rsidR="002A3B02" w:rsidRPr="006D6727">
        <w:rPr>
          <w:rStyle w:val="ECCParagraph"/>
          <w:noProof/>
        </w:rPr>
        <w:t xml:space="preserve"> levels before comparing with the results from the subsequent sections.</w:t>
      </w:r>
    </w:p>
    <w:p w14:paraId="58B79E2B" w14:textId="77777777" w:rsidR="00DE1ABA" w:rsidRPr="006D6727" w:rsidRDefault="00945F69" w:rsidP="00DE1ABA">
      <w:pPr>
        <w:pStyle w:val="Heading2"/>
        <w:rPr>
          <w:noProof/>
          <w:lang w:val="en-GB"/>
        </w:rPr>
      </w:pPr>
      <w:bookmarkStart w:id="601" w:name="_Ref17905823"/>
      <w:bookmarkStart w:id="602" w:name="_Toc84325375"/>
      <w:bookmarkStart w:id="603" w:name="_Toc127346299"/>
      <w:r>
        <w:t>P</w:t>
      </w:r>
      <w:r w:rsidR="00DE1ABA" w:rsidRPr="006D6727">
        <w:rPr>
          <w:noProof/>
          <w:lang w:val="en-GB"/>
        </w:rPr>
        <w:t>ath attenuation maps for line of sight regions around telescopes NOEMA and IRAM</w:t>
      </w:r>
      <w:bookmarkEnd w:id="601"/>
      <w:bookmarkEnd w:id="602"/>
      <w:bookmarkEnd w:id="603"/>
    </w:p>
    <w:p w14:paraId="173BCB8A" w14:textId="77777777" w:rsidR="00DE1ABA" w:rsidRPr="006D6727" w:rsidRDefault="00DE1ABA" w:rsidP="00DE1ABA">
      <w:pPr>
        <w:pStyle w:val="Heading3"/>
        <w:rPr>
          <w:rStyle w:val="ECCParagraph"/>
          <w:noProof/>
        </w:rPr>
      </w:pPr>
      <w:bookmarkStart w:id="604" w:name="_Ref36540326"/>
      <w:bookmarkStart w:id="605" w:name="_Ref36542069"/>
      <w:bookmarkStart w:id="606" w:name="_Toc84325376"/>
      <w:bookmarkStart w:id="607" w:name="_Toc127346300"/>
      <w:r w:rsidRPr="006D6727">
        <w:rPr>
          <w:rStyle w:val="ECCParagraph"/>
          <w:noProof/>
        </w:rPr>
        <w:t>Discussion on path propagation</w:t>
      </w:r>
      <w:bookmarkEnd w:id="604"/>
      <w:bookmarkEnd w:id="605"/>
      <w:bookmarkEnd w:id="606"/>
      <w:bookmarkEnd w:id="607"/>
    </w:p>
    <w:p w14:paraId="6BFC2088" w14:textId="65E2FC7D" w:rsidR="00C96242" w:rsidRPr="006D6727" w:rsidRDefault="00C96242" w:rsidP="00C96242">
      <w:pPr>
        <w:rPr>
          <w:rStyle w:val="ECCParagraph"/>
          <w:noProof/>
        </w:rPr>
      </w:pPr>
      <w:r w:rsidRPr="006D6727">
        <w:rPr>
          <w:rStyle w:val="ECCParagraph"/>
          <w:noProof/>
        </w:rPr>
        <w:t>To calculate the path propagation loss, compatibility studies involving radio</w:t>
      </w:r>
      <w:r w:rsidR="001F26FA" w:rsidRPr="006D6727">
        <w:rPr>
          <w:rStyle w:val="ECCParagraph"/>
          <w:noProof/>
        </w:rPr>
        <w:t xml:space="preserve"> </w:t>
      </w:r>
      <w:r w:rsidRPr="006D6727">
        <w:rPr>
          <w:rStyle w:val="ECCParagraph"/>
          <w:noProof/>
        </w:rPr>
        <w:t>astronomy often use the model provided in Recommendation ITU-R P.452</w:t>
      </w:r>
      <w:r w:rsidR="005F399F" w:rsidRPr="006D6727">
        <w:rPr>
          <w:rStyle w:val="ECCParagraph"/>
          <w:noProof/>
        </w:rPr>
        <w:t>-16</w:t>
      </w:r>
      <w:r w:rsidR="00FB5E7D" w:rsidRPr="006D6727">
        <w:rPr>
          <w:rStyle w:val="ECCParagraph"/>
          <w:noProof/>
        </w:rPr>
        <w:t xml:space="preserve"> </w:t>
      </w:r>
      <w:r w:rsidR="00FB5E7D" w:rsidRPr="006D6727">
        <w:rPr>
          <w:rStyle w:val="ECCParagraph"/>
          <w:noProof/>
        </w:rPr>
        <w:fldChar w:fldCharType="begin"/>
      </w:r>
      <w:r w:rsidR="00FB5E7D" w:rsidRPr="006D6727">
        <w:rPr>
          <w:rStyle w:val="ECCParagraph"/>
          <w:noProof/>
        </w:rPr>
        <w:instrText xml:space="preserve"> REF  ITU_R_P_452_16 \h \w  \* MERGEFORMAT </w:instrText>
      </w:r>
      <w:r w:rsidR="00FB5E7D" w:rsidRPr="006D6727">
        <w:rPr>
          <w:rStyle w:val="ECCParagraph"/>
          <w:noProof/>
        </w:rPr>
      </w:r>
      <w:r w:rsidR="00FB5E7D" w:rsidRPr="006D6727">
        <w:rPr>
          <w:rStyle w:val="ECCParagraph"/>
          <w:noProof/>
        </w:rPr>
        <w:fldChar w:fldCharType="separate"/>
      </w:r>
      <w:r w:rsidR="004F49F9">
        <w:rPr>
          <w:rStyle w:val="ECCParagraph"/>
          <w:noProof/>
        </w:rPr>
        <w:t>[27]</w:t>
      </w:r>
      <w:r w:rsidR="00FB5E7D" w:rsidRPr="006D6727">
        <w:rPr>
          <w:rStyle w:val="ECCParagraph"/>
          <w:noProof/>
        </w:rPr>
        <w:fldChar w:fldCharType="end"/>
      </w:r>
      <w:r w:rsidR="00FB5E7D" w:rsidRPr="006D6727">
        <w:rPr>
          <w:rStyle w:val="ECCParagraph"/>
          <w:noProof/>
        </w:rPr>
        <w:t>.</w:t>
      </w:r>
      <w:r w:rsidR="00334C67" w:rsidRPr="006D6727">
        <w:rPr>
          <w:rStyle w:val="ECCParagraph"/>
          <w:noProof/>
        </w:rPr>
        <w:t xml:space="preserve"> </w:t>
      </w:r>
      <w:r w:rsidR="00FB5E7D" w:rsidRPr="006D6727">
        <w:rPr>
          <w:rStyle w:val="ECCParagraph"/>
          <w:noProof/>
        </w:rPr>
        <w:fldChar w:fldCharType="begin"/>
      </w:r>
      <w:r w:rsidR="00FB5E7D" w:rsidRPr="006D6727">
        <w:rPr>
          <w:rStyle w:val="ECCParagraph"/>
          <w:noProof/>
        </w:rPr>
        <w:instrText xml:space="preserve"> REF ITU_R_P_452_16 \h </w:instrText>
      </w:r>
      <w:r w:rsidR="00FB5E7D" w:rsidRPr="006D6727">
        <w:rPr>
          <w:rStyle w:val="ECCParagraph"/>
          <w:noProof/>
        </w:rPr>
      </w:r>
      <w:r w:rsidR="00FB5E7D" w:rsidRPr="006D6727">
        <w:rPr>
          <w:rStyle w:val="ECCParagraph"/>
          <w:noProof/>
        </w:rPr>
        <w:fldChar w:fldCharType="end"/>
      </w:r>
      <w:r w:rsidR="00FB5E7D" w:rsidRPr="006D6727">
        <w:rPr>
          <w:rStyle w:val="ECCParagraph"/>
          <w:noProof/>
        </w:rPr>
        <w:fldChar w:fldCharType="begin"/>
      </w:r>
      <w:r w:rsidR="00FB5E7D" w:rsidRPr="006D6727">
        <w:rPr>
          <w:rStyle w:val="ECCParagraph"/>
          <w:noProof/>
        </w:rPr>
        <w:instrText xml:space="preserve"> REF ITU_R_P_452_16 \h </w:instrText>
      </w:r>
      <w:r w:rsidR="00FB5E7D" w:rsidRPr="006D6727">
        <w:rPr>
          <w:rStyle w:val="ECCParagraph"/>
          <w:noProof/>
        </w:rPr>
      </w:r>
      <w:r w:rsidR="00FB5E7D" w:rsidRPr="006D6727">
        <w:rPr>
          <w:rStyle w:val="ECCParagraph"/>
          <w:noProof/>
        </w:rPr>
        <w:fldChar w:fldCharType="end"/>
      </w:r>
      <w:r w:rsidRPr="006D6727">
        <w:rPr>
          <w:rStyle w:val="ECCParagraph"/>
          <w:noProof/>
        </w:rPr>
        <w:t>For this study however, the frequencies are outside of the range of this propagation recommendation. Using P.452-16 with the highest possible frequency of 100</w:t>
      </w:r>
      <w:r w:rsidR="00D91ED7" w:rsidRPr="006D6727">
        <w:rPr>
          <w:rStyle w:val="ECCParagraph"/>
          <w:noProof/>
        </w:rPr>
        <w:t> </w:t>
      </w:r>
      <w:r w:rsidRPr="006D6727">
        <w:rPr>
          <w:rStyle w:val="ECCParagraph"/>
          <w:noProof/>
        </w:rPr>
        <w:t xml:space="preserve">GHz reveals that there is a very sharp gap in the derived attenuation between </w:t>
      </w:r>
      <w:r w:rsidR="00B24F7A" w:rsidRPr="006D6727">
        <w:rPr>
          <w:rStyle w:val="ECCParagraph"/>
          <w:noProof/>
        </w:rPr>
        <w:t>l</w:t>
      </w:r>
      <w:r w:rsidRPr="006D6727">
        <w:rPr>
          <w:rStyle w:val="ECCParagraph"/>
          <w:noProof/>
        </w:rPr>
        <w:t>ine</w:t>
      </w:r>
      <w:r w:rsidR="00277A76" w:rsidRPr="006D6727">
        <w:rPr>
          <w:rStyle w:val="ECCParagraph"/>
          <w:noProof/>
        </w:rPr>
        <w:t>-</w:t>
      </w:r>
      <w:r w:rsidRPr="006D6727">
        <w:rPr>
          <w:rStyle w:val="ECCParagraph"/>
          <w:noProof/>
        </w:rPr>
        <w:t>of</w:t>
      </w:r>
      <w:r w:rsidR="00277A76" w:rsidRPr="006D6727">
        <w:rPr>
          <w:rStyle w:val="ECCParagraph"/>
          <w:noProof/>
        </w:rPr>
        <w:t>-</w:t>
      </w:r>
      <w:r w:rsidRPr="006D6727">
        <w:rPr>
          <w:rStyle w:val="ECCParagraph"/>
          <w:noProof/>
        </w:rPr>
        <w:t>sight (L</w:t>
      </w:r>
      <w:r w:rsidR="00B24F7A" w:rsidRPr="006D6727">
        <w:rPr>
          <w:rStyle w:val="ECCParagraph"/>
          <w:noProof/>
        </w:rPr>
        <w:t>O</w:t>
      </w:r>
      <w:r w:rsidRPr="006D6727">
        <w:rPr>
          <w:rStyle w:val="ECCParagraph"/>
          <w:noProof/>
        </w:rPr>
        <w:t xml:space="preserve">S) and trans-horizon paths. Therefore, </w:t>
      </w:r>
      <w:r w:rsidR="00B24F7A" w:rsidRPr="006D6727">
        <w:rPr>
          <w:rStyle w:val="ECCParagraph"/>
          <w:noProof/>
        </w:rPr>
        <w:t>this study proposes to</w:t>
      </w:r>
      <w:r w:rsidRPr="006D6727">
        <w:rPr>
          <w:rStyle w:val="ECCParagraph"/>
          <w:noProof/>
        </w:rPr>
        <w:t xml:space="preserve"> restrict the analysis to </w:t>
      </w:r>
      <w:r w:rsidR="00B24F7A" w:rsidRPr="006D6727">
        <w:rPr>
          <w:rStyle w:val="ECCParagraph"/>
          <w:noProof/>
        </w:rPr>
        <w:t>line</w:t>
      </w:r>
      <w:r w:rsidR="00277A76" w:rsidRPr="006D6727">
        <w:rPr>
          <w:rStyle w:val="ECCParagraph"/>
          <w:noProof/>
        </w:rPr>
        <w:t>-</w:t>
      </w:r>
      <w:r w:rsidRPr="006D6727">
        <w:rPr>
          <w:rStyle w:val="ECCParagraph"/>
          <w:noProof/>
        </w:rPr>
        <w:t>o</w:t>
      </w:r>
      <w:r w:rsidR="00B24F7A" w:rsidRPr="006D6727">
        <w:rPr>
          <w:rStyle w:val="ECCParagraph"/>
          <w:noProof/>
        </w:rPr>
        <w:t>f</w:t>
      </w:r>
      <w:r w:rsidR="00277A76" w:rsidRPr="006D6727">
        <w:rPr>
          <w:rStyle w:val="ECCParagraph"/>
          <w:noProof/>
        </w:rPr>
        <w:t>-</w:t>
      </w:r>
      <w:r w:rsidR="00B24F7A" w:rsidRPr="006D6727">
        <w:rPr>
          <w:rStyle w:val="ECCParagraph"/>
          <w:noProof/>
        </w:rPr>
        <w:t>sight (LOS)</w:t>
      </w:r>
      <w:r w:rsidRPr="006D6727">
        <w:rPr>
          <w:rStyle w:val="ECCParagraph"/>
          <w:noProof/>
        </w:rPr>
        <w:t xml:space="preserve"> cases and assume that the propagation loss is determined by pure L</w:t>
      </w:r>
      <w:r w:rsidR="00B24F7A" w:rsidRPr="006D6727">
        <w:rPr>
          <w:rStyle w:val="ECCParagraph"/>
          <w:noProof/>
        </w:rPr>
        <w:t>O</w:t>
      </w:r>
      <w:r w:rsidRPr="006D6727">
        <w:rPr>
          <w:rStyle w:val="ECCParagraph"/>
          <w:noProof/>
        </w:rPr>
        <w:t>S attenuation plus atmospheric dampening. L</w:t>
      </w:r>
      <w:r w:rsidR="00B24F7A" w:rsidRPr="006D6727">
        <w:rPr>
          <w:rStyle w:val="ECCParagraph"/>
          <w:noProof/>
        </w:rPr>
        <w:t>O</w:t>
      </w:r>
      <w:r w:rsidRPr="006D6727">
        <w:rPr>
          <w:rStyle w:val="ECCParagraph"/>
          <w:noProof/>
        </w:rPr>
        <w:t>S loss depends on distance and frequency</w:t>
      </w:r>
      <w:r w:rsidR="00687665" w:rsidRPr="006D6727">
        <w:rPr>
          <w:rStyle w:val="ECCParagraph"/>
          <w:noProof/>
        </w:rPr>
        <w:t xml:space="preserve"> as follows</w:t>
      </w:r>
      <w:r w:rsidRPr="006D6727">
        <w:rPr>
          <w:rStyle w:val="ECCParagraph"/>
          <w:noProof/>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1B17054E" w14:textId="77777777" w:rsidTr="008A2884">
        <w:tc>
          <w:tcPr>
            <w:tcW w:w="4761" w:type="pct"/>
          </w:tcPr>
          <w:p w14:paraId="00E479CE" w14:textId="73DC0DCF" w:rsidR="00034148" w:rsidRPr="00144C97" w:rsidRDefault="007326E5" w:rsidP="008A2884">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noProof/>
                  </w:rPr>
                  <m:t>L</m:t>
                </m:r>
                <m:d>
                  <m:dPr>
                    <m:begChr m:val="["/>
                    <m:endChr m:val="]"/>
                    <m:ctrlPr>
                      <w:rPr>
                        <w:rStyle w:val="ECCParagraph"/>
                        <w:rFonts w:ascii="Cambria Math" w:hAnsi="Cambria Math"/>
                        <w:i/>
                        <w:noProof/>
                      </w:rPr>
                    </m:ctrlPr>
                  </m:dPr>
                  <m:e>
                    <m:r>
                      <w:rPr>
                        <w:rStyle w:val="ECCParagraph"/>
                        <w:rFonts w:ascii="Cambria Math" w:hAnsi="Cambria Math"/>
                        <w:noProof/>
                      </w:rPr>
                      <m:t>dB</m:t>
                    </m:r>
                  </m:e>
                </m:d>
                <m:r>
                  <w:rPr>
                    <w:rStyle w:val="ECCParagraph"/>
                    <w:rFonts w:ascii="Cambria Math" w:hAnsi="Cambria Math"/>
                    <w:noProof/>
                  </w:rPr>
                  <m:t>=92.4 dB+20∙log</m:t>
                </m:r>
                <m:d>
                  <m:dPr>
                    <m:ctrlPr>
                      <w:rPr>
                        <w:rStyle w:val="ECCParagraph"/>
                        <w:rFonts w:ascii="Cambria Math" w:hAnsi="Cambria Math"/>
                        <w:noProof/>
                      </w:rPr>
                    </m:ctrlPr>
                  </m:dPr>
                  <m:e>
                    <m:r>
                      <w:rPr>
                        <w:rStyle w:val="ECCParagraph"/>
                        <w:rFonts w:ascii="Cambria Math" w:hAnsi="Cambria Math"/>
                        <w:noProof/>
                      </w:rPr>
                      <m:t>d</m:t>
                    </m:r>
                    <m:d>
                      <m:dPr>
                        <m:begChr m:val="["/>
                        <m:endChr m:val="]"/>
                        <m:ctrlPr>
                          <w:rPr>
                            <w:rStyle w:val="ECCParagraph"/>
                            <w:rFonts w:ascii="Cambria Math" w:hAnsi="Cambria Math"/>
                            <w:i/>
                            <w:noProof/>
                          </w:rPr>
                        </m:ctrlPr>
                      </m:dPr>
                      <m:e>
                        <m:r>
                          <w:rPr>
                            <w:rStyle w:val="ECCParagraph"/>
                            <w:rFonts w:ascii="Cambria Math" w:hAnsi="Cambria Math"/>
                            <w:noProof/>
                          </w:rPr>
                          <m:t>km</m:t>
                        </m:r>
                      </m:e>
                    </m:d>
                  </m:e>
                </m:d>
                <m:r>
                  <w:rPr>
                    <w:rStyle w:val="ECCParagraph"/>
                    <w:rFonts w:ascii="Cambria Math" w:hAnsi="Cambria Math"/>
                    <w:noProof/>
                  </w:rPr>
                  <m:t>+20∙log</m:t>
                </m:r>
                <m:d>
                  <m:dPr>
                    <m:ctrlPr>
                      <w:rPr>
                        <w:rStyle w:val="ECCParagraph"/>
                        <w:rFonts w:ascii="Cambria Math" w:hAnsi="Cambria Math"/>
                        <w:i/>
                        <w:noProof/>
                      </w:rPr>
                    </m:ctrlPr>
                  </m:dPr>
                  <m:e>
                    <m:r>
                      <w:rPr>
                        <w:rStyle w:val="ECCParagraph"/>
                        <w:rFonts w:ascii="Cambria Math" w:hAnsi="Cambria Math"/>
                        <w:noProof/>
                      </w:rPr>
                      <m:t>f</m:t>
                    </m:r>
                    <m:d>
                      <m:dPr>
                        <m:begChr m:val="["/>
                        <m:endChr m:val="]"/>
                        <m:ctrlPr>
                          <w:rPr>
                            <w:rStyle w:val="ECCParagraph"/>
                            <w:rFonts w:ascii="Cambria Math" w:hAnsi="Cambria Math"/>
                            <w:i/>
                            <w:noProof/>
                          </w:rPr>
                        </m:ctrlPr>
                      </m:dPr>
                      <m:e>
                        <m:r>
                          <w:rPr>
                            <w:rStyle w:val="ECCParagraph"/>
                            <w:rFonts w:ascii="Cambria Math" w:hAnsi="Cambria Math"/>
                            <w:noProof/>
                          </w:rPr>
                          <m:t>GHz</m:t>
                        </m:r>
                      </m:e>
                    </m:d>
                  </m:e>
                </m:d>
              </m:oMath>
            </m:oMathPara>
          </w:p>
        </w:tc>
        <w:tc>
          <w:tcPr>
            <w:tcW w:w="239" w:type="pct"/>
          </w:tcPr>
          <w:p w14:paraId="58219326" w14:textId="4D8C2C78"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16</w:t>
            </w:r>
            <w:r>
              <w:fldChar w:fldCharType="end"/>
            </w:r>
            <w:r>
              <w:t>)</w:t>
            </w:r>
          </w:p>
        </w:tc>
      </w:tr>
    </w:tbl>
    <w:p w14:paraId="34FAE98B" w14:textId="4D7F3B5B" w:rsidR="00F4442F" w:rsidRPr="006D6727" w:rsidRDefault="00F4442F" w:rsidP="00F4442F">
      <w:pPr>
        <w:rPr>
          <w:rStyle w:val="ECCParagraph"/>
          <w:noProof/>
        </w:rPr>
      </w:pPr>
      <w:r w:rsidRPr="006D6727">
        <w:rPr>
          <w:rStyle w:val="ECCParagraph"/>
          <w:noProof/>
        </w:rPr>
        <w:t xml:space="preserve">while the atmospheric loss is a function of the physical parameters of the atmosphere leading to a height-dependent refractive index which bends the ray of light. Recommendation ITU-R P.676-12 </w:t>
      </w:r>
      <w:r w:rsidRPr="006D6727">
        <w:rPr>
          <w:rStyle w:val="ECCParagraph"/>
          <w:noProof/>
        </w:rPr>
        <w:fldChar w:fldCharType="begin"/>
      </w:r>
      <w:r w:rsidRPr="006D6727">
        <w:rPr>
          <w:rStyle w:val="ECCParagraph"/>
          <w:noProof/>
        </w:rPr>
        <w:instrText xml:space="preserve"> REF  ITU_R_P_676_12 \h \w  \* MERGEFORMAT </w:instrText>
      </w:r>
      <w:r w:rsidRPr="006D6727">
        <w:rPr>
          <w:rStyle w:val="ECCParagraph"/>
          <w:noProof/>
        </w:rPr>
      </w:r>
      <w:r w:rsidRPr="006D6727">
        <w:rPr>
          <w:rStyle w:val="ECCParagraph"/>
          <w:noProof/>
        </w:rPr>
        <w:fldChar w:fldCharType="separate"/>
      </w:r>
      <w:r w:rsidR="004F49F9">
        <w:rPr>
          <w:rStyle w:val="ECCParagraph"/>
          <w:noProof/>
        </w:rPr>
        <w:t>[28]</w:t>
      </w:r>
      <w:r w:rsidRPr="006D6727">
        <w:rPr>
          <w:rStyle w:val="ECCParagraph"/>
          <w:noProof/>
        </w:rPr>
        <w:fldChar w:fldCharType="end"/>
      </w:r>
      <w:r w:rsidRPr="006D6727">
        <w:rPr>
          <w:rStyle w:val="ECCParagraph"/>
          <w:noProof/>
        </w:rPr>
        <w:t xml:space="preserve"> contains algorithms that perform the raytracing through atmospheric layers. For each layer, one first needs to determine the refractive index based on a model of the atmosphere. </w:t>
      </w:r>
      <w:r w:rsidR="00A55F24" w:rsidRPr="006D6727">
        <w:rPr>
          <w:rStyle w:val="ECCParagraph"/>
          <w:noProof/>
        </w:rPr>
        <w:t>Here the "</w:t>
      </w:r>
      <w:r w:rsidR="004C302F" w:rsidRPr="006D6727">
        <w:rPr>
          <w:rStyle w:val="ECCParagraph"/>
          <w:noProof/>
        </w:rPr>
        <w:t>high</w:t>
      </w:r>
      <w:r w:rsidR="00A55F24" w:rsidRPr="006D6727">
        <w:rPr>
          <w:rStyle w:val="ECCParagraph"/>
          <w:noProof/>
        </w:rPr>
        <w:t xml:space="preserve">-latitude winter" model as defined in section 4.2 of Recommendation ITU-R P.835-6 </w:t>
      </w:r>
      <w:r w:rsidR="00A55F24" w:rsidRPr="006D6727">
        <w:rPr>
          <w:rStyle w:val="ECCParagraph"/>
          <w:noProof/>
        </w:rPr>
        <w:fldChar w:fldCharType="begin"/>
      </w:r>
      <w:r w:rsidR="00A55F24" w:rsidRPr="006D6727">
        <w:rPr>
          <w:rStyle w:val="ECCParagraph"/>
          <w:noProof/>
        </w:rPr>
        <w:instrText xml:space="preserve"> REF  ITU_R_P_835_6 \h \w  \* MERGEFORMAT </w:instrText>
      </w:r>
      <w:r w:rsidR="00A55F24" w:rsidRPr="006D6727">
        <w:rPr>
          <w:rStyle w:val="ECCParagraph"/>
          <w:noProof/>
        </w:rPr>
      </w:r>
      <w:r w:rsidR="00A55F24" w:rsidRPr="006D6727">
        <w:rPr>
          <w:rStyle w:val="ECCParagraph"/>
          <w:noProof/>
        </w:rPr>
        <w:fldChar w:fldCharType="separate"/>
      </w:r>
      <w:r w:rsidR="004F49F9">
        <w:rPr>
          <w:rStyle w:val="ECCParagraph"/>
          <w:noProof/>
        </w:rPr>
        <w:t>[29]</w:t>
      </w:r>
      <w:r w:rsidR="00A55F24" w:rsidRPr="006D6727">
        <w:rPr>
          <w:rStyle w:val="ECCParagraph"/>
          <w:noProof/>
        </w:rPr>
        <w:fldChar w:fldCharType="end"/>
      </w:r>
      <w:r w:rsidR="00A55F24" w:rsidRPr="006D6727">
        <w:rPr>
          <w:rStyle w:val="ECCParagraph"/>
          <w:noProof/>
        </w:rPr>
        <w:t xml:space="preserve">, is chosen for </w:t>
      </w:r>
      <w:r w:rsidR="00383808">
        <w:rPr>
          <w:rStyle w:val="ECCParagraph"/>
        </w:rPr>
        <w:t xml:space="preserve">the </w:t>
      </w:r>
      <w:r w:rsidR="00383808" w:rsidRPr="006D6727">
        <w:rPr>
          <w:rStyle w:val="ECCParagraph"/>
          <w:noProof/>
        </w:rPr>
        <w:t>N</w:t>
      </w:r>
      <w:r w:rsidR="00383808">
        <w:rPr>
          <w:rStyle w:val="ECCParagraph"/>
        </w:rPr>
        <w:t>OEMA</w:t>
      </w:r>
      <w:r w:rsidR="00383808" w:rsidRPr="006D6727">
        <w:rPr>
          <w:rStyle w:val="ECCParagraph"/>
          <w:noProof/>
        </w:rPr>
        <w:t xml:space="preserve"> </w:t>
      </w:r>
      <w:r w:rsidR="00383808">
        <w:rPr>
          <w:rStyle w:val="ECCParagraph"/>
        </w:rPr>
        <w:t xml:space="preserve">station </w:t>
      </w:r>
      <w:r w:rsidR="00A55F24" w:rsidRPr="006D6727">
        <w:rPr>
          <w:rStyle w:val="ECCParagraph"/>
          <w:noProof/>
        </w:rPr>
        <w:t>and</w:t>
      </w:r>
      <w:r w:rsidR="00383808">
        <w:rPr>
          <w:rStyle w:val="ECCParagraph"/>
        </w:rPr>
        <w:t xml:space="preserve"> the mid-latitude winter model for the</w:t>
      </w:r>
      <w:r w:rsidR="00A55F24" w:rsidRPr="006D6727">
        <w:rPr>
          <w:rStyle w:val="ECCParagraph"/>
          <w:noProof/>
        </w:rPr>
        <w:t xml:space="preserve"> IRAM 30</w:t>
      </w:r>
      <w:r w:rsidR="000260A5" w:rsidRPr="006D6727">
        <w:rPr>
          <w:rStyle w:val="ECCParagraph"/>
          <w:noProof/>
        </w:rPr>
        <w:t> </w:t>
      </w:r>
      <w:r w:rsidR="00A55F24" w:rsidRPr="006D6727">
        <w:rPr>
          <w:rStyle w:val="ECCParagraph"/>
          <w:noProof/>
        </w:rPr>
        <w:t xml:space="preserve">m station, given the geographical latitude of both RAS stations. </w:t>
      </w:r>
      <w:r w:rsidRPr="006D6727">
        <w:rPr>
          <w:rStyle w:val="ECCParagraph"/>
          <w:noProof/>
        </w:rPr>
        <w:t>Additionally, the specific attenuation (also from Recommendation ITU-R P.676-12) of each atmospheric layer is needed to calculate the total attenuation of a “slant path</w:t>
      </w:r>
      <w:r w:rsidR="00DD5ED7">
        <w:rPr>
          <w:rStyle w:val="ECCParagraph"/>
        </w:rPr>
        <w:t>"</w:t>
      </w:r>
      <w:r w:rsidRPr="006D6727">
        <w:rPr>
          <w:rStyle w:val="ECCParagraph"/>
          <w:noProof/>
        </w:rPr>
        <w:t xml:space="preserve"> through the atmosphere. This slant path is usually implemented for cases involving one station (transmitter or receiver) above the earth surface (e.g. in space or at high atmospheric layers), but the same technique can be used for terrestrial paths. If the RAS station and the interfering transmitter are located at very different altitudes it is </w:t>
      </w:r>
      <w:r w:rsidR="00E0156D" w:rsidRPr="006D6727">
        <w:rPr>
          <w:rStyle w:val="ECCParagraph"/>
          <w:noProof/>
        </w:rPr>
        <w:t>more appropriate</w:t>
      </w:r>
      <w:r w:rsidRPr="006D6727">
        <w:rPr>
          <w:rStyle w:val="ECCParagraph"/>
          <w:noProof/>
        </w:rPr>
        <w:t xml:space="preserve"> to use the "slant path" approach. Considering for example </w:t>
      </w:r>
      <w:r w:rsidR="00E6433F">
        <w:rPr>
          <w:rStyle w:val="ECCParagraph"/>
        </w:rPr>
        <w:t>radiodetermination</w:t>
      </w:r>
      <w:r w:rsidR="00E6433F" w:rsidRPr="006D6727">
        <w:rPr>
          <w:rStyle w:val="ECCParagraph"/>
          <w:noProof/>
        </w:rPr>
        <w:t xml:space="preserve"> </w:t>
      </w:r>
      <w:r w:rsidRPr="006D6727">
        <w:rPr>
          <w:rStyle w:val="ECCParagraph"/>
          <w:noProof/>
        </w:rPr>
        <w:t>devices, which are located in regions at sea level with LOS to the RAS station at high altitude (e.g., 3000 m) the propagation path crosses atmospheric layers of significantly differing physical properties and thus specific attenuation values, which must be taken into account for an accurate determination of the overall atmospheric loss along the path. Recommendations ITU-R P.676-12 and P.835-6 contain further details.</w:t>
      </w:r>
    </w:p>
    <w:p w14:paraId="18DE4E51" w14:textId="322B7FE1" w:rsidR="00F4442F" w:rsidRPr="006D6727" w:rsidRDefault="00F4442F" w:rsidP="00F4442F">
      <w:pPr>
        <w:rPr>
          <w:rStyle w:val="ECCParagraph"/>
          <w:noProof/>
        </w:rPr>
      </w:pPr>
      <w:r w:rsidRPr="006D6727">
        <w:rPr>
          <w:rStyle w:val="ECCParagraph"/>
          <w:noProof/>
        </w:rPr>
        <w:t xml:space="preserve">To obtain the actual propagation path elevation angles and the regions of LOS cases around each RAS station, one can still use the methods provided in Recommendation ITU-R P.452-16 </w:t>
      </w:r>
      <w:r w:rsidRPr="006D6727">
        <w:rPr>
          <w:rStyle w:val="ECCParagraph"/>
          <w:noProof/>
        </w:rPr>
        <w:fldChar w:fldCharType="begin"/>
      </w:r>
      <w:r w:rsidRPr="006D6727">
        <w:rPr>
          <w:rStyle w:val="ECCParagraph"/>
          <w:noProof/>
        </w:rPr>
        <w:instrText xml:space="preserve"> REF  ITU_R_P_452_16 \h \w  \* MERGEFORMAT </w:instrText>
      </w:r>
      <w:r w:rsidRPr="006D6727">
        <w:rPr>
          <w:rStyle w:val="ECCParagraph"/>
          <w:noProof/>
        </w:rPr>
      </w:r>
      <w:r w:rsidRPr="006D6727">
        <w:rPr>
          <w:rStyle w:val="ECCParagraph"/>
          <w:noProof/>
        </w:rPr>
        <w:fldChar w:fldCharType="separate"/>
      </w:r>
      <w:r w:rsidR="004F49F9">
        <w:rPr>
          <w:rStyle w:val="ECCParagraph"/>
          <w:noProof/>
        </w:rPr>
        <w:t>[27]</w:t>
      </w:r>
      <w:r w:rsidRPr="006D6727">
        <w:rPr>
          <w:rStyle w:val="ECCParagraph"/>
          <w:noProof/>
        </w:rPr>
        <w:fldChar w:fldCharType="end"/>
      </w:r>
      <w:r w:rsidRPr="006D6727">
        <w:rPr>
          <w:rStyle w:val="ECCParagraph"/>
          <w:noProof/>
        </w:rPr>
        <w:t>, as these are independent on the observing frequency. For this, topographic (i.e., terrain height) data is needed. For the RAS sites considered in this contribution, there are very precise topographic GIS data sets available, which are based on LIDAR campaigns.</w:t>
      </w:r>
    </w:p>
    <w:p w14:paraId="236F4495" w14:textId="204474EB" w:rsidR="00A55F24" w:rsidRPr="006D6727" w:rsidRDefault="00A55F24" w:rsidP="00A55F24">
      <w:pPr>
        <w:rPr>
          <w:rStyle w:val="ECCParagraph"/>
          <w:noProof/>
        </w:rPr>
      </w:pPr>
      <w:r w:rsidRPr="006D6727">
        <w:rPr>
          <w:rStyle w:val="ECCParagraph"/>
          <w:noProof/>
        </w:rPr>
        <w:t xml:space="preserve">In </w:t>
      </w:r>
      <w:r w:rsidRPr="006D6727">
        <w:rPr>
          <w:rStyle w:val="ECCParagraph"/>
          <w:noProof/>
        </w:rPr>
        <w:fldChar w:fldCharType="begin"/>
      </w:r>
      <w:r w:rsidRPr="006D6727">
        <w:rPr>
          <w:rStyle w:val="ECCParagraph"/>
          <w:noProof/>
        </w:rPr>
        <w:instrText xml:space="preserve"> REF _Ref4507331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92</w:t>
      </w:r>
      <w:r w:rsidRPr="006D6727">
        <w:rPr>
          <w:rStyle w:val="ECCParagraph"/>
          <w:noProof/>
        </w:rPr>
        <w:fldChar w:fldCharType="end"/>
      </w:r>
      <w:r w:rsidRPr="006D6727">
        <w:rPr>
          <w:rStyle w:val="ECCParagraph"/>
          <w:noProof/>
        </w:rPr>
        <w:t xml:space="preserve"> and </w:t>
      </w:r>
      <w:r w:rsidRPr="006D6727">
        <w:rPr>
          <w:rStyle w:val="ECCParagraph"/>
          <w:noProof/>
        </w:rPr>
        <w:fldChar w:fldCharType="begin"/>
      </w:r>
      <w:r w:rsidRPr="006D6727">
        <w:rPr>
          <w:rStyle w:val="ECCParagraph"/>
          <w:noProof/>
        </w:rPr>
        <w:instrText xml:space="preserve"> REF _Ref4507344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93</w:t>
      </w:r>
      <w:r w:rsidRPr="006D6727">
        <w:rPr>
          <w:rStyle w:val="ECCParagraph"/>
          <w:noProof/>
        </w:rPr>
        <w:fldChar w:fldCharType="end"/>
      </w:r>
      <w:r w:rsidRPr="006D6727">
        <w:rPr>
          <w:rStyle w:val="ECCParagraph"/>
          <w:noProof/>
        </w:rPr>
        <w:t>, topographic maps of the IRAM 30 m and NOEMA observatories are displayed. The regions in direct LOS with respect to the telescopes are shaded in red. For these areas, the free-space basic transmission loss and atmospheric gases absorption loss were calculated as described above. The resulting basic transmission loss</w:t>
      </w:r>
      <w:r w:rsidRPr="006D6727">
        <w:rPr>
          <w:rStyle w:val="FootnoteReference"/>
          <w:noProof/>
        </w:rPr>
        <w:footnoteReference w:id="8"/>
      </w:r>
      <w:r w:rsidRPr="006D6727">
        <w:rPr>
          <w:rStyle w:val="ECCParagraph"/>
          <w:noProof/>
        </w:rPr>
        <w:t xml:space="preserve"> are shown in </w:t>
      </w:r>
      <w:r w:rsidRPr="006D6727">
        <w:rPr>
          <w:rStyle w:val="ECCParagraph"/>
          <w:noProof/>
        </w:rPr>
        <w:fldChar w:fldCharType="begin"/>
      </w:r>
      <w:r w:rsidRPr="006D6727">
        <w:rPr>
          <w:rStyle w:val="ECCParagraph"/>
          <w:noProof/>
        </w:rPr>
        <w:instrText xml:space="preserve"> REF _Ref27649269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94</w:t>
      </w:r>
      <w:r w:rsidRPr="006D6727">
        <w:rPr>
          <w:rStyle w:val="ECCParagraph"/>
          <w:noProof/>
        </w:rPr>
        <w:fldChar w:fldCharType="end"/>
      </w:r>
      <w:r w:rsidRPr="006D6727">
        <w:rPr>
          <w:rStyle w:val="ECCParagraph"/>
          <w:noProof/>
        </w:rPr>
        <w:t xml:space="preserve"> and </w:t>
      </w:r>
      <w:r w:rsidRPr="006D6727">
        <w:rPr>
          <w:rStyle w:val="ECCParagraph"/>
          <w:noProof/>
        </w:rPr>
        <w:fldChar w:fldCharType="begin"/>
      </w:r>
      <w:r w:rsidRPr="006D6727">
        <w:rPr>
          <w:rStyle w:val="ECCParagraph"/>
          <w:noProof/>
        </w:rPr>
        <w:instrText xml:space="preserve"> REF _Ref27649277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95</w:t>
      </w:r>
      <w:r w:rsidRPr="006D6727">
        <w:rPr>
          <w:rStyle w:val="ECCParagraph"/>
          <w:noProof/>
        </w:rPr>
        <w:fldChar w:fldCharType="end"/>
      </w:r>
      <w:r w:rsidRPr="006D6727">
        <w:rPr>
          <w:rStyle w:val="ECCParagraph"/>
          <w:noProof/>
        </w:rPr>
        <w:t>, for two example frequencies, 140 and 185 GHz, which represent a case of very low and very high gaseous attenuation, respectively.</w:t>
      </w:r>
    </w:p>
    <w:p w14:paraId="7EA6C2B8" w14:textId="6973BA9A" w:rsidR="00C96242" w:rsidRPr="006D6727" w:rsidRDefault="00C96242" w:rsidP="00C96242">
      <w:pPr>
        <w:rPr>
          <w:rStyle w:val="ECCParagraph"/>
          <w:noProof/>
        </w:rPr>
      </w:pPr>
      <w:r w:rsidRPr="006D6727">
        <w:rPr>
          <w:rStyle w:val="ECCParagraph"/>
          <w:noProof/>
        </w:rPr>
        <w:t>Both attenuation mechanisms are strongly dependent on frequency. For L</w:t>
      </w:r>
      <w:r w:rsidR="001B5108" w:rsidRPr="006D6727">
        <w:rPr>
          <w:rStyle w:val="ECCParagraph"/>
          <w:noProof/>
        </w:rPr>
        <w:t>O</w:t>
      </w:r>
      <w:r w:rsidRPr="006D6727">
        <w:rPr>
          <w:rStyle w:val="ECCParagraph"/>
          <w:noProof/>
        </w:rPr>
        <w:t>S, the loss is proportional to frequency squared. The frequency depend</w:t>
      </w:r>
      <w:r w:rsidR="00C91ADB" w:rsidRPr="006D6727">
        <w:rPr>
          <w:rStyle w:val="ECCParagraph"/>
          <w:noProof/>
        </w:rPr>
        <w:t>e</w:t>
      </w:r>
      <w:r w:rsidRPr="006D6727">
        <w:rPr>
          <w:rStyle w:val="ECCParagraph"/>
          <w:noProof/>
        </w:rPr>
        <w:t>nce of atmospheric attenuation, however, is dominated by spectral-line transitions of water and oxygen molecules (see Recommendation ITU-R P.676-1</w:t>
      </w:r>
      <w:r w:rsidR="003B7105" w:rsidRPr="006D6727">
        <w:rPr>
          <w:rStyle w:val="ECCParagraph"/>
          <w:noProof/>
        </w:rPr>
        <w:t>2</w:t>
      </w:r>
      <w:r w:rsidR="001B5108" w:rsidRPr="006D6727">
        <w:rPr>
          <w:rStyle w:val="ECCParagraph"/>
          <w:noProof/>
        </w:rPr>
        <w:t xml:space="preserve"> </w:t>
      </w:r>
      <w:r w:rsidR="00563DDD" w:rsidRPr="006D6727">
        <w:rPr>
          <w:rStyle w:val="ECCParagraph"/>
          <w:noProof/>
        </w:rPr>
        <w:fldChar w:fldCharType="begin"/>
      </w:r>
      <w:r w:rsidR="00563DDD" w:rsidRPr="006D6727">
        <w:rPr>
          <w:rStyle w:val="ECCParagraph"/>
          <w:noProof/>
        </w:rPr>
        <w:instrText xml:space="preserve"> REF  ITU_R_P_676_12 \h \w  \* MERGEFORMAT </w:instrText>
      </w:r>
      <w:r w:rsidR="00563DDD" w:rsidRPr="006D6727">
        <w:rPr>
          <w:rStyle w:val="ECCParagraph"/>
          <w:noProof/>
        </w:rPr>
      </w:r>
      <w:r w:rsidR="00563DDD" w:rsidRPr="006D6727">
        <w:rPr>
          <w:rStyle w:val="ECCParagraph"/>
          <w:noProof/>
        </w:rPr>
        <w:fldChar w:fldCharType="separate"/>
      </w:r>
      <w:r w:rsidR="004F49F9">
        <w:rPr>
          <w:rStyle w:val="ECCParagraph"/>
          <w:noProof/>
        </w:rPr>
        <w:t>[28]</w:t>
      </w:r>
      <w:r w:rsidR="00563DDD" w:rsidRPr="006D6727">
        <w:rPr>
          <w:rStyle w:val="ECCParagraph"/>
          <w:noProof/>
        </w:rPr>
        <w:fldChar w:fldCharType="end"/>
      </w:r>
      <w:r w:rsidR="00FB5E7D" w:rsidRPr="006D6727">
        <w:rPr>
          <w:rStyle w:val="ECCParagraph"/>
          <w:noProof/>
        </w:rPr>
        <w:t xml:space="preserve">, </w:t>
      </w:r>
      <w:r w:rsidRPr="006D6727">
        <w:rPr>
          <w:rStyle w:val="ECCParagraph"/>
          <w:noProof/>
        </w:rPr>
        <w:t>especially Fig</w:t>
      </w:r>
      <w:r w:rsidR="001B5108" w:rsidRPr="006D6727">
        <w:rPr>
          <w:rStyle w:val="ECCParagraph"/>
          <w:noProof/>
        </w:rPr>
        <w:t>ure </w:t>
      </w:r>
      <w:r w:rsidR="00D81BA8" w:rsidRPr="006D6727">
        <w:rPr>
          <w:rStyle w:val="ECCParagraph"/>
          <w:noProof/>
        </w:rPr>
        <w:t>4</w:t>
      </w:r>
      <w:r w:rsidRPr="006D6727">
        <w:rPr>
          <w:rStyle w:val="ECCParagraph"/>
          <w:noProof/>
        </w:rPr>
        <w:t xml:space="preserve"> for details). In the studied frequency range, oxygen produces strong attenuation at 120</w:t>
      </w:r>
      <w:r w:rsidR="001B5108" w:rsidRPr="006D6727">
        <w:rPr>
          <w:rStyle w:val="ECCParagraph"/>
          <w:noProof/>
        </w:rPr>
        <w:t> </w:t>
      </w:r>
      <w:r w:rsidRPr="006D6727">
        <w:rPr>
          <w:rStyle w:val="ECCParagraph"/>
          <w:noProof/>
        </w:rPr>
        <w:t>GHz (with broad width of several GHz), and water vapour is responsible for an absorption at 183</w:t>
      </w:r>
      <w:r w:rsidR="001B5108" w:rsidRPr="006D6727">
        <w:rPr>
          <w:rStyle w:val="ECCParagraph"/>
          <w:noProof/>
        </w:rPr>
        <w:t> </w:t>
      </w:r>
      <w:r w:rsidRPr="006D6727">
        <w:rPr>
          <w:rStyle w:val="ECCParagraph"/>
          <w:noProof/>
        </w:rPr>
        <w:t>GHz.</w:t>
      </w:r>
    </w:p>
    <w:p w14:paraId="5E890EB1" w14:textId="77777777" w:rsidR="00C96242" w:rsidRPr="006D6727" w:rsidRDefault="00C96242" w:rsidP="001B5108">
      <w:pPr>
        <w:pStyle w:val="Caption"/>
        <w:rPr>
          <w:noProof/>
          <w:lang w:val="en-GB"/>
        </w:rPr>
      </w:pPr>
      <w:r w:rsidRPr="006D6727">
        <w:rPr>
          <w:noProof/>
          <w:lang w:val="de-DE" w:eastAsia="de-DE"/>
        </w:rPr>
        <w:drawing>
          <wp:inline distT="0" distB="0" distL="0" distR="0" wp14:anchorId="3F421825" wp14:editId="7A8E2FD4">
            <wp:extent cx="3922651" cy="3849511"/>
            <wp:effectExtent l="0" t="0" r="1905" b="0"/>
            <wp:docPr id="2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d_iram30m_los_map.jpg"/>
                    <pic:cNvPicPr/>
                  </pic:nvPicPr>
                  <pic:blipFill>
                    <a:blip r:embed="rId130" cstate="screen">
                      <a:extLst>
                        <a:ext uri="{28A0092B-C50C-407E-A947-70E740481C1C}">
                          <a14:useLocalDpi xmlns:a14="http://schemas.microsoft.com/office/drawing/2010/main"/>
                        </a:ext>
                      </a:extLst>
                    </a:blip>
                    <a:stretch>
                      <a:fillRect/>
                    </a:stretch>
                  </pic:blipFill>
                  <pic:spPr>
                    <a:xfrm>
                      <a:off x="0" y="0"/>
                      <a:ext cx="3937040" cy="3863632"/>
                    </a:xfrm>
                    <a:prstGeom prst="rect">
                      <a:avLst/>
                    </a:prstGeom>
                  </pic:spPr>
                </pic:pic>
              </a:graphicData>
            </a:graphic>
          </wp:inline>
        </w:drawing>
      </w:r>
    </w:p>
    <w:p w14:paraId="4B059443" w14:textId="69A32C3F" w:rsidR="00C96242" w:rsidRPr="006D6727" w:rsidRDefault="00C96242" w:rsidP="001B5108">
      <w:pPr>
        <w:pStyle w:val="Caption"/>
        <w:rPr>
          <w:noProof/>
          <w:lang w:val="en-GB"/>
        </w:rPr>
      </w:pPr>
      <w:bookmarkStart w:id="608" w:name="_Ref4507331"/>
      <w:r w:rsidRPr="006D6727">
        <w:rPr>
          <w:noProof/>
          <w:lang w:val="en-GB"/>
        </w:rPr>
        <w:t>Figure</w:t>
      </w:r>
      <w:r w:rsidR="001B5108"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92</w:t>
      </w:r>
      <w:r w:rsidR="00616942" w:rsidRPr="006D6727">
        <w:rPr>
          <w:noProof/>
          <w:lang w:val="en-GB"/>
        </w:rPr>
        <w:fldChar w:fldCharType="end"/>
      </w:r>
      <w:bookmarkEnd w:id="608"/>
      <w:r w:rsidRPr="006D6727">
        <w:rPr>
          <w:noProof/>
          <w:lang w:val="en-GB"/>
        </w:rPr>
        <w:t>: Topographic map of the IRAM 30</w:t>
      </w:r>
      <w:r w:rsidR="001B5108" w:rsidRPr="006D6727">
        <w:rPr>
          <w:noProof/>
          <w:lang w:val="en-GB"/>
        </w:rPr>
        <w:t> </w:t>
      </w:r>
      <w:r w:rsidRPr="006D6727">
        <w:rPr>
          <w:noProof/>
          <w:lang w:val="en-GB"/>
        </w:rPr>
        <w:t xml:space="preserve">m site. The red shaded area </w:t>
      </w:r>
      <w:r w:rsidR="001B5108" w:rsidRPr="006D6727">
        <w:rPr>
          <w:noProof/>
          <w:lang w:val="en-GB"/>
        </w:rPr>
        <w:t>shows the</w:t>
      </w:r>
      <w:r w:rsidRPr="006D6727">
        <w:rPr>
          <w:noProof/>
          <w:lang w:val="en-GB"/>
        </w:rPr>
        <w:t xml:space="preserve"> line</w:t>
      </w:r>
      <w:r w:rsidR="001B5108" w:rsidRPr="006D6727">
        <w:rPr>
          <w:noProof/>
          <w:lang w:val="en-GB"/>
        </w:rPr>
        <w:t>-</w:t>
      </w:r>
      <w:r w:rsidRPr="006D6727">
        <w:rPr>
          <w:noProof/>
          <w:lang w:val="en-GB"/>
        </w:rPr>
        <w:t xml:space="preserve">of-sight regions </w:t>
      </w:r>
      <w:r w:rsidR="001B5108" w:rsidRPr="006D6727">
        <w:rPr>
          <w:noProof/>
          <w:lang w:val="en-GB"/>
        </w:rPr>
        <w:t>from</w:t>
      </w:r>
      <w:r w:rsidRPr="006D6727">
        <w:rPr>
          <w:noProof/>
          <w:lang w:val="en-GB"/>
        </w:rPr>
        <w:t xml:space="preserve"> the RAS station</w:t>
      </w:r>
    </w:p>
    <w:p w14:paraId="3015A0C3" w14:textId="77777777" w:rsidR="00C96242" w:rsidRPr="006D6727" w:rsidRDefault="00C96242" w:rsidP="00B13532">
      <w:pPr>
        <w:pStyle w:val="Caption"/>
        <w:rPr>
          <w:noProof/>
          <w:lang w:val="en-GB"/>
        </w:rPr>
      </w:pPr>
      <w:r w:rsidRPr="006D6727">
        <w:rPr>
          <w:noProof/>
          <w:lang w:val="de-DE" w:eastAsia="de-DE"/>
        </w:rPr>
        <w:drawing>
          <wp:inline distT="0" distB="0" distL="0" distR="0" wp14:anchorId="079B24C6" wp14:editId="28C6623E">
            <wp:extent cx="3951111" cy="3877441"/>
            <wp:effectExtent l="0" t="0" r="0" b="8890"/>
            <wp:docPr id="2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d_noema_los_map.jpg"/>
                    <pic:cNvPicPr/>
                  </pic:nvPicPr>
                  <pic:blipFill>
                    <a:blip r:embed="rId131" cstate="screen">
                      <a:extLst>
                        <a:ext uri="{28A0092B-C50C-407E-A947-70E740481C1C}">
                          <a14:useLocalDpi xmlns:a14="http://schemas.microsoft.com/office/drawing/2010/main"/>
                        </a:ext>
                      </a:extLst>
                    </a:blip>
                    <a:stretch>
                      <a:fillRect/>
                    </a:stretch>
                  </pic:blipFill>
                  <pic:spPr>
                    <a:xfrm>
                      <a:off x="0" y="0"/>
                      <a:ext cx="3963599" cy="3889697"/>
                    </a:xfrm>
                    <a:prstGeom prst="rect">
                      <a:avLst/>
                    </a:prstGeom>
                  </pic:spPr>
                </pic:pic>
              </a:graphicData>
            </a:graphic>
          </wp:inline>
        </w:drawing>
      </w:r>
    </w:p>
    <w:p w14:paraId="48C52B30" w14:textId="2806EE8C" w:rsidR="00C96242" w:rsidRDefault="00C96242" w:rsidP="00B13532">
      <w:pPr>
        <w:pStyle w:val="Caption"/>
        <w:rPr>
          <w:noProof/>
          <w:lang w:val="en-GB"/>
        </w:rPr>
      </w:pPr>
      <w:bookmarkStart w:id="609" w:name="_Ref4507344"/>
      <w:r w:rsidRPr="006D6727">
        <w:rPr>
          <w:noProof/>
          <w:lang w:val="en-GB"/>
        </w:rPr>
        <w:t>Figure</w:t>
      </w:r>
      <w:r w:rsidR="00B13532"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93</w:t>
      </w:r>
      <w:r w:rsidR="00616942" w:rsidRPr="006D6727">
        <w:rPr>
          <w:noProof/>
          <w:lang w:val="en-GB"/>
        </w:rPr>
        <w:fldChar w:fldCharType="end"/>
      </w:r>
      <w:bookmarkEnd w:id="609"/>
      <w:r w:rsidRPr="006D6727">
        <w:rPr>
          <w:noProof/>
          <w:lang w:val="en-GB"/>
        </w:rPr>
        <w:t>: Topographic map of the NOEMA site. The red shaded area visuali</w:t>
      </w:r>
      <w:r w:rsidR="00310783">
        <w:rPr>
          <w:noProof/>
          <w:lang w:val="en-GB"/>
        </w:rPr>
        <w:t>s</w:t>
      </w:r>
      <w:r w:rsidRPr="006D6727">
        <w:rPr>
          <w:noProof/>
          <w:lang w:val="en-GB"/>
        </w:rPr>
        <w:t xml:space="preserve">es line-of-sight regions </w:t>
      </w:r>
      <w:r w:rsidR="00B13532" w:rsidRPr="006D6727">
        <w:rPr>
          <w:noProof/>
          <w:lang w:val="en-GB"/>
        </w:rPr>
        <w:t>from</w:t>
      </w:r>
      <w:r w:rsidRPr="006D6727">
        <w:rPr>
          <w:noProof/>
          <w:lang w:val="en-GB"/>
        </w:rPr>
        <w:t xml:space="preserve"> the RAS station</w:t>
      </w:r>
    </w:p>
    <w:p w14:paraId="425B4243" w14:textId="77777777" w:rsidR="000F6BEC" w:rsidRPr="000F6BEC" w:rsidRDefault="000F6BEC" w:rsidP="000F6BEC"/>
    <w:p w14:paraId="4F169BD1" w14:textId="77777777" w:rsidR="007B3F9D" w:rsidRPr="006D6727" w:rsidRDefault="007B3F9D" w:rsidP="00E378F8">
      <w:pPr>
        <w:pStyle w:val="Caption"/>
        <w:rPr>
          <w:noProof/>
          <w:lang w:val="en-GB"/>
        </w:rPr>
      </w:pPr>
      <w:r w:rsidRPr="006D6727">
        <w:rPr>
          <w:noProof/>
          <w:lang w:val="de-DE" w:eastAsia="de-DE"/>
        </w:rPr>
        <mc:AlternateContent>
          <mc:Choice Requires="wpg">
            <w:drawing>
              <wp:inline distT="0" distB="0" distL="0" distR="0" wp14:anchorId="24FDABED" wp14:editId="32B96257">
                <wp:extent cx="5612138" cy="2699385"/>
                <wp:effectExtent l="0" t="0" r="7620" b="5715"/>
                <wp:docPr id="142" name="Group 142"/>
                <wp:cNvGraphicFramePr/>
                <a:graphic xmlns:a="http://schemas.openxmlformats.org/drawingml/2006/main">
                  <a:graphicData uri="http://schemas.microsoft.com/office/word/2010/wordprocessingGroup">
                    <wpg:wgp>
                      <wpg:cNvGrpSpPr/>
                      <wpg:grpSpPr>
                        <a:xfrm>
                          <a:off x="0" y="0"/>
                          <a:ext cx="5612138" cy="2699385"/>
                          <a:chOff x="0" y="0"/>
                          <a:chExt cx="5612138" cy="2699385"/>
                        </a:xfrm>
                      </wpg:grpSpPr>
                      <pic:pic xmlns:pic="http://schemas.openxmlformats.org/drawingml/2006/picture">
                        <pic:nvPicPr>
                          <pic:cNvPr id="143" name="Picture 143"/>
                          <pic:cNvPicPr>
                            <a:picLocks noChangeAspect="1"/>
                          </pic:cNvPicPr>
                        </pic:nvPicPr>
                        <pic:blipFill>
                          <a:blip r:embed="rId132"/>
                          <a:stretch>
                            <a:fillRect/>
                          </a:stretch>
                        </pic:blipFill>
                        <pic:spPr>
                          <a:xfrm>
                            <a:off x="0" y="0"/>
                            <a:ext cx="2750185" cy="2699385"/>
                          </a:xfrm>
                          <a:prstGeom prst="rect">
                            <a:avLst/>
                          </a:prstGeom>
                        </pic:spPr>
                      </pic:pic>
                      <pic:pic xmlns:pic="http://schemas.openxmlformats.org/drawingml/2006/picture">
                        <pic:nvPicPr>
                          <pic:cNvPr id="144" name="Picture 144"/>
                          <pic:cNvPicPr>
                            <a:picLocks noChangeAspect="1"/>
                          </pic:cNvPicPr>
                        </pic:nvPicPr>
                        <pic:blipFill>
                          <a:blip r:embed="rId133"/>
                          <a:stretch>
                            <a:fillRect/>
                          </a:stretch>
                        </pic:blipFill>
                        <pic:spPr>
                          <a:xfrm>
                            <a:off x="2861953" y="0"/>
                            <a:ext cx="2750185" cy="2699385"/>
                          </a:xfrm>
                          <a:prstGeom prst="rect">
                            <a:avLst/>
                          </a:prstGeom>
                        </pic:spPr>
                      </pic:pic>
                    </wpg:wgp>
                  </a:graphicData>
                </a:graphic>
              </wp:inline>
            </w:drawing>
          </mc:Choice>
          <mc:Fallback>
            <w:pict>
              <v:group w14:anchorId="56D2B215" id="Group 142" o:spid="_x0000_s1026" style="width:441.9pt;height:212.55pt;mso-position-horizontal-relative:char;mso-position-vertical-relative:line" coordsize="56121,269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T/5qn8Jf+y+/D3/1LNLq5VP/AJqn&#10;8Jf+y+/D3/1LNLoA/oIooooAKKKKACiiigAooooAKKKKAPjX/gvl/wAozPEf/ZQ/AX/qYaPX5m1+&#10;mX/BfL/lGZ4j/wCyh+Av/Uw0evzN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f8AzVP4S/8AZffh7/6lml1c&#10;qn/zVP4S/wDZffh7/wCpZpdAH9BFFFFABRRRQAUUUUAFFFFABRRRQB8a/wDBfL/lGZ4j/wCyh+Av&#10;/Uw0evzNr9Mv+C+X/KMzxH/2UPwF/wCpho9fm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U/+ap/CX/svvw9&#10;/wDUs0urlU/+ap/CX/svvw9/9SzS6AP6CKKKKACiiigAooooAKKKKACiiigD41/4L5f8ozPEf/ZQ&#10;/AX/AKmGj1+Ztfpl/wAF8v8AlGZ4j/7KH4C/9TDR6/M2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p/8ANU/h&#10;L/2X34e/+pZpdXKp/wDNU/hL/wBl9+Hv/qWaXQB/QRRRRQAUUUUAFFFFABRRRQAUUUUAfGv/AAXy&#10;/wCUZniP/sofgL/1MNHr8za/TL/gvl/yjM8R/wDZQ/AX/qYaPX5m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P8A5qn8Jf8Asvvw9/8AUs0urlU/+ap/CX/svvw9/wDUs0ugD+giiiigAooooAKKKKACiiigAooo&#10;oA+Nf+C+X/KMzxH/ANlD8Bf+pho9fmbX6Zf8F8v+UZniP/sofgL/ANTDR6/M2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p/81T+Ev/Zffh7/AOpZpdXKp/8ANU/hL/2X34e/+pZpdAH9BFFFFABRRRQAUUUUAFFF&#10;FABRRRQB8a/8F8v+UZniP/sofgL/ANTDR6/M2v0y/wCC+X/KMzxH/wBlD8Bf+pho9fm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U/8Amqfwl/7L78Pf/Us0urlU/wDmqfwl/wCy+/D3/wBSzS6AP6CKKKKACiii&#10;gAooooAKKKKACiiigD41/wCC+X/KMzxH/wBlD8Bf+pho9fmbX6Zf8F8v+UZniP8A7KH4C/8AUw0e&#10;vzN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DBAoAAAAAAAAA&#10;IQD++wfVKPcDACj3AwAUAAAAZHJzL21lZGlhL2ltYWdlMi5qcGf/2P/gABBKRklGAAEBAQBkAGQA&#10;AP/bAEMAAgEBAQEBAgEBAQICAgICBAMCAgICBQQEAwQGBQYGBgUGBgYHCQgGBwkHBgYICwgJCgoK&#10;CgoGCAsMCwoMCQoKCv/bAEMBAgICAgICBQMDBQoHBgcKCgoKCgoKCgoKCgoKCgoKCgoKCgoKCgoK&#10;CgoKCgoKCgoKCgoKCgoKCgoKCgoKCgoKCv/AABEIBCcE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n/AM1T+Ev/AGX34e/+pZpdXKp/81T+Ev8A2X34e/8AqWaXQB/QRRRRQAUUUUAFFFFABRRR&#10;QAUUUUAfGv8AwXy/5RmeI/8AsofgL/1MNHr8za/TL/gvl/yjM8R/9lD8Bf8AqYaPX5m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P/mqfwl/7L78Pf8A1LNLq5VP/mqfwl/7L78Pf/Us0ugD+giiiigAooooAKKK&#10;KACiiigAooooA+Nf+C+X/KMzxH/2UPwF/wCpho9fmbX6Zf8ABfL/AJRmeI/+yh+Av/Uw0evzN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f/ADVP4S/9l9+Hv/qWaXVyqf8AzVP4S/8AZffh7/6lml0Af0EUUUUA&#10;FFFFABRRRQAUUUUAFFFFAHxr/wAF8v8AlGZ4j/7KH4C/9TDR6/M2v0y/4L5f8ozPEf8A2UPwF/6m&#10;Gj1+Z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T/AOap/CX/ALL78Pf/AFLNLq5VP/mqfwl/7L78Pf8A1LNL&#10;oA/oIooooAKKKKACiiigAooooAKKKKAPjX/gvl/yjM8R/wDZQ/AX/qYaPX5m1+mX/BfL/lGZ4j/7&#10;KH4C/wDUw0evzN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qf/NU/hL/2X34e/wDqWaXVyqf/ADVP4S/9l9+H&#10;v/qWaXQB/QRRRRQAUUUUAFFFFABRRRQAUUUUAfGv/BfL/lGZ4j/7KH4C/wDUw0evzNr9Mv8Agvl/&#10;yjM8R/8AZQ/AX/qYaPX5m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VP/AJqn8Jf+y+/D3/1LNLq5VP8A5qn8&#10;Jf8Asvvw9/8AUs0ugD+giiiigAooooAKKKKACiiigAooooA+Nf8Agvl/yjM8R/8AZQ/AX/qYaPX5&#10;m1+mX/BfL/lGZ4j/AOyh+Av/AFMNHr8z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n/zVP4S/wDZffh7/wCp&#10;ZpdXKp/81T+Ev/Zffh7/AOpZpdAH9BFFFFABRRRQAUUUUAFFFFABRRRQB8a/8F8v+UZniP8A7KH4&#10;C/8AUw0evzNr9Mv+C+X/ACjM8R/9lD8Bf+pho9fmb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">
                <v:shape id="Picture 143" o:spid="_x0000_s1027"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">
                  <v:imagedata r:id="rId134" o:title=""/>
                </v:shape>
                <v:shape id="Picture 144" o:spid="_x0000_s1028" type="#_x0000_t75" style="position:absolute;left:28619;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">
                  <v:imagedata r:id="rId135" o:title=""/>
                </v:shape>
                <w10:anchorlock/>
              </v:group>
            </w:pict>
          </mc:Fallback>
        </mc:AlternateContent>
      </w:r>
    </w:p>
    <w:p w14:paraId="3164706D" w14:textId="4DDB1FC2" w:rsidR="007B3F9D" w:rsidRPr="006D6727" w:rsidRDefault="007B3F9D" w:rsidP="00E378F8">
      <w:pPr>
        <w:pStyle w:val="Caption"/>
        <w:rPr>
          <w:noProof/>
          <w:lang w:val="en-GB"/>
        </w:rPr>
      </w:pPr>
      <w:bookmarkStart w:id="610" w:name="_Ref27649269"/>
      <w:r w:rsidRPr="006D6727">
        <w:rPr>
          <w:noProof/>
          <w:lang w:val="en-GB"/>
        </w:rPr>
        <w:t>Figure</w:t>
      </w:r>
      <w:r w:rsidR="00556D71"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94</w:t>
      </w:r>
      <w:r w:rsidR="00616942" w:rsidRPr="006D6727">
        <w:rPr>
          <w:noProof/>
          <w:lang w:val="en-GB"/>
        </w:rPr>
        <w:fldChar w:fldCharType="end"/>
      </w:r>
      <w:bookmarkEnd w:id="610"/>
      <w:r w:rsidRPr="006D6727">
        <w:rPr>
          <w:noProof/>
          <w:lang w:val="en-GB"/>
        </w:rPr>
        <w:t>: Path attenuation maps for LOS regions around the IRAM 30 m station at 140 and 185</w:t>
      </w:r>
      <w:r w:rsidR="00556D71" w:rsidRPr="006D6727">
        <w:rPr>
          <w:noProof/>
          <w:lang w:val="en-GB"/>
        </w:rPr>
        <w:t> </w:t>
      </w:r>
      <w:r w:rsidRPr="006D6727">
        <w:rPr>
          <w:noProof/>
          <w:lang w:val="en-GB"/>
        </w:rPr>
        <w:t>GHz</w:t>
      </w:r>
    </w:p>
    <w:p w14:paraId="7539D4B8" w14:textId="77777777" w:rsidR="007B3F9D" w:rsidRPr="006D6727" w:rsidRDefault="007B3F9D" w:rsidP="00E378F8">
      <w:pPr>
        <w:pStyle w:val="Caption"/>
        <w:rPr>
          <w:noProof/>
          <w:lang w:val="en-GB"/>
        </w:rPr>
      </w:pPr>
      <w:r w:rsidRPr="006D6727">
        <w:rPr>
          <w:noProof/>
          <w:lang w:val="de-DE" w:eastAsia="de-DE"/>
        </w:rPr>
        <mc:AlternateContent>
          <mc:Choice Requires="wpg">
            <w:drawing>
              <wp:inline distT="0" distB="0" distL="0" distR="0" wp14:anchorId="0CFE62C6" wp14:editId="161FFE21">
                <wp:extent cx="5612138" cy="2699385"/>
                <wp:effectExtent l="0" t="0" r="7620" b="5715"/>
                <wp:docPr id="136" name="Group 136"/>
                <wp:cNvGraphicFramePr/>
                <a:graphic xmlns:a="http://schemas.openxmlformats.org/drawingml/2006/main">
                  <a:graphicData uri="http://schemas.microsoft.com/office/word/2010/wordprocessingGroup">
                    <wpg:wgp>
                      <wpg:cNvGrpSpPr/>
                      <wpg:grpSpPr>
                        <a:xfrm>
                          <a:off x="0" y="0"/>
                          <a:ext cx="5612126" cy="2699385"/>
                          <a:chOff x="6" y="0"/>
                          <a:chExt cx="5612126" cy="2699385"/>
                        </a:xfrm>
                      </wpg:grpSpPr>
                      <pic:pic xmlns:pic="http://schemas.openxmlformats.org/drawingml/2006/picture">
                        <pic:nvPicPr>
                          <pic:cNvPr id="134" name="Picture 134"/>
                          <pic:cNvPicPr>
                            <a:picLocks noChangeAspect="1"/>
                          </pic:cNvPicPr>
                        </pic:nvPicPr>
                        <pic:blipFill>
                          <a:blip r:embed="rId136"/>
                          <a:stretch>
                            <a:fillRect/>
                          </a:stretch>
                        </pic:blipFill>
                        <pic:spPr>
                          <a:xfrm>
                            <a:off x="6" y="0"/>
                            <a:ext cx="2750173" cy="2699385"/>
                          </a:xfrm>
                          <a:prstGeom prst="rect">
                            <a:avLst/>
                          </a:prstGeom>
                        </pic:spPr>
                      </pic:pic>
                      <pic:pic xmlns:pic="http://schemas.openxmlformats.org/drawingml/2006/picture">
                        <pic:nvPicPr>
                          <pic:cNvPr id="135" name="Picture 135"/>
                          <pic:cNvPicPr>
                            <a:picLocks noChangeAspect="1"/>
                          </pic:cNvPicPr>
                        </pic:nvPicPr>
                        <pic:blipFill>
                          <a:blip r:embed="rId137"/>
                          <a:stretch>
                            <a:fillRect/>
                          </a:stretch>
                        </pic:blipFill>
                        <pic:spPr>
                          <a:xfrm>
                            <a:off x="2861959" y="0"/>
                            <a:ext cx="2750173" cy="2699385"/>
                          </a:xfrm>
                          <a:prstGeom prst="rect">
                            <a:avLst/>
                          </a:prstGeom>
                        </pic:spPr>
                      </pic:pic>
                    </wpg:wgp>
                  </a:graphicData>
                </a:graphic>
              </wp:inline>
            </w:drawing>
          </mc:Choice>
          <mc:Fallback>
            <w:pict>
              <v:group w14:anchorId="7796361F" id="Group 136" o:spid="_x0000_s1026" style="width:441.9pt;height:212.55pt;mso-position-horizontal-relative:char;mso-position-vertical-relative:line" coordorigin="" coordsize="56121,269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">
                <v:shape id="Picture 134" o:spid="_x0000_s1027"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">
                  <v:imagedata r:id="rId138" o:title=""/>
                </v:shape>
                <v:shape id="Picture 135" o:spid="_x0000_s1028" type="#_x0000_t75" style="position:absolute;left:28619;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">
                  <v:imagedata r:id="rId139" o:title=""/>
                </v:shape>
                <w10:anchorlock/>
              </v:group>
            </w:pict>
          </mc:Fallback>
        </mc:AlternateContent>
      </w:r>
    </w:p>
    <w:p w14:paraId="46A28FDA" w14:textId="71D8A785" w:rsidR="007B3F9D" w:rsidRPr="006D6727" w:rsidRDefault="007B3F9D" w:rsidP="00E378F8">
      <w:pPr>
        <w:pStyle w:val="Caption"/>
        <w:rPr>
          <w:noProof/>
          <w:lang w:val="en-GB"/>
        </w:rPr>
      </w:pPr>
      <w:bookmarkStart w:id="611" w:name="_Ref27649277"/>
      <w:r w:rsidRPr="006D6727">
        <w:rPr>
          <w:noProof/>
          <w:lang w:val="en-GB"/>
        </w:rPr>
        <w:t>Figure</w:t>
      </w:r>
      <w:r w:rsidR="00556D71"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95</w:t>
      </w:r>
      <w:r w:rsidR="00616942" w:rsidRPr="006D6727">
        <w:rPr>
          <w:noProof/>
          <w:lang w:val="en-GB"/>
        </w:rPr>
        <w:fldChar w:fldCharType="end"/>
      </w:r>
      <w:bookmarkEnd w:id="611"/>
      <w:r w:rsidRPr="006D6727">
        <w:rPr>
          <w:noProof/>
          <w:lang w:val="en-GB"/>
        </w:rPr>
        <w:t>: Path attenuation maps for LOS regions around the NOEMA station at 140 and 185</w:t>
      </w:r>
      <w:r w:rsidR="00C9582C" w:rsidRPr="006D6727">
        <w:rPr>
          <w:noProof/>
          <w:lang w:val="en-GB"/>
        </w:rPr>
        <w:t> </w:t>
      </w:r>
      <w:r w:rsidRPr="006D6727">
        <w:rPr>
          <w:noProof/>
          <w:lang w:val="en-GB"/>
        </w:rPr>
        <w:t>GHz</w:t>
      </w:r>
    </w:p>
    <w:p w14:paraId="65758585" w14:textId="77777777" w:rsidR="008B2E13" w:rsidRPr="006D6727" w:rsidRDefault="002F6180" w:rsidP="008B2E13">
      <w:pPr>
        <w:pStyle w:val="Heading2"/>
        <w:rPr>
          <w:noProof/>
          <w:lang w:val="en-GB"/>
        </w:rPr>
      </w:pPr>
      <w:bookmarkStart w:id="612" w:name="_Ref17906293"/>
      <w:bookmarkStart w:id="613" w:name="_Toc84325377"/>
      <w:bookmarkStart w:id="614" w:name="_Toc127346301"/>
      <w:r w:rsidRPr="006D6727">
        <w:rPr>
          <w:noProof/>
          <w:lang w:val="en-GB"/>
        </w:rPr>
        <w:t>Separation Distances for</w:t>
      </w:r>
      <w:r w:rsidR="008B2E13" w:rsidRPr="006D6727">
        <w:rPr>
          <w:noProof/>
          <w:lang w:val="en-GB"/>
        </w:rPr>
        <w:t xml:space="preserve"> single-interferer scenario</w:t>
      </w:r>
      <w:bookmarkEnd w:id="612"/>
      <w:bookmarkEnd w:id="613"/>
      <w:bookmarkEnd w:id="614"/>
    </w:p>
    <w:p w14:paraId="68902BA9" w14:textId="52D682AD" w:rsidR="00533319" w:rsidRPr="006D6727" w:rsidRDefault="00533319" w:rsidP="00533319">
      <w:pPr>
        <w:rPr>
          <w:rStyle w:val="ECCParagraph"/>
          <w:noProof/>
        </w:rPr>
      </w:pPr>
      <w:r w:rsidRPr="006D6727">
        <w:rPr>
          <w:rStyle w:val="ECCParagraph"/>
          <w:noProof/>
        </w:rPr>
        <w:t xml:space="preserve">As discussed in section </w:t>
      </w:r>
      <w:r w:rsidRPr="006D6727">
        <w:rPr>
          <w:rStyle w:val="ECCParagraph"/>
          <w:noProof/>
        </w:rPr>
        <w:fldChar w:fldCharType="begin"/>
      </w:r>
      <w:r w:rsidRPr="006D6727">
        <w:rPr>
          <w:rStyle w:val="ECCParagraph"/>
          <w:noProof/>
        </w:rPr>
        <w:instrText xml:space="preserve"> REF _Ref25576147 \r \h </w:instrText>
      </w:r>
      <w:r w:rsidRPr="006D6727">
        <w:rPr>
          <w:rStyle w:val="ECCParagraph"/>
          <w:noProof/>
        </w:rPr>
      </w:r>
      <w:r w:rsidRPr="006D6727">
        <w:rPr>
          <w:rStyle w:val="ECCParagraph"/>
          <w:noProof/>
        </w:rPr>
        <w:fldChar w:fldCharType="separate"/>
      </w:r>
      <w:r w:rsidR="004F49F9">
        <w:rPr>
          <w:rStyle w:val="ECCParagraph"/>
          <w:noProof/>
        </w:rPr>
        <w:t>4.10</w:t>
      </w:r>
      <w:r w:rsidRPr="006D6727">
        <w:rPr>
          <w:rStyle w:val="ECCParagraph"/>
          <w:noProof/>
        </w:rPr>
        <w:fldChar w:fldCharType="end"/>
      </w:r>
      <w:r w:rsidRPr="006D6727">
        <w:rPr>
          <w:rStyle w:val="ECCParagraph"/>
          <w:noProof/>
        </w:rPr>
        <w:t xml:space="preserve">, it is possible to do the calculations in an application-agnostic manner by considering </w:t>
      </w:r>
      <w:r w:rsidR="00F37503">
        <w:rPr>
          <w:rStyle w:val="ECCParagraph"/>
        </w:rPr>
        <w:t>e.i.r.p.</w:t>
      </w:r>
      <w:r w:rsidRPr="006D6727">
        <w:rPr>
          <w:rStyle w:val="ECCParagraph"/>
          <w:noProof/>
        </w:rPr>
        <w:t xml:space="preserve"> values calculated as the average power that effectively goes into the RAS </w:t>
      </w:r>
      <w:r w:rsidR="00524EED" w:rsidRPr="006D6727">
        <w:rPr>
          <w:rStyle w:val="ECCParagraph"/>
          <w:noProof/>
        </w:rPr>
        <w:t>antenna</w:t>
      </w:r>
      <w:r w:rsidRPr="006D6727">
        <w:rPr>
          <w:rStyle w:val="ECCParagraph"/>
          <w:noProof/>
        </w:rPr>
        <w:t xml:space="preserve">. This requires the transformation of the </w:t>
      </w:r>
      <w:r w:rsidR="00F37503">
        <w:rPr>
          <w:rStyle w:val="ECCParagraph"/>
        </w:rPr>
        <w:t>e.i.r.p.</w:t>
      </w:r>
      <w:r w:rsidRPr="006D6727">
        <w:rPr>
          <w:rStyle w:val="ECCParagraph"/>
          <w:noProof/>
        </w:rPr>
        <w:t xml:space="preserve"> of the </w:t>
      </w:r>
      <w:r w:rsidR="00E6433F">
        <w:rPr>
          <w:rStyle w:val="ECCParagraph"/>
        </w:rPr>
        <w:t>radiodetermination</w:t>
      </w:r>
      <w:r w:rsidR="00E6433F" w:rsidRPr="006D6727">
        <w:rPr>
          <w:rStyle w:val="ECCParagraph"/>
          <w:noProof/>
        </w:rPr>
        <w:t xml:space="preserve"> </w:t>
      </w:r>
      <w:r w:rsidRPr="006D6727">
        <w:rPr>
          <w:rStyle w:val="ECCParagraph"/>
          <w:noProof/>
        </w:rPr>
        <w:t xml:space="preserve">device into a value that represents the average power that would effectively reach the RAS antenna </w:t>
      </w:r>
      <w:r w:rsidRPr="006D6727">
        <w:rPr>
          <w:noProof/>
        </w:rPr>
        <w:t>considering the propagation phenomena and the mitigation effects having an impact on the signal transmitted by the radio</w:t>
      </w:r>
      <w:r w:rsidR="00FD0723" w:rsidRPr="00FD0723">
        <w:rPr>
          <w:rStyle w:val="ECCParagraph"/>
        </w:rPr>
        <w:t xml:space="preserve"> radiodetermination</w:t>
      </w:r>
      <w:r w:rsidRPr="006D6727">
        <w:rPr>
          <w:noProof/>
        </w:rPr>
        <w:t xml:space="preserve"> device such as, duty cycle, bandwidth correction factor, clutter loss, antenna pointing, shielding, etc. These effects represent the </w:t>
      </w:r>
      <w:r w:rsidRPr="006D6727">
        <w:rPr>
          <w:rStyle w:val="ECCParagraph"/>
          <w:noProof/>
        </w:rPr>
        <w:t>particularities of the different radio</w:t>
      </w:r>
      <w:r w:rsidR="00FD0723" w:rsidRPr="00FD0723">
        <w:rPr>
          <w:rStyle w:val="ECCParagraph"/>
        </w:rPr>
        <w:t xml:space="preserve"> radiodetermination</w:t>
      </w:r>
      <w:r w:rsidR="00667141">
        <w:rPr>
          <w:rStyle w:val="ECCParagraph"/>
        </w:rPr>
        <w:t xml:space="preserve"> </w:t>
      </w:r>
      <w:r w:rsidRPr="006D6727">
        <w:rPr>
          <w:rStyle w:val="ECCParagraph"/>
          <w:noProof/>
        </w:rPr>
        <w:t xml:space="preserve">applications considered and the result of such calculation is called hereafter “the effectual </w:t>
      </w:r>
      <w:r w:rsidR="000C297F">
        <w:rPr>
          <w:rStyle w:val="ECCParagraph"/>
        </w:rPr>
        <w:t>e.i.r.p.</w:t>
      </w:r>
      <w:r w:rsidRPr="006D6727">
        <w:rPr>
          <w:rStyle w:val="ECCParagraph"/>
          <w:noProof/>
        </w:rPr>
        <w:t>” of the radio location device.</w:t>
      </w:r>
    </w:p>
    <w:p w14:paraId="7DE7E542" w14:textId="7D06380C" w:rsidR="006F33D4" w:rsidRPr="006D6727" w:rsidRDefault="006F33D4" w:rsidP="006F33D4">
      <w:pPr>
        <w:rPr>
          <w:rStyle w:val="Emphasis"/>
          <w:noProof/>
        </w:rPr>
      </w:pPr>
      <w:r w:rsidRPr="006D6727">
        <w:rPr>
          <w:rStyle w:val="Emphasis"/>
          <w:noProof/>
        </w:rPr>
        <w:t>Example 1: SRD with peak power 20</w:t>
      </w:r>
      <w:r w:rsidR="008C27F5" w:rsidRPr="006D6727">
        <w:rPr>
          <w:rStyle w:val="Emphasis"/>
          <w:noProof/>
        </w:rPr>
        <w:t> </w:t>
      </w:r>
      <w:r w:rsidRPr="006D6727">
        <w:rPr>
          <w:rStyle w:val="Emphasis"/>
          <w:noProof/>
        </w:rPr>
        <w:t>dBm/MHz (</w:t>
      </w:r>
      <w:r w:rsidR="00F37503">
        <w:rPr>
          <w:rStyle w:val="Emphasis"/>
        </w:rPr>
        <w:t>e.i.r.p.</w:t>
      </w:r>
      <w:r w:rsidRPr="006D6727">
        <w:rPr>
          <w:rStyle w:val="Emphasis"/>
          <w:noProof/>
        </w:rPr>
        <w:t xml:space="preserve"> forward direction) </w:t>
      </w:r>
      <w:r w:rsidR="00E0156D" w:rsidRPr="006D6727">
        <w:rPr>
          <w:rStyle w:val="Emphasis"/>
          <w:noProof/>
        </w:rPr>
        <w:t>in the frequency range from</w:t>
      </w:r>
      <w:r w:rsidRPr="006D6727">
        <w:rPr>
          <w:rStyle w:val="Emphasis"/>
          <w:noProof/>
        </w:rPr>
        <w:t xml:space="preserve"> 100 to 140</w:t>
      </w:r>
      <w:r w:rsidR="008C27F5" w:rsidRPr="006D6727">
        <w:rPr>
          <w:rStyle w:val="Emphasis"/>
          <w:noProof/>
        </w:rPr>
        <w:t> </w:t>
      </w:r>
      <w:r w:rsidRPr="006D6727">
        <w:rPr>
          <w:rStyle w:val="Emphasis"/>
          <w:noProof/>
        </w:rPr>
        <w:t>GHz with duty cycle of 10</w:t>
      </w:r>
      <w:r w:rsidR="00F800A2">
        <w:rPr>
          <w:rStyle w:val="Emphasis"/>
          <w:noProof/>
        </w:rPr>
        <w:t>%</w:t>
      </w:r>
      <w:r w:rsidRPr="006D6727">
        <w:rPr>
          <w:rStyle w:val="Emphasis"/>
          <w:noProof/>
        </w:rPr>
        <w:t>. Antenna gain towards RAS station -30</w:t>
      </w:r>
      <w:r w:rsidR="008C27F5" w:rsidRPr="006D6727">
        <w:rPr>
          <w:rStyle w:val="Emphasis"/>
          <w:noProof/>
        </w:rPr>
        <w:t> </w:t>
      </w:r>
      <w:r w:rsidRPr="006D6727">
        <w:rPr>
          <w:rStyle w:val="Emphasis"/>
          <w:noProof/>
        </w:rPr>
        <w:t>dBi (with respect to forward gain). No building entry loss.</w:t>
      </w:r>
    </w:p>
    <w:p w14:paraId="44530046" w14:textId="2C072E6C" w:rsidR="006F33D4" w:rsidRPr="006D6727" w:rsidRDefault="006F33D4" w:rsidP="006F33D4">
      <w:pPr>
        <w:rPr>
          <w:rStyle w:val="ECCParagraph"/>
          <w:noProof/>
        </w:rPr>
      </w:pPr>
      <w:r w:rsidRPr="006D6727">
        <w:rPr>
          <w:rStyle w:val="ECCParagraph"/>
          <w:noProof/>
        </w:rPr>
        <w:t>The first step would be to integrate the spectral power over the RAS continuum channel bandwidth of 8</w:t>
      </w:r>
      <w:r w:rsidR="008C27F5" w:rsidRPr="006D6727">
        <w:rPr>
          <w:rStyle w:val="ECCParagraph"/>
          <w:noProof/>
        </w:rPr>
        <w:t> </w:t>
      </w:r>
      <w:r w:rsidRPr="006D6727">
        <w:rPr>
          <w:rStyle w:val="ECCParagraph"/>
          <w:noProof/>
        </w:rPr>
        <w:t xml:space="preserve">GHz, which results in a peak </w:t>
      </w:r>
      <w:r w:rsidR="00F37503">
        <w:rPr>
          <w:rStyle w:val="ECCParagraph"/>
        </w:rPr>
        <w:t>e.i.r.p.</w:t>
      </w:r>
      <w:r w:rsidRPr="006D6727">
        <w:rPr>
          <w:rStyle w:val="ECCParagraph"/>
          <w:noProof/>
        </w:rPr>
        <w:t xml:space="preserve"> (forward direction) of 59</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 Considering the duty cycle of 10</w:t>
      </w:r>
      <w:r w:rsidR="00F800A2">
        <w:rPr>
          <w:rStyle w:val="ECCParagraph"/>
          <w:noProof/>
        </w:rPr>
        <w:t>%</w:t>
      </w:r>
      <w:r w:rsidRPr="006D6727">
        <w:rPr>
          <w:rStyle w:val="ECCParagraph"/>
          <w:noProof/>
        </w:rPr>
        <w:t xml:space="preserve"> (or </w:t>
      </w:r>
      <w:r w:rsidR="008C27F5" w:rsidRPr="006D6727">
        <w:rPr>
          <w:rStyle w:val="ECCParagraph"/>
          <w:noProof/>
        </w:rPr>
        <w:noBreakHyphen/>
      </w:r>
      <w:r w:rsidRPr="006D6727">
        <w:rPr>
          <w:rStyle w:val="ECCParagraph"/>
          <w:noProof/>
        </w:rPr>
        <w:t>10</w:t>
      </w:r>
      <w:r w:rsidR="008C27F5" w:rsidRPr="006D6727">
        <w:rPr>
          <w:rStyle w:val="ECCParagraph"/>
          <w:noProof/>
        </w:rPr>
        <w:t> </w:t>
      </w:r>
      <w:r w:rsidRPr="006D6727">
        <w:rPr>
          <w:rStyle w:val="ECCParagraph"/>
          <w:noProof/>
        </w:rPr>
        <w:t>dB), the average power in forward direction would be 49</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 As in the example the RAS station is not in forward direction, the effective antenna gain of -30</w:t>
      </w:r>
      <w:r w:rsidR="008C27F5" w:rsidRPr="006D6727">
        <w:rPr>
          <w:rStyle w:val="ECCParagraph"/>
          <w:noProof/>
        </w:rPr>
        <w:t> </w:t>
      </w:r>
      <w:r w:rsidRPr="006D6727">
        <w:rPr>
          <w:rStyle w:val="ECCParagraph"/>
          <w:noProof/>
        </w:rPr>
        <w:t>dBi must be applied, yielding 19</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 (time averaged) that is transmitted towards the RAS station.</w:t>
      </w:r>
    </w:p>
    <w:p w14:paraId="3F3E5B77" w14:textId="71B0EE6C" w:rsidR="006F33D4" w:rsidRPr="006D6727" w:rsidRDefault="006F33D4" w:rsidP="006F33D4">
      <w:pPr>
        <w:rPr>
          <w:rStyle w:val="Emphasis"/>
          <w:noProof/>
        </w:rPr>
      </w:pPr>
      <w:r w:rsidRPr="006D6727">
        <w:rPr>
          <w:rStyle w:val="Emphasis"/>
          <w:noProof/>
        </w:rPr>
        <w:t xml:space="preserve">Example 2: SRD with peak </w:t>
      </w:r>
      <w:r w:rsidR="00F37503">
        <w:rPr>
          <w:rStyle w:val="Emphasis"/>
        </w:rPr>
        <w:t>e.i.r.p.</w:t>
      </w:r>
      <w:r w:rsidRPr="006D6727">
        <w:rPr>
          <w:rStyle w:val="Emphasis"/>
          <w:noProof/>
        </w:rPr>
        <w:t xml:space="preserve"> (towards RAS station) of 40</w:t>
      </w:r>
      <w:r w:rsidR="008C27F5" w:rsidRPr="006D6727">
        <w:rPr>
          <w:rStyle w:val="Emphasis"/>
          <w:noProof/>
        </w:rPr>
        <w:t> </w:t>
      </w:r>
      <w:r w:rsidRPr="006D6727">
        <w:rPr>
          <w:rStyle w:val="Emphasis"/>
          <w:noProof/>
        </w:rPr>
        <w:t>dBm over 4</w:t>
      </w:r>
      <w:r w:rsidR="008C27F5" w:rsidRPr="006D6727">
        <w:rPr>
          <w:rStyle w:val="Emphasis"/>
          <w:noProof/>
        </w:rPr>
        <w:t> </w:t>
      </w:r>
      <w:r w:rsidRPr="006D6727">
        <w:rPr>
          <w:rStyle w:val="Emphasis"/>
          <w:noProof/>
        </w:rPr>
        <w:t xml:space="preserve">GHz </w:t>
      </w:r>
      <w:r w:rsidR="00E0156D" w:rsidRPr="006D6727">
        <w:rPr>
          <w:rStyle w:val="Emphasis"/>
          <w:noProof/>
        </w:rPr>
        <w:t xml:space="preserve">or </w:t>
      </w:r>
      <w:r w:rsidRPr="006D6727">
        <w:rPr>
          <w:rStyle w:val="Emphasis"/>
          <w:noProof/>
        </w:rPr>
        <w:t>20</w:t>
      </w:r>
      <w:r w:rsidR="008C27F5" w:rsidRPr="006D6727">
        <w:rPr>
          <w:rStyle w:val="Emphasis"/>
          <w:noProof/>
        </w:rPr>
        <w:t> </w:t>
      </w:r>
      <w:r w:rsidRPr="006D6727">
        <w:rPr>
          <w:rStyle w:val="Emphasis"/>
          <w:noProof/>
        </w:rPr>
        <w:t>GHz of bandwidth, duty cycle 50</w:t>
      </w:r>
      <w:r w:rsidR="00F800A2">
        <w:rPr>
          <w:rStyle w:val="Emphasis"/>
          <w:noProof/>
        </w:rPr>
        <w:t>%</w:t>
      </w:r>
      <w:r w:rsidRPr="006D6727">
        <w:rPr>
          <w:rStyle w:val="Emphasis"/>
          <w:noProof/>
        </w:rPr>
        <w:t>, 30</w:t>
      </w:r>
      <w:r w:rsidR="008C27F5" w:rsidRPr="006D6727">
        <w:rPr>
          <w:rStyle w:val="Emphasis"/>
          <w:noProof/>
        </w:rPr>
        <w:t> </w:t>
      </w:r>
      <w:r w:rsidRPr="006D6727">
        <w:rPr>
          <w:rStyle w:val="Emphasis"/>
          <w:noProof/>
        </w:rPr>
        <w:t>dB building entry loss.</w:t>
      </w:r>
    </w:p>
    <w:p w14:paraId="5647BC7F" w14:textId="3B253B8B" w:rsidR="006F33D4" w:rsidRPr="006D6727" w:rsidRDefault="006F33D4" w:rsidP="006F33D4">
      <w:pPr>
        <w:rPr>
          <w:rStyle w:val="ECCParagraph"/>
          <w:noProof/>
        </w:rPr>
      </w:pPr>
      <w:r w:rsidRPr="006D6727">
        <w:rPr>
          <w:rStyle w:val="ECCParagraph"/>
          <w:noProof/>
        </w:rPr>
        <w:t>For an SRD bandwidth of 4</w:t>
      </w:r>
      <w:r w:rsidR="008C27F5" w:rsidRPr="006D6727">
        <w:rPr>
          <w:rStyle w:val="ECCParagraph"/>
          <w:noProof/>
        </w:rPr>
        <w:t> </w:t>
      </w:r>
      <w:r w:rsidRPr="006D6727">
        <w:rPr>
          <w:rStyle w:val="ECCParagraph"/>
          <w:noProof/>
        </w:rPr>
        <w:t xml:space="preserve">GHz no conversion is necessary (i.e. the relevant </w:t>
      </w:r>
      <w:r w:rsidR="00F37503">
        <w:rPr>
          <w:rStyle w:val="ECCParagraph"/>
        </w:rPr>
        <w:t>e.i.r.p.</w:t>
      </w:r>
      <w:r w:rsidRPr="006D6727">
        <w:rPr>
          <w:rStyle w:val="ECCParagraph"/>
          <w:noProof/>
        </w:rPr>
        <w:t xml:space="preserve"> is 40</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w:t>
      </w:r>
      <w:r w:rsidR="00E0156D" w:rsidRPr="006D6727">
        <w:rPr>
          <w:rStyle w:val="ECCParagraph"/>
          <w:noProof/>
        </w:rPr>
        <w:t>. F</w:t>
      </w:r>
      <w:r w:rsidRPr="006D6727">
        <w:rPr>
          <w:rStyle w:val="ECCParagraph"/>
          <w:noProof/>
        </w:rPr>
        <w:t>or 20</w:t>
      </w:r>
      <w:r w:rsidR="00E0156D" w:rsidRPr="006D6727">
        <w:rPr>
          <w:rStyle w:val="ECCParagraph"/>
          <w:noProof/>
        </w:rPr>
        <w:t> </w:t>
      </w:r>
      <w:r w:rsidRPr="006D6727">
        <w:rPr>
          <w:rStyle w:val="ECCParagraph"/>
          <w:noProof/>
        </w:rPr>
        <w:t>GHz</w:t>
      </w:r>
      <w:r w:rsidR="00E0156D" w:rsidRPr="006D6727">
        <w:rPr>
          <w:rStyle w:val="ECCParagraph"/>
          <w:noProof/>
        </w:rPr>
        <w:t xml:space="preserve"> SRD bandwidth,</w:t>
      </w:r>
      <w:r w:rsidRPr="006D6727">
        <w:rPr>
          <w:rStyle w:val="ECCParagraph"/>
          <w:noProof/>
        </w:rPr>
        <w:t xml:space="preserve"> only a fraction of the power needs to be considered (i.e., 8</w:t>
      </w:r>
      <w:r w:rsidR="008C27F5" w:rsidRPr="006D6727">
        <w:rPr>
          <w:rStyle w:val="ECCParagraph"/>
          <w:noProof/>
        </w:rPr>
        <w:t> </w:t>
      </w:r>
      <w:r w:rsidRPr="006D6727">
        <w:rPr>
          <w:rStyle w:val="ECCParagraph"/>
          <w:noProof/>
        </w:rPr>
        <w:t>GHz/20</w:t>
      </w:r>
      <w:r w:rsidR="008C27F5" w:rsidRPr="006D6727">
        <w:rPr>
          <w:rStyle w:val="ECCParagraph"/>
          <w:noProof/>
        </w:rPr>
        <w:t> </w:t>
      </w:r>
      <w:r w:rsidRPr="006D6727">
        <w:rPr>
          <w:rStyle w:val="ECCParagraph"/>
          <w:noProof/>
        </w:rPr>
        <w:t xml:space="preserve">GHz), which results in an </w:t>
      </w:r>
      <w:r w:rsidR="000C297F">
        <w:rPr>
          <w:rStyle w:val="ECCParagraph"/>
        </w:rPr>
        <w:t>e.i.r.p.</w:t>
      </w:r>
      <w:r w:rsidRPr="006D6727">
        <w:rPr>
          <w:rStyle w:val="ECCParagraph"/>
          <w:noProof/>
        </w:rPr>
        <w:t xml:space="preserve"> of 36</w:t>
      </w:r>
      <w:r w:rsidR="008C27F5" w:rsidRPr="006D6727">
        <w:rPr>
          <w:rStyle w:val="ECCParagraph"/>
          <w:noProof/>
        </w:rPr>
        <w:t> </w:t>
      </w:r>
      <w:r w:rsidRPr="006D6727">
        <w:rPr>
          <w:rStyle w:val="ECCParagraph"/>
          <w:noProof/>
        </w:rPr>
        <w:t>dBm/8</w:t>
      </w:r>
      <w:r w:rsidR="00EF2264" w:rsidRPr="006D6727">
        <w:rPr>
          <w:rStyle w:val="ECCParagraph"/>
          <w:noProof/>
        </w:rPr>
        <w:t> </w:t>
      </w:r>
      <w:r w:rsidRPr="006D6727">
        <w:rPr>
          <w:rStyle w:val="ECCParagraph"/>
          <w:noProof/>
        </w:rPr>
        <w:t>GHz. Applying the duty cycle of 50</w:t>
      </w:r>
      <w:r w:rsidR="00F800A2">
        <w:rPr>
          <w:rStyle w:val="ECCParagraph"/>
          <w:noProof/>
        </w:rPr>
        <w:t>%</w:t>
      </w:r>
      <w:r w:rsidRPr="006D6727">
        <w:rPr>
          <w:rStyle w:val="ECCParagraph"/>
          <w:noProof/>
        </w:rPr>
        <w:t xml:space="preserve"> (</w:t>
      </w:r>
      <w:r w:rsidR="008C27F5" w:rsidRPr="006D6727">
        <w:rPr>
          <w:rStyle w:val="ECCParagraph"/>
          <w:noProof/>
        </w:rPr>
        <w:noBreakHyphen/>
      </w:r>
      <w:r w:rsidRPr="006D6727">
        <w:rPr>
          <w:rStyle w:val="ECCParagraph"/>
          <w:noProof/>
        </w:rPr>
        <w:t>3</w:t>
      </w:r>
      <w:r w:rsidR="008C27F5" w:rsidRPr="006D6727">
        <w:rPr>
          <w:rStyle w:val="ECCParagraph"/>
          <w:noProof/>
        </w:rPr>
        <w:t> </w:t>
      </w:r>
      <w:r w:rsidRPr="006D6727">
        <w:rPr>
          <w:rStyle w:val="ECCParagraph"/>
          <w:noProof/>
        </w:rPr>
        <w:t xml:space="preserve">dB) and the BEL of </w:t>
      </w:r>
      <w:r w:rsidR="008C27F5" w:rsidRPr="006D6727">
        <w:rPr>
          <w:rStyle w:val="ECCParagraph"/>
          <w:noProof/>
        </w:rPr>
        <w:noBreakHyphen/>
      </w:r>
      <w:r w:rsidRPr="006D6727">
        <w:rPr>
          <w:rStyle w:val="ECCParagraph"/>
          <w:noProof/>
        </w:rPr>
        <w:t>30</w:t>
      </w:r>
      <w:r w:rsidR="008C27F5" w:rsidRPr="006D6727">
        <w:rPr>
          <w:rStyle w:val="ECCParagraph"/>
          <w:noProof/>
        </w:rPr>
        <w:t> </w:t>
      </w:r>
      <w:r w:rsidRPr="006D6727">
        <w:rPr>
          <w:rStyle w:val="ECCParagraph"/>
          <w:noProof/>
        </w:rPr>
        <w:t>dB, on average 7 (3)</w:t>
      </w:r>
      <w:r w:rsidR="008C27F5" w:rsidRPr="006D6727">
        <w:rPr>
          <w:rStyle w:val="ECCParagraph"/>
          <w:noProof/>
        </w:rPr>
        <w:t> </w:t>
      </w:r>
      <w:r w:rsidRPr="006D6727">
        <w:rPr>
          <w:rStyle w:val="ECCParagraph"/>
          <w:noProof/>
        </w:rPr>
        <w:t>dBm/8</w:t>
      </w:r>
      <w:r w:rsidR="00EF2264" w:rsidRPr="006D6727">
        <w:rPr>
          <w:rStyle w:val="ECCParagraph"/>
          <w:noProof/>
        </w:rPr>
        <w:t> </w:t>
      </w:r>
      <w:r w:rsidRPr="006D6727">
        <w:rPr>
          <w:rStyle w:val="ECCParagraph"/>
          <w:noProof/>
        </w:rPr>
        <w:t>GHz (time averaged) are transmitted towards the RAS station.</w:t>
      </w:r>
    </w:p>
    <w:p w14:paraId="19172CEE" w14:textId="219C7F60" w:rsidR="009060F2" w:rsidRPr="006D6727" w:rsidRDefault="005A1A0B" w:rsidP="009060F2">
      <w:pPr>
        <w:rPr>
          <w:rStyle w:val="ECCParagraph"/>
          <w:noProof/>
        </w:rPr>
      </w:pPr>
      <w:r w:rsidRPr="006D6727">
        <w:rPr>
          <w:rStyle w:val="ECCParagraph"/>
          <w:noProof/>
        </w:rPr>
        <w:t xml:space="preserve">The difference between the transmitter (Tx) </w:t>
      </w:r>
      <w:r w:rsidR="000C297F">
        <w:rPr>
          <w:rStyle w:val="ECCParagraph"/>
        </w:rPr>
        <w:t>e.i.r.p.</w:t>
      </w:r>
      <w:r w:rsidRPr="006D6727">
        <w:rPr>
          <w:rStyle w:val="ECCParagraph"/>
          <w:noProof/>
        </w:rPr>
        <w:t xml:space="preserve"> and the RAS threshold defines the minimal coupling loss (MCL). </w:t>
      </w:r>
      <w:r w:rsidR="009060F2" w:rsidRPr="006D6727">
        <w:rPr>
          <w:rStyle w:val="ECCParagraph"/>
          <w:noProof/>
        </w:rPr>
        <w:t xml:space="preserve">The difference between the MCL and the path attenuation obtained as </w:t>
      </w:r>
      <w:r w:rsidR="00CF150D" w:rsidRPr="006D6727">
        <w:rPr>
          <w:rStyle w:val="ECCParagraph"/>
          <w:noProof/>
        </w:rPr>
        <w:t xml:space="preserve">described </w:t>
      </w:r>
      <w:r w:rsidR="009060F2" w:rsidRPr="006D6727">
        <w:rPr>
          <w:rStyle w:val="ECCParagraph"/>
          <w:noProof/>
        </w:rPr>
        <w:t xml:space="preserve">in </w:t>
      </w:r>
      <w:r w:rsidR="00200134" w:rsidRPr="006D6727">
        <w:rPr>
          <w:rStyle w:val="ECCParagraph"/>
          <w:noProof/>
        </w:rPr>
        <w:t>s</w:t>
      </w:r>
      <w:r w:rsidR="00CF150D" w:rsidRPr="006D6727">
        <w:rPr>
          <w:rStyle w:val="ECCParagraph"/>
          <w:noProof/>
        </w:rPr>
        <w:t xml:space="preserve">ection </w:t>
      </w:r>
      <w:r w:rsidR="009060F2" w:rsidRPr="006D6727">
        <w:rPr>
          <w:rStyle w:val="ECCParagraph"/>
          <w:noProof/>
        </w:rPr>
        <w:fldChar w:fldCharType="begin"/>
      </w:r>
      <w:r w:rsidR="009060F2" w:rsidRPr="006D6727">
        <w:rPr>
          <w:rStyle w:val="ECCParagraph"/>
          <w:noProof/>
        </w:rPr>
        <w:instrText xml:space="preserve"> REF _Ref17905823 \n \h </w:instrText>
      </w:r>
      <w:r w:rsidR="009060F2" w:rsidRPr="006D6727">
        <w:rPr>
          <w:rStyle w:val="ECCParagraph"/>
          <w:noProof/>
        </w:rPr>
      </w:r>
      <w:r w:rsidR="009060F2" w:rsidRPr="006D6727">
        <w:rPr>
          <w:rStyle w:val="ECCParagraph"/>
          <w:noProof/>
        </w:rPr>
        <w:fldChar w:fldCharType="separate"/>
      </w:r>
      <w:r w:rsidR="004F49F9">
        <w:rPr>
          <w:rStyle w:val="ECCParagraph"/>
          <w:noProof/>
        </w:rPr>
        <w:t>4.11</w:t>
      </w:r>
      <w:r w:rsidR="009060F2" w:rsidRPr="006D6727">
        <w:rPr>
          <w:rStyle w:val="ECCParagraph"/>
          <w:noProof/>
        </w:rPr>
        <w:fldChar w:fldCharType="end"/>
      </w:r>
      <w:r w:rsidR="009060F2" w:rsidRPr="006D6727">
        <w:rPr>
          <w:rStyle w:val="ECCParagraph"/>
          <w:noProof/>
        </w:rPr>
        <w:t xml:space="preserve"> is called the margin. A negative margin means that the RAS thresholds are exceeded (incompatibility), positive margins mean that there is still room before the thresholds are exceeded. A margin of zero indicates a case where the RAS threshold is hit exactly.</w:t>
      </w:r>
    </w:p>
    <w:p w14:paraId="2923634E" w14:textId="544681C8" w:rsidR="005A1A0B" w:rsidRPr="006D6727" w:rsidRDefault="005A1A0B" w:rsidP="00BD2815">
      <w:pPr>
        <w:rPr>
          <w:rStyle w:val="ECCParagraph"/>
          <w:noProof/>
        </w:rPr>
      </w:pPr>
      <w:r w:rsidRPr="006D6727">
        <w:rPr>
          <w:rStyle w:val="ECCParagraph"/>
          <w:noProof/>
        </w:rPr>
        <w:t xml:space="preserve">In </w:t>
      </w:r>
      <w:r w:rsidRPr="006D6727">
        <w:rPr>
          <w:rStyle w:val="ECCParagraph"/>
          <w:noProof/>
        </w:rPr>
        <w:fldChar w:fldCharType="begin"/>
      </w:r>
      <w:r w:rsidRPr="006D6727">
        <w:rPr>
          <w:rStyle w:val="ECCParagraph"/>
          <w:noProof/>
        </w:rPr>
        <w:instrText xml:space="preserve"> REF _Ref25582793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96</w:t>
      </w:r>
      <w:r w:rsidRPr="006D6727">
        <w:rPr>
          <w:rStyle w:val="ECCParagraph"/>
          <w:noProof/>
        </w:rPr>
        <w:fldChar w:fldCharType="end"/>
      </w:r>
      <w:r w:rsidRPr="006D6727">
        <w:rPr>
          <w:rStyle w:val="ECCParagraph"/>
          <w:noProof/>
        </w:rPr>
        <w:t xml:space="preserve"> and </w:t>
      </w:r>
      <w:r w:rsidRPr="006D6727">
        <w:rPr>
          <w:rStyle w:val="ECCParagraph"/>
          <w:noProof/>
        </w:rPr>
        <w:fldChar w:fldCharType="begin"/>
      </w:r>
      <w:r w:rsidRPr="006D6727">
        <w:rPr>
          <w:rStyle w:val="ECCParagraph"/>
          <w:noProof/>
        </w:rPr>
        <w:instrText xml:space="preserve"> REF _Ref25582795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97</w:t>
      </w:r>
      <w:r w:rsidRPr="006D6727">
        <w:rPr>
          <w:rStyle w:val="ECCParagraph"/>
          <w:noProof/>
        </w:rPr>
        <w:fldChar w:fldCharType="end"/>
      </w:r>
      <w:r w:rsidRPr="006D6727">
        <w:rPr>
          <w:rStyle w:val="ECCParagraph"/>
          <w:noProof/>
        </w:rPr>
        <w:t xml:space="preserve">, the zero-margin regions around the two relevant RAS stations, the IRAM 30 m observatory (Spain) and the NOEMA site (France), are shown for a range of different “effective </w:t>
      </w:r>
      <w:r w:rsidR="000C297F">
        <w:rPr>
          <w:rStyle w:val="ECCParagraph"/>
        </w:rPr>
        <w:t>e.i.r.p.</w:t>
      </w:r>
      <w:r w:rsidRPr="006D6727">
        <w:rPr>
          <w:rStyle w:val="ECCParagraph"/>
          <w:noProof/>
        </w:rPr>
        <w:t xml:space="preserve">” values between 0 dBm/8 GHz and 80 dBm/8 GHz. As this is a large dynamic range, two different map sizes were chosen. For each of the two RAS sites, the resulting separation distances are displayed as contours in </w:t>
      </w:r>
      <w:r w:rsidRPr="006D6727">
        <w:rPr>
          <w:rStyle w:val="ECCParagraph"/>
          <w:noProof/>
        </w:rPr>
        <w:fldChar w:fldCharType="begin"/>
      </w:r>
      <w:r w:rsidRPr="006D6727">
        <w:rPr>
          <w:rStyle w:val="ECCParagraph"/>
          <w:noProof/>
        </w:rPr>
        <w:instrText xml:space="preserve"> REF _Ref25582793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96</w:t>
      </w:r>
      <w:r w:rsidRPr="006D6727">
        <w:rPr>
          <w:rStyle w:val="ECCParagraph"/>
          <w:noProof/>
        </w:rPr>
        <w:fldChar w:fldCharType="end"/>
      </w:r>
      <w:r w:rsidRPr="006D6727">
        <w:rPr>
          <w:rStyle w:val="ECCParagraph"/>
          <w:noProof/>
        </w:rPr>
        <w:t xml:space="preserve"> an </w:t>
      </w:r>
      <w:r w:rsidRPr="006D6727">
        <w:rPr>
          <w:rStyle w:val="ECCParagraph"/>
          <w:noProof/>
        </w:rPr>
        <w:fldChar w:fldCharType="begin"/>
      </w:r>
      <w:r w:rsidRPr="006D6727">
        <w:rPr>
          <w:rStyle w:val="ECCParagraph"/>
          <w:noProof/>
        </w:rPr>
        <w:instrText xml:space="preserve"> REF _Ref25582795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97</w:t>
      </w:r>
      <w:r w:rsidRPr="006D6727">
        <w:rPr>
          <w:rStyle w:val="ECCParagraph"/>
          <w:noProof/>
        </w:rPr>
        <w:fldChar w:fldCharType="end"/>
      </w:r>
      <w:r w:rsidRPr="006D6727">
        <w:rPr>
          <w:rStyle w:val="ECCParagraph"/>
          <w:noProof/>
        </w:rPr>
        <w:t xml:space="preserve"> for the two example frequencies of 140 and 185 GHz. The outcome is strongly dependent on the chosen frequency, as was discussed in the previous section. It is also noted that, as the results were derived under assumption of a single interferer, some caution is needed when interpreting the results.</w:t>
      </w:r>
    </w:p>
    <w:p w14:paraId="4DA56DB1" w14:textId="77777777" w:rsidR="00FD2711" w:rsidRPr="006D6727" w:rsidRDefault="00FD2711" w:rsidP="00E378F8">
      <w:pPr>
        <w:pStyle w:val="Caption"/>
        <w:rPr>
          <w:noProof/>
          <w:lang w:val="en-GB"/>
        </w:rPr>
      </w:pPr>
      <w:r w:rsidRPr="006D6727">
        <w:rPr>
          <w:noProof/>
          <w:lang w:val="de-DE" w:eastAsia="de-DE"/>
        </w:rPr>
        <mc:AlternateContent>
          <mc:Choice Requires="wpg">
            <w:drawing>
              <wp:inline distT="0" distB="0" distL="0" distR="0" wp14:anchorId="6464F44E" wp14:editId="6D2FC2AC">
                <wp:extent cx="5847645" cy="5554133"/>
                <wp:effectExtent l="0" t="0" r="1270" b="8890"/>
                <wp:docPr id="129" name="Group 129"/>
                <wp:cNvGraphicFramePr/>
                <a:graphic xmlns:a="http://schemas.openxmlformats.org/drawingml/2006/main">
                  <a:graphicData uri="http://schemas.microsoft.com/office/word/2010/wordprocessingGroup">
                    <wpg:wgp>
                      <wpg:cNvGrpSpPr/>
                      <wpg:grpSpPr>
                        <a:xfrm>
                          <a:off x="0" y="0"/>
                          <a:ext cx="5847645" cy="5554133"/>
                          <a:chOff x="0" y="0"/>
                          <a:chExt cx="5612655" cy="5402828"/>
                        </a:xfrm>
                      </wpg:grpSpPr>
                      <pic:pic xmlns:pic="http://schemas.openxmlformats.org/drawingml/2006/picture">
                        <pic:nvPicPr>
                          <pic:cNvPr id="130" name="Picture 130"/>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2862455" y="0"/>
                            <a:ext cx="2750185" cy="2699385"/>
                          </a:xfrm>
                          <a:prstGeom prst="rect">
                            <a:avLst/>
                          </a:prstGeom>
                        </pic:spPr>
                      </pic:pic>
                      <pic:pic xmlns:pic="http://schemas.openxmlformats.org/drawingml/2006/picture">
                        <pic:nvPicPr>
                          <pic:cNvPr id="131" name="Picture 131"/>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2750185" cy="2699385"/>
                          </a:xfrm>
                          <a:prstGeom prst="rect">
                            <a:avLst/>
                          </a:prstGeom>
                        </pic:spPr>
                      </pic:pic>
                      <pic:pic xmlns:pic="http://schemas.openxmlformats.org/drawingml/2006/picture">
                        <pic:nvPicPr>
                          <pic:cNvPr id="132" name="Picture 132"/>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2703443"/>
                            <a:ext cx="2750185" cy="2699385"/>
                          </a:xfrm>
                          <a:prstGeom prst="rect">
                            <a:avLst/>
                          </a:prstGeom>
                        </pic:spPr>
                      </pic:pic>
                      <pic:pic xmlns:pic="http://schemas.openxmlformats.org/drawingml/2006/picture">
                        <pic:nvPicPr>
                          <pic:cNvPr id="133" name="Picture 133"/>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2862470" y="2703443"/>
                            <a:ext cx="2750185" cy="2699385"/>
                          </a:xfrm>
                          <a:prstGeom prst="rect">
                            <a:avLst/>
                          </a:prstGeom>
                        </pic:spPr>
                      </pic:pic>
                    </wpg:wgp>
                  </a:graphicData>
                </a:graphic>
              </wp:inline>
            </w:drawing>
          </mc:Choice>
          <mc:Fallback>
            <w:pict>
              <v:group w14:anchorId="3F2F7996" id="Group 129" o:spid="_x0000_s1026" style="width:460.45pt;height:437.35pt;mso-position-horizontal-relative:char;mso-position-vertical-relative:line" coordsize="56126,540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CgAAAAAAAAAh&#10;AH1jSOhh8gUAYfIFABQAAABkcnMvbWVkaWEvaW1hZ2UzLmpwZ//Y/+AAEEpGSUYAAQEBAGQAZAAA&#10;/9sAQwACAQEBAQECAQEBAgICAgIEAwICAgIFBAQDBAYFBgYGBQYGBgcJCAYHCQcGBggLCAkKCgoK&#10;CgYICwwLCgwJCgoK/9sAQwECAgICAgIFAwMFCgcGBwoKCgoKCgoKCgoKCgoKCgoKCgoKCgoKCgoK&#10;CgoKCgoKCgoKCgoKCgoKCgoKCgoKCgoK/8AAEQgEJwQ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AoAAAAAAAAAIQC0SO0NVHAEAFRwBAAUAAAAZHJzL21lZGlhL2ltYWdlNC5qcGf/2P/gABBK&#10;RklGAAEBAQBkAGQAAP/bAEMAAgEBAQEBAgEBAQICAgICBAMCAgICBQQEAwQGBQYGBgUGBgYHCQgG&#10;BwkHBgYICwgJCgoKCgoGCAsMCwoMCQoKCv/bAEMBAgICAgICBQMDBQoHBgcKCgoKCgoKCgoKCgoK&#10;CgoKCgoKCgoKCgoKCgoKCgoKCgoKCgoKCgoKCgoKCgoKCgoKCv/AABEIBCcE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">
                <v:shape id="Picture 130" o:spid="_x0000_s1027" type="#_x0000_t75" style="position:absolute;left:28624;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">
                  <v:imagedata r:id="rId144" o:title=""/>
                </v:shape>
                <v:shape id="Picture 131" o:spid="_x0000_s1028"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">
                  <v:imagedata r:id="rId145" o:title=""/>
                </v:shape>
                <v:shape id="Picture 132" o:spid="_x0000_s1029" type="#_x0000_t75" style="position:absolute;top:27034;width:27501;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">
                  <v:imagedata r:id="rId146" o:title=""/>
                </v:shape>
                <v:shape id="Picture 133" o:spid="_x0000_s1030" type="#_x0000_t75" style="position:absolute;left:28624;top:27034;width:27502;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">
                  <v:imagedata r:id="rId147" o:title=""/>
                </v:shape>
                <w10:anchorlock/>
              </v:group>
            </w:pict>
          </mc:Fallback>
        </mc:AlternateContent>
      </w:r>
    </w:p>
    <w:p w14:paraId="7118D730" w14:textId="77777777" w:rsidR="00F319E9" w:rsidRDefault="00F319E9" w:rsidP="00E378F8">
      <w:pPr>
        <w:pStyle w:val="Caption"/>
        <w:rPr>
          <w:noProof/>
          <w:lang w:val="en-GB"/>
        </w:rPr>
      </w:pPr>
      <w:bookmarkStart w:id="615" w:name="_Ref25582793"/>
    </w:p>
    <w:p w14:paraId="5E6E0EA5" w14:textId="5C4C2AF5" w:rsidR="00FD2711" w:rsidRPr="006D6727" w:rsidRDefault="00FD2711" w:rsidP="00E378F8">
      <w:pPr>
        <w:pStyle w:val="Caption"/>
        <w:rPr>
          <w:rStyle w:val="ECCParagraph"/>
          <w:noProof/>
        </w:rPr>
      </w:pPr>
      <w:r w:rsidRPr="006D6727">
        <w:rPr>
          <w:noProof/>
          <w:lang w:val="en-GB"/>
        </w:rPr>
        <w:t>Figure</w:t>
      </w:r>
      <w:r w:rsidR="00824A9C"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96</w:t>
      </w:r>
      <w:r w:rsidR="00616942" w:rsidRPr="006D6727">
        <w:rPr>
          <w:noProof/>
          <w:lang w:val="en-GB"/>
        </w:rPr>
        <w:fldChar w:fldCharType="end"/>
      </w:r>
      <w:bookmarkEnd w:id="615"/>
      <w:r w:rsidRPr="006D6727">
        <w:rPr>
          <w:noProof/>
          <w:lang w:val="en-GB"/>
        </w:rPr>
        <w:t>: Regions of zero-margin around the IRAM 30</w:t>
      </w:r>
      <w:r w:rsidR="00E63742" w:rsidRPr="006D6727">
        <w:rPr>
          <w:noProof/>
          <w:lang w:val="en-GB"/>
        </w:rPr>
        <w:t> </w:t>
      </w:r>
      <w:r w:rsidRPr="006D6727">
        <w:rPr>
          <w:noProof/>
          <w:lang w:val="en-GB"/>
        </w:rPr>
        <w:t xml:space="preserve">m site for different </w:t>
      </w:r>
      <w:r w:rsidR="000C297F">
        <w:t>e.i.r.p.</w:t>
      </w:r>
      <w:r w:rsidRPr="006D6727">
        <w:rPr>
          <w:noProof/>
          <w:lang w:val="en-GB"/>
        </w:rPr>
        <w:t xml:space="preserve"> values at 140 and 185</w:t>
      </w:r>
      <w:r w:rsidR="003860CD" w:rsidRPr="006D6727">
        <w:rPr>
          <w:noProof/>
          <w:lang w:val="en-GB"/>
        </w:rPr>
        <w:t> </w:t>
      </w:r>
      <w:r w:rsidRPr="006D6727">
        <w:rPr>
          <w:noProof/>
          <w:lang w:val="en-GB"/>
        </w:rPr>
        <w:t>GHz</w:t>
      </w:r>
    </w:p>
    <w:p w14:paraId="3F34A6A2" w14:textId="77777777" w:rsidR="00FD2711" w:rsidRPr="006D6727" w:rsidRDefault="00FD2711" w:rsidP="00E378F8">
      <w:pPr>
        <w:pStyle w:val="Caption"/>
        <w:rPr>
          <w:noProof/>
          <w:lang w:val="en-GB"/>
        </w:rPr>
      </w:pPr>
      <w:r w:rsidRPr="006D6727">
        <w:rPr>
          <w:noProof/>
          <w:lang w:val="de-DE" w:eastAsia="de-DE"/>
        </w:rPr>
        <mc:AlternateContent>
          <mc:Choice Requires="wpg">
            <w:drawing>
              <wp:inline distT="0" distB="0" distL="0" distR="0" wp14:anchorId="00261769" wp14:editId="7403EA36">
                <wp:extent cx="5813778" cy="5599289"/>
                <wp:effectExtent l="0" t="0" r="0" b="1905"/>
                <wp:docPr id="118" name="Group 118"/>
                <wp:cNvGraphicFramePr/>
                <a:graphic xmlns:a="http://schemas.openxmlformats.org/drawingml/2006/main">
                  <a:graphicData uri="http://schemas.microsoft.com/office/word/2010/wordprocessingGroup">
                    <wpg:wgp>
                      <wpg:cNvGrpSpPr/>
                      <wpg:grpSpPr>
                        <a:xfrm>
                          <a:off x="0" y="0"/>
                          <a:ext cx="5813778" cy="5599289"/>
                          <a:chOff x="0" y="1127"/>
                          <a:chExt cx="5612655" cy="5394375"/>
                        </a:xfrm>
                      </wpg:grpSpPr>
                      <pic:pic xmlns:pic="http://schemas.openxmlformats.org/drawingml/2006/picture">
                        <pic:nvPicPr>
                          <pic:cNvPr id="119" name="Picture 119"/>
                          <pic:cNvPicPr>
                            <a:picLocks noChangeAspect="1"/>
                          </pic:cNvPicPr>
                        </pic:nvPicPr>
                        <pic:blipFill>
                          <a:blip r:embed="rId148"/>
                          <a:stretch>
                            <a:fillRect/>
                          </a:stretch>
                        </pic:blipFill>
                        <pic:spPr>
                          <a:xfrm>
                            <a:off x="2862455" y="1127"/>
                            <a:ext cx="2750185" cy="2697130"/>
                          </a:xfrm>
                          <a:prstGeom prst="rect">
                            <a:avLst/>
                          </a:prstGeom>
                        </pic:spPr>
                      </pic:pic>
                      <pic:pic xmlns:pic="http://schemas.openxmlformats.org/drawingml/2006/picture">
                        <pic:nvPicPr>
                          <pic:cNvPr id="120" name="Picture 120"/>
                          <pic:cNvPicPr>
                            <a:picLocks noChangeAspect="1"/>
                          </pic:cNvPicPr>
                        </pic:nvPicPr>
                        <pic:blipFill>
                          <a:blip r:embed="rId149"/>
                          <a:stretch>
                            <a:fillRect/>
                          </a:stretch>
                        </pic:blipFill>
                        <pic:spPr>
                          <a:xfrm>
                            <a:off x="0" y="1127"/>
                            <a:ext cx="2750185" cy="2697130"/>
                          </a:xfrm>
                          <a:prstGeom prst="rect">
                            <a:avLst/>
                          </a:prstGeom>
                        </pic:spPr>
                      </pic:pic>
                      <pic:pic xmlns:pic="http://schemas.openxmlformats.org/drawingml/2006/picture">
                        <pic:nvPicPr>
                          <pic:cNvPr id="121" name="Picture 121"/>
                          <pic:cNvPicPr>
                            <a:picLocks noChangeAspect="1"/>
                          </pic:cNvPicPr>
                        </pic:nvPicPr>
                        <pic:blipFill>
                          <a:blip r:embed="rId150"/>
                          <a:stretch>
                            <a:fillRect/>
                          </a:stretch>
                        </pic:blipFill>
                        <pic:spPr>
                          <a:xfrm>
                            <a:off x="0" y="2710767"/>
                            <a:ext cx="2750185" cy="2684735"/>
                          </a:xfrm>
                          <a:prstGeom prst="rect">
                            <a:avLst/>
                          </a:prstGeom>
                        </pic:spPr>
                      </pic:pic>
                      <pic:pic xmlns:pic="http://schemas.openxmlformats.org/drawingml/2006/picture">
                        <pic:nvPicPr>
                          <pic:cNvPr id="122" name="Picture 122"/>
                          <pic:cNvPicPr>
                            <a:picLocks noChangeAspect="1"/>
                          </pic:cNvPicPr>
                        </pic:nvPicPr>
                        <pic:blipFill>
                          <a:blip r:embed="rId151"/>
                          <a:stretch>
                            <a:fillRect/>
                          </a:stretch>
                        </pic:blipFill>
                        <pic:spPr>
                          <a:xfrm>
                            <a:off x="2862470" y="2710767"/>
                            <a:ext cx="2750185" cy="2684735"/>
                          </a:xfrm>
                          <a:prstGeom prst="rect">
                            <a:avLst/>
                          </a:prstGeom>
                        </pic:spPr>
                      </pic:pic>
                    </wpg:wgp>
                  </a:graphicData>
                </a:graphic>
              </wp:inline>
            </w:drawing>
          </mc:Choice>
          <mc:Fallback>
            <w:pict>
              <v:group w14:anchorId="074856D3" id="Group 118" o:spid="_x0000_s1026" style="width:457.8pt;height:440.9pt;mso-position-horizontal-relative:char;mso-position-vertical-relative:line" coordorigin=",11" coordsize="56126,539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JdkVRi/zQYAv80GABQAAABkcnMvbWVkaWEvaW1hZ2UyLmpwZ//Y&#10;/+AAEEpGSUYAAQEBAGQAZAAA/9sAQwACAQEBAQECAQEBAgICAgIEAwICAgIFBAQDBAYFBgYGBQYG&#10;BgcJCAYHCQcGBggLCAkKCgoKCgYICwwLCgwJCgoK/9sAQwECAgICAgIFAwMFCgcGBwoKCgoKCgoK&#10;CgoKCgoKCgoKCgoKCgoKCgoKCgoKCgoKCgoKCgoKCgoKCgoKCgoKCgoK/8AAEQgEJwQ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2VBLAwQKAAAAAAAAACEA/9XQgtNhBwDTYQcA&#10;FAAAAGRycy9tZWRpYS9pbWFnZTMuanBn/9j/4AAQSkZJRgABAQEAZABkAAD/2wBDAAIBAQEBAQIB&#10;AQECAgICAgQDAgICAgUEBAMEBgUGBgYFBgYGBwkIBgcJBwYGCAsICQoKCgoKBggLDAsKDAkKCgr/&#10;2wBDAQICAgICAgUDAwUKBwYHCgoKCgoKCgoKCgoKCgoKCgoKCgoKCgoKCgoKCgoKCgoKCgoKCgoK&#10;CgoKCgoKCgoKCgr/wAARCAQnBE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ZUEsDBAoAAAAAAAAAIQAeGoKA7dUGAO3VBgAUAAAAZHJzL21lZGlhL2ltYWdlNC5qcGf/2P/g&#10;ABBKRklGAAEBAQBkAGQAAP/bAEMAAgEBAQEBAgEBAQICAgICBAMCAgICBQQEAwQGBQYGBgUGBgYH&#10;CQgGBwkHBgYICwgJCgoKCgoGCAsMCwoMCQoKCv/bAEMBAgICAgICBQMDBQoHBgcKCgoKCgoKCgoK&#10;CgoKCgoKCgoKCgoKCgoKCgoKCgoKCgoKCgoKCgoKCgoKCgoKCgoKCv/AABEIBCcE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">
                <v:shape id="Picture 119" o:spid="_x0000_s1027" type="#_x0000_t75" style="position:absolute;left:28624;top:11;width:27502;height:26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">
                  <v:imagedata r:id="rId152" o:title=""/>
                </v:shape>
                <v:shape id="Picture 120" o:spid="_x0000_s1028" type="#_x0000_t75" style="position:absolute;top:11;width:27501;height:26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">
                  <v:imagedata r:id="rId153" o:title=""/>
                </v:shape>
                <v:shape id="Picture 121" o:spid="_x0000_s1029" type="#_x0000_t75" style="position:absolute;top:27107;width:27501;height:2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">
                  <v:imagedata r:id="rId154" o:title=""/>
                </v:shape>
                <v:shape id="Picture 122" o:spid="_x0000_s1030" type="#_x0000_t75" style="position:absolute;left:28624;top:27107;width:27502;height:2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">
                  <v:imagedata r:id="rId155" o:title=""/>
                </v:shape>
                <w10:anchorlock/>
              </v:group>
            </w:pict>
          </mc:Fallback>
        </mc:AlternateContent>
      </w:r>
    </w:p>
    <w:p w14:paraId="200C6D64" w14:textId="77777777" w:rsidR="004F496E" w:rsidRDefault="004F496E" w:rsidP="00E378F8">
      <w:pPr>
        <w:pStyle w:val="Caption"/>
        <w:rPr>
          <w:noProof/>
          <w:lang w:val="en-GB"/>
        </w:rPr>
      </w:pPr>
      <w:bookmarkStart w:id="616" w:name="_Ref25582795"/>
    </w:p>
    <w:p w14:paraId="61E974C2" w14:textId="379796F5" w:rsidR="00FD2711" w:rsidRDefault="00FD2711" w:rsidP="00E378F8">
      <w:pPr>
        <w:pStyle w:val="Caption"/>
        <w:rPr>
          <w:noProof/>
          <w:lang w:val="en-GB"/>
        </w:rPr>
      </w:pPr>
      <w:r w:rsidRPr="006D6727">
        <w:rPr>
          <w:noProof/>
          <w:lang w:val="en-GB"/>
        </w:rPr>
        <w:t>Figure</w:t>
      </w:r>
      <w:r w:rsidR="00824A9C"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97</w:t>
      </w:r>
      <w:r w:rsidR="00616942" w:rsidRPr="006D6727">
        <w:rPr>
          <w:noProof/>
          <w:lang w:val="en-GB"/>
        </w:rPr>
        <w:fldChar w:fldCharType="end"/>
      </w:r>
      <w:bookmarkEnd w:id="616"/>
      <w:r w:rsidRPr="006D6727">
        <w:rPr>
          <w:noProof/>
          <w:lang w:val="en-GB"/>
        </w:rPr>
        <w:t xml:space="preserve">: Regions of zero-margin around the NOEMA site for different </w:t>
      </w:r>
      <w:r w:rsidR="000C297F">
        <w:t>e.i.r.p.</w:t>
      </w:r>
      <w:r w:rsidRPr="006D6727">
        <w:rPr>
          <w:noProof/>
          <w:lang w:val="en-GB"/>
        </w:rPr>
        <w:t xml:space="preserve"> values at 140 and 185</w:t>
      </w:r>
      <w:r w:rsidR="00E63742" w:rsidRPr="006D6727">
        <w:rPr>
          <w:noProof/>
          <w:lang w:val="en-GB"/>
        </w:rPr>
        <w:t> </w:t>
      </w:r>
      <w:r w:rsidRPr="006D6727">
        <w:rPr>
          <w:noProof/>
          <w:lang w:val="en-GB"/>
        </w:rPr>
        <w:t>GHz</w:t>
      </w:r>
    </w:p>
    <w:p w14:paraId="5431237F" w14:textId="4F35917C" w:rsidR="00F17570" w:rsidRDefault="00F17570" w:rsidP="00F17570">
      <w:r>
        <w:t xml:space="preserve">As an additional example, </w:t>
      </w:r>
      <w:r w:rsidRPr="00D22BD8">
        <w:t xml:space="preserve">the specific case of the frequency 140 MHz with </w:t>
      </w:r>
      <w:r>
        <w:t xml:space="preserve">an </w:t>
      </w:r>
      <w:r w:rsidRPr="00D22BD8">
        <w:t>e</w:t>
      </w:r>
      <w:r>
        <w:t>.</w:t>
      </w:r>
      <w:r w:rsidRPr="00D22BD8">
        <w:t>i</w:t>
      </w:r>
      <w:r>
        <w:t>.</w:t>
      </w:r>
      <w:r w:rsidRPr="00D22BD8">
        <w:t>r</w:t>
      </w:r>
      <w:r>
        <w:t>.</w:t>
      </w:r>
      <w:r w:rsidRPr="00D22BD8">
        <w:t>p</w:t>
      </w:r>
      <w:r>
        <w:t>.</w:t>
      </w:r>
      <w:r w:rsidRPr="00D22BD8">
        <w:t xml:space="preserve"> of</w:t>
      </w:r>
      <w:r>
        <w:t xml:space="preserve"> </w:t>
      </w:r>
      <w:r w:rsidRPr="00D22BD8">
        <w:t>55</w:t>
      </w:r>
      <w:r>
        <w:t> </w:t>
      </w:r>
      <w:r w:rsidRPr="00D22BD8">
        <w:t>dBm in 8</w:t>
      </w:r>
      <w:r>
        <w:t> </w:t>
      </w:r>
      <w:r w:rsidRPr="00D22BD8">
        <w:t xml:space="preserve">GHz is provided </w:t>
      </w:r>
      <w:r>
        <w:t>in</w:t>
      </w:r>
      <w:r w:rsidRPr="00D22BD8">
        <w:t xml:space="preserve"> </w:t>
      </w:r>
      <w:r>
        <w:fldChar w:fldCharType="begin"/>
      </w:r>
      <w:r>
        <w:instrText xml:space="preserve"> REF _Ref65011068 \h </w:instrText>
      </w:r>
      <w:r>
        <w:fldChar w:fldCharType="separate"/>
      </w:r>
      <w:r w:rsidR="0041125F" w:rsidRPr="00D22BD8">
        <w:t>Figure </w:t>
      </w:r>
      <w:r w:rsidR="0041125F">
        <w:rPr>
          <w:noProof/>
        </w:rPr>
        <w:t>98</w:t>
      </w:r>
      <w:r>
        <w:fldChar w:fldCharType="end"/>
      </w:r>
      <w:r>
        <w:t xml:space="preserve"> </w:t>
      </w:r>
      <w:r w:rsidRPr="00D22BD8">
        <w:t xml:space="preserve">for NOEMA site and </w:t>
      </w:r>
      <w:r>
        <w:fldChar w:fldCharType="begin"/>
      </w:r>
      <w:r>
        <w:instrText xml:space="preserve"> REF _Ref65011084 \h </w:instrText>
      </w:r>
      <w:r>
        <w:fldChar w:fldCharType="separate"/>
      </w:r>
      <w:r w:rsidR="0041125F" w:rsidRPr="00D22BD8">
        <w:t>Figure </w:t>
      </w:r>
      <w:r w:rsidR="0041125F">
        <w:rPr>
          <w:noProof/>
        </w:rPr>
        <w:t>99</w:t>
      </w:r>
      <w:r>
        <w:fldChar w:fldCharType="end"/>
      </w:r>
      <w:r>
        <w:t xml:space="preserve"> </w:t>
      </w:r>
      <w:r w:rsidRPr="00D22BD8">
        <w:t>for IRAM</w:t>
      </w:r>
      <w:r w:rsidR="00923922">
        <w:t xml:space="preserve"> </w:t>
      </w:r>
      <w:r w:rsidRPr="00D22BD8">
        <w:t>30</w:t>
      </w:r>
      <w:r w:rsidR="00A85787">
        <w:t> </w:t>
      </w:r>
      <w:r w:rsidRPr="00D22BD8">
        <w:t>m site.</w:t>
      </w:r>
    </w:p>
    <w:p w14:paraId="7C2BA3FD" w14:textId="77777777" w:rsidR="00F17570" w:rsidRDefault="00F17570" w:rsidP="00F17570">
      <w:pPr>
        <w:pStyle w:val="Caption"/>
      </w:pPr>
      <w:r w:rsidRPr="00F17570">
        <w:rPr>
          <w:noProof/>
          <w:lang w:val="de-DE" w:eastAsia="de-DE"/>
        </w:rPr>
        <w:drawing>
          <wp:inline distT="0" distB="0" distL="0" distR="0" wp14:anchorId="11F8B165" wp14:editId="0CBA3B86">
            <wp:extent cx="4071600" cy="4032000"/>
            <wp:effectExtent l="0" t="0" r="5715" b="6985"/>
            <wp:docPr id="2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rd_noema_333km_single_interferer_exclusion_zone_140ghz_55dbm_wcircle.jpg"/>
                    <pic:cNvPicPr/>
                  </pic:nvPicPr>
                  <pic:blipFill>
                    <a:blip r:embed="rId156">
                      <a:extLst>
                        <a:ext uri="{28A0092B-C50C-407E-A947-70E740481C1C}">
                          <a14:useLocalDpi xmlns:a14="http://schemas.microsoft.com/office/drawing/2010/main" val="0"/>
                        </a:ext>
                      </a:extLst>
                    </a:blip>
                    <a:stretch>
                      <a:fillRect/>
                    </a:stretch>
                  </pic:blipFill>
                  <pic:spPr>
                    <a:xfrm>
                      <a:off x="0" y="0"/>
                      <a:ext cx="4071600" cy="4032000"/>
                    </a:xfrm>
                    <a:prstGeom prst="rect">
                      <a:avLst/>
                    </a:prstGeom>
                  </pic:spPr>
                </pic:pic>
              </a:graphicData>
            </a:graphic>
          </wp:inline>
        </w:drawing>
      </w:r>
    </w:p>
    <w:p w14:paraId="313F0D7C" w14:textId="75090A52" w:rsidR="00F17570" w:rsidRDefault="00F17570" w:rsidP="00F17570">
      <w:pPr>
        <w:pStyle w:val="Caption"/>
      </w:pPr>
      <w:bookmarkStart w:id="617" w:name="_Ref65011068"/>
      <w:r w:rsidRPr="00D22BD8">
        <w:t>Figure </w:t>
      </w:r>
      <w:r>
        <w:fldChar w:fldCharType="begin"/>
      </w:r>
      <w:r>
        <w:instrText>SEQ Figure \* ARABIC</w:instrText>
      </w:r>
      <w:r>
        <w:fldChar w:fldCharType="separate"/>
      </w:r>
      <w:r w:rsidR="004F49F9">
        <w:rPr>
          <w:noProof/>
        </w:rPr>
        <w:t>98</w:t>
      </w:r>
      <w:r>
        <w:fldChar w:fldCharType="end"/>
      </w:r>
      <w:bookmarkEnd w:id="617"/>
      <w:r w:rsidRPr="00036D91">
        <w:t xml:space="preserve">: Regions of zero-margin around the </w:t>
      </w:r>
      <w:r>
        <w:t>NOEMA</w:t>
      </w:r>
      <w:r w:rsidRPr="00036D91">
        <w:t xml:space="preserve"> site for </w:t>
      </w:r>
      <w:r>
        <w:t>an e.i.r.p.</w:t>
      </w:r>
      <w:r w:rsidRPr="00036D91">
        <w:t xml:space="preserve"> </w:t>
      </w:r>
      <w:r>
        <w:t>of 55 dBm in 8</w:t>
      </w:r>
      <w:r w:rsidR="00901C5F">
        <w:t xml:space="preserve"> </w:t>
      </w:r>
      <w:r>
        <w:t>GHz</w:t>
      </w:r>
      <w:r w:rsidRPr="00036D91">
        <w:t xml:space="preserve"> at 140 GHz</w:t>
      </w:r>
    </w:p>
    <w:p w14:paraId="5AF5092A" w14:textId="77777777" w:rsidR="00F17570" w:rsidRDefault="00F17570" w:rsidP="00F17570">
      <w:pPr>
        <w:pStyle w:val="Caption"/>
      </w:pPr>
      <w:r w:rsidRPr="00F17570">
        <w:rPr>
          <w:noProof/>
          <w:lang w:val="de-DE" w:eastAsia="de-DE"/>
        </w:rPr>
        <w:drawing>
          <wp:inline distT="0" distB="0" distL="0" distR="0" wp14:anchorId="5F8A3043" wp14:editId="536A571A">
            <wp:extent cx="4104000" cy="4032000"/>
            <wp:effectExtent l="0" t="0" r="0" b="6985"/>
            <wp:docPr id="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rd_iram30m_333km_single_interferer_exclusion_zone_140ghz_55dbm_wcircle.jpg"/>
                    <pic:cNvPicPr/>
                  </pic:nvPicPr>
                  <pic:blipFill>
                    <a:blip r:embed="rId157">
                      <a:extLst>
                        <a:ext uri="{28A0092B-C50C-407E-A947-70E740481C1C}">
                          <a14:useLocalDpi xmlns:a14="http://schemas.microsoft.com/office/drawing/2010/main" val="0"/>
                        </a:ext>
                      </a:extLst>
                    </a:blip>
                    <a:stretch>
                      <a:fillRect/>
                    </a:stretch>
                  </pic:blipFill>
                  <pic:spPr>
                    <a:xfrm>
                      <a:off x="0" y="0"/>
                      <a:ext cx="4104000" cy="4032000"/>
                    </a:xfrm>
                    <a:prstGeom prst="rect">
                      <a:avLst/>
                    </a:prstGeom>
                  </pic:spPr>
                </pic:pic>
              </a:graphicData>
            </a:graphic>
          </wp:inline>
        </w:drawing>
      </w:r>
    </w:p>
    <w:p w14:paraId="056D762A" w14:textId="558C890C" w:rsidR="00310332" w:rsidRPr="00310332" w:rsidRDefault="00F17570" w:rsidP="0097359A">
      <w:pPr>
        <w:pStyle w:val="Caption"/>
        <w:rPr>
          <w:noProof/>
          <w:lang w:val="en-GB"/>
        </w:rPr>
      </w:pPr>
      <w:bookmarkStart w:id="618" w:name="_Ref65011084"/>
      <w:r w:rsidRPr="00D22BD8">
        <w:t>Figure </w:t>
      </w:r>
      <w:r>
        <w:fldChar w:fldCharType="begin"/>
      </w:r>
      <w:r>
        <w:instrText>SEQ Figure \* ARABIC</w:instrText>
      </w:r>
      <w:r>
        <w:fldChar w:fldCharType="separate"/>
      </w:r>
      <w:r w:rsidR="004F49F9">
        <w:rPr>
          <w:noProof/>
        </w:rPr>
        <w:t>99</w:t>
      </w:r>
      <w:r>
        <w:fldChar w:fldCharType="end"/>
      </w:r>
      <w:bookmarkEnd w:id="618"/>
      <w:r w:rsidRPr="00036D91">
        <w:t>: Regions</w:t>
      </w:r>
      <w:r>
        <w:t xml:space="preserve"> of zero-margin around the IRAM</w:t>
      </w:r>
      <w:r w:rsidR="00923922">
        <w:t xml:space="preserve"> </w:t>
      </w:r>
      <w:r w:rsidRPr="00036D91">
        <w:t>30</w:t>
      </w:r>
      <w:r w:rsidR="007A20F2">
        <w:t xml:space="preserve"> </w:t>
      </w:r>
      <w:r w:rsidRPr="00036D91">
        <w:t xml:space="preserve">m site for </w:t>
      </w:r>
      <w:r>
        <w:t>an e.i.r.p.</w:t>
      </w:r>
      <w:r w:rsidRPr="00036D91">
        <w:t xml:space="preserve"> </w:t>
      </w:r>
      <w:r>
        <w:t>of 55 dBm in 8</w:t>
      </w:r>
      <w:r w:rsidR="00901C5F">
        <w:t xml:space="preserve"> </w:t>
      </w:r>
      <w:r>
        <w:t>GHz</w:t>
      </w:r>
      <w:r w:rsidRPr="00036D91">
        <w:t xml:space="preserve"> at 140 GHz</w:t>
      </w:r>
      <w:bookmarkStart w:id="619" w:name="_Ref67995654"/>
      <w:bookmarkEnd w:id="596"/>
    </w:p>
    <w:p w14:paraId="535ADDEE" w14:textId="77777777" w:rsidR="00B3337C" w:rsidRDefault="00782957" w:rsidP="00B3337C">
      <w:pPr>
        <w:pStyle w:val="Heading1"/>
        <w:rPr>
          <w:noProof/>
          <w:lang w:val="en-GB"/>
        </w:rPr>
      </w:pPr>
      <w:bookmarkStart w:id="620" w:name="_Toc84325378"/>
      <w:bookmarkStart w:id="621" w:name="_Ref90633851"/>
      <w:bookmarkStart w:id="622" w:name="_Toc127346302"/>
      <w:r>
        <w:t>Sharing and Compatibility Studies with Fixed Service</w:t>
      </w:r>
      <w:bookmarkEnd w:id="619"/>
      <w:bookmarkEnd w:id="620"/>
      <w:bookmarkEnd w:id="621"/>
      <w:bookmarkEnd w:id="622"/>
    </w:p>
    <w:p w14:paraId="6000E7E6" w14:textId="77777777" w:rsidR="00605D3C" w:rsidRPr="00310332" w:rsidRDefault="00605D3C" w:rsidP="00310332">
      <w:pPr>
        <w:pStyle w:val="Heading2"/>
        <w:rPr>
          <w:rStyle w:val="Hyperlink"/>
          <w:color w:val="auto"/>
          <w:u w:val="none"/>
        </w:rPr>
      </w:pPr>
      <w:bookmarkStart w:id="623" w:name="_Toc84325379"/>
      <w:bookmarkStart w:id="624" w:name="_Toc127346303"/>
      <w:r w:rsidRPr="00310332">
        <w:rPr>
          <w:rStyle w:val="Hyperlink"/>
          <w:color w:val="auto"/>
          <w:u w:val="none"/>
        </w:rPr>
        <w:t xml:space="preserve">Generic </w:t>
      </w:r>
      <w:r w:rsidR="006A55E4" w:rsidRPr="00310332">
        <w:rPr>
          <w:rStyle w:val="Hyperlink"/>
          <w:color w:val="auto"/>
          <w:u w:val="none"/>
        </w:rPr>
        <w:t xml:space="preserve">Indoor </w:t>
      </w:r>
      <w:r w:rsidR="008B5F06" w:rsidRPr="00310332">
        <w:rPr>
          <w:rStyle w:val="Hyperlink"/>
          <w:color w:val="auto"/>
          <w:u w:val="none"/>
        </w:rPr>
        <w:t>S</w:t>
      </w:r>
      <w:r w:rsidRPr="00310332">
        <w:rPr>
          <w:rStyle w:val="Hyperlink"/>
          <w:color w:val="auto"/>
          <w:u w:val="none"/>
        </w:rPr>
        <w:t>urveillance Radar</w:t>
      </w:r>
      <w:bookmarkEnd w:id="623"/>
      <w:bookmarkEnd w:id="624"/>
    </w:p>
    <w:p w14:paraId="1DCD46BC" w14:textId="77777777" w:rsidR="00037CBA" w:rsidRPr="00B43787" w:rsidRDefault="00037CBA" w:rsidP="00037CBA">
      <w:pPr>
        <w:pStyle w:val="Heading3"/>
      </w:pPr>
      <w:bookmarkStart w:id="625" w:name="_Toc84325380"/>
      <w:bookmarkStart w:id="626" w:name="_Toc127346304"/>
      <w:r w:rsidRPr="00B43787">
        <w:t xml:space="preserve">Technical parameters </w:t>
      </w:r>
      <w:r>
        <w:t>and interference scenario considerations of generic indoor surveillance radar sensors</w:t>
      </w:r>
      <w:bookmarkEnd w:id="625"/>
      <w:bookmarkEnd w:id="626"/>
    </w:p>
    <w:p w14:paraId="671F6E84" w14:textId="77777777" w:rsidR="00037CBA" w:rsidRDefault="00037CBA" w:rsidP="004E36C2">
      <w:pPr>
        <w:pStyle w:val="Heading4"/>
      </w:pPr>
      <w:bookmarkStart w:id="627" w:name="_Toc84325381"/>
      <w:r>
        <w:t>Technical parameters</w:t>
      </w:r>
      <w:bookmarkEnd w:id="627"/>
    </w:p>
    <w:p w14:paraId="3BDF9E16" w14:textId="3D176BA3" w:rsidR="00037CBA" w:rsidRPr="00B10E31" w:rsidRDefault="00037CBA" w:rsidP="00037CBA">
      <w:r w:rsidRPr="007E2326">
        <w:t xml:space="preserve">For </w:t>
      </w:r>
      <w:r w:rsidR="009D5FA2">
        <w:t>hand-held</w:t>
      </w:r>
      <w:r w:rsidRPr="007E2326">
        <w:t>/mobile and fixed generic</w:t>
      </w:r>
      <w:r>
        <w:t xml:space="preserve"> </w:t>
      </w:r>
      <w:r w:rsidRPr="007E2326">
        <w:t>indoor surveil</w:t>
      </w:r>
      <w:r>
        <w:t>l</w:t>
      </w:r>
      <w:r w:rsidRPr="007E2326">
        <w:t xml:space="preserve">ance radar equipment </w:t>
      </w:r>
      <w:r>
        <w:t>three</w:t>
      </w:r>
      <w:r w:rsidRPr="007E2326">
        <w:t xml:space="preserve"> potential frequency bands have been defined (see </w:t>
      </w:r>
      <w:r w:rsidR="009D5FA2">
        <w:t>section</w:t>
      </w:r>
      <w:r>
        <w:t xml:space="preserve"> </w:t>
      </w:r>
      <w:r>
        <w:fldChar w:fldCharType="begin"/>
      </w:r>
      <w:r>
        <w:instrText xml:space="preserve"> REF _Ref67485689 \r \h </w:instrText>
      </w:r>
      <w:r>
        <w:fldChar w:fldCharType="separate"/>
      </w:r>
      <w:r w:rsidR="004F49F9">
        <w:t>2.2.1.2</w:t>
      </w:r>
      <w:r>
        <w:fldChar w:fldCharType="end"/>
      </w:r>
      <w:r w:rsidRPr="007E2326">
        <w:t xml:space="preserve">). </w:t>
      </w:r>
      <w:r w:rsidRPr="00B10E31">
        <w:t>Due to the fact that in all defined frequency bands allocations for RAS are affected</w:t>
      </w:r>
      <w:r w:rsidR="001D7996">
        <w:t>-</w:t>
      </w:r>
      <w:r w:rsidRPr="00B10E31">
        <w:t xml:space="preserve">either within these bands or adjacent to them – all </w:t>
      </w:r>
      <w:r w:rsidR="00DD24BD">
        <w:t>three</w:t>
      </w:r>
      <w:r w:rsidRPr="00B10E31">
        <w:t xml:space="preserve"> bands have been investigated by single-entry </w:t>
      </w:r>
      <w:r w:rsidR="00DD24BD">
        <w:t>and aggregate studies</w:t>
      </w:r>
      <w:r w:rsidRPr="00B10E31">
        <w:t>. In these studies the individually required separation distance (</w:t>
      </w:r>
      <w:r w:rsidR="009D5FA2">
        <w:t>section</w:t>
      </w:r>
      <w:r w:rsidRPr="00B10E31">
        <w:t xml:space="preserve"> </w:t>
      </w:r>
      <w:r>
        <w:rPr>
          <w:highlight w:val="yellow"/>
        </w:rPr>
        <w:fldChar w:fldCharType="begin"/>
      </w:r>
      <w:r>
        <w:instrText xml:space="preserve"> REF _Ref15293384 \r \h </w:instrText>
      </w:r>
      <w:r>
        <w:rPr>
          <w:highlight w:val="yellow"/>
        </w:rPr>
      </w:r>
      <w:r>
        <w:rPr>
          <w:highlight w:val="yellow"/>
        </w:rPr>
        <w:fldChar w:fldCharType="separate"/>
      </w:r>
      <w:r w:rsidR="004F49F9">
        <w:t>3.4.2</w:t>
      </w:r>
      <w:r>
        <w:rPr>
          <w:highlight w:val="yellow"/>
        </w:rPr>
        <w:fldChar w:fldCharType="end"/>
      </w:r>
      <w:r w:rsidRPr="00B10E31">
        <w:t>) is determined by means of the technical parameters (</w:t>
      </w:r>
      <w:r w:rsidR="009D5FA2">
        <w:t>section</w:t>
      </w:r>
      <w:r w:rsidRPr="00B10E31">
        <w:t xml:space="preserve"> </w:t>
      </w:r>
      <w:r>
        <w:fldChar w:fldCharType="begin"/>
      </w:r>
      <w:r>
        <w:instrText xml:space="preserve"> REF _Ref67485833 \r \h </w:instrText>
      </w:r>
      <w:r>
        <w:fldChar w:fldCharType="separate"/>
      </w:r>
      <w:r w:rsidR="004F49F9">
        <w:t>2.2.1.3</w:t>
      </w:r>
      <w:r>
        <w:fldChar w:fldCharType="end"/>
      </w:r>
      <w:r w:rsidRPr="00B10E31">
        <w:t>), the interference scenarios (</w:t>
      </w:r>
      <w:r w:rsidR="009D5FA2">
        <w:t>section</w:t>
      </w:r>
      <w:r w:rsidRPr="00B10E31">
        <w:t xml:space="preserve"> </w:t>
      </w:r>
      <w:r>
        <w:rPr>
          <w:highlight w:val="yellow"/>
        </w:rPr>
        <w:fldChar w:fldCharType="begin"/>
      </w:r>
      <w:r>
        <w:instrText xml:space="preserve"> REF _Ref67485844 \r \h </w:instrText>
      </w:r>
      <w:r>
        <w:rPr>
          <w:highlight w:val="yellow"/>
        </w:rPr>
      </w:r>
      <w:r>
        <w:rPr>
          <w:highlight w:val="yellow"/>
        </w:rPr>
        <w:fldChar w:fldCharType="separate"/>
      </w:r>
      <w:r w:rsidR="004F49F9">
        <w:t>2.2.1.6</w:t>
      </w:r>
      <w:r>
        <w:rPr>
          <w:highlight w:val="yellow"/>
        </w:rPr>
        <w:fldChar w:fldCharType="end"/>
      </w:r>
      <w:r w:rsidRPr="00B10E31">
        <w:t xml:space="preserve">) and the protection requirements for </w:t>
      </w:r>
      <w:r w:rsidR="00DD24BD">
        <w:t>FS</w:t>
      </w:r>
      <w:r w:rsidRPr="00B10E31">
        <w:t xml:space="preserve"> (</w:t>
      </w:r>
      <w:r w:rsidR="009D5FA2">
        <w:t>section</w:t>
      </w:r>
      <w:r w:rsidRPr="00B10E31">
        <w:t xml:space="preserve"> </w:t>
      </w:r>
      <w:r w:rsidR="00DD24BD">
        <w:rPr>
          <w:highlight w:val="yellow"/>
        </w:rPr>
        <w:fldChar w:fldCharType="begin"/>
      </w:r>
      <w:r w:rsidR="00DD24BD">
        <w:instrText xml:space="preserve"> REF _Ref67052915 \r \h </w:instrText>
      </w:r>
      <w:r w:rsidR="00DD24BD">
        <w:rPr>
          <w:highlight w:val="yellow"/>
        </w:rPr>
      </w:r>
      <w:r w:rsidR="00DD24BD">
        <w:rPr>
          <w:highlight w:val="yellow"/>
        </w:rPr>
        <w:fldChar w:fldCharType="separate"/>
      </w:r>
      <w:r w:rsidR="004F49F9">
        <w:t>3.5.3</w:t>
      </w:r>
      <w:r w:rsidR="00DD24BD">
        <w:rPr>
          <w:highlight w:val="yellow"/>
        </w:rPr>
        <w:fldChar w:fldCharType="end"/>
      </w:r>
      <w:r w:rsidRPr="00B10E31">
        <w:t xml:space="preserve">). The exact calculations can be found in an Excel-spreadsheet which is attached to this </w:t>
      </w:r>
      <w:hyperlink r:id="rId158" w:history="1">
        <w:r w:rsidR="00C70410">
          <w:rPr>
            <w:rStyle w:val="Hyperlink"/>
          </w:rPr>
          <w:t>Report</w:t>
        </w:r>
      </w:hyperlink>
      <w:r w:rsidRPr="00B10E31">
        <w:t>.</w:t>
      </w:r>
    </w:p>
    <w:p w14:paraId="0CC08D8F" w14:textId="5B3FBA16" w:rsidR="00037CBA" w:rsidRDefault="00037CBA" w:rsidP="00037CBA">
      <w:r w:rsidRPr="00B10E31">
        <w:t xml:space="preserve">The following technical parameters of the </w:t>
      </w:r>
      <w:r w:rsidR="009D5FA2">
        <w:t>hand-held</w:t>
      </w:r>
      <w:r>
        <w:t>/mobile and fixed generic indoor studies</w:t>
      </w:r>
      <w:r w:rsidRPr="00B10E31">
        <w:t xml:space="preserve"> (</w:t>
      </w:r>
      <w:r w:rsidR="009D5FA2">
        <w:t>section</w:t>
      </w:r>
      <w:r>
        <w:t xml:space="preserve"> </w:t>
      </w:r>
      <w:r>
        <w:fldChar w:fldCharType="begin"/>
      </w:r>
      <w:r>
        <w:instrText xml:space="preserve"> REF _Ref67486256 \r \h  \* MERGEFORMAT </w:instrText>
      </w:r>
      <w:r>
        <w:fldChar w:fldCharType="separate"/>
      </w:r>
      <w:r w:rsidR="004F49F9">
        <w:t>2.2.1.6</w:t>
      </w:r>
      <w:r>
        <w:fldChar w:fldCharType="end"/>
      </w:r>
      <w:r w:rsidRPr="00B10E31">
        <w:t>) have been used in the studies in the different frequency ranges.</w:t>
      </w:r>
    </w:p>
    <w:p w14:paraId="52035913" w14:textId="08783AC4" w:rsidR="00037CBA" w:rsidRDefault="00037CBA" w:rsidP="00037CBA">
      <w:pPr>
        <w:pStyle w:val="Caption"/>
      </w:pPr>
      <w:r w:rsidRPr="007C3BF5">
        <w:t>Table </w:t>
      </w:r>
      <w:r w:rsidRPr="00240396">
        <w:fldChar w:fldCharType="begin"/>
      </w:r>
      <w:r>
        <w:instrText xml:space="preserve"> SEQ Table \* ARABIC </w:instrText>
      </w:r>
      <w:r w:rsidRPr="00240396">
        <w:fldChar w:fldCharType="separate"/>
      </w:r>
      <w:r w:rsidR="004F49F9">
        <w:rPr>
          <w:noProof/>
        </w:rPr>
        <w:t>66</w:t>
      </w:r>
      <w:r w:rsidRPr="00240396">
        <w:fldChar w:fldCharType="end"/>
      </w:r>
      <w:r w:rsidRPr="002876E6">
        <w:t xml:space="preserve">: Technical parameters of </w:t>
      </w:r>
      <w:r w:rsidRPr="007E2326">
        <w:t>generic</w:t>
      </w:r>
      <w:r>
        <w:t xml:space="preserve"> </w:t>
      </w:r>
      <w:r w:rsidRPr="007E2326">
        <w:t>indoor surveil</w:t>
      </w:r>
      <w:r>
        <w:t>l</w:t>
      </w:r>
      <w:r w:rsidRPr="007E2326">
        <w:t>ance radar</w:t>
      </w:r>
      <w:r w:rsidRPr="002876E6">
        <w:t xml:space="preserve"> used for the conducted studies in the different frequency bands</w:t>
      </w:r>
    </w:p>
    <w:tbl>
      <w:tblPr>
        <w:tblStyle w:val="ECCTable-redheader"/>
        <w:tblW w:w="10395" w:type="dxa"/>
        <w:tblInd w:w="0" w:type="dxa"/>
        <w:tblLayout w:type="fixed"/>
        <w:tblLook w:val="04A0" w:firstRow="1" w:lastRow="0" w:firstColumn="1" w:lastColumn="0" w:noHBand="0" w:noVBand="1"/>
      </w:tblPr>
      <w:tblGrid>
        <w:gridCol w:w="1383"/>
        <w:gridCol w:w="1447"/>
        <w:gridCol w:w="1418"/>
        <w:gridCol w:w="850"/>
        <w:gridCol w:w="993"/>
        <w:gridCol w:w="1842"/>
        <w:gridCol w:w="1153"/>
        <w:gridCol w:w="1294"/>
        <w:gridCol w:w="15"/>
      </w:tblGrid>
      <w:tr w:rsidR="00AA70A3" w:rsidRPr="00566944" w14:paraId="320DAADC" w14:textId="77777777" w:rsidTr="00AA70A3">
        <w:trPr>
          <w:gridAfter w:val="1"/>
          <w:cnfStyle w:val="100000000000" w:firstRow="1" w:lastRow="0" w:firstColumn="0" w:lastColumn="0" w:oddVBand="0" w:evenVBand="0" w:oddHBand="0" w:evenHBand="0" w:firstRowFirstColumn="0" w:firstRowLastColumn="0" w:lastRowFirstColumn="0" w:lastRowLastColumn="0"/>
          <w:wAfter w:w="15" w:type="dxa"/>
        </w:trPr>
        <w:tc>
          <w:tcPr>
            <w:tcW w:w="1383" w:type="dxa"/>
          </w:tcPr>
          <w:p w14:paraId="657D1B98" w14:textId="77777777" w:rsidR="00766519" w:rsidRPr="00766519" w:rsidRDefault="00766519" w:rsidP="00876039">
            <w:pPr>
              <w:pStyle w:val="ECCTableHeaderwhitefont"/>
            </w:pPr>
            <w:r w:rsidRPr="002876E6">
              <w:t>Investigated frequency range</w:t>
            </w:r>
          </w:p>
        </w:tc>
        <w:tc>
          <w:tcPr>
            <w:tcW w:w="1447" w:type="dxa"/>
          </w:tcPr>
          <w:p w14:paraId="0B98936D" w14:textId="77777777" w:rsidR="00766519" w:rsidRPr="00766519" w:rsidRDefault="00766519" w:rsidP="000A69BD">
            <w:pPr>
              <w:pStyle w:val="ECCTableHeaderwhitefont"/>
            </w:pPr>
            <w:r>
              <w:t>Device type</w:t>
            </w:r>
          </w:p>
        </w:tc>
        <w:tc>
          <w:tcPr>
            <w:tcW w:w="1418" w:type="dxa"/>
          </w:tcPr>
          <w:p w14:paraId="775C8414" w14:textId="77777777" w:rsidR="00766519" w:rsidRPr="00766519" w:rsidRDefault="00766519" w:rsidP="000A69BD">
            <w:pPr>
              <w:pStyle w:val="ECCTableHeaderwhitefont"/>
            </w:pPr>
            <w:r>
              <w:t>Assumed m</w:t>
            </w:r>
            <w:r w:rsidRPr="00766519">
              <w:t>odulation bandwidth</w:t>
            </w:r>
          </w:p>
        </w:tc>
        <w:tc>
          <w:tcPr>
            <w:tcW w:w="850" w:type="dxa"/>
          </w:tcPr>
          <w:p w14:paraId="3343D80C" w14:textId="77777777" w:rsidR="00766519" w:rsidRPr="00766519" w:rsidRDefault="00766519" w:rsidP="000A69BD">
            <w:pPr>
              <w:pStyle w:val="ECCTableHeaderwhitefont"/>
            </w:pPr>
            <w:r w:rsidRPr="002876E6">
              <w:t>Duty cycle</w:t>
            </w:r>
          </w:p>
        </w:tc>
        <w:tc>
          <w:tcPr>
            <w:tcW w:w="993" w:type="dxa"/>
          </w:tcPr>
          <w:p w14:paraId="4CC403AC" w14:textId="77777777" w:rsidR="00766519" w:rsidRPr="00766519" w:rsidRDefault="00766519" w:rsidP="000A69BD">
            <w:pPr>
              <w:pStyle w:val="ECCTableHeaderwhitefont"/>
            </w:pPr>
            <w:r>
              <w:t>Activity factor</w:t>
            </w:r>
          </w:p>
        </w:tc>
        <w:tc>
          <w:tcPr>
            <w:tcW w:w="1842" w:type="dxa"/>
          </w:tcPr>
          <w:p w14:paraId="16CDC9FC" w14:textId="77777777" w:rsidR="00766519" w:rsidRPr="00766519" w:rsidRDefault="00766519" w:rsidP="000A69BD">
            <w:pPr>
              <w:pStyle w:val="ECCTableHeaderwhitefont"/>
            </w:pPr>
            <w:r w:rsidRPr="00B10E31">
              <w:t xml:space="preserve">Mean </w:t>
            </w:r>
            <w:r w:rsidRPr="00766519">
              <w:t>e.i.r.p. spectral density (Note 2)</w:t>
            </w:r>
          </w:p>
        </w:tc>
        <w:tc>
          <w:tcPr>
            <w:tcW w:w="1153" w:type="dxa"/>
          </w:tcPr>
          <w:p w14:paraId="6FCA7C9F" w14:textId="77777777" w:rsidR="00766519" w:rsidRPr="00766519" w:rsidRDefault="00766519" w:rsidP="000A69BD">
            <w:pPr>
              <w:pStyle w:val="ECCTableHeaderwhitefont"/>
            </w:pPr>
            <w:r>
              <w:t>Mean</w:t>
            </w:r>
            <w:r w:rsidRPr="00766519">
              <w:t xml:space="preserve"> e.i.r.p. (Note 2)</w:t>
            </w:r>
          </w:p>
        </w:tc>
        <w:tc>
          <w:tcPr>
            <w:tcW w:w="1294" w:type="dxa"/>
          </w:tcPr>
          <w:p w14:paraId="461BC2D1" w14:textId="77777777" w:rsidR="00766519" w:rsidRPr="00766519" w:rsidRDefault="00766519" w:rsidP="000A69BD">
            <w:pPr>
              <w:pStyle w:val="ECCTableHeaderwhitefont"/>
            </w:pPr>
            <w:r>
              <w:t>OOB attenuation</w:t>
            </w:r>
            <w:r w:rsidRPr="00766519">
              <w:t xml:space="preserve"> (Note 1)</w:t>
            </w:r>
          </w:p>
        </w:tc>
      </w:tr>
      <w:tr w:rsidR="00AA70A3" w:rsidRPr="00C53FB5" w14:paraId="48E53BFD" w14:textId="77777777" w:rsidTr="00AA70A3">
        <w:trPr>
          <w:gridAfter w:val="1"/>
          <w:wAfter w:w="15" w:type="dxa"/>
        </w:trPr>
        <w:tc>
          <w:tcPr>
            <w:tcW w:w="1383" w:type="dxa"/>
            <w:vMerge w:val="restart"/>
          </w:tcPr>
          <w:p w14:paraId="51609914" w14:textId="77777777" w:rsidR="00766519" w:rsidRPr="00766519" w:rsidRDefault="00766519" w:rsidP="000A69BD">
            <w:pPr>
              <w:pStyle w:val="ECCTabletext"/>
              <w:jc w:val="left"/>
            </w:pPr>
            <w:r w:rsidRPr="00C53FB5">
              <w:t xml:space="preserve">116 </w:t>
            </w:r>
            <w:r w:rsidRPr="00766519">
              <w:t>to 130 GHz</w:t>
            </w:r>
          </w:p>
        </w:tc>
        <w:tc>
          <w:tcPr>
            <w:tcW w:w="1447" w:type="dxa"/>
          </w:tcPr>
          <w:p w14:paraId="01DD8855" w14:textId="76F4781E" w:rsidR="00766519" w:rsidRPr="00766519" w:rsidRDefault="009D5FA2" w:rsidP="000A69BD">
            <w:pPr>
              <w:pStyle w:val="ECCTabletext"/>
              <w:jc w:val="left"/>
            </w:pPr>
            <w:r>
              <w:t>Hand-held</w:t>
            </w:r>
            <w:r w:rsidR="00766519" w:rsidRPr="00766519">
              <w:t>/ mobile</w:t>
            </w:r>
          </w:p>
        </w:tc>
        <w:tc>
          <w:tcPr>
            <w:tcW w:w="1418" w:type="dxa"/>
          </w:tcPr>
          <w:p w14:paraId="2AC3E638" w14:textId="77777777" w:rsidR="00766519" w:rsidRPr="00766519" w:rsidRDefault="00766519" w:rsidP="000A69BD">
            <w:pPr>
              <w:pStyle w:val="ECCTabletext"/>
              <w:jc w:val="left"/>
            </w:pPr>
            <w:r>
              <w:t>1 GHz</w:t>
            </w:r>
          </w:p>
        </w:tc>
        <w:tc>
          <w:tcPr>
            <w:tcW w:w="850" w:type="dxa"/>
          </w:tcPr>
          <w:p w14:paraId="3863B4CF" w14:textId="1BB0FE01" w:rsidR="00766519" w:rsidRPr="00766519" w:rsidRDefault="00766519" w:rsidP="000A69BD">
            <w:pPr>
              <w:pStyle w:val="ECCTabletext"/>
              <w:jc w:val="left"/>
            </w:pPr>
            <w:r>
              <w:t>4</w:t>
            </w:r>
            <w:r w:rsidRPr="00766519">
              <w:t>0</w:t>
            </w:r>
            <w:r w:rsidR="00F800A2">
              <w:t>%</w:t>
            </w:r>
          </w:p>
        </w:tc>
        <w:tc>
          <w:tcPr>
            <w:tcW w:w="993" w:type="dxa"/>
          </w:tcPr>
          <w:p w14:paraId="641C3819" w14:textId="700D1D70" w:rsidR="00766519" w:rsidRPr="00766519" w:rsidRDefault="00766519" w:rsidP="000A69BD">
            <w:pPr>
              <w:pStyle w:val="ECCTabletext"/>
              <w:jc w:val="left"/>
            </w:pPr>
            <w:r>
              <w:t>50</w:t>
            </w:r>
            <w:r w:rsidR="00F800A2">
              <w:t>%</w:t>
            </w:r>
          </w:p>
        </w:tc>
        <w:tc>
          <w:tcPr>
            <w:tcW w:w="1842" w:type="dxa"/>
          </w:tcPr>
          <w:p w14:paraId="29A0FB30" w14:textId="77777777" w:rsidR="00766519" w:rsidRPr="00766519" w:rsidRDefault="00766519" w:rsidP="000A69BD">
            <w:pPr>
              <w:pStyle w:val="ECCTabletext"/>
              <w:jc w:val="left"/>
            </w:pPr>
            <w:r>
              <w:t>-20 dBm</w:t>
            </w:r>
            <w:r w:rsidRPr="00766519">
              <w:t>/MHz</w:t>
            </w:r>
          </w:p>
        </w:tc>
        <w:tc>
          <w:tcPr>
            <w:tcW w:w="1153" w:type="dxa"/>
          </w:tcPr>
          <w:p w14:paraId="1FD12DB1" w14:textId="77777777" w:rsidR="00766519" w:rsidRPr="00766519" w:rsidRDefault="00766519" w:rsidP="000A69BD">
            <w:pPr>
              <w:pStyle w:val="ECCTabletext"/>
              <w:jc w:val="left"/>
            </w:pPr>
            <w:r>
              <w:t>10 dBm</w:t>
            </w:r>
          </w:p>
        </w:tc>
        <w:tc>
          <w:tcPr>
            <w:tcW w:w="1294" w:type="dxa"/>
          </w:tcPr>
          <w:p w14:paraId="36D29D31" w14:textId="77777777" w:rsidR="00766519" w:rsidRPr="00766519" w:rsidRDefault="00766519" w:rsidP="000A69BD">
            <w:pPr>
              <w:pStyle w:val="ECCTabletext"/>
              <w:jc w:val="left"/>
            </w:pPr>
            <w:r w:rsidRPr="00497690">
              <w:t>20 dB</w:t>
            </w:r>
          </w:p>
        </w:tc>
      </w:tr>
      <w:tr w:rsidR="00AA70A3" w:rsidRPr="00C53FB5" w14:paraId="6A5DB762" w14:textId="77777777" w:rsidTr="00AA70A3">
        <w:trPr>
          <w:gridAfter w:val="1"/>
          <w:wAfter w:w="15" w:type="dxa"/>
        </w:trPr>
        <w:tc>
          <w:tcPr>
            <w:tcW w:w="1383" w:type="dxa"/>
            <w:vMerge/>
          </w:tcPr>
          <w:p w14:paraId="1D3B34ED" w14:textId="77777777" w:rsidR="00766519" w:rsidRPr="00C53FB5" w:rsidRDefault="00766519" w:rsidP="00766519">
            <w:pPr>
              <w:pStyle w:val="ECCTabletext"/>
            </w:pPr>
          </w:p>
        </w:tc>
        <w:tc>
          <w:tcPr>
            <w:tcW w:w="1447" w:type="dxa"/>
          </w:tcPr>
          <w:p w14:paraId="036A1DAD" w14:textId="77777777" w:rsidR="00766519" w:rsidRPr="00766519" w:rsidRDefault="00766519" w:rsidP="000A69BD">
            <w:pPr>
              <w:pStyle w:val="ECCTabletext"/>
              <w:jc w:val="left"/>
            </w:pPr>
            <w:r>
              <w:t>F</w:t>
            </w:r>
            <w:r w:rsidRPr="00766519">
              <w:t>ixed</w:t>
            </w:r>
          </w:p>
        </w:tc>
        <w:tc>
          <w:tcPr>
            <w:tcW w:w="1418" w:type="dxa"/>
          </w:tcPr>
          <w:p w14:paraId="19012475" w14:textId="77777777" w:rsidR="00766519" w:rsidRPr="00766519" w:rsidRDefault="00766519" w:rsidP="000A69BD">
            <w:pPr>
              <w:pStyle w:val="ECCTabletext"/>
              <w:jc w:val="left"/>
            </w:pPr>
            <w:r>
              <w:t>1</w:t>
            </w:r>
            <w:r w:rsidRPr="00766519">
              <w:t> GHz</w:t>
            </w:r>
          </w:p>
        </w:tc>
        <w:tc>
          <w:tcPr>
            <w:tcW w:w="850" w:type="dxa"/>
          </w:tcPr>
          <w:p w14:paraId="5BE04F3B" w14:textId="422F50EA" w:rsidR="00766519" w:rsidRPr="00766519" w:rsidRDefault="00766519" w:rsidP="000A69BD">
            <w:pPr>
              <w:pStyle w:val="ECCTabletext"/>
              <w:jc w:val="left"/>
            </w:pPr>
            <w:r>
              <w:t>10</w:t>
            </w:r>
            <w:r w:rsidR="00F800A2">
              <w:t>%</w:t>
            </w:r>
          </w:p>
        </w:tc>
        <w:tc>
          <w:tcPr>
            <w:tcW w:w="993" w:type="dxa"/>
          </w:tcPr>
          <w:p w14:paraId="474C6326" w14:textId="77777777" w:rsidR="00766519" w:rsidRDefault="00766519" w:rsidP="00766519">
            <w:pPr>
              <w:pStyle w:val="ECCTabletext"/>
            </w:pPr>
          </w:p>
        </w:tc>
        <w:tc>
          <w:tcPr>
            <w:tcW w:w="1842" w:type="dxa"/>
          </w:tcPr>
          <w:p w14:paraId="5884850A" w14:textId="77777777" w:rsidR="00766519" w:rsidRPr="00766519" w:rsidRDefault="00766519" w:rsidP="000A69BD">
            <w:pPr>
              <w:pStyle w:val="ECCTabletext"/>
              <w:jc w:val="left"/>
            </w:pPr>
            <w:r>
              <w:t>-10 dBm</w:t>
            </w:r>
            <w:r w:rsidRPr="00766519">
              <w:t>/MHz</w:t>
            </w:r>
          </w:p>
        </w:tc>
        <w:tc>
          <w:tcPr>
            <w:tcW w:w="1153" w:type="dxa"/>
          </w:tcPr>
          <w:p w14:paraId="6EF0C179" w14:textId="77777777" w:rsidR="00766519" w:rsidRPr="00766519" w:rsidRDefault="00766519" w:rsidP="000A69BD">
            <w:pPr>
              <w:pStyle w:val="ECCTabletext"/>
              <w:jc w:val="left"/>
            </w:pPr>
            <w:r>
              <w:t>20 dBm</w:t>
            </w:r>
          </w:p>
        </w:tc>
        <w:tc>
          <w:tcPr>
            <w:tcW w:w="1294" w:type="dxa"/>
          </w:tcPr>
          <w:p w14:paraId="253B2DEE" w14:textId="77777777" w:rsidR="00766519" w:rsidRPr="00766519" w:rsidRDefault="00766519" w:rsidP="000A69BD">
            <w:pPr>
              <w:pStyle w:val="ECCTabletext"/>
              <w:jc w:val="left"/>
            </w:pPr>
            <w:r w:rsidRPr="00497690">
              <w:t>20 dB</w:t>
            </w:r>
          </w:p>
        </w:tc>
      </w:tr>
      <w:tr w:rsidR="00AA70A3" w:rsidRPr="00C53FB5" w14:paraId="19F5F2B8" w14:textId="77777777" w:rsidTr="00AA70A3">
        <w:trPr>
          <w:gridAfter w:val="1"/>
          <w:wAfter w:w="15" w:type="dxa"/>
        </w:trPr>
        <w:tc>
          <w:tcPr>
            <w:tcW w:w="1383" w:type="dxa"/>
            <w:vMerge w:val="restart"/>
          </w:tcPr>
          <w:p w14:paraId="28512616" w14:textId="77777777" w:rsidR="00766519" w:rsidRPr="00766519" w:rsidRDefault="00766519" w:rsidP="000A69BD">
            <w:pPr>
              <w:pStyle w:val="ECCTabletext"/>
              <w:jc w:val="left"/>
            </w:pPr>
            <w:r w:rsidRPr="00C53FB5">
              <w:t>134 to 141 GHz</w:t>
            </w:r>
          </w:p>
        </w:tc>
        <w:tc>
          <w:tcPr>
            <w:tcW w:w="1447" w:type="dxa"/>
          </w:tcPr>
          <w:p w14:paraId="4C2EDAA8" w14:textId="2FFF8C0E" w:rsidR="00766519" w:rsidRPr="00766519" w:rsidRDefault="009D5FA2" w:rsidP="000A69BD">
            <w:pPr>
              <w:pStyle w:val="ECCTabletext"/>
              <w:jc w:val="left"/>
            </w:pPr>
            <w:r>
              <w:t>Hand-held</w:t>
            </w:r>
            <w:r w:rsidR="00766519" w:rsidRPr="00766519">
              <w:t>/ mobile</w:t>
            </w:r>
          </w:p>
        </w:tc>
        <w:tc>
          <w:tcPr>
            <w:tcW w:w="1418" w:type="dxa"/>
          </w:tcPr>
          <w:p w14:paraId="3C872F81" w14:textId="77777777" w:rsidR="00766519" w:rsidRPr="00766519" w:rsidRDefault="00766519" w:rsidP="000A69BD">
            <w:pPr>
              <w:pStyle w:val="ECCTabletext"/>
              <w:jc w:val="left"/>
            </w:pPr>
            <w:r>
              <w:t>1</w:t>
            </w:r>
            <w:r w:rsidRPr="00766519">
              <w:t> GHz</w:t>
            </w:r>
          </w:p>
        </w:tc>
        <w:tc>
          <w:tcPr>
            <w:tcW w:w="850" w:type="dxa"/>
          </w:tcPr>
          <w:p w14:paraId="293644DA" w14:textId="79ACB632" w:rsidR="00766519" w:rsidRPr="00766519" w:rsidRDefault="00766519" w:rsidP="000A69BD">
            <w:pPr>
              <w:pStyle w:val="ECCTabletext"/>
              <w:jc w:val="left"/>
            </w:pPr>
            <w:r>
              <w:t>4</w:t>
            </w:r>
            <w:r w:rsidRPr="00766519">
              <w:t>0</w:t>
            </w:r>
            <w:r w:rsidR="00F800A2">
              <w:t>%</w:t>
            </w:r>
          </w:p>
        </w:tc>
        <w:tc>
          <w:tcPr>
            <w:tcW w:w="993" w:type="dxa"/>
          </w:tcPr>
          <w:p w14:paraId="21FC22A2" w14:textId="71D69672" w:rsidR="00766519" w:rsidRPr="00766519" w:rsidRDefault="00766519" w:rsidP="000A69BD">
            <w:pPr>
              <w:pStyle w:val="ECCTabletext"/>
              <w:jc w:val="left"/>
            </w:pPr>
            <w:r>
              <w:t>50</w:t>
            </w:r>
            <w:r w:rsidR="00F800A2">
              <w:t>%</w:t>
            </w:r>
          </w:p>
        </w:tc>
        <w:tc>
          <w:tcPr>
            <w:tcW w:w="1842" w:type="dxa"/>
          </w:tcPr>
          <w:p w14:paraId="60C9669C" w14:textId="77777777" w:rsidR="00766519" w:rsidRPr="00766519" w:rsidRDefault="00766519" w:rsidP="000A69BD">
            <w:pPr>
              <w:pStyle w:val="ECCTabletext"/>
              <w:jc w:val="left"/>
            </w:pPr>
            <w:r>
              <w:t>-20 dBm</w:t>
            </w:r>
            <w:r w:rsidRPr="00766519">
              <w:t>/MHz</w:t>
            </w:r>
          </w:p>
        </w:tc>
        <w:tc>
          <w:tcPr>
            <w:tcW w:w="1153" w:type="dxa"/>
          </w:tcPr>
          <w:p w14:paraId="29724CA2" w14:textId="77777777" w:rsidR="00766519" w:rsidRPr="00766519" w:rsidRDefault="00766519" w:rsidP="000A69BD">
            <w:pPr>
              <w:pStyle w:val="ECCTabletext"/>
              <w:jc w:val="left"/>
            </w:pPr>
            <w:r>
              <w:t>10 dB</w:t>
            </w:r>
            <w:r w:rsidRPr="00766519">
              <w:t>m</w:t>
            </w:r>
          </w:p>
        </w:tc>
        <w:tc>
          <w:tcPr>
            <w:tcW w:w="1294" w:type="dxa"/>
          </w:tcPr>
          <w:p w14:paraId="20F2B427" w14:textId="77777777" w:rsidR="00766519" w:rsidRPr="00766519" w:rsidRDefault="00766519" w:rsidP="000A69BD">
            <w:pPr>
              <w:pStyle w:val="ECCTabletext"/>
              <w:jc w:val="left"/>
            </w:pPr>
            <w:r w:rsidRPr="00497690">
              <w:t>20 dB</w:t>
            </w:r>
          </w:p>
        </w:tc>
      </w:tr>
      <w:tr w:rsidR="00AA70A3" w:rsidRPr="00C53FB5" w14:paraId="2CEF52A4" w14:textId="77777777" w:rsidTr="00AA70A3">
        <w:trPr>
          <w:gridAfter w:val="1"/>
          <w:wAfter w:w="15" w:type="dxa"/>
        </w:trPr>
        <w:tc>
          <w:tcPr>
            <w:tcW w:w="1383" w:type="dxa"/>
            <w:vMerge/>
          </w:tcPr>
          <w:p w14:paraId="0B6D3950" w14:textId="77777777" w:rsidR="00766519" w:rsidRPr="00C53FB5" w:rsidRDefault="00766519" w:rsidP="00766519">
            <w:pPr>
              <w:pStyle w:val="ECCTabletext"/>
            </w:pPr>
          </w:p>
        </w:tc>
        <w:tc>
          <w:tcPr>
            <w:tcW w:w="1447" w:type="dxa"/>
          </w:tcPr>
          <w:p w14:paraId="783C7BF0" w14:textId="77777777" w:rsidR="00766519" w:rsidRPr="00766519" w:rsidRDefault="00766519" w:rsidP="000A69BD">
            <w:pPr>
              <w:pStyle w:val="ECCTabletext"/>
              <w:jc w:val="left"/>
            </w:pPr>
            <w:r>
              <w:t>F</w:t>
            </w:r>
            <w:r w:rsidRPr="00766519">
              <w:t>ixed</w:t>
            </w:r>
          </w:p>
        </w:tc>
        <w:tc>
          <w:tcPr>
            <w:tcW w:w="1418" w:type="dxa"/>
          </w:tcPr>
          <w:p w14:paraId="436BAA23" w14:textId="77777777" w:rsidR="00766519" w:rsidRPr="00766519" w:rsidRDefault="00766519" w:rsidP="000A69BD">
            <w:pPr>
              <w:pStyle w:val="ECCTabletext"/>
              <w:jc w:val="left"/>
            </w:pPr>
            <w:r>
              <w:t>1</w:t>
            </w:r>
            <w:r w:rsidRPr="00766519">
              <w:t> GHz</w:t>
            </w:r>
          </w:p>
        </w:tc>
        <w:tc>
          <w:tcPr>
            <w:tcW w:w="850" w:type="dxa"/>
          </w:tcPr>
          <w:p w14:paraId="146AD59D" w14:textId="50567E09" w:rsidR="00766519" w:rsidRPr="00766519" w:rsidRDefault="00766519" w:rsidP="000A69BD">
            <w:pPr>
              <w:pStyle w:val="ECCTabletext"/>
              <w:jc w:val="left"/>
            </w:pPr>
            <w:r>
              <w:t>10</w:t>
            </w:r>
            <w:r w:rsidR="00F800A2">
              <w:t>%</w:t>
            </w:r>
          </w:p>
        </w:tc>
        <w:tc>
          <w:tcPr>
            <w:tcW w:w="993" w:type="dxa"/>
          </w:tcPr>
          <w:p w14:paraId="619193CB" w14:textId="77777777" w:rsidR="00766519" w:rsidRDefault="00766519" w:rsidP="00766519">
            <w:pPr>
              <w:pStyle w:val="ECCTabletext"/>
            </w:pPr>
          </w:p>
        </w:tc>
        <w:tc>
          <w:tcPr>
            <w:tcW w:w="1842" w:type="dxa"/>
          </w:tcPr>
          <w:p w14:paraId="28DFAF96" w14:textId="77777777" w:rsidR="00766519" w:rsidRPr="00766519" w:rsidRDefault="00766519" w:rsidP="000A69BD">
            <w:pPr>
              <w:pStyle w:val="ECCTabletext"/>
              <w:jc w:val="left"/>
            </w:pPr>
            <w:r>
              <w:t>-10 dBm</w:t>
            </w:r>
            <w:r w:rsidRPr="00766519">
              <w:t>/MHz</w:t>
            </w:r>
          </w:p>
        </w:tc>
        <w:tc>
          <w:tcPr>
            <w:tcW w:w="1153" w:type="dxa"/>
          </w:tcPr>
          <w:p w14:paraId="285FC2FE" w14:textId="77777777" w:rsidR="00766519" w:rsidRPr="00766519" w:rsidRDefault="00766519" w:rsidP="000A69BD">
            <w:pPr>
              <w:pStyle w:val="ECCTabletext"/>
              <w:jc w:val="left"/>
            </w:pPr>
            <w:r>
              <w:t>20 dBm</w:t>
            </w:r>
          </w:p>
        </w:tc>
        <w:tc>
          <w:tcPr>
            <w:tcW w:w="1294" w:type="dxa"/>
          </w:tcPr>
          <w:p w14:paraId="7CC85845" w14:textId="77777777" w:rsidR="00766519" w:rsidRPr="00766519" w:rsidRDefault="00766519" w:rsidP="000A69BD">
            <w:pPr>
              <w:pStyle w:val="ECCTabletext"/>
              <w:jc w:val="left"/>
            </w:pPr>
            <w:r w:rsidRPr="00497690">
              <w:t>20 dB</w:t>
            </w:r>
          </w:p>
        </w:tc>
      </w:tr>
      <w:tr w:rsidR="00AA70A3" w:rsidRPr="00C53FB5" w14:paraId="328C7312" w14:textId="77777777" w:rsidTr="00AA70A3">
        <w:trPr>
          <w:gridAfter w:val="1"/>
          <w:wAfter w:w="15" w:type="dxa"/>
        </w:trPr>
        <w:tc>
          <w:tcPr>
            <w:tcW w:w="1383" w:type="dxa"/>
            <w:vMerge w:val="restart"/>
          </w:tcPr>
          <w:p w14:paraId="744235EA" w14:textId="77777777" w:rsidR="00766519" w:rsidRPr="00766519" w:rsidRDefault="00766519" w:rsidP="000A69BD">
            <w:pPr>
              <w:pStyle w:val="ECCTabletext"/>
              <w:jc w:val="left"/>
            </w:pPr>
            <w:r w:rsidRPr="00C53FB5">
              <w:t>1</w:t>
            </w:r>
            <w:r w:rsidRPr="00766519">
              <w:t>41 to 148</w:t>
            </w:r>
            <w:r w:rsidR="00CF4994">
              <w:t>.5</w:t>
            </w:r>
            <w:r w:rsidRPr="00766519">
              <w:t> GHz</w:t>
            </w:r>
          </w:p>
        </w:tc>
        <w:tc>
          <w:tcPr>
            <w:tcW w:w="1447" w:type="dxa"/>
          </w:tcPr>
          <w:p w14:paraId="2B1B5822" w14:textId="7E77D949" w:rsidR="00766519" w:rsidRPr="00766519" w:rsidRDefault="009D5FA2" w:rsidP="000A69BD">
            <w:pPr>
              <w:pStyle w:val="ECCTabletext"/>
              <w:jc w:val="left"/>
            </w:pPr>
            <w:r>
              <w:t>Hand-held</w:t>
            </w:r>
            <w:r w:rsidR="00766519" w:rsidRPr="00766519">
              <w:t>/ mobile</w:t>
            </w:r>
          </w:p>
        </w:tc>
        <w:tc>
          <w:tcPr>
            <w:tcW w:w="1418" w:type="dxa"/>
          </w:tcPr>
          <w:p w14:paraId="5310C939" w14:textId="77777777" w:rsidR="00766519" w:rsidRPr="00766519" w:rsidRDefault="00766519" w:rsidP="000A69BD">
            <w:pPr>
              <w:pStyle w:val="ECCTabletext"/>
              <w:jc w:val="left"/>
            </w:pPr>
            <w:r>
              <w:t>1</w:t>
            </w:r>
            <w:r w:rsidRPr="00766519">
              <w:t> GHz</w:t>
            </w:r>
          </w:p>
        </w:tc>
        <w:tc>
          <w:tcPr>
            <w:tcW w:w="850" w:type="dxa"/>
          </w:tcPr>
          <w:p w14:paraId="46046460" w14:textId="56D7BD2E" w:rsidR="00766519" w:rsidRPr="00766519" w:rsidRDefault="00766519" w:rsidP="000A69BD">
            <w:pPr>
              <w:pStyle w:val="ECCTabletext"/>
              <w:jc w:val="left"/>
            </w:pPr>
            <w:r>
              <w:t>4</w:t>
            </w:r>
            <w:r w:rsidRPr="00766519">
              <w:t>0</w:t>
            </w:r>
            <w:r w:rsidR="00F800A2">
              <w:t>%</w:t>
            </w:r>
          </w:p>
        </w:tc>
        <w:tc>
          <w:tcPr>
            <w:tcW w:w="993" w:type="dxa"/>
          </w:tcPr>
          <w:p w14:paraId="318B9A75" w14:textId="2D816AB3" w:rsidR="00766519" w:rsidRPr="00766519" w:rsidRDefault="00766519" w:rsidP="000A69BD">
            <w:pPr>
              <w:pStyle w:val="ECCTabletext"/>
              <w:jc w:val="left"/>
            </w:pPr>
            <w:r>
              <w:t>50</w:t>
            </w:r>
            <w:r w:rsidR="00F800A2">
              <w:t>%</w:t>
            </w:r>
          </w:p>
        </w:tc>
        <w:tc>
          <w:tcPr>
            <w:tcW w:w="1842" w:type="dxa"/>
          </w:tcPr>
          <w:p w14:paraId="53B13D57" w14:textId="77777777" w:rsidR="00766519" w:rsidRPr="00766519" w:rsidRDefault="00766519" w:rsidP="000A69BD">
            <w:pPr>
              <w:pStyle w:val="ECCTabletext"/>
              <w:jc w:val="left"/>
            </w:pPr>
            <w:r>
              <w:t>-20 dBm</w:t>
            </w:r>
            <w:r w:rsidRPr="00766519">
              <w:t>/MHz</w:t>
            </w:r>
          </w:p>
        </w:tc>
        <w:tc>
          <w:tcPr>
            <w:tcW w:w="1153" w:type="dxa"/>
          </w:tcPr>
          <w:p w14:paraId="518B0D58" w14:textId="77777777" w:rsidR="00766519" w:rsidRPr="00766519" w:rsidRDefault="00766519" w:rsidP="000A69BD">
            <w:pPr>
              <w:pStyle w:val="ECCTabletext"/>
              <w:jc w:val="left"/>
            </w:pPr>
            <w:r>
              <w:t>10 dB</w:t>
            </w:r>
            <w:r w:rsidRPr="00766519">
              <w:t>m</w:t>
            </w:r>
          </w:p>
        </w:tc>
        <w:tc>
          <w:tcPr>
            <w:tcW w:w="1294" w:type="dxa"/>
          </w:tcPr>
          <w:p w14:paraId="5E8BC188" w14:textId="77777777" w:rsidR="00766519" w:rsidRPr="00766519" w:rsidRDefault="00766519" w:rsidP="000A69BD">
            <w:pPr>
              <w:pStyle w:val="ECCTabletext"/>
              <w:jc w:val="left"/>
            </w:pPr>
            <w:r w:rsidRPr="00497690">
              <w:t>20 dB</w:t>
            </w:r>
          </w:p>
        </w:tc>
      </w:tr>
      <w:tr w:rsidR="00AA70A3" w:rsidRPr="00C53FB5" w14:paraId="5672B556" w14:textId="77777777" w:rsidTr="00AA70A3">
        <w:trPr>
          <w:gridAfter w:val="1"/>
          <w:wAfter w:w="15" w:type="dxa"/>
        </w:trPr>
        <w:tc>
          <w:tcPr>
            <w:tcW w:w="1383" w:type="dxa"/>
            <w:vMerge/>
          </w:tcPr>
          <w:p w14:paraId="51274C42" w14:textId="77777777" w:rsidR="00766519" w:rsidRPr="00C53FB5" w:rsidRDefault="00766519" w:rsidP="00766519">
            <w:pPr>
              <w:pStyle w:val="ECCTabletext"/>
            </w:pPr>
          </w:p>
        </w:tc>
        <w:tc>
          <w:tcPr>
            <w:tcW w:w="1447" w:type="dxa"/>
          </w:tcPr>
          <w:p w14:paraId="6BA56E32" w14:textId="77777777" w:rsidR="00766519" w:rsidRPr="00766519" w:rsidRDefault="00766519" w:rsidP="000A69BD">
            <w:pPr>
              <w:pStyle w:val="ECCTabletext"/>
              <w:jc w:val="left"/>
            </w:pPr>
            <w:r>
              <w:t>F</w:t>
            </w:r>
            <w:r w:rsidRPr="00766519">
              <w:t>ixed</w:t>
            </w:r>
          </w:p>
        </w:tc>
        <w:tc>
          <w:tcPr>
            <w:tcW w:w="1418" w:type="dxa"/>
          </w:tcPr>
          <w:p w14:paraId="4481556C" w14:textId="77777777" w:rsidR="00766519" w:rsidRPr="00766519" w:rsidRDefault="00766519" w:rsidP="000A69BD">
            <w:pPr>
              <w:pStyle w:val="ECCTabletext"/>
              <w:jc w:val="left"/>
            </w:pPr>
            <w:r>
              <w:t>1</w:t>
            </w:r>
            <w:r w:rsidRPr="00766519">
              <w:t> GHz</w:t>
            </w:r>
          </w:p>
        </w:tc>
        <w:tc>
          <w:tcPr>
            <w:tcW w:w="850" w:type="dxa"/>
          </w:tcPr>
          <w:p w14:paraId="30B6E162" w14:textId="58E71876" w:rsidR="00766519" w:rsidRPr="00766519" w:rsidRDefault="00766519" w:rsidP="000A69BD">
            <w:pPr>
              <w:pStyle w:val="ECCTabletext"/>
              <w:jc w:val="left"/>
            </w:pPr>
            <w:r>
              <w:t>10</w:t>
            </w:r>
            <w:r w:rsidR="00F800A2">
              <w:t>%</w:t>
            </w:r>
          </w:p>
        </w:tc>
        <w:tc>
          <w:tcPr>
            <w:tcW w:w="993" w:type="dxa"/>
          </w:tcPr>
          <w:p w14:paraId="72F13B93" w14:textId="77777777" w:rsidR="00766519" w:rsidRDefault="00766519" w:rsidP="00766519">
            <w:pPr>
              <w:pStyle w:val="ECCTabletext"/>
            </w:pPr>
          </w:p>
        </w:tc>
        <w:tc>
          <w:tcPr>
            <w:tcW w:w="1842" w:type="dxa"/>
          </w:tcPr>
          <w:p w14:paraId="2B87617A" w14:textId="77777777" w:rsidR="00766519" w:rsidRPr="00766519" w:rsidRDefault="00766519" w:rsidP="000A69BD">
            <w:pPr>
              <w:pStyle w:val="ECCTabletext"/>
              <w:jc w:val="left"/>
            </w:pPr>
            <w:r>
              <w:t>-10 d</w:t>
            </w:r>
            <w:r w:rsidRPr="00766519">
              <w:t>Bm/MHz</w:t>
            </w:r>
          </w:p>
        </w:tc>
        <w:tc>
          <w:tcPr>
            <w:tcW w:w="1153" w:type="dxa"/>
          </w:tcPr>
          <w:p w14:paraId="03B34E87" w14:textId="77777777" w:rsidR="00766519" w:rsidRPr="00766519" w:rsidRDefault="00766519" w:rsidP="000A69BD">
            <w:pPr>
              <w:pStyle w:val="ECCTabletext"/>
              <w:jc w:val="left"/>
            </w:pPr>
            <w:r>
              <w:t>20 dBm</w:t>
            </w:r>
          </w:p>
        </w:tc>
        <w:tc>
          <w:tcPr>
            <w:tcW w:w="1294" w:type="dxa"/>
          </w:tcPr>
          <w:p w14:paraId="10D85648" w14:textId="77777777" w:rsidR="00766519" w:rsidRPr="00766519" w:rsidRDefault="00766519" w:rsidP="000A69BD">
            <w:pPr>
              <w:pStyle w:val="ECCTabletext"/>
              <w:jc w:val="left"/>
            </w:pPr>
            <w:r w:rsidRPr="00497690">
              <w:t>20 dB</w:t>
            </w:r>
          </w:p>
        </w:tc>
      </w:tr>
      <w:tr w:rsidR="00766519" w:rsidRPr="00C53FB5" w14:paraId="527D24BB" w14:textId="77777777" w:rsidTr="00AA70A3">
        <w:tc>
          <w:tcPr>
            <w:tcW w:w="10395" w:type="dxa"/>
            <w:gridSpan w:val="9"/>
          </w:tcPr>
          <w:p w14:paraId="09A39264" w14:textId="77777777" w:rsidR="00766519" w:rsidRPr="00766519" w:rsidRDefault="00766519" w:rsidP="00464AE0">
            <w:pPr>
              <w:pStyle w:val="ECCTablenote"/>
            </w:pPr>
            <w:r>
              <w:t xml:space="preserve">Note 1: Assumed out-of-band attenuation of the </w:t>
            </w:r>
            <w:r w:rsidRPr="00766519">
              <w:t>generic indoor surveillance radar in adjacent bands allocated to FS.</w:t>
            </w:r>
          </w:p>
          <w:p w14:paraId="6333BA40" w14:textId="6239F1A2" w:rsidR="00766519" w:rsidRPr="00766519" w:rsidRDefault="00766519" w:rsidP="00464AE0">
            <w:pPr>
              <w:pStyle w:val="ECCTablenote"/>
            </w:pPr>
            <w:r w:rsidRPr="00143CCA">
              <w:t>Note 2: The duty cycle</w:t>
            </w:r>
            <w:r w:rsidRPr="00766519">
              <w:t>s are not considered in the mean e.i.r.p. spectral density and mean e.i.r.p. values. Consequently, the given mean e.i.r.p. spectral density and mean e.i.r.p. is valid for averaging over T</w:t>
            </w:r>
            <w:r w:rsidRPr="00971077">
              <w:rPr>
                <w:vertAlign w:val="subscript"/>
              </w:rPr>
              <w:t>meas</w:t>
            </w:r>
            <w:r w:rsidRPr="00766519">
              <w:t xml:space="preserve"> (time when transmission is on, see </w:t>
            </w:r>
            <w:r w:rsidRPr="00766519">
              <w:fldChar w:fldCharType="begin"/>
            </w:r>
            <w:r w:rsidRPr="00766519">
              <w:instrText xml:space="preserve"> REF _Ref8900572 \h </w:instrText>
            </w:r>
            <w:r w:rsidRPr="00766519">
              <w:fldChar w:fldCharType="separate"/>
            </w:r>
            <w:r w:rsidR="0041125F" w:rsidRPr="006D6727">
              <w:rPr>
                <w:noProof/>
              </w:rPr>
              <w:t>Figure </w:t>
            </w:r>
            <w:r w:rsidR="0041125F">
              <w:rPr>
                <w:noProof/>
              </w:rPr>
              <w:t>36</w:t>
            </w:r>
            <w:r w:rsidRPr="00766519">
              <w:fldChar w:fldCharType="end"/>
            </w:r>
            <w:r w:rsidRPr="00766519">
              <w:t>).</w:t>
            </w:r>
          </w:p>
        </w:tc>
      </w:tr>
    </w:tbl>
    <w:p w14:paraId="25F700F6" w14:textId="34A252FD" w:rsidR="00037CBA" w:rsidRDefault="00037CBA" w:rsidP="004E36C2">
      <w:pPr>
        <w:pStyle w:val="Heading4"/>
      </w:pPr>
      <w:bookmarkStart w:id="628" w:name="_Toc84325382"/>
      <w:r>
        <w:t>Interference scenarios</w:t>
      </w:r>
      <w:r w:rsidR="001D7996">
        <w:t>-</w:t>
      </w:r>
      <w:r>
        <w:t>specific considerations</w:t>
      </w:r>
      <w:bookmarkEnd w:id="628"/>
    </w:p>
    <w:p w14:paraId="0FECADD8" w14:textId="77777777" w:rsidR="00011766" w:rsidRDefault="00011766" w:rsidP="00011766">
      <w:r>
        <w:t>Due to</w:t>
      </w:r>
      <w:r w:rsidRPr="00710730">
        <w:t xml:space="preserve"> the generic com</w:t>
      </w:r>
      <w:r>
        <w:t>m</w:t>
      </w:r>
      <w:r w:rsidRPr="00710730">
        <w:t xml:space="preserve">ercial </w:t>
      </w:r>
      <w:r>
        <w:t>nature of the devices determined for the private household, the</w:t>
      </w:r>
      <w:r w:rsidRPr="00710730">
        <w:t xml:space="preserve"> worst-case single</w:t>
      </w:r>
      <w:r>
        <w:t>-</w:t>
      </w:r>
      <w:r w:rsidRPr="00710730">
        <w:t>entry interference scen</w:t>
      </w:r>
      <w:r>
        <w:t>a</w:t>
      </w:r>
      <w:r w:rsidRPr="00710730">
        <w:t>rios were considered.</w:t>
      </w:r>
    </w:p>
    <w:p w14:paraId="05D5EE18" w14:textId="77777777" w:rsidR="00011766" w:rsidRDefault="00011766" w:rsidP="00273A8A">
      <w:r w:rsidRPr="00710730">
        <w:t xml:space="preserve">This </w:t>
      </w:r>
      <w:r>
        <w:t>includes the consideration</w:t>
      </w:r>
      <w:r w:rsidRPr="00710730">
        <w:t xml:space="preserve"> </w:t>
      </w:r>
      <w:r>
        <w:t>of</w:t>
      </w:r>
      <w:r w:rsidR="00273A8A">
        <w:t xml:space="preserve"> </w:t>
      </w:r>
      <w:r>
        <w:t>usage inside</w:t>
      </w:r>
      <w:r w:rsidRPr="00710730">
        <w:t xml:space="preserve"> less </w:t>
      </w:r>
      <w:r>
        <w:t>energy</w:t>
      </w:r>
      <w:r w:rsidRPr="00710730">
        <w:t xml:space="preserve"> efficient (traditional) building</w:t>
      </w:r>
      <w:r>
        <w:t>s</w:t>
      </w:r>
      <w:r w:rsidRPr="00710730">
        <w:t xml:space="preserve"> </w:t>
      </w:r>
      <w:r>
        <w:t>with low indoor-outdoor attenuation</w:t>
      </w:r>
      <w:r w:rsidR="00273A8A">
        <w:t>.</w:t>
      </w:r>
    </w:p>
    <w:p w14:paraId="7B1BD227" w14:textId="77777777" w:rsidR="006C1A28" w:rsidRPr="006C1A28" w:rsidRDefault="006C1A28" w:rsidP="00011766">
      <w:pPr>
        <w:rPr>
          <w:rStyle w:val="ECCHLunderlined"/>
        </w:rPr>
      </w:pPr>
      <w:r w:rsidRPr="006C1A28">
        <w:rPr>
          <w:rStyle w:val="ECCHLunderlined"/>
        </w:rPr>
        <w:t>Single-entry assessment</w:t>
      </w:r>
    </w:p>
    <w:p w14:paraId="755A0E49" w14:textId="4707E033" w:rsidR="00011766" w:rsidRPr="00710730" w:rsidRDefault="00011766" w:rsidP="00011766">
      <w:r w:rsidRPr="00710730">
        <w:t>The generic assum</w:t>
      </w:r>
      <w:r>
        <w:t>p</w:t>
      </w:r>
      <w:r w:rsidRPr="00710730">
        <w:t xml:space="preserve">tions for the interference scenario </w:t>
      </w:r>
      <w:r>
        <w:t>are</w:t>
      </w:r>
      <w:r w:rsidRPr="00710730">
        <w:t xml:space="preserve"> described in </w:t>
      </w:r>
      <w:r w:rsidR="009D5FA2">
        <w:t>section</w:t>
      </w:r>
      <w:r w:rsidRPr="00710730">
        <w:t xml:space="preserve"> </w:t>
      </w:r>
      <w:r>
        <w:fldChar w:fldCharType="begin"/>
      </w:r>
      <w:r>
        <w:instrText xml:space="preserve"> REF _Ref67491610 \r \h </w:instrText>
      </w:r>
      <w:r>
        <w:fldChar w:fldCharType="separate"/>
      </w:r>
      <w:r w:rsidR="004F49F9">
        <w:t>2.2.1.6</w:t>
      </w:r>
      <w:r>
        <w:fldChar w:fldCharType="end"/>
      </w:r>
      <w:r w:rsidRPr="00710730">
        <w:t>.</w:t>
      </w:r>
      <w:r>
        <w:t xml:space="preserve"> </w:t>
      </w:r>
      <w:r w:rsidRPr="00710730">
        <w:t>Th</w:t>
      </w:r>
      <w:r>
        <w:t>ese</w:t>
      </w:r>
      <w:r w:rsidRPr="00710730">
        <w:t xml:space="preserve"> considerations on </w:t>
      </w:r>
      <w:r>
        <w:t>potential</w:t>
      </w:r>
      <w:r w:rsidRPr="00710730">
        <w:t xml:space="preserve"> scenario</w:t>
      </w:r>
      <w:r>
        <w:t>s</w:t>
      </w:r>
      <w:r w:rsidRPr="00710730">
        <w:t xml:space="preserve"> le</w:t>
      </w:r>
      <w:r>
        <w:t>d</w:t>
      </w:r>
      <w:r w:rsidRPr="00710730">
        <w:t xml:space="preserve"> </w:t>
      </w:r>
      <w:r>
        <w:t xml:space="preserve">to </w:t>
      </w:r>
      <w:r w:rsidRPr="00710730">
        <w:t>four different single</w:t>
      </w:r>
      <w:r>
        <w:t>-</w:t>
      </w:r>
      <w:r w:rsidRPr="00710730">
        <w:t>entry interference cases</w:t>
      </w:r>
      <w:r>
        <w:t>:</w:t>
      </w:r>
    </w:p>
    <w:p w14:paraId="1AE30AEC" w14:textId="0283746F" w:rsidR="00011766" w:rsidRPr="00011766" w:rsidRDefault="00011766" w:rsidP="001B5658">
      <w:pPr>
        <w:pStyle w:val="ECCNumberedList"/>
        <w:keepNext/>
        <w:numPr>
          <w:ilvl w:val="0"/>
          <w:numId w:val="12"/>
        </w:numPr>
      </w:pPr>
      <w:bookmarkStart w:id="629" w:name="_Ref67581088"/>
      <w:r w:rsidRPr="00710730">
        <w:t>Single-</w:t>
      </w:r>
      <w:r w:rsidRPr="00011766">
        <w:t>entry case 1</w:t>
      </w:r>
      <w:bookmarkEnd w:id="629"/>
      <w:r w:rsidR="00037D48">
        <w:t>:</w:t>
      </w:r>
    </w:p>
    <w:p w14:paraId="1326B1B7" w14:textId="1D8A6BD1" w:rsidR="006C1A28" w:rsidRPr="00E23172" w:rsidRDefault="006C1A28" w:rsidP="001B5658">
      <w:pPr>
        <w:pStyle w:val="ECCBulletsLv2"/>
        <w:keepNext/>
      </w:pPr>
      <w:r w:rsidRPr="00E23172">
        <w:t>Indoor-outdoor attenuation of 1</w:t>
      </w:r>
      <w:r>
        <w:t>2</w:t>
      </w:r>
      <w:r w:rsidR="00CF4994">
        <w:t>.3</w:t>
      </w:r>
      <w:r w:rsidRPr="00E23172">
        <w:t> dB</w:t>
      </w:r>
      <w:r>
        <w:t xml:space="preserve"> for interference scenario 1 </w:t>
      </w:r>
      <w:r w:rsidR="00D74223">
        <w:t>(</w:t>
      </w:r>
      <w:r w:rsidR="009D12EB">
        <w:t xml:space="preserve">see </w:t>
      </w:r>
      <w:r w:rsidR="00D74223">
        <w:fldChar w:fldCharType="begin"/>
      </w:r>
      <w:r w:rsidR="00D74223">
        <w:instrText xml:space="preserve"> REF _Ref66373493 \h </w:instrText>
      </w:r>
      <w:r w:rsidR="00971077">
        <w:instrText xml:space="preserve"> \* MERGEFORMAT </w:instrText>
      </w:r>
      <w:r w:rsidR="00D74223">
        <w:fldChar w:fldCharType="separate"/>
      </w:r>
      <w:r w:rsidR="0041125F" w:rsidRPr="005D24D5">
        <w:rPr>
          <w:rStyle w:val="ECCParagraph"/>
        </w:rPr>
        <w:t>Figure </w:t>
      </w:r>
      <w:r w:rsidR="0041125F">
        <w:rPr>
          <w:rStyle w:val="ECCParagraph"/>
          <w:noProof/>
        </w:rPr>
        <w:t>3</w:t>
      </w:r>
      <w:r w:rsidR="00D74223">
        <w:fldChar w:fldCharType="end"/>
      </w:r>
      <w:r w:rsidR="00D74223">
        <w:t xml:space="preserve"> in </w:t>
      </w:r>
      <w:r w:rsidR="009D5FA2">
        <w:t>section</w:t>
      </w:r>
      <w:r w:rsidR="00D74223">
        <w:t xml:space="preserve"> </w:t>
      </w:r>
      <w:r w:rsidR="00D74223">
        <w:fldChar w:fldCharType="begin"/>
      </w:r>
      <w:r w:rsidR="00D74223">
        <w:instrText xml:space="preserve"> REF _Ref67649591 \r \h </w:instrText>
      </w:r>
      <w:r w:rsidR="00971077">
        <w:instrText xml:space="preserve"> \* MERGEFORMAT </w:instrText>
      </w:r>
      <w:r w:rsidR="00D74223">
        <w:fldChar w:fldCharType="separate"/>
      </w:r>
      <w:r w:rsidR="004F49F9">
        <w:t>2.2.1.6</w:t>
      </w:r>
      <w:r w:rsidR="00D74223">
        <w:fldChar w:fldCharType="end"/>
      </w:r>
      <w:r w:rsidR="00D74223">
        <w:t xml:space="preserve">) </w:t>
      </w:r>
      <w:r>
        <w:t>and 11</w:t>
      </w:r>
      <w:r w:rsidR="00CF4994">
        <w:t>.6</w:t>
      </w:r>
      <w:r>
        <w:t> dB for interference scenario 2 (</w:t>
      </w:r>
      <w:r w:rsidR="009D12EB">
        <w:t xml:space="preserve">see </w:t>
      </w:r>
      <w:r w:rsidR="00D74223">
        <w:fldChar w:fldCharType="begin"/>
      </w:r>
      <w:r w:rsidR="00D74223">
        <w:instrText xml:space="preserve"> REF _Ref66373544 \h </w:instrText>
      </w:r>
      <w:r w:rsidR="00971077">
        <w:instrText xml:space="preserve"> \* MERGEFORMAT </w:instrText>
      </w:r>
      <w:r w:rsidR="00D74223">
        <w:fldChar w:fldCharType="separate"/>
      </w:r>
      <w:r w:rsidR="0041125F" w:rsidRPr="00484082">
        <w:rPr>
          <w:rStyle w:val="ECCParagraph"/>
          <w:lang w:val="da-DK"/>
        </w:rPr>
        <w:t>Figure </w:t>
      </w:r>
      <w:r w:rsidR="0041125F">
        <w:rPr>
          <w:rStyle w:val="ECCParagraph"/>
          <w:noProof/>
          <w:lang w:val="da-DK"/>
        </w:rPr>
        <w:t>4</w:t>
      </w:r>
      <w:r w:rsidR="00D74223">
        <w:fldChar w:fldCharType="end"/>
      </w:r>
      <w:r>
        <w:t>)</w:t>
      </w:r>
      <w:r w:rsidRPr="00E23172">
        <w:t xml:space="preserve"> (Model according to </w:t>
      </w:r>
      <w:r>
        <w:t>ITU-R P.2109-1</w:t>
      </w:r>
      <w:r w:rsidRPr="00E23172">
        <w:t xml:space="preserve"> </w:t>
      </w:r>
      <w:r w:rsidR="009D12EB">
        <w:rPr>
          <w:rStyle w:val="ECCParagraph"/>
        </w:rPr>
        <w:fldChar w:fldCharType="begin"/>
      </w:r>
      <w:r w:rsidR="009D12EB">
        <w:rPr>
          <w:rStyle w:val="ECCParagraph"/>
        </w:rPr>
        <w:instrText xml:space="preserve"> REF  ITU_R_P_2109_0 \h \w  \* MERGEFORMAT </w:instrText>
      </w:r>
      <w:r w:rsidR="009D12EB">
        <w:rPr>
          <w:rStyle w:val="ECCParagraph"/>
        </w:rPr>
      </w:r>
      <w:r w:rsidR="009D12EB">
        <w:rPr>
          <w:rStyle w:val="ECCParagraph"/>
        </w:rPr>
        <w:fldChar w:fldCharType="separate"/>
      </w:r>
      <w:r w:rsidR="004F49F9">
        <w:rPr>
          <w:rStyle w:val="ECCParagraph"/>
        </w:rPr>
        <w:t>[23]</w:t>
      </w:r>
      <w:r w:rsidR="009D12EB">
        <w:rPr>
          <w:rStyle w:val="ECCParagraph"/>
        </w:rPr>
        <w:fldChar w:fldCharType="end"/>
      </w:r>
      <w:r w:rsidR="009D12EB">
        <w:rPr>
          <w:rStyle w:val="ECCParagraph"/>
        </w:rPr>
        <w:t xml:space="preserve"> </w:t>
      </w:r>
      <w:r>
        <w:t>for P=15</w:t>
      </w:r>
      <w:r w:rsidR="00F800A2">
        <w:t>%</w:t>
      </w:r>
      <w:r>
        <w:t xml:space="preserve"> </w:t>
      </w:r>
      <w:r w:rsidRPr="00E23172">
        <w:t xml:space="preserve">with </w:t>
      </w:r>
      <w:r>
        <w:t>100</w:t>
      </w:r>
      <w:r w:rsidR="00F800A2">
        <w:t>%</w:t>
      </w:r>
      <w:r w:rsidRPr="00E23172">
        <w:t xml:space="preserve"> traditional buildings at 100 GHz</w:t>
      </w:r>
      <w:r w:rsidR="00C910D2">
        <w:t xml:space="preserve"> for the elevation angles derived from the two interference scenarios</w:t>
      </w:r>
      <w:r>
        <w:t>)</w:t>
      </w:r>
      <w:r w:rsidR="00037D48">
        <w:t>;</w:t>
      </w:r>
    </w:p>
    <w:p w14:paraId="4E7C72E0" w14:textId="78A0B4E6" w:rsidR="00011766" w:rsidRDefault="00011766" w:rsidP="001B5658">
      <w:pPr>
        <w:pStyle w:val="ECCBulletsLv2"/>
        <w:keepNext/>
      </w:pPr>
      <w:r>
        <w:t>Line of sight/main beam coupling</w:t>
      </w:r>
      <w:r w:rsidR="00037D48">
        <w:t>;</w:t>
      </w:r>
    </w:p>
    <w:p w14:paraId="174FDA76" w14:textId="04FD800C" w:rsidR="00011766" w:rsidRDefault="00011766" w:rsidP="001B5658">
      <w:pPr>
        <w:pStyle w:val="ECCBulletsLv2"/>
        <w:keepNext/>
      </w:pPr>
      <w:r>
        <w:t>No clutter</w:t>
      </w:r>
      <w:r w:rsidR="00037D48">
        <w:t>;</w:t>
      </w:r>
    </w:p>
    <w:p w14:paraId="6D7CA799" w14:textId="7C669903" w:rsidR="003E3BF2" w:rsidRDefault="00CB2D28" w:rsidP="001B5658">
      <w:pPr>
        <w:pStyle w:val="ECCBulletsLv2"/>
        <w:keepNext/>
      </w:pPr>
      <w:r>
        <w:t>D</w:t>
      </w:r>
      <w:r w:rsidR="003E3BF2">
        <w:t>uty cycle of 10</w:t>
      </w:r>
      <w:r w:rsidR="00F800A2">
        <w:t>%</w:t>
      </w:r>
      <w:r w:rsidR="003E3BF2">
        <w:t xml:space="preserve"> for fixed </w:t>
      </w:r>
      <w:r w:rsidR="00C03D0D">
        <w:t xml:space="preserve">indoor surveillance radars was </w:t>
      </w:r>
      <w:r>
        <w:t>considered</w:t>
      </w:r>
      <w:r w:rsidR="00037D48">
        <w:t>;</w:t>
      </w:r>
    </w:p>
    <w:p w14:paraId="62368467" w14:textId="00F7D57B" w:rsidR="006C1A28" w:rsidRDefault="006C1A28" w:rsidP="001B5658">
      <w:pPr>
        <w:pStyle w:val="ECCBulletsLv2"/>
        <w:keepNext/>
      </w:pPr>
      <w:r>
        <w:t xml:space="preserve">No duty-cycle mitigation for </w:t>
      </w:r>
      <w:r w:rsidR="009D5FA2">
        <w:t>hand-held</w:t>
      </w:r>
      <w:r>
        <w:t xml:space="preserve">/mobile </w:t>
      </w:r>
      <w:r w:rsidRPr="007E2326">
        <w:t>generic</w:t>
      </w:r>
      <w:r>
        <w:t xml:space="preserve"> </w:t>
      </w:r>
      <w:r w:rsidRPr="007E2326">
        <w:t>indoor surveil</w:t>
      </w:r>
      <w:r>
        <w:t>l</w:t>
      </w:r>
      <w:r w:rsidRPr="007E2326">
        <w:t>ance radar</w:t>
      </w:r>
      <w:r w:rsidR="00061C8D" w:rsidRPr="00061C8D">
        <w:t xml:space="preserve"> </w:t>
      </w:r>
      <w:r w:rsidR="00061C8D">
        <w:t>since the duty cycles exceed the 20% threshold of the long</w:t>
      </w:r>
      <w:r w:rsidR="00971077">
        <w:t>-</w:t>
      </w:r>
      <w:r w:rsidR="00061C8D">
        <w:t xml:space="preserve">term </w:t>
      </w:r>
      <w:r w:rsidR="00416BD9">
        <w:t xml:space="preserve">FS </w:t>
      </w:r>
      <w:r w:rsidR="00061C8D">
        <w:t>interference criterion I/N=-20</w:t>
      </w:r>
      <w:r w:rsidR="00416BD9">
        <w:t> </w:t>
      </w:r>
      <w:r w:rsidR="00061C8D">
        <w:t>dB.</w:t>
      </w:r>
    </w:p>
    <w:p w14:paraId="60824BF1" w14:textId="29DBDCFF" w:rsidR="00011766" w:rsidRDefault="00011766" w:rsidP="00011766">
      <w:pPr>
        <w:pStyle w:val="ECCNumberedList"/>
      </w:pPr>
      <w:r w:rsidRPr="00710730">
        <w:t>Single-</w:t>
      </w:r>
      <w:r>
        <w:t>e</w:t>
      </w:r>
      <w:r w:rsidRPr="00710730">
        <w:t xml:space="preserve">ntry </w:t>
      </w:r>
      <w:r>
        <w:t>c</w:t>
      </w:r>
      <w:r w:rsidRPr="00710730">
        <w:t>ase 2</w:t>
      </w:r>
      <w:r w:rsidR="00037D48">
        <w:t>:</w:t>
      </w:r>
    </w:p>
    <w:p w14:paraId="01A8454E" w14:textId="1090F16A" w:rsidR="00B50075" w:rsidRDefault="00B50075" w:rsidP="00971077">
      <w:pPr>
        <w:pStyle w:val="ECCBulletsLv2"/>
      </w:pPr>
      <w:r w:rsidRPr="00E23172">
        <w:t xml:space="preserve">Indoor-outdoor </w:t>
      </w:r>
      <w:r>
        <w:t xml:space="preserve">average </w:t>
      </w:r>
      <w:r w:rsidRPr="00E23172">
        <w:t>attenuation of 1</w:t>
      </w:r>
      <w:r>
        <w:t>5</w:t>
      </w:r>
      <w:r w:rsidR="00CF4994">
        <w:t>.5</w:t>
      </w:r>
      <w:r w:rsidRPr="00E23172">
        <w:t> dB</w:t>
      </w:r>
      <w:r>
        <w:t xml:space="preserve"> was considered </w:t>
      </w:r>
      <w:r w:rsidRPr="00E23172">
        <w:t xml:space="preserve">(Model according to </w:t>
      </w:r>
      <w:r>
        <w:t>ITU-R P.2109-1</w:t>
      </w:r>
      <w:r w:rsidRPr="00E23172">
        <w:t xml:space="preserve"> </w:t>
      </w:r>
      <w:r w:rsidRPr="00B50075">
        <w:rPr>
          <w:rStyle w:val="ECCParagraph"/>
        </w:rPr>
        <w:fldChar w:fldCharType="begin"/>
      </w:r>
      <w:r w:rsidRPr="00B50075">
        <w:rPr>
          <w:rStyle w:val="ECCParagraph"/>
        </w:rPr>
        <w:instrText xml:space="preserve"> REF  ITU_R_P_2109_0 \h \w  \* MERGEFORMAT </w:instrText>
      </w:r>
      <w:r w:rsidRPr="00B50075">
        <w:rPr>
          <w:rStyle w:val="ECCParagraph"/>
        </w:rPr>
      </w:r>
      <w:r w:rsidRPr="00B50075">
        <w:rPr>
          <w:rStyle w:val="ECCParagraph"/>
        </w:rPr>
        <w:fldChar w:fldCharType="separate"/>
      </w:r>
      <w:r w:rsidR="004F49F9">
        <w:rPr>
          <w:rStyle w:val="ECCParagraph"/>
        </w:rPr>
        <w:t>[23]</w:t>
      </w:r>
      <w:r w:rsidRPr="00B50075">
        <w:rPr>
          <w:rStyle w:val="ECCParagraph"/>
        </w:rPr>
        <w:fldChar w:fldCharType="end"/>
      </w:r>
      <w:r>
        <w:rPr>
          <w:rStyle w:val="ECCParagraph"/>
        </w:rPr>
        <w:t xml:space="preserve"> </w:t>
      </w:r>
      <w:r w:rsidRPr="00B50075">
        <w:t>with 70</w:t>
      </w:r>
      <w:r w:rsidR="00F800A2">
        <w:t>%</w:t>
      </w:r>
      <w:r w:rsidRPr="00B50075">
        <w:t xml:space="preserve"> traditional and 30</w:t>
      </w:r>
      <w:r w:rsidR="00F800A2">
        <w:t>%</w:t>
      </w:r>
      <w:r w:rsidRPr="00B50075">
        <w:t xml:space="preserve"> energy efficient buildings at 100 GHz and 0° elevation </w:t>
      </w:r>
      <w:r>
        <w:t>was</w:t>
      </w:r>
      <w:r w:rsidRPr="00B50075">
        <w:t xml:space="preserve"> use</w:t>
      </w:r>
      <w:r>
        <w:t>d)</w:t>
      </w:r>
      <w:r w:rsidR="00037D48">
        <w:t>;</w:t>
      </w:r>
    </w:p>
    <w:p w14:paraId="2F777244" w14:textId="43A32292" w:rsidR="00D647BA" w:rsidRPr="00E23172" w:rsidRDefault="00D647BA" w:rsidP="00971077">
      <w:pPr>
        <w:pStyle w:val="ECCBulletsLv2"/>
      </w:pPr>
      <w:r>
        <w:t xml:space="preserve">Other parameters same as for </w:t>
      </w:r>
      <w:r w:rsidR="002C68A0">
        <w:fldChar w:fldCharType="begin"/>
      </w:r>
      <w:r w:rsidR="002C68A0">
        <w:instrText xml:space="preserve"> REF _Ref67581088 \h </w:instrText>
      </w:r>
      <w:r w:rsidR="002C68A0">
        <w:fldChar w:fldCharType="separate"/>
      </w:r>
      <w:r w:rsidR="0041125F" w:rsidRPr="00710730">
        <w:t>Single-</w:t>
      </w:r>
      <w:r w:rsidR="0041125F" w:rsidRPr="00011766">
        <w:t>entry case 1</w:t>
      </w:r>
      <w:r w:rsidR="002C68A0">
        <w:fldChar w:fldCharType="end"/>
      </w:r>
      <w:r>
        <w:t>.</w:t>
      </w:r>
    </w:p>
    <w:p w14:paraId="146765A3" w14:textId="77777777" w:rsidR="00011766" w:rsidRDefault="00011766" w:rsidP="00011766">
      <w:pPr>
        <w:pStyle w:val="ECCNumberedList"/>
      </w:pPr>
      <w:r w:rsidRPr="00710730">
        <w:t>Single-</w:t>
      </w:r>
      <w:r>
        <w:t>e</w:t>
      </w:r>
      <w:r w:rsidRPr="00710730">
        <w:t xml:space="preserve">ntry </w:t>
      </w:r>
      <w:r>
        <w:t>c</w:t>
      </w:r>
      <w:r w:rsidRPr="00710730">
        <w:t>ase 3</w:t>
      </w:r>
    </w:p>
    <w:p w14:paraId="5DB2CF67" w14:textId="16BE0699" w:rsidR="00011766" w:rsidRDefault="001867E1" w:rsidP="00971077">
      <w:pPr>
        <w:pStyle w:val="ECCBulletsLv2"/>
      </w:pPr>
      <w:r>
        <w:t>21</w:t>
      </w:r>
      <w:r w:rsidR="00CF4994">
        <w:t>.8</w:t>
      </w:r>
      <w:r>
        <w:t xml:space="preserve"> dB clutter loss (Model according to ITU-R P.2108-0 </w:t>
      </w:r>
      <w:r>
        <w:rPr>
          <w:rStyle w:val="ECCParagraph"/>
        </w:rPr>
        <w:fldChar w:fldCharType="begin"/>
      </w:r>
      <w:r>
        <w:rPr>
          <w:rStyle w:val="ECCParagraph"/>
        </w:rPr>
        <w:instrText xml:space="preserve"> REF  ITU_R_P_2108_0 \h \w  \* MERGEFORMAT </w:instrText>
      </w:r>
      <w:r>
        <w:rPr>
          <w:rStyle w:val="ECCParagraph"/>
        </w:rPr>
      </w:r>
      <w:r>
        <w:rPr>
          <w:rStyle w:val="ECCParagraph"/>
        </w:rPr>
        <w:fldChar w:fldCharType="separate"/>
      </w:r>
      <w:r w:rsidR="004F49F9">
        <w:rPr>
          <w:rStyle w:val="ECCParagraph"/>
        </w:rPr>
        <w:t>[25]</w:t>
      </w:r>
      <w:r>
        <w:rPr>
          <w:rStyle w:val="ECCParagraph"/>
        </w:rPr>
        <w:fldChar w:fldCharType="end"/>
      </w:r>
      <w:r>
        <w:rPr>
          <w:rStyle w:val="ECCParagraph"/>
        </w:rPr>
        <w:t xml:space="preserve"> </w:t>
      </w:r>
      <w:r>
        <w:t xml:space="preserve">section 3.2 for </w:t>
      </w:r>
      <w:r w:rsidR="00766519">
        <w:t>67</w:t>
      </w:r>
      <w:r>
        <w:t> GHz</w:t>
      </w:r>
      <w:r w:rsidR="00D647BA">
        <w:t xml:space="preserve"> and</w:t>
      </w:r>
      <w:r>
        <w:t xml:space="preserve"> a path length of 300 m. The current ITU model is only valid up to 67 GHz. At higher frequencies, also a higher clutter loss can be assumed</w:t>
      </w:r>
      <w:r w:rsidR="00D647BA">
        <w:t>)</w:t>
      </w:r>
      <w:r w:rsidR="00C439E3">
        <w:t>;</w:t>
      </w:r>
    </w:p>
    <w:p w14:paraId="2FCB98EB" w14:textId="7262AB05" w:rsidR="00D647BA" w:rsidRDefault="00D647BA" w:rsidP="00971077">
      <w:pPr>
        <w:pStyle w:val="ECCBulletsLv2"/>
      </w:pPr>
      <w:r>
        <w:t xml:space="preserve">Other parameters same as for </w:t>
      </w:r>
      <w:r w:rsidR="002C68A0">
        <w:fldChar w:fldCharType="begin"/>
      </w:r>
      <w:r w:rsidR="002C68A0">
        <w:instrText xml:space="preserve"> REF _Ref67581088 \h </w:instrText>
      </w:r>
      <w:r w:rsidR="002C68A0">
        <w:fldChar w:fldCharType="separate"/>
      </w:r>
      <w:r w:rsidR="0041125F" w:rsidRPr="00710730">
        <w:t>Single-</w:t>
      </w:r>
      <w:r w:rsidR="0041125F" w:rsidRPr="00011766">
        <w:t>entry case 1</w:t>
      </w:r>
      <w:r w:rsidR="002C68A0">
        <w:fldChar w:fldCharType="end"/>
      </w:r>
      <w:r>
        <w:t>.</w:t>
      </w:r>
    </w:p>
    <w:p w14:paraId="30B64025" w14:textId="52DDAD37" w:rsidR="009F5394" w:rsidRPr="00E23172" w:rsidRDefault="009F5394" w:rsidP="009F5394">
      <w:r>
        <w:t>Note: While conducting the s</w:t>
      </w:r>
      <w:r w:rsidRPr="009F5394">
        <w:t xml:space="preserve">tudies an antenna pattern mitigation was discussed and studied for fixed generic indoor surveillance radars (see </w:t>
      </w:r>
      <w:r w:rsidR="009D5FA2">
        <w:t>section</w:t>
      </w:r>
      <w:r w:rsidRPr="009F5394">
        <w:t xml:space="preserve"> </w:t>
      </w:r>
      <w:r w:rsidR="00D43017">
        <w:fldChar w:fldCharType="begin"/>
      </w:r>
      <w:r w:rsidR="00D43017">
        <w:instrText xml:space="preserve"> REF _Ref67650012 \r \h </w:instrText>
      </w:r>
      <w:r w:rsidR="00D43017">
        <w:fldChar w:fldCharType="separate"/>
      </w:r>
      <w:r w:rsidR="004F49F9">
        <w:t>4.1.1.2</w:t>
      </w:r>
      <w:r w:rsidR="00D43017">
        <w:fldChar w:fldCharType="end"/>
      </w:r>
      <w:r w:rsidR="00D43017">
        <w:t xml:space="preserve"> </w:t>
      </w:r>
      <w:r w:rsidRPr="009F5394">
        <w:t>for RAS). Here, the mean e.i.r.p. above 0° elevation shall be limited to 12 dBm (8 dB below the maximum mean e.i.r.p. of 20 dBm). This consideration led to this single-entry case 4.</w:t>
      </w:r>
    </w:p>
    <w:p w14:paraId="5AC79DF0" w14:textId="77777777" w:rsidR="00011766" w:rsidRDefault="00011766" w:rsidP="00011766">
      <w:pPr>
        <w:pStyle w:val="ECCNumberedList"/>
      </w:pPr>
      <w:bookmarkStart w:id="630" w:name="_Ref67579943"/>
      <w:r w:rsidRPr="00710730">
        <w:t>Single-</w:t>
      </w:r>
      <w:r>
        <w:t>e</w:t>
      </w:r>
      <w:r w:rsidRPr="00710730">
        <w:t xml:space="preserve">ntry </w:t>
      </w:r>
      <w:r>
        <w:t>c</w:t>
      </w:r>
      <w:r w:rsidRPr="00710730">
        <w:t>ase 4</w:t>
      </w:r>
      <w:bookmarkEnd w:id="630"/>
    </w:p>
    <w:p w14:paraId="3702D981" w14:textId="77777777" w:rsidR="00D647BA" w:rsidRDefault="00D647BA" w:rsidP="00C35059">
      <w:pPr>
        <w:pStyle w:val="ECCBulletsLv2"/>
      </w:pPr>
      <w:r>
        <w:t xml:space="preserve">Only </w:t>
      </w:r>
      <w:r w:rsidRPr="00483497">
        <w:t>for</w:t>
      </w:r>
      <w:r w:rsidRPr="00710730">
        <w:t xml:space="preserve"> </w:t>
      </w:r>
      <w:r w:rsidRPr="00DF2CB6">
        <w:t>fixed</w:t>
      </w:r>
      <w:r>
        <w:t xml:space="preserve"> generic </w:t>
      </w:r>
      <w:r w:rsidRPr="00DF2CB6">
        <w:t xml:space="preserve">indoor </w:t>
      </w:r>
      <w:r>
        <w:t xml:space="preserve">surveillance radar </w:t>
      </w:r>
      <w:r w:rsidRPr="00DF2CB6">
        <w:t>devices</w:t>
      </w:r>
      <w:r>
        <w:t>.</w:t>
      </w:r>
    </w:p>
    <w:p w14:paraId="035EF120" w14:textId="77777777" w:rsidR="00D647BA" w:rsidRDefault="00D647BA" w:rsidP="00C35059">
      <w:pPr>
        <w:pStyle w:val="ECCBulletsLv2"/>
      </w:pPr>
      <w:r>
        <w:t xml:space="preserve">12 dBm mean e.i.r.p. in the direction of the </w:t>
      </w:r>
      <w:r w:rsidR="008708E5">
        <w:t xml:space="preserve">victim </w:t>
      </w:r>
      <w:r>
        <w:t>FS receiver.</w:t>
      </w:r>
    </w:p>
    <w:p w14:paraId="6C550222" w14:textId="776B1C35" w:rsidR="00011766" w:rsidRPr="00E23172" w:rsidRDefault="00D647BA" w:rsidP="00C35059">
      <w:pPr>
        <w:pStyle w:val="ECCBulletsLv2"/>
      </w:pPr>
      <w:r>
        <w:t xml:space="preserve">Other parameters same as for </w:t>
      </w:r>
      <w:r w:rsidR="002C68A0">
        <w:fldChar w:fldCharType="begin"/>
      </w:r>
      <w:r w:rsidR="002C68A0">
        <w:instrText xml:space="preserve"> REF _Ref67581088 \h </w:instrText>
      </w:r>
      <w:r w:rsidR="002B0AA6">
        <w:instrText xml:space="preserve"> \* MERGEFORMAT </w:instrText>
      </w:r>
      <w:r w:rsidR="002C68A0">
        <w:fldChar w:fldCharType="separate"/>
      </w:r>
      <w:r w:rsidR="0041125F" w:rsidRPr="00710730">
        <w:t>Single-</w:t>
      </w:r>
      <w:r w:rsidR="0041125F" w:rsidRPr="00011766">
        <w:t>entry case 1</w:t>
      </w:r>
      <w:r w:rsidR="002C68A0">
        <w:fldChar w:fldCharType="end"/>
      </w:r>
      <w:r>
        <w:t>.</w:t>
      </w:r>
    </w:p>
    <w:p w14:paraId="143FC452" w14:textId="77777777" w:rsidR="00F10C69" w:rsidRPr="006C1A28" w:rsidRDefault="00F10C69" w:rsidP="00F10C69">
      <w:pPr>
        <w:rPr>
          <w:rStyle w:val="ECCHLunderlined"/>
        </w:rPr>
      </w:pPr>
      <w:r>
        <w:rPr>
          <w:rStyle w:val="ECCHLunderlined"/>
        </w:rPr>
        <w:t>Aggregate</w:t>
      </w:r>
      <w:r w:rsidRPr="006C1A28">
        <w:rPr>
          <w:rStyle w:val="ECCHLunderlined"/>
        </w:rPr>
        <w:t xml:space="preserve"> assessment</w:t>
      </w:r>
    </w:p>
    <w:p w14:paraId="6D5B3BE7" w14:textId="77777777" w:rsidR="00F10C69" w:rsidRDefault="00495823" w:rsidP="001867E1">
      <w:r>
        <w:t xml:space="preserve">For the aggregate in-band assessment </w:t>
      </w:r>
      <w:r w:rsidR="008708E5">
        <w:t xml:space="preserve">the following </w:t>
      </w:r>
      <w:r>
        <w:t>two cases have been distinguished.</w:t>
      </w:r>
    </w:p>
    <w:p w14:paraId="6015FD02" w14:textId="3A41F97A" w:rsidR="00495823" w:rsidRPr="00495823" w:rsidRDefault="00495823" w:rsidP="000B395B">
      <w:pPr>
        <w:pStyle w:val="ECCNumberedList"/>
        <w:numPr>
          <w:ilvl w:val="0"/>
          <w:numId w:val="13"/>
        </w:numPr>
      </w:pPr>
      <w:bookmarkStart w:id="631" w:name="_Ref67581125"/>
      <w:r>
        <w:t>Aggregate</w:t>
      </w:r>
      <w:r w:rsidRPr="00495823">
        <w:t xml:space="preserve"> case 1</w:t>
      </w:r>
      <w:bookmarkEnd w:id="631"/>
      <w:r w:rsidR="00C439E3">
        <w:t>:</w:t>
      </w:r>
    </w:p>
    <w:p w14:paraId="46982BBD" w14:textId="463F9E02" w:rsidR="00495823" w:rsidRDefault="00495823" w:rsidP="009711B3">
      <w:pPr>
        <w:pStyle w:val="ECCBulletsLv2"/>
      </w:pPr>
      <w:r>
        <w:t xml:space="preserve">Only interference scenario 1 was considered as this is the worst-case scenario (see </w:t>
      </w:r>
      <w:r w:rsidR="007A5FC4">
        <w:fldChar w:fldCharType="begin"/>
      </w:r>
      <w:r w:rsidR="007A5FC4">
        <w:instrText xml:space="preserve"> REF _Ref66373493 \h </w:instrText>
      </w:r>
      <w:r w:rsidR="00C439E3">
        <w:instrText xml:space="preserve"> \* MERGEFORMAT </w:instrText>
      </w:r>
      <w:r w:rsidR="007A5FC4">
        <w:fldChar w:fldCharType="separate"/>
      </w:r>
      <w:r w:rsidR="0041125F" w:rsidRPr="005D24D5">
        <w:rPr>
          <w:rStyle w:val="ECCParagraph"/>
        </w:rPr>
        <w:t>Figure </w:t>
      </w:r>
      <w:r w:rsidR="0041125F">
        <w:rPr>
          <w:rStyle w:val="ECCParagraph"/>
          <w:noProof/>
        </w:rPr>
        <w:t>3</w:t>
      </w:r>
      <w:r w:rsidR="007A5FC4">
        <w:fldChar w:fldCharType="end"/>
      </w:r>
      <w:r w:rsidR="007A5FC4">
        <w:t xml:space="preserve">, </w:t>
      </w:r>
      <w:r w:rsidR="007A5FC4">
        <w:fldChar w:fldCharType="begin"/>
      </w:r>
      <w:r w:rsidR="007A5FC4">
        <w:instrText xml:space="preserve"> REF _Ref67582893 \h </w:instrText>
      </w:r>
      <w:r w:rsidR="00C439E3">
        <w:instrText xml:space="preserve"> \* MERGEFORMAT </w:instrText>
      </w:r>
      <w:r w:rsidR="007A5FC4">
        <w:fldChar w:fldCharType="separate"/>
      </w:r>
      <w:r w:rsidR="0041125F" w:rsidRPr="007C3BF5">
        <w:t>Table </w:t>
      </w:r>
      <w:r w:rsidR="0041125F">
        <w:rPr>
          <w:noProof/>
        </w:rPr>
        <w:t>67</w:t>
      </w:r>
      <w:r w:rsidR="007A5FC4">
        <w:fldChar w:fldCharType="end"/>
      </w:r>
      <w:r w:rsidR="007A5FC4">
        <w:t xml:space="preserve"> and </w:t>
      </w:r>
      <w:r w:rsidR="007A5FC4">
        <w:fldChar w:fldCharType="begin"/>
      </w:r>
      <w:r w:rsidR="007A5FC4">
        <w:instrText xml:space="preserve"> REF _Ref67585762 \h </w:instrText>
      </w:r>
      <w:r w:rsidR="00C439E3">
        <w:instrText xml:space="preserve"> \* MERGEFORMAT </w:instrText>
      </w:r>
      <w:r w:rsidR="007A5FC4">
        <w:fldChar w:fldCharType="separate"/>
      </w:r>
      <w:r w:rsidR="0041125F" w:rsidRPr="007C3BF5">
        <w:t>Table </w:t>
      </w:r>
      <w:r w:rsidR="0041125F">
        <w:rPr>
          <w:noProof/>
        </w:rPr>
        <w:t>68</w:t>
      </w:r>
      <w:r w:rsidR="007A5FC4">
        <w:fldChar w:fldCharType="end"/>
      </w:r>
      <w:r>
        <w:t>)</w:t>
      </w:r>
      <w:r w:rsidR="00C439E3">
        <w:t>;</w:t>
      </w:r>
    </w:p>
    <w:p w14:paraId="56D2CEB8" w14:textId="0BEBD333" w:rsidR="008708E5" w:rsidRDefault="008708E5" w:rsidP="009711B3">
      <w:pPr>
        <w:pStyle w:val="ECCBulletsLv2"/>
      </w:pPr>
      <w:r w:rsidRPr="00E23172">
        <w:t xml:space="preserve">Indoor-outdoor </w:t>
      </w:r>
      <w:r>
        <w:t xml:space="preserve">average </w:t>
      </w:r>
      <w:r w:rsidRPr="00E23172">
        <w:t>attenuation of 1</w:t>
      </w:r>
      <w:r>
        <w:t>5</w:t>
      </w:r>
      <w:r w:rsidR="00CF4994">
        <w:t>.5</w:t>
      </w:r>
      <w:r w:rsidRPr="00E23172">
        <w:t> dB</w:t>
      </w:r>
      <w:r>
        <w:t xml:space="preserve"> was considered </w:t>
      </w:r>
      <w:r w:rsidRPr="00E23172">
        <w:t xml:space="preserve">(Model according to </w:t>
      </w:r>
      <w:r>
        <w:t>ITU-R P.2109-1</w:t>
      </w:r>
      <w:r w:rsidRPr="00E23172">
        <w:t xml:space="preserve"> </w:t>
      </w:r>
      <w:r w:rsidRPr="00B50075">
        <w:rPr>
          <w:rStyle w:val="ECCParagraph"/>
        </w:rPr>
        <w:fldChar w:fldCharType="begin"/>
      </w:r>
      <w:r w:rsidRPr="00B50075">
        <w:rPr>
          <w:rStyle w:val="ECCParagraph"/>
        </w:rPr>
        <w:instrText xml:space="preserve"> REF  ITU_R_P_2109_0 \h \w  \* MERGEFORMAT </w:instrText>
      </w:r>
      <w:r w:rsidRPr="00B50075">
        <w:rPr>
          <w:rStyle w:val="ECCParagraph"/>
        </w:rPr>
      </w:r>
      <w:r w:rsidRPr="00B50075">
        <w:rPr>
          <w:rStyle w:val="ECCParagraph"/>
        </w:rPr>
        <w:fldChar w:fldCharType="separate"/>
      </w:r>
      <w:r w:rsidR="004F49F9">
        <w:rPr>
          <w:rStyle w:val="ECCParagraph"/>
        </w:rPr>
        <w:t>[23]</w:t>
      </w:r>
      <w:r w:rsidRPr="00B50075">
        <w:rPr>
          <w:rStyle w:val="ECCParagraph"/>
        </w:rPr>
        <w:fldChar w:fldCharType="end"/>
      </w:r>
      <w:r>
        <w:rPr>
          <w:rStyle w:val="ECCParagraph"/>
        </w:rPr>
        <w:t xml:space="preserve"> </w:t>
      </w:r>
      <w:r w:rsidRPr="00B50075">
        <w:t>with 70</w:t>
      </w:r>
      <w:r w:rsidR="00F800A2">
        <w:t>%</w:t>
      </w:r>
      <w:r w:rsidRPr="00B50075">
        <w:t xml:space="preserve"> traditional and 30</w:t>
      </w:r>
      <w:r w:rsidR="00F800A2">
        <w:t>%</w:t>
      </w:r>
      <w:r w:rsidRPr="00B50075">
        <w:t xml:space="preserve"> energy efficient buildings at 100 GHz and 0° elevation </w:t>
      </w:r>
      <w:r>
        <w:t>was</w:t>
      </w:r>
      <w:r w:rsidRPr="00B50075">
        <w:t xml:space="preserve"> use</w:t>
      </w:r>
      <w:r>
        <w:t>d)</w:t>
      </w:r>
      <w:r w:rsidR="00C439E3">
        <w:t>;</w:t>
      </w:r>
    </w:p>
    <w:p w14:paraId="7051599C" w14:textId="1FC6919F" w:rsidR="008708E5" w:rsidRDefault="008708E5" w:rsidP="009711B3">
      <w:pPr>
        <w:pStyle w:val="ECCBulletsLv2"/>
      </w:pPr>
      <w:r>
        <w:t xml:space="preserve">It was assumed that all indoor devices are in the same location inside the building, i.e. no distribution in the horizontal plane </w:t>
      </w:r>
      <w:r w:rsidR="003E1072">
        <w:t xml:space="preserve">was considered </w:t>
      </w:r>
      <w:r>
        <w:t>and all devices are ideally aligned in the vertical plane (elevation) towards the victim FS receiver</w:t>
      </w:r>
      <w:r w:rsidR="00C439E3">
        <w:t>;</w:t>
      </w:r>
    </w:p>
    <w:p w14:paraId="7BE79DAB" w14:textId="524401A4" w:rsidR="008708E5" w:rsidRDefault="008708E5" w:rsidP="009711B3">
      <w:pPr>
        <w:pStyle w:val="ECCBulletsLv2"/>
      </w:pPr>
      <w:r>
        <w:t>No additional shielding inside the building itself (e.g. internal walls, furniture) has been considered</w:t>
      </w:r>
      <w:r w:rsidR="00C439E3">
        <w:t>;</w:t>
      </w:r>
    </w:p>
    <w:p w14:paraId="7F98ADD1" w14:textId="0B9AA47B" w:rsidR="008708E5" w:rsidRDefault="008708E5" w:rsidP="009711B3">
      <w:pPr>
        <w:pStyle w:val="ECCBulletsLv2"/>
      </w:pPr>
      <w:r>
        <w:t xml:space="preserve">No clutter was assumed </w:t>
      </w:r>
      <w:r w:rsidR="00A603D0">
        <w:t>in</w:t>
      </w:r>
      <w:r>
        <w:t xml:space="preserve"> the first step</w:t>
      </w:r>
      <w:r w:rsidR="00C439E3">
        <w:t>;</w:t>
      </w:r>
    </w:p>
    <w:p w14:paraId="1F511F24" w14:textId="3B8F069D" w:rsidR="008708E5" w:rsidRDefault="00D47F84" w:rsidP="009711B3">
      <w:pPr>
        <w:pStyle w:val="ECCBulletsLv2"/>
      </w:pPr>
      <w:r>
        <w:t>Average</w:t>
      </w:r>
      <w:r w:rsidR="003E1072">
        <w:t xml:space="preserve"> antenna gain of 5 dBi was used </w:t>
      </w:r>
      <w:r>
        <w:t xml:space="preserve">in the aggregate scenario </w:t>
      </w:r>
      <w:r w:rsidR="003E1072">
        <w:t xml:space="preserve">due to the arbitrary orientation in the horizontal plane and due to the antenna pattern mitigation for fixed generic indoor surveillance radars (see </w:t>
      </w:r>
      <w:r w:rsidR="003E1072">
        <w:fldChar w:fldCharType="begin"/>
      </w:r>
      <w:r w:rsidR="003E1072">
        <w:instrText xml:space="preserve"> REF _Ref67579943 \h </w:instrText>
      </w:r>
      <w:r w:rsidR="00C439E3">
        <w:instrText xml:space="preserve"> \* MERGEFORMAT </w:instrText>
      </w:r>
      <w:r w:rsidR="003E1072">
        <w:fldChar w:fldCharType="separate"/>
      </w:r>
      <w:r w:rsidR="0041125F" w:rsidRPr="00710730">
        <w:t>Single-</w:t>
      </w:r>
      <w:r w:rsidR="0041125F">
        <w:t>e</w:t>
      </w:r>
      <w:r w:rsidR="0041125F" w:rsidRPr="00710730">
        <w:t xml:space="preserve">ntry </w:t>
      </w:r>
      <w:r w:rsidR="0041125F">
        <w:t>c</w:t>
      </w:r>
      <w:r w:rsidR="0041125F" w:rsidRPr="00710730">
        <w:t>ase 4</w:t>
      </w:r>
      <w:r w:rsidR="003E1072">
        <w:fldChar w:fldCharType="end"/>
      </w:r>
      <w:r w:rsidR="009711B3">
        <w:t>);</w:t>
      </w:r>
    </w:p>
    <w:p w14:paraId="0624776E" w14:textId="6593C537" w:rsidR="00B1265C" w:rsidRDefault="00B1265C" w:rsidP="009711B3">
      <w:pPr>
        <w:pStyle w:val="ECCBulletsLv2"/>
      </w:pPr>
      <w:r>
        <w:t xml:space="preserve">A duty cycle of </w:t>
      </w:r>
      <w:r w:rsidR="00DC2B87">
        <w:t>10</w:t>
      </w:r>
      <w:r w:rsidR="00F800A2">
        <w:t>%</w:t>
      </w:r>
      <w:r>
        <w:t xml:space="preserve"> was considered</w:t>
      </w:r>
      <w:r w:rsidR="009711B3">
        <w:t>;</w:t>
      </w:r>
    </w:p>
    <w:p w14:paraId="40067826" w14:textId="6D182295" w:rsidR="00B1265C" w:rsidRDefault="00545306" w:rsidP="009711B3">
      <w:pPr>
        <w:pStyle w:val="ECCBulletsLv2"/>
      </w:pPr>
      <w:r>
        <w:t xml:space="preserve">A device density of 5 sensors per house and 3 sensors per flat is assumed (see </w:t>
      </w:r>
      <w:r w:rsidR="009D5FA2">
        <w:t>section</w:t>
      </w:r>
      <w:r>
        <w:t xml:space="preserve"> </w:t>
      </w:r>
      <w:r>
        <w:fldChar w:fldCharType="begin"/>
      </w:r>
      <w:r>
        <w:instrText xml:space="preserve"> REF _Ref67650670 \r \h </w:instrText>
      </w:r>
      <w:r w:rsidR="00C439E3">
        <w:instrText xml:space="preserve"> \* MERGEFORMAT </w:instrText>
      </w:r>
      <w:r>
        <w:fldChar w:fldCharType="separate"/>
      </w:r>
      <w:r w:rsidR="004F49F9">
        <w:t>2.2.1.5</w:t>
      </w:r>
      <w:r>
        <w:fldChar w:fldCharType="end"/>
      </w:r>
      <w:r>
        <w:t>).</w:t>
      </w:r>
    </w:p>
    <w:p w14:paraId="533C24B1" w14:textId="77777777" w:rsidR="00D47F84" w:rsidRDefault="009F5394" w:rsidP="00D47F84">
      <w:r>
        <w:t>Note</w:t>
      </w:r>
      <w:r w:rsidR="00D47F84">
        <w:t xml:space="preserve">: To reflect the possibility that the interferer devices could be located on different floors within the building, the change in the misalignment towards the FS receiver main beam direction and the related impact on the FS-antenna gain was assessed. This parameter was </w:t>
      </w:r>
      <w:r w:rsidR="00B1265C">
        <w:t xml:space="preserve">then </w:t>
      </w:r>
      <w:r w:rsidR="00D47F84">
        <w:t>used to calculate the necessary separation distance for a single indoor device.</w:t>
      </w:r>
    </w:p>
    <w:p w14:paraId="455880CD" w14:textId="3147DEA2" w:rsidR="00495823" w:rsidRDefault="00495823" w:rsidP="00495823">
      <w:pPr>
        <w:pStyle w:val="ECCNumberedList"/>
      </w:pPr>
      <w:bookmarkStart w:id="632" w:name="_Ref67588316"/>
      <w:r>
        <w:t>Aggregate</w:t>
      </w:r>
      <w:r w:rsidRPr="00495823">
        <w:t xml:space="preserve"> case </w:t>
      </w:r>
      <w:r>
        <w:t>2</w:t>
      </w:r>
      <w:bookmarkEnd w:id="632"/>
      <w:r w:rsidR="009711B3">
        <w:t>:</w:t>
      </w:r>
    </w:p>
    <w:p w14:paraId="6F5224E4" w14:textId="09B943FB" w:rsidR="002C68A0" w:rsidRDefault="002C68A0" w:rsidP="009711B3">
      <w:pPr>
        <w:pStyle w:val="ECCBulletsLv2"/>
      </w:pPr>
      <w:r>
        <w:t>21</w:t>
      </w:r>
      <w:r w:rsidR="00CF4994">
        <w:t>.8</w:t>
      </w:r>
      <w:r>
        <w:t xml:space="preserve"> dB clutter loss (Model according to ITU-R P.2108-0 </w:t>
      </w:r>
      <w:r w:rsidR="002B0AA6">
        <w:rPr>
          <w:rStyle w:val="ECCParagraph"/>
        </w:rPr>
        <w:t>,</w:t>
      </w:r>
      <w:r>
        <w:rPr>
          <w:rStyle w:val="ECCParagraph"/>
        </w:rPr>
        <w:t xml:space="preserve"> </w:t>
      </w:r>
      <w:r>
        <w:t>section 3.2</w:t>
      </w:r>
      <w:r w:rsidR="002B0AA6">
        <w:t xml:space="preserve"> </w:t>
      </w:r>
      <w:r w:rsidR="002B0AA6">
        <w:rPr>
          <w:rStyle w:val="ECCParagraph"/>
        </w:rPr>
        <w:fldChar w:fldCharType="begin"/>
      </w:r>
      <w:r w:rsidR="002B0AA6">
        <w:rPr>
          <w:rStyle w:val="ECCParagraph"/>
        </w:rPr>
        <w:instrText xml:space="preserve"> REF  ITU_R_P_2108_0 \h \w  \* MERGEFORMAT </w:instrText>
      </w:r>
      <w:r w:rsidR="002B0AA6">
        <w:rPr>
          <w:rStyle w:val="ECCParagraph"/>
        </w:rPr>
      </w:r>
      <w:r w:rsidR="002B0AA6">
        <w:rPr>
          <w:rStyle w:val="ECCParagraph"/>
        </w:rPr>
        <w:fldChar w:fldCharType="separate"/>
      </w:r>
      <w:r w:rsidR="004F49F9">
        <w:rPr>
          <w:rStyle w:val="ECCParagraph"/>
        </w:rPr>
        <w:t>[25]</w:t>
      </w:r>
      <w:r w:rsidR="002B0AA6">
        <w:rPr>
          <w:rStyle w:val="ECCParagraph"/>
        </w:rPr>
        <w:fldChar w:fldCharType="end"/>
      </w:r>
      <w:r>
        <w:t xml:space="preserve"> for </w:t>
      </w:r>
      <w:r w:rsidR="00766519">
        <w:t>67</w:t>
      </w:r>
      <w:r>
        <w:t> GHz and a path length of 300 m. The current ITU model is only valid up to 67 GHz. At higher frequencies, also a higher clutter loss can be assumed)</w:t>
      </w:r>
      <w:r w:rsidR="009711B3">
        <w:t>;</w:t>
      </w:r>
    </w:p>
    <w:p w14:paraId="3D5E38A9" w14:textId="2FF7D4B9" w:rsidR="002C68A0" w:rsidRPr="002C68A0" w:rsidRDefault="002C68A0" w:rsidP="009711B3">
      <w:pPr>
        <w:pStyle w:val="ECCBulletsLv2"/>
      </w:pPr>
      <w:r w:rsidRPr="002C68A0">
        <w:t xml:space="preserve">Other parameters same as for </w:t>
      </w:r>
      <w:r>
        <w:fldChar w:fldCharType="begin"/>
      </w:r>
      <w:r>
        <w:instrText xml:space="preserve"> REF _Ref67581125 \h </w:instrText>
      </w:r>
      <w:r w:rsidR="009711B3">
        <w:instrText xml:space="preserve"> \* MERGEFORMAT </w:instrText>
      </w:r>
      <w:r>
        <w:fldChar w:fldCharType="separate"/>
      </w:r>
      <w:r w:rsidR="0041125F">
        <w:t>Aggregate</w:t>
      </w:r>
      <w:r w:rsidR="0041125F" w:rsidRPr="00495823">
        <w:t xml:space="preserve"> case 1</w:t>
      </w:r>
      <w:r>
        <w:fldChar w:fldCharType="end"/>
      </w:r>
      <w:r w:rsidRPr="002C68A0">
        <w:t>.</w:t>
      </w:r>
    </w:p>
    <w:p w14:paraId="62B092B8" w14:textId="08EB98C4" w:rsidR="007C0AE4" w:rsidRDefault="007C0AE4" w:rsidP="007C0AE4">
      <w:r>
        <w:t xml:space="preserve">Based on these two aggregate cases the results for the aggregate consideration </w:t>
      </w:r>
      <w:r w:rsidR="00B607BE">
        <w:t xml:space="preserve">are </w:t>
      </w:r>
      <w:r>
        <w:t>evaluated as follows:</w:t>
      </w:r>
    </w:p>
    <w:p w14:paraId="2AF98931" w14:textId="77777777" w:rsidR="007C0AE4" w:rsidRDefault="007C0AE4" w:rsidP="007C0AE4">
      <w:r>
        <w:t xml:space="preserve">Step1: </w:t>
      </w:r>
      <w:r w:rsidR="00A603D0">
        <w:t>First, a</w:t>
      </w:r>
      <w:r w:rsidR="008D7957">
        <w:t xml:space="preserve"> possible floor within the building </w:t>
      </w:r>
      <w:r w:rsidR="00A603D0">
        <w:t>is</w:t>
      </w:r>
      <w:r w:rsidR="008D7957">
        <w:t xml:space="preserve"> chosen.</w:t>
      </w:r>
    </w:p>
    <w:p w14:paraId="4210E94E" w14:textId="77777777" w:rsidR="00A603D0" w:rsidRDefault="00A603D0" w:rsidP="00A603D0">
      <w:r>
        <w:t>Step 2: Calculation of the of the separation distance of a single device with an average antenna gain of 5 dBi.</w:t>
      </w:r>
    </w:p>
    <w:p w14:paraId="1DD31A46" w14:textId="77777777" w:rsidR="008D7957" w:rsidRDefault="007C0AE4" w:rsidP="007C0AE4">
      <w:r>
        <w:t>Step</w:t>
      </w:r>
      <w:r w:rsidR="00A603D0">
        <w:t xml:space="preserve"> 3</w:t>
      </w:r>
      <w:r>
        <w:t xml:space="preserve">: </w:t>
      </w:r>
      <w:r w:rsidR="00A603D0">
        <w:t xml:space="preserve">Increase </w:t>
      </w:r>
      <w:r w:rsidR="008D7957">
        <w:t xml:space="preserve">of the maximum mean e.i.r.p. of </w:t>
      </w:r>
      <w:r w:rsidR="00A603D0">
        <w:t>the</w:t>
      </w:r>
      <w:r w:rsidR="008D7957">
        <w:t xml:space="preserve"> single </w:t>
      </w:r>
      <w:r w:rsidR="00171AB8">
        <w:t xml:space="preserve">device with an average antenna gain </w:t>
      </w:r>
      <w:r w:rsidR="00A603D0">
        <w:t>of 5 dBi up to</w:t>
      </w:r>
      <w:r w:rsidR="008D7957">
        <w:t xml:space="preserve"> a separation distance of 300 m </w:t>
      </w:r>
      <w:r w:rsidR="00171AB8">
        <w:t>(border case for interference towards the FS system)</w:t>
      </w:r>
      <w:r w:rsidR="008D7957">
        <w:t>.</w:t>
      </w:r>
    </w:p>
    <w:p w14:paraId="46A3A71A" w14:textId="77777777" w:rsidR="007C0AE4" w:rsidRDefault="007C0AE4" w:rsidP="007C0AE4">
      <w:r>
        <w:t xml:space="preserve">Step 4: </w:t>
      </w:r>
      <w:r w:rsidR="00171AB8">
        <w:t>T</w:t>
      </w:r>
      <w:r>
        <w:t xml:space="preserve">he </w:t>
      </w:r>
      <w:r w:rsidR="008C0C73">
        <w:t>determined power increase</w:t>
      </w:r>
      <w:r>
        <w:t xml:space="preserve"> </w:t>
      </w:r>
      <w:r w:rsidR="008C0C73">
        <w:t>in</w:t>
      </w:r>
      <w:r>
        <w:t xml:space="preserve"> step 3 </w:t>
      </w:r>
      <w:r w:rsidR="008C0C73">
        <w:t xml:space="preserve">is equivalent to the aggregation of a specific number of interfering generic indoor surveillance radars. This number is calculated assuming an ideal power summation </w:t>
      </w:r>
      <w:r w:rsidR="007E5260">
        <w:t>of all interfering devices.</w:t>
      </w:r>
    </w:p>
    <w:p w14:paraId="0F4E68B7" w14:textId="23BAB904" w:rsidR="008A7E30" w:rsidRPr="009D06DF" w:rsidRDefault="008A7E30" w:rsidP="007C0AE4">
      <w:r>
        <w:t xml:space="preserve">Step 5: The obtained overall number of aggregated devices is compared to the assumption in </w:t>
      </w:r>
      <w:r w:rsidR="009D5FA2">
        <w:t>section</w:t>
      </w:r>
      <w:r>
        <w:t xml:space="preserve"> </w:t>
      </w:r>
      <w:r>
        <w:fldChar w:fldCharType="begin"/>
      </w:r>
      <w:r>
        <w:instrText xml:space="preserve"> REF _Ref67650670 \r \h </w:instrText>
      </w:r>
      <w:r>
        <w:fldChar w:fldCharType="separate"/>
      </w:r>
      <w:r w:rsidR="004F49F9">
        <w:t>2.2.1.5</w:t>
      </w:r>
      <w:r>
        <w:fldChar w:fldCharType="end"/>
      </w:r>
      <w:r>
        <w:t xml:space="preserve"> (5 sensors per house and 3 sensors per flat).</w:t>
      </w:r>
    </w:p>
    <w:p w14:paraId="4E13E6E8" w14:textId="77777777" w:rsidR="00DD24BD" w:rsidRPr="00B43787" w:rsidRDefault="00DD24BD" w:rsidP="00DD24BD">
      <w:pPr>
        <w:pStyle w:val="Heading3"/>
      </w:pPr>
      <w:bookmarkStart w:id="633" w:name="_Toc84325383"/>
      <w:bookmarkStart w:id="634" w:name="_Toc127346305"/>
      <w:r>
        <w:t>Results</w:t>
      </w:r>
      <w:bookmarkEnd w:id="633"/>
      <w:bookmarkEnd w:id="634"/>
    </w:p>
    <w:p w14:paraId="6C8E357C" w14:textId="1BC261AB" w:rsidR="00171AB8" w:rsidRDefault="007A46C3" w:rsidP="00171AB8">
      <w:r>
        <w:fldChar w:fldCharType="begin"/>
      </w:r>
      <w:r>
        <w:instrText xml:space="preserve"> REF _Ref67582893 \h </w:instrText>
      </w:r>
      <w:r>
        <w:fldChar w:fldCharType="separate"/>
      </w:r>
      <w:r w:rsidR="0041125F" w:rsidRPr="007C3BF5">
        <w:t>Table </w:t>
      </w:r>
      <w:r w:rsidR="0041125F">
        <w:rPr>
          <w:noProof/>
        </w:rPr>
        <w:t>67</w:t>
      </w:r>
      <w:r>
        <w:fldChar w:fldCharType="end"/>
      </w:r>
      <w:r>
        <w:t xml:space="preserve"> </w:t>
      </w:r>
      <w:r w:rsidR="00171AB8" w:rsidRPr="00B10E31">
        <w:t xml:space="preserve">shows the single-entry </w:t>
      </w:r>
      <w:r w:rsidR="00171AB8">
        <w:t>worst</w:t>
      </w:r>
      <w:r w:rsidR="00171AB8" w:rsidRPr="00B10E31">
        <w:t xml:space="preserve">-case results for </w:t>
      </w:r>
      <w:r w:rsidR="00171AB8">
        <w:t xml:space="preserve">the generic indoor surveillance radar application for the in-band consideration </w:t>
      </w:r>
      <w:r w:rsidR="007E2DE1">
        <w:t>within the frequency range 141 to 148</w:t>
      </w:r>
      <w:r w:rsidR="00CF4994">
        <w:t>.5</w:t>
      </w:r>
      <w:r w:rsidR="007E2DE1">
        <w:t> GHz</w:t>
      </w:r>
      <w:r w:rsidR="00361238">
        <w:t>, i.e. the largest separation distances,</w:t>
      </w:r>
      <w:r w:rsidR="00171AB8" w:rsidRPr="00B10E31">
        <w:t xml:space="preserve"> and FS victim receivers distinguished between the long</w:t>
      </w:r>
      <w:r w:rsidR="00171AB8">
        <w:t>-</w:t>
      </w:r>
      <w:r w:rsidR="00171AB8" w:rsidRPr="00B10E31">
        <w:t>term objective and the peak power objective.</w:t>
      </w:r>
    </w:p>
    <w:p w14:paraId="26A6C2C5" w14:textId="087AE99A" w:rsidR="007E2DE1" w:rsidRDefault="007A46C3" w:rsidP="007E2DE1">
      <w:pPr>
        <w:pStyle w:val="Caption"/>
      </w:pPr>
      <w:bookmarkStart w:id="635" w:name="_Ref67582893"/>
      <w:r w:rsidRPr="007C3BF5">
        <w:t>Table </w:t>
      </w:r>
      <w:r w:rsidRPr="00240396">
        <w:fldChar w:fldCharType="begin"/>
      </w:r>
      <w:r>
        <w:instrText xml:space="preserve"> SEQ Table \* ARABIC </w:instrText>
      </w:r>
      <w:r w:rsidRPr="00240396">
        <w:fldChar w:fldCharType="separate"/>
      </w:r>
      <w:r w:rsidR="004F49F9">
        <w:rPr>
          <w:noProof/>
        </w:rPr>
        <w:t>67</w:t>
      </w:r>
      <w:r w:rsidRPr="00240396">
        <w:fldChar w:fldCharType="end"/>
      </w:r>
      <w:bookmarkEnd w:id="635"/>
      <w:r w:rsidR="007E2DE1" w:rsidRPr="002876E6">
        <w:t xml:space="preserve">: Required separation distances determined in a single-entry study for </w:t>
      </w:r>
      <w:r w:rsidR="007E2DE1">
        <w:t>generic indoor surveillance radar</w:t>
      </w:r>
      <w:r>
        <w:t xml:space="preserve"> within the frequency band 141 to 148</w:t>
      </w:r>
      <w:r w:rsidR="00CF4994">
        <w:t>.5</w:t>
      </w:r>
      <w:r>
        <w:t> GHz (in-band case)</w:t>
      </w:r>
    </w:p>
    <w:tbl>
      <w:tblPr>
        <w:tblStyle w:val="ECCTable-redheader"/>
        <w:tblW w:w="5000" w:type="pct"/>
        <w:tblInd w:w="0" w:type="dxa"/>
        <w:tblLook w:val="04A0" w:firstRow="1" w:lastRow="0" w:firstColumn="1" w:lastColumn="0" w:noHBand="0" w:noVBand="1"/>
      </w:tblPr>
      <w:tblGrid>
        <w:gridCol w:w="2069"/>
        <w:gridCol w:w="1277"/>
        <w:gridCol w:w="1596"/>
        <w:gridCol w:w="1595"/>
        <w:gridCol w:w="1596"/>
        <w:gridCol w:w="1496"/>
      </w:tblGrid>
      <w:tr w:rsidR="000946A0" w14:paraId="096F11D3" w14:textId="77777777" w:rsidTr="00A221E3">
        <w:trPr>
          <w:cnfStyle w:val="100000000000" w:firstRow="1" w:lastRow="0" w:firstColumn="0" w:lastColumn="0" w:oddVBand="0" w:evenVBand="0" w:oddHBand="0" w:evenHBand="0" w:firstRowFirstColumn="0" w:firstRowLastColumn="0" w:lastRowFirstColumn="0" w:lastRowLastColumn="0"/>
        </w:trPr>
        <w:tc>
          <w:tcPr>
            <w:tcW w:w="1074" w:type="pct"/>
            <w:vMerge w:val="restart"/>
            <w:tcBorders>
              <w:top w:val="single" w:sz="4" w:space="0" w:color="FF0000"/>
              <w:left w:val="single" w:sz="4" w:space="0" w:color="FF0000"/>
            </w:tcBorders>
          </w:tcPr>
          <w:p w14:paraId="668AC89F" w14:textId="77777777" w:rsidR="000946A0" w:rsidRPr="000946A0" w:rsidRDefault="000946A0" w:rsidP="00876039">
            <w:pPr>
              <w:pStyle w:val="ECCTableHeaderwhitefont"/>
            </w:pPr>
            <w:r>
              <w:t>Device</w:t>
            </w:r>
            <w:r w:rsidRPr="000946A0">
              <w:t xml:space="preserve"> type</w:t>
            </w:r>
          </w:p>
        </w:tc>
        <w:tc>
          <w:tcPr>
            <w:tcW w:w="663" w:type="pct"/>
            <w:vMerge w:val="restart"/>
            <w:tcBorders>
              <w:top w:val="single" w:sz="4" w:space="0" w:color="FF0000"/>
              <w:bottom w:val="single" w:sz="4" w:space="0" w:color="FF0000"/>
            </w:tcBorders>
          </w:tcPr>
          <w:p w14:paraId="753F596B" w14:textId="77777777" w:rsidR="000946A0" w:rsidRPr="000946A0" w:rsidRDefault="000946A0" w:rsidP="000A69BD">
            <w:pPr>
              <w:pStyle w:val="ECCTableHeaderwhitefont"/>
            </w:pPr>
            <w:r>
              <w:rPr>
                <w:rStyle w:val="ECCParagraph"/>
              </w:rPr>
              <w:t>Single-entry case</w:t>
            </w:r>
          </w:p>
        </w:tc>
        <w:tc>
          <w:tcPr>
            <w:tcW w:w="1657" w:type="pct"/>
            <w:gridSpan w:val="2"/>
            <w:tcBorders>
              <w:top w:val="single" w:sz="4" w:space="0" w:color="FF0000"/>
              <w:bottom w:val="single" w:sz="4" w:space="0" w:color="FFFFFF" w:themeColor="background1"/>
            </w:tcBorders>
          </w:tcPr>
          <w:p w14:paraId="1A566006" w14:textId="77777777" w:rsidR="000946A0" w:rsidRPr="000946A0" w:rsidRDefault="000946A0" w:rsidP="000A69BD">
            <w:pPr>
              <w:pStyle w:val="ECCTableHeaderwhitefont"/>
            </w:pPr>
            <w:r w:rsidRPr="00B10E31">
              <w:t>Required</w:t>
            </w:r>
            <w:r w:rsidRPr="000946A0">
              <w:t xml:space="preserve"> separation distance for scenario 1 (Note 1)</w:t>
            </w:r>
          </w:p>
        </w:tc>
        <w:tc>
          <w:tcPr>
            <w:tcW w:w="1607" w:type="pct"/>
            <w:gridSpan w:val="2"/>
            <w:tcBorders>
              <w:top w:val="single" w:sz="4" w:space="0" w:color="FF0000"/>
              <w:bottom w:val="single" w:sz="4" w:space="0" w:color="FFFFFF" w:themeColor="background1"/>
              <w:right w:val="single" w:sz="4" w:space="0" w:color="FF0000"/>
            </w:tcBorders>
          </w:tcPr>
          <w:p w14:paraId="7EAE8D48" w14:textId="77777777" w:rsidR="000946A0" w:rsidRPr="000946A0" w:rsidRDefault="000946A0" w:rsidP="000A69BD">
            <w:pPr>
              <w:pStyle w:val="ECCTableHeaderwhitefont"/>
            </w:pPr>
            <w:r w:rsidRPr="00B10E31">
              <w:t>Required</w:t>
            </w:r>
            <w:r w:rsidRPr="000946A0">
              <w:t xml:space="preserve"> separation distance for scenario 2 (Note 1)</w:t>
            </w:r>
          </w:p>
        </w:tc>
      </w:tr>
      <w:tr w:rsidR="000946A0" w14:paraId="62E6361C" w14:textId="77777777" w:rsidTr="00A221E3">
        <w:tc>
          <w:tcPr>
            <w:tcW w:w="1074" w:type="pct"/>
            <w:vMerge/>
            <w:tcBorders>
              <w:left w:val="single" w:sz="4" w:space="0" w:color="FF0000"/>
              <w:right w:val="single" w:sz="4" w:space="0" w:color="FFFFFF" w:themeColor="background1"/>
            </w:tcBorders>
          </w:tcPr>
          <w:p w14:paraId="050B7923" w14:textId="77777777" w:rsidR="000946A0" w:rsidRPr="00213B63" w:rsidRDefault="000946A0" w:rsidP="000946A0">
            <w:pPr>
              <w:pStyle w:val="ECCTableHeaderwhitefont"/>
            </w:pPr>
          </w:p>
        </w:tc>
        <w:tc>
          <w:tcPr>
            <w:tcW w:w="663" w:type="pct"/>
            <w:vMerge/>
            <w:tcBorders>
              <w:left w:val="single" w:sz="4" w:space="0" w:color="FFFFFF" w:themeColor="background1"/>
              <w:bottom w:val="single" w:sz="4" w:space="0" w:color="FF0000"/>
              <w:right w:val="single" w:sz="4" w:space="0" w:color="FFFFFF" w:themeColor="background1"/>
            </w:tcBorders>
          </w:tcPr>
          <w:p w14:paraId="2432F102" w14:textId="77777777" w:rsidR="000946A0" w:rsidRPr="00213B63" w:rsidRDefault="000946A0" w:rsidP="000946A0">
            <w:pPr>
              <w:pStyle w:val="ECCTableHeaderwhitefont"/>
            </w:pPr>
          </w:p>
        </w:tc>
        <w:tc>
          <w:tcPr>
            <w:tcW w:w="829" w:type="pct"/>
            <w:tcBorders>
              <w:top w:val="single" w:sz="4" w:space="0" w:color="FFFFFF" w:themeColor="background1"/>
              <w:left w:val="single" w:sz="4" w:space="0" w:color="FFFFFF" w:themeColor="background1"/>
              <w:bottom w:val="single" w:sz="4" w:space="0" w:color="FF0000"/>
              <w:right w:val="single" w:sz="4" w:space="0" w:color="FFFFFF" w:themeColor="background1"/>
            </w:tcBorders>
            <w:shd w:val="clear" w:color="auto" w:fill="D22A23"/>
          </w:tcPr>
          <w:p w14:paraId="5154A388" w14:textId="7EB917F5" w:rsidR="000946A0" w:rsidRPr="00A221E3" w:rsidRDefault="000946A0" w:rsidP="00876039">
            <w:pPr>
              <w:pStyle w:val="ECCTableHeaderwhitefont"/>
              <w:rPr>
                <w:b/>
                <w:bCs w:val="0"/>
              </w:rPr>
            </w:pPr>
            <w:r w:rsidRPr="00A221E3">
              <w:rPr>
                <w:b/>
                <w:bCs w:val="0"/>
              </w:rPr>
              <w:t>Long</w:t>
            </w:r>
            <w:r w:rsidR="00A221E3" w:rsidRPr="00A221E3">
              <w:rPr>
                <w:b/>
                <w:bCs w:val="0"/>
              </w:rPr>
              <w:t>-</w:t>
            </w:r>
            <w:r w:rsidRPr="00A221E3">
              <w:rPr>
                <w:b/>
                <w:bCs w:val="0"/>
              </w:rPr>
              <w:t>term objective</w:t>
            </w:r>
          </w:p>
        </w:tc>
        <w:tc>
          <w:tcPr>
            <w:tcW w:w="828"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7126F06" w14:textId="1DD8FFA0" w:rsidR="000946A0" w:rsidRPr="00A221E3" w:rsidRDefault="000946A0" w:rsidP="000A69BD">
            <w:pPr>
              <w:pStyle w:val="ECCTableHeaderwhitefont"/>
              <w:rPr>
                <w:b/>
                <w:bCs w:val="0"/>
              </w:rPr>
            </w:pPr>
            <w:r w:rsidRPr="00A221E3">
              <w:rPr>
                <w:b/>
                <w:bCs w:val="0"/>
              </w:rPr>
              <w:t>Peak</w:t>
            </w:r>
            <w:r w:rsidR="00A221E3" w:rsidRPr="00A221E3">
              <w:rPr>
                <w:b/>
                <w:bCs w:val="0"/>
              </w:rPr>
              <w:t>-</w:t>
            </w:r>
            <w:r w:rsidRPr="00A221E3">
              <w:rPr>
                <w:b/>
                <w:bCs w:val="0"/>
              </w:rPr>
              <w:t>power objective</w:t>
            </w:r>
          </w:p>
        </w:tc>
        <w:tc>
          <w:tcPr>
            <w:tcW w:w="829"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593A121E" w14:textId="2BC94F73" w:rsidR="000946A0" w:rsidRPr="00A221E3" w:rsidRDefault="000946A0" w:rsidP="000A69BD">
            <w:pPr>
              <w:pStyle w:val="ECCTableHeaderwhitefont"/>
              <w:rPr>
                <w:b/>
                <w:bCs w:val="0"/>
              </w:rPr>
            </w:pPr>
            <w:r w:rsidRPr="00A221E3">
              <w:rPr>
                <w:b/>
                <w:bCs w:val="0"/>
              </w:rPr>
              <w:t>Long</w:t>
            </w:r>
            <w:r w:rsidR="00A221E3">
              <w:rPr>
                <w:b/>
                <w:bCs w:val="0"/>
              </w:rPr>
              <w:t>-</w:t>
            </w:r>
            <w:r w:rsidRPr="00A221E3">
              <w:rPr>
                <w:b/>
                <w:bCs w:val="0"/>
              </w:rPr>
              <w:t>term objective</w:t>
            </w:r>
          </w:p>
        </w:tc>
        <w:tc>
          <w:tcPr>
            <w:tcW w:w="778" w:type="pct"/>
            <w:tcBorders>
              <w:top w:val="single" w:sz="4" w:space="0" w:color="FFFFFF" w:themeColor="background1"/>
              <w:left w:val="single" w:sz="4" w:space="0" w:color="FFFFFF" w:themeColor="background1"/>
              <w:bottom w:val="nil"/>
              <w:right w:val="single" w:sz="4" w:space="0" w:color="FF0000"/>
            </w:tcBorders>
            <w:shd w:val="clear" w:color="auto" w:fill="D22A23"/>
          </w:tcPr>
          <w:p w14:paraId="23D5FA0B" w14:textId="520C4479" w:rsidR="000946A0" w:rsidRPr="00A221E3" w:rsidRDefault="000946A0" w:rsidP="000A69BD">
            <w:pPr>
              <w:pStyle w:val="ECCTableHeaderwhitefont"/>
              <w:rPr>
                <w:b/>
                <w:bCs w:val="0"/>
              </w:rPr>
            </w:pPr>
            <w:r w:rsidRPr="00A221E3">
              <w:rPr>
                <w:b/>
                <w:bCs w:val="0"/>
              </w:rPr>
              <w:t>Peak</w:t>
            </w:r>
            <w:r w:rsidR="00A221E3" w:rsidRPr="00A221E3">
              <w:rPr>
                <w:b/>
                <w:bCs w:val="0"/>
              </w:rPr>
              <w:t>-</w:t>
            </w:r>
            <w:r w:rsidRPr="00A221E3">
              <w:rPr>
                <w:b/>
                <w:bCs w:val="0"/>
              </w:rPr>
              <w:t>power objective</w:t>
            </w:r>
          </w:p>
        </w:tc>
      </w:tr>
      <w:tr w:rsidR="000946A0" w14:paraId="2CB46A4E" w14:textId="77777777" w:rsidTr="00A221E3">
        <w:tc>
          <w:tcPr>
            <w:tcW w:w="1074" w:type="pct"/>
            <w:tcBorders>
              <w:left w:val="single" w:sz="4" w:space="0" w:color="FF0000"/>
            </w:tcBorders>
          </w:tcPr>
          <w:p w14:paraId="34B6C044" w14:textId="0FA9EE42" w:rsidR="000946A0" w:rsidRPr="000946A0" w:rsidRDefault="009D5FA2" w:rsidP="000A69BD">
            <w:pPr>
              <w:pStyle w:val="ECCTabletext"/>
              <w:jc w:val="left"/>
            </w:pPr>
            <w:r>
              <w:rPr>
                <w:rStyle w:val="ECCParagraph"/>
              </w:rPr>
              <w:t>Hand-held</w:t>
            </w:r>
            <w:r w:rsidR="000946A0" w:rsidRPr="000946A0">
              <w:rPr>
                <w:rStyle w:val="ECCParagraph"/>
              </w:rPr>
              <w:t>/mobile</w:t>
            </w:r>
          </w:p>
        </w:tc>
        <w:tc>
          <w:tcPr>
            <w:tcW w:w="663" w:type="pct"/>
          </w:tcPr>
          <w:p w14:paraId="61FAC05A" w14:textId="77777777" w:rsidR="000946A0" w:rsidRPr="000946A0" w:rsidRDefault="000946A0" w:rsidP="000A69BD">
            <w:pPr>
              <w:pStyle w:val="ECCTabletext"/>
              <w:jc w:val="left"/>
            </w:pPr>
            <w:r>
              <w:t>1</w:t>
            </w:r>
          </w:p>
        </w:tc>
        <w:tc>
          <w:tcPr>
            <w:tcW w:w="829" w:type="pct"/>
          </w:tcPr>
          <w:p w14:paraId="6BB219C1" w14:textId="77777777" w:rsidR="000946A0" w:rsidRPr="000946A0" w:rsidRDefault="000946A0" w:rsidP="000A69BD">
            <w:pPr>
              <w:pStyle w:val="ECCTabletext"/>
              <w:jc w:val="left"/>
            </w:pPr>
            <w:r w:rsidRPr="007A46C3">
              <w:rPr>
                <w:rStyle w:val="ECCParagraph"/>
              </w:rPr>
              <w:t>290</w:t>
            </w:r>
            <w:r w:rsidRPr="000946A0">
              <w:rPr>
                <w:rStyle w:val="ECCParagraph"/>
              </w:rPr>
              <w:t> m</w:t>
            </w:r>
          </w:p>
        </w:tc>
        <w:tc>
          <w:tcPr>
            <w:tcW w:w="828" w:type="pct"/>
          </w:tcPr>
          <w:p w14:paraId="2A92F1E2" w14:textId="77777777" w:rsidR="000946A0" w:rsidRPr="000946A0" w:rsidRDefault="000946A0" w:rsidP="000A69BD">
            <w:pPr>
              <w:pStyle w:val="ECCTabletext"/>
              <w:jc w:val="left"/>
            </w:pPr>
            <w:r w:rsidRPr="007A46C3">
              <w:rPr>
                <w:rStyle w:val="ECCParagraph"/>
              </w:rPr>
              <w:t>53</w:t>
            </w:r>
            <w:r w:rsidRPr="000946A0">
              <w:rPr>
                <w:rStyle w:val="ECCParagraph"/>
              </w:rPr>
              <w:t> m</w:t>
            </w:r>
          </w:p>
        </w:tc>
        <w:tc>
          <w:tcPr>
            <w:tcW w:w="829" w:type="pct"/>
          </w:tcPr>
          <w:p w14:paraId="62562CD0" w14:textId="77777777" w:rsidR="000946A0" w:rsidRPr="000946A0" w:rsidRDefault="000946A0" w:rsidP="000A69BD">
            <w:pPr>
              <w:pStyle w:val="ECCTabletext"/>
              <w:jc w:val="left"/>
            </w:pPr>
            <w:r w:rsidRPr="007A46C3">
              <w:rPr>
                <w:rStyle w:val="ECCParagraph"/>
              </w:rPr>
              <w:t>34</w:t>
            </w:r>
            <w:r w:rsidRPr="000946A0">
              <w:rPr>
                <w:rStyle w:val="ECCParagraph"/>
              </w:rPr>
              <w:t> m</w:t>
            </w:r>
          </w:p>
        </w:tc>
        <w:tc>
          <w:tcPr>
            <w:tcW w:w="778" w:type="pct"/>
            <w:tcBorders>
              <w:right w:val="single" w:sz="4" w:space="0" w:color="FF0000"/>
            </w:tcBorders>
          </w:tcPr>
          <w:p w14:paraId="1F020CDE" w14:textId="77777777" w:rsidR="000946A0" w:rsidRPr="000946A0" w:rsidRDefault="000946A0" w:rsidP="000A69BD">
            <w:pPr>
              <w:pStyle w:val="ECCTabletext"/>
              <w:jc w:val="left"/>
            </w:pPr>
            <w:r w:rsidRPr="007A46C3">
              <w:rPr>
                <w:rStyle w:val="ECCParagraph"/>
              </w:rPr>
              <w:t>2</w:t>
            </w:r>
            <w:r w:rsidRPr="000946A0">
              <w:rPr>
                <w:rStyle w:val="ECCParagraph"/>
              </w:rPr>
              <w:t> m</w:t>
            </w:r>
          </w:p>
        </w:tc>
      </w:tr>
      <w:tr w:rsidR="000946A0" w14:paraId="24D6A503" w14:textId="77777777" w:rsidTr="00A221E3">
        <w:tc>
          <w:tcPr>
            <w:tcW w:w="1074" w:type="pct"/>
            <w:tcBorders>
              <w:left w:val="single" w:sz="4" w:space="0" w:color="FF0000"/>
              <w:bottom w:val="single" w:sz="4" w:space="0" w:color="FF0000"/>
            </w:tcBorders>
          </w:tcPr>
          <w:p w14:paraId="205EFB05" w14:textId="052611BA" w:rsidR="000946A0" w:rsidRPr="000946A0" w:rsidRDefault="009D5FA2" w:rsidP="000A69BD">
            <w:pPr>
              <w:pStyle w:val="ECCTabletext"/>
              <w:jc w:val="left"/>
            </w:pPr>
            <w:r>
              <w:rPr>
                <w:rStyle w:val="ECCParagraph"/>
              </w:rPr>
              <w:t>Hand-held</w:t>
            </w:r>
            <w:r w:rsidR="000946A0" w:rsidRPr="000946A0">
              <w:rPr>
                <w:rStyle w:val="ECCParagraph"/>
              </w:rPr>
              <w:t>/mobile</w:t>
            </w:r>
          </w:p>
        </w:tc>
        <w:tc>
          <w:tcPr>
            <w:tcW w:w="663" w:type="pct"/>
            <w:tcBorders>
              <w:bottom w:val="single" w:sz="4" w:space="0" w:color="FF0000"/>
            </w:tcBorders>
          </w:tcPr>
          <w:p w14:paraId="76D0A9A2" w14:textId="77777777" w:rsidR="000946A0" w:rsidRPr="000946A0" w:rsidRDefault="000946A0" w:rsidP="000A69BD">
            <w:pPr>
              <w:pStyle w:val="ECCTabletext"/>
              <w:jc w:val="left"/>
            </w:pPr>
            <w:r>
              <w:t>2</w:t>
            </w:r>
          </w:p>
        </w:tc>
        <w:tc>
          <w:tcPr>
            <w:tcW w:w="829" w:type="pct"/>
            <w:tcBorders>
              <w:bottom w:val="single" w:sz="4" w:space="0" w:color="FF0000"/>
            </w:tcBorders>
          </w:tcPr>
          <w:p w14:paraId="3E089C3F" w14:textId="77777777" w:rsidR="000946A0" w:rsidRPr="000946A0" w:rsidRDefault="000946A0" w:rsidP="000A69BD">
            <w:pPr>
              <w:pStyle w:val="ECCTabletext"/>
              <w:jc w:val="left"/>
            </w:pPr>
            <w:r w:rsidRPr="007A46C3">
              <w:rPr>
                <w:rStyle w:val="ECCParagraph"/>
              </w:rPr>
              <w:t>203</w:t>
            </w:r>
            <w:r w:rsidRPr="000946A0">
              <w:rPr>
                <w:rStyle w:val="ECCParagraph"/>
              </w:rPr>
              <w:t> m</w:t>
            </w:r>
          </w:p>
        </w:tc>
        <w:tc>
          <w:tcPr>
            <w:tcW w:w="828" w:type="pct"/>
            <w:tcBorders>
              <w:bottom w:val="single" w:sz="4" w:space="0" w:color="FF0000"/>
            </w:tcBorders>
          </w:tcPr>
          <w:p w14:paraId="6B5EE20B" w14:textId="77777777" w:rsidR="000946A0" w:rsidRPr="000946A0" w:rsidRDefault="000946A0" w:rsidP="000A69BD">
            <w:pPr>
              <w:pStyle w:val="ECCTabletext"/>
              <w:jc w:val="left"/>
            </w:pPr>
            <w:r w:rsidRPr="007A46C3">
              <w:rPr>
                <w:rStyle w:val="ECCParagraph"/>
              </w:rPr>
              <w:t>37</w:t>
            </w:r>
            <w:r w:rsidRPr="000946A0">
              <w:rPr>
                <w:rStyle w:val="ECCParagraph"/>
              </w:rPr>
              <w:t> m</w:t>
            </w:r>
          </w:p>
        </w:tc>
        <w:tc>
          <w:tcPr>
            <w:tcW w:w="829" w:type="pct"/>
            <w:tcBorders>
              <w:bottom w:val="single" w:sz="4" w:space="0" w:color="FF0000"/>
            </w:tcBorders>
          </w:tcPr>
          <w:p w14:paraId="3212B2F0" w14:textId="77777777" w:rsidR="000946A0" w:rsidRPr="000946A0" w:rsidRDefault="000946A0" w:rsidP="000A69BD">
            <w:pPr>
              <w:pStyle w:val="ECCTabletext"/>
              <w:jc w:val="left"/>
            </w:pPr>
            <w:r w:rsidRPr="007A46C3">
              <w:rPr>
                <w:rStyle w:val="ECCParagraph"/>
              </w:rPr>
              <w:t>22</w:t>
            </w:r>
            <w:r w:rsidRPr="000946A0">
              <w:rPr>
                <w:rStyle w:val="ECCParagraph"/>
              </w:rPr>
              <w:t> m</w:t>
            </w:r>
          </w:p>
        </w:tc>
        <w:tc>
          <w:tcPr>
            <w:tcW w:w="778" w:type="pct"/>
            <w:tcBorders>
              <w:bottom w:val="single" w:sz="4" w:space="0" w:color="FF0000"/>
              <w:right w:val="single" w:sz="4" w:space="0" w:color="FF0000"/>
            </w:tcBorders>
          </w:tcPr>
          <w:p w14:paraId="12676D3E" w14:textId="77777777" w:rsidR="000946A0" w:rsidRPr="000946A0" w:rsidRDefault="000946A0" w:rsidP="000A69BD">
            <w:pPr>
              <w:pStyle w:val="ECCTabletext"/>
              <w:jc w:val="left"/>
            </w:pPr>
            <w:r w:rsidRPr="007A46C3">
              <w:rPr>
                <w:rStyle w:val="ECCParagraph"/>
              </w:rPr>
              <w:t>1</w:t>
            </w:r>
            <w:r w:rsidRPr="000946A0">
              <w:rPr>
                <w:rStyle w:val="ECCParagraph"/>
              </w:rPr>
              <w:t> m</w:t>
            </w:r>
          </w:p>
        </w:tc>
      </w:tr>
      <w:tr w:rsidR="000946A0" w14:paraId="6C96E106" w14:textId="77777777" w:rsidTr="00A221E3">
        <w:tc>
          <w:tcPr>
            <w:tcW w:w="1074" w:type="pct"/>
            <w:tcBorders>
              <w:left w:val="single" w:sz="4" w:space="0" w:color="FF0000"/>
              <w:bottom w:val="single" w:sz="4" w:space="0" w:color="FF0000"/>
            </w:tcBorders>
          </w:tcPr>
          <w:p w14:paraId="5985347D" w14:textId="2082C571" w:rsidR="000946A0" w:rsidRPr="000946A0" w:rsidRDefault="009D5FA2" w:rsidP="000A69BD">
            <w:pPr>
              <w:pStyle w:val="ECCTabletext"/>
              <w:jc w:val="left"/>
            </w:pPr>
            <w:r>
              <w:rPr>
                <w:rStyle w:val="ECCParagraph"/>
              </w:rPr>
              <w:t>Hand-held</w:t>
            </w:r>
            <w:r w:rsidR="000946A0" w:rsidRPr="000946A0">
              <w:rPr>
                <w:rStyle w:val="ECCParagraph"/>
              </w:rPr>
              <w:t>/mobile</w:t>
            </w:r>
          </w:p>
        </w:tc>
        <w:tc>
          <w:tcPr>
            <w:tcW w:w="663" w:type="pct"/>
            <w:tcBorders>
              <w:bottom w:val="single" w:sz="4" w:space="0" w:color="FF0000"/>
            </w:tcBorders>
          </w:tcPr>
          <w:p w14:paraId="663B756D" w14:textId="77777777" w:rsidR="000946A0" w:rsidRPr="000946A0" w:rsidRDefault="000946A0" w:rsidP="000A69BD">
            <w:pPr>
              <w:pStyle w:val="ECCTabletext"/>
              <w:jc w:val="left"/>
            </w:pPr>
            <w:r>
              <w:t>3</w:t>
            </w:r>
          </w:p>
        </w:tc>
        <w:tc>
          <w:tcPr>
            <w:tcW w:w="829" w:type="pct"/>
            <w:tcBorders>
              <w:bottom w:val="single" w:sz="4" w:space="0" w:color="FF0000"/>
            </w:tcBorders>
          </w:tcPr>
          <w:p w14:paraId="1214C485" w14:textId="77777777" w:rsidR="000946A0" w:rsidRPr="000946A0" w:rsidRDefault="000946A0" w:rsidP="000A69BD">
            <w:pPr>
              <w:pStyle w:val="ECCTabletext"/>
              <w:jc w:val="left"/>
            </w:pPr>
            <w:r w:rsidRPr="007A46C3">
              <w:rPr>
                <w:rStyle w:val="ECCParagraph"/>
              </w:rPr>
              <w:t>11</w:t>
            </w:r>
            <w:r w:rsidRPr="000946A0">
              <w:rPr>
                <w:rStyle w:val="ECCParagraph"/>
              </w:rPr>
              <w:t> m</w:t>
            </w:r>
          </w:p>
        </w:tc>
        <w:tc>
          <w:tcPr>
            <w:tcW w:w="828" w:type="pct"/>
            <w:tcBorders>
              <w:bottom w:val="single" w:sz="4" w:space="0" w:color="FF0000"/>
            </w:tcBorders>
          </w:tcPr>
          <w:p w14:paraId="41C3E7B3" w14:textId="77777777" w:rsidR="000946A0" w:rsidRPr="000946A0" w:rsidRDefault="000946A0" w:rsidP="000A69BD">
            <w:pPr>
              <w:pStyle w:val="ECCTabletext"/>
              <w:jc w:val="left"/>
            </w:pPr>
            <w:r w:rsidRPr="007A46C3">
              <w:rPr>
                <w:rStyle w:val="ECCParagraph"/>
              </w:rPr>
              <w:t>4</w:t>
            </w:r>
            <w:r w:rsidRPr="000946A0">
              <w:rPr>
                <w:rStyle w:val="ECCParagraph"/>
              </w:rPr>
              <w:t> m</w:t>
            </w:r>
          </w:p>
        </w:tc>
        <w:tc>
          <w:tcPr>
            <w:tcW w:w="829" w:type="pct"/>
            <w:tcBorders>
              <w:bottom w:val="single" w:sz="4" w:space="0" w:color="FF0000"/>
            </w:tcBorders>
          </w:tcPr>
          <w:p w14:paraId="139C9F83" w14:textId="77777777" w:rsidR="000946A0" w:rsidRPr="000946A0" w:rsidRDefault="000946A0" w:rsidP="000A69BD">
            <w:pPr>
              <w:pStyle w:val="ECCTabletext"/>
              <w:jc w:val="left"/>
            </w:pPr>
            <w:r w:rsidRPr="007A46C3">
              <w:rPr>
                <w:rStyle w:val="ECCParagraph"/>
              </w:rPr>
              <w:t>1</w:t>
            </w:r>
            <w:r w:rsidRPr="000946A0">
              <w:rPr>
                <w:rStyle w:val="ECCParagraph"/>
              </w:rPr>
              <w:t> m</w:t>
            </w:r>
          </w:p>
        </w:tc>
        <w:tc>
          <w:tcPr>
            <w:tcW w:w="778" w:type="pct"/>
            <w:tcBorders>
              <w:bottom w:val="single" w:sz="4" w:space="0" w:color="FF0000"/>
              <w:right w:val="single" w:sz="4" w:space="0" w:color="FF0000"/>
            </w:tcBorders>
          </w:tcPr>
          <w:p w14:paraId="7AA02420" w14:textId="77777777" w:rsidR="000946A0" w:rsidRPr="000946A0" w:rsidRDefault="000946A0" w:rsidP="000A69BD">
            <w:pPr>
              <w:pStyle w:val="ECCTabletext"/>
              <w:jc w:val="left"/>
            </w:pPr>
            <w:r w:rsidRPr="007A46C3">
              <w:rPr>
                <w:rStyle w:val="ECCParagraph"/>
              </w:rPr>
              <w:t>0</w:t>
            </w:r>
            <w:r w:rsidRPr="000946A0">
              <w:rPr>
                <w:rStyle w:val="ECCParagraph"/>
              </w:rPr>
              <w:t> m</w:t>
            </w:r>
          </w:p>
        </w:tc>
      </w:tr>
      <w:tr w:rsidR="000946A0" w14:paraId="68EA9B6D" w14:textId="77777777" w:rsidTr="00A221E3">
        <w:tc>
          <w:tcPr>
            <w:tcW w:w="1074" w:type="pct"/>
            <w:tcBorders>
              <w:left w:val="single" w:sz="4" w:space="0" w:color="FF0000"/>
              <w:bottom w:val="single" w:sz="4" w:space="0" w:color="FF0000"/>
            </w:tcBorders>
          </w:tcPr>
          <w:p w14:paraId="734397B1" w14:textId="77777777" w:rsidR="000946A0" w:rsidRPr="000946A0" w:rsidRDefault="000946A0" w:rsidP="000A69BD">
            <w:pPr>
              <w:pStyle w:val="ECCTabletext"/>
              <w:jc w:val="left"/>
            </w:pPr>
            <w:r w:rsidRPr="007A46C3">
              <w:rPr>
                <w:rStyle w:val="ECCParagraph"/>
              </w:rPr>
              <w:t>Fixed</w:t>
            </w:r>
          </w:p>
        </w:tc>
        <w:tc>
          <w:tcPr>
            <w:tcW w:w="663" w:type="pct"/>
            <w:tcBorders>
              <w:bottom w:val="single" w:sz="4" w:space="0" w:color="FF0000"/>
            </w:tcBorders>
          </w:tcPr>
          <w:p w14:paraId="031F4C87" w14:textId="77777777" w:rsidR="000946A0" w:rsidRPr="000946A0" w:rsidRDefault="000946A0" w:rsidP="000A69BD">
            <w:pPr>
              <w:pStyle w:val="ECCTabletext"/>
              <w:jc w:val="left"/>
            </w:pPr>
            <w:r>
              <w:t>1</w:t>
            </w:r>
          </w:p>
        </w:tc>
        <w:tc>
          <w:tcPr>
            <w:tcW w:w="829" w:type="pct"/>
            <w:tcBorders>
              <w:bottom w:val="single" w:sz="4" w:space="0" w:color="FF0000"/>
            </w:tcBorders>
          </w:tcPr>
          <w:p w14:paraId="62C787D2" w14:textId="77777777" w:rsidR="000946A0" w:rsidRPr="000946A0" w:rsidRDefault="000946A0" w:rsidP="000A69BD">
            <w:pPr>
              <w:pStyle w:val="ECCTabletext"/>
              <w:jc w:val="left"/>
            </w:pPr>
            <w:r w:rsidRPr="007A46C3">
              <w:rPr>
                <w:rStyle w:val="ECCParagraph"/>
              </w:rPr>
              <w:t>290</w:t>
            </w:r>
            <w:r w:rsidRPr="000946A0">
              <w:rPr>
                <w:rStyle w:val="ECCParagraph"/>
              </w:rPr>
              <w:t> m</w:t>
            </w:r>
          </w:p>
        </w:tc>
        <w:tc>
          <w:tcPr>
            <w:tcW w:w="828" w:type="pct"/>
            <w:tcBorders>
              <w:bottom w:val="single" w:sz="4" w:space="0" w:color="FF0000"/>
            </w:tcBorders>
          </w:tcPr>
          <w:p w14:paraId="1BB266A6" w14:textId="77777777" w:rsidR="000946A0" w:rsidRPr="000946A0" w:rsidRDefault="000946A0" w:rsidP="000A69BD">
            <w:pPr>
              <w:pStyle w:val="ECCTabletext"/>
              <w:jc w:val="left"/>
            </w:pPr>
            <w:r w:rsidRPr="007A46C3">
              <w:rPr>
                <w:rStyle w:val="ECCParagraph"/>
              </w:rPr>
              <w:t>53</w:t>
            </w:r>
            <w:r w:rsidRPr="000946A0">
              <w:rPr>
                <w:rStyle w:val="ECCParagraph"/>
              </w:rPr>
              <w:t> m</w:t>
            </w:r>
          </w:p>
        </w:tc>
        <w:tc>
          <w:tcPr>
            <w:tcW w:w="829" w:type="pct"/>
            <w:tcBorders>
              <w:bottom w:val="single" w:sz="4" w:space="0" w:color="FF0000"/>
            </w:tcBorders>
          </w:tcPr>
          <w:p w14:paraId="2618B33E" w14:textId="77777777" w:rsidR="000946A0" w:rsidRPr="000946A0" w:rsidRDefault="000946A0" w:rsidP="000A69BD">
            <w:pPr>
              <w:pStyle w:val="ECCTabletext"/>
              <w:jc w:val="left"/>
            </w:pPr>
            <w:r w:rsidRPr="007A46C3">
              <w:rPr>
                <w:rStyle w:val="ECCParagraph"/>
              </w:rPr>
              <w:t>34</w:t>
            </w:r>
            <w:r w:rsidRPr="000946A0">
              <w:rPr>
                <w:rStyle w:val="ECCParagraph"/>
              </w:rPr>
              <w:t> m</w:t>
            </w:r>
          </w:p>
        </w:tc>
        <w:tc>
          <w:tcPr>
            <w:tcW w:w="778" w:type="pct"/>
            <w:tcBorders>
              <w:bottom w:val="single" w:sz="4" w:space="0" w:color="FF0000"/>
              <w:right w:val="single" w:sz="4" w:space="0" w:color="FF0000"/>
            </w:tcBorders>
          </w:tcPr>
          <w:p w14:paraId="1CA10933" w14:textId="77777777" w:rsidR="000946A0" w:rsidRPr="000946A0" w:rsidRDefault="003A5613" w:rsidP="000A69BD">
            <w:pPr>
              <w:pStyle w:val="ECCTabletext"/>
              <w:jc w:val="left"/>
            </w:pPr>
            <w:r>
              <w:rPr>
                <w:rStyle w:val="ECCParagraph"/>
              </w:rPr>
              <w:t>6</w:t>
            </w:r>
            <w:r w:rsidR="000946A0" w:rsidRPr="000946A0">
              <w:rPr>
                <w:rStyle w:val="ECCParagraph"/>
              </w:rPr>
              <w:t> m</w:t>
            </w:r>
          </w:p>
        </w:tc>
      </w:tr>
      <w:tr w:rsidR="000946A0" w14:paraId="5CD92E1A" w14:textId="77777777" w:rsidTr="00A221E3">
        <w:tc>
          <w:tcPr>
            <w:tcW w:w="1074" w:type="pct"/>
            <w:tcBorders>
              <w:left w:val="single" w:sz="4" w:space="0" w:color="FF0000"/>
              <w:bottom w:val="single" w:sz="4" w:space="0" w:color="FF0000"/>
            </w:tcBorders>
          </w:tcPr>
          <w:p w14:paraId="0B59A3C1" w14:textId="77777777" w:rsidR="000946A0" w:rsidRPr="000946A0" w:rsidRDefault="000946A0" w:rsidP="000A69BD">
            <w:pPr>
              <w:pStyle w:val="ECCTabletext"/>
              <w:jc w:val="left"/>
            </w:pPr>
            <w:r w:rsidRPr="007A46C3">
              <w:rPr>
                <w:rStyle w:val="ECCParagraph"/>
              </w:rPr>
              <w:t>Fixed</w:t>
            </w:r>
          </w:p>
        </w:tc>
        <w:tc>
          <w:tcPr>
            <w:tcW w:w="663" w:type="pct"/>
            <w:tcBorders>
              <w:bottom w:val="single" w:sz="4" w:space="0" w:color="FF0000"/>
            </w:tcBorders>
          </w:tcPr>
          <w:p w14:paraId="08EBDFF5" w14:textId="77777777" w:rsidR="000946A0" w:rsidRPr="000946A0" w:rsidRDefault="000946A0" w:rsidP="000A69BD">
            <w:pPr>
              <w:pStyle w:val="ECCTabletext"/>
              <w:jc w:val="left"/>
            </w:pPr>
            <w:r>
              <w:t>2</w:t>
            </w:r>
          </w:p>
        </w:tc>
        <w:tc>
          <w:tcPr>
            <w:tcW w:w="829" w:type="pct"/>
            <w:tcBorders>
              <w:bottom w:val="single" w:sz="4" w:space="0" w:color="FF0000"/>
            </w:tcBorders>
          </w:tcPr>
          <w:p w14:paraId="5BFB805C" w14:textId="77777777" w:rsidR="000946A0" w:rsidRPr="000946A0" w:rsidRDefault="000946A0" w:rsidP="000A69BD">
            <w:pPr>
              <w:pStyle w:val="ECCTabletext"/>
              <w:jc w:val="left"/>
            </w:pPr>
            <w:r w:rsidRPr="007A46C3">
              <w:rPr>
                <w:rStyle w:val="ECCParagraph"/>
              </w:rPr>
              <w:t>203</w:t>
            </w:r>
            <w:r w:rsidRPr="000946A0">
              <w:rPr>
                <w:rStyle w:val="ECCParagraph"/>
              </w:rPr>
              <w:t> m</w:t>
            </w:r>
          </w:p>
        </w:tc>
        <w:tc>
          <w:tcPr>
            <w:tcW w:w="828" w:type="pct"/>
            <w:tcBorders>
              <w:bottom w:val="single" w:sz="4" w:space="0" w:color="FF0000"/>
            </w:tcBorders>
          </w:tcPr>
          <w:p w14:paraId="5A7838C4" w14:textId="77777777" w:rsidR="000946A0" w:rsidRPr="000946A0" w:rsidRDefault="000946A0" w:rsidP="000A69BD">
            <w:pPr>
              <w:pStyle w:val="ECCTabletext"/>
              <w:jc w:val="left"/>
            </w:pPr>
            <w:r w:rsidRPr="007A46C3">
              <w:rPr>
                <w:rStyle w:val="ECCParagraph"/>
              </w:rPr>
              <w:t>37</w:t>
            </w:r>
            <w:r w:rsidRPr="000946A0">
              <w:rPr>
                <w:rStyle w:val="ECCParagraph"/>
              </w:rPr>
              <w:t> m</w:t>
            </w:r>
          </w:p>
        </w:tc>
        <w:tc>
          <w:tcPr>
            <w:tcW w:w="829" w:type="pct"/>
            <w:tcBorders>
              <w:bottom w:val="single" w:sz="4" w:space="0" w:color="FF0000"/>
            </w:tcBorders>
          </w:tcPr>
          <w:p w14:paraId="51268DE5" w14:textId="77777777" w:rsidR="000946A0" w:rsidRPr="000946A0" w:rsidRDefault="000946A0" w:rsidP="000A69BD">
            <w:pPr>
              <w:pStyle w:val="ECCTabletext"/>
              <w:jc w:val="left"/>
            </w:pPr>
            <w:r w:rsidRPr="007A46C3">
              <w:rPr>
                <w:rStyle w:val="ECCParagraph"/>
              </w:rPr>
              <w:t>22</w:t>
            </w:r>
            <w:r w:rsidRPr="000946A0">
              <w:rPr>
                <w:rStyle w:val="ECCParagraph"/>
              </w:rPr>
              <w:t> m</w:t>
            </w:r>
          </w:p>
        </w:tc>
        <w:tc>
          <w:tcPr>
            <w:tcW w:w="778" w:type="pct"/>
            <w:tcBorders>
              <w:bottom w:val="single" w:sz="4" w:space="0" w:color="FF0000"/>
              <w:right w:val="single" w:sz="4" w:space="0" w:color="FF0000"/>
            </w:tcBorders>
          </w:tcPr>
          <w:p w14:paraId="4F1E6A19" w14:textId="77777777" w:rsidR="000946A0" w:rsidRPr="000946A0" w:rsidRDefault="000946A0" w:rsidP="000A69BD">
            <w:pPr>
              <w:pStyle w:val="ECCTabletext"/>
              <w:jc w:val="left"/>
            </w:pPr>
            <w:r w:rsidRPr="007A46C3">
              <w:rPr>
                <w:rStyle w:val="ECCParagraph"/>
              </w:rPr>
              <w:t>4</w:t>
            </w:r>
            <w:r w:rsidRPr="000946A0">
              <w:rPr>
                <w:rStyle w:val="ECCParagraph"/>
              </w:rPr>
              <w:t> m</w:t>
            </w:r>
          </w:p>
        </w:tc>
      </w:tr>
      <w:tr w:rsidR="000946A0" w14:paraId="48BB2314" w14:textId="77777777" w:rsidTr="00A221E3">
        <w:tc>
          <w:tcPr>
            <w:tcW w:w="1074" w:type="pct"/>
            <w:tcBorders>
              <w:left w:val="single" w:sz="4" w:space="0" w:color="FF0000"/>
              <w:bottom w:val="single" w:sz="4" w:space="0" w:color="FF0000"/>
            </w:tcBorders>
          </w:tcPr>
          <w:p w14:paraId="12CA804D" w14:textId="77777777" w:rsidR="000946A0" w:rsidRPr="000946A0" w:rsidRDefault="000946A0" w:rsidP="000A69BD">
            <w:pPr>
              <w:pStyle w:val="ECCTabletext"/>
              <w:jc w:val="left"/>
            </w:pPr>
            <w:r w:rsidRPr="007A46C3">
              <w:rPr>
                <w:rStyle w:val="ECCParagraph"/>
              </w:rPr>
              <w:t>Fixed</w:t>
            </w:r>
          </w:p>
        </w:tc>
        <w:tc>
          <w:tcPr>
            <w:tcW w:w="663" w:type="pct"/>
            <w:tcBorders>
              <w:bottom w:val="single" w:sz="4" w:space="0" w:color="FF0000"/>
            </w:tcBorders>
          </w:tcPr>
          <w:p w14:paraId="7DA8D02D" w14:textId="77777777" w:rsidR="000946A0" w:rsidRPr="000946A0" w:rsidRDefault="000946A0" w:rsidP="000A69BD">
            <w:pPr>
              <w:pStyle w:val="ECCTabletext"/>
              <w:jc w:val="left"/>
            </w:pPr>
            <w:r>
              <w:t>3</w:t>
            </w:r>
          </w:p>
        </w:tc>
        <w:tc>
          <w:tcPr>
            <w:tcW w:w="829" w:type="pct"/>
            <w:tcBorders>
              <w:bottom w:val="single" w:sz="4" w:space="0" w:color="FF0000"/>
            </w:tcBorders>
          </w:tcPr>
          <w:p w14:paraId="5047561E" w14:textId="77777777" w:rsidR="000946A0" w:rsidRPr="000946A0" w:rsidRDefault="000946A0" w:rsidP="000A69BD">
            <w:pPr>
              <w:pStyle w:val="ECCTabletext"/>
              <w:jc w:val="left"/>
            </w:pPr>
            <w:r w:rsidRPr="007A46C3">
              <w:rPr>
                <w:rStyle w:val="ECCParagraph"/>
              </w:rPr>
              <w:t>24</w:t>
            </w:r>
            <w:r w:rsidRPr="000946A0">
              <w:rPr>
                <w:rStyle w:val="ECCParagraph"/>
              </w:rPr>
              <w:t> m</w:t>
            </w:r>
          </w:p>
        </w:tc>
        <w:tc>
          <w:tcPr>
            <w:tcW w:w="828" w:type="pct"/>
            <w:tcBorders>
              <w:bottom w:val="single" w:sz="4" w:space="0" w:color="FF0000"/>
            </w:tcBorders>
          </w:tcPr>
          <w:p w14:paraId="5BBF9BD5" w14:textId="77777777" w:rsidR="000946A0" w:rsidRPr="000946A0" w:rsidRDefault="000946A0" w:rsidP="000A69BD">
            <w:pPr>
              <w:pStyle w:val="ECCTabletext"/>
              <w:jc w:val="left"/>
            </w:pPr>
            <w:r w:rsidRPr="007A46C3">
              <w:rPr>
                <w:rStyle w:val="ECCParagraph"/>
              </w:rPr>
              <w:t>4</w:t>
            </w:r>
            <w:r w:rsidRPr="000946A0">
              <w:rPr>
                <w:rStyle w:val="ECCParagraph"/>
              </w:rPr>
              <w:t> m</w:t>
            </w:r>
          </w:p>
        </w:tc>
        <w:tc>
          <w:tcPr>
            <w:tcW w:w="829" w:type="pct"/>
            <w:tcBorders>
              <w:bottom w:val="single" w:sz="4" w:space="0" w:color="FF0000"/>
            </w:tcBorders>
          </w:tcPr>
          <w:p w14:paraId="60CA1989" w14:textId="77777777" w:rsidR="000946A0" w:rsidRPr="000946A0" w:rsidRDefault="000946A0" w:rsidP="000A69BD">
            <w:pPr>
              <w:pStyle w:val="ECCTabletext"/>
              <w:jc w:val="left"/>
            </w:pPr>
            <w:r w:rsidRPr="007A46C3">
              <w:rPr>
                <w:rStyle w:val="ECCParagraph"/>
              </w:rPr>
              <w:t>3</w:t>
            </w:r>
            <w:r w:rsidRPr="000946A0">
              <w:rPr>
                <w:rStyle w:val="ECCParagraph"/>
              </w:rPr>
              <w:t> m</w:t>
            </w:r>
          </w:p>
        </w:tc>
        <w:tc>
          <w:tcPr>
            <w:tcW w:w="778" w:type="pct"/>
            <w:tcBorders>
              <w:bottom w:val="single" w:sz="4" w:space="0" w:color="FF0000"/>
              <w:right w:val="single" w:sz="4" w:space="0" w:color="FF0000"/>
            </w:tcBorders>
          </w:tcPr>
          <w:p w14:paraId="444290D5" w14:textId="77777777" w:rsidR="000946A0" w:rsidRPr="000946A0" w:rsidRDefault="000946A0" w:rsidP="000A69BD">
            <w:pPr>
              <w:pStyle w:val="ECCTabletext"/>
              <w:jc w:val="left"/>
            </w:pPr>
            <w:r w:rsidRPr="007A46C3">
              <w:rPr>
                <w:rStyle w:val="ECCParagraph"/>
              </w:rPr>
              <w:t>0</w:t>
            </w:r>
            <w:r w:rsidRPr="000946A0">
              <w:rPr>
                <w:rStyle w:val="ECCParagraph"/>
              </w:rPr>
              <w:t> m</w:t>
            </w:r>
          </w:p>
        </w:tc>
      </w:tr>
      <w:tr w:rsidR="000946A0" w14:paraId="5F2929C6" w14:textId="77777777" w:rsidTr="00A221E3">
        <w:tc>
          <w:tcPr>
            <w:tcW w:w="1074" w:type="pct"/>
            <w:tcBorders>
              <w:left w:val="single" w:sz="4" w:space="0" w:color="FF0000"/>
            </w:tcBorders>
          </w:tcPr>
          <w:p w14:paraId="4E3D9F17" w14:textId="77777777" w:rsidR="000946A0" w:rsidRPr="000946A0" w:rsidRDefault="000946A0" w:rsidP="000A69BD">
            <w:pPr>
              <w:pStyle w:val="ECCTabletext"/>
              <w:jc w:val="left"/>
            </w:pPr>
            <w:r w:rsidRPr="007A46C3">
              <w:rPr>
                <w:rStyle w:val="ECCParagraph"/>
              </w:rPr>
              <w:t>Fixed</w:t>
            </w:r>
          </w:p>
        </w:tc>
        <w:tc>
          <w:tcPr>
            <w:tcW w:w="663" w:type="pct"/>
          </w:tcPr>
          <w:p w14:paraId="2D0D139E" w14:textId="77777777" w:rsidR="000946A0" w:rsidRPr="000946A0" w:rsidRDefault="000946A0" w:rsidP="000A69BD">
            <w:pPr>
              <w:pStyle w:val="ECCTabletext"/>
              <w:jc w:val="left"/>
            </w:pPr>
            <w:r>
              <w:t>4</w:t>
            </w:r>
          </w:p>
        </w:tc>
        <w:tc>
          <w:tcPr>
            <w:tcW w:w="829" w:type="pct"/>
          </w:tcPr>
          <w:p w14:paraId="69B65B34" w14:textId="77777777" w:rsidR="000946A0" w:rsidRPr="000946A0" w:rsidRDefault="000946A0" w:rsidP="000A69BD">
            <w:pPr>
              <w:pStyle w:val="ECCTabletext"/>
              <w:jc w:val="left"/>
            </w:pPr>
            <w:r w:rsidRPr="007A46C3">
              <w:rPr>
                <w:rStyle w:val="ECCParagraph"/>
              </w:rPr>
              <w:t>118</w:t>
            </w:r>
            <w:r w:rsidRPr="000946A0">
              <w:rPr>
                <w:rStyle w:val="ECCParagraph"/>
              </w:rPr>
              <w:t> m</w:t>
            </w:r>
          </w:p>
        </w:tc>
        <w:tc>
          <w:tcPr>
            <w:tcW w:w="828" w:type="pct"/>
          </w:tcPr>
          <w:p w14:paraId="13D5CCAF" w14:textId="77777777" w:rsidR="000946A0" w:rsidRPr="000946A0" w:rsidRDefault="000946A0" w:rsidP="000A69BD">
            <w:pPr>
              <w:pStyle w:val="ECCTabletext"/>
              <w:jc w:val="left"/>
            </w:pPr>
            <w:r w:rsidRPr="007A46C3">
              <w:rPr>
                <w:rStyle w:val="ECCParagraph"/>
              </w:rPr>
              <w:t>21</w:t>
            </w:r>
            <w:r w:rsidRPr="000946A0">
              <w:rPr>
                <w:rStyle w:val="ECCParagraph"/>
              </w:rPr>
              <w:t> m</w:t>
            </w:r>
          </w:p>
        </w:tc>
        <w:tc>
          <w:tcPr>
            <w:tcW w:w="829" w:type="pct"/>
          </w:tcPr>
          <w:p w14:paraId="0C1A138B" w14:textId="77777777" w:rsidR="000946A0" w:rsidRPr="000946A0" w:rsidRDefault="000946A0" w:rsidP="000A69BD">
            <w:pPr>
              <w:pStyle w:val="ECCTabletext"/>
              <w:jc w:val="left"/>
            </w:pPr>
            <w:r w:rsidRPr="007A46C3">
              <w:rPr>
                <w:rStyle w:val="ECCParagraph"/>
              </w:rPr>
              <w:t>14</w:t>
            </w:r>
            <w:r w:rsidRPr="000946A0">
              <w:rPr>
                <w:rStyle w:val="ECCParagraph"/>
              </w:rPr>
              <w:t> m</w:t>
            </w:r>
          </w:p>
        </w:tc>
        <w:tc>
          <w:tcPr>
            <w:tcW w:w="778" w:type="pct"/>
            <w:tcBorders>
              <w:right w:val="single" w:sz="4" w:space="0" w:color="FF0000"/>
            </w:tcBorders>
          </w:tcPr>
          <w:p w14:paraId="5F6C774A" w14:textId="77777777" w:rsidR="000946A0" w:rsidRPr="000946A0" w:rsidRDefault="000946A0" w:rsidP="000A69BD">
            <w:pPr>
              <w:pStyle w:val="ECCTabletext"/>
              <w:jc w:val="left"/>
            </w:pPr>
            <w:r w:rsidRPr="007A46C3">
              <w:rPr>
                <w:rStyle w:val="ECCParagraph"/>
              </w:rPr>
              <w:t>2</w:t>
            </w:r>
            <w:r w:rsidRPr="000946A0">
              <w:rPr>
                <w:rStyle w:val="ECCParagraph"/>
              </w:rPr>
              <w:t> m</w:t>
            </w:r>
          </w:p>
        </w:tc>
      </w:tr>
      <w:tr w:rsidR="000946A0" w14:paraId="60D2904A" w14:textId="77777777" w:rsidTr="00A221E3">
        <w:tc>
          <w:tcPr>
            <w:tcW w:w="5000" w:type="pct"/>
            <w:gridSpan w:val="6"/>
            <w:tcBorders>
              <w:left w:val="single" w:sz="4" w:space="0" w:color="FF0000"/>
              <w:right w:val="single" w:sz="4" w:space="0" w:color="FF0000"/>
            </w:tcBorders>
          </w:tcPr>
          <w:p w14:paraId="49346D3E" w14:textId="77777777" w:rsidR="000946A0" w:rsidRPr="000946A0" w:rsidRDefault="000946A0" w:rsidP="00464AE0">
            <w:pPr>
              <w:pStyle w:val="ECCTablenote"/>
              <w:rPr>
                <w:rStyle w:val="ECCParagraph"/>
                <w:sz w:val="16"/>
              </w:rPr>
            </w:pPr>
            <w:r w:rsidRPr="000946A0">
              <w:rPr>
                <w:rStyle w:val="ECCParagraph"/>
                <w:sz w:val="16"/>
              </w:rPr>
              <w:t xml:space="preserve">Note 1: Assumed FS antenna gain based on misalignment </w:t>
            </w:r>
            <w:r w:rsidRPr="0036627C">
              <w:rPr>
                <w:rStyle w:val="ECCParagraph"/>
                <w:sz w:val="16"/>
              </w:rPr>
              <w:t>in the individual scenario:</w:t>
            </w:r>
          </w:p>
          <w:p w14:paraId="7B4FB4F8" w14:textId="77777777" w:rsidR="000946A0" w:rsidRPr="000946A0" w:rsidRDefault="000946A0" w:rsidP="00464AE0">
            <w:pPr>
              <w:pStyle w:val="ECCTablenote"/>
              <w:rPr>
                <w:rStyle w:val="ECCParagraph"/>
                <w:sz w:val="16"/>
              </w:rPr>
            </w:pPr>
            <w:r w:rsidRPr="000946A0">
              <w:rPr>
                <w:rStyle w:val="ECCParagraph"/>
                <w:sz w:val="16"/>
              </w:rPr>
              <w:t>Scenario 1: 37</w:t>
            </w:r>
            <w:r w:rsidR="00CF4994">
              <w:rPr>
                <w:rStyle w:val="ECCParagraph"/>
                <w:sz w:val="16"/>
              </w:rPr>
              <w:t>.5</w:t>
            </w:r>
            <w:r w:rsidRPr="000946A0">
              <w:rPr>
                <w:rStyle w:val="ECCParagraph"/>
                <w:sz w:val="16"/>
              </w:rPr>
              <w:t> dBi</w:t>
            </w:r>
          </w:p>
          <w:p w14:paraId="3BDE78F1" w14:textId="77777777" w:rsidR="000946A0" w:rsidRPr="000946A0" w:rsidRDefault="000946A0" w:rsidP="00464AE0">
            <w:pPr>
              <w:pStyle w:val="ECCTablenote"/>
              <w:rPr>
                <w:rStyle w:val="ECCParagraph"/>
                <w:sz w:val="16"/>
              </w:rPr>
            </w:pPr>
            <w:r w:rsidRPr="000946A0">
              <w:rPr>
                <w:rStyle w:val="ECCParagraph"/>
                <w:sz w:val="16"/>
              </w:rPr>
              <w:t>Scenario 2: 18</w:t>
            </w:r>
            <w:r w:rsidR="0021070A">
              <w:rPr>
                <w:rStyle w:val="ECCParagraph"/>
              </w:rPr>
              <w:t> </w:t>
            </w:r>
            <w:r w:rsidRPr="000946A0">
              <w:t>dBi.</w:t>
            </w:r>
          </w:p>
        </w:tc>
      </w:tr>
    </w:tbl>
    <w:p w14:paraId="08F63F74" w14:textId="6D812FFC" w:rsidR="000946A0" w:rsidRDefault="000946A0" w:rsidP="000946A0">
      <w:pPr>
        <w:rPr>
          <w:rStyle w:val="ECCParagraph"/>
        </w:rPr>
      </w:pPr>
      <w:r>
        <w:t xml:space="preserve">Note: </w:t>
      </w:r>
      <w:r>
        <w:rPr>
          <w:rStyle w:val="ECCParagraph"/>
        </w:rPr>
        <w:t>I</w:t>
      </w:r>
      <w:r w:rsidRPr="000946A0">
        <w:rPr>
          <w:rStyle w:val="ECCParagraph"/>
        </w:rPr>
        <w:t>n former ECC studies (</w:t>
      </w:r>
      <w:r>
        <w:rPr>
          <w:rStyle w:val="ECCParagraph"/>
        </w:rPr>
        <w:t xml:space="preserve">e.g. </w:t>
      </w:r>
      <w:r w:rsidRPr="000946A0">
        <w:rPr>
          <w:rStyle w:val="ECCParagraph"/>
        </w:rPr>
        <w:t xml:space="preserve">ECC </w:t>
      </w:r>
      <w:r>
        <w:rPr>
          <w:rStyle w:val="ECCParagraph"/>
        </w:rPr>
        <w:t>R</w:t>
      </w:r>
      <w:r w:rsidRPr="000946A0">
        <w:rPr>
          <w:rStyle w:val="ECCParagraph"/>
        </w:rPr>
        <w:t>eport 190</w:t>
      </w:r>
      <w:r w:rsidR="009B359F">
        <w:rPr>
          <w:rStyle w:val="ECCParagraph"/>
        </w:rPr>
        <w:t xml:space="preserve"> </w:t>
      </w:r>
      <w:r w:rsidR="009B359F">
        <w:rPr>
          <w:rStyle w:val="ECCParagraph"/>
        </w:rPr>
        <w:fldChar w:fldCharType="begin"/>
      </w:r>
      <w:r w:rsidR="009B359F">
        <w:rPr>
          <w:rStyle w:val="ECCParagraph"/>
        </w:rPr>
        <w:instrText xml:space="preserve"> REF  ECCRep190 \h \w  \* MERGEFORMAT </w:instrText>
      </w:r>
      <w:r w:rsidR="009B359F">
        <w:rPr>
          <w:rStyle w:val="ECCParagraph"/>
        </w:rPr>
      </w:r>
      <w:r w:rsidR="009B359F">
        <w:rPr>
          <w:rStyle w:val="ECCParagraph"/>
        </w:rPr>
        <w:fldChar w:fldCharType="separate"/>
      </w:r>
      <w:r w:rsidR="004F49F9">
        <w:rPr>
          <w:rStyle w:val="ECCParagraph"/>
        </w:rPr>
        <w:t>[21]</w:t>
      </w:r>
      <w:r w:rsidR="009B359F">
        <w:rPr>
          <w:rStyle w:val="ECCParagraph"/>
        </w:rPr>
        <w:fldChar w:fldCharType="end"/>
      </w:r>
      <w:r w:rsidRPr="000946A0">
        <w:rPr>
          <w:rStyle w:val="ECCParagraph"/>
        </w:rPr>
        <w:t>) an in</w:t>
      </w:r>
      <w:r>
        <w:rPr>
          <w:rStyle w:val="ECCParagraph"/>
        </w:rPr>
        <w:t>door</w:t>
      </w:r>
      <w:r w:rsidRPr="000946A0">
        <w:rPr>
          <w:rStyle w:val="ECCParagraph"/>
        </w:rPr>
        <w:t>-outdoor attenuation of 60</w:t>
      </w:r>
      <w:r>
        <w:rPr>
          <w:rStyle w:val="ECCParagraph"/>
        </w:rPr>
        <w:t> </w:t>
      </w:r>
      <w:r w:rsidRPr="000946A0">
        <w:rPr>
          <w:rStyle w:val="ECCParagraph"/>
        </w:rPr>
        <w:t xml:space="preserve">dB </w:t>
      </w:r>
      <w:r>
        <w:rPr>
          <w:rStyle w:val="ECCParagraph"/>
        </w:rPr>
        <w:t>has been assumed</w:t>
      </w:r>
      <w:r w:rsidRPr="000946A0">
        <w:rPr>
          <w:rStyle w:val="ECCParagraph"/>
        </w:rPr>
        <w:t>.</w:t>
      </w:r>
    </w:p>
    <w:p w14:paraId="69ECED13" w14:textId="6AA8AD0D" w:rsidR="00CD43DE" w:rsidRDefault="00FD6209" w:rsidP="00CD43DE">
      <w:r>
        <w:fldChar w:fldCharType="begin"/>
      </w:r>
      <w:r>
        <w:instrText xml:space="preserve"> REF _Ref67585762 \h </w:instrText>
      </w:r>
      <w:r>
        <w:fldChar w:fldCharType="separate"/>
      </w:r>
      <w:r w:rsidR="0041125F" w:rsidRPr="007C3BF5">
        <w:t>Table </w:t>
      </w:r>
      <w:r w:rsidR="0041125F">
        <w:rPr>
          <w:noProof/>
        </w:rPr>
        <w:t>68</w:t>
      </w:r>
      <w:r>
        <w:fldChar w:fldCharType="end"/>
      </w:r>
      <w:r w:rsidR="00CD43DE">
        <w:t xml:space="preserve"> </w:t>
      </w:r>
      <w:r w:rsidR="00CD43DE" w:rsidRPr="00B10E31">
        <w:t xml:space="preserve">shows the single-entry </w:t>
      </w:r>
      <w:r w:rsidR="00CD43DE">
        <w:t>worst</w:t>
      </w:r>
      <w:r w:rsidR="00CD43DE" w:rsidRPr="00B10E31">
        <w:t xml:space="preserve">-case results for </w:t>
      </w:r>
      <w:r w:rsidR="00CD43DE">
        <w:t xml:space="preserve">the generic indoor surveillance radar application for the adjacent band </w:t>
      </w:r>
      <w:r>
        <w:t xml:space="preserve">interference </w:t>
      </w:r>
      <w:r w:rsidR="00CD43DE">
        <w:t>consideration, i.e. the largest separation distances</w:t>
      </w:r>
      <w:r w:rsidR="0036627C">
        <w:t xml:space="preserve"> for the individual frequency ranges</w:t>
      </w:r>
      <w:r w:rsidR="00CD43DE">
        <w:t>,</w:t>
      </w:r>
      <w:r w:rsidR="00CD43DE" w:rsidRPr="00B10E31">
        <w:t xml:space="preserve"> and FS victim receivers distinguished between the long</w:t>
      </w:r>
      <w:r w:rsidR="00CD43DE">
        <w:t>-</w:t>
      </w:r>
      <w:r w:rsidR="00CD43DE" w:rsidRPr="00B10E31">
        <w:t>term objective and the peak power objective.</w:t>
      </w:r>
    </w:p>
    <w:p w14:paraId="414FEAFD" w14:textId="416BDD22" w:rsidR="00FD6209" w:rsidRDefault="00FD6209" w:rsidP="00FD6209">
      <w:pPr>
        <w:pStyle w:val="Caption"/>
      </w:pPr>
      <w:bookmarkStart w:id="636" w:name="_Ref67585762"/>
      <w:r w:rsidRPr="007C3BF5">
        <w:t>Table </w:t>
      </w:r>
      <w:r w:rsidRPr="00240396">
        <w:fldChar w:fldCharType="begin"/>
      </w:r>
      <w:r>
        <w:instrText xml:space="preserve"> SEQ Table \* ARABIC </w:instrText>
      </w:r>
      <w:r w:rsidRPr="00240396">
        <w:fldChar w:fldCharType="separate"/>
      </w:r>
      <w:r w:rsidR="004F49F9">
        <w:rPr>
          <w:noProof/>
        </w:rPr>
        <w:t>68</w:t>
      </w:r>
      <w:r w:rsidRPr="00240396">
        <w:fldChar w:fldCharType="end"/>
      </w:r>
      <w:bookmarkEnd w:id="636"/>
      <w:r w:rsidRPr="002876E6">
        <w:t xml:space="preserve">: Required separation distances determined in a single-entry study for </w:t>
      </w:r>
      <w:r>
        <w:t>generic indoor surveillance radar for the adjacent band interference consideration</w:t>
      </w:r>
    </w:p>
    <w:tbl>
      <w:tblPr>
        <w:tblStyle w:val="ECCTable-redheader"/>
        <w:tblW w:w="0" w:type="auto"/>
        <w:tblInd w:w="0" w:type="dxa"/>
        <w:tblLayout w:type="fixed"/>
        <w:tblLook w:val="04A0" w:firstRow="1" w:lastRow="0" w:firstColumn="1" w:lastColumn="0" w:noHBand="0" w:noVBand="1"/>
      </w:tblPr>
      <w:tblGrid>
        <w:gridCol w:w="1838"/>
        <w:gridCol w:w="1559"/>
        <w:gridCol w:w="1276"/>
        <w:gridCol w:w="1418"/>
        <w:gridCol w:w="1417"/>
        <w:gridCol w:w="1559"/>
      </w:tblGrid>
      <w:tr w:rsidR="0036627C" w14:paraId="159217E4" w14:textId="77777777" w:rsidTr="006649F8">
        <w:trPr>
          <w:cnfStyle w:val="100000000000" w:firstRow="1" w:lastRow="0" w:firstColumn="0" w:lastColumn="0" w:oddVBand="0" w:evenVBand="0" w:oddHBand="0" w:evenHBand="0" w:firstRowFirstColumn="0" w:firstRowLastColumn="0" w:lastRowFirstColumn="0" w:lastRowLastColumn="0"/>
        </w:trPr>
        <w:tc>
          <w:tcPr>
            <w:tcW w:w="1838" w:type="dxa"/>
            <w:vMerge w:val="restart"/>
            <w:tcBorders>
              <w:top w:val="single" w:sz="4" w:space="0" w:color="FF0000"/>
              <w:left w:val="single" w:sz="4" w:space="0" w:color="FF0000"/>
            </w:tcBorders>
          </w:tcPr>
          <w:p w14:paraId="31F6B3C4" w14:textId="77777777" w:rsidR="0036627C" w:rsidRPr="0036627C" w:rsidRDefault="0036627C" w:rsidP="00876039">
            <w:pPr>
              <w:pStyle w:val="ECCTableHeaderwhitefont"/>
            </w:pPr>
            <w:r>
              <w:t>Device</w:t>
            </w:r>
            <w:r w:rsidRPr="0036627C">
              <w:t xml:space="preserve"> type</w:t>
            </w:r>
          </w:p>
        </w:tc>
        <w:tc>
          <w:tcPr>
            <w:tcW w:w="1559" w:type="dxa"/>
            <w:vMerge w:val="restart"/>
            <w:tcBorders>
              <w:top w:val="single" w:sz="4" w:space="0" w:color="FF0000"/>
              <w:bottom w:val="single" w:sz="4" w:space="0" w:color="FF0000"/>
            </w:tcBorders>
          </w:tcPr>
          <w:p w14:paraId="605B4775" w14:textId="77777777" w:rsidR="0036627C" w:rsidRPr="0036627C" w:rsidRDefault="0036627C" w:rsidP="000A69BD">
            <w:pPr>
              <w:pStyle w:val="ECCTableHeaderwhitefont"/>
            </w:pPr>
            <w:r>
              <w:rPr>
                <w:rStyle w:val="ECCParagraph"/>
              </w:rPr>
              <w:t>FS frequency range</w:t>
            </w:r>
          </w:p>
        </w:tc>
        <w:tc>
          <w:tcPr>
            <w:tcW w:w="2694" w:type="dxa"/>
            <w:gridSpan w:val="2"/>
            <w:tcBorders>
              <w:top w:val="single" w:sz="4" w:space="0" w:color="FF0000"/>
              <w:bottom w:val="single" w:sz="4" w:space="0" w:color="FFFFFF" w:themeColor="background1"/>
            </w:tcBorders>
          </w:tcPr>
          <w:p w14:paraId="28D14ADE" w14:textId="77777777" w:rsidR="0036627C" w:rsidRPr="0036627C" w:rsidRDefault="0036627C" w:rsidP="000A69BD">
            <w:pPr>
              <w:pStyle w:val="ECCTableHeaderwhitefont"/>
            </w:pPr>
            <w:r w:rsidRPr="00B10E31">
              <w:t>Required</w:t>
            </w:r>
            <w:r w:rsidRPr="0036627C">
              <w:t xml:space="preserve"> separation distance for scenario 1</w:t>
            </w:r>
            <w:r w:rsidR="00DD1A24">
              <w:t xml:space="preserve"> (Note 1)</w:t>
            </w:r>
          </w:p>
        </w:tc>
        <w:tc>
          <w:tcPr>
            <w:tcW w:w="2976" w:type="dxa"/>
            <w:gridSpan w:val="2"/>
            <w:tcBorders>
              <w:top w:val="single" w:sz="4" w:space="0" w:color="FF0000"/>
              <w:bottom w:val="single" w:sz="4" w:space="0" w:color="FFFFFF" w:themeColor="background1"/>
              <w:right w:val="single" w:sz="4" w:space="0" w:color="FF0000"/>
            </w:tcBorders>
          </w:tcPr>
          <w:p w14:paraId="0031E7B1" w14:textId="77777777" w:rsidR="0036627C" w:rsidRPr="0036627C" w:rsidRDefault="0036627C" w:rsidP="000A69BD">
            <w:pPr>
              <w:pStyle w:val="ECCTableHeaderwhitefont"/>
            </w:pPr>
            <w:r w:rsidRPr="00B10E31">
              <w:t>Required</w:t>
            </w:r>
            <w:r w:rsidRPr="0036627C">
              <w:t xml:space="preserve"> separation distance for scenario 2</w:t>
            </w:r>
            <w:r w:rsidR="00DD1A24">
              <w:t xml:space="preserve"> (Note 1)</w:t>
            </w:r>
          </w:p>
        </w:tc>
      </w:tr>
      <w:tr w:rsidR="00C122ED" w14:paraId="487F3F42" w14:textId="77777777" w:rsidTr="006649F8">
        <w:tc>
          <w:tcPr>
            <w:tcW w:w="1838" w:type="dxa"/>
            <w:vMerge/>
            <w:tcBorders>
              <w:left w:val="single" w:sz="4" w:space="0" w:color="FF0000"/>
              <w:right w:val="single" w:sz="4" w:space="0" w:color="FFFFFF" w:themeColor="background1"/>
            </w:tcBorders>
          </w:tcPr>
          <w:p w14:paraId="20AB4E36" w14:textId="77777777" w:rsidR="0036627C" w:rsidRPr="00213B63" w:rsidRDefault="0036627C" w:rsidP="0036627C">
            <w:pPr>
              <w:pStyle w:val="ECCTableHeaderwhitefont"/>
            </w:pPr>
          </w:p>
        </w:tc>
        <w:tc>
          <w:tcPr>
            <w:tcW w:w="1559" w:type="dxa"/>
            <w:vMerge/>
            <w:tcBorders>
              <w:left w:val="single" w:sz="4" w:space="0" w:color="FFFFFF" w:themeColor="background1"/>
              <w:bottom w:val="single" w:sz="4" w:space="0" w:color="FF0000"/>
              <w:right w:val="single" w:sz="4" w:space="0" w:color="FFFFFF" w:themeColor="background1"/>
            </w:tcBorders>
          </w:tcPr>
          <w:p w14:paraId="66E4414B" w14:textId="77777777" w:rsidR="0036627C" w:rsidRPr="00213B63" w:rsidRDefault="0036627C" w:rsidP="0036627C">
            <w:pPr>
              <w:pStyle w:val="ECCTableHeaderwhitefont"/>
            </w:pPr>
          </w:p>
        </w:tc>
        <w:tc>
          <w:tcPr>
            <w:tcW w:w="1276" w:type="dxa"/>
            <w:tcBorders>
              <w:top w:val="single" w:sz="4" w:space="0" w:color="FFFFFF" w:themeColor="background1"/>
              <w:left w:val="single" w:sz="4" w:space="0" w:color="FFFFFF" w:themeColor="background1"/>
              <w:bottom w:val="single" w:sz="4" w:space="0" w:color="FF0000"/>
              <w:right w:val="single" w:sz="4" w:space="0" w:color="FFFFFF" w:themeColor="background1"/>
            </w:tcBorders>
            <w:shd w:val="clear" w:color="auto" w:fill="D22A23"/>
          </w:tcPr>
          <w:p w14:paraId="5DA9B7D4" w14:textId="6F5A3A0D" w:rsidR="0036627C" w:rsidRPr="006649F8" w:rsidRDefault="0036627C" w:rsidP="006649F8">
            <w:pPr>
              <w:pStyle w:val="ECCTableHeaderwhitefont"/>
              <w:rPr>
                <w:b/>
                <w:bCs w:val="0"/>
              </w:rPr>
            </w:pPr>
            <w:r w:rsidRPr="006649F8">
              <w:rPr>
                <w:b/>
                <w:bCs w:val="0"/>
              </w:rPr>
              <w:t>Long</w:t>
            </w:r>
            <w:r w:rsidR="006649F8" w:rsidRPr="006649F8">
              <w:rPr>
                <w:b/>
                <w:bCs w:val="0"/>
              </w:rPr>
              <w:t>-</w:t>
            </w:r>
            <w:r w:rsidRPr="006649F8">
              <w:rPr>
                <w:b/>
                <w:bCs w:val="0"/>
              </w:rPr>
              <w:t>term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52FE3B32" w14:textId="7371FD48" w:rsidR="0036627C" w:rsidRPr="006649F8" w:rsidRDefault="0036627C" w:rsidP="006649F8">
            <w:pPr>
              <w:pStyle w:val="ECCTableHeaderwhitefont"/>
              <w:rPr>
                <w:b/>
                <w:bCs w:val="0"/>
              </w:rPr>
            </w:pPr>
            <w:r w:rsidRPr="006649F8">
              <w:rPr>
                <w:b/>
                <w:bCs w:val="0"/>
              </w:rPr>
              <w:t>Peak</w:t>
            </w:r>
            <w:r w:rsidR="006649F8" w:rsidRPr="006649F8">
              <w:rPr>
                <w:b/>
                <w:bCs w:val="0"/>
              </w:rPr>
              <w:t>-</w:t>
            </w:r>
            <w:r w:rsidRPr="006649F8">
              <w:rPr>
                <w:b/>
                <w:bCs w:val="0"/>
              </w:rPr>
              <w:t>power objective</w:t>
            </w:r>
          </w:p>
        </w:tc>
        <w:tc>
          <w:tcPr>
            <w:tcW w:w="1417"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E31DEAD" w14:textId="770E9708" w:rsidR="0036627C" w:rsidRPr="006649F8" w:rsidRDefault="0036627C" w:rsidP="006649F8">
            <w:pPr>
              <w:pStyle w:val="ECCTableHeaderwhitefont"/>
              <w:rPr>
                <w:b/>
                <w:bCs w:val="0"/>
              </w:rPr>
            </w:pPr>
            <w:r w:rsidRPr="006649F8">
              <w:rPr>
                <w:b/>
                <w:bCs w:val="0"/>
              </w:rPr>
              <w:t>Long</w:t>
            </w:r>
            <w:r w:rsidR="006649F8" w:rsidRPr="006649F8">
              <w:rPr>
                <w:b/>
                <w:bCs w:val="0"/>
              </w:rPr>
              <w:t>-</w:t>
            </w:r>
            <w:r w:rsidRPr="006649F8">
              <w:rPr>
                <w:b/>
                <w:bCs w:val="0"/>
              </w:rPr>
              <w:t>term objective</w:t>
            </w:r>
          </w:p>
        </w:tc>
        <w:tc>
          <w:tcPr>
            <w:tcW w:w="1559" w:type="dxa"/>
            <w:tcBorders>
              <w:top w:val="single" w:sz="4" w:space="0" w:color="FFFFFF" w:themeColor="background1"/>
              <w:left w:val="single" w:sz="4" w:space="0" w:color="FFFFFF" w:themeColor="background1"/>
              <w:bottom w:val="nil"/>
              <w:right w:val="single" w:sz="4" w:space="0" w:color="FF0000"/>
            </w:tcBorders>
            <w:shd w:val="clear" w:color="auto" w:fill="D22A23"/>
          </w:tcPr>
          <w:p w14:paraId="5A389A2B" w14:textId="05C5130F" w:rsidR="0036627C" w:rsidRPr="006649F8" w:rsidRDefault="0036627C" w:rsidP="006649F8">
            <w:pPr>
              <w:pStyle w:val="ECCTableHeaderwhitefont"/>
              <w:rPr>
                <w:b/>
                <w:bCs w:val="0"/>
              </w:rPr>
            </w:pPr>
            <w:r w:rsidRPr="006649F8">
              <w:rPr>
                <w:b/>
                <w:bCs w:val="0"/>
              </w:rPr>
              <w:t>Peak</w:t>
            </w:r>
            <w:r w:rsidR="006649F8" w:rsidRPr="006649F8">
              <w:rPr>
                <w:b/>
                <w:bCs w:val="0"/>
              </w:rPr>
              <w:t>-</w:t>
            </w:r>
            <w:r w:rsidRPr="006649F8">
              <w:rPr>
                <w:b/>
                <w:bCs w:val="0"/>
              </w:rPr>
              <w:t>power objective</w:t>
            </w:r>
          </w:p>
        </w:tc>
      </w:tr>
      <w:tr w:rsidR="00C122ED" w14:paraId="3ACFD851" w14:textId="77777777" w:rsidTr="006649F8">
        <w:tc>
          <w:tcPr>
            <w:tcW w:w="1838" w:type="dxa"/>
            <w:tcBorders>
              <w:left w:val="single" w:sz="4" w:space="0" w:color="FF0000"/>
            </w:tcBorders>
          </w:tcPr>
          <w:p w14:paraId="54AAA66F" w14:textId="4B147F10" w:rsidR="0036627C" w:rsidRPr="0036627C" w:rsidRDefault="009D5FA2" w:rsidP="000A69BD">
            <w:pPr>
              <w:pStyle w:val="ECCTabletext"/>
              <w:jc w:val="left"/>
            </w:pPr>
            <w:r>
              <w:rPr>
                <w:rStyle w:val="ECCParagraph"/>
              </w:rPr>
              <w:t>Hand-held</w:t>
            </w:r>
            <w:r w:rsidR="0036627C" w:rsidRPr="0036627C">
              <w:rPr>
                <w:rStyle w:val="ECCParagraph"/>
              </w:rPr>
              <w:t>/mobile</w:t>
            </w:r>
          </w:p>
        </w:tc>
        <w:tc>
          <w:tcPr>
            <w:tcW w:w="1559" w:type="dxa"/>
          </w:tcPr>
          <w:p w14:paraId="31BFD9E6" w14:textId="77777777" w:rsidR="0036627C" w:rsidRPr="0036627C" w:rsidRDefault="00C122ED" w:rsidP="000A69BD">
            <w:pPr>
              <w:pStyle w:val="ECCTabletext"/>
              <w:jc w:val="left"/>
            </w:pPr>
            <w:r>
              <w:t>111</w:t>
            </w:r>
            <w:r w:rsidR="00CF4994">
              <w:t>.8</w:t>
            </w:r>
            <w:r>
              <w:t xml:space="preserve"> to 114</w:t>
            </w:r>
            <w:r w:rsidR="00CF4994">
              <w:t>.2</w:t>
            </w:r>
            <w:r>
              <w:t>5 GHz</w:t>
            </w:r>
          </w:p>
        </w:tc>
        <w:tc>
          <w:tcPr>
            <w:tcW w:w="1276" w:type="dxa"/>
          </w:tcPr>
          <w:p w14:paraId="281723C6" w14:textId="77777777" w:rsidR="0036627C" w:rsidRPr="0036627C" w:rsidRDefault="0036627C" w:rsidP="000A69BD">
            <w:pPr>
              <w:pStyle w:val="ECCTabletext"/>
              <w:jc w:val="left"/>
            </w:pPr>
            <w:r w:rsidRPr="0036627C">
              <w:rPr>
                <w:rStyle w:val="ECCParagraph"/>
              </w:rPr>
              <w:t>22</w:t>
            </w:r>
            <w:r w:rsidR="00C122ED">
              <w:rPr>
                <w:rStyle w:val="ECCParagraph"/>
              </w:rPr>
              <w:t> </w:t>
            </w:r>
            <w:r w:rsidRPr="0036627C">
              <w:rPr>
                <w:rStyle w:val="ECCParagraph"/>
              </w:rPr>
              <w:t>m</w:t>
            </w:r>
          </w:p>
        </w:tc>
        <w:tc>
          <w:tcPr>
            <w:tcW w:w="1418" w:type="dxa"/>
          </w:tcPr>
          <w:p w14:paraId="1AC426E4" w14:textId="77777777" w:rsidR="0036627C" w:rsidRPr="0036627C" w:rsidRDefault="0036627C" w:rsidP="000A69BD">
            <w:pPr>
              <w:pStyle w:val="ECCTabletext"/>
              <w:jc w:val="left"/>
            </w:pPr>
            <w:r w:rsidRPr="0036627C">
              <w:rPr>
                <w:rStyle w:val="ECCParagraph"/>
              </w:rPr>
              <w:t>9</w:t>
            </w:r>
            <w:r w:rsidR="00C122ED">
              <w:rPr>
                <w:rStyle w:val="ECCParagraph"/>
              </w:rPr>
              <w:t> </w:t>
            </w:r>
            <w:r w:rsidRPr="0036627C">
              <w:rPr>
                <w:rStyle w:val="ECCParagraph"/>
              </w:rPr>
              <w:t>m</w:t>
            </w:r>
          </w:p>
        </w:tc>
        <w:tc>
          <w:tcPr>
            <w:tcW w:w="1417" w:type="dxa"/>
          </w:tcPr>
          <w:p w14:paraId="7214C900" w14:textId="77777777" w:rsidR="0036627C" w:rsidRPr="0036627C" w:rsidRDefault="0036627C" w:rsidP="000A69BD">
            <w:pPr>
              <w:pStyle w:val="ECCTabletext"/>
              <w:jc w:val="left"/>
            </w:pPr>
            <w:r w:rsidRPr="0036627C">
              <w:rPr>
                <w:rStyle w:val="ECCParagraph"/>
              </w:rPr>
              <w:t>7</w:t>
            </w:r>
            <w:r w:rsidR="00C122ED">
              <w:rPr>
                <w:rStyle w:val="ECCParagraph"/>
              </w:rPr>
              <w:t> </w:t>
            </w:r>
            <w:r w:rsidRPr="0036627C">
              <w:rPr>
                <w:rStyle w:val="ECCParagraph"/>
              </w:rPr>
              <w:t>m</w:t>
            </w:r>
          </w:p>
        </w:tc>
        <w:tc>
          <w:tcPr>
            <w:tcW w:w="1559" w:type="dxa"/>
            <w:tcBorders>
              <w:right w:val="single" w:sz="4" w:space="0" w:color="FF0000"/>
            </w:tcBorders>
          </w:tcPr>
          <w:p w14:paraId="226FEC7A" w14:textId="77777777" w:rsidR="0036627C" w:rsidRPr="0036627C" w:rsidRDefault="0036627C" w:rsidP="000A69BD">
            <w:pPr>
              <w:pStyle w:val="ECCTabletext"/>
              <w:jc w:val="left"/>
            </w:pPr>
            <w:r w:rsidRPr="0036627C">
              <w:rPr>
                <w:rStyle w:val="ECCParagraph"/>
              </w:rPr>
              <w:t>1</w:t>
            </w:r>
            <w:r w:rsidR="00C122ED">
              <w:rPr>
                <w:rStyle w:val="ECCParagraph"/>
              </w:rPr>
              <w:t> </w:t>
            </w:r>
            <w:r w:rsidRPr="0036627C">
              <w:rPr>
                <w:rStyle w:val="ECCParagraph"/>
              </w:rPr>
              <w:t>m</w:t>
            </w:r>
          </w:p>
        </w:tc>
      </w:tr>
      <w:tr w:rsidR="00C122ED" w14:paraId="1FE3BDEB" w14:textId="77777777" w:rsidTr="006649F8">
        <w:tc>
          <w:tcPr>
            <w:tcW w:w="1838" w:type="dxa"/>
            <w:tcBorders>
              <w:left w:val="single" w:sz="4" w:space="0" w:color="FF0000"/>
              <w:bottom w:val="single" w:sz="4" w:space="0" w:color="FF0000"/>
            </w:tcBorders>
          </w:tcPr>
          <w:p w14:paraId="52AA66A7" w14:textId="6C5B6160" w:rsidR="0036627C" w:rsidRPr="0036627C" w:rsidRDefault="009D5FA2" w:rsidP="000A69BD">
            <w:pPr>
              <w:pStyle w:val="ECCTabletext"/>
              <w:jc w:val="left"/>
            </w:pPr>
            <w:r>
              <w:rPr>
                <w:rStyle w:val="ECCParagraph"/>
              </w:rPr>
              <w:t>Hand-held</w:t>
            </w:r>
            <w:r w:rsidR="0036627C" w:rsidRPr="0036627C">
              <w:rPr>
                <w:rStyle w:val="ECCParagraph"/>
              </w:rPr>
              <w:t>/mobile</w:t>
            </w:r>
          </w:p>
        </w:tc>
        <w:tc>
          <w:tcPr>
            <w:tcW w:w="1559" w:type="dxa"/>
            <w:tcBorders>
              <w:bottom w:val="single" w:sz="4" w:space="0" w:color="FF0000"/>
            </w:tcBorders>
          </w:tcPr>
          <w:p w14:paraId="6E30FC97" w14:textId="77777777" w:rsidR="0036627C" w:rsidRPr="0036627C" w:rsidRDefault="00C122ED" w:rsidP="000A69BD">
            <w:pPr>
              <w:pStyle w:val="ECCTabletext"/>
              <w:jc w:val="left"/>
            </w:pPr>
            <w:r>
              <w:t>130 to 134 GHz</w:t>
            </w:r>
          </w:p>
        </w:tc>
        <w:tc>
          <w:tcPr>
            <w:tcW w:w="1276" w:type="dxa"/>
            <w:tcBorders>
              <w:bottom w:val="single" w:sz="4" w:space="0" w:color="FF0000"/>
            </w:tcBorders>
          </w:tcPr>
          <w:p w14:paraId="68572A95" w14:textId="77777777" w:rsidR="0036627C" w:rsidRPr="0036627C" w:rsidRDefault="0036627C" w:rsidP="000A69BD">
            <w:pPr>
              <w:pStyle w:val="ECCTabletext"/>
              <w:jc w:val="left"/>
            </w:pPr>
            <w:r w:rsidRPr="0036627C">
              <w:rPr>
                <w:rStyle w:val="ECCParagraph"/>
              </w:rPr>
              <w:t>15</w:t>
            </w:r>
            <w:r w:rsidR="00C122ED">
              <w:rPr>
                <w:rStyle w:val="ECCParagraph"/>
              </w:rPr>
              <w:t> </w:t>
            </w:r>
            <w:r w:rsidRPr="0036627C">
              <w:rPr>
                <w:rStyle w:val="ECCParagraph"/>
              </w:rPr>
              <w:t>m</w:t>
            </w:r>
          </w:p>
        </w:tc>
        <w:tc>
          <w:tcPr>
            <w:tcW w:w="1418" w:type="dxa"/>
            <w:tcBorders>
              <w:bottom w:val="single" w:sz="4" w:space="0" w:color="FF0000"/>
            </w:tcBorders>
          </w:tcPr>
          <w:p w14:paraId="73098E89" w14:textId="77777777" w:rsidR="0036627C" w:rsidRPr="0036627C" w:rsidRDefault="0036627C" w:rsidP="000A69BD">
            <w:pPr>
              <w:pStyle w:val="ECCTabletext"/>
              <w:jc w:val="left"/>
            </w:pPr>
            <w:r w:rsidRPr="0036627C">
              <w:rPr>
                <w:rStyle w:val="ECCParagraph"/>
              </w:rPr>
              <w:t>6</w:t>
            </w:r>
            <w:r w:rsidR="00C122ED">
              <w:rPr>
                <w:rStyle w:val="ECCParagraph"/>
              </w:rPr>
              <w:t> </w:t>
            </w:r>
            <w:r w:rsidRPr="0036627C">
              <w:rPr>
                <w:rStyle w:val="ECCParagraph"/>
              </w:rPr>
              <w:t>m</w:t>
            </w:r>
          </w:p>
        </w:tc>
        <w:tc>
          <w:tcPr>
            <w:tcW w:w="1417" w:type="dxa"/>
            <w:tcBorders>
              <w:bottom w:val="single" w:sz="4" w:space="0" w:color="FF0000"/>
            </w:tcBorders>
          </w:tcPr>
          <w:p w14:paraId="50AE1A00" w14:textId="77777777" w:rsidR="0036627C" w:rsidRPr="0036627C" w:rsidRDefault="0036627C" w:rsidP="000A69BD">
            <w:pPr>
              <w:pStyle w:val="ECCTabletext"/>
              <w:jc w:val="left"/>
            </w:pPr>
            <w:r w:rsidRPr="0036627C">
              <w:rPr>
                <w:rStyle w:val="ECCParagraph"/>
              </w:rPr>
              <w:t>5</w:t>
            </w:r>
            <w:r w:rsidR="00C122ED">
              <w:rPr>
                <w:rStyle w:val="ECCParagraph"/>
              </w:rPr>
              <w:t> </w:t>
            </w:r>
            <w:r w:rsidRPr="0036627C">
              <w:rPr>
                <w:rStyle w:val="ECCParagraph"/>
              </w:rPr>
              <w:t>m</w:t>
            </w:r>
          </w:p>
        </w:tc>
        <w:tc>
          <w:tcPr>
            <w:tcW w:w="1559" w:type="dxa"/>
            <w:tcBorders>
              <w:bottom w:val="single" w:sz="4" w:space="0" w:color="FF0000"/>
              <w:right w:val="single" w:sz="4" w:space="0" w:color="FF0000"/>
            </w:tcBorders>
          </w:tcPr>
          <w:p w14:paraId="42285222" w14:textId="77777777" w:rsidR="0036627C" w:rsidRPr="0036627C" w:rsidRDefault="0036627C" w:rsidP="000A69BD">
            <w:pPr>
              <w:pStyle w:val="ECCTabletext"/>
              <w:jc w:val="left"/>
            </w:pPr>
            <w:r w:rsidRPr="0036627C">
              <w:rPr>
                <w:rStyle w:val="ECCParagraph"/>
              </w:rPr>
              <w:t>0</w:t>
            </w:r>
            <w:r w:rsidR="00C122ED">
              <w:rPr>
                <w:rStyle w:val="ECCParagraph"/>
              </w:rPr>
              <w:t> </w:t>
            </w:r>
            <w:r w:rsidRPr="0036627C">
              <w:rPr>
                <w:rStyle w:val="ECCParagraph"/>
              </w:rPr>
              <w:t>m</w:t>
            </w:r>
          </w:p>
        </w:tc>
      </w:tr>
      <w:tr w:rsidR="00C122ED" w14:paraId="6E9A45A7" w14:textId="77777777" w:rsidTr="006649F8">
        <w:tc>
          <w:tcPr>
            <w:tcW w:w="1838" w:type="dxa"/>
            <w:tcBorders>
              <w:left w:val="single" w:sz="4" w:space="0" w:color="FF0000"/>
              <w:bottom w:val="single" w:sz="4" w:space="0" w:color="FF0000"/>
            </w:tcBorders>
          </w:tcPr>
          <w:p w14:paraId="7EF9927F" w14:textId="08B3948B" w:rsidR="0036627C" w:rsidRPr="0036627C" w:rsidRDefault="009D5FA2" w:rsidP="000A69BD">
            <w:pPr>
              <w:pStyle w:val="ECCTabletext"/>
              <w:jc w:val="left"/>
            </w:pPr>
            <w:r>
              <w:rPr>
                <w:rStyle w:val="ECCParagraph"/>
              </w:rPr>
              <w:t>Hand-held</w:t>
            </w:r>
            <w:r w:rsidR="0036627C" w:rsidRPr="0036627C">
              <w:rPr>
                <w:rStyle w:val="ECCParagraph"/>
              </w:rPr>
              <w:t>/mobile</w:t>
            </w:r>
          </w:p>
        </w:tc>
        <w:tc>
          <w:tcPr>
            <w:tcW w:w="1559" w:type="dxa"/>
            <w:tcBorders>
              <w:bottom w:val="single" w:sz="4" w:space="0" w:color="FF0000"/>
            </w:tcBorders>
          </w:tcPr>
          <w:p w14:paraId="4775FFD5" w14:textId="77777777" w:rsidR="0036627C" w:rsidRPr="0036627C" w:rsidRDefault="00C122ED" w:rsidP="000A69BD">
            <w:pPr>
              <w:pStyle w:val="ECCTabletext"/>
              <w:jc w:val="left"/>
            </w:pPr>
            <w:r>
              <w:t>151</w:t>
            </w:r>
            <w:r w:rsidR="00CF4994">
              <w:t>.5</w:t>
            </w:r>
            <w:r>
              <w:t xml:space="preserve"> to 158</w:t>
            </w:r>
            <w:r w:rsidR="00CF4994">
              <w:t>.5</w:t>
            </w:r>
            <w:r>
              <w:t> GHz</w:t>
            </w:r>
          </w:p>
        </w:tc>
        <w:tc>
          <w:tcPr>
            <w:tcW w:w="1276" w:type="dxa"/>
            <w:tcBorders>
              <w:bottom w:val="single" w:sz="4" w:space="0" w:color="FF0000"/>
            </w:tcBorders>
          </w:tcPr>
          <w:p w14:paraId="14E46539" w14:textId="77777777" w:rsidR="0036627C" w:rsidRPr="0036627C" w:rsidRDefault="0036627C" w:rsidP="000A69BD">
            <w:pPr>
              <w:pStyle w:val="ECCTabletext"/>
              <w:jc w:val="left"/>
            </w:pPr>
            <w:r w:rsidRPr="0036627C">
              <w:rPr>
                <w:rStyle w:val="ECCParagraph"/>
              </w:rPr>
              <w:t>13</w:t>
            </w:r>
            <w:r w:rsidR="00C122ED">
              <w:rPr>
                <w:rStyle w:val="ECCParagraph"/>
              </w:rPr>
              <w:t> </w:t>
            </w:r>
            <w:r w:rsidRPr="0036627C">
              <w:rPr>
                <w:rStyle w:val="ECCParagraph"/>
              </w:rPr>
              <w:t>m</w:t>
            </w:r>
          </w:p>
        </w:tc>
        <w:tc>
          <w:tcPr>
            <w:tcW w:w="1418" w:type="dxa"/>
            <w:tcBorders>
              <w:bottom w:val="single" w:sz="4" w:space="0" w:color="FF0000"/>
            </w:tcBorders>
          </w:tcPr>
          <w:p w14:paraId="190C0331" w14:textId="77777777" w:rsidR="0036627C" w:rsidRPr="0036627C" w:rsidRDefault="0036627C" w:rsidP="000A69BD">
            <w:pPr>
              <w:pStyle w:val="ECCTabletext"/>
              <w:jc w:val="left"/>
            </w:pPr>
            <w:r w:rsidRPr="0036627C">
              <w:rPr>
                <w:rStyle w:val="ECCParagraph"/>
              </w:rPr>
              <w:t>5</w:t>
            </w:r>
            <w:r w:rsidR="00C122ED">
              <w:rPr>
                <w:rStyle w:val="ECCParagraph"/>
              </w:rPr>
              <w:t> </w:t>
            </w:r>
            <w:r w:rsidRPr="0036627C">
              <w:rPr>
                <w:rStyle w:val="ECCParagraph"/>
              </w:rPr>
              <w:t>m</w:t>
            </w:r>
          </w:p>
        </w:tc>
        <w:tc>
          <w:tcPr>
            <w:tcW w:w="1417" w:type="dxa"/>
            <w:tcBorders>
              <w:bottom w:val="single" w:sz="4" w:space="0" w:color="FF0000"/>
            </w:tcBorders>
          </w:tcPr>
          <w:p w14:paraId="7CE32D36" w14:textId="77777777" w:rsidR="0036627C" w:rsidRPr="0036627C" w:rsidRDefault="0036627C" w:rsidP="000A69BD">
            <w:pPr>
              <w:pStyle w:val="ECCTabletext"/>
              <w:jc w:val="left"/>
            </w:pPr>
            <w:r w:rsidRPr="0036627C">
              <w:rPr>
                <w:rStyle w:val="ECCParagraph"/>
              </w:rPr>
              <w:t>1</w:t>
            </w:r>
            <w:r w:rsidR="00C122ED">
              <w:rPr>
                <w:rStyle w:val="ECCParagraph"/>
              </w:rPr>
              <w:t> </w:t>
            </w:r>
            <w:r w:rsidRPr="0036627C">
              <w:rPr>
                <w:rStyle w:val="ECCParagraph"/>
              </w:rPr>
              <w:t>m</w:t>
            </w:r>
          </w:p>
        </w:tc>
        <w:tc>
          <w:tcPr>
            <w:tcW w:w="1559" w:type="dxa"/>
            <w:tcBorders>
              <w:bottom w:val="single" w:sz="4" w:space="0" w:color="FF0000"/>
              <w:right w:val="single" w:sz="4" w:space="0" w:color="FF0000"/>
            </w:tcBorders>
          </w:tcPr>
          <w:p w14:paraId="324A7C96" w14:textId="77777777" w:rsidR="0036627C" w:rsidRPr="0036627C" w:rsidRDefault="0036627C" w:rsidP="000A69BD">
            <w:pPr>
              <w:pStyle w:val="ECCTabletext"/>
              <w:jc w:val="left"/>
            </w:pPr>
            <w:r w:rsidRPr="0036627C">
              <w:rPr>
                <w:rStyle w:val="ECCParagraph"/>
              </w:rPr>
              <w:t>0</w:t>
            </w:r>
            <w:r w:rsidR="00C122ED">
              <w:rPr>
                <w:rStyle w:val="ECCParagraph"/>
              </w:rPr>
              <w:t xml:space="preserve"> </w:t>
            </w:r>
            <w:r w:rsidRPr="0036627C">
              <w:rPr>
                <w:rStyle w:val="ECCParagraph"/>
              </w:rPr>
              <w:t>m</w:t>
            </w:r>
          </w:p>
        </w:tc>
      </w:tr>
      <w:tr w:rsidR="00C122ED" w14:paraId="06D45C92" w14:textId="77777777" w:rsidTr="006649F8">
        <w:tc>
          <w:tcPr>
            <w:tcW w:w="1838" w:type="dxa"/>
            <w:tcBorders>
              <w:left w:val="single" w:sz="4" w:space="0" w:color="FF0000"/>
              <w:bottom w:val="single" w:sz="4" w:space="0" w:color="FF0000"/>
            </w:tcBorders>
          </w:tcPr>
          <w:p w14:paraId="2F6F1C98" w14:textId="77777777" w:rsidR="00C122ED" w:rsidRPr="00C122ED" w:rsidRDefault="00C122ED" w:rsidP="000A69BD">
            <w:pPr>
              <w:pStyle w:val="ECCTabletext"/>
              <w:jc w:val="left"/>
            </w:pPr>
            <w:r w:rsidRPr="007A46C3">
              <w:rPr>
                <w:rStyle w:val="ECCParagraph"/>
              </w:rPr>
              <w:t>Fixed</w:t>
            </w:r>
          </w:p>
        </w:tc>
        <w:tc>
          <w:tcPr>
            <w:tcW w:w="1559" w:type="dxa"/>
            <w:tcBorders>
              <w:bottom w:val="single" w:sz="4" w:space="0" w:color="FF0000"/>
            </w:tcBorders>
          </w:tcPr>
          <w:p w14:paraId="54A8AFAF" w14:textId="77777777" w:rsidR="00C122ED" w:rsidRPr="00C122ED" w:rsidRDefault="00C122ED" w:rsidP="000A69BD">
            <w:pPr>
              <w:pStyle w:val="ECCTabletext"/>
              <w:jc w:val="left"/>
            </w:pPr>
            <w:r>
              <w:t>111</w:t>
            </w:r>
            <w:r w:rsidR="00CF4994">
              <w:t>.8</w:t>
            </w:r>
            <w:r>
              <w:t xml:space="preserve"> to 114</w:t>
            </w:r>
            <w:r w:rsidR="00CF4994">
              <w:t>.2</w:t>
            </w:r>
            <w:r>
              <w:t>5 GHz</w:t>
            </w:r>
          </w:p>
        </w:tc>
        <w:tc>
          <w:tcPr>
            <w:tcW w:w="1276" w:type="dxa"/>
            <w:tcBorders>
              <w:bottom w:val="single" w:sz="4" w:space="0" w:color="FF0000"/>
            </w:tcBorders>
          </w:tcPr>
          <w:p w14:paraId="6668BCD1" w14:textId="77777777" w:rsidR="00C122ED" w:rsidRPr="00C122ED" w:rsidRDefault="00C122ED" w:rsidP="000A69BD">
            <w:pPr>
              <w:pStyle w:val="ECCTabletext"/>
              <w:jc w:val="left"/>
            </w:pPr>
            <w:r w:rsidRPr="0036627C">
              <w:rPr>
                <w:rStyle w:val="ECCParagraph"/>
              </w:rPr>
              <w:t>50</w:t>
            </w:r>
            <w:r>
              <w:rPr>
                <w:rStyle w:val="ECCParagraph"/>
              </w:rPr>
              <w:t> </w:t>
            </w:r>
            <w:r w:rsidRPr="0036627C">
              <w:rPr>
                <w:rStyle w:val="ECCParagraph"/>
              </w:rPr>
              <w:t>m</w:t>
            </w:r>
          </w:p>
        </w:tc>
        <w:tc>
          <w:tcPr>
            <w:tcW w:w="1418" w:type="dxa"/>
            <w:tcBorders>
              <w:bottom w:val="single" w:sz="4" w:space="0" w:color="FF0000"/>
            </w:tcBorders>
          </w:tcPr>
          <w:p w14:paraId="5B207B83" w14:textId="77777777" w:rsidR="00C122ED" w:rsidRPr="00C122ED" w:rsidRDefault="00C122ED" w:rsidP="000A69BD">
            <w:pPr>
              <w:pStyle w:val="ECCTabletext"/>
              <w:jc w:val="left"/>
            </w:pPr>
            <w:r w:rsidRPr="0036627C">
              <w:rPr>
                <w:rStyle w:val="ECCParagraph"/>
              </w:rPr>
              <w:t>9</w:t>
            </w:r>
            <w:r>
              <w:rPr>
                <w:rStyle w:val="ECCParagraph"/>
              </w:rPr>
              <w:t> </w:t>
            </w:r>
            <w:r w:rsidRPr="0036627C">
              <w:rPr>
                <w:rStyle w:val="ECCParagraph"/>
              </w:rPr>
              <w:t>m</w:t>
            </w:r>
          </w:p>
        </w:tc>
        <w:tc>
          <w:tcPr>
            <w:tcW w:w="1417" w:type="dxa"/>
            <w:tcBorders>
              <w:bottom w:val="single" w:sz="4" w:space="0" w:color="FF0000"/>
            </w:tcBorders>
          </w:tcPr>
          <w:p w14:paraId="082F256A" w14:textId="77777777" w:rsidR="00C122ED" w:rsidRPr="00C122ED" w:rsidRDefault="00C122ED" w:rsidP="000A69BD">
            <w:pPr>
              <w:pStyle w:val="ECCTabletext"/>
              <w:jc w:val="left"/>
            </w:pPr>
            <w:r w:rsidRPr="0036627C">
              <w:rPr>
                <w:rStyle w:val="ECCParagraph"/>
              </w:rPr>
              <w:t>5</w:t>
            </w:r>
            <w:r>
              <w:rPr>
                <w:rStyle w:val="ECCParagraph"/>
              </w:rPr>
              <w:t> </w:t>
            </w:r>
            <w:r w:rsidRPr="0036627C">
              <w:rPr>
                <w:rStyle w:val="ECCParagraph"/>
              </w:rPr>
              <w:t>m</w:t>
            </w:r>
          </w:p>
        </w:tc>
        <w:tc>
          <w:tcPr>
            <w:tcW w:w="1559" w:type="dxa"/>
            <w:tcBorders>
              <w:bottom w:val="single" w:sz="4" w:space="0" w:color="FF0000"/>
              <w:right w:val="single" w:sz="4" w:space="0" w:color="FF0000"/>
            </w:tcBorders>
          </w:tcPr>
          <w:p w14:paraId="13BAF84D" w14:textId="77777777" w:rsidR="00C122ED" w:rsidRPr="00C122ED" w:rsidRDefault="00C122ED" w:rsidP="000A69BD">
            <w:pPr>
              <w:pStyle w:val="ECCTabletext"/>
              <w:jc w:val="left"/>
            </w:pPr>
            <w:r w:rsidRPr="0036627C">
              <w:rPr>
                <w:rStyle w:val="ECCParagraph"/>
              </w:rPr>
              <w:t>1</w:t>
            </w:r>
            <w:r>
              <w:rPr>
                <w:rStyle w:val="ECCParagraph"/>
              </w:rPr>
              <w:t xml:space="preserve"> </w:t>
            </w:r>
            <w:r w:rsidRPr="0036627C">
              <w:rPr>
                <w:rStyle w:val="ECCParagraph"/>
              </w:rPr>
              <w:t>m</w:t>
            </w:r>
          </w:p>
        </w:tc>
      </w:tr>
      <w:tr w:rsidR="00C122ED" w14:paraId="6F0AD888" w14:textId="77777777" w:rsidTr="006649F8">
        <w:tc>
          <w:tcPr>
            <w:tcW w:w="1838" w:type="dxa"/>
            <w:tcBorders>
              <w:left w:val="single" w:sz="4" w:space="0" w:color="FF0000"/>
              <w:bottom w:val="single" w:sz="4" w:space="0" w:color="FF0000"/>
            </w:tcBorders>
          </w:tcPr>
          <w:p w14:paraId="1BF0022A" w14:textId="77777777" w:rsidR="00C122ED" w:rsidRPr="00C122ED" w:rsidRDefault="00C122ED" w:rsidP="000A69BD">
            <w:pPr>
              <w:pStyle w:val="ECCTabletext"/>
              <w:jc w:val="left"/>
            </w:pPr>
            <w:r w:rsidRPr="007A46C3">
              <w:rPr>
                <w:rStyle w:val="ECCParagraph"/>
              </w:rPr>
              <w:t>Fixed</w:t>
            </w:r>
          </w:p>
        </w:tc>
        <w:tc>
          <w:tcPr>
            <w:tcW w:w="1559" w:type="dxa"/>
            <w:tcBorders>
              <w:bottom w:val="single" w:sz="4" w:space="0" w:color="FF0000"/>
            </w:tcBorders>
          </w:tcPr>
          <w:p w14:paraId="618FD6C7" w14:textId="77777777" w:rsidR="00C122ED" w:rsidRPr="00C122ED" w:rsidRDefault="00C122ED" w:rsidP="000A69BD">
            <w:pPr>
              <w:pStyle w:val="ECCTabletext"/>
              <w:jc w:val="left"/>
            </w:pPr>
            <w:r>
              <w:t>130 to 1</w:t>
            </w:r>
            <w:r w:rsidRPr="00C122ED">
              <w:t>34 GHz</w:t>
            </w:r>
          </w:p>
        </w:tc>
        <w:tc>
          <w:tcPr>
            <w:tcW w:w="1276" w:type="dxa"/>
            <w:tcBorders>
              <w:bottom w:val="single" w:sz="4" w:space="0" w:color="FF0000"/>
            </w:tcBorders>
          </w:tcPr>
          <w:p w14:paraId="662F821B" w14:textId="77777777" w:rsidR="00C122ED" w:rsidRPr="00C122ED" w:rsidRDefault="00C122ED" w:rsidP="000A69BD">
            <w:pPr>
              <w:pStyle w:val="ECCTabletext"/>
              <w:jc w:val="left"/>
            </w:pPr>
            <w:r w:rsidRPr="0036627C">
              <w:rPr>
                <w:rStyle w:val="ECCParagraph"/>
              </w:rPr>
              <w:t>34</w:t>
            </w:r>
            <w:r>
              <w:rPr>
                <w:rStyle w:val="ECCParagraph"/>
              </w:rPr>
              <w:t> </w:t>
            </w:r>
            <w:r w:rsidRPr="0036627C">
              <w:rPr>
                <w:rStyle w:val="ECCParagraph"/>
              </w:rPr>
              <w:t>m</w:t>
            </w:r>
          </w:p>
        </w:tc>
        <w:tc>
          <w:tcPr>
            <w:tcW w:w="1418" w:type="dxa"/>
            <w:tcBorders>
              <w:bottom w:val="single" w:sz="4" w:space="0" w:color="FF0000"/>
            </w:tcBorders>
          </w:tcPr>
          <w:p w14:paraId="479F42A4" w14:textId="77777777" w:rsidR="00C122ED" w:rsidRPr="00C122ED" w:rsidRDefault="00C122ED" w:rsidP="000A69BD">
            <w:pPr>
              <w:pStyle w:val="ECCTabletext"/>
              <w:jc w:val="left"/>
            </w:pPr>
            <w:r w:rsidRPr="0036627C">
              <w:rPr>
                <w:rStyle w:val="ECCParagraph"/>
              </w:rPr>
              <w:t>6</w:t>
            </w:r>
            <w:r>
              <w:rPr>
                <w:rStyle w:val="ECCParagraph"/>
              </w:rPr>
              <w:t> </w:t>
            </w:r>
            <w:r w:rsidRPr="0036627C">
              <w:rPr>
                <w:rStyle w:val="ECCParagraph"/>
              </w:rPr>
              <w:t>m</w:t>
            </w:r>
          </w:p>
        </w:tc>
        <w:tc>
          <w:tcPr>
            <w:tcW w:w="1417" w:type="dxa"/>
            <w:tcBorders>
              <w:bottom w:val="single" w:sz="4" w:space="0" w:color="FF0000"/>
            </w:tcBorders>
          </w:tcPr>
          <w:p w14:paraId="43CC5895" w14:textId="77777777" w:rsidR="00C122ED" w:rsidRPr="00C122ED" w:rsidRDefault="00C122ED" w:rsidP="000A69BD">
            <w:pPr>
              <w:pStyle w:val="ECCTabletext"/>
              <w:jc w:val="left"/>
            </w:pPr>
            <w:r w:rsidRPr="0036627C">
              <w:rPr>
                <w:rStyle w:val="ECCParagraph"/>
              </w:rPr>
              <w:t>4</w:t>
            </w:r>
            <w:r>
              <w:rPr>
                <w:rStyle w:val="ECCParagraph"/>
              </w:rPr>
              <w:t> </w:t>
            </w:r>
            <w:r w:rsidRPr="0036627C">
              <w:rPr>
                <w:rStyle w:val="ECCParagraph"/>
              </w:rPr>
              <w:t>m</w:t>
            </w:r>
          </w:p>
        </w:tc>
        <w:tc>
          <w:tcPr>
            <w:tcW w:w="1559" w:type="dxa"/>
            <w:tcBorders>
              <w:bottom w:val="single" w:sz="4" w:space="0" w:color="FF0000"/>
              <w:right w:val="single" w:sz="4" w:space="0" w:color="FF0000"/>
            </w:tcBorders>
          </w:tcPr>
          <w:p w14:paraId="116F1F27" w14:textId="77777777" w:rsidR="00C122ED" w:rsidRPr="00C122ED" w:rsidRDefault="00C122ED" w:rsidP="000A69BD">
            <w:pPr>
              <w:pStyle w:val="ECCTabletext"/>
              <w:jc w:val="left"/>
            </w:pPr>
            <w:r w:rsidRPr="0036627C">
              <w:rPr>
                <w:rStyle w:val="ECCParagraph"/>
              </w:rPr>
              <w:t>1</w:t>
            </w:r>
            <w:r>
              <w:rPr>
                <w:rStyle w:val="ECCParagraph"/>
              </w:rPr>
              <w:t> </w:t>
            </w:r>
            <w:r w:rsidRPr="0036627C">
              <w:rPr>
                <w:rStyle w:val="ECCParagraph"/>
              </w:rPr>
              <w:t>m</w:t>
            </w:r>
          </w:p>
        </w:tc>
      </w:tr>
      <w:tr w:rsidR="00C122ED" w14:paraId="4FF9BB9A" w14:textId="77777777" w:rsidTr="006649F8">
        <w:tc>
          <w:tcPr>
            <w:tcW w:w="1838" w:type="dxa"/>
            <w:tcBorders>
              <w:left w:val="single" w:sz="4" w:space="0" w:color="FF0000"/>
            </w:tcBorders>
          </w:tcPr>
          <w:p w14:paraId="0E21D08C" w14:textId="77777777" w:rsidR="00C122ED" w:rsidRPr="00C122ED" w:rsidRDefault="00C122ED" w:rsidP="000A69BD">
            <w:pPr>
              <w:pStyle w:val="ECCTabletext"/>
              <w:jc w:val="left"/>
            </w:pPr>
            <w:r w:rsidRPr="007A46C3">
              <w:rPr>
                <w:rStyle w:val="ECCParagraph"/>
              </w:rPr>
              <w:t>Fixed</w:t>
            </w:r>
          </w:p>
        </w:tc>
        <w:tc>
          <w:tcPr>
            <w:tcW w:w="1559" w:type="dxa"/>
          </w:tcPr>
          <w:p w14:paraId="424A3724" w14:textId="77777777" w:rsidR="00C122ED" w:rsidRPr="00C122ED" w:rsidRDefault="00C122ED" w:rsidP="000A69BD">
            <w:pPr>
              <w:pStyle w:val="ECCTabletext"/>
              <w:jc w:val="left"/>
            </w:pPr>
            <w:r>
              <w:t>151</w:t>
            </w:r>
            <w:r w:rsidR="00CF4994">
              <w:t>.5</w:t>
            </w:r>
            <w:r w:rsidRPr="00C122ED">
              <w:t xml:space="preserve"> to 158</w:t>
            </w:r>
            <w:r w:rsidR="00CF4994">
              <w:t>.5</w:t>
            </w:r>
            <w:r w:rsidRPr="00C122ED">
              <w:t> GHz</w:t>
            </w:r>
          </w:p>
        </w:tc>
        <w:tc>
          <w:tcPr>
            <w:tcW w:w="1276" w:type="dxa"/>
          </w:tcPr>
          <w:p w14:paraId="34324755" w14:textId="77777777" w:rsidR="00C122ED" w:rsidRPr="00C122ED" w:rsidRDefault="00C122ED" w:rsidP="000A69BD">
            <w:pPr>
              <w:pStyle w:val="ECCTabletext"/>
              <w:jc w:val="left"/>
            </w:pPr>
            <w:r w:rsidRPr="0036627C">
              <w:rPr>
                <w:rStyle w:val="ECCParagraph"/>
              </w:rPr>
              <w:t>28</w:t>
            </w:r>
            <w:r>
              <w:rPr>
                <w:rStyle w:val="ECCParagraph"/>
              </w:rPr>
              <w:t> </w:t>
            </w:r>
            <w:r w:rsidRPr="0036627C">
              <w:rPr>
                <w:rStyle w:val="ECCParagraph"/>
              </w:rPr>
              <w:t>m</w:t>
            </w:r>
          </w:p>
        </w:tc>
        <w:tc>
          <w:tcPr>
            <w:tcW w:w="1418" w:type="dxa"/>
          </w:tcPr>
          <w:p w14:paraId="07E746E6" w14:textId="77777777" w:rsidR="00C122ED" w:rsidRPr="00C122ED" w:rsidRDefault="00C122ED" w:rsidP="000A69BD">
            <w:pPr>
              <w:pStyle w:val="ECCTabletext"/>
              <w:jc w:val="left"/>
            </w:pPr>
            <w:r w:rsidRPr="0036627C">
              <w:rPr>
                <w:rStyle w:val="ECCParagraph"/>
              </w:rPr>
              <w:t>5</w:t>
            </w:r>
            <w:r>
              <w:rPr>
                <w:rStyle w:val="ECCParagraph"/>
              </w:rPr>
              <w:t> </w:t>
            </w:r>
            <w:r w:rsidRPr="0036627C">
              <w:rPr>
                <w:rStyle w:val="ECCParagraph"/>
              </w:rPr>
              <w:t>m</w:t>
            </w:r>
          </w:p>
        </w:tc>
        <w:tc>
          <w:tcPr>
            <w:tcW w:w="1417" w:type="dxa"/>
          </w:tcPr>
          <w:p w14:paraId="4E978FD0" w14:textId="77777777" w:rsidR="00C122ED" w:rsidRPr="00C122ED" w:rsidRDefault="00C122ED" w:rsidP="000A69BD">
            <w:pPr>
              <w:pStyle w:val="ECCTabletext"/>
              <w:jc w:val="left"/>
            </w:pPr>
            <w:r w:rsidRPr="0036627C">
              <w:rPr>
                <w:rStyle w:val="ECCParagraph"/>
              </w:rPr>
              <w:t>3</w:t>
            </w:r>
            <w:r>
              <w:rPr>
                <w:rStyle w:val="ECCParagraph"/>
              </w:rPr>
              <w:t> </w:t>
            </w:r>
            <w:r w:rsidRPr="0036627C">
              <w:rPr>
                <w:rStyle w:val="ECCParagraph"/>
              </w:rPr>
              <w:t>m</w:t>
            </w:r>
          </w:p>
        </w:tc>
        <w:tc>
          <w:tcPr>
            <w:tcW w:w="1559" w:type="dxa"/>
            <w:tcBorders>
              <w:right w:val="single" w:sz="4" w:space="0" w:color="FF0000"/>
            </w:tcBorders>
          </w:tcPr>
          <w:p w14:paraId="2775097D" w14:textId="77777777" w:rsidR="00C122ED" w:rsidRPr="00C122ED" w:rsidRDefault="00C122ED" w:rsidP="000A69BD">
            <w:pPr>
              <w:pStyle w:val="ECCTabletext"/>
              <w:jc w:val="left"/>
            </w:pPr>
            <w:r w:rsidRPr="0036627C">
              <w:rPr>
                <w:rStyle w:val="ECCParagraph"/>
              </w:rPr>
              <w:t>1</w:t>
            </w:r>
            <w:r>
              <w:rPr>
                <w:rStyle w:val="ECCParagraph"/>
              </w:rPr>
              <w:t> </w:t>
            </w:r>
            <w:r w:rsidRPr="0036627C">
              <w:rPr>
                <w:rStyle w:val="ECCParagraph"/>
              </w:rPr>
              <w:t>m</w:t>
            </w:r>
          </w:p>
        </w:tc>
      </w:tr>
      <w:tr w:rsidR="00DD1A24" w14:paraId="4327271B" w14:textId="77777777" w:rsidTr="006649F8">
        <w:tc>
          <w:tcPr>
            <w:tcW w:w="9067" w:type="dxa"/>
            <w:gridSpan w:val="6"/>
            <w:tcBorders>
              <w:left w:val="single" w:sz="4" w:space="0" w:color="FF0000"/>
              <w:bottom w:val="single" w:sz="4" w:space="0" w:color="FF0000"/>
              <w:right w:val="single" w:sz="4" w:space="0" w:color="FF0000"/>
            </w:tcBorders>
          </w:tcPr>
          <w:p w14:paraId="3A9EEFD1" w14:textId="77777777" w:rsidR="00DD1A24" w:rsidRPr="00DD1A24" w:rsidRDefault="00DD1A24" w:rsidP="00464AE0">
            <w:pPr>
              <w:pStyle w:val="ECCTablenote"/>
              <w:rPr>
                <w:rStyle w:val="ECCParagraph"/>
                <w:sz w:val="16"/>
              </w:rPr>
            </w:pPr>
            <w:r w:rsidRPr="00DD1A24">
              <w:rPr>
                <w:rStyle w:val="ECCParagraph"/>
                <w:sz w:val="16"/>
              </w:rPr>
              <w:t>Note 1: Assumed FS antenna gain based on misalignment in the individual scenario:</w:t>
            </w:r>
          </w:p>
          <w:p w14:paraId="7E62FBD7" w14:textId="77777777" w:rsidR="00DD1A24" w:rsidRPr="00DD1A24" w:rsidRDefault="00DD1A24" w:rsidP="00464AE0">
            <w:pPr>
              <w:pStyle w:val="ECCTablenote"/>
              <w:rPr>
                <w:rStyle w:val="ECCParagraph"/>
                <w:sz w:val="16"/>
              </w:rPr>
            </w:pPr>
            <w:r w:rsidRPr="00DD1A24">
              <w:rPr>
                <w:rStyle w:val="ECCParagraph"/>
                <w:sz w:val="16"/>
              </w:rPr>
              <w:t>Scenario 1: 37</w:t>
            </w:r>
            <w:r w:rsidR="00CF4994">
              <w:rPr>
                <w:rStyle w:val="ECCParagraph"/>
                <w:sz w:val="16"/>
              </w:rPr>
              <w:t>.5</w:t>
            </w:r>
            <w:r w:rsidRPr="00DD1A24">
              <w:rPr>
                <w:rStyle w:val="ECCParagraph"/>
                <w:sz w:val="16"/>
              </w:rPr>
              <w:t> dBi</w:t>
            </w:r>
          </w:p>
          <w:p w14:paraId="36645BEB" w14:textId="77777777" w:rsidR="00DD1A24" w:rsidRPr="0036627C" w:rsidRDefault="00DD1A24" w:rsidP="00464AE0">
            <w:pPr>
              <w:pStyle w:val="ECCTablenote"/>
              <w:rPr>
                <w:rStyle w:val="ECCParagraph"/>
              </w:rPr>
            </w:pPr>
            <w:r w:rsidRPr="00DD1A24">
              <w:rPr>
                <w:rStyle w:val="ECCParagraph"/>
                <w:sz w:val="16"/>
              </w:rPr>
              <w:t>Scenario 2: 18 </w:t>
            </w:r>
            <w:r w:rsidRPr="00DD1A24">
              <w:t>dBi.</w:t>
            </w:r>
          </w:p>
        </w:tc>
      </w:tr>
    </w:tbl>
    <w:p w14:paraId="5013FD64" w14:textId="767D90E0" w:rsidR="00E409DD" w:rsidRDefault="00FD6209" w:rsidP="00E409DD">
      <w:r>
        <w:fldChar w:fldCharType="begin"/>
      </w:r>
      <w:r>
        <w:instrText xml:space="preserve"> REF _Ref67585915 \h </w:instrText>
      </w:r>
      <w:r>
        <w:fldChar w:fldCharType="separate"/>
      </w:r>
      <w:r w:rsidR="0041125F" w:rsidRPr="007C3BF5">
        <w:t>Table </w:t>
      </w:r>
      <w:r w:rsidR="0041125F">
        <w:rPr>
          <w:noProof/>
        </w:rPr>
        <w:t>69</w:t>
      </w:r>
      <w:r>
        <w:fldChar w:fldCharType="end"/>
      </w:r>
      <w:r>
        <w:t xml:space="preserve"> </w:t>
      </w:r>
      <w:r w:rsidR="00E409DD">
        <w:t xml:space="preserve">shows the results of the necessary </w:t>
      </w:r>
      <w:r>
        <w:t>separation</w:t>
      </w:r>
      <w:r w:rsidR="00E409DD">
        <w:t xml:space="preserve"> distance</w:t>
      </w:r>
      <w:r>
        <w:t>s</w:t>
      </w:r>
      <w:r w:rsidR="00E409DD">
        <w:t xml:space="preserve"> </w:t>
      </w:r>
      <w:r>
        <w:t>for</w:t>
      </w:r>
      <w:r w:rsidR="00E409DD">
        <w:t xml:space="preserve"> a single </w:t>
      </w:r>
      <w:r>
        <w:t>indoor</w:t>
      </w:r>
      <w:r w:rsidR="00E409DD">
        <w:t xml:space="preserve"> device </w:t>
      </w:r>
      <w:r>
        <w:t xml:space="preserve">in the </w:t>
      </w:r>
      <w:r w:rsidR="00E409DD">
        <w:t>interference scenario 1</w:t>
      </w:r>
      <w:r>
        <w:t xml:space="preserve"> based on </w:t>
      </w:r>
      <w:r>
        <w:fldChar w:fldCharType="begin"/>
      </w:r>
      <w:r>
        <w:instrText xml:space="preserve"> REF _Ref67581125 \h </w:instrText>
      </w:r>
      <w:r>
        <w:fldChar w:fldCharType="separate"/>
      </w:r>
      <w:r w:rsidR="0041125F">
        <w:t>Aggregate</w:t>
      </w:r>
      <w:r w:rsidR="0041125F" w:rsidRPr="00495823">
        <w:t xml:space="preserve"> case 1</w:t>
      </w:r>
      <w:r>
        <w:fldChar w:fldCharType="end"/>
      </w:r>
      <w:r>
        <w:t>.</w:t>
      </w:r>
    </w:p>
    <w:p w14:paraId="29ECC337" w14:textId="100101F3" w:rsidR="00FD6209" w:rsidRDefault="00FD6209" w:rsidP="00FD6209">
      <w:pPr>
        <w:pStyle w:val="Caption"/>
      </w:pPr>
      <w:bookmarkStart w:id="637" w:name="_Ref67585915"/>
      <w:r w:rsidRPr="007C3BF5">
        <w:t>Table </w:t>
      </w:r>
      <w:r w:rsidRPr="00240396">
        <w:fldChar w:fldCharType="begin"/>
      </w:r>
      <w:r>
        <w:instrText xml:space="preserve"> SEQ Table \* ARABIC </w:instrText>
      </w:r>
      <w:r w:rsidRPr="00240396">
        <w:fldChar w:fldCharType="separate"/>
      </w:r>
      <w:r w:rsidR="004F49F9">
        <w:rPr>
          <w:noProof/>
        </w:rPr>
        <w:t>69</w:t>
      </w:r>
      <w:r w:rsidRPr="00240396">
        <w:fldChar w:fldCharType="end"/>
      </w:r>
      <w:bookmarkEnd w:id="637"/>
      <w:r w:rsidRPr="002876E6">
        <w:t>: Required separation distances determin</w:t>
      </w:r>
      <w:r>
        <w:t>ed for a single indoor device in the interference sce</w:t>
      </w:r>
      <w:r w:rsidR="00A603D0">
        <w:t>na</w:t>
      </w:r>
      <w:r>
        <w:t xml:space="preserve">rio 1 based on </w:t>
      </w:r>
      <w:r>
        <w:fldChar w:fldCharType="begin"/>
      </w:r>
      <w:r>
        <w:instrText xml:space="preserve"> REF _Ref67581125 \h </w:instrText>
      </w:r>
      <w:r>
        <w:fldChar w:fldCharType="separate"/>
      </w:r>
      <w:r w:rsidR="0041125F">
        <w:t>Aggregate</w:t>
      </w:r>
      <w:r w:rsidR="0041125F" w:rsidRPr="00495823">
        <w:t xml:space="preserve"> case 1</w:t>
      </w:r>
      <w:r>
        <w:fldChar w:fldCharType="end"/>
      </w:r>
      <w:r>
        <w:t>.</w:t>
      </w:r>
    </w:p>
    <w:tbl>
      <w:tblPr>
        <w:tblStyle w:val="ECCTable-redheader"/>
        <w:tblW w:w="0" w:type="auto"/>
        <w:tblInd w:w="0" w:type="dxa"/>
        <w:tblLayout w:type="fixed"/>
        <w:tblLook w:val="04A0" w:firstRow="1" w:lastRow="0" w:firstColumn="1" w:lastColumn="0" w:noHBand="0" w:noVBand="1"/>
      </w:tblPr>
      <w:tblGrid>
        <w:gridCol w:w="1696"/>
        <w:gridCol w:w="1134"/>
        <w:gridCol w:w="1560"/>
        <w:gridCol w:w="1984"/>
        <w:gridCol w:w="2834"/>
      </w:tblGrid>
      <w:tr w:rsidR="00CD2C21" w14:paraId="2E487BFD" w14:textId="77777777" w:rsidTr="00BF4A4B">
        <w:trPr>
          <w:cnfStyle w:val="100000000000" w:firstRow="1" w:lastRow="0" w:firstColumn="0" w:lastColumn="0" w:oddVBand="0" w:evenVBand="0" w:oddHBand="0" w:evenHBand="0" w:firstRowFirstColumn="0" w:firstRowLastColumn="0" w:lastRowFirstColumn="0" w:lastRowLastColumn="0"/>
        </w:trPr>
        <w:tc>
          <w:tcPr>
            <w:tcW w:w="1696" w:type="dxa"/>
            <w:tcBorders>
              <w:top w:val="single" w:sz="4" w:space="0" w:color="FF0000"/>
              <w:left w:val="single" w:sz="4" w:space="0" w:color="FF0000"/>
            </w:tcBorders>
          </w:tcPr>
          <w:p w14:paraId="7B09DF4E" w14:textId="77777777" w:rsidR="00CD2C21" w:rsidRPr="00CD2C21" w:rsidRDefault="00CD2C21" w:rsidP="00876039">
            <w:pPr>
              <w:pStyle w:val="ECCTableHeaderwhitefont"/>
            </w:pPr>
            <w:r w:rsidRPr="0024694C">
              <w:t>Floor/device height</w:t>
            </w:r>
          </w:p>
        </w:tc>
        <w:tc>
          <w:tcPr>
            <w:tcW w:w="1134" w:type="dxa"/>
            <w:tcBorders>
              <w:top w:val="single" w:sz="4" w:space="0" w:color="FF0000"/>
              <w:bottom w:val="single" w:sz="4" w:space="0" w:color="FF0000"/>
            </w:tcBorders>
          </w:tcPr>
          <w:p w14:paraId="44C8BABB" w14:textId="77777777" w:rsidR="00CD2C21" w:rsidRPr="00CD2C21" w:rsidRDefault="00CD2C21" w:rsidP="000A69BD">
            <w:pPr>
              <w:pStyle w:val="ECCTableHeaderwhitefont"/>
            </w:pPr>
            <w:r w:rsidRPr="0024694C">
              <w:rPr>
                <w:rStyle w:val="ECCParagraph"/>
              </w:rPr>
              <w:t xml:space="preserve">Angle </w:t>
            </w:r>
            <w:r w:rsidRPr="00CD2C21">
              <w:rPr>
                <w:rStyle w:val="ECCParagraph"/>
              </w:rPr>
              <w:t>β</w:t>
            </w:r>
          </w:p>
        </w:tc>
        <w:tc>
          <w:tcPr>
            <w:tcW w:w="1560" w:type="dxa"/>
            <w:tcBorders>
              <w:top w:val="single" w:sz="4" w:space="0" w:color="FF0000"/>
              <w:bottom w:val="single" w:sz="4" w:space="0" w:color="FF0000"/>
            </w:tcBorders>
          </w:tcPr>
          <w:p w14:paraId="63B07A76" w14:textId="77777777" w:rsidR="00CD2C21" w:rsidRPr="00CD2C21" w:rsidRDefault="00CD2C21" w:rsidP="000A69BD">
            <w:pPr>
              <w:pStyle w:val="ECCTableHeaderwhitefont"/>
              <w:rPr>
                <w:rStyle w:val="ECCParagraph"/>
              </w:rPr>
            </w:pPr>
            <w:r w:rsidRPr="0024694C">
              <w:rPr>
                <w:rStyle w:val="ECCParagraph"/>
              </w:rPr>
              <w:t>Misalignment reference α=3</w:t>
            </w:r>
            <w:r w:rsidR="00CF4994">
              <w:rPr>
                <w:rStyle w:val="ECCParagraph"/>
              </w:rPr>
              <w:t>.6</w:t>
            </w:r>
            <w:r w:rsidRPr="0024694C">
              <w:rPr>
                <w:rStyle w:val="ECCParagraph"/>
              </w:rPr>
              <w:t>24°</w:t>
            </w:r>
          </w:p>
        </w:tc>
        <w:tc>
          <w:tcPr>
            <w:tcW w:w="1984" w:type="dxa"/>
            <w:tcBorders>
              <w:top w:val="single" w:sz="4" w:space="0" w:color="FF0000"/>
              <w:bottom w:val="single" w:sz="4" w:space="0" w:color="FF0000"/>
            </w:tcBorders>
          </w:tcPr>
          <w:p w14:paraId="0456FB9B" w14:textId="77777777" w:rsidR="00CD2C21" w:rsidRPr="00CD2C21" w:rsidRDefault="00CD2C21" w:rsidP="000A69BD">
            <w:pPr>
              <w:pStyle w:val="ECCTableHeaderwhitefont"/>
            </w:pPr>
            <w:r w:rsidRPr="0024694C">
              <w:t>Antenna gain FS receiver</w:t>
            </w:r>
          </w:p>
        </w:tc>
        <w:tc>
          <w:tcPr>
            <w:tcW w:w="2834" w:type="dxa"/>
            <w:tcBorders>
              <w:top w:val="single" w:sz="4" w:space="0" w:color="FF0000"/>
              <w:bottom w:val="single" w:sz="4" w:space="0" w:color="FF0000"/>
            </w:tcBorders>
            <w:vAlign w:val="top"/>
          </w:tcPr>
          <w:p w14:paraId="17FF0AA8" w14:textId="77777777" w:rsidR="00CD2C21" w:rsidRPr="00CD2C21" w:rsidRDefault="00CD2C21" w:rsidP="000A69BD">
            <w:pPr>
              <w:pStyle w:val="ECCTableHeaderwhitefont"/>
              <w:rPr>
                <w:rStyle w:val="ECCParagraph"/>
              </w:rPr>
            </w:pPr>
            <w:r w:rsidRPr="0024694C">
              <w:t>Required separation distance for a single indoor device</w:t>
            </w:r>
          </w:p>
        </w:tc>
      </w:tr>
      <w:tr w:rsidR="00CD2C21" w14:paraId="2C6E1981" w14:textId="77777777" w:rsidTr="00BF4A4B">
        <w:tc>
          <w:tcPr>
            <w:tcW w:w="1696" w:type="dxa"/>
            <w:tcBorders>
              <w:left w:val="single" w:sz="4" w:space="0" w:color="FF0000"/>
            </w:tcBorders>
          </w:tcPr>
          <w:p w14:paraId="2DC97227" w14:textId="77777777" w:rsidR="00CD2C21" w:rsidRPr="00CD2C21" w:rsidRDefault="00CD2C21" w:rsidP="000A69BD">
            <w:pPr>
              <w:pStyle w:val="ECCTabletext"/>
              <w:jc w:val="left"/>
            </w:pPr>
            <w:r w:rsidRPr="00CD2C21">
              <w:rPr>
                <w:rStyle w:val="ECCParagraph"/>
              </w:rPr>
              <w:t>ground floor/1 m</w:t>
            </w:r>
          </w:p>
        </w:tc>
        <w:tc>
          <w:tcPr>
            <w:tcW w:w="1134" w:type="dxa"/>
          </w:tcPr>
          <w:p w14:paraId="242D0275" w14:textId="77777777" w:rsidR="00CD2C21" w:rsidRPr="00CD2C21" w:rsidRDefault="00CD2C21" w:rsidP="000A69BD">
            <w:pPr>
              <w:pStyle w:val="ECCTabletext"/>
              <w:jc w:val="left"/>
            </w:pPr>
            <w:r w:rsidRPr="00CD2C21">
              <w:rPr>
                <w:rStyle w:val="ECCParagraph"/>
              </w:rPr>
              <w:t>4</w:t>
            </w:r>
            <w:r w:rsidR="00CF4994">
              <w:rPr>
                <w:rStyle w:val="ECCParagraph"/>
              </w:rPr>
              <w:t>.5</w:t>
            </w:r>
            <w:r w:rsidRPr="00CD2C21">
              <w:rPr>
                <w:rStyle w:val="ECCParagraph"/>
              </w:rPr>
              <w:t>74°</w:t>
            </w:r>
          </w:p>
        </w:tc>
        <w:tc>
          <w:tcPr>
            <w:tcW w:w="1560" w:type="dxa"/>
            <w:vAlign w:val="top"/>
          </w:tcPr>
          <w:p w14:paraId="6DC4167F" w14:textId="77777777" w:rsidR="00CD2C21" w:rsidRPr="00CD2C21" w:rsidRDefault="00CD2C21" w:rsidP="000A69BD">
            <w:pPr>
              <w:pStyle w:val="ECCTabletext"/>
              <w:jc w:val="left"/>
            </w:pPr>
            <w:r w:rsidRPr="00CD2C21">
              <w:t>0</w:t>
            </w:r>
            <w:r w:rsidR="00CF4994">
              <w:t>.9</w:t>
            </w:r>
            <w:r w:rsidRPr="00CD2C21">
              <w:t>5°</w:t>
            </w:r>
          </w:p>
        </w:tc>
        <w:tc>
          <w:tcPr>
            <w:tcW w:w="1984" w:type="dxa"/>
            <w:vAlign w:val="top"/>
          </w:tcPr>
          <w:p w14:paraId="169FF7BB" w14:textId="77777777" w:rsidR="00CD2C21" w:rsidRPr="00CD2C21" w:rsidRDefault="00CD2C21" w:rsidP="000A69BD">
            <w:pPr>
              <w:pStyle w:val="ECCTabletext"/>
              <w:jc w:val="left"/>
            </w:pPr>
            <w:r w:rsidRPr="00CD2C21">
              <w:t>37</w:t>
            </w:r>
            <w:r w:rsidR="00CF4994">
              <w:t>.5</w:t>
            </w:r>
            <w:r w:rsidRPr="00CD2C21">
              <w:t> dBi</w:t>
            </w:r>
          </w:p>
        </w:tc>
        <w:tc>
          <w:tcPr>
            <w:tcW w:w="2834" w:type="dxa"/>
            <w:vAlign w:val="top"/>
          </w:tcPr>
          <w:p w14:paraId="11EF8280" w14:textId="77777777" w:rsidR="00CD2C21" w:rsidRPr="00CD2C21" w:rsidRDefault="00CD2C21" w:rsidP="000A69BD">
            <w:pPr>
              <w:pStyle w:val="ECCTabletext"/>
              <w:jc w:val="left"/>
            </w:pPr>
            <w:r w:rsidRPr="004B086B">
              <w:t>37</w:t>
            </w:r>
            <w:r w:rsidRPr="00CD2C21">
              <w:t> m</w:t>
            </w:r>
          </w:p>
        </w:tc>
      </w:tr>
      <w:tr w:rsidR="00CD2C21" w14:paraId="5C841E90" w14:textId="77777777" w:rsidTr="00BF4A4B">
        <w:tc>
          <w:tcPr>
            <w:tcW w:w="1696" w:type="dxa"/>
            <w:tcBorders>
              <w:left w:val="single" w:sz="4" w:space="0" w:color="FF0000"/>
              <w:bottom w:val="single" w:sz="4" w:space="0" w:color="FF0000"/>
            </w:tcBorders>
          </w:tcPr>
          <w:p w14:paraId="16D53BC3" w14:textId="77777777" w:rsidR="00CD2C21" w:rsidRPr="00CD2C21" w:rsidRDefault="00CD2C21" w:rsidP="000A69BD">
            <w:pPr>
              <w:pStyle w:val="ECCTabletext"/>
              <w:jc w:val="left"/>
            </w:pPr>
            <w:r w:rsidRPr="00CD2C21">
              <w:rPr>
                <w:rStyle w:val="ECCParagraph"/>
              </w:rPr>
              <w:t>1st floor/4 m</w:t>
            </w:r>
          </w:p>
        </w:tc>
        <w:tc>
          <w:tcPr>
            <w:tcW w:w="1134" w:type="dxa"/>
            <w:tcBorders>
              <w:bottom w:val="single" w:sz="4" w:space="0" w:color="FF0000"/>
            </w:tcBorders>
          </w:tcPr>
          <w:p w14:paraId="0D626FC6" w14:textId="77777777" w:rsidR="00CD2C21" w:rsidRPr="00CD2C21" w:rsidRDefault="00CD2C21" w:rsidP="000A69BD">
            <w:pPr>
              <w:pStyle w:val="ECCTabletext"/>
              <w:jc w:val="left"/>
            </w:pPr>
            <w:r w:rsidRPr="00CD2C21">
              <w:rPr>
                <w:rStyle w:val="ECCParagraph"/>
              </w:rPr>
              <w:t>4</w:t>
            </w:r>
            <w:r w:rsidR="00CF4994">
              <w:rPr>
                <w:rStyle w:val="ECCParagraph"/>
              </w:rPr>
              <w:t>.0</w:t>
            </w:r>
            <w:r w:rsidRPr="00CD2C21">
              <w:rPr>
                <w:rStyle w:val="ECCParagraph"/>
              </w:rPr>
              <w:t>04°</w:t>
            </w:r>
          </w:p>
        </w:tc>
        <w:tc>
          <w:tcPr>
            <w:tcW w:w="1560" w:type="dxa"/>
            <w:tcBorders>
              <w:bottom w:val="single" w:sz="4" w:space="0" w:color="FF0000"/>
            </w:tcBorders>
            <w:vAlign w:val="top"/>
          </w:tcPr>
          <w:p w14:paraId="1466C0CB" w14:textId="77777777" w:rsidR="00CD2C21" w:rsidRPr="00CD2C21" w:rsidRDefault="00CD2C21" w:rsidP="000A69BD">
            <w:pPr>
              <w:pStyle w:val="ECCTabletext"/>
              <w:jc w:val="left"/>
            </w:pPr>
            <w:r w:rsidRPr="00CD2C21">
              <w:t>0</w:t>
            </w:r>
            <w:r w:rsidR="00CF4994">
              <w:t>.3</w:t>
            </w:r>
            <w:r w:rsidRPr="00CD2C21">
              <w:t>8°</w:t>
            </w:r>
          </w:p>
        </w:tc>
        <w:tc>
          <w:tcPr>
            <w:tcW w:w="1984" w:type="dxa"/>
            <w:tcBorders>
              <w:bottom w:val="single" w:sz="4" w:space="0" w:color="FF0000"/>
            </w:tcBorders>
            <w:vAlign w:val="top"/>
          </w:tcPr>
          <w:p w14:paraId="44FEF89F" w14:textId="77777777" w:rsidR="00CD2C21" w:rsidRPr="00CD2C21" w:rsidRDefault="00CD2C21" w:rsidP="000A69BD">
            <w:pPr>
              <w:pStyle w:val="ECCTabletext"/>
              <w:jc w:val="left"/>
            </w:pPr>
            <w:r w:rsidRPr="00CD2C21">
              <w:t>43</w:t>
            </w:r>
            <w:r w:rsidR="00CF4994">
              <w:t>.2</w:t>
            </w:r>
            <w:r w:rsidRPr="00CD2C21">
              <w:t> dBi</w:t>
            </w:r>
          </w:p>
        </w:tc>
        <w:tc>
          <w:tcPr>
            <w:tcW w:w="2834" w:type="dxa"/>
            <w:tcBorders>
              <w:bottom w:val="single" w:sz="4" w:space="0" w:color="FF0000"/>
            </w:tcBorders>
            <w:vAlign w:val="top"/>
          </w:tcPr>
          <w:p w14:paraId="0494D38B" w14:textId="77777777" w:rsidR="00CD2C21" w:rsidRPr="00CD2C21" w:rsidRDefault="00CD2C21" w:rsidP="000A69BD">
            <w:pPr>
              <w:pStyle w:val="ECCTabletext"/>
              <w:jc w:val="left"/>
            </w:pPr>
            <w:r w:rsidRPr="004B086B">
              <w:t>71</w:t>
            </w:r>
            <w:r w:rsidRPr="00CD2C21">
              <w:t> m</w:t>
            </w:r>
          </w:p>
        </w:tc>
      </w:tr>
      <w:tr w:rsidR="00CD2C21" w14:paraId="23828CBD" w14:textId="77777777" w:rsidTr="00BF4A4B">
        <w:tc>
          <w:tcPr>
            <w:tcW w:w="1696" w:type="dxa"/>
            <w:tcBorders>
              <w:left w:val="single" w:sz="4" w:space="0" w:color="FF0000"/>
              <w:bottom w:val="single" w:sz="4" w:space="0" w:color="FF0000"/>
            </w:tcBorders>
          </w:tcPr>
          <w:p w14:paraId="53955473" w14:textId="77777777" w:rsidR="00CD2C21" w:rsidRPr="00CD2C21" w:rsidRDefault="00CD2C21" w:rsidP="000A69BD">
            <w:pPr>
              <w:pStyle w:val="ECCTabletext"/>
              <w:jc w:val="left"/>
            </w:pPr>
            <w:r w:rsidRPr="00CD2C21">
              <w:rPr>
                <w:rStyle w:val="ECCParagraph"/>
              </w:rPr>
              <w:t>2nd floor/7 m</w:t>
            </w:r>
          </w:p>
        </w:tc>
        <w:tc>
          <w:tcPr>
            <w:tcW w:w="1134" w:type="dxa"/>
            <w:tcBorders>
              <w:bottom w:val="single" w:sz="4" w:space="0" w:color="FF0000"/>
            </w:tcBorders>
          </w:tcPr>
          <w:p w14:paraId="22D5AD53" w14:textId="77777777" w:rsidR="00CD2C21" w:rsidRPr="00CD2C21" w:rsidRDefault="00CD2C21" w:rsidP="000A69BD">
            <w:pPr>
              <w:pStyle w:val="ECCTabletext"/>
              <w:jc w:val="left"/>
            </w:pPr>
            <w:r w:rsidRPr="00CD2C21">
              <w:rPr>
                <w:rStyle w:val="ECCParagraph"/>
              </w:rPr>
              <w:t>3</w:t>
            </w:r>
            <w:r w:rsidR="00CF4994">
              <w:rPr>
                <w:rStyle w:val="ECCParagraph"/>
              </w:rPr>
              <w:t>.4</w:t>
            </w:r>
            <w:r w:rsidRPr="00CD2C21">
              <w:rPr>
                <w:rStyle w:val="ECCParagraph"/>
              </w:rPr>
              <w:t>33°</w:t>
            </w:r>
          </w:p>
        </w:tc>
        <w:tc>
          <w:tcPr>
            <w:tcW w:w="1560" w:type="dxa"/>
            <w:tcBorders>
              <w:bottom w:val="single" w:sz="4" w:space="0" w:color="FF0000"/>
            </w:tcBorders>
            <w:vAlign w:val="top"/>
          </w:tcPr>
          <w:p w14:paraId="7A67120E" w14:textId="77777777" w:rsidR="00CD2C21" w:rsidRPr="00CD2C21" w:rsidRDefault="00CD2C21" w:rsidP="000A69BD">
            <w:pPr>
              <w:pStyle w:val="ECCTabletext"/>
              <w:jc w:val="left"/>
            </w:pPr>
            <w:r w:rsidRPr="00CD2C21">
              <w:t>0</w:t>
            </w:r>
            <w:r w:rsidR="00CF4994">
              <w:t>.1</w:t>
            </w:r>
            <w:r w:rsidRPr="00CD2C21">
              <w:t>91°</w:t>
            </w:r>
          </w:p>
        </w:tc>
        <w:tc>
          <w:tcPr>
            <w:tcW w:w="1984" w:type="dxa"/>
            <w:tcBorders>
              <w:bottom w:val="single" w:sz="4" w:space="0" w:color="FF0000"/>
            </w:tcBorders>
            <w:vAlign w:val="top"/>
          </w:tcPr>
          <w:p w14:paraId="5F2C992C" w14:textId="77777777" w:rsidR="00CD2C21" w:rsidRPr="00CD2C21" w:rsidRDefault="00CD2C21" w:rsidP="000A69BD">
            <w:pPr>
              <w:pStyle w:val="ECCTabletext"/>
              <w:jc w:val="left"/>
            </w:pPr>
            <w:r w:rsidRPr="00CD2C21">
              <w:t>43</w:t>
            </w:r>
            <w:r w:rsidR="00CF4994">
              <w:t>.8</w:t>
            </w:r>
            <w:r w:rsidRPr="00CD2C21">
              <w:t> dBi</w:t>
            </w:r>
          </w:p>
        </w:tc>
        <w:tc>
          <w:tcPr>
            <w:tcW w:w="2834" w:type="dxa"/>
            <w:tcBorders>
              <w:bottom w:val="single" w:sz="4" w:space="0" w:color="FF0000"/>
            </w:tcBorders>
            <w:vAlign w:val="top"/>
          </w:tcPr>
          <w:p w14:paraId="4CFD1103" w14:textId="77777777" w:rsidR="00CD2C21" w:rsidRPr="00CD2C21" w:rsidRDefault="00CD2C21" w:rsidP="000A69BD">
            <w:pPr>
              <w:pStyle w:val="ECCTabletext"/>
              <w:jc w:val="left"/>
            </w:pPr>
            <w:r w:rsidRPr="004B086B">
              <w:t>76</w:t>
            </w:r>
            <w:r w:rsidRPr="00CD2C21">
              <w:t> m</w:t>
            </w:r>
          </w:p>
        </w:tc>
      </w:tr>
      <w:tr w:rsidR="00CD2C21" w14:paraId="54A0B741" w14:textId="77777777" w:rsidTr="00BF4A4B">
        <w:tc>
          <w:tcPr>
            <w:tcW w:w="1696" w:type="dxa"/>
            <w:tcBorders>
              <w:left w:val="single" w:sz="4" w:space="0" w:color="FF0000"/>
              <w:bottom w:val="single" w:sz="4" w:space="0" w:color="FF0000"/>
            </w:tcBorders>
          </w:tcPr>
          <w:p w14:paraId="625DF0AC" w14:textId="77777777" w:rsidR="00CD2C21" w:rsidRPr="00CD2C21" w:rsidRDefault="00CD2C21" w:rsidP="000A69BD">
            <w:pPr>
              <w:pStyle w:val="ECCTabletext"/>
              <w:jc w:val="left"/>
            </w:pPr>
            <w:r w:rsidRPr="00CD2C21">
              <w:rPr>
                <w:rStyle w:val="ECCParagraph"/>
              </w:rPr>
              <w:t>3rd floor/10 m</w:t>
            </w:r>
          </w:p>
        </w:tc>
        <w:tc>
          <w:tcPr>
            <w:tcW w:w="1134" w:type="dxa"/>
            <w:tcBorders>
              <w:bottom w:val="single" w:sz="4" w:space="0" w:color="FF0000"/>
            </w:tcBorders>
          </w:tcPr>
          <w:p w14:paraId="48E6D14C" w14:textId="77777777" w:rsidR="00CD2C21" w:rsidRPr="00CD2C21" w:rsidRDefault="00CD2C21" w:rsidP="000A69BD">
            <w:pPr>
              <w:pStyle w:val="ECCTabletext"/>
              <w:jc w:val="left"/>
            </w:pPr>
            <w:r w:rsidRPr="00CD2C21">
              <w:rPr>
                <w:rStyle w:val="ECCParagraph"/>
              </w:rPr>
              <w:t>2</w:t>
            </w:r>
            <w:r w:rsidR="00CF4994">
              <w:rPr>
                <w:rStyle w:val="ECCParagraph"/>
              </w:rPr>
              <w:t>.8</w:t>
            </w:r>
            <w:r w:rsidRPr="00CD2C21">
              <w:rPr>
                <w:rStyle w:val="ECCParagraph"/>
              </w:rPr>
              <w:t>62°</w:t>
            </w:r>
          </w:p>
        </w:tc>
        <w:tc>
          <w:tcPr>
            <w:tcW w:w="1560" w:type="dxa"/>
            <w:tcBorders>
              <w:bottom w:val="single" w:sz="4" w:space="0" w:color="FF0000"/>
            </w:tcBorders>
            <w:vAlign w:val="top"/>
          </w:tcPr>
          <w:p w14:paraId="59F83024" w14:textId="77777777" w:rsidR="00CD2C21" w:rsidRPr="00CD2C21" w:rsidRDefault="00CD2C21" w:rsidP="000A69BD">
            <w:pPr>
              <w:pStyle w:val="ECCTabletext"/>
              <w:jc w:val="left"/>
            </w:pPr>
            <w:r w:rsidRPr="00CD2C21">
              <w:t>0</w:t>
            </w:r>
            <w:r w:rsidR="00CF4994">
              <w:t>.7</w:t>
            </w:r>
            <w:r w:rsidRPr="00CD2C21">
              <w:t>92°</w:t>
            </w:r>
          </w:p>
        </w:tc>
        <w:tc>
          <w:tcPr>
            <w:tcW w:w="1984" w:type="dxa"/>
            <w:tcBorders>
              <w:bottom w:val="single" w:sz="4" w:space="0" w:color="FF0000"/>
            </w:tcBorders>
            <w:vAlign w:val="top"/>
          </w:tcPr>
          <w:p w14:paraId="215BC59F" w14:textId="77777777" w:rsidR="00CD2C21" w:rsidRPr="00CD2C21" w:rsidRDefault="00CD2C21" w:rsidP="000A69BD">
            <w:pPr>
              <w:pStyle w:val="ECCTabletext"/>
              <w:jc w:val="left"/>
            </w:pPr>
            <w:r w:rsidRPr="00CD2C21">
              <w:t>40</w:t>
            </w:r>
            <w:r w:rsidR="00CF4994">
              <w:t>.1</w:t>
            </w:r>
            <w:r w:rsidRPr="00CD2C21">
              <w:t> dBi</w:t>
            </w:r>
          </w:p>
        </w:tc>
        <w:tc>
          <w:tcPr>
            <w:tcW w:w="2834" w:type="dxa"/>
            <w:tcBorders>
              <w:bottom w:val="single" w:sz="4" w:space="0" w:color="FF0000"/>
            </w:tcBorders>
            <w:vAlign w:val="top"/>
          </w:tcPr>
          <w:p w14:paraId="58B937DB" w14:textId="77777777" w:rsidR="00CD2C21" w:rsidRPr="00CD2C21" w:rsidRDefault="00CD2C21" w:rsidP="000A69BD">
            <w:pPr>
              <w:pStyle w:val="ECCTabletext"/>
              <w:jc w:val="left"/>
            </w:pPr>
            <w:r w:rsidRPr="004B086B">
              <w:t>50</w:t>
            </w:r>
            <w:r w:rsidRPr="00CD2C21">
              <w:t> m</w:t>
            </w:r>
          </w:p>
        </w:tc>
      </w:tr>
      <w:tr w:rsidR="00CD2C21" w14:paraId="4D3774D9" w14:textId="77777777" w:rsidTr="00BF4A4B">
        <w:tc>
          <w:tcPr>
            <w:tcW w:w="1696" w:type="dxa"/>
            <w:tcBorders>
              <w:left w:val="single" w:sz="4" w:space="0" w:color="FF0000"/>
              <w:bottom w:val="single" w:sz="4" w:space="0" w:color="FF0000"/>
            </w:tcBorders>
          </w:tcPr>
          <w:p w14:paraId="34A32BA1" w14:textId="77777777" w:rsidR="00CD2C21" w:rsidRPr="00CD2C21" w:rsidRDefault="00CD2C21" w:rsidP="000A69BD">
            <w:pPr>
              <w:pStyle w:val="ECCTabletext"/>
              <w:jc w:val="left"/>
            </w:pPr>
            <w:r w:rsidRPr="00CD2C21">
              <w:rPr>
                <w:rStyle w:val="ECCParagraph"/>
              </w:rPr>
              <w:t>4th floor/13 m</w:t>
            </w:r>
          </w:p>
        </w:tc>
        <w:tc>
          <w:tcPr>
            <w:tcW w:w="1134" w:type="dxa"/>
            <w:tcBorders>
              <w:bottom w:val="single" w:sz="4" w:space="0" w:color="FF0000"/>
            </w:tcBorders>
          </w:tcPr>
          <w:p w14:paraId="72CD925B" w14:textId="77777777" w:rsidR="00CD2C21" w:rsidRPr="00CD2C21" w:rsidRDefault="00CD2C21" w:rsidP="000A69BD">
            <w:pPr>
              <w:pStyle w:val="ECCTabletext"/>
              <w:jc w:val="left"/>
            </w:pPr>
            <w:r w:rsidRPr="00CD2C21">
              <w:rPr>
                <w:rStyle w:val="ECCParagraph"/>
              </w:rPr>
              <w:t>2</w:t>
            </w:r>
            <w:r w:rsidR="00CF4994">
              <w:rPr>
                <w:rStyle w:val="ECCParagraph"/>
              </w:rPr>
              <w:t>.2</w:t>
            </w:r>
            <w:r w:rsidRPr="00CD2C21">
              <w:rPr>
                <w:rStyle w:val="ECCParagraph"/>
              </w:rPr>
              <w:t>90°</w:t>
            </w:r>
          </w:p>
        </w:tc>
        <w:tc>
          <w:tcPr>
            <w:tcW w:w="1560" w:type="dxa"/>
            <w:tcBorders>
              <w:bottom w:val="single" w:sz="4" w:space="0" w:color="FF0000"/>
            </w:tcBorders>
            <w:vAlign w:val="top"/>
          </w:tcPr>
          <w:p w14:paraId="5374A937" w14:textId="77777777" w:rsidR="00CD2C21" w:rsidRPr="00CD2C21" w:rsidRDefault="00CD2C21" w:rsidP="000A69BD">
            <w:pPr>
              <w:pStyle w:val="ECCTabletext"/>
              <w:jc w:val="left"/>
            </w:pPr>
            <w:r w:rsidRPr="00CD2C21">
              <w:t>1</w:t>
            </w:r>
            <w:r w:rsidR="00CF4994">
              <w:t>.3</w:t>
            </w:r>
            <w:r w:rsidRPr="00CD2C21">
              <w:t>34°</w:t>
            </w:r>
          </w:p>
        </w:tc>
        <w:tc>
          <w:tcPr>
            <w:tcW w:w="1984" w:type="dxa"/>
            <w:tcBorders>
              <w:bottom w:val="single" w:sz="4" w:space="0" w:color="FF0000"/>
            </w:tcBorders>
            <w:vAlign w:val="top"/>
          </w:tcPr>
          <w:p w14:paraId="3D8C7C12" w14:textId="77777777" w:rsidR="00CD2C21" w:rsidRPr="00CD2C21" w:rsidRDefault="00CD2C21" w:rsidP="000A69BD">
            <w:pPr>
              <w:pStyle w:val="ECCTabletext"/>
              <w:jc w:val="left"/>
            </w:pPr>
            <w:r w:rsidRPr="00CD2C21">
              <w:t>32</w:t>
            </w:r>
            <w:r w:rsidR="00CF4994">
              <w:t>.7</w:t>
            </w:r>
            <w:r w:rsidRPr="00CD2C21">
              <w:t> dBi</w:t>
            </w:r>
          </w:p>
        </w:tc>
        <w:tc>
          <w:tcPr>
            <w:tcW w:w="2834" w:type="dxa"/>
            <w:tcBorders>
              <w:bottom w:val="single" w:sz="4" w:space="0" w:color="FF0000"/>
            </w:tcBorders>
            <w:vAlign w:val="top"/>
          </w:tcPr>
          <w:p w14:paraId="51809741" w14:textId="77777777" w:rsidR="00CD2C21" w:rsidRPr="00CD2C21" w:rsidRDefault="00CD2C21" w:rsidP="000A69BD">
            <w:pPr>
              <w:pStyle w:val="ECCTabletext"/>
              <w:jc w:val="left"/>
            </w:pPr>
            <w:r w:rsidRPr="004B086B">
              <w:t>21</w:t>
            </w:r>
            <w:r w:rsidRPr="00CD2C21">
              <w:t> m</w:t>
            </w:r>
          </w:p>
        </w:tc>
      </w:tr>
    </w:tbl>
    <w:p w14:paraId="638A99AC" w14:textId="12AA6B68" w:rsidR="00CD2C21" w:rsidRDefault="00CD2C21" w:rsidP="00CD2C21">
      <w:r>
        <w:fldChar w:fldCharType="begin"/>
      </w:r>
      <w:r>
        <w:instrText xml:space="preserve"> REF _Ref67587429 \h </w:instrText>
      </w:r>
      <w:r>
        <w:fldChar w:fldCharType="separate"/>
      </w:r>
      <w:r w:rsidR="0041125F" w:rsidRPr="007C3BF5">
        <w:t>Table </w:t>
      </w:r>
      <w:r w:rsidR="0041125F">
        <w:rPr>
          <w:noProof/>
        </w:rPr>
        <w:t>70</w:t>
      </w:r>
      <w:r>
        <w:fldChar w:fldCharType="end"/>
      </w:r>
      <w:r>
        <w:t xml:space="preserve"> shows the </w:t>
      </w:r>
      <w:r w:rsidR="008847E6">
        <w:t>overall</w:t>
      </w:r>
      <w:r>
        <w:t xml:space="preserve"> number of aggregated devices </w:t>
      </w:r>
      <w:r w:rsidR="00114068">
        <w:t xml:space="preserve">for the first four floors </w:t>
      </w:r>
      <w:r w:rsidR="008847E6">
        <w:t xml:space="preserve">which are equivalent to the possible power increase by aggregation of devices </w:t>
      </w:r>
      <w:r>
        <w:t>based on interference scenario 1</w:t>
      </w:r>
      <w:r w:rsidR="00114068">
        <w:t xml:space="preserve"> and </w:t>
      </w:r>
      <w:r w:rsidR="00114068">
        <w:fldChar w:fldCharType="begin"/>
      </w:r>
      <w:r w:rsidR="00114068">
        <w:instrText xml:space="preserve"> REF _Ref67581125 \h </w:instrText>
      </w:r>
      <w:r w:rsidR="00114068">
        <w:fldChar w:fldCharType="separate"/>
      </w:r>
      <w:r w:rsidR="0041125F">
        <w:t>Aggregate</w:t>
      </w:r>
      <w:r w:rsidR="0041125F" w:rsidRPr="00495823">
        <w:t xml:space="preserve"> case 1</w:t>
      </w:r>
      <w:r w:rsidR="00114068">
        <w:fldChar w:fldCharType="end"/>
      </w:r>
      <w:r>
        <w:t>.</w:t>
      </w:r>
    </w:p>
    <w:p w14:paraId="52B2D63C" w14:textId="77777777" w:rsidR="004F496E" w:rsidRDefault="004F496E" w:rsidP="00CD2C21">
      <w:pPr>
        <w:pStyle w:val="Caption"/>
      </w:pPr>
      <w:bookmarkStart w:id="638" w:name="_Ref67587429"/>
    </w:p>
    <w:p w14:paraId="18822D4B" w14:textId="77777777" w:rsidR="004F496E" w:rsidRDefault="004F496E" w:rsidP="00CD2C21">
      <w:pPr>
        <w:pStyle w:val="Caption"/>
      </w:pPr>
    </w:p>
    <w:p w14:paraId="3A15D147" w14:textId="77777777" w:rsidR="004F496E" w:rsidRDefault="004F496E" w:rsidP="00CD2C21">
      <w:pPr>
        <w:pStyle w:val="Caption"/>
      </w:pPr>
    </w:p>
    <w:p w14:paraId="0D9B65C6" w14:textId="77777777" w:rsidR="004F496E" w:rsidRDefault="004F496E" w:rsidP="00CD2C21">
      <w:pPr>
        <w:pStyle w:val="Caption"/>
      </w:pPr>
    </w:p>
    <w:p w14:paraId="035EC859" w14:textId="77777777" w:rsidR="004F496E" w:rsidRDefault="004F496E" w:rsidP="00CD2C21">
      <w:pPr>
        <w:pStyle w:val="Caption"/>
      </w:pPr>
    </w:p>
    <w:p w14:paraId="57364A74" w14:textId="36660872" w:rsidR="00CD2C21" w:rsidRDefault="00CD2C21" w:rsidP="00CD2C21">
      <w:pPr>
        <w:pStyle w:val="Caption"/>
      </w:pPr>
      <w:r w:rsidRPr="007C3BF5">
        <w:t>Table </w:t>
      </w:r>
      <w:r w:rsidRPr="00240396">
        <w:fldChar w:fldCharType="begin"/>
      </w:r>
      <w:r>
        <w:instrText xml:space="preserve"> SEQ Table \* ARABIC </w:instrText>
      </w:r>
      <w:r w:rsidRPr="00240396">
        <w:fldChar w:fldCharType="separate"/>
      </w:r>
      <w:r w:rsidR="004F49F9">
        <w:rPr>
          <w:noProof/>
        </w:rPr>
        <w:t>70</w:t>
      </w:r>
      <w:r w:rsidRPr="00240396">
        <w:fldChar w:fldCharType="end"/>
      </w:r>
      <w:bookmarkEnd w:id="638"/>
      <w:r w:rsidRPr="002876E6">
        <w:t xml:space="preserve">: </w:t>
      </w:r>
      <w:r w:rsidR="00C621AD">
        <w:t>Overall</w:t>
      </w:r>
      <w:r>
        <w:t xml:space="preserve"> number of aggregated devices</w:t>
      </w:r>
      <w:r w:rsidR="00114068">
        <w:t xml:space="preserve"> for each </w:t>
      </w:r>
      <w:r w:rsidR="008D0D92">
        <w:t xml:space="preserve">individual </w:t>
      </w:r>
      <w:r w:rsidR="00114068">
        <w:t>floor</w:t>
      </w:r>
    </w:p>
    <w:tbl>
      <w:tblPr>
        <w:tblStyle w:val="ECCTable-redheader"/>
        <w:tblW w:w="0" w:type="auto"/>
        <w:tblInd w:w="0" w:type="dxa"/>
        <w:tblLayout w:type="fixed"/>
        <w:tblLook w:val="04A0" w:firstRow="1" w:lastRow="0" w:firstColumn="1" w:lastColumn="0" w:noHBand="0" w:noVBand="1"/>
      </w:tblPr>
      <w:tblGrid>
        <w:gridCol w:w="2268"/>
        <w:gridCol w:w="2694"/>
        <w:gridCol w:w="3397"/>
      </w:tblGrid>
      <w:tr w:rsidR="00CD2C21" w14:paraId="0C177A85" w14:textId="77777777" w:rsidTr="00C3549A">
        <w:trPr>
          <w:cnfStyle w:val="100000000000" w:firstRow="1" w:lastRow="0" w:firstColumn="0" w:lastColumn="0" w:oddVBand="0" w:evenVBand="0" w:oddHBand="0" w:evenHBand="0" w:firstRowFirstColumn="0" w:firstRowLastColumn="0" w:lastRowFirstColumn="0" w:lastRowLastColumn="0"/>
        </w:trPr>
        <w:tc>
          <w:tcPr>
            <w:tcW w:w="2268" w:type="dxa"/>
            <w:tcBorders>
              <w:top w:val="single" w:sz="4" w:space="0" w:color="FF0000"/>
              <w:left w:val="single" w:sz="4" w:space="0" w:color="FF0000"/>
            </w:tcBorders>
          </w:tcPr>
          <w:p w14:paraId="58D31E5A" w14:textId="77777777" w:rsidR="00CD2C21" w:rsidRPr="00CD2C21" w:rsidRDefault="00CD2C21" w:rsidP="00876039">
            <w:pPr>
              <w:pStyle w:val="ECCTableHeaderwhitefont"/>
            </w:pPr>
            <w:r>
              <w:t>Floor</w:t>
            </w:r>
          </w:p>
        </w:tc>
        <w:tc>
          <w:tcPr>
            <w:tcW w:w="2694" w:type="dxa"/>
            <w:tcBorders>
              <w:top w:val="single" w:sz="4" w:space="0" w:color="FF0000"/>
              <w:bottom w:val="single" w:sz="4" w:space="0" w:color="FF0000"/>
            </w:tcBorders>
          </w:tcPr>
          <w:p w14:paraId="36405736" w14:textId="77777777" w:rsidR="00CD2C21" w:rsidRPr="00CD2C21" w:rsidRDefault="00C3549A" w:rsidP="000A69BD">
            <w:pPr>
              <w:pStyle w:val="ECCTableHeaderwhitefont"/>
            </w:pPr>
            <w:r>
              <w:rPr>
                <w:rStyle w:val="ECCParagraph"/>
              </w:rPr>
              <w:t>Possible p</w:t>
            </w:r>
            <w:r w:rsidR="00CD2C21">
              <w:rPr>
                <w:rStyle w:val="ECCParagraph"/>
              </w:rPr>
              <w:t>ower increase by aggregation of devices</w:t>
            </w:r>
          </w:p>
        </w:tc>
        <w:tc>
          <w:tcPr>
            <w:tcW w:w="3397" w:type="dxa"/>
            <w:tcBorders>
              <w:top w:val="single" w:sz="4" w:space="0" w:color="FF0000"/>
              <w:bottom w:val="single" w:sz="4" w:space="0" w:color="FF0000"/>
            </w:tcBorders>
          </w:tcPr>
          <w:p w14:paraId="5D5E7766" w14:textId="77777777" w:rsidR="00CD2C21" w:rsidRPr="00CD2C21" w:rsidRDefault="008847E6" w:rsidP="000A69BD">
            <w:pPr>
              <w:pStyle w:val="ECCTableHeaderwhitefont"/>
              <w:rPr>
                <w:rStyle w:val="ECCParagraph"/>
              </w:rPr>
            </w:pPr>
            <w:r>
              <w:rPr>
                <w:rStyle w:val="ECCParagraph"/>
              </w:rPr>
              <w:t>Overall n</w:t>
            </w:r>
            <w:r w:rsidR="00CD2C21">
              <w:rPr>
                <w:rStyle w:val="ECCParagraph"/>
              </w:rPr>
              <w:t>umber of aggregated devices</w:t>
            </w:r>
            <w:r w:rsidR="00C3549A">
              <w:rPr>
                <w:rStyle w:val="ECCParagraph"/>
              </w:rPr>
              <w:t xml:space="preserve"> equivalent to the possible power increase</w:t>
            </w:r>
          </w:p>
        </w:tc>
      </w:tr>
      <w:tr w:rsidR="00CD2C21" w14:paraId="7153587B" w14:textId="77777777" w:rsidTr="00C3549A">
        <w:tc>
          <w:tcPr>
            <w:tcW w:w="2268" w:type="dxa"/>
            <w:tcBorders>
              <w:left w:val="single" w:sz="4" w:space="0" w:color="FF0000"/>
            </w:tcBorders>
          </w:tcPr>
          <w:p w14:paraId="7BC3FA75" w14:textId="77777777" w:rsidR="00CD2C21" w:rsidRPr="00CD2C21" w:rsidRDefault="00CD2C21" w:rsidP="000A69BD">
            <w:pPr>
              <w:pStyle w:val="ECCTabletext"/>
              <w:jc w:val="left"/>
            </w:pPr>
            <w:r w:rsidRPr="00CD2C21">
              <w:rPr>
                <w:rStyle w:val="ECCParagraph"/>
              </w:rPr>
              <w:t>ground floor</w:t>
            </w:r>
          </w:p>
        </w:tc>
        <w:tc>
          <w:tcPr>
            <w:tcW w:w="2694" w:type="dxa"/>
          </w:tcPr>
          <w:p w14:paraId="286C58E9" w14:textId="77777777" w:rsidR="00CD2C21" w:rsidRPr="00CD2C21" w:rsidRDefault="00CD2C21" w:rsidP="000A69BD">
            <w:pPr>
              <w:pStyle w:val="ECCTabletext"/>
              <w:jc w:val="left"/>
            </w:pPr>
            <w:r>
              <w:t>18</w:t>
            </w:r>
            <w:r w:rsidR="00CF4994">
              <w:t>.5</w:t>
            </w:r>
            <w:r>
              <w:t> dB</w:t>
            </w:r>
          </w:p>
        </w:tc>
        <w:tc>
          <w:tcPr>
            <w:tcW w:w="3397" w:type="dxa"/>
            <w:vAlign w:val="top"/>
          </w:tcPr>
          <w:p w14:paraId="5F9BA69A" w14:textId="77777777" w:rsidR="00CD2C21" w:rsidRPr="00CD2C21" w:rsidRDefault="00CD2C21" w:rsidP="000A69BD">
            <w:pPr>
              <w:pStyle w:val="ECCTabletext"/>
              <w:jc w:val="left"/>
            </w:pPr>
            <w:r>
              <w:t>71</w:t>
            </w:r>
          </w:p>
        </w:tc>
      </w:tr>
      <w:tr w:rsidR="00CD2C21" w14:paraId="30DE9D03" w14:textId="77777777" w:rsidTr="00C3549A">
        <w:tc>
          <w:tcPr>
            <w:tcW w:w="2268" w:type="dxa"/>
            <w:tcBorders>
              <w:left w:val="single" w:sz="4" w:space="0" w:color="FF0000"/>
              <w:bottom w:val="single" w:sz="4" w:space="0" w:color="FF0000"/>
            </w:tcBorders>
          </w:tcPr>
          <w:p w14:paraId="25764E29" w14:textId="77777777" w:rsidR="00CD2C21" w:rsidRPr="00CD2C21" w:rsidRDefault="00CD2C21" w:rsidP="000A69BD">
            <w:pPr>
              <w:pStyle w:val="ECCTabletext"/>
              <w:jc w:val="left"/>
            </w:pPr>
            <w:r w:rsidRPr="00CD2C21">
              <w:rPr>
                <w:rStyle w:val="ECCParagraph"/>
              </w:rPr>
              <w:t>1st floor</w:t>
            </w:r>
          </w:p>
        </w:tc>
        <w:tc>
          <w:tcPr>
            <w:tcW w:w="2694" w:type="dxa"/>
            <w:tcBorders>
              <w:bottom w:val="single" w:sz="4" w:space="0" w:color="FF0000"/>
            </w:tcBorders>
          </w:tcPr>
          <w:p w14:paraId="46A14EE4" w14:textId="77777777" w:rsidR="00CD2C21" w:rsidRPr="00CD2C21" w:rsidRDefault="00CD2C21" w:rsidP="000A69BD">
            <w:pPr>
              <w:pStyle w:val="ECCTabletext"/>
              <w:jc w:val="left"/>
            </w:pPr>
            <w:r>
              <w:t>12</w:t>
            </w:r>
            <w:r w:rsidR="00CF4994">
              <w:t>.7</w:t>
            </w:r>
            <w:r>
              <w:t> dB</w:t>
            </w:r>
          </w:p>
        </w:tc>
        <w:tc>
          <w:tcPr>
            <w:tcW w:w="3397" w:type="dxa"/>
            <w:tcBorders>
              <w:bottom w:val="single" w:sz="4" w:space="0" w:color="FF0000"/>
            </w:tcBorders>
            <w:vAlign w:val="top"/>
          </w:tcPr>
          <w:p w14:paraId="355C4C0F" w14:textId="77777777" w:rsidR="00CD2C21" w:rsidRPr="00CD2C21" w:rsidRDefault="00CD2C21" w:rsidP="000A69BD">
            <w:pPr>
              <w:pStyle w:val="ECCTabletext"/>
              <w:jc w:val="left"/>
            </w:pPr>
            <w:r>
              <w:t>19</w:t>
            </w:r>
          </w:p>
        </w:tc>
      </w:tr>
      <w:tr w:rsidR="00CD2C21" w14:paraId="7BC6828E" w14:textId="77777777" w:rsidTr="00C3549A">
        <w:tc>
          <w:tcPr>
            <w:tcW w:w="2268" w:type="dxa"/>
            <w:tcBorders>
              <w:left w:val="single" w:sz="4" w:space="0" w:color="FF0000"/>
              <w:bottom w:val="single" w:sz="4" w:space="0" w:color="FF0000"/>
            </w:tcBorders>
          </w:tcPr>
          <w:p w14:paraId="673A5374" w14:textId="77777777" w:rsidR="00CD2C21" w:rsidRPr="00CD2C21" w:rsidRDefault="00CD2C21" w:rsidP="000A69BD">
            <w:pPr>
              <w:pStyle w:val="ECCTabletext"/>
              <w:jc w:val="left"/>
            </w:pPr>
            <w:r w:rsidRPr="00CD2C21">
              <w:rPr>
                <w:rStyle w:val="ECCParagraph"/>
              </w:rPr>
              <w:t>2nd floor</w:t>
            </w:r>
          </w:p>
        </w:tc>
        <w:tc>
          <w:tcPr>
            <w:tcW w:w="2694" w:type="dxa"/>
            <w:tcBorders>
              <w:bottom w:val="single" w:sz="4" w:space="0" w:color="FF0000"/>
            </w:tcBorders>
          </w:tcPr>
          <w:p w14:paraId="43A08167" w14:textId="77777777" w:rsidR="00CD2C21" w:rsidRPr="00CD2C21" w:rsidRDefault="00CD2C21" w:rsidP="000A69BD">
            <w:pPr>
              <w:pStyle w:val="ECCTabletext"/>
              <w:jc w:val="left"/>
            </w:pPr>
            <w:r>
              <w:t>12</w:t>
            </w:r>
            <w:r w:rsidR="00CF4994">
              <w:t>.2</w:t>
            </w:r>
            <w:r>
              <w:t> dB</w:t>
            </w:r>
          </w:p>
        </w:tc>
        <w:tc>
          <w:tcPr>
            <w:tcW w:w="3397" w:type="dxa"/>
            <w:tcBorders>
              <w:bottom w:val="single" w:sz="4" w:space="0" w:color="FF0000"/>
            </w:tcBorders>
            <w:vAlign w:val="top"/>
          </w:tcPr>
          <w:p w14:paraId="7F911458" w14:textId="77777777" w:rsidR="00CD2C21" w:rsidRPr="00CD2C21" w:rsidRDefault="00CD2C21" w:rsidP="000A69BD">
            <w:pPr>
              <w:pStyle w:val="ECCTabletext"/>
              <w:jc w:val="left"/>
            </w:pPr>
            <w:r>
              <w:t>17</w:t>
            </w:r>
          </w:p>
        </w:tc>
      </w:tr>
      <w:tr w:rsidR="00CD2C21" w14:paraId="2BCB1B90" w14:textId="77777777" w:rsidTr="00C3549A">
        <w:tc>
          <w:tcPr>
            <w:tcW w:w="2268" w:type="dxa"/>
            <w:tcBorders>
              <w:left w:val="single" w:sz="4" w:space="0" w:color="FF0000"/>
              <w:bottom w:val="single" w:sz="4" w:space="0" w:color="FF0000"/>
            </w:tcBorders>
          </w:tcPr>
          <w:p w14:paraId="098B74E7" w14:textId="77777777" w:rsidR="00CD2C21" w:rsidRPr="00CD2C21" w:rsidRDefault="00CD2C21" w:rsidP="000A69BD">
            <w:pPr>
              <w:pStyle w:val="ECCTabletext"/>
              <w:jc w:val="left"/>
            </w:pPr>
            <w:r w:rsidRPr="00CD2C21">
              <w:rPr>
                <w:rStyle w:val="ECCParagraph"/>
              </w:rPr>
              <w:t>3rd floor</w:t>
            </w:r>
          </w:p>
        </w:tc>
        <w:tc>
          <w:tcPr>
            <w:tcW w:w="2694" w:type="dxa"/>
            <w:tcBorders>
              <w:bottom w:val="single" w:sz="4" w:space="0" w:color="FF0000"/>
            </w:tcBorders>
          </w:tcPr>
          <w:p w14:paraId="46108A60" w14:textId="77777777" w:rsidR="00CD2C21" w:rsidRPr="00CD2C21" w:rsidRDefault="00CD2C21" w:rsidP="000A69BD">
            <w:pPr>
              <w:pStyle w:val="ECCTabletext"/>
              <w:jc w:val="left"/>
            </w:pPr>
            <w:r>
              <w:t>16 dB</w:t>
            </w:r>
          </w:p>
        </w:tc>
        <w:tc>
          <w:tcPr>
            <w:tcW w:w="3397" w:type="dxa"/>
            <w:tcBorders>
              <w:bottom w:val="single" w:sz="4" w:space="0" w:color="FF0000"/>
            </w:tcBorders>
            <w:vAlign w:val="top"/>
          </w:tcPr>
          <w:p w14:paraId="03995128" w14:textId="77777777" w:rsidR="00CD2C21" w:rsidRPr="00CD2C21" w:rsidRDefault="00CD2C21" w:rsidP="000A69BD">
            <w:pPr>
              <w:pStyle w:val="ECCTabletext"/>
              <w:jc w:val="left"/>
            </w:pPr>
            <w:r>
              <w:t>40</w:t>
            </w:r>
          </w:p>
        </w:tc>
      </w:tr>
    </w:tbl>
    <w:p w14:paraId="29ED2759" w14:textId="4892E51D" w:rsidR="00C621AD" w:rsidRDefault="00C621AD" w:rsidP="00C621AD">
      <w:r>
        <w:t xml:space="preserve">For the </w:t>
      </w:r>
      <w:r>
        <w:fldChar w:fldCharType="begin"/>
      </w:r>
      <w:r>
        <w:instrText xml:space="preserve"> REF _Ref67588316 \h </w:instrText>
      </w:r>
      <w:r>
        <w:fldChar w:fldCharType="separate"/>
      </w:r>
      <w:r w:rsidR="0041125F">
        <w:t>Aggregate</w:t>
      </w:r>
      <w:r w:rsidR="0041125F" w:rsidRPr="00495823">
        <w:t xml:space="preserve"> case </w:t>
      </w:r>
      <w:r w:rsidR="0041125F">
        <w:t>2</w:t>
      </w:r>
      <w:r>
        <w:fldChar w:fldCharType="end"/>
      </w:r>
      <w:r>
        <w:t xml:space="preserve"> only the most critical second floor was </w:t>
      </w:r>
      <w:r w:rsidR="00107888">
        <w:t>evaluated</w:t>
      </w:r>
      <w:r>
        <w:t xml:space="preserve">. The result is shown in </w:t>
      </w:r>
      <w:r>
        <w:fldChar w:fldCharType="begin"/>
      </w:r>
      <w:r>
        <w:instrText xml:space="preserve"> REF _Ref67588494 \h </w:instrText>
      </w:r>
      <w:r>
        <w:fldChar w:fldCharType="separate"/>
      </w:r>
      <w:r w:rsidR="0041125F" w:rsidRPr="007C3BF5">
        <w:t>Table </w:t>
      </w:r>
      <w:r w:rsidR="0041125F">
        <w:rPr>
          <w:noProof/>
        </w:rPr>
        <w:t>71</w:t>
      </w:r>
      <w:r>
        <w:fldChar w:fldCharType="end"/>
      </w:r>
      <w:r>
        <w:t>.</w:t>
      </w:r>
    </w:p>
    <w:p w14:paraId="0A0B587A" w14:textId="220A4676" w:rsidR="00AD6A51" w:rsidRDefault="00AD6A51" w:rsidP="00AD6A51">
      <w:pPr>
        <w:pStyle w:val="Caption"/>
      </w:pPr>
      <w:bookmarkStart w:id="639" w:name="_Ref67588494"/>
      <w:r w:rsidRPr="007C3BF5">
        <w:t>Table </w:t>
      </w:r>
      <w:r w:rsidRPr="00240396">
        <w:fldChar w:fldCharType="begin"/>
      </w:r>
      <w:r>
        <w:instrText xml:space="preserve"> SEQ Table \* ARABIC </w:instrText>
      </w:r>
      <w:r w:rsidRPr="00240396">
        <w:fldChar w:fldCharType="separate"/>
      </w:r>
      <w:r w:rsidR="004F49F9">
        <w:rPr>
          <w:noProof/>
        </w:rPr>
        <w:t>71</w:t>
      </w:r>
      <w:r w:rsidRPr="00240396">
        <w:fldChar w:fldCharType="end"/>
      </w:r>
      <w:bookmarkEnd w:id="639"/>
      <w:r w:rsidRPr="002876E6">
        <w:t xml:space="preserve">: </w:t>
      </w:r>
      <w:r w:rsidR="00C621AD">
        <w:t>Overall</w:t>
      </w:r>
      <w:r>
        <w:t xml:space="preserve"> number of aggregated devices for </w:t>
      </w:r>
      <w:r w:rsidR="00C621AD">
        <w:t xml:space="preserve">the 2nd floor and </w:t>
      </w:r>
      <w:r w:rsidR="00C621AD">
        <w:fldChar w:fldCharType="begin"/>
      </w:r>
      <w:r w:rsidR="00C621AD">
        <w:instrText xml:space="preserve"> REF _Ref67588316 \h </w:instrText>
      </w:r>
      <w:r w:rsidR="00C621AD">
        <w:fldChar w:fldCharType="separate"/>
      </w:r>
      <w:r w:rsidR="0041125F">
        <w:t>Aggregate</w:t>
      </w:r>
      <w:r w:rsidR="0041125F" w:rsidRPr="00495823">
        <w:t xml:space="preserve"> case </w:t>
      </w:r>
      <w:r w:rsidR="0041125F">
        <w:t>2</w:t>
      </w:r>
      <w:r w:rsidR="00C621AD">
        <w:fldChar w:fldCharType="end"/>
      </w:r>
    </w:p>
    <w:tbl>
      <w:tblPr>
        <w:tblStyle w:val="ECCTable-redheader"/>
        <w:tblW w:w="0" w:type="auto"/>
        <w:tblInd w:w="0" w:type="dxa"/>
        <w:tblLayout w:type="fixed"/>
        <w:tblLook w:val="04A0" w:firstRow="1" w:lastRow="0" w:firstColumn="1" w:lastColumn="0" w:noHBand="0" w:noVBand="1"/>
      </w:tblPr>
      <w:tblGrid>
        <w:gridCol w:w="1869"/>
        <w:gridCol w:w="2210"/>
        <w:gridCol w:w="2775"/>
        <w:gridCol w:w="2775"/>
      </w:tblGrid>
      <w:tr w:rsidR="00E0215A" w14:paraId="64A38DDE" w14:textId="77777777" w:rsidTr="00E0215A">
        <w:trPr>
          <w:cnfStyle w:val="100000000000" w:firstRow="1" w:lastRow="0" w:firstColumn="0" w:lastColumn="0" w:oddVBand="0" w:evenVBand="0" w:oddHBand="0" w:evenHBand="0" w:firstRowFirstColumn="0" w:firstRowLastColumn="0" w:lastRowFirstColumn="0" w:lastRowLastColumn="0"/>
        </w:trPr>
        <w:tc>
          <w:tcPr>
            <w:tcW w:w="1869" w:type="dxa"/>
            <w:tcBorders>
              <w:top w:val="single" w:sz="4" w:space="0" w:color="FF0000"/>
              <w:left w:val="single" w:sz="4" w:space="0" w:color="FF0000"/>
            </w:tcBorders>
          </w:tcPr>
          <w:p w14:paraId="704DFD4F" w14:textId="77777777" w:rsidR="00E0215A" w:rsidRPr="00E0215A" w:rsidRDefault="00E0215A" w:rsidP="00876039">
            <w:pPr>
              <w:pStyle w:val="ECCTableHeaderwhitefont"/>
            </w:pPr>
            <w:r>
              <w:t>Floo</w:t>
            </w:r>
            <w:r w:rsidRPr="00E0215A">
              <w:t>r</w:t>
            </w:r>
          </w:p>
        </w:tc>
        <w:tc>
          <w:tcPr>
            <w:tcW w:w="2210" w:type="dxa"/>
            <w:tcBorders>
              <w:top w:val="single" w:sz="4" w:space="0" w:color="FF0000"/>
              <w:bottom w:val="single" w:sz="4" w:space="0" w:color="FF0000"/>
            </w:tcBorders>
          </w:tcPr>
          <w:p w14:paraId="7AFBBA5B" w14:textId="77777777" w:rsidR="00E0215A" w:rsidRPr="00E0215A" w:rsidRDefault="00E0215A" w:rsidP="000A69BD">
            <w:pPr>
              <w:pStyle w:val="ECCTableHeaderwhitefont"/>
            </w:pPr>
            <w:r w:rsidRPr="0024694C">
              <w:t>Required separation distance for a single indoor device</w:t>
            </w:r>
          </w:p>
        </w:tc>
        <w:tc>
          <w:tcPr>
            <w:tcW w:w="2775" w:type="dxa"/>
            <w:tcBorders>
              <w:top w:val="single" w:sz="4" w:space="0" w:color="FF0000"/>
              <w:bottom w:val="single" w:sz="4" w:space="0" w:color="FF0000"/>
            </w:tcBorders>
          </w:tcPr>
          <w:p w14:paraId="26291C3D" w14:textId="77777777" w:rsidR="00E0215A" w:rsidRPr="00E0215A" w:rsidRDefault="00E0215A" w:rsidP="000A69BD">
            <w:pPr>
              <w:pStyle w:val="ECCTableHeaderwhitefont"/>
              <w:rPr>
                <w:rStyle w:val="ECCParagraph"/>
              </w:rPr>
            </w:pPr>
            <w:r>
              <w:rPr>
                <w:rStyle w:val="ECCParagraph"/>
              </w:rPr>
              <w:t>Possible p</w:t>
            </w:r>
            <w:r w:rsidRPr="00E0215A">
              <w:rPr>
                <w:rStyle w:val="ECCParagraph"/>
              </w:rPr>
              <w:t>ower increase by aggregation of devices</w:t>
            </w:r>
          </w:p>
        </w:tc>
        <w:tc>
          <w:tcPr>
            <w:tcW w:w="2775" w:type="dxa"/>
            <w:tcBorders>
              <w:top w:val="single" w:sz="4" w:space="0" w:color="FF0000"/>
              <w:bottom w:val="single" w:sz="4" w:space="0" w:color="FF0000"/>
            </w:tcBorders>
          </w:tcPr>
          <w:p w14:paraId="122D0849" w14:textId="77777777" w:rsidR="00E0215A" w:rsidRDefault="00E0215A" w:rsidP="000A69BD">
            <w:pPr>
              <w:pStyle w:val="ECCTableHeaderwhitefont"/>
              <w:rPr>
                <w:rStyle w:val="ECCParagraph"/>
              </w:rPr>
            </w:pPr>
            <w:r>
              <w:rPr>
                <w:rStyle w:val="ECCParagraph"/>
              </w:rPr>
              <w:t>Overall n</w:t>
            </w:r>
            <w:r w:rsidRPr="00E0215A">
              <w:rPr>
                <w:rStyle w:val="ECCParagraph"/>
              </w:rPr>
              <w:t>umber of aggregated devices equivalent to the possible power increase</w:t>
            </w:r>
          </w:p>
        </w:tc>
      </w:tr>
      <w:tr w:rsidR="00E0215A" w14:paraId="786F3085" w14:textId="77777777" w:rsidTr="00E0215A">
        <w:tc>
          <w:tcPr>
            <w:tcW w:w="1869" w:type="dxa"/>
            <w:tcBorders>
              <w:left w:val="single" w:sz="4" w:space="0" w:color="FF0000"/>
            </w:tcBorders>
          </w:tcPr>
          <w:p w14:paraId="71866413" w14:textId="77777777" w:rsidR="00E0215A" w:rsidRPr="00E0215A" w:rsidRDefault="00E0215A" w:rsidP="000A69BD">
            <w:pPr>
              <w:pStyle w:val="ECCTabletext"/>
              <w:jc w:val="left"/>
            </w:pPr>
            <w:r w:rsidRPr="00CD2C21">
              <w:rPr>
                <w:rStyle w:val="ECCParagraph"/>
              </w:rPr>
              <w:t>2</w:t>
            </w:r>
            <w:r w:rsidRPr="00E0215A">
              <w:rPr>
                <w:rStyle w:val="ECCParagraph"/>
              </w:rPr>
              <w:t>nd floor</w:t>
            </w:r>
          </w:p>
        </w:tc>
        <w:tc>
          <w:tcPr>
            <w:tcW w:w="2210" w:type="dxa"/>
          </w:tcPr>
          <w:p w14:paraId="4BBA125B" w14:textId="77777777" w:rsidR="00E0215A" w:rsidRPr="00E0215A" w:rsidRDefault="00E0215A" w:rsidP="000A69BD">
            <w:pPr>
              <w:pStyle w:val="ECCTabletext"/>
              <w:jc w:val="left"/>
            </w:pPr>
            <w:r>
              <w:t>6 m</w:t>
            </w:r>
          </w:p>
        </w:tc>
        <w:tc>
          <w:tcPr>
            <w:tcW w:w="2775" w:type="dxa"/>
            <w:vAlign w:val="top"/>
          </w:tcPr>
          <w:p w14:paraId="3C5F04CD" w14:textId="77777777" w:rsidR="00E0215A" w:rsidRPr="00E0215A" w:rsidRDefault="00E0215A" w:rsidP="000A69BD">
            <w:pPr>
              <w:pStyle w:val="ECCTabletext"/>
              <w:jc w:val="left"/>
            </w:pPr>
            <w:r>
              <w:t>34 dBm</w:t>
            </w:r>
          </w:p>
        </w:tc>
        <w:tc>
          <w:tcPr>
            <w:tcW w:w="2775" w:type="dxa"/>
          </w:tcPr>
          <w:p w14:paraId="2447FADA" w14:textId="77777777" w:rsidR="00E0215A" w:rsidRDefault="00E0215A" w:rsidP="000A69BD">
            <w:pPr>
              <w:pStyle w:val="ECCTabletext"/>
              <w:jc w:val="left"/>
            </w:pPr>
            <w:r>
              <w:t>2511</w:t>
            </w:r>
          </w:p>
        </w:tc>
      </w:tr>
    </w:tbl>
    <w:p w14:paraId="5CA5486A" w14:textId="7437A7BB" w:rsidR="00277626" w:rsidRPr="00B10E31" w:rsidRDefault="00277626" w:rsidP="00277626">
      <w:r>
        <w:t xml:space="preserve">The conclusions drawn from these results can be found in </w:t>
      </w:r>
      <w:r w:rsidR="009D5FA2">
        <w:t>section</w:t>
      </w:r>
      <w:r>
        <w:t xml:space="preserve"> </w:t>
      </w:r>
      <w:r>
        <w:fldChar w:fldCharType="begin"/>
      </w:r>
      <w:r>
        <w:instrText xml:space="preserve"> REF _Ref67602866 \r \h </w:instrText>
      </w:r>
      <w:r>
        <w:fldChar w:fldCharType="separate"/>
      </w:r>
      <w:r w:rsidR="004F49F9">
        <w:t>8.1.3</w:t>
      </w:r>
      <w:r>
        <w:fldChar w:fldCharType="end"/>
      </w:r>
      <w:r>
        <w:t>.</w:t>
      </w:r>
    </w:p>
    <w:p w14:paraId="4BD7EC24" w14:textId="77777777" w:rsidR="00605D3C" w:rsidRDefault="00605D3C" w:rsidP="00605D3C">
      <w:pPr>
        <w:pStyle w:val="Heading2"/>
      </w:pPr>
      <w:bookmarkStart w:id="640" w:name="_Toc84325384"/>
      <w:bookmarkStart w:id="641" w:name="_Toc127346306"/>
      <w:r w:rsidRPr="00B06E7F">
        <w:t>Radiodetermination systems for industry automation (RDI)</w:t>
      </w:r>
      <w:bookmarkEnd w:id="640"/>
      <w:bookmarkEnd w:id="641"/>
    </w:p>
    <w:p w14:paraId="358AEE8E" w14:textId="77777777" w:rsidR="00605D3C" w:rsidRPr="00C865DC" w:rsidRDefault="00605D3C" w:rsidP="00605D3C">
      <w:pPr>
        <w:pStyle w:val="Heading3"/>
      </w:pPr>
      <w:bookmarkStart w:id="642" w:name="_Toc84325385"/>
      <w:bookmarkStart w:id="643" w:name="_Toc127346307"/>
      <w:r w:rsidRPr="00C865DC">
        <w:t>Technical parameters of RDI</w:t>
      </w:r>
      <w:bookmarkEnd w:id="642"/>
      <w:bookmarkEnd w:id="643"/>
    </w:p>
    <w:p w14:paraId="2DEE9062" w14:textId="64A4B77E" w:rsidR="00605D3C" w:rsidRPr="00B10E31" w:rsidRDefault="00605D3C" w:rsidP="00605D3C">
      <w:r w:rsidRPr="00B10E31">
        <w:t xml:space="preserve">For RDI altogether five potential frequency bands have been defined (see </w:t>
      </w:r>
      <w:r w:rsidR="009D5FA2">
        <w:t>section</w:t>
      </w:r>
      <w:r w:rsidRPr="00B10E31">
        <w:t xml:space="preserve"> </w:t>
      </w:r>
      <w:r w:rsidR="008405D2">
        <w:rPr>
          <w:highlight w:val="yellow"/>
        </w:rPr>
        <w:fldChar w:fldCharType="begin"/>
      </w:r>
      <w:r w:rsidR="008405D2">
        <w:instrText xml:space="preserve"> REF _Ref66448158 \r \h </w:instrText>
      </w:r>
      <w:r w:rsidR="008405D2">
        <w:rPr>
          <w:highlight w:val="yellow"/>
        </w:rPr>
      </w:r>
      <w:r w:rsidR="008405D2">
        <w:rPr>
          <w:highlight w:val="yellow"/>
        </w:rPr>
        <w:fldChar w:fldCharType="separate"/>
      </w:r>
      <w:r w:rsidR="004F49F9">
        <w:t>2.2.2.2</w:t>
      </w:r>
      <w:r w:rsidR="008405D2">
        <w:rPr>
          <w:highlight w:val="yellow"/>
        </w:rPr>
        <w:fldChar w:fldCharType="end"/>
      </w:r>
      <w:r w:rsidRPr="00B10E31">
        <w:t>). However, only for the three frequency bands 116 to 130 GHz, 134 to 141 GHz and 174</w:t>
      </w:r>
      <w:r w:rsidR="00CF4994">
        <w:t>.8</w:t>
      </w:r>
      <w:r w:rsidRPr="00B10E31">
        <w:t xml:space="preserve"> to 182 GHz allocations for FS are indirectly affected which are located adjacent to them (please compare the figures in </w:t>
      </w:r>
      <w:r w:rsidR="009D5FA2">
        <w:t>section</w:t>
      </w:r>
      <w:r w:rsidRPr="00B10E31">
        <w:t xml:space="preserve"> </w:t>
      </w:r>
      <w:r w:rsidR="008405D2">
        <w:rPr>
          <w:highlight w:val="yellow"/>
        </w:rPr>
        <w:fldChar w:fldCharType="begin"/>
      </w:r>
      <w:r w:rsidR="008405D2">
        <w:instrText xml:space="preserve"> REF _Ref66361706 \r \h </w:instrText>
      </w:r>
      <w:r w:rsidR="008405D2">
        <w:rPr>
          <w:highlight w:val="yellow"/>
        </w:rPr>
      </w:r>
      <w:r w:rsidR="008405D2">
        <w:rPr>
          <w:highlight w:val="yellow"/>
        </w:rPr>
        <w:fldChar w:fldCharType="separate"/>
      </w:r>
      <w:r w:rsidR="004F49F9">
        <w:t>3.3</w:t>
      </w:r>
      <w:r w:rsidR="008405D2">
        <w:rPr>
          <w:highlight w:val="yellow"/>
        </w:rPr>
        <w:fldChar w:fldCharType="end"/>
      </w:r>
      <w:r w:rsidRPr="00B10E31">
        <w:t>). Consequently, these three bands have been investigated in single-entry studies. In these studies the individually required separation distance (</w:t>
      </w:r>
      <w:r w:rsidR="009D5FA2">
        <w:t>section</w:t>
      </w:r>
      <w:r w:rsidRPr="00B10E31">
        <w:t xml:space="preserve"> </w:t>
      </w:r>
      <w:r w:rsidR="008405D2">
        <w:rPr>
          <w:highlight w:val="yellow"/>
        </w:rPr>
        <w:fldChar w:fldCharType="begin"/>
      </w:r>
      <w:r w:rsidR="008405D2">
        <w:instrText xml:space="preserve"> REF _Ref15293384 \r \h </w:instrText>
      </w:r>
      <w:r w:rsidR="008405D2">
        <w:rPr>
          <w:highlight w:val="yellow"/>
        </w:rPr>
      </w:r>
      <w:r w:rsidR="008405D2">
        <w:rPr>
          <w:highlight w:val="yellow"/>
        </w:rPr>
        <w:fldChar w:fldCharType="separate"/>
      </w:r>
      <w:r w:rsidR="004F49F9">
        <w:t>3.4.2</w:t>
      </w:r>
      <w:r w:rsidR="008405D2">
        <w:rPr>
          <w:highlight w:val="yellow"/>
        </w:rPr>
        <w:fldChar w:fldCharType="end"/>
      </w:r>
      <w:r w:rsidRPr="00B10E31">
        <w:t>) is determined by means of the technical parameters (</w:t>
      </w:r>
      <w:r w:rsidR="009D5FA2">
        <w:t>section</w:t>
      </w:r>
      <w:r w:rsidRPr="00B10E31">
        <w:t xml:space="preserve"> </w:t>
      </w:r>
      <w:r w:rsidR="008405D2">
        <w:rPr>
          <w:highlight w:val="yellow"/>
        </w:rPr>
        <w:fldChar w:fldCharType="begin"/>
      </w:r>
      <w:r w:rsidR="008405D2">
        <w:instrText xml:space="preserve"> REF _Ref66448217 \r \h </w:instrText>
      </w:r>
      <w:r w:rsidR="008405D2">
        <w:rPr>
          <w:highlight w:val="yellow"/>
        </w:rPr>
      </w:r>
      <w:r w:rsidR="008405D2">
        <w:rPr>
          <w:highlight w:val="yellow"/>
        </w:rPr>
        <w:fldChar w:fldCharType="separate"/>
      </w:r>
      <w:r w:rsidR="004F49F9">
        <w:t>2.2.2.3</w:t>
      </w:r>
      <w:r w:rsidR="008405D2">
        <w:rPr>
          <w:highlight w:val="yellow"/>
        </w:rPr>
        <w:fldChar w:fldCharType="end"/>
      </w:r>
      <w:r w:rsidRPr="00B10E31">
        <w:t>), the antenna data (</w:t>
      </w:r>
      <w:r w:rsidR="009D5FA2">
        <w:t>section</w:t>
      </w:r>
      <w:r w:rsidRPr="00B10E31">
        <w:t xml:space="preserve"> </w:t>
      </w:r>
      <w:r w:rsidR="008405D2">
        <w:rPr>
          <w:highlight w:val="yellow"/>
        </w:rPr>
        <w:fldChar w:fldCharType="begin"/>
      </w:r>
      <w:r w:rsidR="008405D2">
        <w:instrText xml:space="preserve"> REF _Ref20137901 \r \h </w:instrText>
      </w:r>
      <w:r w:rsidR="008405D2">
        <w:rPr>
          <w:highlight w:val="yellow"/>
        </w:rPr>
      </w:r>
      <w:r w:rsidR="008405D2">
        <w:rPr>
          <w:highlight w:val="yellow"/>
        </w:rPr>
        <w:fldChar w:fldCharType="separate"/>
      </w:r>
      <w:r w:rsidR="004F49F9">
        <w:t>2.2.2.4</w:t>
      </w:r>
      <w:r w:rsidR="008405D2">
        <w:rPr>
          <w:highlight w:val="yellow"/>
        </w:rPr>
        <w:fldChar w:fldCharType="end"/>
      </w:r>
      <w:r w:rsidRPr="00B10E31">
        <w:t>), the defined interference scenarios (</w:t>
      </w:r>
      <w:r w:rsidR="009D5FA2">
        <w:t>section</w:t>
      </w:r>
      <w:r w:rsidRPr="00B10E31">
        <w:t xml:space="preserve"> </w:t>
      </w:r>
      <w:r w:rsidR="008405D2">
        <w:rPr>
          <w:highlight w:val="yellow"/>
        </w:rPr>
        <w:fldChar w:fldCharType="begin"/>
      </w:r>
      <w:r w:rsidR="008405D2">
        <w:instrText xml:space="preserve"> REF _Ref53582739 \r \h </w:instrText>
      </w:r>
      <w:r w:rsidR="008405D2">
        <w:rPr>
          <w:highlight w:val="yellow"/>
        </w:rPr>
      </w:r>
      <w:r w:rsidR="008405D2">
        <w:rPr>
          <w:highlight w:val="yellow"/>
        </w:rPr>
        <w:fldChar w:fldCharType="separate"/>
      </w:r>
      <w:r w:rsidR="004F49F9">
        <w:t>2.2.2.6</w:t>
      </w:r>
      <w:r w:rsidR="008405D2">
        <w:rPr>
          <w:highlight w:val="yellow"/>
        </w:rPr>
        <w:fldChar w:fldCharType="end"/>
      </w:r>
      <w:r w:rsidRPr="00B10E31">
        <w:t>) and the protection requirements for FS (</w:t>
      </w:r>
      <w:r w:rsidR="009D5FA2">
        <w:t>section</w:t>
      </w:r>
      <w:r w:rsidRPr="00B10E31">
        <w:t xml:space="preserve"> </w:t>
      </w:r>
      <w:r w:rsidR="008405D2">
        <w:rPr>
          <w:highlight w:val="yellow"/>
        </w:rPr>
        <w:fldChar w:fldCharType="begin"/>
      </w:r>
      <w:r w:rsidR="008405D2">
        <w:instrText xml:space="preserve"> REF _Ref67052915 \r \h </w:instrText>
      </w:r>
      <w:r w:rsidR="008405D2">
        <w:rPr>
          <w:highlight w:val="yellow"/>
        </w:rPr>
      </w:r>
      <w:r w:rsidR="008405D2">
        <w:rPr>
          <w:highlight w:val="yellow"/>
        </w:rPr>
        <w:fldChar w:fldCharType="separate"/>
      </w:r>
      <w:r w:rsidR="004F49F9">
        <w:t>3.5.3</w:t>
      </w:r>
      <w:r w:rsidR="008405D2">
        <w:rPr>
          <w:highlight w:val="yellow"/>
        </w:rPr>
        <w:fldChar w:fldCharType="end"/>
      </w:r>
      <w:r w:rsidRPr="00B10E31">
        <w:t xml:space="preserve">). The exact calculations can be found in an Excel-spreadsheet which is attached to this </w:t>
      </w:r>
      <w:hyperlink r:id="rId159" w:history="1">
        <w:r w:rsidR="00C70410">
          <w:rPr>
            <w:rStyle w:val="Hyperlink"/>
          </w:rPr>
          <w:t>Report</w:t>
        </w:r>
      </w:hyperlink>
      <w:r w:rsidRPr="00B10E31">
        <w:t>.</w:t>
      </w:r>
    </w:p>
    <w:p w14:paraId="3425CE6D" w14:textId="04A6A040" w:rsidR="00605D3C" w:rsidRPr="00B10E31" w:rsidRDefault="00605D3C" w:rsidP="00605D3C">
      <w:r w:rsidRPr="00B10E31">
        <w:t>The following technical parameters of the RDI application (</w:t>
      </w:r>
      <w:r w:rsidR="009D5FA2">
        <w:t>section</w:t>
      </w:r>
      <w:r w:rsidRPr="00B10E31">
        <w:t xml:space="preserve"> </w:t>
      </w:r>
      <w:r w:rsidR="008405D2">
        <w:rPr>
          <w:highlight w:val="yellow"/>
        </w:rPr>
        <w:fldChar w:fldCharType="begin"/>
      </w:r>
      <w:r w:rsidR="008405D2">
        <w:instrText xml:space="preserve"> REF _Ref66448217 \r \h </w:instrText>
      </w:r>
      <w:r w:rsidR="008405D2">
        <w:rPr>
          <w:highlight w:val="yellow"/>
        </w:rPr>
      </w:r>
      <w:r w:rsidR="008405D2">
        <w:rPr>
          <w:highlight w:val="yellow"/>
        </w:rPr>
        <w:fldChar w:fldCharType="separate"/>
      </w:r>
      <w:r w:rsidR="004F49F9">
        <w:t>2.2.2.3</w:t>
      </w:r>
      <w:r w:rsidR="008405D2">
        <w:rPr>
          <w:highlight w:val="yellow"/>
        </w:rPr>
        <w:fldChar w:fldCharType="end"/>
      </w:r>
      <w:r w:rsidRPr="00B10E31">
        <w:t>) have been used in the studies in the different frequency ranges.</w:t>
      </w:r>
    </w:p>
    <w:p w14:paraId="296D08BC" w14:textId="72416140" w:rsidR="00605D3C" w:rsidRDefault="008405D2" w:rsidP="00605D3C">
      <w:pPr>
        <w:pStyle w:val="Caption"/>
        <w:rPr>
          <w:rStyle w:val="ECCParagraph"/>
        </w:rPr>
      </w:pPr>
      <w:r w:rsidRPr="008405D2">
        <w:t>Table </w:t>
      </w:r>
      <w:r>
        <w:fldChar w:fldCharType="begin"/>
      </w:r>
      <w:r>
        <w:instrText>SEQ Table \* ARABIC</w:instrText>
      </w:r>
      <w:r>
        <w:fldChar w:fldCharType="separate"/>
      </w:r>
      <w:r w:rsidR="004F49F9">
        <w:rPr>
          <w:noProof/>
        </w:rPr>
        <w:t>72</w:t>
      </w:r>
      <w:r>
        <w:fldChar w:fldCharType="end"/>
      </w:r>
      <w:r w:rsidR="00605D3C" w:rsidRPr="00605D3C">
        <w:t>: Technical parameters of RDI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266"/>
        <w:gridCol w:w="2014"/>
        <w:gridCol w:w="1360"/>
        <w:gridCol w:w="1360"/>
      </w:tblGrid>
      <w:tr w:rsidR="00C943B8" w:rsidRPr="00566944" w14:paraId="7340E835" w14:textId="77777777" w:rsidTr="00B73138">
        <w:trPr>
          <w:cnfStyle w:val="100000000000" w:firstRow="1" w:lastRow="0" w:firstColumn="0" w:lastColumn="0" w:oddVBand="0" w:evenVBand="0" w:oddHBand="0" w:evenHBand="0" w:firstRowFirstColumn="0" w:firstRowLastColumn="0" w:lastRowFirstColumn="0" w:lastRowLastColumn="0"/>
        </w:trPr>
        <w:tc>
          <w:tcPr>
            <w:tcW w:w="1838" w:type="dxa"/>
          </w:tcPr>
          <w:p w14:paraId="56F4E5AB" w14:textId="77777777" w:rsidR="00C943B8" w:rsidRPr="00C943B8" w:rsidRDefault="00C943B8" w:rsidP="00876039">
            <w:pPr>
              <w:pStyle w:val="ECCTableHeaderwhitefont"/>
            </w:pPr>
            <w:r w:rsidRPr="00C943B8">
              <w:t>Investigated frequency range</w:t>
            </w:r>
          </w:p>
        </w:tc>
        <w:tc>
          <w:tcPr>
            <w:tcW w:w="1569" w:type="dxa"/>
          </w:tcPr>
          <w:p w14:paraId="0C1BB501" w14:textId="77777777" w:rsidR="00C943B8" w:rsidRPr="00C943B8" w:rsidRDefault="00C943B8" w:rsidP="000A69BD">
            <w:pPr>
              <w:pStyle w:val="ECCTableHeaderwhitefont"/>
            </w:pPr>
            <w:r w:rsidRPr="00C943B8">
              <w:t>Assumed modulation bandwidth</w:t>
            </w:r>
          </w:p>
        </w:tc>
        <w:tc>
          <w:tcPr>
            <w:tcW w:w="1266" w:type="dxa"/>
          </w:tcPr>
          <w:p w14:paraId="1DFB9FB6" w14:textId="77777777" w:rsidR="00C943B8" w:rsidRPr="00C943B8" w:rsidRDefault="00C943B8" w:rsidP="000A69BD">
            <w:pPr>
              <w:pStyle w:val="ECCTableHeaderwhitefont"/>
            </w:pPr>
            <w:r w:rsidRPr="00C943B8">
              <w:t>Duty cycle</w:t>
            </w:r>
          </w:p>
        </w:tc>
        <w:tc>
          <w:tcPr>
            <w:tcW w:w="2014" w:type="dxa"/>
          </w:tcPr>
          <w:p w14:paraId="592AD35F" w14:textId="77777777" w:rsidR="00C943B8" w:rsidRPr="00C943B8" w:rsidRDefault="00C943B8" w:rsidP="000A69BD">
            <w:pPr>
              <w:pStyle w:val="ECCTableHeaderwhitefont"/>
            </w:pPr>
            <w:r w:rsidRPr="00C943B8">
              <w:t xml:space="preserve">Mean e.i.r.p. spectral density </w:t>
            </w:r>
            <w:r w:rsidR="008E543E">
              <w:t>(Note 2)</w:t>
            </w:r>
          </w:p>
        </w:tc>
        <w:tc>
          <w:tcPr>
            <w:tcW w:w="1360" w:type="dxa"/>
          </w:tcPr>
          <w:p w14:paraId="5AFBBD93" w14:textId="77777777" w:rsidR="00C943B8" w:rsidRPr="00C943B8" w:rsidRDefault="00C943B8" w:rsidP="000A69BD">
            <w:pPr>
              <w:pStyle w:val="ECCTableHeaderwhitefont"/>
            </w:pPr>
            <w:r w:rsidRPr="00C943B8">
              <w:t>Peak e.i.r.p.</w:t>
            </w:r>
          </w:p>
        </w:tc>
        <w:tc>
          <w:tcPr>
            <w:tcW w:w="1360" w:type="dxa"/>
          </w:tcPr>
          <w:p w14:paraId="06A496FC" w14:textId="77777777" w:rsidR="00C943B8" w:rsidRPr="00C943B8" w:rsidRDefault="00C943B8" w:rsidP="000A69BD">
            <w:pPr>
              <w:pStyle w:val="ECCTableHeaderwhitefont"/>
            </w:pPr>
            <w:r w:rsidRPr="00C943B8">
              <w:t>OOB attenuation (Note 1)</w:t>
            </w:r>
          </w:p>
        </w:tc>
      </w:tr>
      <w:tr w:rsidR="001E63CD" w:rsidRPr="00C53FB5" w14:paraId="77CEE207" w14:textId="77777777" w:rsidTr="00B73138">
        <w:tc>
          <w:tcPr>
            <w:tcW w:w="1838" w:type="dxa"/>
          </w:tcPr>
          <w:p w14:paraId="1C192EF8" w14:textId="77777777" w:rsidR="001E63CD" w:rsidRPr="001E63CD" w:rsidRDefault="001E63CD" w:rsidP="000A69BD">
            <w:pPr>
              <w:pStyle w:val="ECCTabletext"/>
              <w:jc w:val="left"/>
            </w:pPr>
            <w:r w:rsidRPr="001E63CD">
              <w:t>116 to 130 GHz</w:t>
            </w:r>
          </w:p>
        </w:tc>
        <w:tc>
          <w:tcPr>
            <w:tcW w:w="1569" w:type="dxa"/>
          </w:tcPr>
          <w:p w14:paraId="0D2BA15C" w14:textId="77777777" w:rsidR="001E63CD" w:rsidRPr="00E12029" w:rsidRDefault="001E63CD" w:rsidP="000A69BD">
            <w:pPr>
              <w:pStyle w:val="ECCTabletext"/>
              <w:jc w:val="left"/>
            </w:pPr>
            <w:r w:rsidRPr="00E12029">
              <w:t>14 GHz</w:t>
            </w:r>
          </w:p>
        </w:tc>
        <w:tc>
          <w:tcPr>
            <w:tcW w:w="1266" w:type="dxa"/>
          </w:tcPr>
          <w:p w14:paraId="5DDA01EA" w14:textId="58C94CFE" w:rsidR="001E63CD" w:rsidRPr="00B73138" w:rsidRDefault="001E63CD" w:rsidP="000A69BD">
            <w:pPr>
              <w:pStyle w:val="ECCTabletext"/>
              <w:jc w:val="left"/>
            </w:pPr>
            <w:r w:rsidRPr="00B73138">
              <w:t>5</w:t>
            </w:r>
            <w:r w:rsidR="00F800A2">
              <w:t>%</w:t>
            </w:r>
          </w:p>
        </w:tc>
        <w:tc>
          <w:tcPr>
            <w:tcW w:w="2014" w:type="dxa"/>
          </w:tcPr>
          <w:p w14:paraId="0F885064" w14:textId="77777777" w:rsidR="001E63CD" w:rsidRPr="00B73138" w:rsidRDefault="001E63CD" w:rsidP="000A69BD">
            <w:pPr>
              <w:pStyle w:val="ECCTabletext"/>
              <w:jc w:val="left"/>
            </w:pPr>
            <w:r w:rsidRPr="00B73138">
              <w:t>-2</w:t>
            </w:r>
            <w:r w:rsidR="005F7EFA">
              <w:t>3</w:t>
            </w:r>
            <w:r w:rsidR="00CF4994">
              <w:t>.5</w:t>
            </w:r>
            <w:r w:rsidRPr="00B73138">
              <w:t> dBm/MHz</w:t>
            </w:r>
          </w:p>
        </w:tc>
        <w:tc>
          <w:tcPr>
            <w:tcW w:w="1360" w:type="dxa"/>
          </w:tcPr>
          <w:p w14:paraId="7B80D2C2" w14:textId="77777777" w:rsidR="001E63CD" w:rsidRPr="00F91756" w:rsidRDefault="001E63CD" w:rsidP="000A69BD">
            <w:pPr>
              <w:pStyle w:val="ECCTabletext"/>
              <w:jc w:val="left"/>
            </w:pPr>
            <w:r w:rsidRPr="00F91756">
              <w:t>3</w:t>
            </w:r>
            <w:r w:rsidR="005F7EFA">
              <w:t>1</w:t>
            </w:r>
            <w:r w:rsidRPr="00F91756">
              <w:t> dBm</w:t>
            </w:r>
          </w:p>
        </w:tc>
        <w:tc>
          <w:tcPr>
            <w:tcW w:w="1360" w:type="dxa"/>
          </w:tcPr>
          <w:p w14:paraId="182252CB" w14:textId="77777777" w:rsidR="001E63CD" w:rsidRPr="00497690" w:rsidRDefault="001E63CD" w:rsidP="000A69BD">
            <w:pPr>
              <w:pStyle w:val="ECCTabletext"/>
              <w:jc w:val="left"/>
            </w:pPr>
            <w:r w:rsidRPr="00497690">
              <w:t>20 dB</w:t>
            </w:r>
          </w:p>
        </w:tc>
      </w:tr>
      <w:tr w:rsidR="001E63CD" w:rsidRPr="00C53FB5" w14:paraId="252C9D93" w14:textId="77777777" w:rsidTr="00B73138">
        <w:tc>
          <w:tcPr>
            <w:tcW w:w="1838" w:type="dxa"/>
          </w:tcPr>
          <w:p w14:paraId="56C20DCB" w14:textId="77777777" w:rsidR="001E63CD" w:rsidRPr="001E63CD" w:rsidRDefault="001E63CD" w:rsidP="000A69BD">
            <w:pPr>
              <w:pStyle w:val="ECCTabletext"/>
              <w:jc w:val="left"/>
            </w:pPr>
            <w:r w:rsidRPr="001E63CD">
              <w:t>134 to 141 GHz</w:t>
            </w:r>
          </w:p>
        </w:tc>
        <w:tc>
          <w:tcPr>
            <w:tcW w:w="1569" w:type="dxa"/>
          </w:tcPr>
          <w:p w14:paraId="6D980A45" w14:textId="77777777" w:rsidR="001E63CD" w:rsidRPr="00E12029" w:rsidRDefault="001E63CD" w:rsidP="000A69BD">
            <w:pPr>
              <w:pStyle w:val="ECCTabletext"/>
              <w:jc w:val="left"/>
            </w:pPr>
            <w:r w:rsidRPr="00E12029">
              <w:t>7 GHz</w:t>
            </w:r>
          </w:p>
        </w:tc>
        <w:tc>
          <w:tcPr>
            <w:tcW w:w="1266" w:type="dxa"/>
          </w:tcPr>
          <w:p w14:paraId="7CCEFDFC" w14:textId="3D9B87D6" w:rsidR="001E63CD" w:rsidRPr="00B73138" w:rsidRDefault="001E63CD" w:rsidP="000A69BD">
            <w:pPr>
              <w:pStyle w:val="ECCTabletext"/>
              <w:jc w:val="left"/>
            </w:pPr>
            <w:r w:rsidRPr="00B73138">
              <w:t>5</w:t>
            </w:r>
            <w:r w:rsidR="00F800A2">
              <w:t>%</w:t>
            </w:r>
          </w:p>
        </w:tc>
        <w:tc>
          <w:tcPr>
            <w:tcW w:w="2014" w:type="dxa"/>
          </w:tcPr>
          <w:p w14:paraId="2BF2B5BE" w14:textId="77777777" w:rsidR="001E63CD" w:rsidRPr="00B73138" w:rsidRDefault="001E63CD" w:rsidP="000A69BD">
            <w:pPr>
              <w:pStyle w:val="ECCTabletext"/>
              <w:jc w:val="left"/>
            </w:pPr>
            <w:r w:rsidRPr="00B73138">
              <w:t>-2</w:t>
            </w:r>
            <w:r w:rsidR="005F7EFA">
              <w:t>0</w:t>
            </w:r>
            <w:r w:rsidR="00CF4994">
              <w:t>.5</w:t>
            </w:r>
            <w:r w:rsidRPr="00B73138">
              <w:t> dBm/MHz</w:t>
            </w:r>
          </w:p>
        </w:tc>
        <w:tc>
          <w:tcPr>
            <w:tcW w:w="1360" w:type="dxa"/>
          </w:tcPr>
          <w:p w14:paraId="193303FB" w14:textId="77777777" w:rsidR="001E63CD" w:rsidRPr="00F91756" w:rsidRDefault="001E63CD" w:rsidP="000A69BD">
            <w:pPr>
              <w:pStyle w:val="ECCTabletext"/>
              <w:jc w:val="left"/>
            </w:pPr>
            <w:r w:rsidRPr="00F91756">
              <w:t>3</w:t>
            </w:r>
            <w:r w:rsidR="005F7EFA">
              <w:t>1</w:t>
            </w:r>
            <w:r w:rsidRPr="00F91756">
              <w:t> dBm</w:t>
            </w:r>
          </w:p>
        </w:tc>
        <w:tc>
          <w:tcPr>
            <w:tcW w:w="1360" w:type="dxa"/>
          </w:tcPr>
          <w:p w14:paraId="552C7260" w14:textId="77777777" w:rsidR="001E63CD" w:rsidRPr="00497690" w:rsidRDefault="001E63CD" w:rsidP="000A69BD">
            <w:pPr>
              <w:pStyle w:val="ECCTabletext"/>
              <w:jc w:val="left"/>
            </w:pPr>
            <w:r w:rsidRPr="00497690">
              <w:t>20 dB</w:t>
            </w:r>
          </w:p>
        </w:tc>
      </w:tr>
      <w:tr w:rsidR="001E63CD" w:rsidRPr="00C53FB5" w14:paraId="1313EACD" w14:textId="77777777" w:rsidTr="00B73138">
        <w:tc>
          <w:tcPr>
            <w:tcW w:w="1838" w:type="dxa"/>
          </w:tcPr>
          <w:p w14:paraId="3BA5DBEE" w14:textId="77777777" w:rsidR="001E63CD" w:rsidRPr="001E63CD" w:rsidRDefault="001E63CD" w:rsidP="000A69BD">
            <w:pPr>
              <w:pStyle w:val="ECCTabletext"/>
              <w:jc w:val="left"/>
            </w:pPr>
            <w:r w:rsidRPr="001E63CD">
              <w:t>174</w:t>
            </w:r>
            <w:r w:rsidR="00CF4994">
              <w:t>.8</w:t>
            </w:r>
            <w:r w:rsidRPr="001E63CD">
              <w:t xml:space="preserve"> to 182 GHz</w:t>
            </w:r>
          </w:p>
        </w:tc>
        <w:tc>
          <w:tcPr>
            <w:tcW w:w="1569" w:type="dxa"/>
          </w:tcPr>
          <w:p w14:paraId="64F316E5" w14:textId="77777777" w:rsidR="001E63CD" w:rsidRPr="00E12029" w:rsidRDefault="00D043CD" w:rsidP="000A69BD">
            <w:pPr>
              <w:pStyle w:val="ECCTabletext"/>
              <w:jc w:val="left"/>
            </w:pPr>
            <w:r>
              <w:t>1</w:t>
            </w:r>
            <w:r w:rsidR="00CF4994">
              <w:t>.5</w:t>
            </w:r>
            <w:r w:rsidR="001E63CD" w:rsidRPr="00E12029">
              <w:t> GHz</w:t>
            </w:r>
          </w:p>
        </w:tc>
        <w:tc>
          <w:tcPr>
            <w:tcW w:w="1266" w:type="dxa"/>
          </w:tcPr>
          <w:p w14:paraId="5CC23C6F" w14:textId="12B6F53C" w:rsidR="001E63CD" w:rsidRPr="00B73138" w:rsidRDefault="001E63CD" w:rsidP="000A69BD">
            <w:pPr>
              <w:pStyle w:val="ECCTabletext"/>
              <w:jc w:val="left"/>
            </w:pPr>
            <w:r w:rsidRPr="00B73138">
              <w:t>5</w:t>
            </w:r>
            <w:r w:rsidR="00F800A2">
              <w:t>%</w:t>
            </w:r>
          </w:p>
        </w:tc>
        <w:tc>
          <w:tcPr>
            <w:tcW w:w="2014" w:type="dxa"/>
          </w:tcPr>
          <w:p w14:paraId="22956816" w14:textId="77777777" w:rsidR="001E63CD" w:rsidRPr="00B73138" w:rsidRDefault="001E63CD" w:rsidP="000A69BD">
            <w:pPr>
              <w:pStyle w:val="ECCTabletext"/>
              <w:jc w:val="left"/>
            </w:pPr>
            <w:r w:rsidRPr="00B73138">
              <w:t>-2</w:t>
            </w:r>
            <w:r w:rsidR="005F7EFA">
              <w:t>3</w:t>
            </w:r>
            <w:r w:rsidR="00CF4994">
              <w:t>.8</w:t>
            </w:r>
            <w:r w:rsidRPr="00B73138">
              <w:t> dBm/MHz</w:t>
            </w:r>
          </w:p>
        </w:tc>
        <w:tc>
          <w:tcPr>
            <w:tcW w:w="1360" w:type="dxa"/>
          </w:tcPr>
          <w:p w14:paraId="58C6CDD6" w14:textId="77777777" w:rsidR="001E63CD" w:rsidRPr="00F91756" w:rsidRDefault="001E63CD" w:rsidP="000A69BD">
            <w:pPr>
              <w:pStyle w:val="ECCTabletext"/>
              <w:jc w:val="left"/>
            </w:pPr>
            <w:r w:rsidRPr="00F91756">
              <w:t>3</w:t>
            </w:r>
            <w:r w:rsidR="005F7EFA">
              <w:t>1</w:t>
            </w:r>
            <w:r w:rsidRPr="00F91756">
              <w:t> dBm</w:t>
            </w:r>
          </w:p>
        </w:tc>
        <w:tc>
          <w:tcPr>
            <w:tcW w:w="1360" w:type="dxa"/>
          </w:tcPr>
          <w:p w14:paraId="5DD36D45" w14:textId="77777777" w:rsidR="001E63CD" w:rsidRPr="00497690" w:rsidRDefault="001E63CD" w:rsidP="000A69BD">
            <w:pPr>
              <w:pStyle w:val="ECCTabletext"/>
              <w:jc w:val="left"/>
            </w:pPr>
            <w:r w:rsidRPr="00497690">
              <w:t>20 dB</w:t>
            </w:r>
          </w:p>
        </w:tc>
      </w:tr>
      <w:tr w:rsidR="00200700" w:rsidRPr="00C53FB5" w14:paraId="1D62F626" w14:textId="77777777" w:rsidTr="00200700">
        <w:tc>
          <w:tcPr>
            <w:tcW w:w="9407" w:type="dxa"/>
            <w:gridSpan w:val="6"/>
          </w:tcPr>
          <w:p w14:paraId="7E23822D" w14:textId="77777777" w:rsidR="00200700" w:rsidRPr="00200700" w:rsidRDefault="00200700" w:rsidP="00464AE0">
            <w:pPr>
              <w:pStyle w:val="ECCTablenote"/>
            </w:pPr>
            <w:r>
              <w:t>Note 1</w:t>
            </w:r>
            <w:r w:rsidRPr="00200700">
              <w:t>: Assumed out-of-band attenuation of the RDI-signal in adjacent bands allocated to FS.</w:t>
            </w:r>
          </w:p>
          <w:p w14:paraId="3345F208" w14:textId="3720EC0D" w:rsidR="00200700" w:rsidRPr="00497690" w:rsidRDefault="00200700" w:rsidP="00464AE0">
            <w:pPr>
              <w:pStyle w:val="ECCTablenote"/>
            </w:pPr>
            <w:r w:rsidRPr="008E543E">
              <w:t xml:space="preserve">Note 2: The duty cycle of </w:t>
            </w:r>
            <w:r w:rsidRPr="00200700">
              <w:t>5</w:t>
            </w:r>
            <w:r w:rsidR="00F800A2">
              <w:t>%</w:t>
            </w:r>
            <w:r w:rsidRPr="00200700">
              <w:t xml:space="preserve"> is already considered in this mean e.i.r.p. spectral density 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7889D017" w14:textId="77777777" w:rsidR="00605D3C" w:rsidRDefault="00605D3C" w:rsidP="00E12029">
      <w:pPr>
        <w:pStyle w:val="Heading3"/>
      </w:pPr>
      <w:bookmarkStart w:id="644" w:name="_Ref67388964"/>
      <w:bookmarkStart w:id="645" w:name="_Ref67389572"/>
      <w:bookmarkStart w:id="646" w:name="_Toc84325386"/>
      <w:bookmarkStart w:id="647" w:name="_Toc127346308"/>
      <w:r>
        <w:t>Results</w:t>
      </w:r>
      <w:bookmarkEnd w:id="644"/>
      <w:bookmarkEnd w:id="645"/>
      <w:bookmarkEnd w:id="646"/>
      <w:bookmarkEnd w:id="647"/>
    </w:p>
    <w:p w14:paraId="5A00FCB6" w14:textId="007FC90D" w:rsidR="00C42080" w:rsidRPr="00B10E31" w:rsidRDefault="008405D2" w:rsidP="00C42080">
      <w:r>
        <w:fldChar w:fldCharType="begin"/>
      </w:r>
      <w:r>
        <w:instrText xml:space="preserve"> REF _Ref67053081 \h </w:instrText>
      </w:r>
      <w:r>
        <w:fldChar w:fldCharType="separate"/>
      </w:r>
      <w:r w:rsidR="0041125F" w:rsidRPr="008405D2">
        <w:t>Table </w:t>
      </w:r>
      <w:r w:rsidR="0041125F">
        <w:rPr>
          <w:noProof/>
        </w:rPr>
        <w:t>73</w:t>
      </w:r>
      <w:r>
        <w:fldChar w:fldCharType="end"/>
      </w:r>
      <w:r>
        <w:t xml:space="preserve"> </w:t>
      </w:r>
      <w:r w:rsidR="00C42080" w:rsidRPr="00B10E31">
        <w:t xml:space="preserve">shows the single-entry </w:t>
      </w:r>
      <w:r w:rsidR="00791D2C">
        <w:t>worst</w:t>
      </w:r>
      <w:r w:rsidR="00C42080" w:rsidRPr="00B10E31">
        <w:t>-case results for RDI, e.g. the largest separation distances for the individual frequency ranges, and FS victim receivers distinguished between the long</w:t>
      </w:r>
      <w:r w:rsidR="003A01A2">
        <w:t>-</w:t>
      </w:r>
      <w:r w:rsidR="00C42080" w:rsidRPr="00B10E31">
        <w:t>term objective and the peak power objective.</w:t>
      </w:r>
    </w:p>
    <w:p w14:paraId="72EBC3C8" w14:textId="2BF91BC6" w:rsidR="00C42080" w:rsidRDefault="008405D2" w:rsidP="00C42080">
      <w:pPr>
        <w:pStyle w:val="Caption"/>
      </w:pPr>
      <w:bookmarkStart w:id="648" w:name="_Ref67053081"/>
      <w:bookmarkStart w:id="649" w:name="_Hlk67053491"/>
      <w:r w:rsidRPr="008405D2">
        <w:t>Table </w:t>
      </w:r>
      <w:r>
        <w:fldChar w:fldCharType="begin"/>
      </w:r>
      <w:r>
        <w:instrText>SEQ Table \* ARABIC</w:instrText>
      </w:r>
      <w:r>
        <w:fldChar w:fldCharType="separate"/>
      </w:r>
      <w:r w:rsidR="004F49F9">
        <w:rPr>
          <w:noProof/>
        </w:rPr>
        <w:t>73</w:t>
      </w:r>
      <w:r>
        <w:fldChar w:fldCharType="end"/>
      </w:r>
      <w:bookmarkEnd w:id="648"/>
      <w:r w:rsidR="00C42080" w:rsidRPr="00C42080">
        <w:t xml:space="preserve">: </w:t>
      </w:r>
      <w:bookmarkEnd w:id="649"/>
      <w:r w:rsidR="00C42080" w:rsidRPr="00C42080">
        <w:t>Required separation distances determined in a single-entry study for RDI</w:t>
      </w:r>
    </w:p>
    <w:tbl>
      <w:tblPr>
        <w:tblStyle w:val="ECCTable-redheader"/>
        <w:tblW w:w="5224" w:type="pct"/>
        <w:tblInd w:w="0" w:type="dxa"/>
        <w:tblLook w:val="04A0" w:firstRow="1" w:lastRow="0" w:firstColumn="1" w:lastColumn="0" w:noHBand="0" w:noVBand="1"/>
      </w:tblPr>
      <w:tblGrid>
        <w:gridCol w:w="2069"/>
        <w:gridCol w:w="2552"/>
        <w:gridCol w:w="1225"/>
        <w:gridCol w:w="1424"/>
        <w:gridCol w:w="1372"/>
        <w:gridCol w:w="1418"/>
      </w:tblGrid>
      <w:tr w:rsidR="007B41E3" w14:paraId="585F2F12" w14:textId="77777777" w:rsidTr="00DB6C49">
        <w:trPr>
          <w:cnfStyle w:val="100000000000" w:firstRow="1" w:lastRow="0" w:firstColumn="0" w:lastColumn="0" w:oddVBand="0" w:evenVBand="0" w:oddHBand="0" w:evenHBand="0" w:firstRowFirstColumn="0" w:firstRowLastColumn="0" w:lastRowFirstColumn="0" w:lastRowLastColumn="0"/>
        </w:trPr>
        <w:tc>
          <w:tcPr>
            <w:tcW w:w="1028" w:type="pct"/>
            <w:vMerge w:val="restart"/>
            <w:tcBorders>
              <w:top w:val="single" w:sz="4" w:space="0" w:color="FF0000"/>
              <w:left w:val="single" w:sz="4" w:space="0" w:color="FF0000"/>
            </w:tcBorders>
          </w:tcPr>
          <w:p w14:paraId="59C2BE8D" w14:textId="77777777" w:rsidR="003306EF" w:rsidRPr="00497690" w:rsidRDefault="003306EF" w:rsidP="00876039">
            <w:pPr>
              <w:pStyle w:val="ECCTableHeaderwhitefont"/>
            </w:pPr>
            <w:r w:rsidRPr="00213B63">
              <w:t>Investigated Frequency range</w:t>
            </w:r>
          </w:p>
        </w:tc>
        <w:tc>
          <w:tcPr>
            <w:tcW w:w="1268" w:type="pct"/>
            <w:vMerge w:val="restart"/>
            <w:tcBorders>
              <w:top w:val="single" w:sz="4" w:space="0" w:color="FF0000"/>
              <w:bottom w:val="single" w:sz="4" w:space="0" w:color="FF0000"/>
            </w:tcBorders>
          </w:tcPr>
          <w:p w14:paraId="1F14FA78" w14:textId="77777777" w:rsidR="003306EF" w:rsidRPr="00497690" w:rsidRDefault="003306EF" w:rsidP="000A69BD">
            <w:pPr>
              <w:pStyle w:val="ECCTableHeaderwhitefont"/>
            </w:pPr>
            <w:r w:rsidRPr="00213B63">
              <w:t xml:space="preserve">Allocated band for </w:t>
            </w:r>
            <w:r w:rsidRPr="00497690">
              <w:t>FS</w:t>
            </w:r>
          </w:p>
        </w:tc>
        <w:tc>
          <w:tcPr>
            <w:tcW w:w="1317" w:type="pct"/>
            <w:gridSpan w:val="2"/>
            <w:tcBorders>
              <w:top w:val="single" w:sz="4" w:space="0" w:color="FF0000"/>
              <w:bottom w:val="single" w:sz="4" w:space="0" w:color="FFFFFF" w:themeColor="background1"/>
            </w:tcBorders>
          </w:tcPr>
          <w:p w14:paraId="02D99FDE" w14:textId="77777777" w:rsidR="003306EF" w:rsidRPr="00497690" w:rsidRDefault="003306EF" w:rsidP="000A69BD">
            <w:pPr>
              <w:pStyle w:val="ECCTableHeaderwhitefont"/>
            </w:pPr>
            <w:r w:rsidRPr="00B10E31">
              <w:t>Required</w:t>
            </w:r>
            <w:r w:rsidRPr="00497690">
              <w:t xml:space="preserve"> separation distance for scenario 1</w:t>
            </w:r>
          </w:p>
        </w:tc>
        <w:tc>
          <w:tcPr>
            <w:tcW w:w="1387" w:type="pct"/>
            <w:gridSpan w:val="2"/>
            <w:tcBorders>
              <w:top w:val="single" w:sz="4" w:space="0" w:color="FF0000"/>
              <w:bottom w:val="single" w:sz="4" w:space="0" w:color="FFFFFF" w:themeColor="background1"/>
              <w:right w:val="single" w:sz="4" w:space="0" w:color="FF0000"/>
            </w:tcBorders>
          </w:tcPr>
          <w:p w14:paraId="71D6CC0E" w14:textId="77777777" w:rsidR="003306EF" w:rsidRPr="00497690" w:rsidRDefault="003306EF" w:rsidP="000A69BD">
            <w:pPr>
              <w:pStyle w:val="ECCTableHeaderwhitefont"/>
            </w:pPr>
            <w:r w:rsidRPr="00B10E31">
              <w:t>Required</w:t>
            </w:r>
            <w:r w:rsidRPr="00497690">
              <w:t xml:space="preserve"> separation distance for scenario 2</w:t>
            </w:r>
          </w:p>
        </w:tc>
      </w:tr>
      <w:tr w:rsidR="0053099A" w14:paraId="2AA63B87" w14:textId="77777777" w:rsidTr="007B41E3">
        <w:tc>
          <w:tcPr>
            <w:tcW w:w="1028" w:type="pct"/>
            <w:vMerge/>
            <w:tcBorders>
              <w:left w:val="single" w:sz="4" w:space="0" w:color="FF0000"/>
              <w:right w:val="single" w:sz="4" w:space="0" w:color="FFFFFF" w:themeColor="background1"/>
            </w:tcBorders>
          </w:tcPr>
          <w:p w14:paraId="569DAB5E" w14:textId="77777777" w:rsidR="003306EF" w:rsidRPr="00213B63" w:rsidRDefault="003306EF" w:rsidP="00497690">
            <w:pPr>
              <w:pStyle w:val="ECCTableHeaderwhitefont"/>
            </w:pPr>
          </w:p>
        </w:tc>
        <w:tc>
          <w:tcPr>
            <w:tcW w:w="1268" w:type="pct"/>
            <w:vMerge/>
            <w:tcBorders>
              <w:left w:val="single" w:sz="4" w:space="0" w:color="FFFFFF" w:themeColor="background1"/>
              <w:bottom w:val="single" w:sz="4" w:space="0" w:color="FF0000"/>
              <w:right w:val="single" w:sz="4" w:space="0" w:color="FFFFFF" w:themeColor="background1"/>
            </w:tcBorders>
          </w:tcPr>
          <w:p w14:paraId="79C40937" w14:textId="77777777" w:rsidR="003306EF" w:rsidRPr="00213B63" w:rsidRDefault="003306EF" w:rsidP="00497690">
            <w:pPr>
              <w:pStyle w:val="ECCTableHeaderwhitefont"/>
            </w:pPr>
          </w:p>
        </w:tc>
        <w:tc>
          <w:tcPr>
            <w:tcW w:w="609" w:type="pct"/>
            <w:tcBorders>
              <w:top w:val="single" w:sz="4" w:space="0" w:color="FFFFFF" w:themeColor="background1"/>
              <w:left w:val="single" w:sz="4" w:space="0" w:color="FFFFFF" w:themeColor="background1"/>
              <w:bottom w:val="single" w:sz="4" w:space="0" w:color="FF0000"/>
              <w:right w:val="single" w:sz="4" w:space="0" w:color="FFFFFF" w:themeColor="background1"/>
            </w:tcBorders>
            <w:shd w:val="clear" w:color="auto" w:fill="D22A23"/>
          </w:tcPr>
          <w:p w14:paraId="70A27B8A" w14:textId="38102753" w:rsidR="003306EF" w:rsidRPr="006649F8" w:rsidRDefault="003306EF" w:rsidP="006649F8">
            <w:pPr>
              <w:pStyle w:val="ECCTableHeaderwhitefont"/>
              <w:rPr>
                <w:b/>
                <w:bCs w:val="0"/>
              </w:rPr>
            </w:pPr>
            <w:r w:rsidRPr="006649F8">
              <w:rPr>
                <w:b/>
                <w:bCs w:val="0"/>
              </w:rPr>
              <w:t>Long</w:t>
            </w:r>
            <w:r w:rsidR="006649F8" w:rsidRPr="006649F8">
              <w:rPr>
                <w:b/>
                <w:bCs w:val="0"/>
              </w:rPr>
              <w:t>-</w:t>
            </w:r>
            <w:r w:rsidRPr="006649F8">
              <w:rPr>
                <w:b/>
                <w:bCs w:val="0"/>
              </w:rPr>
              <w:t>term objective</w:t>
            </w:r>
          </w:p>
        </w:tc>
        <w:tc>
          <w:tcPr>
            <w:tcW w:w="708"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46A4104" w14:textId="5EC178D0" w:rsidR="003306EF" w:rsidRPr="006649F8" w:rsidRDefault="003306EF" w:rsidP="006649F8">
            <w:pPr>
              <w:pStyle w:val="ECCTableHeaderwhitefont"/>
              <w:rPr>
                <w:b/>
                <w:bCs w:val="0"/>
              </w:rPr>
            </w:pPr>
            <w:r w:rsidRPr="006649F8">
              <w:rPr>
                <w:b/>
                <w:bCs w:val="0"/>
              </w:rPr>
              <w:t>Peak</w:t>
            </w:r>
            <w:r w:rsidR="006649F8" w:rsidRPr="006649F8">
              <w:rPr>
                <w:b/>
                <w:bCs w:val="0"/>
              </w:rPr>
              <w:t>-</w:t>
            </w:r>
            <w:r w:rsidRPr="006649F8">
              <w:rPr>
                <w:b/>
                <w:bCs w:val="0"/>
              </w:rPr>
              <w:t>power objective</w:t>
            </w:r>
          </w:p>
        </w:tc>
        <w:tc>
          <w:tcPr>
            <w:tcW w:w="682"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B4CEEE0" w14:textId="3F449F5A" w:rsidR="003306EF" w:rsidRPr="006649F8" w:rsidRDefault="003306EF" w:rsidP="006649F8">
            <w:pPr>
              <w:pStyle w:val="ECCTableHeaderwhitefont"/>
              <w:rPr>
                <w:b/>
                <w:bCs w:val="0"/>
              </w:rPr>
            </w:pPr>
            <w:r w:rsidRPr="006649F8">
              <w:rPr>
                <w:b/>
                <w:bCs w:val="0"/>
              </w:rPr>
              <w:t>Long</w:t>
            </w:r>
            <w:r w:rsidR="006649F8" w:rsidRPr="006649F8">
              <w:rPr>
                <w:b/>
                <w:bCs w:val="0"/>
              </w:rPr>
              <w:t>-</w:t>
            </w:r>
            <w:r w:rsidRPr="006649F8">
              <w:rPr>
                <w:b/>
                <w:bCs w:val="0"/>
              </w:rPr>
              <w:t>term objective</w:t>
            </w:r>
          </w:p>
        </w:tc>
        <w:tc>
          <w:tcPr>
            <w:tcW w:w="704" w:type="pct"/>
            <w:tcBorders>
              <w:top w:val="single" w:sz="4" w:space="0" w:color="FFFFFF" w:themeColor="background1"/>
              <w:left w:val="single" w:sz="4" w:space="0" w:color="FFFFFF" w:themeColor="background1"/>
              <w:bottom w:val="nil"/>
              <w:right w:val="single" w:sz="4" w:space="0" w:color="FF0000"/>
            </w:tcBorders>
            <w:shd w:val="clear" w:color="auto" w:fill="D22A23"/>
          </w:tcPr>
          <w:p w14:paraId="7174D898" w14:textId="46A206BA" w:rsidR="003306EF" w:rsidRPr="006649F8" w:rsidRDefault="003306EF" w:rsidP="006649F8">
            <w:pPr>
              <w:pStyle w:val="ECCTableHeaderwhitefont"/>
              <w:rPr>
                <w:b/>
                <w:bCs w:val="0"/>
              </w:rPr>
            </w:pPr>
            <w:r w:rsidRPr="006649F8">
              <w:rPr>
                <w:b/>
                <w:bCs w:val="0"/>
              </w:rPr>
              <w:t>Peak</w:t>
            </w:r>
            <w:r w:rsidR="006649F8" w:rsidRPr="006649F8">
              <w:rPr>
                <w:b/>
                <w:bCs w:val="0"/>
              </w:rPr>
              <w:t>-</w:t>
            </w:r>
            <w:r w:rsidRPr="006649F8">
              <w:rPr>
                <w:b/>
                <w:bCs w:val="0"/>
              </w:rPr>
              <w:t>power objective</w:t>
            </w:r>
          </w:p>
        </w:tc>
      </w:tr>
      <w:tr w:rsidR="007B41E3" w14:paraId="650B556B" w14:textId="77777777" w:rsidTr="00DB6C49">
        <w:tc>
          <w:tcPr>
            <w:tcW w:w="1028" w:type="pct"/>
            <w:vMerge w:val="restart"/>
            <w:tcBorders>
              <w:left w:val="single" w:sz="4" w:space="0" w:color="FF0000"/>
            </w:tcBorders>
          </w:tcPr>
          <w:p w14:paraId="46466AB5" w14:textId="77777777" w:rsidR="003306EF" w:rsidRPr="00497690" w:rsidRDefault="003306EF" w:rsidP="000A69BD">
            <w:pPr>
              <w:pStyle w:val="ECCTabletext"/>
              <w:jc w:val="left"/>
            </w:pPr>
            <w:r w:rsidRPr="00C53FB5">
              <w:t>116 to 130 GHz</w:t>
            </w:r>
          </w:p>
        </w:tc>
        <w:tc>
          <w:tcPr>
            <w:tcW w:w="1268" w:type="pct"/>
            <w:tcBorders>
              <w:top w:val="single" w:sz="4" w:space="0" w:color="FF0000"/>
            </w:tcBorders>
          </w:tcPr>
          <w:p w14:paraId="1678723B" w14:textId="77777777" w:rsidR="003306EF" w:rsidRPr="00497690" w:rsidRDefault="003306EF" w:rsidP="000A69BD">
            <w:pPr>
              <w:pStyle w:val="ECCTabletext"/>
              <w:jc w:val="left"/>
            </w:pPr>
            <w:r w:rsidRPr="00E26D1A">
              <w:t>111</w:t>
            </w:r>
            <w:r w:rsidR="00CF4994">
              <w:t>.8</w:t>
            </w:r>
            <w:r w:rsidRPr="00E26D1A">
              <w:t xml:space="preserve"> to 114</w:t>
            </w:r>
            <w:r w:rsidR="00CF4994">
              <w:t>.2</w:t>
            </w:r>
            <w:r w:rsidRPr="00E26D1A">
              <w:t>5 GHz</w:t>
            </w:r>
            <w:r>
              <w:t xml:space="preserve"> (OOB)</w:t>
            </w:r>
          </w:p>
        </w:tc>
        <w:tc>
          <w:tcPr>
            <w:tcW w:w="609" w:type="pct"/>
            <w:tcBorders>
              <w:top w:val="single" w:sz="4" w:space="0" w:color="FF0000"/>
            </w:tcBorders>
          </w:tcPr>
          <w:p w14:paraId="25C2F80F" w14:textId="77777777" w:rsidR="003306EF" w:rsidRPr="00497690" w:rsidRDefault="003306EF" w:rsidP="000A69BD">
            <w:pPr>
              <w:pStyle w:val="ECCTabletext"/>
              <w:jc w:val="left"/>
            </w:pPr>
            <w:r>
              <w:t>1</w:t>
            </w:r>
            <w:r w:rsidR="00A64EFF">
              <w:t>33</w:t>
            </w:r>
            <w:r>
              <w:t> m</w:t>
            </w:r>
          </w:p>
        </w:tc>
        <w:tc>
          <w:tcPr>
            <w:tcW w:w="708" w:type="pct"/>
            <w:tcBorders>
              <w:top w:val="single" w:sz="4" w:space="0" w:color="D22A23"/>
            </w:tcBorders>
          </w:tcPr>
          <w:p w14:paraId="43B31AE3" w14:textId="77777777" w:rsidR="003306EF" w:rsidRPr="00497690" w:rsidRDefault="003306EF" w:rsidP="000A69BD">
            <w:pPr>
              <w:pStyle w:val="ECCTabletext"/>
              <w:jc w:val="left"/>
            </w:pPr>
            <w:r>
              <w:t>1</w:t>
            </w:r>
            <w:r w:rsidR="00A64EFF">
              <w:t>25</w:t>
            </w:r>
            <w:r>
              <w:t> m</w:t>
            </w:r>
          </w:p>
        </w:tc>
        <w:tc>
          <w:tcPr>
            <w:tcW w:w="682" w:type="pct"/>
            <w:tcBorders>
              <w:top w:val="single" w:sz="4" w:space="0" w:color="D22A23"/>
            </w:tcBorders>
          </w:tcPr>
          <w:p w14:paraId="491B3C39" w14:textId="77777777" w:rsidR="003306EF" w:rsidRPr="00497690" w:rsidRDefault="003306EF" w:rsidP="000A69BD">
            <w:pPr>
              <w:pStyle w:val="ECCTabletext"/>
              <w:jc w:val="left"/>
            </w:pPr>
            <w:r>
              <w:t>1</w:t>
            </w:r>
            <w:r w:rsidR="00A64EFF">
              <w:t>4</w:t>
            </w:r>
            <w:r>
              <w:t> m</w:t>
            </w:r>
          </w:p>
        </w:tc>
        <w:tc>
          <w:tcPr>
            <w:tcW w:w="704" w:type="pct"/>
            <w:tcBorders>
              <w:top w:val="single" w:sz="4" w:space="0" w:color="D22A23"/>
              <w:right w:val="single" w:sz="4" w:space="0" w:color="FF0000"/>
            </w:tcBorders>
          </w:tcPr>
          <w:p w14:paraId="34E234AB" w14:textId="77777777" w:rsidR="003306EF" w:rsidRPr="00497690" w:rsidRDefault="003306EF" w:rsidP="000A69BD">
            <w:pPr>
              <w:pStyle w:val="ECCTabletext"/>
              <w:jc w:val="left"/>
            </w:pPr>
            <w:r>
              <w:t>1</w:t>
            </w:r>
            <w:r w:rsidR="00A64EFF">
              <w:t>3</w:t>
            </w:r>
            <w:r>
              <w:t> m</w:t>
            </w:r>
          </w:p>
        </w:tc>
      </w:tr>
      <w:tr w:rsidR="007B41E3" w14:paraId="2083A2B9" w14:textId="77777777" w:rsidTr="00DB6C49">
        <w:tc>
          <w:tcPr>
            <w:tcW w:w="1028" w:type="pct"/>
            <w:vMerge/>
            <w:tcBorders>
              <w:left w:val="single" w:sz="4" w:space="0" w:color="FF0000"/>
            </w:tcBorders>
          </w:tcPr>
          <w:p w14:paraId="7ED8C6C7" w14:textId="77777777" w:rsidR="003306EF" w:rsidRPr="00C53FB5" w:rsidRDefault="003306EF" w:rsidP="00497690">
            <w:pPr>
              <w:pStyle w:val="ECCTabletext"/>
            </w:pPr>
          </w:p>
        </w:tc>
        <w:tc>
          <w:tcPr>
            <w:tcW w:w="1268" w:type="pct"/>
          </w:tcPr>
          <w:p w14:paraId="5D4EC97C" w14:textId="77777777" w:rsidR="003306EF" w:rsidRPr="00497690" w:rsidRDefault="003306EF" w:rsidP="000A69BD">
            <w:pPr>
              <w:pStyle w:val="ECCTabletext"/>
              <w:jc w:val="left"/>
            </w:pPr>
            <w:r w:rsidRPr="00E26D1A">
              <w:t>130 to 134 GHz</w:t>
            </w:r>
            <w:r>
              <w:t xml:space="preserve"> (OOB)</w:t>
            </w:r>
          </w:p>
        </w:tc>
        <w:tc>
          <w:tcPr>
            <w:tcW w:w="609" w:type="pct"/>
          </w:tcPr>
          <w:p w14:paraId="32948A5E" w14:textId="77777777" w:rsidR="003306EF" w:rsidRPr="00497690" w:rsidRDefault="00A64EFF" w:rsidP="000A69BD">
            <w:pPr>
              <w:pStyle w:val="ECCTabletext"/>
              <w:jc w:val="left"/>
            </w:pPr>
            <w:r>
              <w:t>90</w:t>
            </w:r>
            <w:r w:rsidR="003306EF">
              <w:t> m</w:t>
            </w:r>
          </w:p>
        </w:tc>
        <w:tc>
          <w:tcPr>
            <w:tcW w:w="708" w:type="pct"/>
          </w:tcPr>
          <w:p w14:paraId="078CF658" w14:textId="77777777" w:rsidR="003306EF" w:rsidRPr="00497690" w:rsidRDefault="00A64EFF" w:rsidP="000A69BD">
            <w:pPr>
              <w:pStyle w:val="ECCTabletext"/>
              <w:jc w:val="left"/>
            </w:pPr>
            <w:r>
              <w:t>85</w:t>
            </w:r>
            <w:r w:rsidR="003306EF" w:rsidRPr="00497690">
              <w:t> m</w:t>
            </w:r>
          </w:p>
        </w:tc>
        <w:tc>
          <w:tcPr>
            <w:tcW w:w="682" w:type="pct"/>
          </w:tcPr>
          <w:p w14:paraId="45D3384E" w14:textId="77777777" w:rsidR="003306EF" w:rsidRPr="00497690" w:rsidRDefault="00A64EFF" w:rsidP="000A69BD">
            <w:pPr>
              <w:pStyle w:val="ECCTabletext"/>
              <w:jc w:val="left"/>
            </w:pPr>
            <w:r>
              <w:t>10</w:t>
            </w:r>
            <w:r w:rsidR="003306EF">
              <w:t> m</w:t>
            </w:r>
          </w:p>
        </w:tc>
        <w:tc>
          <w:tcPr>
            <w:tcW w:w="704" w:type="pct"/>
            <w:tcBorders>
              <w:right w:val="single" w:sz="4" w:space="0" w:color="FF0000"/>
            </w:tcBorders>
          </w:tcPr>
          <w:p w14:paraId="5323D3DD" w14:textId="77777777" w:rsidR="003306EF" w:rsidRPr="00497690" w:rsidRDefault="00A64EFF" w:rsidP="000A69BD">
            <w:pPr>
              <w:pStyle w:val="ECCTabletext"/>
              <w:jc w:val="left"/>
            </w:pPr>
            <w:r>
              <w:t>9</w:t>
            </w:r>
            <w:r w:rsidR="003306EF">
              <w:t> m</w:t>
            </w:r>
          </w:p>
        </w:tc>
      </w:tr>
      <w:tr w:rsidR="007B41E3" w14:paraId="6C685EB5" w14:textId="77777777" w:rsidTr="00DB6C49">
        <w:tc>
          <w:tcPr>
            <w:tcW w:w="1028" w:type="pct"/>
            <w:vMerge w:val="restart"/>
            <w:tcBorders>
              <w:left w:val="single" w:sz="4" w:space="0" w:color="FF0000"/>
            </w:tcBorders>
          </w:tcPr>
          <w:p w14:paraId="75065A16" w14:textId="77777777" w:rsidR="003306EF" w:rsidRPr="00497690" w:rsidRDefault="003306EF" w:rsidP="000A69BD">
            <w:pPr>
              <w:pStyle w:val="ECCTabletext"/>
              <w:jc w:val="left"/>
            </w:pPr>
            <w:r w:rsidRPr="00C53FB5">
              <w:t>134 to 141 GHz</w:t>
            </w:r>
          </w:p>
        </w:tc>
        <w:tc>
          <w:tcPr>
            <w:tcW w:w="1268" w:type="pct"/>
          </w:tcPr>
          <w:p w14:paraId="0FBAF7C1" w14:textId="77777777" w:rsidR="003306EF" w:rsidRPr="00497690" w:rsidRDefault="003306EF" w:rsidP="000A69BD">
            <w:pPr>
              <w:pStyle w:val="ECCTabletext"/>
              <w:jc w:val="left"/>
            </w:pPr>
            <w:r w:rsidRPr="00E26D1A">
              <w:t xml:space="preserve">130 to </w:t>
            </w:r>
            <w:r w:rsidRPr="00497690">
              <w:t>134 GHz</w:t>
            </w:r>
            <w:r>
              <w:t xml:space="preserve"> (OOB)</w:t>
            </w:r>
          </w:p>
        </w:tc>
        <w:tc>
          <w:tcPr>
            <w:tcW w:w="609" w:type="pct"/>
          </w:tcPr>
          <w:p w14:paraId="12BF6109" w14:textId="77777777" w:rsidR="003306EF" w:rsidRPr="00497690" w:rsidRDefault="003306EF" w:rsidP="000A69BD">
            <w:pPr>
              <w:pStyle w:val="ECCTabletext"/>
              <w:jc w:val="left"/>
            </w:pPr>
            <w:r>
              <w:t>1</w:t>
            </w:r>
            <w:r w:rsidR="00A64EFF">
              <w:t>27</w:t>
            </w:r>
            <w:r>
              <w:t> m</w:t>
            </w:r>
          </w:p>
        </w:tc>
        <w:tc>
          <w:tcPr>
            <w:tcW w:w="708" w:type="pct"/>
          </w:tcPr>
          <w:p w14:paraId="52FA5968" w14:textId="77777777" w:rsidR="003306EF" w:rsidRPr="00497690" w:rsidRDefault="00A64EFF" w:rsidP="000A69BD">
            <w:pPr>
              <w:pStyle w:val="ECCTabletext"/>
              <w:jc w:val="left"/>
            </w:pPr>
            <w:r>
              <w:t>85</w:t>
            </w:r>
            <w:r w:rsidR="003306EF">
              <w:t> m</w:t>
            </w:r>
          </w:p>
        </w:tc>
        <w:tc>
          <w:tcPr>
            <w:tcW w:w="682" w:type="pct"/>
          </w:tcPr>
          <w:p w14:paraId="6944BB07" w14:textId="77777777" w:rsidR="003306EF" w:rsidRPr="00497690" w:rsidRDefault="003306EF" w:rsidP="000A69BD">
            <w:pPr>
              <w:pStyle w:val="ECCTabletext"/>
              <w:jc w:val="left"/>
            </w:pPr>
            <w:r>
              <w:t>1</w:t>
            </w:r>
            <w:r w:rsidR="00A64EFF">
              <w:t>4</w:t>
            </w:r>
            <w:r>
              <w:t> m</w:t>
            </w:r>
          </w:p>
        </w:tc>
        <w:tc>
          <w:tcPr>
            <w:tcW w:w="704" w:type="pct"/>
            <w:tcBorders>
              <w:right w:val="single" w:sz="4" w:space="0" w:color="FF0000"/>
            </w:tcBorders>
          </w:tcPr>
          <w:p w14:paraId="0CC7E9FE" w14:textId="77777777" w:rsidR="003306EF" w:rsidRPr="00497690" w:rsidRDefault="00A64EFF" w:rsidP="000A69BD">
            <w:pPr>
              <w:pStyle w:val="ECCTabletext"/>
              <w:jc w:val="left"/>
            </w:pPr>
            <w:r>
              <w:t>9</w:t>
            </w:r>
            <w:r w:rsidR="003306EF">
              <w:t> m</w:t>
            </w:r>
          </w:p>
        </w:tc>
      </w:tr>
      <w:tr w:rsidR="007B41E3" w14:paraId="534058D4" w14:textId="77777777" w:rsidTr="00DB6C49">
        <w:tc>
          <w:tcPr>
            <w:tcW w:w="1028" w:type="pct"/>
            <w:vMerge/>
            <w:tcBorders>
              <w:left w:val="single" w:sz="4" w:space="0" w:color="FF0000"/>
              <w:bottom w:val="single" w:sz="4" w:space="0" w:color="D22A23"/>
            </w:tcBorders>
          </w:tcPr>
          <w:p w14:paraId="7B0630C0" w14:textId="77777777" w:rsidR="003306EF" w:rsidRPr="00C53FB5" w:rsidRDefault="003306EF" w:rsidP="00497690">
            <w:pPr>
              <w:pStyle w:val="ECCTabletext"/>
            </w:pPr>
          </w:p>
        </w:tc>
        <w:tc>
          <w:tcPr>
            <w:tcW w:w="1268" w:type="pct"/>
            <w:tcBorders>
              <w:bottom w:val="single" w:sz="4" w:space="0" w:color="D22A23"/>
            </w:tcBorders>
          </w:tcPr>
          <w:p w14:paraId="37891E47" w14:textId="77777777" w:rsidR="003306EF" w:rsidRPr="00497690" w:rsidRDefault="003306EF" w:rsidP="000A69BD">
            <w:pPr>
              <w:pStyle w:val="ECCTabletext"/>
              <w:jc w:val="left"/>
            </w:pPr>
            <w:r w:rsidRPr="00E26D1A">
              <w:t>141 to 148</w:t>
            </w:r>
            <w:r w:rsidR="00CF4994">
              <w:t>.5</w:t>
            </w:r>
            <w:r w:rsidRPr="00E26D1A">
              <w:t> GHz</w:t>
            </w:r>
            <w:r>
              <w:t xml:space="preserve"> (OOB)</w:t>
            </w:r>
          </w:p>
        </w:tc>
        <w:tc>
          <w:tcPr>
            <w:tcW w:w="609" w:type="pct"/>
            <w:tcBorders>
              <w:bottom w:val="single" w:sz="4" w:space="0" w:color="D22A23"/>
            </w:tcBorders>
          </w:tcPr>
          <w:p w14:paraId="225B4C42" w14:textId="77777777" w:rsidR="003306EF" w:rsidRPr="00497690" w:rsidRDefault="00A64EFF" w:rsidP="000A69BD">
            <w:pPr>
              <w:pStyle w:val="ECCTabletext"/>
              <w:jc w:val="left"/>
            </w:pPr>
            <w:r>
              <w:t>116</w:t>
            </w:r>
            <w:r w:rsidR="003306EF">
              <w:t> m</w:t>
            </w:r>
          </w:p>
        </w:tc>
        <w:tc>
          <w:tcPr>
            <w:tcW w:w="708" w:type="pct"/>
            <w:tcBorders>
              <w:bottom w:val="single" w:sz="4" w:space="0" w:color="D22A23"/>
            </w:tcBorders>
          </w:tcPr>
          <w:p w14:paraId="238937E0" w14:textId="77777777" w:rsidR="003306EF" w:rsidRPr="00497690" w:rsidRDefault="00A64EFF" w:rsidP="000A69BD">
            <w:pPr>
              <w:pStyle w:val="ECCTabletext"/>
              <w:jc w:val="left"/>
            </w:pPr>
            <w:r>
              <w:t>77</w:t>
            </w:r>
            <w:r w:rsidR="003306EF">
              <w:t> m</w:t>
            </w:r>
          </w:p>
        </w:tc>
        <w:tc>
          <w:tcPr>
            <w:tcW w:w="682" w:type="pct"/>
            <w:tcBorders>
              <w:bottom w:val="single" w:sz="4" w:space="0" w:color="D22A23"/>
            </w:tcBorders>
          </w:tcPr>
          <w:p w14:paraId="6231532E" w14:textId="77777777" w:rsidR="003306EF" w:rsidRPr="00497690" w:rsidRDefault="003306EF" w:rsidP="000A69BD">
            <w:pPr>
              <w:pStyle w:val="ECCTabletext"/>
              <w:jc w:val="left"/>
            </w:pPr>
            <w:r>
              <w:t>1</w:t>
            </w:r>
            <w:r w:rsidR="00A64EFF">
              <w:t>2</w:t>
            </w:r>
            <w:r>
              <w:t> m</w:t>
            </w:r>
          </w:p>
        </w:tc>
        <w:tc>
          <w:tcPr>
            <w:tcW w:w="704" w:type="pct"/>
            <w:tcBorders>
              <w:bottom w:val="single" w:sz="4" w:space="0" w:color="D22A23"/>
              <w:right w:val="single" w:sz="4" w:space="0" w:color="FF0000"/>
            </w:tcBorders>
          </w:tcPr>
          <w:p w14:paraId="1950FE81" w14:textId="77777777" w:rsidR="003306EF" w:rsidRPr="00497690" w:rsidRDefault="00A64EFF" w:rsidP="000A69BD">
            <w:pPr>
              <w:pStyle w:val="ECCTabletext"/>
              <w:jc w:val="left"/>
            </w:pPr>
            <w:r>
              <w:t>8</w:t>
            </w:r>
            <w:r w:rsidR="003306EF" w:rsidRPr="00497690">
              <w:t> m</w:t>
            </w:r>
          </w:p>
        </w:tc>
      </w:tr>
      <w:tr w:rsidR="007B41E3" w14:paraId="2D7604C7" w14:textId="77777777" w:rsidTr="00DB6C49">
        <w:tc>
          <w:tcPr>
            <w:tcW w:w="1028" w:type="pct"/>
            <w:tcBorders>
              <w:left w:val="single" w:sz="4" w:space="0" w:color="FF0000"/>
              <w:bottom w:val="single" w:sz="4" w:space="0" w:color="FF0000"/>
            </w:tcBorders>
          </w:tcPr>
          <w:p w14:paraId="669C9F2B" w14:textId="77777777" w:rsidR="003306EF" w:rsidRPr="00497690" w:rsidRDefault="003306EF" w:rsidP="000A69BD">
            <w:pPr>
              <w:pStyle w:val="ECCTabletext"/>
              <w:jc w:val="left"/>
            </w:pPr>
            <w:r>
              <w:t>174</w:t>
            </w:r>
            <w:r w:rsidR="00CF4994">
              <w:t>.8</w:t>
            </w:r>
            <w:r>
              <w:t xml:space="preserve"> to 182 GHz</w:t>
            </w:r>
          </w:p>
        </w:tc>
        <w:tc>
          <w:tcPr>
            <w:tcW w:w="1268" w:type="pct"/>
            <w:tcBorders>
              <w:bottom w:val="single" w:sz="4" w:space="0" w:color="FF0000"/>
            </w:tcBorders>
          </w:tcPr>
          <w:p w14:paraId="219332E1" w14:textId="77777777" w:rsidR="003306EF" w:rsidRPr="00497690" w:rsidRDefault="003306EF" w:rsidP="000A69BD">
            <w:pPr>
              <w:pStyle w:val="ECCTabletext"/>
              <w:jc w:val="left"/>
            </w:pPr>
            <w:r w:rsidRPr="00E26D1A">
              <w:t>167 to 174</w:t>
            </w:r>
            <w:r w:rsidR="00CF4994">
              <w:t>.8</w:t>
            </w:r>
            <w:r w:rsidRPr="00E26D1A">
              <w:t> GHz</w:t>
            </w:r>
            <w:r>
              <w:t xml:space="preserve"> (OOB)</w:t>
            </w:r>
          </w:p>
        </w:tc>
        <w:tc>
          <w:tcPr>
            <w:tcW w:w="609" w:type="pct"/>
            <w:tcBorders>
              <w:bottom w:val="single" w:sz="4" w:space="0" w:color="FF0000"/>
            </w:tcBorders>
          </w:tcPr>
          <w:p w14:paraId="271397B0" w14:textId="77777777" w:rsidR="003306EF" w:rsidRPr="00497690" w:rsidRDefault="00A64EFF" w:rsidP="000A69BD">
            <w:pPr>
              <w:pStyle w:val="ECCTabletext"/>
              <w:jc w:val="left"/>
            </w:pPr>
            <w:r>
              <w:t>205</w:t>
            </w:r>
            <w:r w:rsidR="003306EF">
              <w:t> m</w:t>
            </w:r>
          </w:p>
        </w:tc>
        <w:tc>
          <w:tcPr>
            <w:tcW w:w="708" w:type="pct"/>
            <w:tcBorders>
              <w:bottom w:val="single" w:sz="4" w:space="0" w:color="FF0000"/>
            </w:tcBorders>
          </w:tcPr>
          <w:p w14:paraId="35AF0C63" w14:textId="77777777" w:rsidR="003306EF" w:rsidRPr="00497690" w:rsidRDefault="00A64EFF" w:rsidP="000A69BD">
            <w:pPr>
              <w:pStyle w:val="ECCTabletext"/>
              <w:jc w:val="left"/>
            </w:pPr>
            <w:r>
              <w:t>65</w:t>
            </w:r>
            <w:r w:rsidR="003306EF">
              <w:t> m</w:t>
            </w:r>
          </w:p>
        </w:tc>
        <w:tc>
          <w:tcPr>
            <w:tcW w:w="682" w:type="pct"/>
            <w:tcBorders>
              <w:bottom w:val="single" w:sz="4" w:space="0" w:color="FF0000"/>
            </w:tcBorders>
          </w:tcPr>
          <w:p w14:paraId="177AF674" w14:textId="77777777" w:rsidR="003306EF" w:rsidRPr="00497690" w:rsidRDefault="00A64EFF" w:rsidP="000A69BD">
            <w:pPr>
              <w:pStyle w:val="ECCTabletext"/>
              <w:jc w:val="left"/>
            </w:pPr>
            <w:r>
              <w:t>23</w:t>
            </w:r>
            <w:r w:rsidR="003306EF">
              <w:t> m</w:t>
            </w:r>
          </w:p>
        </w:tc>
        <w:tc>
          <w:tcPr>
            <w:tcW w:w="704" w:type="pct"/>
            <w:tcBorders>
              <w:bottom w:val="single" w:sz="4" w:space="0" w:color="FF0000"/>
              <w:right w:val="single" w:sz="4" w:space="0" w:color="FF0000"/>
            </w:tcBorders>
          </w:tcPr>
          <w:p w14:paraId="634D745D" w14:textId="77777777" w:rsidR="003306EF" w:rsidRPr="00497690" w:rsidRDefault="00A64EFF" w:rsidP="000A69BD">
            <w:pPr>
              <w:pStyle w:val="ECCTabletext"/>
              <w:jc w:val="left"/>
            </w:pPr>
            <w:r>
              <w:t>7</w:t>
            </w:r>
            <w:r w:rsidR="003306EF">
              <w:t> m</w:t>
            </w:r>
          </w:p>
        </w:tc>
      </w:tr>
    </w:tbl>
    <w:p w14:paraId="23A21CD6" w14:textId="3CF8183A" w:rsidR="00530C48" w:rsidRPr="00B10E31" w:rsidRDefault="00530C48" w:rsidP="00C42080">
      <w:r>
        <w:t xml:space="preserve">The conclusions drawn from these results can be found in </w:t>
      </w:r>
      <w:r w:rsidR="009D5FA2">
        <w:t>section</w:t>
      </w:r>
      <w:r>
        <w:t xml:space="preserve"> </w:t>
      </w:r>
      <w:r>
        <w:fldChar w:fldCharType="begin"/>
      </w:r>
      <w:r>
        <w:instrText xml:space="preserve"> REF _Ref67392664 \r \h </w:instrText>
      </w:r>
      <w:r>
        <w:fldChar w:fldCharType="separate"/>
      </w:r>
      <w:r w:rsidR="004F49F9">
        <w:t>8.2.3</w:t>
      </w:r>
      <w:r>
        <w:fldChar w:fldCharType="end"/>
      </w:r>
      <w:r>
        <w:t>.</w:t>
      </w:r>
    </w:p>
    <w:p w14:paraId="1D390FB7" w14:textId="77777777" w:rsidR="003315E5" w:rsidRDefault="003315E5" w:rsidP="003315E5">
      <w:pPr>
        <w:pStyle w:val="Heading2"/>
      </w:pPr>
      <w:bookmarkStart w:id="650" w:name="_Toc84325387"/>
      <w:bookmarkStart w:id="651" w:name="_Toc127346309"/>
      <w:r w:rsidRPr="003315E5">
        <w:t>Short range assist and Surrounding monitoring for vehicles and autonomous systems</w:t>
      </w:r>
      <w:bookmarkEnd w:id="650"/>
      <w:bookmarkEnd w:id="651"/>
    </w:p>
    <w:p w14:paraId="311CAE62" w14:textId="11C01BD3" w:rsidR="00BB0742" w:rsidRPr="00BB0742" w:rsidRDefault="00BB0742" w:rsidP="00BB0742">
      <w:r w:rsidRPr="00BB0742">
        <w:t xml:space="preserve">No study has been conducted to evaluate the compatibility between </w:t>
      </w:r>
      <w:r>
        <w:t>short-range assist and surrounding monitoring for vehicles and autonomous systems</w:t>
      </w:r>
      <w:r w:rsidRPr="00BB0742">
        <w:t xml:space="preserve"> and </w:t>
      </w:r>
      <w:r>
        <w:t>Fixed Service</w:t>
      </w:r>
      <w:r w:rsidR="00530C48">
        <w:t xml:space="preserve"> (see </w:t>
      </w:r>
      <w:r w:rsidR="009D5FA2">
        <w:t>section</w:t>
      </w:r>
      <w:r w:rsidR="00530C48">
        <w:t xml:space="preserve"> </w:t>
      </w:r>
      <w:r w:rsidR="00530C48">
        <w:fldChar w:fldCharType="begin"/>
      </w:r>
      <w:r w:rsidR="00530C48">
        <w:instrText xml:space="preserve"> REF _Ref67392766 \r \h </w:instrText>
      </w:r>
      <w:r w:rsidR="00530C48">
        <w:fldChar w:fldCharType="separate"/>
      </w:r>
      <w:r w:rsidR="004F49F9">
        <w:t>8.3.3</w:t>
      </w:r>
      <w:r w:rsidR="00530C48">
        <w:fldChar w:fldCharType="end"/>
      </w:r>
      <w:r w:rsidR="00530C48">
        <w:t>)</w:t>
      </w:r>
      <w:r w:rsidRPr="00BB0742">
        <w:t>.</w:t>
      </w:r>
    </w:p>
    <w:p w14:paraId="345AA358" w14:textId="77777777" w:rsidR="003315E5" w:rsidRDefault="003315E5" w:rsidP="003315E5">
      <w:pPr>
        <w:pStyle w:val="Heading2"/>
      </w:pPr>
      <w:bookmarkStart w:id="652" w:name="_Toc84325388"/>
      <w:bookmarkStart w:id="653" w:name="_Toc127346310"/>
      <w:r w:rsidRPr="003315E5">
        <w:t>Ground Based Synthetic Aperture Radar (GBSAR)</w:t>
      </w:r>
      <w:bookmarkEnd w:id="652"/>
      <w:bookmarkEnd w:id="653"/>
    </w:p>
    <w:p w14:paraId="14393439" w14:textId="77EAB758" w:rsidR="00F7570D" w:rsidRPr="00F7570D" w:rsidRDefault="00F7570D" w:rsidP="00F7570D">
      <w:r>
        <w:t>No study has been conducted to evaluate the compatibility between GBSAR and Fixed Service</w:t>
      </w:r>
      <w:r w:rsidR="00530C48">
        <w:t xml:space="preserve"> (see </w:t>
      </w:r>
      <w:r w:rsidR="009D5FA2">
        <w:t>section</w:t>
      </w:r>
      <w:r w:rsidR="00530C48">
        <w:t xml:space="preserve"> </w:t>
      </w:r>
      <w:r w:rsidR="00530C48">
        <w:fldChar w:fldCharType="begin"/>
      </w:r>
      <w:r w:rsidR="00530C48">
        <w:instrText xml:space="preserve"> REF _Ref67392800 \r \h </w:instrText>
      </w:r>
      <w:r w:rsidR="00530C48">
        <w:fldChar w:fldCharType="separate"/>
      </w:r>
      <w:r w:rsidR="004F49F9">
        <w:t>8.4.3</w:t>
      </w:r>
      <w:r w:rsidR="00530C48">
        <w:fldChar w:fldCharType="end"/>
      </w:r>
      <w:r w:rsidR="00530C48">
        <w:t>)</w:t>
      </w:r>
      <w:r>
        <w:t>.</w:t>
      </w:r>
    </w:p>
    <w:p w14:paraId="71952C98" w14:textId="77777777" w:rsidR="003315E5" w:rsidRPr="003315E5" w:rsidRDefault="003315E5" w:rsidP="003315E5">
      <w:pPr>
        <w:pStyle w:val="Heading2"/>
      </w:pPr>
      <w:bookmarkStart w:id="654" w:name="_Toc84325389"/>
      <w:bookmarkStart w:id="655" w:name="_Toc127346311"/>
      <w:r w:rsidRPr="00B06E7F">
        <w:t>Level Probing Radar (LPR)</w:t>
      </w:r>
      <w:bookmarkEnd w:id="654"/>
      <w:bookmarkEnd w:id="655"/>
    </w:p>
    <w:p w14:paraId="02DCC4C6" w14:textId="77777777" w:rsidR="003315E5" w:rsidRPr="00DE3C38" w:rsidRDefault="003315E5" w:rsidP="003315E5">
      <w:pPr>
        <w:pStyle w:val="Heading3"/>
      </w:pPr>
      <w:bookmarkStart w:id="656" w:name="_Toc84325390"/>
      <w:bookmarkStart w:id="657" w:name="_Toc127346312"/>
      <w:r w:rsidRPr="00DE3C38">
        <w:t>Technical parameters of LPR</w:t>
      </w:r>
      <w:bookmarkEnd w:id="656"/>
      <w:bookmarkEnd w:id="657"/>
    </w:p>
    <w:p w14:paraId="6A7595A7" w14:textId="4150A308" w:rsidR="003315E5" w:rsidRPr="00B10E31" w:rsidRDefault="003315E5" w:rsidP="003315E5">
      <w:r w:rsidRPr="00B10E31">
        <w:t xml:space="preserve">For LPR altogether three potential frequency bands have been defined (see </w:t>
      </w:r>
      <w:r w:rsidR="009D5FA2">
        <w:t>section</w:t>
      </w:r>
      <w:r w:rsidRPr="00B10E31">
        <w:t xml:space="preserve"> </w:t>
      </w:r>
      <w:r w:rsidR="00C50600">
        <w:rPr>
          <w:highlight w:val="yellow"/>
        </w:rPr>
        <w:fldChar w:fldCharType="begin"/>
      </w:r>
      <w:r w:rsidR="00C50600">
        <w:instrText xml:space="preserve"> REF _Ref66452152 \r \h </w:instrText>
      </w:r>
      <w:r w:rsidR="00C50600">
        <w:rPr>
          <w:highlight w:val="yellow"/>
        </w:rPr>
      </w:r>
      <w:r w:rsidR="00C50600">
        <w:rPr>
          <w:highlight w:val="yellow"/>
        </w:rPr>
        <w:fldChar w:fldCharType="separate"/>
      </w:r>
      <w:r w:rsidR="004F49F9">
        <w:t>2.2.5.2</w:t>
      </w:r>
      <w:r w:rsidR="00C50600">
        <w:rPr>
          <w:highlight w:val="yellow"/>
        </w:rPr>
        <w:fldChar w:fldCharType="end"/>
      </w:r>
      <w:r w:rsidRPr="00B10E31">
        <w:t>). However, only for the two frequency bands 116 to 148</w:t>
      </w:r>
      <w:r w:rsidR="00CF4994">
        <w:t>.5</w:t>
      </w:r>
      <w:r w:rsidRPr="00B10E31">
        <w:t> GHz and 167 to 182 GHz allocations for FS are affected either within these bands or adjacent to them. Consequently, these two bands have been investigated in single-entry studies. In these studies the individually required separation distance (</w:t>
      </w:r>
      <w:r w:rsidR="009D5FA2">
        <w:t>section</w:t>
      </w:r>
      <w:r w:rsidRPr="00B10E31">
        <w:t xml:space="preserve"> </w:t>
      </w:r>
      <w:r w:rsidR="00F54F20">
        <w:rPr>
          <w:highlight w:val="yellow"/>
        </w:rPr>
        <w:fldChar w:fldCharType="begin"/>
      </w:r>
      <w:r w:rsidR="00F54F20">
        <w:instrText xml:space="preserve"> REF _Ref15293384 \r \h </w:instrText>
      </w:r>
      <w:r w:rsidR="00F54F20">
        <w:rPr>
          <w:highlight w:val="yellow"/>
        </w:rPr>
      </w:r>
      <w:r w:rsidR="00F54F20">
        <w:rPr>
          <w:highlight w:val="yellow"/>
        </w:rPr>
        <w:fldChar w:fldCharType="separate"/>
      </w:r>
      <w:r w:rsidR="004F49F9">
        <w:t>3.4.2</w:t>
      </w:r>
      <w:r w:rsidR="00F54F20">
        <w:rPr>
          <w:highlight w:val="yellow"/>
        </w:rPr>
        <w:fldChar w:fldCharType="end"/>
      </w:r>
      <w:r w:rsidRPr="00B10E31">
        <w:t>) is determined by means of the technical parameters (</w:t>
      </w:r>
      <w:r w:rsidR="009D5FA2">
        <w:t>section</w:t>
      </w:r>
      <w:r w:rsidRPr="00B10E31">
        <w:t xml:space="preserve"> </w:t>
      </w:r>
      <w:r w:rsidR="00C50600">
        <w:rPr>
          <w:highlight w:val="yellow"/>
        </w:rPr>
        <w:fldChar w:fldCharType="begin"/>
      </w:r>
      <w:r w:rsidR="00C50600">
        <w:instrText xml:space="preserve"> REF _Ref20319451 \r \h </w:instrText>
      </w:r>
      <w:r w:rsidR="00C50600">
        <w:rPr>
          <w:highlight w:val="yellow"/>
        </w:rPr>
      </w:r>
      <w:r w:rsidR="00C50600">
        <w:rPr>
          <w:highlight w:val="yellow"/>
        </w:rPr>
        <w:fldChar w:fldCharType="separate"/>
      </w:r>
      <w:r w:rsidR="004F49F9">
        <w:t>2.2.5.3</w:t>
      </w:r>
      <w:r w:rsidR="00C50600">
        <w:rPr>
          <w:highlight w:val="yellow"/>
        </w:rPr>
        <w:fldChar w:fldCharType="end"/>
      </w:r>
      <w:r w:rsidRPr="00B10E31">
        <w:t>), the antenna data (</w:t>
      </w:r>
      <w:r w:rsidR="009D5FA2">
        <w:t>section</w:t>
      </w:r>
      <w:r w:rsidRPr="00B10E31">
        <w:t xml:space="preserve"> </w:t>
      </w:r>
      <w:r w:rsidR="00C50600">
        <w:rPr>
          <w:highlight w:val="yellow"/>
        </w:rPr>
        <w:fldChar w:fldCharType="begin"/>
      </w:r>
      <w:r w:rsidR="00C50600">
        <w:instrText xml:space="preserve"> REF _Ref20470811 \r \h </w:instrText>
      </w:r>
      <w:r w:rsidR="00C50600">
        <w:rPr>
          <w:highlight w:val="yellow"/>
        </w:rPr>
      </w:r>
      <w:r w:rsidR="00C50600">
        <w:rPr>
          <w:highlight w:val="yellow"/>
        </w:rPr>
        <w:fldChar w:fldCharType="separate"/>
      </w:r>
      <w:r w:rsidR="004F49F9">
        <w:t>2.2.5.4</w:t>
      </w:r>
      <w:r w:rsidR="00C50600">
        <w:rPr>
          <w:highlight w:val="yellow"/>
        </w:rPr>
        <w:fldChar w:fldCharType="end"/>
      </w:r>
      <w:r w:rsidRPr="00B10E31">
        <w:t>), the defined interference scenarios (</w:t>
      </w:r>
      <w:r w:rsidR="009D5FA2">
        <w:t>section</w:t>
      </w:r>
      <w:r w:rsidRPr="00B10E31">
        <w:t xml:space="preserve"> </w:t>
      </w:r>
      <w:r w:rsidR="00C50600">
        <w:rPr>
          <w:highlight w:val="yellow"/>
        </w:rPr>
        <w:fldChar w:fldCharType="begin"/>
      </w:r>
      <w:r w:rsidR="00C50600">
        <w:instrText xml:space="preserve"> REF _Ref36548155 \r \h </w:instrText>
      </w:r>
      <w:r w:rsidR="00C50600">
        <w:rPr>
          <w:highlight w:val="yellow"/>
        </w:rPr>
      </w:r>
      <w:r w:rsidR="00C50600">
        <w:rPr>
          <w:highlight w:val="yellow"/>
        </w:rPr>
        <w:fldChar w:fldCharType="separate"/>
      </w:r>
      <w:r w:rsidR="004F49F9">
        <w:t>2.2.5.6</w:t>
      </w:r>
      <w:r w:rsidR="00C50600">
        <w:rPr>
          <w:highlight w:val="yellow"/>
        </w:rPr>
        <w:fldChar w:fldCharType="end"/>
      </w:r>
      <w:r w:rsidRPr="00B10E31">
        <w:t>) and the protection requirements for FS (</w:t>
      </w:r>
      <w:r w:rsidR="009D5FA2">
        <w:t>section</w:t>
      </w:r>
      <w:r w:rsidRPr="00B10E31">
        <w:t xml:space="preserve"> </w:t>
      </w:r>
      <w:r w:rsidR="00F54F20">
        <w:rPr>
          <w:highlight w:val="yellow"/>
        </w:rPr>
        <w:fldChar w:fldCharType="begin"/>
      </w:r>
      <w:r w:rsidR="00F54F20">
        <w:instrText xml:space="preserve"> REF _Ref67053462 \r \h </w:instrText>
      </w:r>
      <w:r w:rsidR="00F54F20">
        <w:rPr>
          <w:highlight w:val="yellow"/>
        </w:rPr>
      </w:r>
      <w:r w:rsidR="00F54F20">
        <w:rPr>
          <w:highlight w:val="yellow"/>
        </w:rPr>
        <w:fldChar w:fldCharType="separate"/>
      </w:r>
      <w:r w:rsidR="004F49F9">
        <w:t>3.5.3</w:t>
      </w:r>
      <w:r w:rsidR="00F54F20">
        <w:rPr>
          <w:highlight w:val="yellow"/>
        </w:rPr>
        <w:fldChar w:fldCharType="end"/>
      </w:r>
      <w:r w:rsidRPr="00B10E31">
        <w:t xml:space="preserve">). The exact calculations can be found in an Excel-spreadsheet which is attached to this </w:t>
      </w:r>
      <w:hyperlink r:id="rId160" w:history="1">
        <w:r w:rsidR="00C70410">
          <w:rPr>
            <w:rStyle w:val="Hyperlink"/>
          </w:rPr>
          <w:t>Report</w:t>
        </w:r>
      </w:hyperlink>
      <w:r w:rsidRPr="00B10E31">
        <w:t>.</w:t>
      </w:r>
    </w:p>
    <w:p w14:paraId="3BFB0A94" w14:textId="7CDF2478" w:rsidR="003315E5" w:rsidRPr="00B10E31" w:rsidRDefault="003315E5" w:rsidP="003315E5">
      <w:r w:rsidRPr="00B10E31">
        <w:t>The following technical parameters of the LPR application (</w:t>
      </w:r>
      <w:r w:rsidR="009D5FA2">
        <w:t>section</w:t>
      </w:r>
      <w:r w:rsidRPr="00B10E31">
        <w:t xml:space="preserve"> </w:t>
      </w:r>
      <w:r w:rsidR="00C50600">
        <w:rPr>
          <w:highlight w:val="yellow"/>
        </w:rPr>
        <w:fldChar w:fldCharType="begin"/>
      </w:r>
      <w:r w:rsidR="00C50600">
        <w:instrText xml:space="preserve"> REF _Ref20319451 \r \h </w:instrText>
      </w:r>
      <w:r w:rsidR="00C50600">
        <w:rPr>
          <w:highlight w:val="yellow"/>
        </w:rPr>
      </w:r>
      <w:r w:rsidR="00C50600">
        <w:rPr>
          <w:highlight w:val="yellow"/>
        </w:rPr>
        <w:fldChar w:fldCharType="separate"/>
      </w:r>
      <w:r w:rsidR="004F49F9">
        <w:t>2.2.5.3</w:t>
      </w:r>
      <w:r w:rsidR="00C50600">
        <w:rPr>
          <w:highlight w:val="yellow"/>
        </w:rPr>
        <w:fldChar w:fldCharType="end"/>
      </w:r>
      <w:r w:rsidRPr="00B10E31">
        <w:t>) have been used in the studies in the different frequency ranges.</w:t>
      </w:r>
    </w:p>
    <w:p w14:paraId="28D19141" w14:textId="6A3386A6" w:rsidR="003315E5" w:rsidRDefault="00F54F20" w:rsidP="003315E5">
      <w:pPr>
        <w:pStyle w:val="Caption"/>
        <w:rPr>
          <w:rStyle w:val="ECCParagraph"/>
        </w:rPr>
      </w:pPr>
      <w:bookmarkStart w:id="658" w:name="_Ref67053613"/>
      <w:r w:rsidRPr="00F54F20">
        <w:t>Table </w:t>
      </w:r>
      <w:r>
        <w:fldChar w:fldCharType="begin"/>
      </w:r>
      <w:r>
        <w:instrText>SEQ Table \* ARABIC</w:instrText>
      </w:r>
      <w:r>
        <w:fldChar w:fldCharType="separate"/>
      </w:r>
      <w:r w:rsidR="004F49F9">
        <w:rPr>
          <w:noProof/>
        </w:rPr>
        <w:t>74</w:t>
      </w:r>
      <w:r>
        <w:fldChar w:fldCharType="end"/>
      </w:r>
      <w:bookmarkEnd w:id="658"/>
      <w:r w:rsidRPr="00F54F20">
        <w:t xml:space="preserve">: </w:t>
      </w:r>
      <w:r w:rsidR="003315E5" w:rsidRPr="003315E5">
        <w:t>Technical parameters of LPR used for the conducted studies in the different frequency bands</w:t>
      </w:r>
    </w:p>
    <w:tbl>
      <w:tblPr>
        <w:tblStyle w:val="ECCTable-redheader"/>
        <w:tblW w:w="0" w:type="auto"/>
        <w:tblInd w:w="0" w:type="dxa"/>
        <w:tblLook w:val="04A0" w:firstRow="1" w:lastRow="0" w:firstColumn="1" w:lastColumn="0" w:noHBand="0" w:noVBand="1"/>
      </w:tblPr>
      <w:tblGrid>
        <w:gridCol w:w="1832"/>
        <w:gridCol w:w="1566"/>
        <w:gridCol w:w="1505"/>
        <w:gridCol w:w="1765"/>
        <w:gridCol w:w="1356"/>
        <w:gridCol w:w="1605"/>
      </w:tblGrid>
      <w:tr w:rsidR="00C943B8" w:rsidRPr="00566944" w14:paraId="3C1643FC" w14:textId="77777777" w:rsidTr="00A02FD2">
        <w:trPr>
          <w:cnfStyle w:val="100000000000" w:firstRow="1" w:lastRow="0" w:firstColumn="0" w:lastColumn="0" w:oddVBand="0" w:evenVBand="0" w:oddHBand="0" w:evenHBand="0" w:firstRowFirstColumn="0" w:firstRowLastColumn="0" w:lastRowFirstColumn="0" w:lastRowLastColumn="0"/>
        </w:trPr>
        <w:tc>
          <w:tcPr>
            <w:tcW w:w="1832" w:type="dxa"/>
          </w:tcPr>
          <w:p w14:paraId="0ABE3B04" w14:textId="77777777" w:rsidR="00C943B8" w:rsidRPr="00C943B8" w:rsidRDefault="00C943B8" w:rsidP="00876039">
            <w:pPr>
              <w:pStyle w:val="ECCTableHeaderwhitefont"/>
            </w:pPr>
            <w:r w:rsidRPr="00C943B8">
              <w:t>Investigated frequency range</w:t>
            </w:r>
          </w:p>
        </w:tc>
        <w:tc>
          <w:tcPr>
            <w:tcW w:w="1566" w:type="dxa"/>
          </w:tcPr>
          <w:p w14:paraId="3EEAB81C" w14:textId="77777777" w:rsidR="00C943B8" w:rsidRPr="00C943B8" w:rsidRDefault="00C943B8" w:rsidP="000A69BD">
            <w:pPr>
              <w:pStyle w:val="ECCTableHeaderwhitefont"/>
            </w:pPr>
            <w:r w:rsidRPr="00C943B8">
              <w:t>Assumed modulation bandwidth</w:t>
            </w:r>
          </w:p>
        </w:tc>
        <w:tc>
          <w:tcPr>
            <w:tcW w:w="1505" w:type="dxa"/>
          </w:tcPr>
          <w:p w14:paraId="4DA5D1BA" w14:textId="77777777" w:rsidR="00C943B8" w:rsidRPr="00C943B8" w:rsidRDefault="00C943B8" w:rsidP="000A69BD">
            <w:pPr>
              <w:pStyle w:val="ECCTableHeaderwhitefont"/>
            </w:pPr>
            <w:r w:rsidRPr="00C943B8">
              <w:t>Duty cycle</w:t>
            </w:r>
          </w:p>
        </w:tc>
        <w:tc>
          <w:tcPr>
            <w:tcW w:w="1765" w:type="dxa"/>
          </w:tcPr>
          <w:p w14:paraId="6D6BB851" w14:textId="77777777" w:rsidR="00C943B8" w:rsidRPr="00C943B8" w:rsidRDefault="00C943B8" w:rsidP="000A69BD">
            <w:pPr>
              <w:pStyle w:val="ECCTableHeaderwhitefont"/>
            </w:pPr>
            <w:r w:rsidRPr="00C943B8">
              <w:t xml:space="preserve">Mean e.i.r.p. spectral density </w:t>
            </w:r>
            <w:r w:rsidR="00423E82">
              <w:t>(Note 2)</w:t>
            </w:r>
          </w:p>
        </w:tc>
        <w:tc>
          <w:tcPr>
            <w:tcW w:w="1356" w:type="dxa"/>
          </w:tcPr>
          <w:p w14:paraId="588ADCE8" w14:textId="77777777" w:rsidR="00C943B8" w:rsidRPr="00C943B8" w:rsidRDefault="00C943B8" w:rsidP="000A69BD">
            <w:pPr>
              <w:pStyle w:val="ECCTableHeaderwhitefont"/>
            </w:pPr>
            <w:r w:rsidRPr="00C943B8">
              <w:t>Peak e.i.r.p.</w:t>
            </w:r>
          </w:p>
        </w:tc>
        <w:tc>
          <w:tcPr>
            <w:tcW w:w="1605" w:type="dxa"/>
          </w:tcPr>
          <w:p w14:paraId="62499642" w14:textId="77777777" w:rsidR="00C943B8" w:rsidRPr="00C943B8" w:rsidRDefault="00C943B8" w:rsidP="000A69BD">
            <w:pPr>
              <w:pStyle w:val="ECCTableHeaderwhitefont"/>
            </w:pPr>
            <w:r w:rsidRPr="00C943B8">
              <w:t>OOB attenuation (Note 1)</w:t>
            </w:r>
          </w:p>
        </w:tc>
      </w:tr>
      <w:tr w:rsidR="00A02FD2" w:rsidRPr="00C53FB5" w14:paraId="7B681509" w14:textId="77777777" w:rsidTr="00A02FD2">
        <w:tc>
          <w:tcPr>
            <w:tcW w:w="1832" w:type="dxa"/>
          </w:tcPr>
          <w:p w14:paraId="3D3AE480" w14:textId="77777777" w:rsidR="00A02FD2" w:rsidRPr="003315E5" w:rsidRDefault="00A02FD2" w:rsidP="000A69BD">
            <w:pPr>
              <w:pStyle w:val="ECCTabletext"/>
              <w:jc w:val="left"/>
            </w:pPr>
            <w:r w:rsidRPr="00C53FB5">
              <w:t xml:space="preserve">116 to </w:t>
            </w:r>
            <w:r w:rsidRPr="003315E5">
              <w:t>148</w:t>
            </w:r>
            <w:r w:rsidR="00CF4994">
              <w:t>.5</w:t>
            </w:r>
            <w:r w:rsidRPr="003315E5">
              <w:t> GHz</w:t>
            </w:r>
          </w:p>
        </w:tc>
        <w:tc>
          <w:tcPr>
            <w:tcW w:w="1566" w:type="dxa"/>
          </w:tcPr>
          <w:p w14:paraId="175CE70E" w14:textId="77777777" w:rsidR="00A02FD2" w:rsidRPr="003315E5" w:rsidRDefault="00A02FD2" w:rsidP="000A69BD">
            <w:pPr>
              <w:pStyle w:val="ECCTabletext"/>
              <w:jc w:val="left"/>
            </w:pPr>
            <w:r>
              <w:t>1</w:t>
            </w:r>
            <w:r w:rsidR="00CF4994">
              <w:t>.6</w:t>
            </w:r>
            <w:r>
              <w:t> GHz</w:t>
            </w:r>
          </w:p>
        </w:tc>
        <w:tc>
          <w:tcPr>
            <w:tcW w:w="1505" w:type="dxa"/>
          </w:tcPr>
          <w:p w14:paraId="6218D4C8" w14:textId="55831DDB" w:rsidR="00A02FD2" w:rsidRPr="003315E5" w:rsidRDefault="00A02FD2" w:rsidP="000A69BD">
            <w:pPr>
              <w:pStyle w:val="ECCTabletext"/>
              <w:jc w:val="left"/>
            </w:pPr>
            <w:r>
              <w:t>5</w:t>
            </w:r>
            <w:r w:rsidR="00F800A2">
              <w:t>%</w:t>
            </w:r>
          </w:p>
        </w:tc>
        <w:tc>
          <w:tcPr>
            <w:tcW w:w="1765" w:type="dxa"/>
          </w:tcPr>
          <w:p w14:paraId="6DA7EE8B" w14:textId="77777777" w:rsidR="00A02FD2" w:rsidRPr="003315E5" w:rsidRDefault="00A02FD2" w:rsidP="000A69BD">
            <w:pPr>
              <w:pStyle w:val="ECCTabletext"/>
              <w:jc w:val="left"/>
            </w:pPr>
            <w:r>
              <w:t>-</w:t>
            </w:r>
            <w:r w:rsidR="002C74FF">
              <w:t>8</w:t>
            </w:r>
            <w:r>
              <w:t> dBm/MHz</w:t>
            </w:r>
          </w:p>
        </w:tc>
        <w:tc>
          <w:tcPr>
            <w:tcW w:w="1356" w:type="dxa"/>
          </w:tcPr>
          <w:p w14:paraId="5E774E4B" w14:textId="77777777" w:rsidR="00A02FD2" w:rsidRPr="003315E5" w:rsidRDefault="00A02FD2" w:rsidP="000A69BD">
            <w:pPr>
              <w:pStyle w:val="ECCTabletext"/>
              <w:jc w:val="left"/>
            </w:pPr>
            <w:r>
              <w:t>3</w:t>
            </w:r>
            <w:r w:rsidR="002C74FF">
              <w:t>7</w:t>
            </w:r>
            <w:r>
              <w:t> dBm</w:t>
            </w:r>
          </w:p>
        </w:tc>
        <w:tc>
          <w:tcPr>
            <w:tcW w:w="1605" w:type="dxa"/>
          </w:tcPr>
          <w:p w14:paraId="22038092" w14:textId="77777777" w:rsidR="00A02FD2" w:rsidRDefault="00A02FD2" w:rsidP="000A69BD">
            <w:pPr>
              <w:pStyle w:val="ECCTabletext"/>
              <w:jc w:val="left"/>
            </w:pPr>
            <w:r>
              <w:t>20 dB</w:t>
            </w:r>
          </w:p>
        </w:tc>
      </w:tr>
      <w:tr w:rsidR="00A02FD2" w:rsidRPr="00C53FB5" w14:paraId="53A295AD" w14:textId="77777777" w:rsidTr="00A02FD2">
        <w:tc>
          <w:tcPr>
            <w:tcW w:w="1832" w:type="dxa"/>
          </w:tcPr>
          <w:p w14:paraId="62FBFCB8" w14:textId="77777777" w:rsidR="00A02FD2" w:rsidRPr="003315E5" w:rsidRDefault="00A02FD2" w:rsidP="000A69BD">
            <w:pPr>
              <w:pStyle w:val="ECCTabletext"/>
              <w:jc w:val="left"/>
            </w:pPr>
            <w:r w:rsidRPr="00C53FB5">
              <w:t>1</w:t>
            </w:r>
            <w:r w:rsidRPr="003315E5">
              <w:t>67 to 182 GHz</w:t>
            </w:r>
          </w:p>
        </w:tc>
        <w:tc>
          <w:tcPr>
            <w:tcW w:w="1566" w:type="dxa"/>
          </w:tcPr>
          <w:p w14:paraId="781B01D2" w14:textId="77777777" w:rsidR="00A02FD2" w:rsidRPr="003315E5" w:rsidRDefault="00A02FD2" w:rsidP="000A69BD">
            <w:pPr>
              <w:pStyle w:val="ECCTabletext"/>
              <w:jc w:val="left"/>
            </w:pPr>
            <w:r>
              <w:t>1 GHz</w:t>
            </w:r>
          </w:p>
        </w:tc>
        <w:tc>
          <w:tcPr>
            <w:tcW w:w="1505" w:type="dxa"/>
          </w:tcPr>
          <w:p w14:paraId="3F21D378" w14:textId="221D3440" w:rsidR="00A02FD2" w:rsidRPr="003315E5" w:rsidRDefault="00A02FD2" w:rsidP="000A69BD">
            <w:pPr>
              <w:pStyle w:val="ECCTabletext"/>
              <w:jc w:val="left"/>
            </w:pPr>
            <w:r>
              <w:t>5</w:t>
            </w:r>
            <w:r w:rsidR="00F800A2">
              <w:t>%</w:t>
            </w:r>
          </w:p>
        </w:tc>
        <w:tc>
          <w:tcPr>
            <w:tcW w:w="1765" w:type="dxa"/>
          </w:tcPr>
          <w:p w14:paraId="0FBA77F1" w14:textId="77777777" w:rsidR="00A02FD2" w:rsidRPr="003315E5" w:rsidRDefault="00A02FD2" w:rsidP="000A69BD">
            <w:pPr>
              <w:pStyle w:val="ECCTabletext"/>
              <w:jc w:val="left"/>
            </w:pPr>
            <w:r>
              <w:t>-</w:t>
            </w:r>
            <w:r w:rsidR="002C74FF">
              <w:t>6</w:t>
            </w:r>
            <w:r>
              <w:t> dBm/MHz</w:t>
            </w:r>
          </w:p>
        </w:tc>
        <w:tc>
          <w:tcPr>
            <w:tcW w:w="1356" w:type="dxa"/>
          </w:tcPr>
          <w:p w14:paraId="7F9807C1" w14:textId="77777777" w:rsidR="00A02FD2" w:rsidRPr="003315E5" w:rsidRDefault="00A02FD2" w:rsidP="000A69BD">
            <w:pPr>
              <w:pStyle w:val="ECCTabletext"/>
              <w:jc w:val="left"/>
            </w:pPr>
            <w:r>
              <w:t>3</w:t>
            </w:r>
            <w:r w:rsidR="002C74FF">
              <w:t>7</w:t>
            </w:r>
            <w:r>
              <w:t> dBm</w:t>
            </w:r>
          </w:p>
        </w:tc>
        <w:tc>
          <w:tcPr>
            <w:tcW w:w="1605" w:type="dxa"/>
          </w:tcPr>
          <w:p w14:paraId="066E6197" w14:textId="77777777" w:rsidR="00A02FD2" w:rsidRDefault="00A02FD2" w:rsidP="000A69BD">
            <w:pPr>
              <w:pStyle w:val="ECCTabletext"/>
              <w:jc w:val="left"/>
            </w:pPr>
            <w:r>
              <w:t>20 dB</w:t>
            </w:r>
          </w:p>
        </w:tc>
      </w:tr>
      <w:tr w:rsidR="00200700" w:rsidRPr="00C53FB5" w14:paraId="7E3DA604" w14:textId="77777777" w:rsidTr="00200700">
        <w:tc>
          <w:tcPr>
            <w:tcW w:w="9629" w:type="dxa"/>
            <w:gridSpan w:val="6"/>
          </w:tcPr>
          <w:p w14:paraId="1F54F40D" w14:textId="77777777" w:rsidR="00200700" w:rsidRPr="00200700" w:rsidRDefault="00200700" w:rsidP="00464AE0">
            <w:pPr>
              <w:pStyle w:val="ECCTablenote"/>
            </w:pPr>
            <w:r>
              <w:t xml:space="preserve">Note 1: Assumed out-of-band attenuation of the LPR-signal in </w:t>
            </w:r>
            <w:r w:rsidRPr="00200700">
              <w:t>adjacent bands allocated to FS.</w:t>
            </w:r>
          </w:p>
          <w:p w14:paraId="19236746" w14:textId="24FBDC17" w:rsidR="00200700" w:rsidRDefault="00200700" w:rsidP="00464AE0">
            <w:pPr>
              <w:pStyle w:val="ECCTablenote"/>
            </w:pPr>
            <w:r w:rsidRPr="00423E82">
              <w:t>Note 2: The duty cycle of 5</w:t>
            </w:r>
            <w:r w:rsidR="00F800A2">
              <w:t>%</w:t>
            </w:r>
            <w:r w:rsidRPr="00423E82">
              <w:t xml:space="preserve"> is already considered in this mean e.i.r.p. spectral density 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1E16F37F" w14:textId="77777777" w:rsidR="003315E5" w:rsidRDefault="003315E5" w:rsidP="003315E5">
      <w:pPr>
        <w:pStyle w:val="Heading3"/>
      </w:pPr>
      <w:bookmarkStart w:id="659" w:name="_Ref67389691"/>
      <w:bookmarkStart w:id="660" w:name="_Toc84325391"/>
      <w:bookmarkStart w:id="661" w:name="_Toc127346313"/>
      <w:r>
        <w:t>Results</w:t>
      </w:r>
      <w:bookmarkEnd w:id="659"/>
      <w:bookmarkEnd w:id="660"/>
      <w:bookmarkEnd w:id="661"/>
    </w:p>
    <w:p w14:paraId="71881558" w14:textId="7069AE39" w:rsidR="003315E5" w:rsidRPr="00B10E31" w:rsidRDefault="00F54F20" w:rsidP="003315E5">
      <w:r>
        <w:fldChar w:fldCharType="begin"/>
      </w:r>
      <w:r>
        <w:instrText xml:space="preserve"> REF _Ref67053689 \h </w:instrText>
      </w:r>
      <w:r>
        <w:fldChar w:fldCharType="separate"/>
      </w:r>
      <w:r w:rsidR="0041125F" w:rsidRPr="00F54F20">
        <w:t>Table </w:t>
      </w:r>
      <w:r w:rsidR="0041125F">
        <w:rPr>
          <w:noProof/>
        </w:rPr>
        <w:t>75</w:t>
      </w:r>
      <w:r>
        <w:fldChar w:fldCharType="end"/>
      </w:r>
      <w:r>
        <w:t xml:space="preserve"> </w:t>
      </w:r>
      <w:r w:rsidR="003315E5" w:rsidRPr="00B10E31">
        <w:t xml:space="preserve">shows the single-entry </w:t>
      </w:r>
      <w:r w:rsidR="00791D2C">
        <w:t>worst</w:t>
      </w:r>
      <w:r w:rsidR="003315E5" w:rsidRPr="00B10E31">
        <w:t>-case results for LPR, e.g. the largest separation distances for the individual frequency ranges, and FS victim receivers distinguished between the long</w:t>
      </w:r>
      <w:r w:rsidR="00E12029">
        <w:t>-</w:t>
      </w:r>
      <w:r w:rsidR="003315E5" w:rsidRPr="00B10E31">
        <w:t>term objective and the peak power objective.</w:t>
      </w:r>
    </w:p>
    <w:p w14:paraId="0CA7B261" w14:textId="0D6905FC" w:rsidR="003315E5" w:rsidRDefault="00F54F20" w:rsidP="003315E5">
      <w:pPr>
        <w:pStyle w:val="Caption"/>
      </w:pPr>
      <w:bookmarkStart w:id="662" w:name="_Ref67053689"/>
      <w:r w:rsidRPr="00F54F20">
        <w:t>Table </w:t>
      </w:r>
      <w:r>
        <w:fldChar w:fldCharType="begin"/>
      </w:r>
      <w:r>
        <w:instrText>SEQ Table \* ARABIC</w:instrText>
      </w:r>
      <w:r>
        <w:fldChar w:fldCharType="separate"/>
      </w:r>
      <w:r w:rsidR="004F49F9">
        <w:rPr>
          <w:noProof/>
        </w:rPr>
        <w:t>75</w:t>
      </w:r>
      <w:r>
        <w:fldChar w:fldCharType="end"/>
      </w:r>
      <w:bookmarkEnd w:id="662"/>
      <w:r w:rsidRPr="00F54F20">
        <w:t>:</w:t>
      </w:r>
      <w:r>
        <w:t xml:space="preserve"> </w:t>
      </w:r>
      <w:r w:rsidR="003315E5" w:rsidRPr="003315E5">
        <w:t>Required separation distances determined in a single-entry study for LPR</w:t>
      </w:r>
    </w:p>
    <w:tbl>
      <w:tblPr>
        <w:tblStyle w:val="ECCTable-redheader"/>
        <w:tblW w:w="5000" w:type="pct"/>
        <w:tblInd w:w="0" w:type="dxa"/>
        <w:tblLook w:val="04A0" w:firstRow="1" w:lastRow="0" w:firstColumn="1" w:lastColumn="0" w:noHBand="0" w:noVBand="1"/>
      </w:tblPr>
      <w:tblGrid>
        <w:gridCol w:w="1600"/>
        <w:gridCol w:w="2629"/>
        <w:gridCol w:w="1352"/>
        <w:gridCol w:w="1410"/>
        <w:gridCol w:w="1290"/>
        <w:gridCol w:w="1348"/>
      </w:tblGrid>
      <w:tr w:rsidR="003306EF" w14:paraId="6E0F8030" w14:textId="77777777" w:rsidTr="00DB6C49">
        <w:trPr>
          <w:cnfStyle w:val="100000000000" w:firstRow="1" w:lastRow="0" w:firstColumn="0" w:lastColumn="0" w:oddVBand="0" w:evenVBand="0" w:oddHBand="0" w:evenHBand="0" w:firstRowFirstColumn="0" w:firstRowLastColumn="0" w:lastRowFirstColumn="0" w:lastRowLastColumn="0"/>
        </w:trPr>
        <w:tc>
          <w:tcPr>
            <w:tcW w:w="831" w:type="pct"/>
            <w:vMerge w:val="restart"/>
            <w:tcBorders>
              <w:top w:val="single" w:sz="4" w:space="0" w:color="FFFFFF" w:themeColor="background1"/>
            </w:tcBorders>
          </w:tcPr>
          <w:p w14:paraId="1872EBD0" w14:textId="77777777" w:rsidR="003306EF" w:rsidRPr="00A02FD2" w:rsidRDefault="003306EF" w:rsidP="00876039">
            <w:pPr>
              <w:pStyle w:val="ECCTableHeaderwhitefont"/>
            </w:pPr>
            <w:r w:rsidRPr="00213B63">
              <w:t>Investigated Frequency range</w:t>
            </w:r>
          </w:p>
        </w:tc>
        <w:tc>
          <w:tcPr>
            <w:tcW w:w="1365" w:type="pct"/>
            <w:vMerge w:val="restart"/>
            <w:tcBorders>
              <w:top w:val="single" w:sz="4" w:space="0" w:color="FFFFFF" w:themeColor="background1"/>
            </w:tcBorders>
          </w:tcPr>
          <w:p w14:paraId="0BCD435D" w14:textId="77777777" w:rsidR="003306EF" w:rsidRPr="00A02FD2" w:rsidRDefault="003306EF" w:rsidP="000A69BD">
            <w:pPr>
              <w:pStyle w:val="ECCTableHeaderwhitefont"/>
            </w:pPr>
            <w:r w:rsidRPr="00213B63">
              <w:t xml:space="preserve">Allocated band for </w:t>
            </w:r>
            <w:r w:rsidRPr="00A02FD2">
              <w:t>FS</w:t>
            </w:r>
          </w:p>
        </w:tc>
        <w:tc>
          <w:tcPr>
            <w:tcW w:w="1434" w:type="pct"/>
            <w:gridSpan w:val="2"/>
            <w:tcBorders>
              <w:top w:val="single" w:sz="4" w:space="0" w:color="FFFFFF" w:themeColor="background1"/>
              <w:left w:val="nil"/>
              <w:bottom w:val="single" w:sz="4" w:space="0" w:color="FFFFFF" w:themeColor="background1"/>
            </w:tcBorders>
          </w:tcPr>
          <w:p w14:paraId="5C9DEE1F" w14:textId="77777777" w:rsidR="003306EF" w:rsidRPr="00A02FD2" w:rsidRDefault="003306EF" w:rsidP="000A69BD">
            <w:pPr>
              <w:pStyle w:val="ECCTableHeaderwhitefont"/>
            </w:pPr>
            <w:r w:rsidRPr="00B10E31">
              <w:t>Required</w:t>
            </w:r>
            <w:r w:rsidRPr="00A02FD2">
              <w:t xml:space="preserve"> separation distance for scenario 1</w:t>
            </w:r>
          </w:p>
        </w:tc>
        <w:tc>
          <w:tcPr>
            <w:tcW w:w="1370" w:type="pct"/>
            <w:gridSpan w:val="2"/>
            <w:tcBorders>
              <w:top w:val="single" w:sz="4" w:space="0" w:color="FFFFFF" w:themeColor="background1"/>
              <w:bottom w:val="single" w:sz="4" w:space="0" w:color="FFFFFF" w:themeColor="background1"/>
            </w:tcBorders>
          </w:tcPr>
          <w:p w14:paraId="31C502F7" w14:textId="77777777" w:rsidR="003306EF" w:rsidRPr="00A02FD2" w:rsidRDefault="003306EF" w:rsidP="000A69BD">
            <w:pPr>
              <w:pStyle w:val="ECCTableHeaderwhitefont"/>
            </w:pPr>
            <w:r w:rsidRPr="00B10E31">
              <w:t>Required</w:t>
            </w:r>
            <w:r w:rsidRPr="00A02FD2">
              <w:t xml:space="preserve"> separation distance for scenario 2</w:t>
            </w:r>
          </w:p>
        </w:tc>
      </w:tr>
      <w:tr w:rsidR="0053099A" w14:paraId="5FF8B9F2" w14:textId="77777777" w:rsidTr="007B41E3">
        <w:tc>
          <w:tcPr>
            <w:tcW w:w="831" w:type="pct"/>
            <w:vMerge/>
            <w:tcBorders>
              <w:right w:val="single" w:sz="4" w:space="0" w:color="FFFFFF" w:themeColor="background1"/>
            </w:tcBorders>
          </w:tcPr>
          <w:p w14:paraId="63B5B60F" w14:textId="77777777" w:rsidR="007B41E3" w:rsidRPr="00213B63" w:rsidRDefault="007B41E3" w:rsidP="007B41E3">
            <w:pPr>
              <w:pStyle w:val="ECCTableHeaderwhitefont"/>
            </w:pPr>
          </w:p>
        </w:tc>
        <w:tc>
          <w:tcPr>
            <w:tcW w:w="1365" w:type="pct"/>
            <w:vMerge/>
            <w:tcBorders>
              <w:left w:val="single" w:sz="4" w:space="0" w:color="FFFFFF" w:themeColor="background1"/>
              <w:right w:val="single" w:sz="4" w:space="0" w:color="FFFFFF" w:themeColor="background1"/>
            </w:tcBorders>
          </w:tcPr>
          <w:p w14:paraId="4D164AC5" w14:textId="77777777" w:rsidR="007B41E3" w:rsidRPr="00213B63" w:rsidRDefault="007B41E3" w:rsidP="007B41E3">
            <w:pPr>
              <w:pStyle w:val="ECCTableHeaderwhitefont"/>
            </w:pPr>
          </w:p>
        </w:tc>
        <w:tc>
          <w:tcPr>
            <w:tcW w:w="702"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6B3F41ED" w14:textId="227850EF" w:rsidR="007B41E3" w:rsidRPr="00A02FD2" w:rsidRDefault="007B41E3" w:rsidP="007B41E3">
            <w:pPr>
              <w:pStyle w:val="ECCTableHeaderwhitefont"/>
            </w:pPr>
            <w:r w:rsidRPr="006649F8">
              <w:rPr>
                <w:b/>
                <w:bCs w:val="0"/>
              </w:rPr>
              <w:t>Long-term objective</w:t>
            </w:r>
          </w:p>
        </w:tc>
        <w:tc>
          <w:tcPr>
            <w:tcW w:w="732"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4D1238B" w14:textId="7CC597AB" w:rsidR="007B41E3" w:rsidRPr="00A02FD2" w:rsidRDefault="007B41E3" w:rsidP="007B41E3">
            <w:pPr>
              <w:pStyle w:val="ECCTableHeaderwhitefont"/>
            </w:pPr>
            <w:r w:rsidRPr="006649F8">
              <w:rPr>
                <w:b/>
                <w:bCs w:val="0"/>
              </w:rPr>
              <w:t>Peak-power objective</w:t>
            </w:r>
          </w:p>
        </w:tc>
        <w:tc>
          <w:tcPr>
            <w:tcW w:w="670"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64D94D8" w14:textId="435879D3" w:rsidR="007B41E3" w:rsidRPr="00A02FD2" w:rsidRDefault="007B41E3" w:rsidP="007B41E3">
            <w:pPr>
              <w:pStyle w:val="ECCTableHeaderwhitefont"/>
            </w:pPr>
            <w:r w:rsidRPr="006649F8">
              <w:rPr>
                <w:b/>
                <w:bCs w:val="0"/>
              </w:rPr>
              <w:t>Long-term objective</w:t>
            </w:r>
          </w:p>
        </w:tc>
        <w:tc>
          <w:tcPr>
            <w:tcW w:w="700"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953D3FF" w14:textId="3446737D" w:rsidR="007B41E3" w:rsidRPr="00A02FD2" w:rsidRDefault="007B41E3" w:rsidP="007B41E3">
            <w:pPr>
              <w:pStyle w:val="ECCTableHeaderwhitefont"/>
            </w:pPr>
            <w:r w:rsidRPr="006649F8">
              <w:rPr>
                <w:b/>
                <w:bCs w:val="0"/>
              </w:rPr>
              <w:t>Peak-power objective</w:t>
            </w:r>
          </w:p>
        </w:tc>
      </w:tr>
      <w:tr w:rsidR="003306EF" w14:paraId="6DFB41E0" w14:textId="77777777" w:rsidTr="00DB6C49">
        <w:tc>
          <w:tcPr>
            <w:tcW w:w="831" w:type="pct"/>
            <w:vMerge w:val="restart"/>
          </w:tcPr>
          <w:p w14:paraId="640270B9" w14:textId="77777777" w:rsidR="003306EF" w:rsidRPr="00A02FD2" w:rsidRDefault="003306EF" w:rsidP="000A69BD">
            <w:pPr>
              <w:pStyle w:val="ECCTabletext"/>
              <w:jc w:val="left"/>
            </w:pPr>
            <w:r w:rsidRPr="00913718">
              <w:t xml:space="preserve">116 to </w:t>
            </w:r>
            <w:r w:rsidRPr="00A02FD2">
              <w:t>148</w:t>
            </w:r>
            <w:r w:rsidR="00CF4994">
              <w:t>.5</w:t>
            </w:r>
            <w:r w:rsidRPr="00A02FD2">
              <w:t> GHz</w:t>
            </w:r>
          </w:p>
        </w:tc>
        <w:tc>
          <w:tcPr>
            <w:tcW w:w="1365" w:type="pct"/>
          </w:tcPr>
          <w:p w14:paraId="4CAB540E" w14:textId="77777777" w:rsidR="003306EF" w:rsidRPr="00A02FD2" w:rsidRDefault="003306EF" w:rsidP="000A69BD">
            <w:pPr>
              <w:pStyle w:val="ECCTabletext"/>
              <w:jc w:val="left"/>
            </w:pPr>
            <w:r w:rsidRPr="00913718">
              <w:t>111</w:t>
            </w:r>
            <w:r w:rsidR="00CF4994">
              <w:t>.8</w:t>
            </w:r>
            <w:r w:rsidRPr="00913718">
              <w:t xml:space="preserve"> to 114</w:t>
            </w:r>
            <w:r w:rsidR="00CF4994">
              <w:t>.2</w:t>
            </w:r>
            <w:r w:rsidRPr="00913718">
              <w:t>5 GHz</w:t>
            </w:r>
            <w:r>
              <w:t xml:space="preserve"> (OOB)</w:t>
            </w:r>
          </w:p>
        </w:tc>
        <w:tc>
          <w:tcPr>
            <w:tcW w:w="702" w:type="pct"/>
            <w:tcBorders>
              <w:top w:val="single" w:sz="4" w:space="0" w:color="D22A23"/>
            </w:tcBorders>
            <w:shd w:val="clear" w:color="auto" w:fill="auto"/>
          </w:tcPr>
          <w:p w14:paraId="63C477AC" w14:textId="77777777" w:rsidR="003306EF" w:rsidRPr="00A02FD2" w:rsidRDefault="001844E6" w:rsidP="000A69BD">
            <w:pPr>
              <w:pStyle w:val="ECCTabletext"/>
              <w:jc w:val="left"/>
              <w:rPr>
                <w:highlight w:val="yellow"/>
              </w:rPr>
            </w:pPr>
            <w:r>
              <w:t>40</w:t>
            </w:r>
            <w:r w:rsidR="003306EF" w:rsidRPr="00913718">
              <w:t> m</w:t>
            </w:r>
          </w:p>
        </w:tc>
        <w:tc>
          <w:tcPr>
            <w:tcW w:w="732" w:type="pct"/>
            <w:tcBorders>
              <w:top w:val="single" w:sz="4" w:space="0" w:color="D22A23"/>
            </w:tcBorders>
          </w:tcPr>
          <w:p w14:paraId="032FF27B" w14:textId="77777777" w:rsidR="003306EF" w:rsidRPr="00A02FD2" w:rsidRDefault="003306EF" w:rsidP="000A69BD">
            <w:pPr>
              <w:pStyle w:val="ECCTabletext"/>
              <w:jc w:val="left"/>
              <w:rPr>
                <w:highlight w:val="yellow"/>
              </w:rPr>
            </w:pPr>
            <w:r w:rsidRPr="00564DDA">
              <w:t>13 m</w:t>
            </w:r>
          </w:p>
        </w:tc>
        <w:tc>
          <w:tcPr>
            <w:tcW w:w="670" w:type="pct"/>
            <w:tcBorders>
              <w:top w:val="single" w:sz="4" w:space="0" w:color="D22A23"/>
            </w:tcBorders>
          </w:tcPr>
          <w:p w14:paraId="617608DC" w14:textId="77777777" w:rsidR="003306EF" w:rsidRPr="00A02FD2" w:rsidRDefault="001844E6" w:rsidP="000A69BD">
            <w:pPr>
              <w:pStyle w:val="ECCTabletext"/>
              <w:jc w:val="left"/>
            </w:pPr>
            <w:r>
              <w:t>4</w:t>
            </w:r>
            <w:r w:rsidR="003306EF" w:rsidRPr="00190C3E">
              <w:t> m</w:t>
            </w:r>
          </w:p>
        </w:tc>
        <w:tc>
          <w:tcPr>
            <w:tcW w:w="700" w:type="pct"/>
            <w:tcBorders>
              <w:top w:val="single" w:sz="4" w:space="0" w:color="D22A23"/>
            </w:tcBorders>
          </w:tcPr>
          <w:p w14:paraId="083ED843" w14:textId="77777777" w:rsidR="003306EF" w:rsidRPr="00A02FD2" w:rsidRDefault="003306EF" w:rsidP="000A69BD">
            <w:pPr>
              <w:pStyle w:val="ECCTabletext"/>
              <w:jc w:val="left"/>
            </w:pPr>
            <w:r w:rsidRPr="00190C3E">
              <w:t>1 m</w:t>
            </w:r>
          </w:p>
        </w:tc>
      </w:tr>
      <w:tr w:rsidR="003306EF" w14:paraId="322F83F8" w14:textId="77777777" w:rsidTr="00DB6C49">
        <w:tc>
          <w:tcPr>
            <w:tcW w:w="831" w:type="pct"/>
            <w:vMerge/>
          </w:tcPr>
          <w:p w14:paraId="5B1B2FC6" w14:textId="77777777" w:rsidR="003306EF" w:rsidRPr="00913718" w:rsidRDefault="003306EF" w:rsidP="00A02FD2">
            <w:pPr>
              <w:pStyle w:val="ECCTabletext"/>
            </w:pPr>
          </w:p>
        </w:tc>
        <w:tc>
          <w:tcPr>
            <w:tcW w:w="1365" w:type="pct"/>
          </w:tcPr>
          <w:p w14:paraId="3D04B372" w14:textId="77777777" w:rsidR="003306EF" w:rsidRPr="00A02FD2" w:rsidRDefault="003306EF" w:rsidP="000A69BD">
            <w:pPr>
              <w:pStyle w:val="ECCTabletext"/>
              <w:jc w:val="left"/>
            </w:pPr>
            <w:r w:rsidRPr="00913718">
              <w:t>130 to 134 GHz</w:t>
            </w:r>
            <w:r>
              <w:t xml:space="preserve"> (In-band)</w:t>
            </w:r>
          </w:p>
        </w:tc>
        <w:tc>
          <w:tcPr>
            <w:tcW w:w="702" w:type="pct"/>
          </w:tcPr>
          <w:p w14:paraId="7864E132" w14:textId="77777777" w:rsidR="003306EF" w:rsidRPr="00A02FD2" w:rsidRDefault="001844E6" w:rsidP="000A69BD">
            <w:pPr>
              <w:pStyle w:val="ECCTabletext"/>
              <w:jc w:val="left"/>
            </w:pPr>
            <w:r>
              <w:t>263</w:t>
            </w:r>
            <w:r w:rsidR="003306EF" w:rsidRPr="00564DDA">
              <w:t> m</w:t>
            </w:r>
          </w:p>
        </w:tc>
        <w:tc>
          <w:tcPr>
            <w:tcW w:w="732" w:type="pct"/>
          </w:tcPr>
          <w:p w14:paraId="512031A0" w14:textId="77777777" w:rsidR="003306EF" w:rsidRPr="00A02FD2" w:rsidRDefault="003306EF" w:rsidP="000A69BD">
            <w:pPr>
              <w:pStyle w:val="ECCTabletext"/>
              <w:jc w:val="left"/>
            </w:pPr>
            <w:r w:rsidRPr="00564DDA">
              <w:t>85 m</w:t>
            </w:r>
          </w:p>
        </w:tc>
        <w:tc>
          <w:tcPr>
            <w:tcW w:w="670" w:type="pct"/>
          </w:tcPr>
          <w:p w14:paraId="5B1CA7B5" w14:textId="77777777" w:rsidR="003306EF" w:rsidRPr="00A02FD2" w:rsidRDefault="001844E6" w:rsidP="000A69BD">
            <w:pPr>
              <w:pStyle w:val="ECCTabletext"/>
              <w:jc w:val="left"/>
            </w:pPr>
            <w:r>
              <w:t>24</w:t>
            </w:r>
            <w:r w:rsidR="003306EF" w:rsidRPr="00190C3E">
              <w:t> m</w:t>
            </w:r>
          </w:p>
        </w:tc>
        <w:tc>
          <w:tcPr>
            <w:tcW w:w="700" w:type="pct"/>
          </w:tcPr>
          <w:p w14:paraId="755AA9C3" w14:textId="77777777" w:rsidR="003306EF" w:rsidRPr="00A02FD2" w:rsidRDefault="003306EF" w:rsidP="000A69BD">
            <w:pPr>
              <w:pStyle w:val="ECCTabletext"/>
              <w:jc w:val="left"/>
            </w:pPr>
            <w:r w:rsidRPr="00190C3E">
              <w:t>8 m</w:t>
            </w:r>
          </w:p>
        </w:tc>
      </w:tr>
      <w:tr w:rsidR="003306EF" w14:paraId="63E33839" w14:textId="77777777" w:rsidTr="00DB6C49">
        <w:tc>
          <w:tcPr>
            <w:tcW w:w="831" w:type="pct"/>
            <w:vMerge/>
          </w:tcPr>
          <w:p w14:paraId="63E68ABF" w14:textId="77777777" w:rsidR="003306EF" w:rsidRPr="00913718" w:rsidRDefault="003306EF" w:rsidP="00A02FD2">
            <w:pPr>
              <w:pStyle w:val="ECCTabletext"/>
            </w:pPr>
          </w:p>
        </w:tc>
        <w:tc>
          <w:tcPr>
            <w:tcW w:w="1365" w:type="pct"/>
          </w:tcPr>
          <w:p w14:paraId="1E65B06F" w14:textId="77777777" w:rsidR="003306EF" w:rsidRPr="00A02FD2" w:rsidRDefault="003306EF" w:rsidP="000A69BD">
            <w:pPr>
              <w:pStyle w:val="ECCTabletext"/>
              <w:jc w:val="left"/>
            </w:pPr>
            <w:r>
              <w:t>141 to 148</w:t>
            </w:r>
            <w:r w:rsidR="00CF4994">
              <w:t>.5</w:t>
            </w:r>
            <w:r>
              <w:t> GHz (In-band)</w:t>
            </w:r>
          </w:p>
        </w:tc>
        <w:tc>
          <w:tcPr>
            <w:tcW w:w="702" w:type="pct"/>
          </w:tcPr>
          <w:p w14:paraId="3E2E4D25" w14:textId="77777777" w:rsidR="003306EF" w:rsidRPr="00A02FD2" w:rsidRDefault="001844E6" w:rsidP="000A69BD">
            <w:pPr>
              <w:pStyle w:val="ECCTabletext"/>
              <w:jc w:val="left"/>
            </w:pPr>
            <w:r>
              <w:t>237</w:t>
            </w:r>
            <w:r w:rsidR="003306EF">
              <w:t> m</w:t>
            </w:r>
          </w:p>
        </w:tc>
        <w:tc>
          <w:tcPr>
            <w:tcW w:w="732" w:type="pct"/>
          </w:tcPr>
          <w:p w14:paraId="11524E79" w14:textId="77777777" w:rsidR="003306EF" w:rsidRPr="00A02FD2" w:rsidRDefault="003306EF" w:rsidP="000A69BD">
            <w:pPr>
              <w:pStyle w:val="ECCTabletext"/>
              <w:jc w:val="left"/>
            </w:pPr>
            <w:r>
              <w:t>77 m</w:t>
            </w:r>
          </w:p>
        </w:tc>
        <w:tc>
          <w:tcPr>
            <w:tcW w:w="670" w:type="pct"/>
          </w:tcPr>
          <w:p w14:paraId="1D993D1E" w14:textId="77777777" w:rsidR="003306EF" w:rsidRPr="00A02FD2" w:rsidRDefault="001844E6" w:rsidP="000A69BD">
            <w:pPr>
              <w:pStyle w:val="ECCTabletext"/>
              <w:jc w:val="left"/>
            </w:pPr>
            <w:r>
              <w:t>22</w:t>
            </w:r>
            <w:r w:rsidR="003306EF" w:rsidRPr="00190C3E">
              <w:t> m</w:t>
            </w:r>
          </w:p>
        </w:tc>
        <w:tc>
          <w:tcPr>
            <w:tcW w:w="700" w:type="pct"/>
          </w:tcPr>
          <w:p w14:paraId="1ACA747A" w14:textId="77777777" w:rsidR="003306EF" w:rsidRPr="00A02FD2" w:rsidRDefault="003306EF" w:rsidP="000A69BD">
            <w:pPr>
              <w:pStyle w:val="ECCTabletext"/>
              <w:jc w:val="left"/>
            </w:pPr>
            <w:r w:rsidRPr="00190C3E">
              <w:t>7 m</w:t>
            </w:r>
          </w:p>
        </w:tc>
      </w:tr>
      <w:tr w:rsidR="003306EF" w14:paraId="4A57F212" w14:textId="77777777" w:rsidTr="00DB6C49">
        <w:tc>
          <w:tcPr>
            <w:tcW w:w="831" w:type="pct"/>
          </w:tcPr>
          <w:p w14:paraId="1EF0BCA0" w14:textId="77777777" w:rsidR="003306EF" w:rsidRPr="00A02FD2" w:rsidRDefault="003306EF" w:rsidP="000A69BD">
            <w:pPr>
              <w:pStyle w:val="ECCTabletext"/>
              <w:jc w:val="left"/>
            </w:pPr>
            <w:r w:rsidRPr="00913718">
              <w:t>167 to 182 GHz</w:t>
            </w:r>
          </w:p>
        </w:tc>
        <w:tc>
          <w:tcPr>
            <w:tcW w:w="1365" w:type="pct"/>
          </w:tcPr>
          <w:p w14:paraId="1480F868" w14:textId="77777777" w:rsidR="003306EF" w:rsidRPr="00A02FD2" w:rsidRDefault="003306EF" w:rsidP="000A69BD">
            <w:pPr>
              <w:pStyle w:val="ECCTabletext"/>
              <w:jc w:val="left"/>
            </w:pPr>
            <w:r w:rsidRPr="00913718">
              <w:t>167 to 174</w:t>
            </w:r>
            <w:r w:rsidR="00CF4994">
              <w:t>.8</w:t>
            </w:r>
            <w:r w:rsidRPr="00913718">
              <w:t> GHz</w:t>
            </w:r>
            <w:r>
              <w:t xml:space="preserve"> (In-band)</w:t>
            </w:r>
          </w:p>
        </w:tc>
        <w:tc>
          <w:tcPr>
            <w:tcW w:w="702" w:type="pct"/>
          </w:tcPr>
          <w:p w14:paraId="32C65CB0" w14:textId="77777777" w:rsidR="003306EF" w:rsidRPr="00A02FD2" w:rsidRDefault="001844E6" w:rsidP="000A69BD">
            <w:pPr>
              <w:pStyle w:val="ECCTabletext"/>
              <w:jc w:val="left"/>
            </w:pPr>
            <w:r>
              <w:t>240</w:t>
            </w:r>
            <w:r w:rsidR="003306EF" w:rsidRPr="00A02FD2">
              <w:t> m</w:t>
            </w:r>
          </w:p>
        </w:tc>
        <w:tc>
          <w:tcPr>
            <w:tcW w:w="732" w:type="pct"/>
          </w:tcPr>
          <w:p w14:paraId="7EDE9A89" w14:textId="77777777" w:rsidR="003306EF" w:rsidRPr="00A02FD2" w:rsidRDefault="003306EF" w:rsidP="000A69BD">
            <w:pPr>
              <w:pStyle w:val="ECCTabletext"/>
              <w:jc w:val="left"/>
            </w:pPr>
            <w:r>
              <w:t>63</w:t>
            </w:r>
            <w:r w:rsidRPr="00A02FD2">
              <w:t> m</w:t>
            </w:r>
          </w:p>
        </w:tc>
        <w:tc>
          <w:tcPr>
            <w:tcW w:w="670" w:type="pct"/>
          </w:tcPr>
          <w:p w14:paraId="3CDB685D" w14:textId="77777777" w:rsidR="003306EF" w:rsidRPr="00A02FD2" w:rsidRDefault="001844E6" w:rsidP="000A69BD">
            <w:pPr>
              <w:pStyle w:val="ECCTabletext"/>
              <w:jc w:val="left"/>
            </w:pPr>
            <w:r>
              <w:t>23</w:t>
            </w:r>
            <w:r w:rsidR="003306EF">
              <w:t> m</w:t>
            </w:r>
          </w:p>
        </w:tc>
        <w:tc>
          <w:tcPr>
            <w:tcW w:w="700" w:type="pct"/>
          </w:tcPr>
          <w:p w14:paraId="483F9585" w14:textId="77777777" w:rsidR="003306EF" w:rsidRPr="00A02FD2" w:rsidRDefault="003306EF" w:rsidP="000A69BD">
            <w:pPr>
              <w:pStyle w:val="ECCTabletext"/>
              <w:jc w:val="left"/>
            </w:pPr>
            <w:r>
              <w:t>6 m</w:t>
            </w:r>
          </w:p>
        </w:tc>
      </w:tr>
    </w:tbl>
    <w:p w14:paraId="2AEE85D1" w14:textId="70C85520" w:rsidR="00530C48" w:rsidRPr="00B10E31" w:rsidRDefault="00530C48" w:rsidP="00530C48">
      <w:r>
        <w:t xml:space="preserve">The conclusions drawn from these results can be found in </w:t>
      </w:r>
      <w:r w:rsidR="009D5FA2">
        <w:t>section</w:t>
      </w:r>
      <w:r>
        <w:t xml:space="preserve"> </w:t>
      </w:r>
      <w:r>
        <w:fldChar w:fldCharType="begin"/>
      </w:r>
      <w:r>
        <w:instrText xml:space="preserve"> REF _Ref67392946 \r \h </w:instrText>
      </w:r>
      <w:r>
        <w:fldChar w:fldCharType="separate"/>
      </w:r>
      <w:r w:rsidR="004F49F9">
        <w:t>8.5.3</w:t>
      </w:r>
      <w:r>
        <w:fldChar w:fldCharType="end"/>
      </w:r>
      <w:r>
        <w:t>.</w:t>
      </w:r>
    </w:p>
    <w:p w14:paraId="1B905E46" w14:textId="77777777" w:rsidR="00597E38" w:rsidRPr="00597E38" w:rsidRDefault="00597E38" w:rsidP="00597E38">
      <w:pPr>
        <w:pStyle w:val="Heading2"/>
      </w:pPr>
      <w:bookmarkStart w:id="663" w:name="_Toc84325392"/>
      <w:bookmarkStart w:id="664" w:name="_Toc127346314"/>
      <w:r w:rsidRPr="00597E38">
        <w:t>Contour determination and acquisition (CDR)</w:t>
      </w:r>
      <w:bookmarkEnd w:id="663"/>
      <w:bookmarkEnd w:id="664"/>
    </w:p>
    <w:p w14:paraId="0C7D5184" w14:textId="77777777" w:rsidR="00597E38" w:rsidRPr="00DF061A" w:rsidRDefault="00597E38" w:rsidP="00597E38">
      <w:pPr>
        <w:pStyle w:val="Heading3"/>
      </w:pPr>
      <w:bookmarkStart w:id="665" w:name="_Toc84325393"/>
      <w:bookmarkStart w:id="666" w:name="_Toc127346315"/>
      <w:r w:rsidRPr="00DF061A">
        <w:t>Technical parameters of CDR</w:t>
      </w:r>
      <w:bookmarkEnd w:id="665"/>
      <w:bookmarkEnd w:id="666"/>
    </w:p>
    <w:p w14:paraId="3EACDD44" w14:textId="214DB11A" w:rsidR="00597E38" w:rsidRPr="00B10E31" w:rsidRDefault="00597E38" w:rsidP="00597E38">
      <w:r w:rsidRPr="00B10E31">
        <w:t xml:space="preserve">For contour determination radar (CDR) altogether three potential frequency bands have been defined (see </w:t>
      </w:r>
      <w:r w:rsidR="009D5FA2">
        <w:t>section</w:t>
      </w:r>
      <w:r w:rsidRPr="00B10E31">
        <w:t xml:space="preserve"> </w:t>
      </w:r>
      <w:r w:rsidR="000C3B0E">
        <w:rPr>
          <w:highlight w:val="yellow"/>
        </w:rPr>
        <w:fldChar w:fldCharType="begin"/>
      </w:r>
      <w:r w:rsidR="000C3B0E">
        <w:instrText xml:space="preserve"> REF _Ref66452422 \r \h </w:instrText>
      </w:r>
      <w:r w:rsidR="000C3B0E">
        <w:rPr>
          <w:highlight w:val="yellow"/>
        </w:rPr>
      </w:r>
      <w:r w:rsidR="000C3B0E">
        <w:rPr>
          <w:highlight w:val="yellow"/>
        </w:rPr>
        <w:fldChar w:fldCharType="separate"/>
      </w:r>
      <w:r w:rsidR="004F49F9">
        <w:t>2.2.6.2</w:t>
      </w:r>
      <w:r w:rsidR="000C3B0E">
        <w:rPr>
          <w:highlight w:val="yellow"/>
        </w:rPr>
        <w:fldChar w:fldCharType="end"/>
      </w:r>
      <w:r w:rsidRPr="00B10E31">
        <w:t>). However, only for the two frequency bands 116 to 148</w:t>
      </w:r>
      <w:r w:rsidR="00CF4994">
        <w:t>.5</w:t>
      </w:r>
      <w:r w:rsidRPr="00B10E31">
        <w:t> GHz and 167 to 182 GHz allocations for FS are affected within these bands or adjacent to them. Consequently, these two bands have been investigated in single-entry studies. In these studies the individually required separation distance (</w:t>
      </w:r>
      <w:r w:rsidR="009D5FA2">
        <w:t>section</w:t>
      </w:r>
      <w:r w:rsidRPr="00B10E31">
        <w:t xml:space="preserve"> </w:t>
      </w:r>
      <w:r w:rsidR="000C3B0E">
        <w:rPr>
          <w:highlight w:val="yellow"/>
        </w:rPr>
        <w:fldChar w:fldCharType="begin"/>
      </w:r>
      <w:r w:rsidR="000C3B0E">
        <w:instrText xml:space="preserve"> REF _Ref15293384 \r \h </w:instrText>
      </w:r>
      <w:r w:rsidR="000C3B0E">
        <w:rPr>
          <w:highlight w:val="yellow"/>
        </w:rPr>
      </w:r>
      <w:r w:rsidR="000C3B0E">
        <w:rPr>
          <w:highlight w:val="yellow"/>
        </w:rPr>
        <w:fldChar w:fldCharType="separate"/>
      </w:r>
      <w:r w:rsidR="004F49F9">
        <w:t>3.4.2</w:t>
      </w:r>
      <w:r w:rsidR="000C3B0E">
        <w:rPr>
          <w:highlight w:val="yellow"/>
        </w:rPr>
        <w:fldChar w:fldCharType="end"/>
      </w:r>
      <w:r w:rsidRPr="00B10E31">
        <w:t>) is determined by means of the technical parameters (</w:t>
      </w:r>
      <w:r w:rsidR="009D5FA2">
        <w:t>section</w:t>
      </w:r>
      <w:r w:rsidRPr="00B10E31">
        <w:t xml:space="preserve"> </w:t>
      </w:r>
      <w:r w:rsidR="000C3B0E">
        <w:rPr>
          <w:highlight w:val="yellow"/>
        </w:rPr>
        <w:fldChar w:fldCharType="begin"/>
      </w:r>
      <w:r w:rsidR="000C3B0E">
        <w:instrText xml:space="preserve"> REF _Ref66452445 \r \h </w:instrText>
      </w:r>
      <w:r w:rsidR="000C3B0E">
        <w:rPr>
          <w:highlight w:val="yellow"/>
        </w:rPr>
      </w:r>
      <w:r w:rsidR="000C3B0E">
        <w:rPr>
          <w:highlight w:val="yellow"/>
        </w:rPr>
        <w:fldChar w:fldCharType="separate"/>
      </w:r>
      <w:r w:rsidR="004F49F9">
        <w:t>2.2.6.3</w:t>
      </w:r>
      <w:r w:rsidR="000C3B0E">
        <w:rPr>
          <w:highlight w:val="yellow"/>
        </w:rPr>
        <w:fldChar w:fldCharType="end"/>
      </w:r>
      <w:r w:rsidRPr="00B10E31">
        <w:t>), the antenna data (</w:t>
      </w:r>
      <w:r w:rsidR="009D5FA2">
        <w:t>section</w:t>
      </w:r>
      <w:r w:rsidRPr="00B10E31">
        <w:t xml:space="preserve"> </w:t>
      </w:r>
      <w:r w:rsidR="000C3B0E">
        <w:rPr>
          <w:highlight w:val="yellow"/>
        </w:rPr>
        <w:fldChar w:fldCharType="begin"/>
      </w:r>
      <w:r w:rsidR="000C3B0E">
        <w:instrText xml:space="preserve"> REF _Ref53992426 \r \h </w:instrText>
      </w:r>
      <w:r w:rsidR="000C3B0E">
        <w:rPr>
          <w:highlight w:val="yellow"/>
        </w:rPr>
      </w:r>
      <w:r w:rsidR="000C3B0E">
        <w:rPr>
          <w:highlight w:val="yellow"/>
        </w:rPr>
        <w:fldChar w:fldCharType="separate"/>
      </w:r>
      <w:r w:rsidR="004F49F9">
        <w:t>2.2.6.4</w:t>
      </w:r>
      <w:r w:rsidR="000C3B0E">
        <w:rPr>
          <w:highlight w:val="yellow"/>
        </w:rPr>
        <w:fldChar w:fldCharType="end"/>
      </w:r>
      <w:r w:rsidRPr="00B10E31">
        <w:t>), the defined interference scenarios (</w:t>
      </w:r>
      <w:r w:rsidR="009D5FA2">
        <w:t>section</w:t>
      </w:r>
      <w:r w:rsidRPr="00B10E31">
        <w:t xml:space="preserve"> </w:t>
      </w:r>
      <w:r w:rsidR="000C3B0E">
        <w:rPr>
          <w:highlight w:val="yellow"/>
        </w:rPr>
        <w:fldChar w:fldCharType="begin"/>
      </w:r>
      <w:r w:rsidR="000C3B0E">
        <w:instrText xml:space="preserve"> REF _Ref66452431 \r \h </w:instrText>
      </w:r>
      <w:r w:rsidR="000C3B0E">
        <w:rPr>
          <w:highlight w:val="yellow"/>
        </w:rPr>
      </w:r>
      <w:r w:rsidR="000C3B0E">
        <w:rPr>
          <w:highlight w:val="yellow"/>
        </w:rPr>
        <w:fldChar w:fldCharType="separate"/>
      </w:r>
      <w:r w:rsidR="004F49F9">
        <w:t>2.2.6.6</w:t>
      </w:r>
      <w:r w:rsidR="000C3B0E">
        <w:rPr>
          <w:highlight w:val="yellow"/>
        </w:rPr>
        <w:fldChar w:fldCharType="end"/>
      </w:r>
      <w:r w:rsidRPr="00B10E31">
        <w:t>) and the protection requirements for FS (</w:t>
      </w:r>
      <w:r w:rsidR="009D5FA2">
        <w:t>section</w:t>
      </w:r>
      <w:r w:rsidRPr="00B10E31">
        <w:t xml:space="preserve"> </w:t>
      </w:r>
      <w:r w:rsidR="000C3B0E">
        <w:rPr>
          <w:highlight w:val="yellow"/>
        </w:rPr>
        <w:fldChar w:fldCharType="begin"/>
      </w:r>
      <w:r w:rsidR="000C3B0E">
        <w:instrText xml:space="preserve"> REF _Ref67055093 \r \h </w:instrText>
      </w:r>
      <w:r w:rsidR="000C3B0E">
        <w:rPr>
          <w:highlight w:val="yellow"/>
        </w:rPr>
      </w:r>
      <w:r w:rsidR="000C3B0E">
        <w:rPr>
          <w:highlight w:val="yellow"/>
        </w:rPr>
        <w:fldChar w:fldCharType="separate"/>
      </w:r>
      <w:r w:rsidR="004F49F9">
        <w:t>3.5.3</w:t>
      </w:r>
      <w:r w:rsidR="000C3B0E">
        <w:rPr>
          <w:highlight w:val="yellow"/>
        </w:rPr>
        <w:fldChar w:fldCharType="end"/>
      </w:r>
      <w:r w:rsidRPr="00B10E31">
        <w:t xml:space="preserve">). The exact calculations can be found in an Excel-spreadsheet which is attached to this </w:t>
      </w:r>
      <w:hyperlink r:id="rId161" w:history="1">
        <w:r w:rsidR="00C70410">
          <w:rPr>
            <w:rStyle w:val="Hyperlink"/>
          </w:rPr>
          <w:t>Report</w:t>
        </w:r>
      </w:hyperlink>
      <w:r w:rsidRPr="00B10E31">
        <w:t>.</w:t>
      </w:r>
    </w:p>
    <w:p w14:paraId="08B148E8" w14:textId="4C441E11" w:rsidR="00597E38" w:rsidRPr="00B10E31" w:rsidRDefault="00597E38" w:rsidP="00597E38">
      <w:r w:rsidRPr="00B10E31">
        <w:t>The following technical parameters of the CDR application (</w:t>
      </w:r>
      <w:r w:rsidR="009D5FA2">
        <w:t>section</w:t>
      </w:r>
      <w:r w:rsidRPr="00B10E31">
        <w:t xml:space="preserve"> </w:t>
      </w:r>
      <w:r w:rsidR="000C3B0E">
        <w:rPr>
          <w:highlight w:val="yellow"/>
        </w:rPr>
        <w:fldChar w:fldCharType="begin"/>
      </w:r>
      <w:r w:rsidR="000C3B0E">
        <w:instrText xml:space="preserve"> REF _Ref66452445 \r \h </w:instrText>
      </w:r>
      <w:r w:rsidR="000C3B0E">
        <w:rPr>
          <w:highlight w:val="yellow"/>
        </w:rPr>
      </w:r>
      <w:r w:rsidR="000C3B0E">
        <w:rPr>
          <w:highlight w:val="yellow"/>
        </w:rPr>
        <w:fldChar w:fldCharType="separate"/>
      </w:r>
      <w:r w:rsidR="004F49F9">
        <w:t>2.2.6.3</w:t>
      </w:r>
      <w:r w:rsidR="000C3B0E">
        <w:rPr>
          <w:highlight w:val="yellow"/>
        </w:rPr>
        <w:fldChar w:fldCharType="end"/>
      </w:r>
      <w:r w:rsidRPr="00B10E31">
        <w:t>) have been used in the studies in the different frequency ranges.</w:t>
      </w:r>
    </w:p>
    <w:p w14:paraId="14469F89" w14:textId="37C6117C" w:rsidR="00597E38" w:rsidRDefault="00C50600" w:rsidP="00597E38">
      <w:pPr>
        <w:pStyle w:val="Caption"/>
        <w:rPr>
          <w:rStyle w:val="ECCParagraph"/>
        </w:rPr>
      </w:pPr>
      <w:r w:rsidRPr="00C50600">
        <w:t>Table </w:t>
      </w:r>
      <w:r>
        <w:fldChar w:fldCharType="begin"/>
      </w:r>
      <w:r>
        <w:instrText>SEQ Table \* ARABIC</w:instrText>
      </w:r>
      <w:r>
        <w:fldChar w:fldCharType="separate"/>
      </w:r>
      <w:r w:rsidR="004F49F9">
        <w:rPr>
          <w:noProof/>
        </w:rPr>
        <w:t>76</w:t>
      </w:r>
      <w:r>
        <w:fldChar w:fldCharType="end"/>
      </w:r>
      <w:r w:rsidR="00597E38" w:rsidRPr="00597E38">
        <w:t>: Technical parameters of CDR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731"/>
        <w:gridCol w:w="1206"/>
        <w:gridCol w:w="1338"/>
        <w:gridCol w:w="810"/>
        <w:gridCol w:w="2132"/>
        <w:gridCol w:w="1206"/>
        <w:gridCol w:w="1353"/>
      </w:tblGrid>
      <w:tr w:rsidR="00C943B8" w:rsidRPr="00566944" w14:paraId="1568C1DB" w14:textId="77777777" w:rsidTr="00E73D32">
        <w:trPr>
          <w:cnfStyle w:val="100000000000" w:firstRow="1" w:lastRow="0" w:firstColumn="0" w:lastColumn="0" w:oddVBand="0" w:evenVBand="0" w:oddHBand="0" w:evenHBand="0" w:firstRowFirstColumn="0" w:firstRowLastColumn="0" w:lastRowFirstColumn="0" w:lastRowLastColumn="0"/>
        </w:trPr>
        <w:tc>
          <w:tcPr>
            <w:tcW w:w="1731" w:type="dxa"/>
          </w:tcPr>
          <w:p w14:paraId="74630789" w14:textId="77777777" w:rsidR="00C943B8" w:rsidRPr="00C943B8" w:rsidRDefault="00C943B8" w:rsidP="00876039">
            <w:pPr>
              <w:pStyle w:val="ECCTableHeaderwhitefont"/>
            </w:pPr>
            <w:r w:rsidRPr="00C943B8">
              <w:t>Investigated frequency range</w:t>
            </w:r>
          </w:p>
        </w:tc>
        <w:tc>
          <w:tcPr>
            <w:tcW w:w="1206" w:type="dxa"/>
          </w:tcPr>
          <w:p w14:paraId="1624F886" w14:textId="77777777" w:rsidR="00C943B8" w:rsidRPr="00C943B8" w:rsidRDefault="00C943B8" w:rsidP="000A69BD">
            <w:pPr>
              <w:pStyle w:val="ECCTableHeaderwhitefont"/>
            </w:pPr>
            <w:r w:rsidRPr="00C943B8">
              <w:t>CDR-type</w:t>
            </w:r>
          </w:p>
        </w:tc>
        <w:tc>
          <w:tcPr>
            <w:tcW w:w="1338" w:type="dxa"/>
          </w:tcPr>
          <w:p w14:paraId="235EF9EF" w14:textId="77777777" w:rsidR="00C943B8" w:rsidRPr="00C943B8" w:rsidRDefault="00C943B8" w:rsidP="000A69BD">
            <w:pPr>
              <w:pStyle w:val="ECCTableHeaderwhitefont"/>
            </w:pPr>
            <w:r w:rsidRPr="00C943B8">
              <w:t>Assumed modulation bandwidth</w:t>
            </w:r>
          </w:p>
        </w:tc>
        <w:tc>
          <w:tcPr>
            <w:tcW w:w="810" w:type="dxa"/>
          </w:tcPr>
          <w:p w14:paraId="0DA703B8" w14:textId="77777777" w:rsidR="00C943B8" w:rsidRPr="00C943B8" w:rsidRDefault="00C943B8" w:rsidP="000A69BD">
            <w:pPr>
              <w:pStyle w:val="ECCTableHeaderwhitefont"/>
            </w:pPr>
            <w:r w:rsidRPr="00C943B8">
              <w:t>Duty cycle</w:t>
            </w:r>
          </w:p>
        </w:tc>
        <w:tc>
          <w:tcPr>
            <w:tcW w:w="2132" w:type="dxa"/>
          </w:tcPr>
          <w:p w14:paraId="5B465EAB" w14:textId="77777777" w:rsidR="00C943B8" w:rsidRPr="00C943B8" w:rsidRDefault="00C943B8" w:rsidP="000A69BD">
            <w:pPr>
              <w:pStyle w:val="ECCTableHeaderwhitefont"/>
            </w:pPr>
            <w:r w:rsidRPr="00C943B8">
              <w:t xml:space="preserve">Mean e.i.r.p. spectral density </w:t>
            </w:r>
            <w:r w:rsidR="00423E82">
              <w:t>(Note 2)</w:t>
            </w:r>
          </w:p>
        </w:tc>
        <w:tc>
          <w:tcPr>
            <w:tcW w:w="1206" w:type="dxa"/>
          </w:tcPr>
          <w:p w14:paraId="35AAA222" w14:textId="77777777" w:rsidR="00C943B8" w:rsidRPr="00C943B8" w:rsidRDefault="00C943B8" w:rsidP="000A69BD">
            <w:pPr>
              <w:pStyle w:val="ECCTableHeaderwhitefont"/>
            </w:pPr>
            <w:r w:rsidRPr="00C943B8">
              <w:t>Peak e.i.r.p.</w:t>
            </w:r>
          </w:p>
        </w:tc>
        <w:tc>
          <w:tcPr>
            <w:tcW w:w="1353" w:type="dxa"/>
          </w:tcPr>
          <w:p w14:paraId="6E1ACE49" w14:textId="77777777" w:rsidR="00C943B8" w:rsidRPr="00C943B8" w:rsidRDefault="00C943B8" w:rsidP="000A69BD">
            <w:pPr>
              <w:pStyle w:val="ECCTableHeaderwhitefont"/>
            </w:pPr>
            <w:r w:rsidRPr="00C943B8">
              <w:t>OOB attenuation (Note 1)</w:t>
            </w:r>
          </w:p>
        </w:tc>
      </w:tr>
      <w:tr w:rsidR="00E73D32" w:rsidRPr="00C53FB5" w14:paraId="41425D93" w14:textId="77777777" w:rsidTr="00E73D32">
        <w:tc>
          <w:tcPr>
            <w:tcW w:w="1731" w:type="dxa"/>
            <w:vMerge w:val="restart"/>
          </w:tcPr>
          <w:p w14:paraId="6EE1A16F" w14:textId="77777777" w:rsidR="00E73D32" w:rsidRPr="00E73D32" w:rsidRDefault="00E73D32" w:rsidP="000A69BD">
            <w:pPr>
              <w:pStyle w:val="ECCTabletext"/>
              <w:jc w:val="left"/>
            </w:pPr>
            <w:r w:rsidRPr="00C53FB5">
              <w:t xml:space="preserve">116 to </w:t>
            </w:r>
            <w:r w:rsidRPr="00E73D32">
              <w:t>148</w:t>
            </w:r>
            <w:r w:rsidR="00CF4994">
              <w:t>.5</w:t>
            </w:r>
            <w:r w:rsidRPr="00E73D32">
              <w:t> GHz</w:t>
            </w:r>
          </w:p>
        </w:tc>
        <w:tc>
          <w:tcPr>
            <w:tcW w:w="1206" w:type="dxa"/>
          </w:tcPr>
          <w:p w14:paraId="60FB05F9" w14:textId="77777777" w:rsidR="00E73D32" w:rsidRPr="00E73D32" w:rsidRDefault="00E73D32" w:rsidP="000A69BD">
            <w:pPr>
              <w:pStyle w:val="ECCTabletext"/>
              <w:jc w:val="left"/>
            </w:pPr>
            <w:r>
              <w:t>DBF-CDR</w:t>
            </w:r>
          </w:p>
        </w:tc>
        <w:tc>
          <w:tcPr>
            <w:tcW w:w="1338" w:type="dxa"/>
          </w:tcPr>
          <w:p w14:paraId="19211BF8" w14:textId="77777777" w:rsidR="00E73D32" w:rsidRPr="00E73D32" w:rsidRDefault="005D6F50" w:rsidP="000A69BD">
            <w:pPr>
              <w:pStyle w:val="ECCTabletext"/>
              <w:jc w:val="left"/>
            </w:pPr>
            <w:r>
              <w:t>5</w:t>
            </w:r>
            <w:r w:rsidR="00CF4994">
              <w:t>.7</w:t>
            </w:r>
            <w:r w:rsidR="00E73D32">
              <w:t> GHz</w:t>
            </w:r>
          </w:p>
        </w:tc>
        <w:tc>
          <w:tcPr>
            <w:tcW w:w="810" w:type="dxa"/>
          </w:tcPr>
          <w:p w14:paraId="263AABE6" w14:textId="4B83E8A9" w:rsidR="00E73D32" w:rsidRPr="00E73D32" w:rsidRDefault="00E73D32" w:rsidP="000A69BD">
            <w:pPr>
              <w:pStyle w:val="ECCTabletext"/>
              <w:jc w:val="left"/>
            </w:pPr>
            <w:r>
              <w:t>10</w:t>
            </w:r>
            <w:r w:rsidR="00F800A2">
              <w:t>%</w:t>
            </w:r>
          </w:p>
        </w:tc>
        <w:tc>
          <w:tcPr>
            <w:tcW w:w="2132" w:type="dxa"/>
          </w:tcPr>
          <w:p w14:paraId="33E14FE0" w14:textId="77777777" w:rsidR="00E73D32" w:rsidRPr="00E73D32" w:rsidRDefault="00E73D32" w:rsidP="000A69BD">
            <w:pPr>
              <w:pStyle w:val="ECCTabletext"/>
              <w:jc w:val="left"/>
            </w:pPr>
            <w:r>
              <w:t>-3</w:t>
            </w:r>
            <w:r w:rsidR="005D6F50">
              <w:t>2</w:t>
            </w:r>
            <w:r w:rsidR="00CF4994">
              <w:t>.6</w:t>
            </w:r>
            <w:r>
              <w:t> dBm/MHz</w:t>
            </w:r>
          </w:p>
        </w:tc>
        <w:tc>
          <w:tcPr>
            <w:tcW w:w="1206" w:type="dxa"/>
          </w:tcPr>
          <w:p w14:paraId="65C21C7D" w14:textId="77777777" w:rsidR="00E73D32" w:rsidRPr="00E73D32" w:rsidRDefault="00E73D32" w:rsidP="000A69BD">
            <w:pPr>
              <w:pStyle w:val="ECCTabletext"/>
              <w:jc w:val="left"/>
            </w:pPr>
            <w:r w:rsidRPr="006A16BF">
              <w:t>15 dBm</w:t>
            </w:r>
          </w:p>
        </w:tc>
        <w:tc>
          <w:tcPr>
            <w:tcW w:w="1353" w:type="dxa"/>
          </w:tcPr>
          <w:p w14:paraId="62CBD8A0" w14:textId="77777777" w:rsidR="00E73D32" w:rsidRPr="00E73D32" w:rsidRDefault="00E73D32" w:rsidP="000A69BD">
            <w:pPr>
              <w:pStyle w:val="ECCTabletext"/>
              <w:jc w:val="left"/>
            </w:pPr>
            <w:r w:rsidRPr="00497690">
              <w:t>20</w:t>
            </w:r>
            <w:r w:rsidRPr="00E73D32">
              <w:t> dB</w:t>
            </w:r>
          </w:p>
        </w:tc>
      </w:tr>
      <w:tr w:rsidR="00E73D32" w:rsidRPr="00C53FB5" w14:paraId="17FAE542" w14:textId="77777777" w:rsidTr="00E73D32">
        <w:tc>
          <w:tcPr>
            <w:tcW w:w="1731" w:type="dxa"/>
            <w:vMerge/>
          </w:tcPr>
          <w:p w14:paraId="2A0C9603" w14:textId="77777777" w:rsidR="00E73D32" w:rsidRPr="00C53FB5" w:rsidRDefault="00E73D32" w:rsidP="00E73D32">
            <w:pPr>
              <w:pStyle w:val="ECCTabletext"/>
            </w:pPr>
          </w:p>
        </w:tc>
        <w:tc>
          <w:tcPr>
            <w:tcW w:w="1206" w:type="dxa"/>
          </w:tcPr>
          <w:p w14:paraId="3FE3C11D" w14:textId="77777777" w:rsidR="00E73D32" w:rsidRPr="00E73D32" w:rsidRDefault="00E73D32" w:rsidP="000A69BD">
            <w:pPr>
              <w:pStyle w:val="ECCTabletext"/>
              <w:jc w:val="left"/>
            </w:pPr>
            <w:r>
              <w:t>M-/PA-CDR</w:t>
            </w:r>
          </w:p>
        </w:tc>
        <w:tc>
          <w:tcPr>
            <w:tcW w:w="1338" w:type="dxa"/>
          </w:tcPr>
          <w:p w14:paraId="1F744F14" w14:textId="77777777" w:rsidR="00E73D32" w:rsidRPr="00E73D32" w:rsidRDefault="002F5CC3" w:rsidP="000A69BD">
            <w:pPr>
              <w:pStyle w:val="ECCTabletext"/>
              <w:jc w:val="left"/>
            </w:pPr>
            <w:r>
              <w:t>8</w:t>
            </w:r>
            <w:r w:rsidR="00E73D32">
              <w:t> GHz</w:t>
            </w:r>
          </w:p>
        </w:tc>
        <w:tc>
          <w:tcPr>
            <w:tcW w:w="810" w:type="dxa"/>
          </w:tcPr>
          <w:p w14:paraId="4C0A6810" w14:textId="1E817576" w:rsidR="00E73D32" w:rsidRPr="00E73D32" w:rsidRDefault="00E73D32" w:rsidP="000A69BD">
            <w:pPr>
              <w:pStyle w:val="ECCTabletext"/>
              <w:jc w:val="left"/>
            </w:pPr>
            <w:r>
              <w:t>10</w:t>
            </w:r>
            <w:r w:rsidR="00F800A2">
              <w:t>%</w:t>
            </w:r>
          </w:p>
        </w:tc>
        <w:tc>
          <w:tcPr>
            <w:tcW w:w="2132" w:type="dxa"/>
          </w:tcPr>
          <w:p w14:paraId="464717B0" w14:textId="77777777" w:rsidR="00E73D32" w:rsidRPr="00E73D32" w:rsidRDefault="00E73D32" w:rsidP="000A69BD">
            <w:pPr>
              <w:pStyle w:val="ECCTabletext"/>
              <w:jc w:val="left"/>
              <w:rPr>
                <w:highlight w:val="yellow"/>
              </w:rPr>
            </w:pPr>
            <w:r w:rsidRPr="00D5065A">
              <w:t>-</w:t>
            </w:r>
            <w:r w:rsidRPr="00E73D32">
              <w:t>1</w:t>
            </w:r>
            <w:r w:rsidR="002F5CC3">
              <w:t>2</w:t>
            </w:r>
            <w:r w:rsidRPr="00E73D32">
              <w:t> dBm/MHz</w:t>
            </w:r>
          </w:p>
        </w:tc>
        <w:tc>
          <w:tcPr>
            <w:tcW w:w="1206" w:type="dxa"/>
          </w:tcPr>
          <w:p w14:paraId="306487AA" w14:textId="77777777" w:rsidR="00E73D32" w:rsidRPr="00E73D32" w:rsidRDefault="002F5CC3" w:rsidP="000A69BD">
            <w:pPr>
              <w:pStyle w:val="ECCTabletext"/>
              <w:jc w:val="left"/>
            </w:pPr>
            <w:r>
              <w:t>28</w:t>
            </w:r>
            <w:r w:rsidR="00CF4994">
              <w:t>.6</w:t>
            </w:r>
            <w:r w:rsidR="00E73D32" w:rsidRPr="006A16BF">
              <w:t> dBm</w:t>
            </w:r>
          </w:p>
        </w:tc>
        <w:tc>
          <w:tcPr>
            <w:tcW w:w="1353" w:type="dxa"/>
          </w:tcPr>
          <w:p w14:paraId="1BB55E99" w14:textId="77777777" w:rsidR="00E73D32" w:rsidRPr="00E73D32" w:rsidRDefault="00E73D32" w:rsidP="000A69BD">
            <w:pPr>
              <w:pStyle w:val="ECCTabletext"/>
              <w:jc w:val="left"/>
            </w:pPr>
            <w:r w:rsidRPr="00497690">
              <w:t>20 dB</w:t>
            </w:r>
          </w:p>
        </w:tc>
      </w:tr>
      <w:tr w:rsidR="00E73D32" w:rsidRPr="00C53FB5" w14:paraId="7A2B5D61" w14:textId="77777777" w:rsidTr="00E73D32">
        <w:tc>
          <w:tcPr>
            <w:tcW w:w="1731" w:type="dxa"/>
            <w:vMerge w:val="restart"/>
          </w:tcPr>
          <w:p w14:paraId="0F39C802" w14:textId="77777777" w:rsidR="00E73D32" w:rsidRPr="00E73D32" w:rsidRDefault="00E73D32" w:rsidP="000A69BD">
            <w:pPr>
              <w:pStyle w:val="ECCTabletext"/>
              <w:jc w:val="left"/>
            </w:pPr>
            <w:r w:rsidRPr="00C53FB5">
              <w:t>1</w:t>
            </w:r>
            <w:r w:rsidRPr="00E73D32">
              <w:t>67 to 182 GHz</w:t>
            </w:r>
          </w:p>
        </w:tc>
        <w:tc>
          <w:tcPr>
            <w:tcW w:w="1206" w:type="dxa"/>
          </w:tcPr>
          <w:p w14:paraId="36BA9C97" w14:textId="77777777" w:rsidR="00E73D32" w:rsidRPr="00E73D32" w:rsidRDefault="00E73D32" w:rsidP="000A69BD">
            <w:pPr>
              <w:pStyle w:val="ECCTabletext"/>
              <w:jc w:val="left"/>
            </w:pPr>
            <w:r>
              <w:t>DBF-CDR</w:t>
            </w:r>
          </w:p>
        </w:tc>
        <w:tc>
          <w:tcPr>
            <w:tcW w:w="1338" w:type="dxa"/>
          </w:tcPr>
          <w:p w14:paraId="3016189C" w14:textId="77777777" w:rsidR="00E73D32" w:rsidRPr="00E73D32" w:rsidRDefault="005D6F50" w:rsidP="000A69BD">
            <w:pPr>
              <w:pStyle w:val="ECCTabletext"/>
              <w:jc w:val="left"/>
            </w:pPr>
            <w:r>
              <w:t>2</w:t>
            </w:r>
            <w:r w:rsidR="00CF4994">
              <w:t>.5</w:t>
            </w:r>
            <w:r w:rsidR="00E73D32">
              <w:t> GHz</w:t>
            </w:r>
          </w:p>
        </w:tc>
        <w:tc>
          <w:tcPr>
            <w:tcW w:w="810" w:type="dxa"/>
          </w:tcPr>
          <w:p w14:paraId="5ABAE4A6" w14:textId="6783F014" w:rsidR="00E73D32" w:rsidRPr="00E73D32" w:rsidRDefault="00E73D32" w:rsidP="000A69BD">
            <w:pPr>
              <w:pStyle w:val="ECCTabletext"/>
              <w:jc w:val="left"/>
            </w:pPr>
            <w:r>
              <w:t>10</w:t>
            </w:r>
            <w:r w:rsidR="00F800A2">
              <w:t>%</w:t>
            </w:r>
          </w:p>
        </w:tc>
        <w:tc>
          <w:tcPr>
            <w:tcW w:w="2132" w:type="dxa"/>
          </w:tcPr>
          <w:p w14:paraId="4EE29530" w14:textId="77777777" w:rsidR="00E73D32" w:rsidRPr="00E73D32" w:rsidRDefault="00E73D32" w:rsidP="000A69BD">
            <w:pPr>
              <w:pStyle w:val="ECCTabletext"/>
              <w:jc w:val="left"/>
            </w:pPr>
            <w:r>
              <w:t>-</w:t>
            </w:r>
            <w:r w:rsidR="005D6F50">
              <w:t>29</w:t>
            </w:r>
            <w:r>
              <w:t> dBm/MHz</w:t>
            </w:r>
          </w:p>
        </w:tc>
        <w:tc>
          <w:tcPr>
            <w:tcW w:w="1206" w:type="dxa"/>
          </w:tcPr>
          <w:p w14:paraId="658226F4" w14:textId="77777777" w:rsidR="00E73D32" w:rsidRPr="00E73D32" w:rsidRDefault="00E73D32" w:rsidP="000A69BD">
            <w:pPr>
              <w:pStyle w:val="ECCTabletext"/>
              <w:jc w:val="left"/>
            </w:pPr>
            <w:r w:rsidRPr="006A16BF">
              <w:t>15 dBm</w:t>
            </w:r>
          </w:p>
        </w:tc>
        <w:tc>
          <w:tcPr>
            <w:tcW w:w="1353" w:type="dxa"/>
          </w:tcPr>
          <w:p w14:paraId="4D1D5AA5" w14:textId="77777777" w:rsidR="00E73D32" w:rsidRPr="00E73D32" w:rsidRDefault="00E73D32" w:rsidP="000A69BD">
            <w:pPr>
              <w:pStyle w:val="ECCTabletext"/>
              <w:jc w:val="left"/>
            </w:pPr>
            <w:r w:rsidRPr="00497690">
              <w:t>20 dB</w:t>
            </w:r>
          </w:p>
        </w:tc>
      </w:tr>
      <w:tr w:rsidR="00E73D32" w:rsidRPr="00C53FB5" w14:paraId="7E79EC52" w14:textId="77777777" w:rsidTr="00E73D32">
        <w:tc>
          <w:tcPr>
            <w:tcW w:w="1731" w:type="dxa"/>
            <w:vMerge/>
          </w:tcPr>
          <w:p w14:paraId="6CAA5297" w14:textId="77777777" w:rsidR="00E73D32" w:rsidRPr="00C53FB5" w:rsidRDefault="00E73D32" w:rsidP="00E73D32">
            <w:pPr>
              <w:pStyle w:val="ECCTabletext"/>
            </w:pPr>
          </w:p>
        </w:tc>
        <w:tc>
          <w:tcPr>
            <w:tcW w:w="1206" w:type="dxa"/>
          </w:tcPr>
          <w:p w14:paraId="5D2F4A8A" w14:textId="77777777" w:rsidR="00E73D32" w:rsidRPr="00E73D32" w:rsidRDefault="00E73D32" w:rsidP="000A69BD">
            <w:pPr>
              <w:pStyle w:val="ECCTabletext"/>
              <w:jc w:val="left"/>
            </w:pPr>
            <w:r>
              <w:t>M-/PA-CDR</w:t>
            </w:r>
          </w:p>
        </w:tc>
        <w:tc>
          <w:tcPr>
            <w:tcW w:w="1338" w:type="dxa"/>
          </w:tcPr>
          <w:p w14:paraId="7A4B6852" w14:textId="77777777" w:rsidR="00E73D32" w:rsidRPr="00E73D32" w:rsidRDefault="002F5CC3" w:rsidP="000A69BD">
            <w:pPr>
              <w:pStyle w:val="ECCTabletext"/>
              <w:jc w:val="left"/>
            </w:pPr>
            <w:r>
              <w:t>8</w:t>
            </w:r>
            <w:r w:rsidR="00E73D32">
              <w:t> GHz</w:t>
            </w:r>
          </w:p>
        </w:tc>
        <w:tc>
          <w:tcPr>
            <w:tcW w:w="810" w:type="dxa"/>
          </w:tcPr>
          <w:p w14:paraId="39EE09FA" w14:textId="4B9E22A8" w:rsidR="00E73D32" w:rsidRPr="00E73D32" w:rsidRDefault="00E73D32" w:rsidP="000A69BD">
            <w:pPr>
              <w:pStyle w:val="ECCTabletext"/>
              <w:jc w:val="left"/>
            </w:pPr>
            <w:r>
              <w:t>10</w:t>
            </w:r>
            <w:r w:rsidR="00F800A2">
              <w:t>%</w:t>
            </w:r>
          </w:p>
        </w:tc>
        <w:tc>
          <w:tcPr>
            <w:tcW w:w="2132" w:type="dxa"/>
          </w:tcPr>
          <w:p w14:paraId="7C017CC8" w14:textId="77777777" w:rsidR="00E73D32" w:rsidRPr="00E73D32" w:rsidRDefault="00E73D32" w:rsidP="000A69BD">
            <w:pPr>
              <w:pStyle w:val="ECCTabletext"/>
              <w:jc w:val="left"/>
            </w:pPr>
            <w:r w:rsidRPr="00D5065A">
              <w:t>-</w:t>
            </w:r>
            <w:r w:rsidR="002F5CC3">
              <w:t>9</w:t>
            </w:r>
            <w:r w:rsidRPr="00E73D32">
              <w:t> dBm/MHz</w:t>
            </w:r>
          </w:p>
        </w:tc>
        <w:tc>
          <w:tcPr>
            <w:tcW w:w="1206" w:type="dxa"/>
          </w:tcPr>
          <w:p w14:paraId="601CF100" w14:textId="77777777" w:rsidR="00E73D32" w:rsidRPr="00E73D32" w:rsidRDefault="00E73D32" w:rsidP="000A69BD">
            <w:pPr>
              <w:pStyle w:val="ECCTabletext"/>
              <w:jc w:val="left"/>
            </w:pPr>
            <w:r w:rsidRPr="006A16BF">
              <w:t>3</w:t>
            </w:r>
            <w:r w:rsidR="002F5CC3">
              <w:t>4</w:t>
            </w:r>
            <w:r w:rsidR="00CF4994">
              <w:t>.6</w:t>
            </w:r>
            <w:r w:rsidRPr="006A16BF">
              <w:t> dBm</w:t>
            </w:r>
          </w:p>
        </w:tc>
        <w:tc>
          <w:tcPr>
            <w:tcW w:w="1353" w:type="dxa"/>
          </w:tcPr>
          <w:p w14:paraId="51568004" w14:textId="77777777" w:rsidR="00E73D32" w:rsidRPr="006A16BF" w:rsidRDefault="00E73D32" w:rsidP="000A69BD">
            <w:pPr>
              <w:pStyle w:val="ECCTabletext"/>
              <w:jc w:val="left"/>
            </w:pPr>
            <w:r>
              <w:t>20 dB</w:t>
            </w:r>
          </w:p>
        </w:tc>
      </w:tr>
      <w:tr w:rsidR="00200700" w:rsidRPr="00C53FB5" w14:paraId="6CBC5113" w14:textId="77777777" w:rsidTr="00200700">
        <w:tc>
          <w:tcPr>
            <w:tcW w:w="9776" w:type="dxa"/>
            <w:gridSpan w:val="7"/>
          </w:tcPr>
          <w:p w14:paraId="266C01F2" w14:textId="77777777" w:rsidR="00200700" w:rsidRDefault="00200700" w:rsidP="00464AE0">
            <w:pPr>
              <w:pStyle w:val="ECCTablenote"/>
            </w:pPr>
            <w:r>
              <w:t>Note 1: Assumed out-of-band attenuation of the CDR-signal in adjacent bands allocated to FS.</w:t>
            </w:r>
          </w:p>
          <w:p w14:paraId="18937A02" w14:textId="52FD6188" w:rsidR="00200700" w:rsidRDefault="00200700" w:rsidP="00464AE0">
            <w:pPr>
              <w:pStyle w:val="ECCTablenote"/>
            </w:pPr>
            <w:r w:rsidRPr="00423E82">
              <w:t xml:space="preserve">Note 2: The duty cycle of </w:t>
            </w:r>
            <w:r>
              <w:t>10</w:t>
            </w:r>
            <w:r w:rsidR="00F800A2">
              <w:t>%</w:t>
            </w:r>
            <w:r w:rsidRPr="00423E82">
              <w:t xml:space="preserve"> is already considered in this mean e.i.r.p. spectral density value. Consequently, the given mean e.i.r.p. spectral density is valid for averaging over the whole measurement cycle T</w:t>
            </w:r>
            <w:r w:rsidRPr="00423E82">
              <w:rPr>
                <w:rStyle w:val="ECCHLsubscript"/>
              </w:rPr>
              <w:t xml:space="preserve">meas_cycle </w:t>
            </w:r>
            <w:r w:rsidRPr="00423E82">
              <w:t>of the device including any T</w:t>
            </w:r>
            <w:r w:rsidRPr="00423E82">
              <w:rPr>
                <w:rStyle w:val="ECCHLsubscript"/>
              </w:rPr>
              <w:t>off</w:t>
            </w:r>
            <w:r w:rsidRPr="00423E82">
              <w:t xml:space="preserve"> times (see </w:t>
            </w:r>
            <w:r w:rsidRPr="00423E82">
              <w:fldChar w:fldCharType="begin"/>
            </w:r>
            <w:r w:rsidRPr="00423E82">
              <w:instrText xml:space="preserve"> REF _Ref8900572 \h </w:instrText>
            </w:r>
            <w:r w:rsidRPr="00423E82">
              <w:fldChar w:fldCharType="separate"/>
            </w:r>
            <w:r w:rsidR="0041125F" w:rsidRPr="006D6727">
              <w:rPr>
                <w:noProof/>
              </w:rPr>
              <w:t>Figure </w:t>
            </w:r>
            <w:r w:rsidR="0041125F">
              <w:rPr>
                <w:noProof/>
              </w:rPr>
              <w:t>36</w:t>
            </w:r>
            <w:r w:rsidRPr="00423E82">
              <w:fldChar w:fldCharType="end"/>
            </w:r>
            <w:r w:rsidRPr="00423E82">
              <w:t>).</w:t>
            </w:r>
          </w:p>
        </w:tc>
      </w:tr>
    </w:tbl>
    <w:p w14:paraId="0F7F4881" w14:textId="77777777" w:rsidR="00597E38" w:rsidRDefault="00597E38" w:rsidP="00597E38">
      <w:pPr>
        <w:pStyle w:val="Heading3"/>
      </w:pPr>
      <w:bookmarkStart w:id="667" w:name="_Ref67387057"/>
      <w:bookmarkStart w:id="668" w:name="_Ref67387092"/>
      <w:bookmarkStart w:id="669" w:name="_Toc84325394"/>
      <w:bookmarkStart w:id="670" w:name="_Toc127346316"/>
      <w:r>
        <w:t>Results</w:t>
      </w:r>
      <w:bookmarkEnd w:id="667"/>
      <w:bookmarkEnd w:id="668"/>
      <w:bookmarkEnd w:id="669"/>
      <w:bookmarkEnd w:id="670"/>
    </w:p>
    <w:p w14:paraId="210D476B" w14:textId="4C800B13" w:rsidR="00597E38" w:rsidRPr="00B10E31" w:rsidRDefault="00C50600" w:rsidP="00597E38">
      <w:r>
        <w:fldChar w:fldCharType="begin"/>
      </w:r>
      <w:r>
        <w:instrText xml:space="preserve"> REF _Ref67056578 \h </w:instrText>
      </w:r>
      <w:r>
        <w:fldChar w:fldCharType="separate"/>
      </w:r>
      <w:r w:rsidR="0041125F" w:rsidRPr="00C50600">
        <w:t>Table </w:t>
      </w:r>
      <w:r w:rsidR="0041125F">
        <w:rPr>
          <w:noProof/>
        </w:rPr>
        <w:t>77</w:t>
      </w:r>
      <w:r>
        <w:fldChar w:fldCharType="end"/>
      </w:r>
      <w:r>
        <w:t xml:space="preserve"> </w:t>
      </w:r>
      <w:r w:rsidR="00597E38" w:rsidRPr="00B10E31">
        <w:t xml:space="preserve">shows the single-entry </w:t>
      </w:r>
      <w:r w:rsidR="00791D2C">
        <w:t>worst</w:t>
      </w:r>
      <w:r w:rsidR="00597E38" w:rsidRPr="00B10E31">
        <w:t>-case results for digital beamforming contour determination radar (DBF-CDR), e.g. the largest separation distances for the individual frequency ranges, and FS victim receivers distinguished between the long</w:t>
      </w:r>
      <w:r w:rsidR="00F50E3C">
        <w:t>-</w:t>
      </w:r>
      <w:r w:rsidR="00597E38" w:rsidRPr="00B10E31">
        <w:t>term objective and the peak power objective.</w:t>
      </w:r>
    </w:p>
    <w:p w14:paraId="1579A373" w14:textId="38EBAFDB" w:rsidR="00597E38" w:rsidRPr="00597E38" w:rsidRDefault="00C50600" w:rsidP="00597E38">
      <w:pPr>
        <w:pStyle w:val="Caption"/>
      </w:pPr>
      <w:bookmarkStart w:id="671" w:name="_Ref67056578"/>
      <w:r w:rsidRPr="00C50600">
        <w:t>Table </w:t>
      </w:r>
      <w:r>
        <w:fldChar w:fldCharType="begin"/>
      </w:r>
      <w:r>
        <w:instrText>SEQ Table \* ARABIC</w:instrText>
      </w:r>
      <w:r>
        <w:fldChar w:fldCharType="separate"/>
      </w:r>
      <w:r w:rsidR="004F49F9">
        <w:rPr>
          <w:noProof/>
        </w:rPr>
        <w:t>77</w:t>
      </w:r>
      <w:r>
        <w:fldChar w:fldCharType="end"/>
      </w:r>
      <w:bookmarkEnd w:id="671"/>
      <w:r>
        <w:t xml:space="preserve">: </w:t>
      </w:r>
      <w:r w:rsidR="00597E38" w:rsidRPr="00597E38">
        <w:t>Required separation distances determined in a single-entry study for DBF-CDR</w:t>
      </w:r>
    </w:p>
    <w:tbl>
      <w:tblPr>
        <w:tblStyle w:val="ECCTable-redheader"/>
        <w:tblW w:w="0" w:type="auto"/>
        <w:tblInd w:w="0" w:type="dxa"/>
        <w:tblLook w:val="04A0" w:firstRow="1" w:lastRow="0" w:firstColumn="1" w:lastColumn="0" w:noHBand="0" w:noVBand="1"/>
      </w:tblPr>
      <w:tblGrid>
        <w:gridCol w:w="1555"/>
        <w:gridCol w:w="2126"/>
        <w:gridCol w:w="1559"/>
        <w:gridCol w:w="1559"/>
        <w:gridCol w:w="1418"/>
        <w:gridCol w:w="1412"/>
      </w:tblGrid>
      <w:tr w:rsidR="00597E38" w14:paraId="238DA051" w14:textId="77777777" w:rsidTr="00FB07D5">
        <w:trPr>
          <w:cnfStyle w:val="100000000000" w:firstRow="1" w:lastRow="0" w:firstColumn="0" w:lastColumn="0" w:oddVBand="0" w:evenVBand="0" w:oddHBand="0" w:evenHBand="0" w:firstRowFirstColumn="0" w:firstRowLastColumn="0" w:lastRowFirstColumn="0" w:lastRowLastColumn="0"/>
        </w:trPr>
        <w:tc>
          <w:tcPr>
            <w:tcW w:w="1555" w:type="dxa"/>
            <w:vMerge w:val="restart"/>
            <w:tcBorders>
              <w:top w:val="single" w:sz="4" w:space="0" w:color="FFFFFF" w:themeColor="background1"/>
            </w:tcBorders>
          </w:tcPr>
          <w:p w14:paraId="76802281" w14:textId="77777777" w:rsidR="00597E38" w:rsidRPr="00597E38" w:rsidRDefault="00597E38" w:rsidP="00876039">
            <w:pPr>
              <w:pStyle w:val="ECCTableHeaderwhitefont"/>
            </w:pPr>
            <w:r w:rsidRPr="00213B63">
              <w:t>Investigated Frequency range</w:t>
            </w:r>
          </w:p>
        </w:tc>
        <w:tc>
          <w:tcPr>
            <w:tcW w:w="2126" w:type="dxa"/>
            <w:vMerge w:val="restart"/>
            <w:tcBorders>
              <w:top w:val="single" w:sz="4" w:space="0" w:color="FFFFFF" w:themeColor="background1"/>
            </w:tcBorders>
          </w:tcPr>
          <w:p w14:paraId="2CB8A3C1" w14:textId="77777777" w:rsidR="00597E38" w:rsidRPr="00597E38" w:rsidRDefault="00597E38" w:rsidP="000A69BD">
            <w:pPr>
              <w:pStyle w:val="ECCTableHeaderwhitefont"/>
            </w:pPr>
            <w:r w:rsidRPr="00213B63">
              <w:t xml:space="preserve">Allocated band for </w:t>
            </w:r>
            <w:r w:rsidRPr="00597E38">
              <w:t>FS</w:t>
            </w:r>
          </w:p>
        </w:tc>
        <w:tc>
          <w:tcPr>
            <w:tcW w:w="3118" w:type="dxa"/>
            <w:gridSpan w:val="2"/>
            <w:tcBorders>
              <w:top w:val="single" w:sz="4" w:space="0" w:color="FFFFFF" w:themeColor="background1"/>
              <w:bottom w:val="single" w:sz="4" w:space="0" w:color="FFFFFF" w:themeColor="background1"/>
            </w:tcBorders>
          </w:tcPr>
          <w:p w14:paraId="426EE460" w14:textId="77777777" w:rsidR="00597E38" w:rsidRPr="00597E38" w:rsidRDefault="00597E38" w:rsidP="000A69BD">
            <w:pPr>
              <w:pStyle w:val="ECCTableHeaderwhitefont"/>
            </w:pPr>
            <w:r w:rsidRPr="00B10E31">
              <w:t>Required</w:t>
            </w:r>
            <w:r w:rsidRPr="00597E38">
              <w:t xml:space="preserve"> separation distance for scenario 1</w:t>
            </w:r>
          </w:p>
        </w:tc>
        <w:tc>
          <w:tcPr>
            <w:tcW w:w="2830" w:type="dxa"/>
            <w:gridSpan w:val="2"/>
            <w:tcBorders>
              <w:top w:val="single" w:sz="4" w:space="0" w:color="FFFFFF" w:themeColor="background1"/>
              <w:bottom w:val="single" w:sz="4" w:space="0" w:color="FFFFFF" w:themeColor="background1"/>
            </w:tcBorders>
          </w:tcPr>
          <w:p w14:paraId="333C18BC" w14:textId="77777777" w:rsidR="00597E38" w:rsidRPr="00597E38" w:rsidRDefault="00597E38" w:rsidP="000A69BD">
            <w:pPr>
              <w:pStyle w:val="ECCTableHeaderwhitefont"/>
            </w:pPr>
            <w:r w:rsidRPr="00B10E31">
              <w:t>Required</w:t>
            </w:r>
            <w:r w:rsidRPr="00597E38">
              <w:t xml:space="preserve"> separation distance for scenario 2</w:t>
            </w:r>
          </w:p>
        </w:tc>
      </w:tr>
      <w:tr w:rsidR="007B41E3" w14:paraId="7140A61F" w14:textId="77777777" w:rsidTr="00FB07D5">
        <w:tc>
          <w:tcPr>
            <w:tcW w:w="1555" w:type="dxa"/>
            <w:vMerge/>
            <w:tcBorders>
              <w:right w:val="single" w:sz="4" w:space="0" w:color="FFFFFF" w:themeColor="background1"/>
            </w:tcBorders>
          </w:tcPr>
          <w:p w14:paraId="0B4C09DD" w14:textId="77777777" w:rsidR="007B41E3" w:rsidRPr="00213B63" w:rsidRDefault="007B41E3" w:rsidP="007B41E3">
            <w:pPr>
              <w:pStyle w:val="ECCTableHeaderwhitefont"/>
            </w:pPr>
          </w:p>
        </w:tc>
        <w:tc>
          <w:tcPr>
            <w:tcW w:w="2126" w:type="dxa"/>
            <w:vMerge/>
            <w:tcBorders>
              <w:left w:val="single" w:sz="4" w:space="0" w:color="FFFFFF" w:themeColor="background1"/>
              <w:right w:val="single" w:sz="4" w:space="0" w:color="FFFFFF" w:themeColor="background1"/>
            </w:tcBorders>
          </w:tcPr>
          <w:p w14:paraId="7F230CDE" w14:textId="77777777" w:rsidR="007B41E3" w:rsidRPr="00213B63" w:rsidRDefault="007B41E3" w:rsidP="007B41E3">
            <w:pPr>
              <w:pStyle w:val="ECCTableHeaderwhitefont"/>
            </w:pP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EB19994" w14:textId="28C543B0" w:rsidR="007B41E3" w:rsidRPr="00597E38" w:rsidRDefault="007B41E3" w:rsidP="007B41E3">
            <w:pPr>
              <w:pStyle w:val="ECCTableHeaderwhitefont"/>
            </w:pPr>
            <w:r w:rsidRPr="006649F8">
              <w:rPr>
                <w:b/>
                <w:bCs w:val="0"/>
              </w:rPr>
              <w:t>Long-term objective</w:t>
            </w: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E5DC98F" w14:textId="32C29007" w:rsidR="007B41E3" w:rsidRPr="00597E38" w:rsidRDefault="007B41E3" w:rsidP="007B41E3">
            <w:pPr>
              <w:pStyle w:val="ECCTableHeaderwhitefont"/>
            </w:pPr>
            <w:r w:rsidRPr="006649F8">
              <w:rPr>
                <w:b/>
                <w:bCs w:val="0"/>
              </w:rPr>
              <w:t>Peak-power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6F0A6A75" w14:textId="6D1C3541" w:rsidR="007B41E3" w:rsidRPr="00597E38" w:rsidRDefault="007B41E3" w:rsidP="007B41E3">
            <w:pPr>
              <w:pStyle w:val="ECCTableHeaderwhitefont"/>
            </w:pPr>
            <w:r w:rsidRPr="006649F8">
              <w:rPr>
                <w:b/>
                <w:bCs w:val="0"/>
              </w:rPr>
              <w:t>Long-term objective</w:t>
            </w:r>
          </w:p>
        </w:tc>
        <w:tc>
          <w:tcPr>
            <w:tcW w:w="141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DA2FFEA" w14:textId="6E340136" w:rsidR="007B41E3" w:rsidRPr="00597E38" w:rsidRDefault="007B41E3" w:rsidP="007B41E3">
            <w:pPr>
              <w:pStyle w:val="ECCTableHeaderwhitefont"/>
            </w:pPr>
            <w:r w:rsidRPr="006649F8">
              <w:rPr>
                <w:b/>
                <w:bCs w:val="0"/>
              </w:rPr>
              <w:t>Peak-power objective</w:t>
            </w:r>
          </w:p>
        </w:tc>
      </w:tr>
      <w:tr w:rsidR="00597E38" w14:paraId="00D3A55B" w14:textId="77777777" w:rsidTr="00FB07D5">
        <w:tc>
          <w:tcPr>
            <w:tcW w:w="1555" w:type="dxa"/>
            <w:vMerge w:val="restart"/>
          </w:tcPr>
          <w:p w14:paraId="5831E5AD" w14:textId="77777777" w:rsidR="00597E38" w:rsidRPr="00597E38" w:rsidRDefault="00597E38" w:rsidP="000A69BD">
            <w:pPr>
              <w:pStyle w:val="ECCTabletext"/>
              <w:jc w:val="left"/>
            </w:pPr>
            <w:r w:rsidRPr="00913718">
              <w:t>116 to 148</w:t>
            </w:r>
            <w:r w:rsidR="00CF4994">
              <w:t>.5</w:t>
            </w:r>
            <w:r w:rsidRPr="00913718">
              <w:t> GHz</w:t>
            </w:r>
          </w:p>
        </w:tc>
        <w:tc>
          <w:tcPr>
            <w:tcW w:w="2126" w:type="dxa"/>
          </w:tcPr>
          <w:p w14:paraId="0D4505C7" w14:textId="77777777" w:rsidR="00597E38" w:rsidRPr="00597E38" w:rsidRDefault="00597E38" w:rsidP="000A69BD">
            <w:pPr>
              <w:pStyle w:val="ECCTabletext"/>
              <w:jc w:val="left"/>
            </w:pPr>
            <w:r w:rsidRPr="00913718">
              <w:t>111</w:t>
            </w:r>
            <w:r w:rsidR="00CF4994">
              <w:t>.8</w:t>
            </w:r>
            <w:r w:rsidRPr="00913718">
              <w:t xml:space="preserve"> to 114</w:t>
            </w:r>
            <w:r w:rsidR="00CF4994">
              <w:t>.2</w:t>
            </w:r>
            <w:r w:rsidRPr="00913718">
              <w:t>5 GHz</w:t>
            </w:r>
            <w:r w:rsidR="00E73D32">
              <w:t xml:space="preserve"> (OOB)</w:t>
            </w:r>
          </w:p>
        </w:tc>
        <w:tc>
          <w:tcPr>
            <w:tcW w:w="1559" w:type="dxa"/>
            <w:tcBorders>
              <w:top w:val="single" w:sz="4" w:space="0" w:color="D22A23"/>
            </w:tcBorders>
            <w:shd w:val="clear" w:color="auto" w:fill="auto"/>
          </w:tcPr>
          <w:p w14:paraId="2BFB544C" w14:textId="77777777" w:rsidR="00597E38" w:rsidRPr="00597E38" w:rsidRDefault="00630BD3" w:rsidP="000A69BD">
            <w:pPr>
              <w:pStyle w:val="ECCTabletext"/>
              <w:jc w:val="left"/>
            </w:pPr>
            <w:r>
              <w:t>28</w:t>
            </w:r>
            <w:r w:rsidR="00597E38" w:rsidRPr="00A663F2">
              <w:t> m</w:t>
            </w:r>
          </w:p>
        </w:tc>
        <w:tc>
          <w:tcPr>
            <w:tcW w:w="1559" w:type="dxa"/>
            <w:tcBorders>
              <w:top w:val="single" w:sz="4" w:space="0" w:color="D22A23"/>
            </w:tcBorders>
          </w:tcPr>
          <w:p w14:paraId="63DDB981" w14:textId="77777777" w:rsidR="00597E38" w:rsidRPr="00597E38" w:rsidRDefault="00597E38" w:rsidP="000A69BD">
            <w:pPr>
              <w:pStyle w:val="ECCTabletext"/>
              <w:jc w:val="left"/>
            </w:pPr>
            <w:r w:rsidRPr="00A663F2">
              <w:t>12 m</w:t>
            </w:r>
          </w:p>
        </w:tc>
        <w:tc>
          <w:tcPr>
            <w:tcW w:w="1418" w:type="dxa"/>
            <w:tcBorders>
              <w:top w:val="single" w:sz="4" w:space="0" w:color="D22A23"/>
            </w:tcBorders>
          </w:tcPr>
          <w:p w14:paraId="4C227828" w14:textId="77777777" w:rsidR="00597E38" w:rsidRPr="00597E38" w:rsidRDefault="00630BD3" w:rsidP="000A69BD">
            <w:pPr>
              <w:pStyle w:val="ECCTabletext"/>
              <w:jc w:val="left"/>
            </w:pPr>
            <w:r>
              <w:t>3</w:t>
            </w:r>
            <w:r w:rsidR="00597E38">
              <w:t> m</w:t>
            </w:r>
          </w:p>
        </w:tc>
        <w:tc>
          <w:tcPr>
            <w:tcW w:w="1412" w:type="dxa"/>
            <w:tcBorders>
              <w:top w:val="single" w:sz="4" w:space="0" w:color="D22A23"/>
            </w:tcBorders>
          </w:tcPr>
          <w:p w14:paraId="61687EC1" w14:textId="77777777" w:rsidR="00597E38" w:rsidRPr="00597E38" w:rsidRDefault="00597E38" w:rsidP="000A69BD">
            <w:pPr>
              <w:pStyle w:val="ECCTabletext"/>
              <w:jc w:val="left"/>
            </w:pPr>
            <w:r>
              <w:t>1 m</w:t>
            </w:r>
          </w:p>
        </w:tc>
      </w:tr>
      <w:tr w:rsidR="00597E38" w14:paraId="1D5DA8D0" w14:textId="77777777" w:rsidTr="00FB07D5">
        <w:tc>
          <w:tcPr>
            <w:tcW w:w="1555" w:type="dxa"/>
            <w:vMerge/>
          </w:tcPr>
          <w:p w14:paraId="527B5578" w14:textId="77777777" w:rsidR="00597E38" w:rsidRPr="00913718" w:rsidRDefault="00597E38" w:rsidP="00597E38">
            <w:pPr>
              <w:pStyle w:val="ECCTabletext"/>
            </w:pPr>
          </w:p>
        </w:tc>
        <w:tc>
          <w:tcPr>
            <w:tcW w:w="2126" w:type="dxa"/>
          </w:tcPr>
          <w:p w14:paraId="608ACC63" w14:textId="77777777" w:rsidR="00597E38" w:rsidRPr="00597E38" w:rsidRDefault="00597E38" w:rsidP="000A69BD">
            <w:pPr>
              <w:pStyle w:val="ECCTabletext"/>
              <w:jc w:val="left"/>
            </w:pPr>
            <w:r w:rsidRPr="00913718">
              <w:t>130 to 134 GHz</w:t>
            </w:r>
            <w:r w:rsidR="00E73D32">
              <w:t xml:space="preserve"> (In-band)</w:t>
            </w:r>
          </w:p>
        </w:tc>
        <w:tc>
          <w:tcPr>
            <w:tcW w:w="1559" w:type="dxa"/>
          </w:tcPr>
          <w:p w14:paraId="47CFD791" w14:textId="77777777" w:rsidR="00597E38" w:rsidRPr="00597E38" w:rsidRDefault="00630BD3" w:rsidP="000A69BD">
            <w:pPr>
              <w:pStyle w:val="ECCTabletext"/>
              <w:jc w:val="left"/>
            </w:pPr>
            <w:r>
              <w:t>179</w:t>
            </w:r>
            <w:r w:rsidR="00597E38" w:rsidRPr="00A663F2">
              <w:t> m</w:t>
            </w:r>
          </w:p>
        </w:tc>
        <w:tc>
          <w:tcPr>
            <w:tcW w:w="1559" w:type="dxa"/>
          </w:tcPr>
          <w:p w14:paraId="0B8DBB35" w14:textId="77777777" w:rsidR="00597E38" w:rsidRPr="00597E38" w:rsidRDefault="00597E38" w:rsidP="000A69BD">
            <w:pPr>
              <w:pStyle w:val="ECCTabletext"/>
              <w:jc w:val="left"/>
            </w:pPr>
            <w:r w:rsidRPr="00A663F2">
              <w:t>77 m</w:t>
            </w:r>
          </w:p>
        </w:tc>
        <w:tc>
          <w:tcPr>
            <w:tcW w:w="1418" w:type="dxa"/>
          </w:tcPr>
          <w:p w14:paraId="57539873" w14:textId="77777777" w:rsidR="00597E38" w:rsidRPr="00597E38" w:rsidRDefault="00597E38" w:rsidP="000A69BD">
            <w:pPr>
              <w:pStyle w:val="ECCTabletext"/>
              <w:jc w:val="left"/>
            </w:pPr>
            <w:r>
              <w:t>1</w:t>
            </w:r>
            <w:r w:rsidR="00630BD3">
              <w:t>8</w:t>
            </w:r>
            <w:r>
              <w:t> m</w:t>
            </w:r>
          </w:p>
        </w:tc>
        <w:tc>
          <w:tcPr>
            <w:tcW w:w="1412" w:type="dxa"/>
          </w:tcPr>
          <w:p w14:paraId="3D0C5675" w14:textId="77777777" w:rsidR="00597E38" w:rsidRPr="00597E38" w:rsidRDefault="00597E38" w:rsidP="000A69BD">
            <w:pPr>
              <w:pStyle w:val="ECCTabletext"/>
              <w:jc w:val="left"/>
            </w:pPr>
            <w:r>
              <w:t>7 m</w:t>
            </w:r>
          </w:p>
        </w:tc>
      </w:tr>
      <w:tr w:rsidR="00597E38" w14:paraId="0D04D0F0" w14:textId="77777777" w:rsidTr="00FB07D5">
        <w:tc>
          <w:tcPr>
            <w:tcW w:w="1555" w:type="dxa"/>
            <w:vMerge/>
          </w:tcPr>
          <w:p w14:paraId="2D21F307" w14:textId="77777777" w:rsidR="00597E38" w:rsidRPr="00913718" w:rsidRDefault="00597E38" w:rsidP="00597E38">
            <w:pPr>
              <w:pStyle w:val="ECCTabletext"/>
            </w:pPr>
          </w:p>
        </w:tc>
        <w:tc>
          <w:tcPr>
            <w:tcW w:w="2126" w:type="dxa"/>
          </w:tcPr>
          <w:p w14:paraId="0A75279E" w14:textId="77777777" w:rsidR="00597E38" w:rsidRPr="00597E38" w:rsidRDefault="00597E38" w:rsidP="000A69BD">
            <w:pPr>
              <w:pStyle w:val="ECCTabletext"/>
              <w:jc w:val="left"/>
            </w:pPr>
            <w:r>
              <w:t>141 to 148</w:t>
            </w:r>
            <w:r w:rsidR="00CF4994">
              <w:t>.5 </w:t>
            </w:r>
            <w:r>
              <w:t>GHz</w:t>
            </w:r>
            <w:r w:rsidR="00E73D32">
              <w:t xml:space="preserve"> (In-band)</w:t>
            </w:r>
          </w:p>
        </w:tc>
        <w:tc>
          <w:tcPr>
            <w:tcW w:w="1559" w:type="dxa"/>
          </w:tcPr>
          <w:p w14:paraId="4B7D843B" w14:textId="77777777" w:rsidR="00597E38" w:rsidRPr="00597E38" w:rsidRDefault="00630BD3" w:rsidP="000A69BD">
            <w:pPr>
              <w:pStyle w:val="ECCTabletext"/>
              <w:jc w:val="left"/>
            </w:pPr>
            <w:r>
              <w:t>156</w:t>
            </w:r>
            <w:r w:rsidR="00597E38" w:rsidRPr="00A663F2">
              <w:t> m</w:t>
            </w:r>
          </w:p>
        </w:tc>
        <w:tc>
          <w:tcPr>
            <w:tcW w:w="1559" w:type="dxa"/>
          </w:tcPr>
          <w:p w14:paraId="2946AF3D" w14:textId="77777777" w:rsidR="00597E38" w:rsidRPr="00597E38" w:rsidRDefault="00597E38" w:rsidP="000A69BD">
            <w:pPr>
              <w:pStyle w:val="ECCTabletext"/>
              <w:jc w:val="left"/>
            </w:pPr>
            <w:r w:rsidRPr="00A663F2">
              <w:t>67 m</w:t>
            </w:r>
          </w:p>
        </w:tc>
        <w:tc>
          <w:tcPr>
            <w:tcW w:w="1418" w:type="dxa"/>
          </w:tcPr>
          <w:p w14:paraId="17BD8EE7" w14:textId="77777777" w:rsidR="00597E38" w:rsidRPr="00597E38" w:rsidRDefault="00630BD3" w:rsidP="000A69BD">
            <w:pPr>
              <w:pStyle w:val="ECCTabletext"/>
              <w:jc w:val="left"/>
            </w:pPr>
            <w:r>
              <w:t>15</w:t>
            </w:r>
            <w:r w:rsidR="00597E38">
              <w:t> m</w:t>
            </w:r>
          </w:p>
        </w:tc>
        <w:tc>
          <w:tcPr>
            <w:tcW w:w="1412" w:type="dxa"/>
          </w:tcPr>
          <w:p w14:paraId="5E20024B" w14:textId="77777777" w:rsidR="00597E38" w:rsidRPr="00597E38" w:rsidRDefault="00597E38" w:rsidP="000A69BD">
            <w:pPr>
              <w:pStyle w:val="ECCTabletext"/>
              <w:jc w:val="left"/>
            </w:pPr>
            <w:r>
              <w:t>7 m</w:t>
            </w:r>
          </w:p>
        </w:tc>
      </w:tr>
      <w:tr w:rsidR="00597E38" w14:paraId="62BBC45D" w14:textId="77777777" w:rsidTr="00FB07D5">
        <w:tc>
          <w:tcPr>
            <w:tcW w:w="1555" w:type="dxa"/>
          </w:tcPr>
          <w:p w14:paraId="0CD04AED" w14:textId="77777777" w:rsidR="00597E38" w:rsidRPr="00597E38" w:rsidRDefault="00597E38" w:rsidP="000A69BD">
            <w:pPr>
              <w:pStyle w:val="ECCTabletext"/>
              <w:jc w:val="left"/>
            </w:pPr>
            <w:r w:rsidRPr="00913718">
              <w:t>167 to 182 GHz</w:t>
            </w:r>
          </w:p>
        </w:tc>
        <w:tc>
          <w:tcPr>
            <w:tcW w:w="2126" w:type="dxa"/>
          </w:tcPr>
          <w:p w14:paraId="2DD7215E" w14:textId="77777777" w:rsidR="00597E38" w:rsidRPr="00597E38" w:rsidRDefault="00597E38" w:rsidP="000A69BD">
            <w:pPr>
              <w:pStyle w:val="ECCTabletext"/>
              <w:jc w:val="left"/>
            </w:pPr>
            <w:r w:rsidRPr="00913718">
              <w:t>167 to 174</w:t>
            </w:r>
            <w:r w:rsidR="00CF4994">
              <w:t>.8</w:t>
            </w:r>
            <w:r w:rsidRPr="00913718">
              <w:t> GHz</w:t>
            </w:r>
            <w:r w:rsidR="00E73D32">
              <w:t xml:space="preserve"> (In-band)</w:t>
            </w:r>
          </w:p>
        </w:tc>
        <w:tc>
          <w:tcPr>
            <w:tcW w:w="1559" w:type="dxa"/>
          </w:tcPr>
          <w:p w14:paraId="3127E0A0" w14:textId="77777777" w:rsidR="00597E38" w:rsidRPr="00597E38" w:rsidRDefault="00630BD3" w:rsidP="000A69BD">
            <w:pPr>
              <w:pStyle w:val="ECCTabletext"/>
              <w:jc w:val="left"/>
            </w:pPr>
            <w:r>
              <w:t>164</w:t>
            </w:r>
            <w:r w:rsidR="00597E38" w:rsidRPr="00A663F2">
              <w:t> m</w:t>
            </w:r>
          </w:p>
        </w:tc>
        <w:tc>
          <w:tcPr>
            <w:tcW w:w="1559" w:type="dxa"/>
          </w:tcPr>
          <w:p w14:paraId="61E12CEB" w14:textId="77777777" w:rsidR="00597E38" w:rsidRPr="00597E38" w:rsidRDefault="00597E38" w:rsidP="000A69BD">
            <w:pPr>
              <w:pStyle w:val="ECCTabletext"/>
              <w:jc w:val="left"/>
            </w:pPr>
            <w:r w:rsidRPr="00A663F2">
              <w:t>47 m</w:t>
            </w:r>
          </w:p>
        </w:tc>
        <w:tc>
          <w:tcPr>
            <w:tcW w:w="1418" w:type="dxa"/>
          </w:tcPr>
          <w:p w14:paraId="16852890" w14:textId="77777777" w:rsidR="00597E38" w:rsidRPr="00597E38" w:rsidRDefault="00630BD3" w:rsidP="000A69BD">
            <w:pPr>
              <w:pStyle w:val="ECCTabletext"/>
              <w:jc w:val="left"/>
            </w:pPr>
            <w:r>
              <w:t>15</w:t>
            </w:r>
            <w:r w:rsidR="00597E38">
              <w:t> m</w:t>
            </w:r>
          </w:p>
        </w:tc>
        <w:tc>
          <w:tcPr>
            <w:tcW w:w="1412" w:type="dxa"/>
          </w:tcPr>
          <w:p w14:paraId="0D71D317" w14:textId="77777777" w:rsidR="00597E38" w:rsidRPr="00597E38" w:rsidRDefault="00597E38" w:rsidP="000A69BD">
            <w:pPr>
              <w:pStyle w:val="ECCTabletext"/>
              <w:jc w:val="left"/>
            </w:pPr>
            <w:r>
              <w:t>4 m</w:t>
            </w:r>
          </w:p>
        </w:tc>
      </w:tr>
    </w:tbl>
    <w:p w14:paraId="586907AA" w14:textId="4C370C81" w:rsidR="00597E38" w:rsidRPr="00B10E31" w:rsidRDefault="00C50600" w:rsidP="0083124B">
      <w:r>
        <w:fldChar w:fldCharType="begin"/>
      </w:r>
      <w:r>
        <w:instrText xml:space="preserve"> REF _Ref67056639 \h </w:instrText>
      </w:r>
      <w:r w:rsidR="00E55534">
        <w:fldChar w:fldCharType="separate"/>
      </w:r>
      <w:r>
        <w:fldChar w:fldCharType="end"/>
      </w:r>
      <w:r>
        <w:t xml:space="preserve"> </w:t>
      </w:r>
      <w:r w:rsidR="00597E38" w:rsidRPr="00B10E31">
        <w:t>shows the single-entry wo</w:t>
      </w:r>
      <w:r w:rsidR="00F50E3C">
        <w:t>r</w:t>
      </w:r>
      <w:r w:rsidR="00597E38" w:rsidRPr="00B10E31">
        <w:t>st-case results for</w:t>
      </w:r>
      <w:r w:rsidR="00597E38">
        <w:t xml:space="preserve"> mechanical- and phased-array contour determination radar (M- &amp; PA-CDR)</w:t>
      </w:r>
      <w:r w:rsidR="00597E38" w:rsidRPr="00B10E31">
        <w:t>, e.g. the largest separation distances for the individual frequency ranges and FS victim receivers distinguished between the long term objective and the peak power objective.</w:t>
      </w:r>
    </w:p>
    <w:p w14:paraId="02F58432" w14:textId="77777777" w:rsidR="008C2E08" w:rsidRDefault="008C2E08">
      <w:pPr>
        <w:rPr>
          <w:rFonts w:eastAsia="Times New Roman"/>
          <w:b/>
          <w:bCs/>
          <w:color w:val="D2232A"/>
          <w:szCs w:val="20"/>
          <w:lang w:val="da-DK"/>
        </w:rPr>
      </w:pPr>
      <w:bookmarkStart w:id="672" w:name="_Ref67056639"/>
      <w:r>
        <w:br w:type="page"/>
      </w:r>
    </w:p>
    <w:p w14:paraId="5057E377" w14:textId="7F892F72" w:rsidR="00597E38" w:rsidRPr="00597E38" w:rsidRDefault="00C50600" w:rsidP="00597E38">
      <w:pPr>
        <w:pStyle w:val="Caption"/>
      </w:pPr>
      <w:bookmarkStart w:id="673" w:name="_Ref89346753"/>
      <w:r w:rsidRPr="00C50600">
        <w:t>Table </w:t>
      </w:r>
      <w:r>
        <w:fldChar w:fldCharType="begin"/>
      </w:r>
      <w:r>
        <w:instrText>SEQ Table \* ARABIC</w:instrText>
      </w:r>
      <w:r>
        <w:fldChar w:fldCharType="separate"/>
      </w:r>
      <w:r w:rsidR="004F49F9">
        <w:rPr>
          <w:noProof/>
        </w:rPr>
        <w:t>78</w:t>
      </w:r>
      <w:r>
        <w:fldChar w:fldCharType="end"/>
      </w:r>
      <w:bookmarkEnd w:id="672"/>
      <w:bookmarkEnd w:id="673"/>
      <w:r w:rsidR="00597E38" w:rsidRPr="00597E38">
        <w:t>: Required separation distances determined in a single-entry study for M- &amp; PA-CDR</w:t>
      </w:r>
    </w:p>
    <w:tbl>
      <w:tblPr>
        <w:tblStyle w:val="ECCTable-redheader"/>
        <w:tblW w:w="9640" w:type="dxa"/>
        <w:tblInd w:w="0" w:type="dxa"/>
        <w:tblLayout w:type="fixed"/>
        <w:tblLook w:val="04A0" w:firstRow="1" w:lastRow="0" w:firstColumn="1" w:lastColumn="0" w:noHBand="0" w:noVBand="1"/>
      </w:tblPr>
      <w:tblGrid>
        <w:gridCol w:w="1555"/>
        <w:gridCol w:w="1423"/>
        <w:gridCol w:w="845"/>
        <w:gridCol w:w="850"/>
        <w:gridCol w:w="709"/>
        <w:gridCol w:w="850"/>
        <w:gridCol w:w="851"/>
        <w:gridCol w:w="992"/>
        <w:gridCol w:w="709"/>
        <w:gridCol w:w="856"/>
      </w:tblGrid>
      <w:tr w:rsidR="00597E38" w14:paraId="6B518EF5" w14:textId="77777777" w:rsidTr="00843C38">
        <w:trPr>
          <w:cnfStyle w:val="100000000000" w:firstRow="1" w:lastRow="0" w:firstColumn="0" w:lastColumn="0" w:oddVBand="0" w:evenVBand="0" w:oddHBand="0" w:evenHBand="0" w:firstRowFirstColumn="0" w:firstRowLastColumn="0" w:lastRowFirstColumn="0" w:lastRowLastColumn="0"/>
        </w:trPr>
        <w:tc>
          <w:tcPr>
            <w:tcW w:w="1555" w:type="dxa"/>
            <w:vMerge w:val="restart"/>
            <w:tcBorders>
              <w:top w:val="single" w:sz="4" w:space="0" w:color="FFFFFF" w:themeColor="background1"/>
            </w:tcBorders>
          </w:tcPr>
          <w:p w14:paraId="56BE3CD9" w14:textId="77777777" w:rsidR="00597E38" w:rsidRPr="00597E38" w:rsidRDefault="00597E38" w:rsidP="00876039">
            <w:pPr>
              <w:pStyle w:val="ECCTableHeaderwhitefont"/>
            </w:pPr>
            <w:r w:rsidRPr="00213B63">
              <w:t>Investigated Frequency range</w:t>
            </w:r>
          </w:p>
        </w:tc>
        <w:tc>
          <w:tcPr>
            <w:tcW w:w="1423" w:type="dxa"/>
            <w:vMerge w:val="restart"/>
            <w:tcBorders>
              <w:top w:val="single" w:sz="4" w:space="0" w:color="FFFFFF" w:themeColor="background1"/>
            </w:tcBorders>
          </w:tcPr>
          <w:p w14:paraId="5B312AE5" w14:textId="77777777" w:rsidR="00597E38" w:rsidRPr="00597E38" w:rsidRDefault="00597E38" w:rsidP="000A69BD">
            <w:pPr>
              <w:pStyle w:val="ECCTableHeaderwhitefont"/>
            </w:pPr>
            <w:r w:rsidRPr="00213B63">
              <w:t xml:space="preserve">Allocated band for </w:t>
            </w:r>
            <w:r w:rsidRPr="00597E38">
              <w:t>FS</w:t>
            </w:r>
          </w:p>
        </w:tc>
        <w:tc>
          <w:tcPr>
            <w:tcW w:w="1695" w:type="dxa"/>
            <w:gridSpan w:val="2"/>
            <w:tcBorders>
              <w:top w:val="single" w:sz="4" w:space="0" w:color="FFFFFF" w:themeColor="background1"/>
              <w:bottom w:val="single" w:sz="4" w:space="0" w:color="FFFFFF" w:themeColor="background1"/>
            </w:tcBorders>
          </w:tcPr>
          <w:p w14:paraId="084779C6" w14:textId="77777777" w:rsidR="00597E38" w:rsidRPr="00597E38" w:rsidRDefault="00597E38" w:rsidP="000A69BD">
            <w:pPr>
              <w:pStyle w:val="ECCTableHeaderwhitefont"/>
            </w:pPr>
            <w:r w:rsidRPr="00B10E31">
              <w:t>Required</w:t>
            </w:r>
            <w:r w:rsidRPr="00597E38">
              <w:t xml:space="preserve"> separation distance for scenario 1</w:t>
            </w:r>
          </w:p>
        </w:tc>
        <w:tc>
          <w:tcPr>
            <w:tcW w:w="1559" w:type="dxa"/>
            <w:gridSpan w:val="2"/>
            <w:tcBorders>
              <w:top w:val="single" w:sz="4" w:space="0" w:color="FFFFFF" w:themeColor="background1"/>
              <w:bottom w:val="single" w:sz="4" w:space="0" w:color="FFFFFF" w:themeColor="background1"/>
            </w:tcBorders>
          </w:tcPr>
          <w:p w14:paraId="39174798" w14:textId="77777777" w:rsidR="00597E38" w:rsidRPr="00597E38" w:rsidRDefault="00597E38" w:rsidP="000A69BD">
            <w:pPr>
              <w:pStyle w:val="ECCTableHeaderwhitefont"/>
            </w:pPr>
            <w:r w:rsidRPr="00B10E31">
              <w:t>Required</w:t>
            </w:r>
            <w:r w:rsidRPr="00597E38">
              <w:t xml:space="preserve"> separation distance for scenario 2</w:t>
            </w:r>
          </w:p>
        </w:tc>
        <w:tc>
          <w:tcPr>
            <w:tcW w:w="1843" w:type="dxa"/>
            <w:gridSpan w:val="2"/>
            <w:tcBorders>
              <w:top w:val="single" w:sz="4" w:space="0" w:color="FFFFFF" w:themeColor="background1"/>
              <w:bottom w:val="single" w:sz="4" w:space="0" w:color="FFFFFF" w:themeColor="background1"/>
            </w:tcBorders>
          </w:tcPr>
          <w:p w14:paraId="4D226191" w14:textId="77777777" w:rsidR="00597E38" w:rsidRPr="00597E38" w:rsidRDefault="00597E38" w:rsidP="000A69BD">
            <w:pPr>
              <w:pStyle w:val="ECCTableHeaderwhitefont"/>
            </w:pPr>
            <w:r w:rsidRPr="00B10E31">
              <w:t>Required</w:t>
            </w:r>
            <w:r w:rsidRPr="00597E38">
              <w:t xml:space="preserve"> separation distance for scenario 3</w:t>
            </w:r>
          </w:p>
        </w:tc>
        <w:tc>
          <w:tcPr>
            <w:tcW w:w="1565" w:type="dxa"/>
            <w:gridSpan w:val="2"/>
            <w:tcBorders>
              <w:top w:val="single" w:sz="4" w:space="0" w:color="FFFFFF" w:themeColor="background1"/>
              <w:bottom w:val="single" w:sz="4" w:space="0" w:color="FFFFFF" w:themeColor="background1"/>
            </w:tcBorders>
          </w:tcPr>
          <w:p w14:paraId="3B05DF3A" w14:textId="77777777" w:rsidR="00597E38" w:rsidRPr="00597E38" w:rsidRDefault="00597E38" w:rsidP="000A69BD">
            <w:pPr>
              <w:pStyle w:val="ECCTableHeaderwhitefont"/>
            </w:pPr>
            <w:r w:rsidRPr="00B10E31">
              <w:t>Required</w:t>
            </w:r>
            <w:r w:rsidRPr="00597E38">
              <w:t xml:space="preserve"> separation distance for scenario 4</w:t>
            </w:r>
          </w:p>
        </w:tc>
      </w:tr>
      <w:tr w:rsidR="00597E38" w14:paraId="0D0E0379" w14:textId="77777777" w:rsidTr="00843C38">
        <w:tc>
          <w:tcPr>
            <w:tcW w:w="1555" w:type="dxa"/>
            <w:vMerge/>
            <w:tcBorders>
              <w:right w:val="single" w:sz="4" w:space="0" w:color="FFFFFF" w:themeColor="background1"/>
            </w:tcBorders>
          </w:tcPr>
          <w:p w14:paraId="32E63382" w14:textId="77777777" w:rsidR="00597E38" w:rsidRPr="00213B63" w:rsidRDefault="00597E38" w:rsidP="00597E38">
            <w:pPr>
              <w:pStyle w:val="ECCTableHeaderwhitefont"/>
            </w:pPr>
          </w:p>
        </w:tc>
        <w:tc>
          <w:tcPr>
            <w:tcW w:w="1423" w:type="dxa"/>
            <w:vMerge/>
            <w:tcBorders>
              <w:left w:val="single" w:sz="4" w:space="0" w:color="FFFFFF" w:themeColor="background1"/>
              <w:right w:val="single" w:sz="4" w:space="0" w:color="FFFFFF" w:themeColor="background1"/>
            </w:tcBorders>
          </w:tcPr>
          <w:p w14:paraId="4452C849" w14:textId="77777777" w:rsidR="00597E38" w:rsidRPr="00213B63" w:rsidRDefault="00597E38" w:rsidP="00597E38">
            <w:pPr>
              <w:pStyle w:val="ECCTableHeaderwhitefont"/>
            </w:pPr>
          </w:p>
        </w:tc>
        <w:tc>
          <w:tcPr>
            <w:tcW w:w="845"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6DA6BFE" w14:textId="77777777" w:rsidR="00597E38" w:rsidRPr="0083124B" w:rsidRDefault="00597E38" w:rsidP="00876039">
            <w:pPr>
              <w:pStyle w:val="ECCTableHeaderwhitefont"/>
              <w:rPr>
                <w:b/>
                <w:bCs w:val="0"/>
              </w:rPr>
            </w:pPr>
            <w:r w:rsidRPr="0083124B">
              <w:rPr>
                <w:b/>
                <w:bCs w:val="0"/>
              </w:rPr>
              <w:t xml:space="preserve">Long term </w:t>
            </w:r>
          </w:p>
        </w:tc>
        <w:tc>
          <w:tcPr>
            <w:tcW w:w="850"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46DB015" w14:textId="77777777" w:rsidR="00597E38" w:rsidRPr="0083124B" w:rsidRDefault="00597E38" w:rsidP="000A69BD">
            <w:pPr>
              <w:pStyle w:val="ECCTableHeaderwhitefont"/>
              <w:rPr>
                <w:b/>
                <w:bCs w:val="0"/>
              </w:rPr>
            </w:pPr>
            <w:r w:rsidRPr="0083124B">
              <w:rPr>
                <w:b/>
                <w:bCs w:val="0"/>
              </w:rPr>
              <w:t>Peak power</w:t>
            </w:r>
          </w:p>
        </w:tc>
        <w:tc>
          <w:tcPr>
            <w:tcW w:w="70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F091A67" w14:textId="77777777" w:rsidR="00597E38" w:rsidRPr="0083124B" w:rsidRDefault="00597E38" w:rsidP="000A69BD">
            <w:pPr>
              <w:pStyle w:val="ECCTableHeaderwhitefont"/>
              <w:rPr>
                <w:b/>
                <w:bCs w:val="0"/>
              </w:rPr>
            </w:pPr>
            <w:r w:rsidRPr="0083124B">
              <w:rPr>
                <w:b/>
                <w:bCs w:val="0"/>
              </w:rPr>
              <w:t>Long term</w:t>
            </w:r>
          </w:p>
        </w:tc>
        <w:tc>
          <w:tcPr>
            <w:tcW w:w="850"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B46B62A" w14:textId="77777777" w:rsidR="00597E38" w:rsidRPr="0083124B" w:rsidRDefault="00597E38" w:rsidP="000A69BD">
            <w:pPr>
              <w:pStyle w:val="ECCTableHeaderwhitefont"/>
              <w:rPr>
                <w:b/>
                <w:bCs w:val="0"/>
              </w:rPr>
            </w:pPr>
            <w:r w:rsidRPr="0083124B">
              <w:rPr>
                <w:b/>
                <w:bCs w:val="0"/>
              </w:rPr>
              <w:t>Peak power</w:t>
            </w:r>
          </w:p>
        </w:tc>
        <w:tc>
          <w:tcPr>
            <w:tcW w:w="851"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2C72D72" w14:textId="77777777" w:rsidR="00597E38" w:rsidRPr="0083124B" w:rsidRDefault="00597E38" w:rsidP="000A69BD">
            <w:pPr>
              <w:pStyle w:val="ECCTableHeaderwhitefont"/>
              <w:rPr>
                <w:b/>
                <w:bCs w:val="0"/>
              </w:rPr>
            </w:pPr>
            <w:r w:rsidRPr="0083124B">
              <w:rPr>
                <w:b/>
                <w:bCs w:val="0"/>
              </w:rPr>
              <w:t>Long term</w:t>
            </w:r>
          </w:p>
        </w:tc>
        <w:tc>
          <w:tcPr>
            <w:tcW w:w="99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E272D22" w14:textId="77777777" w:rsidR="00597E38" w:rsidRPr="0083124B" w:rsidRDefault="00597E38" w:rsidP="000A69BD">
            <w:pPr>
              <w:pStyle w:val="ECCTableHeaderwhitefont"/>
              <w:rPr>
                <w:b/>
                <w:bCs w:val="0"/>
              </w:rPr>
            </w:pPr>
            <w:r w:rsidRPr="0083124B">
              <w:rPr>
                <w:b/>
                <w:bCs w:val="0"/>
              </w:rPr>
              <w:t>Peak power</w:t>
            </w:r>
          </w:p>
        </w:tc>
        <w:tc>
          <w:tcPr>
            <w:tcW w:w="70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5FFB2619" w14:textId="77777777" w:rsidR="00597E38" w:rsidRPr="0083124B" w:rsidRDefault="00597E38" w:rsidP="000A69BD">
            <w:pPr>
              <w:pStyle w:val="ECCTableHeaderwhitefont"/>
              <w:rPr>
                <w:b/>
                <w:bCs w:val="0"/>
              </w:rPr>
            </w:pPr>
            <w:r w:rsidRPr="0083124B">
              <w:rPr>
                <w:b/>
                <w:bCs w:val="0"/>
              </w:rPr>
              <w:t>Long term</w:t>
            </w:r>
          </w:p>
        </w:tc>
        <w:tc>
          <w:tcPr>
            <w:tcW w:w="856"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0F1887D" w14:textId="77777777" w:rsidR="00597E38" w:rsidRPr="0083124B" w:rsidRDefault="00597E38" w:rsidP="000A69BD">
            <w:pPr>
              <w:pStyle w:val="ECCTableHeaderwhitefont"/>
              <w:rPr>
                <w:b/>
                <w:bCs w:val="0"/>
              </w:rPr>
            </w:pPr>
            <w:r w:rsidRPr="0083124B">
              <w:rPr>
                <w:b/>
                <w:bCs w:val="0"/>
              </w:rPr>
              <w:t>Peak power</w:t>
            </w:r>
          </w:p>
        </w:tc>
      </w:tr>
      <w:tr w:rsidR="00597E38" w14:paraId="1B5B1EB8" w14:textId="77777777" w:rsidTr="00843C38">
        <w:tc>
          <w:tcPr>
            <w:tcW w:w="1555" w:type="dxa"/>
            <w:vMerge w:val="restart"/>
          </w:tcPr>
          <w:p w14:paraId="6DA7E72F" w14:textId="77777777" w:rsidR="00597E38" w:rsidRPr="00597E38" w:rsidRDefault="00597E38" w:rsidP="000A69BD">
            <w:pPr>
              <w:pStyle w:val="ECCTabletext"/>
              <w:jc w:val="left"/>
            </w:pPr>
            <w:r w:rsidRPr="00913718">
              <w:t>116 to 148</w:t>
            </w:r>
            <w:r w:rsidR="00CF4994">
              <w:t>.5</w:t>
            </w:r>
            <w:r w:rsidRPr="00913718">
              <w:t> GHz</w:t>
            </w:r>
          </w:p>
        </w:tc>
        <w:tc>
          <w:tcPr>
            <w:tcW w:w="1423" w:type="dxa"/>
          </w:tcPr>
          <w:p w14:paraId="5D5CF90C" w14:textId="77777777" w:rsidR="00597E38" w:rsidRPr="00597E38" w:rsidRDefault="00597E38" w:rsidP="000A69BD">
            <w:pPr>
              <w:pStyle w:val="ECCTabletext"/>
              <w:jc w:val="left"/>
            </w:pPr>
            <w:r w:rsidRPr="00913718">
              <w:t>111</w:t>
            </w:r>
            <w:r w:rsidR="00CF4994">
              <w:t>.8</w:t>
            </w:r>
            <w:r w:rsidRPr="00913718">
              <w:t xml:space="preserve"> to 114</w:t>
            </w:r>
            <w:r w:rsidR="00CF4994">
              <w:t>.2</w:t>
            </w:r>
            <w:r w:rsidRPr="00913718">
              <w:t>5 GHz</w:t>
            </w:r>
            <w:r w:rsidR="00E73D32">
              <w:t xml:space="preserve"> (OOB)</w:t>
            </w:r>
          </w:p>
        </w:tc>
        <w:tc>
          <w:tcPr>
            <w:tcW w:w="845" w:type="dxa"/>
            <w:tcBorders>
              <w:top w:val="single" w:sz="4" w:space="0" w:color="D22A23"/>
            </w:tcBorders>
            <w:shd w:val="clear" w:color="auto" w:fill="auto"/>
          </w:tcPr>
          <w:p w14:paraId="52CB2EAE" w14:textId="77777777" w:rsidR="00597E38" w:rsidRPr="008C2639" w:rsidRDefault="000F7970" w:rsidP="008C2639">
            <w:r>
              <w:t>25</w:t>
            </w:r>
            <w:r w:rsidR="007F1971" w:rsidRPr="008C2639">
              <w:t> m</w:t>
            </w:r>
          </w:p>
        </w:tc>
        <w:tc>
          <w:tcPr>
            <w:tcW w:w="850" w:type="dxa"/>
            <w:tcBorders>
              <w:top w:val="single" w:sz="4" w:space="0" w:color="D22A23"/>
            </w:tcBorders>
          </w:tcPr>
          <w:p w14:paraId="57CAA393" w14:textId="77777777" w:rsidR="00597E38" w:rsidRPr="00AE71AF" w:rsidRDefault="00AE71AF" w:rsidP="00AE71AF">
            <w:r>
              <w:t>45</w:t>
            </w:r>
            <w:r w:rsidR="00597E38" w:rsidRPr="00AE71AF">
              <w:t> m</w:t>
            </w:r>
          </w:p>
        </w:tc>
        <w:tc>
          <w:tcPr>
            <w:tcW w:w="709" w:type="dxa"/>
            <w:tcBorders>
              <w:top w:val="single" w:sz="4" w:space="0" w:color="D22A23"/>
            </w:tcBorders>
          </w:tcPr>
          <w:p w14:paraId="13F21A7E" w14:textId="77777777" w:rsidR="00597E38" w:rsidRPr="000F7970" w:rsidRDefault="007F1971" w:rsidP="000F7970">
            <w:r w:rsidRPr="000F7970">
              <w:t>2 m</w:t>
            </w:r>
          </w:p>
        </w:tc>
        <w:tc>
          <w:tcPr>
            <w:tcW w:w="850" w:type="dxa"/>
            <w:tcBorders>
              <w:top w:val="single" w:sz="4" w:space="0" w:color="D22A23"/>
            </w:tcBorders>
          </w:tcPr>
          <w:p w14:paraId="49EF1051" w14:textId="77777777" w:rsidR="00597E38" w:rsidRPr="00AE71AF" w:rsidRDefault="00AE71AF" w:rsidP="00AE71AF">
            <w:r>
              <w:t>5</w:t>
            </w:r>
            <w:r w:rsidR="00597E38" w:rsidRPr="00AE71AF">
              <w:t> m</w:t>
            </w:r>
          </w:p>
        </w:tc>
        <w:tc>
          <w:tcPr>
            <w:tcW w:w="851" w:type="dxa"/>
            <w:tcBorders>
              <w:top w:val="single" w:sz="4" w:space="0" w:color="D22A23"/>
            </w:tcBorders>
          </w:tcPr>
          <w:p w14:paraId="7351C445" w14:textId="77777777" w:rsidR="00597E38" w:rsidRPr="000F7970" w:rsidRDefault="000F7970" w:rsidP="000F7970">
            <w:r w:rsidRPr="000F7970">
              <w:t>25</w:t>
            </w:r>
            <w:r w:rsidR="007F1971" w:rsidRPr="000F7970">
              <w:t> m</w:t>
            </w:r>
          </w:p>
        </w:tc>
        <w:tc>
          <w:tcPr>
            <w:tcW w:w="992" w:type="dxa"/>
            <w:tcBorders>
              <w:top w:val="single" w:sz="4" w:space="0" w:color="D22A23"/>
            </w:tcBorders>
          </w:tcPr>
          <w:p w14:paraId="22E38AE5" w14:textId="77777777" w:rsidR="00597E38" w:rsidRPr="00AE71AF" w:rsidRDefault="00AE71AF" w:rsidP="00AE71AF">
            <w:r>
              <w:t>127</w:t>
            </w:r>
            <w:r w:rsidR="00597E38" w:rsidRPr="00AE71AF">
              <w:t> m</w:t>
            </w:r>
          </w:p>
        </w:tc>
        <w:tc>
          <w:tcPr>
            <w:tcW w:w="709" w:type="dxa"/>
            <w:tcBorders>
              <w:top w:val="single" w:sz="4" w:space="0" w:color="D22A23"/>
            </w:tcBorders>
          </w:tcPr>
          <w:p w14:paraId="0E54488A" w14:textId="77777777" w:rsidR="00597E38" w:rsidRPr="000F7970" w:rsidRDefault="000F7970" w:rsidP="000F7970">
            <w:r w:rsidRPr="000F7970">
              <w:t>3</w:t>
            </w:r>
            <w:r w:rsidR="007F1971" w:rsidRPr="000F7970">
              <w:t> m</w:t>
            </w:r>
          </w:p>
        </w:tc>
        <w:tc>
          <w:tcPr>
            <w:tcW w:w="856" w:type="dxa"/>
            <w:tcBorders>
              <w:top w:val="single" w:sz="4" w:space="0" w:color="D22A23"/>
            </w:tcBorders>
          </w:tcPr>
          <w:p w14:paraId="526F8556" w14:textId="77777777" w:rsidR="00597E38" w:rsidRPr="008C2639" w:rsidRDefault="008C2639" w:rsidP="008C2639">
            <w:r>
              <w:t>16</w:t>
            </w:r>
            <w:r w:rsidR="00597E38" w:rsidRPr="008C2639">
              <w:t> m</w:t>
            </w:r>
          </w:p>
        </w:tc>
      </w:tr>
      <w:tr w:rsidR="00597E38" w14:paraId="30A0DFFA" w14:textId="77777777" w:rsidTr="00843C38">
        <w:tc>
          <w:tcPr>
            <w:tcW w:w="1555" w:type="dxa"/>
            <w:vMerge/>
          </w:tcPr>
          <w:p w14:paraId="11B63098" w14:textId="77777777" w:rsidR="00597E38" w:rsidRPr="00913718" w:rsidRDefault="00597E38" w:rsidP="00597E38">
            <w:pPr>
              <w:pStyle w:val="ECCTabletext"/>
            </w:pPr>
          </w:p>
        </w:tc>
        <w:tc>
          <w:tcPr>
            <w:tcW w:w="1423" w:type="dxa"/>
          </w:tcPr>
          <w:p w14:paraId="1572F018" w14:textId="77777777" w:rsidR="00597E38" w:rsidRPr="00597E38" w:rsidRDefault="00597E38" w:rsidP="000A69BD">
            <w:pPr>
              <w:pStyle w:val="ECCTabletext"/>
              <w:jc w:val="left"/>
            </w:pPr>
            <w:r w:rsidRPr="00913718">
              <w:t>130 to 134 GHz</w:t>
            </w:r>
            <w:r w:rsidR="00E73D32">
              <w:t xml:space="preserve"> (In-band)</w:t>
            </w:r>
          </w:p>
        </w:tc>
        <w:tc>
          <w:tcPr>
            <w:tcW w:w="845" w:type="dxa"/>
          </w:tcPr>
          <w:p w14:paraId="75717706" w14:textId="77777777" w:rsidR="00597E38" w:rsidRPr="008C2639" w:rsidRDefault="007F1971" w:rsidP="008C2639">
            <w:r w:rsidRPr="008C2639">
              <w:t>1</w:t>
            </w:r>
            <w:r w:rsidR="000F7970">
              <w:t>69</w:t>
            </w:r>
            <w:r w:rsidRPr="008C2639">
              <w:t> m</w:t>
            </w:r>
          </w:p>
        </w:tc>
        <w:tc>
          <w:tcPr>
            <w:tcW w:w="850" w:type="dxa"/>
          </w:tcPr>
          <w:p w14:paraId="1CF004C3" w14:textId="77777777" w:rsidR="00597E38" w:rsidRPr="00AE71AF" w:rsidRDefault="00AE71AF" w:rsidP="00AE71AF">
            <w:r w:rsidRPr="00AE71AF">
              <w:t>300</w:t>
            </w:r>
            <w:r w:rsidR="00597E38" w:rsidRPr="00AE71AF">
              <w:t> m</w:t>
            </w:r>
          </w:p>
        </w:tc>
        <w:tc>
          <w:tcPr>
            <w:tcW w:w="709" w:type="dxa"/>
          </w:tcPr>
          <w:p w14:paraId="3EF36FC0" w14:textId="77777777" w:rsidR="00597E38" w:rsidRPr="000F7970" w:rsidRDefault="007F1971" w:rsidP="000F7970">
            <w:r w:rsidRPr="000F7970">
              <w:t>1</w:t>
            </w:r>
            <w:r w:rsidR="000F7970">
              <w:t>5</w:t>
            </w:r>
            <w:r w:rsidRPr="000F7970">
              <w:t> m</w:t>
            </w:r>
          </w:p>
        </w:tc>
        <w:tc>
          <w:tcPr>
            <w:tcW w:w="850" w:type="dxa"/>
          </w:tcPr>
          <w:p w14:paraId="1C12FA76" w14:textId="77777777" w:rsidR="00597E38" w:rsidRPr="00AE71AF" w:rsidRDefault="00AE71AF" w:rsidP="00AE71AF">
            <w:r>
              <w:t>31</w:t>
            </w:r>
            <w:r w:rsidR="00597E38" w:rsidRPr="00AE71AF">
              <w:t> m</w:t>
            </w:r>
          </w:p>
        </w:tc>
        <w:tc>
          <w:tcPr>
            <w:tcW w:w="851" w:type="dxa"/>
          </w:tcPr>
          <w:p w14:paraId="1F1F2EF3" w14:textId="77777777" w:rsidR="00597E38" w:rsidRPr="000F7970" w:rsidRDefault="000F7970" w:rsidP="000F7970">
            <w:r w:rsidRPr="000F7970">
              <w:t>166</w:t>
            </w:r>
            <w:r w:rsidR="007F1971" w:rsidRPr="000F7970">
              <w:t> m</w:t>
            </w:r>
          </w:p>
        </w:tc>
        <w:tc>
          <w:tcPr>
            <w:tcW w:w="992" w:type="dxa"/>
          </w:tcPr>
          <w:p w14:paraId="0A58EEF5" w14:textId="77777777" w:rsidR="00597E38" w:rsidRPr="00AE71AF" w:rsidRDefault="00AE71AF" w:rsidP="00AE71AF">
            <w:r>
              <w:t>804</w:t>
            </w:r>
            <w:r w:rsidR="00597E38" w:rsidRPr="00AE71AF">
              <w:t> m</w:t>
            </w:r>
          </w:p>
        </w:tc>
        <w:tc>
          <w:tcPr>
            <w:tcW w:w="709" w:type="dxa"/>
          </w:tcPr>
          <w:p w14:paraId="10D3D5D8" w14:textId="77777777" w:rsidR="00597E38" w:rsidRPr="000F7970" w:rsidRDefault="000F7970" w:rsidP="000F7970">
            <w:r w:rsidRPr="000F7970">
              <w:t>21</w:t>
            </w:r>
            <w:r w:rsidR="007F1971" w:rsidRPr="000F7970">
              <w:t> m</w:t>
            </w:r>
          </w:p>
        </w:tc>
        <w:tc>
          <w:tcPr>
            <w:tcW w:w="856" w:type="dxa"/>
          </w:tcPr>
          <w:p w14:paraId="29BF72B9" w14:textId="77777777" w:rsidR="00597E38" w:rsidRPr="008C2639" w:rsidRDefault="008C2639" w:rsidP="008C2639">
            <w:r>
              <w:t>108</w:t>
            </w:r>
            <w:r w:rsidR="00597E38" w:rsidRPr="008C2639">
              <w:t> m</w:t>
            </w:r>
          </w:p>
        </w:tc>
      </w:tr>
      <w:tr w:rsidR="00597E38" w14:paraId="6ADF2280" w14:textId="77777777" w:rsidTr="00843C38">
        <w:tc>
          <w:tcPr>
            <w:tcW w:w="1555" w:type="dxa"/>
            <w:vMerge/>
          </w:tcPr>
          <w:p w14:paraId="26BD3936" w14:textId="77777777" w:rsidR="00597E38" w:rsidRPr="00913718" w:rsidRDefault="00597E38" w:rsidP="00597E38">
            <w:pPr>
              <w:pStyle w:val="ECCTabletext"/>
            </w:pPr>
          </w:p>
        </w:tc>
        <w:tc>
          <w:tcPr>
            <w:tcW w:w="1423" w:type="dxa"/>
          </w:tcPr>
          <w:p w14:paraId="444899B8" w14:textId="77777777" w:rsidR="00597E38" w:rsidRPr="00597E38" w:rsidRDefault="00597E38" w:rsidP="000A69BD">
            <w:pPr>
              <w:pStyle w:val="ECCTabletext"/>
              <w:jc w:val="left"/>
            </w:pPr>
            <w:r>
              <w:t>141 to 148</w:t>
            </w:r>
            <w:r w:rsidR="00CF4994">
              <w:t>.5</w:t>
            </w:r>
            <w:r>
              <w:t xml:space="preserve"> GHz</w:t>
            </w:r>
            <w:r w:rsidR="00E73D32">
              <w:t xml:space="preserve"> (In-band)</w:t>
            </w:r>
          </w:p>
        </w:tc>
        <w:tc>
          <w:tcPr>
            <w:tcW w:w="845" w:type="dxa"/>
          </w:tcPr>
          <w:p w14:paraId="303DFE2A" w14:textId="77777777" w:rsidR="00597E38" w:rsidRPr="008C2639" w:rsidRDefault="007F1971" w:rsidP="008C2639">
            <w:r w:rsidRPr="008C2639">
              <w:t>1</w:t>
            </w:r>
            <w:r w:rsidR="000F7970">
              <w:t>54</w:t>
            </w:r>
            <w:r w:rsidRPr="008C2639">
              <w:t> m</w:t>
            </w:r>
          </w:p>
        </w:tc>
        <w:tc>
          <w:tcPr>
            <w:tcW w:w="850" w:type="dxa"/>
          </w:tcPr>
          <w:p w14:paraId="554C4E53" w14:textId="77777777" w:rsidR="00597E38" w:rsidRPr="00AE71AF" w:rsidRDefault="00AE71AF" w:rsidP="00AE71AF">
            <w:r w:rsidRPr="00AE71AF">
              <w:t>278</w:t>
            </w:r>
            <w:r w:rsidR="00597E38" w:rsidRPr="00AE71AF">
              <w:t> m</w:t>
            </w:r>
          </w:p>
        </w:tc>
        <w:tc>
          <w:tcPr>
            <w:tcW w:w="709" w:type="dxa"/>
          </w:tcPr>
          <w:p w14:paraId="6B65A16A" w14:textId="77777777" w:rsidR="00597E38" w:rsidRPr="000F7970" w:rsidRDefault="007F1971" w:rsidP="000F7970">
            <w:r w:rsidRPr="000F7970">
              <w:t>1</w:t>
            </w:r>
            <w:r w:rsidR="000F7970">
              <w:t>4</w:t>
            </w:r>
            <w:r w:rsidRPr="000F7970">
              <w:t> m</w:t>
            </w:r>
          </w:p>
        </w:tc>
        <w:tc>
          <w:tcPr>
            <w:tcW w:w="850" w:type="dxa"/>
          </w:tcPr>
          <w:p w14:paraId="34EE427D" w14:textId="77777777" w:rsidR="00597E38" w:rsidRPr="00AE71AF" w:rsidRDefault="00AE71AF" w:rsidP="00AE71AF">
            <w:r>
              <w:t>28</w:t>
            </w:r>
            <w:r w:rsidR="00597E38" w:rsidRPr="00AE71AF">
              <w:t> m</w:t>
            </w:r>
          </w:p>
        </w:tc>
        <w:tc>
          <w:tcPr>
            <w:tcW w:w="851" w:type="dxa"/>
          </w:tcPr>
          <w:p w14:paraId="33798D4D" w14:textId="77777777" w:rsidR="00597E38" w:rsidRPr="000F7970" w:rsidRDefault="007F1971" w:rsidP="000F7970">
            <w:r w:rsidRPr="000F7970">
              <w:t>1</w:t>
            </w:r>
            <w:r w:rsidR="000F7970" w:rsidRPr="000F7970">
              <w:t>51</w:t>
            </w:r>
            <w:r w:rsidRPr="000F7970">
              <w:t> m</w:t>
            </w:r>
          </w:p>
        </w:tc>
        <w:tc>
          <w:tcPr>
            <w:tcW w:w="992" w:type="dxa"/>
          </w:tcPr>
          <w:p w14:paraId="592E9F48" w14:textId="77777777" w:rsidR="00597E38" w:rsidRPr="00AE71AF" w:rsidRDefault="008C2639" w:rsidP="00AE71AF">
            <w:r>
              <w:t>726</w:t>
            </w:r>
            <w:r w:rsidR="00597E38" w:rsidRPr="00AE71AF">
              <w:t> m</w:t>
            </w:r>
          </w:p>
        </w:tc>
        <w:tc>
          <w:tcPr>
            <w:tcW w:w="709" w:type="dxa"/>
          </w:tcPr>
          <w:p w14:paraId="6CA184F7" w14:textId="77777777" w:rsidR="00597E38" w:rsidRPr="000F7970" w:rsidRDefault="007F1971" w:rsidP="000F7970">
            <w:r w:rsidRPr="000F7970">
              <w:t>1</w:t>
            </w:r>
            <w:r w:rsidR="000F7970" w:rsidRPr="000F7970">
              <w:t>9</w:t>
            </w:r>
            <w:r w:rsidRPr="000F7970">
              <w:t> m</w:t>
            </w:r>
          </w:p>
        </w:tc>
        <w:tc>
          <w:tcPr>
            <w:tcW w:w="856" w:type="dxa"/>
          </w:tcPr>
          <w:p w14:paraId="0B76E295" w14:textId="77777777" w:rsidR="00597E38" w:rsidRPr="008C2639" w:rsidRDefault="008C2639" w:rsidP="008C2639">
            <w:r>
              <w:t>98</w:t>
            </w:r>
            <w:r w:rsidR="00597E38" w:rsidRPr="008C2639">
              <w:t> m</w:t>
            </w:r>
          </w:p>
        </w:tc>
      </w:tr>
      <w:tr w:rsidR="00597E38" w14:paraId="50FFE883" w14:textId="77777777" w:rsidTr="00843C38">
        <w:tc>
          <w:tcPr>
            <w:tcW w:w="1555" w:type="dxa"/>
          </w:tcPr>
          <w:p w14:paraId="0D3B876F" w14:textId="77777777" w:rsidR="00597E38" w:rsidRPr="00597E38" w:rsidRDefault="00597E38" w:rsidP="000A69BD">
            <w:pPr>
              <w:pStyle w:val="ECCTabletext"/>
              <w:jc w:val="left"/>
            </w:pPr>
            <w:r w:rsidRPr="00913718">
              <w:t>167 to 182 GHz</w:t>
            </w:r>
          </w:p>
        </w:tc>
        <w:tc>
          <w:tcPr>
            <w:tcW w:w="1423" w:type="dxa"/>
          </w:tcPr>
          <w:p w14:paraId="3FC75569" w14:textId="77777777" w:rsidR="00597E38" w:rsidRPr="00597E38" w:rsidRDefault="00597E38" w:rsidP="000A69BD">
            <w:pPr>
              <w:pStyle w:val="ECCTabletext"/>
              <w:jc w:val="left"/>
            </w:pPr>
            <w:r w:rsidRPr="00913718">
              <w:t>167 to 174</w:t>
            </w:r>
            <w:r w:rsidR="00CF4994">
              <w:t>.8</w:t>
            </w:r>
            <w:r w:rsidRPr="00913718">
              <w:t> GHz</w:t>
            </w:r>
            <w:r w:rsidR="00E73D32">
              <w:t xml:space="preserve"> (In-band)</w:t>
            </w:r>
          </w:p>
        </w:tc>
        <w:tc>
          <w:tcPr>
            <w:tcW w:w="845" w:type="dxa"/>
          </w:tcPr>
          <w:p w14:paraId="5D247DCD" w14:textId="77777777" w:rsidR="00597E38" w:rsidRPr="008C2639" w:rsidRDefault="000F7970" w:rsidP="008C2639">
            <w:r>
              <w:t>174</w:t>
            </w:r>
            <w:r w:rsidR="00843C38" w:rsidRPr="008C2639">
              <w:t> m</w:t>
            </w:r>
          </w:p>
        </w:tc>
        <w:tc>
          <w:tcPr>
            <w:tcW w:w="850" w:type="dxa"/>
          </w:tcPr>
          <w:p w14:paraId="5BFB0773" w14:textId="77777777" w:rsidR="00597E38" w:rsidRPr="00AE71AF" w:rsidRDefault="00AE71AF" w:rsidP="00AE71AF">
            <w:r w:rsidRPr="00AE71AF">
              <w:t>299</w:t>
            </w:r>
            <w:r w:rsidR="00597E38" w:rsidRPr="00AE71AF">
              <w:t> m</w:t>
            </w:r>
          </w:p>
        </w:tc>
        <w:tc>
          <w:tcPr>
            <w:tcW w:w="709" w:type="dxa"/>
          </w:tcPr>
          <w:p w14:paraId="4859A8C9" w14:textId="77777777" w:rsidR="00597E38" w:rsidRPr="000F7970" w:rsidRDefault="000F7970" w:rsidP="000F7970">
            <w:r>
              <w:t>16</w:t>
            </w:r>
            <w:r w:rsidR="00843C38" w:rsidRPr="000F7970">
              <w:t> m</w:t>
            </w:r>
          </w:p>
        </w:tc>
        <w:tc>
          <w:tcPr>
            <w:tcW w:w="850" w:type="dxa"/>
          </w:tcPr>
          <w:p w14:paraId="32ACF0FA" w14:textId="77777777" w:rsidR="00597E38" w:rsidRPr="00AE71AF" w:rsidRDefault="00AE71AF" w:rsidP="00AE71AF">
            <w:r>
              <w:t>28</w:t>
            </w:r>
            <w:r w:rsidR="00597E38" w:rsidRPr="00AE71AF">
              <w:t> m</w:t>
            </w:r>
          </w:p>
        </w:tc>
        <w:tc>
          <w:tcPr>
            <w:tcW w:w="851" w:type="dxa"/>
          </w:tcPr>
          <w:p w14:paraId="2FA56503" w14:textId="77777777" w:rsidR="00597E38" w:rsidRPr="000F7970" w:rsidRDefault="000F7970" w:rsidP="000F7970">
            <w:r w:rsidRPr="000F7970">
              <w:t>176</w:t>
            </w:r>
            <w:r w:rsidR="00843C38" w:rsidRPr="000F7970">
              <w:t> m</w:t>
            </w:r>
          </w:p>
        </w:tc>
        <w:tc>
          <w:tcPr>
            <w:tcW w:w="992" w:type="dxa"/>
          </w:tcPr>
          <w:p w14:paraId="7720F4C9" w14:textId="77777777" w:rsidR="00597E38" w:rsidRPr="00AE71AF" w:rsidRDefault="00597E38" w:rsidP="00AE71AF">
            <w:r w:rsidRPr="00AE71AF">
              <w:t>1</w:t>
            </w:r>
            <w:r w:rsidR="00CF4994">
              <w:t>.0</w:t>
            </w:r>
            <w:r w:rsidR="008C2639">
              <w:t>5</w:t>
            </w:r>
            <w:r w:rsidRPr="00AE71AF">
              <w:t> </w:t>
            </w:r>
            <w:r w:rsidR="008C2639">
              <w:t>k</w:t>
            </w:r>
            <w:r w:rsidRPr="00AE71AF">
              <w:t>m</w:t>
            </w:r>
          </w:p>
        </w:tc>
        <w:tc>
          <w:tcPr>
            <w:tcW w:w="709" w:type="dxa"/>
          </w:tcPr>
          <w:p w14:paraId="465BB4E9" w14:textId="77777777" w:rsidR="00597E38" w:rsidRPr="000F7970" w:rsidRDefault="000F7970" w:rsidP="000F7970">
            <w:r w:rsidRPr="000F7970">
              <w:t>23</w:t>
            </w:r>
            <w:r w:rsidR="00843C38" w:rsidRPr="000F7970">
              <w:t> m</w:t>
            </w:r>
          </w:p>
        </w:tc>
        <w:tc>
          <w:tcPr>
            <w:tcW w:w="856" w:type="dxa"/>
          </w:tcPr>
          <w:p w14:paraId="47382C14" w14:textId="77777777" w:rsidR="00597E38" w:rsidRPr="008C2639" w:rsidRDefault="008C2639" w:rsidP="008C2639">
            <w:r>
              <w:t>162</w:t>
            </w:r>
            <w:r w:rsidR="00597E38" w:rsidRPr="008C2639">
              <w:t> m</w:t>
            </w:r>
          </w:p>
        </w:tc>
      </w:tr>
    </w:tbl>
    <w:p w14:paraId="0487BCFD" w14:textId="78348C45" w:rsidR="00530C48" w:rsidRPr="00B10E31" w:rsidRDefault="00530C48" w:rsidP="00530C48">
      <w:r>
        <w:t xml:space="preserve">The conclusions drawn from these results can be found in </w:t>
      </w:r>
      <w:r w:rsidR="009D5FA2">
        <w:t>section</w:t>
      </w:r>
      <w:r>
        <w:t xml:space="preserve"> </w:t>
      </w:r>
      <w:r>
        <w:fldChar w:fldCharType="begin"/>
      </w:r>
      <w:r>
        <w:instrText xml:space="preserve"> REF _Ref67393008 \r \h </w:instrText>
      </w:r>
      <w:r>
        <w:fldChar w:fldCharType="separate"/>
      </w:r>
      <w:r w:rsidR="004F49F9">
        <w:t>8.6.3</w:t>
      </w:r>
      <w:r>
        <w:fldChar w:fldCharType="end"/>
      </w:r>
      <w:r>
        <w:t>.</w:t>
      </w:r>
    </w:p>
    <w:p w14:paraId="6669EFC1" w14:textId="77777777" w:rsidR="00FE3CC3" w:rsidRPr="00FE3CC3" w:rsidRDefault="00FE3CC3" w:rsidP="00FE3CC3">
      <w:pPr>
        <w:pStyle w:val="Heading2"/>
      </w:pPr>
      <w:bookmarkStart w:id="674" w:name="_Toc84325395"/>
      <w:bookmarkStart w:id="675" w:name="_Toc127346317"/>
      <w:r w:rsidRPr="00FE3CC3">
        <w:t>Tank Level Probing Radar (TLPR)</w:t>
      </w:r>
      <w:bookmarkEnd w:id="674"/>
      <w:bookmarkEnd w:id="675"/>
    </w:p>
    <w:p w14:paraId="091FA1A6" w14:textId="77777777" w:rsidR="00FE3CC3" w:rsidRPr="001F3807" w:rsidRDefault="00FE3CC3" w:rsidP="00FE3CC3">
      <w:pPr>
        <w:pStyle w:val="Heading3"/>
      </w:pPr>
      <w:bookmarkStart w:id="676" w:name="_Toc84325396"/>
      <w:bookmarkStart w:id="677" w:name="_Toc127346318"/>
      <w:r w:rsidRPr="001F3807">
        <w:t>Technical parameters of TLPR</w:t>
      </w:r>
      <w:bookmarkEnd w:id="676"/>
      <w:bookmarkEnd w:id="677"/>
    </w:p>
    <w:p w14:paraId="1D890B50" w14:textId="46583DC8" w:rsidR="00FE3CC3" w:rsidRPr="00B10E31" w:rsidRDefault="00FE3CC3" w:rsidP="00FE3CC3">
      <w:r w:rsidRPr="00B10E31">
        <w:t xml:space="preserve">For TLPR altogether three potential frequency bands have been defined (see </w:t>
      </w:r>
      <w:r w:rsidR="009D5FA2">
        <w:t>section</w:t>
      </w:r>
      <w:r w:rsidRPr="00B10E31">
        <w:t xml:space="preserve"> </w:t>
      </w:r>
      <w:r w:rsidR="002205D8">
        <w:rPr>
          <w:highlight w:val="yellow"/>
        </w:rPr>
        <w:fldChar w:fldCharType="begin"/>
      </w:r>
      <w:r w:rsidR="002205D8">
        <w:instrText xml:space="preserve"> REF _Ref66452557 \r \h </w:instrText>
      </w:r>
      <w:r w:rsidR="002205D8">
        <w:rPr>
          <w:highlight w:val="yellow"/>
        </w:rPr>
      </w:r>
      <w:r w:rsidR="002205D8">
        <w:rPr>
          <w:highlight w:val="yellow"/>
        </w:rPr>
        <w:fldChar w:fldCharType="separate"/>
      </w:r>
      <w:r w:rsidR="004F49F9">
        <w:t>2.2.7.2</w:t>
      </w:r>
      <w:r w:rsidR="002205D8">
        <w:rPr>
          <w:highlight w:val="yellow"/>
        </w:rPr>
        <w:fldChar w:fldCharType="end"/>
      </w:r>
      <w:r w:rsidRPr="00B10E31">
        <w:t>). However, only for the two frequency bands 116 to 148</w:t>
      </w:r>
      <w:r w:rsidR="00CF4994">
        <w:t>.5</w:t>
      </w:r>
      <w:r w:rsidRPr="00B10E31">
        <w:t> GHz and 167 to 182 GHz allocations for FS are affected either within these bands or adjacent to them. Consequently, these two bands have been investigated in single-entry studies. In these studies the individually required separation distances (</w:t>
      </w:r>
      <w:r w:rsidR="009D5FA2">
        <w:t>section</w:t>
      </w:r>
      <w:r w:rsidRPr="00B10E31">
        <w:t xml:space="preserve"> </w:t>
      </w:r>
      <w:r w:rsidR="002205D8">
        <w:rPr>
          <w:highlight w:val="yellow"/>
        </w:rPr>
        <w:fldChar w:fldCharType="begin"/>
      </w:r>
      <w:r w:rsidR="002205D8">
        <w:instrText xml:space="preserve"> REF _Ref15293384 \r \h </w:instrText>
      </w:r>
      <w:r w:rsidR="002205D8">
        <w:rPr>
          <w:highlight w:val="yellow"/>
        </w:rPr>
      </w:r>
      <w:r w:rsidR="002205D8">
        <w:rPr>
          <w:highlight w:val="yellow"/>
        </w:rPr>
        <w:fldChar w:fldCharType="separate"/>
      </w:r>
      <w:r w:rsidR="004F49F9">
        <w:t>3.4.2</w:t>
      </w:r>
      <w:r w:rsidR="002205D8">
        <w:rPr>
          <w:highlight w:val="yellow"/>
        </w:rPr>
        <w:fldChar w:fldCharType="end"/>
      </w:r>
      <w:r w:rsidRPr="00B10E31">
        <w:t>) is determined by means of the technical parameters (</w:t>
      </w:r>
      <w:r w:rsidR="009D5FA2">
        <w:t>section</w:t>
      </w:r>
      <w:r w:rsidRPr="00B10E31">
        <w:t xml:space="preserve"> </w:t>
      </w:r>
      <w:r w:rsidR="002205D8">
        <w:rPr>
          <w:highlight w:val="yellow"/>
        </w:rPr>
        <w:fldChar w:fldCharType="begin"/>
      </w:r>
      <w:r w:rsidR="002205D8">
        <w:instrText xml:space="preserve"> REF _Ref66452573 \r \h </w:instrText>
      </w:r>
      <w:r w:rsidR="002205D8">
        <w:rPr>
          <w:highlight w:val="yellow"/>
        </w:rPr>
      </w:r>
      <w:r w:rsidR="002205D8">
        <w:rPr>
          <w:highlight w:val="yellow"/>
        </w:rPr>
        <w:fldChar w:fldCharType="separate"/>
      </w:r>
      <w:r w:rsidR="004F49F9">
        <w:t>2.2.7.3</w:t>
      </w:r>
      <w:r w:rsidR="002205D8">
        <w:rPr>
          <w:highlight w:val="yellow"/>
        </w:rPr>
        <w:fldChar w:fldCharType="end"/>
      </w:r>
      <w:r w:rsidRPr="00B10E31">
        <w:t>), the antenna data (</w:t>
      </w:r>
      <w:r w:rsidR="009D5FA2">
        <w:t>section</w:t>
      </w:r>
      <w:r w:rsidRPr="00B10E31">
        <w:t xml:space="preserve"> </w:t>
      </w:r>
      <w:r w:rsidR="002205D8">
        <w:rPr>
          <w:highlight w:val="yellow"/>
        </w:rPr>
        <w:fldChar w:fldCharType="begin"/>
      </w:r>
      <w:r w:rsidR="002205D8">
        <w:instrText xml:space="preserve"> REF _Ref66452566 \r \h </w:instrText>
      </w:r>
      <w:r w:rsidR="002205D8">
        <w:rPr>
          <w:highlight w:val="yellow"/>
        </w:rPr>
      </w:r>
      <w:r w:rsidR="002205D8">
        <w:rPr>
          <w:highlight w:val="yellow"/>
        </w:rPr>
        <w:fldChar w:fldCharType="separate"/>
      </w:r>
      <w:r w:rsidR="004F49F9">
        <w:t>2.2.7.4</w:t>
      </w:r>
      <w:r w:rsidR="002205D8">
        <w:rPr>
          <w:highlight w:val="yellow"/>
        </w:rPr>
        <w:fldChar w:fldCharType="end"/>
      </w:r>
      <w:r w:rsidRPr="00B10E31">
        <w:t>), the defined interference scenarios (</w:t>
      </w:r>
      <w:r w:rsidR="009D5FA2">
        <w:t>section</w:t>
      </w:r>
      <w:r w:rsidRPr="00B10E31">
        <w:t xml:space="preserve"> </w:t>
      </w:r>
      <w:r w:rsidR="002205D8">
        <w:rPr>
          <w:highlight w:val="yellow"/>
        </w:rPr>
        <w:fldChar w:fldCharType="begin"/>
      </w:r>
      <w:r w:rsidR="002205D8">
        <w:instrText xml:space="preserve"> REF _Ref27486211 \r \h </w:instrText>
      </w:r>
      <w:r w:rsidR="002205D8">
        <w:rPr>
          <w:highlight w:val="yellow"/>
        </w:rPr>
      </w:r>
      <w:r w:rsidR="002205D8">
        <w:rPr>
          <w:highlight w:val="yellow"/>
        </w:rPr>
        <w:fldChar w:fldCharType="separate"/>
      </w:r>
      <w:r w:rsidR="004F49F9">
        <w:t>2.2.7.6</w:t>
      </w:r>
      <w:r w:rsidR="002205D8">
        <w:rPr>
          <w:highlight w:val="yellow"/>
        </w:rPr>
        <w:fldChar w:fldCharType="end"/>
      </w:r>
      <w:r w:rsidRPr="00B10E31">
        <w:t>) and the protection requirements for FS (</w:t>
      </w:r>
      <w:r w:rsidR="009D5FA2">
        <w:t>section</w:t>
      </w:r>
      <w:r w:rsidRPr="00B10E31">
        <w:t xml:space="preserve"> </w:t>
      </w:r>
      <w:r w:rsidR="002205D8">
        <w:rPr>
          <w:highlight w:val="yellow"/>
        </w:rPr>
        <w:fldChar w:fldCharType="begin"/>
      </w:r>
      <w:r w:rsidR="002205D8">
        <w:instrText xml:space="preserve"> REF _Ref67057560 \r \h </w:instrText>
      </w:r>
      <w:r w:rsidR="002205D8">
        <w:rPr>
          <w:highlight w:val="yellow"/>
        </w:rPr>
      </w:r>
      <w:r w:rsidR="002205D8">
        <w:rPr>
          <w:highlight w:val="yellow"/>
        </w:rPr>
        <w:fldChar w:fldCharType="separate"/>
      </w:r>
      <w:r w:rsidR="004F49F9">
        <w:t>3.5.3</w:t>
      </w:r>
      <w:r w:rsidR="002205D8">
        <w:rPr>
          <w:highlight w:val="yellow"/>
        </w:rPr>
        <w:fldChar w:fldCharType="end"/>
      </w:r>
      <w:r w:rsidRPr="00B10E31">
        <w:t xml:space="preserve">). The exact calculations can be found in an Excel-spreadsheet which is attached to this </w:t>
      </w:r>
      <w:hyperlink r:id="rId162" w:history="1">
        <w:r w:rsidR="00C70410">
          <w:rPr>
            <w:rStyle w:val="Hyperlink"/>
          </w:rPr>
          <w:t>Report</w:t>
        </w:r>
      </w:hyperlink>
      <w:r w:rsidRPr="00B10E31">
        <w:t>.</w:t>
      </w:r>
    </w:p>
    <w:p w14:paraId="2D83C3C5" w14:textId="16421A04" w:rsidR="00FE3CC3" w:rsidRPr="00B10E31" w:rsidRDefault="00FE3CC3" w:rsidP="00FE3CC3">
      <w:r w:rsidRPr="00B10E31">
        <w:t>The following technical parameters of the TLPR application (</w:t>
      </w:r>
      <w:r w:rsidR="009D5FA2">
        <w:t>section</w:t>
      </w:r>
      <w:r w:rsidRPr="00B10E31">
        <w:t xml:space="preserve"> </w:t>
      </w:r>
      <w:r w:rsidR="002205D8" w:rsidRPr="002205D8">
        <w:rPr>
          <w:highlight w:val="yellow"/>
        </w:rPr>
        <w:fldChar w:fldCharType="begin"/>
      </w:r>
      <w:r w:rsidR="002205D8" w:rsidRPr="002205D8">
        <w:instrText xml:space="preserve"> REF _Ref66452573 \r \h </w:instrText>
      </w:r>
      <w:r w:rsidR="002205D8" w:rsidRPr="002205D8">
        <w:rPr>
          <w:highlight w:val="yellow"/>
        </w:rPr>
      </w:r>
      <w:r w:rsidR="002205D8" w:rsidRPr="002205D8">
        <w:rPr>
          <w:highlight w:val="yellow"/>
        </w:rPr>
        <w:fldChar w:fldCharType="separate"/>
      </w:r>
      <w:r w:rsidR="004F49F9">
        <w:t>2.2.7.3</w:t>
      </w:r>
      <w:r w:rsidR="002205D8" w:rsidRPr="002205D8">
        <w:rPr>
          <w:highlight w:val="yellow"/>
        </w:rPr>
        <w:fldChar w:fldCharType="end"/>
      </w:r>
      <w:r w:rsidRPr="00B10E31">
        <w:t>) have been used in the studies in the different frequency ranges.</w:t>
      </w:r>
    </w:p>
    <w:p w14:paraId="32FA2FE3" w14:textId="201B7EB1" w:rsidR="00FE3CC3" w:rsidRDefault="002205D8" w:rsidP="00FE3CC3">
      <w:pPr>
        <w:pStyle w:val="Caption"/>
        <w:rPr>
          <w:rStyle w:val="ECCParagraph"/>
        </w:rPr>
      </w:pPr>
      <w:r w:rsidRPr="002205D8">
        <w:t>Table </w:t>
      </w:r>
      <w:r>
        <w:fldChar w:fldCharType="begin"/>
      </w:r>
      <w:r>
        <w:instrText>SEQ Table \* ARABIC</w:instrText>
      </w:r>
      <w:r>
        <w:fldChar w:fldCharType="separate"/>
      </w:r>
      <w:r w:rsidR="004F49F9">
        <w:rPr>
          <w:noProof/>
        </w:rPr>
        <w:t>79</w:t>
      </w:r>
      <w:r>
        <w:fldChar w:fldCharType="end"/>
      </w:r>
      <w:r w:rsidR="00FE3CC3" w:rsidRPr="00FE3CC3">
        <w:t>: Technical parameters of TLPR used for the conducted studies in the different frequency bands</w:t>
      </w:r>
    </w:p>
    <w:tbl>
      <w:tblPr>
        <w:tblStyle w:val="ECCTable-redheader"/>
        <w:tblW w:w="9491" w:type="dxa"/>
        <w:tblInd w:w="0" w:type="dxa"/>
        <w:tblLook w:val="04A0" w:firstRow="1" w:lastRow="0" w:firstColumn="1" w:lastColumn="0" w:noHBand="0" w:noVBand="1"/>
      </w:tblPr>
      <w:tblGrid>
        <w:gridCol w:w="1805"/>
        <w:gridCol w:w="1548"/>
        <w:gridCol w:w="1454"/>
        <w:gridCol w:w="1750"/>
        <w:gridCol w:w="1329"/>
        <w:gridCol w:w="1605"/>
      </w:tblGrid>
      <w:tr w:rsidR="00C943B8" w:rsidRPr="00566944" w14:paraId="18EFD780" w14:textId="77777777" w:rsidTr="00DC5B6D">
        <w:trPr>
          <w:cnfStyle w:val="100000000000" w:firstRow="1" w:lastRow="0" w:firstColumn="0" w:lastColumn="0" w:oddVBand="0" w:evenVBand="0" w:oddHBand="0" w:evenHBand="0" w:firstRowFirstColumn="0" w:firstRowLastColumn="0" w:lastRowFirstColumn="0" w:lastRowLastColumn="0"/>
        </w:trPr>
        <w:tc>
          <w:tcPr>
            <w:tcW w:w="1805" w:type="dxa"/>
          </w:tcPr>
          <w:p w14:paraId="430BF0B4" w14:textId="77777777" w:rsidR="00C943B8" w:rsidRPr="00C943B8" w:rsidRDefault="00C943B8" w:rsidP="00876039">
            <w:pPr>
              <w:pStyle w:val="ECCTableHeaderwhitefont"/>
            </w:pPr>
            <w:r w:rsidRPr="00C943B8">
              <w:t>Investigated frequency range</w:t>
            </w:r>
          </w:p>
        </w:tc>
        <w:tc>
          <w:tcPr>
            <w:tcW w:w="1548" w:type="dxa"/>
          </w:tcPr>
          <w:p w14:paraId="3C1E100B" w14:textId="77777777" w:rsidR="00C943B8" w:rsidRPr="00C943B8" w:rsidRDefault="00C943B8" w:rsidP="000A69BD">
            <w:pPr>
              <w:pStyle w:val="ECCTableHeaderwhitefont"/>
            </w:pPr>
            <w:r w:rsidRPr="00C943B8">
              <w:t>Modulation bandwidth</w:t>
            </w:r>
          </w:p>
        </w:tc>
        <w:tc>
          <w:tcPr>
            <w:tcW w:w="1454" w:type="dxa"/>
          </w:tcPr>
          <w:p w14:paraId="685A49FD" w14:textId="77777777" w:rsidR="00C943B8" w:rsidRPr="00C943B8" w:rsidRDefault="00C943B8" w:rsidP="000A69BD">
            <w:pPr>
              <w:pStyle w:val="ECCTableHeaderwhitefont"/>
            </w:pPr>
            <w:r w:rsidRPr="00C943B8">
              <w:t>Duty cycle</w:t>
            </w:r>
          </w:p>
        </w:tc>
        <w:tc>
          <w:tcPr>
            <w:tcW w:w="1750" w:type="dxa"/>
          </w:tcPr>
          <w:p w14:paraId="6AD56080" w14:textId="77777777" w:rsidR="00C943B8" w:rsidRPr="00C943B8" w:rsidRDefault="00C943B8" w:rsidP="000A69BD">
            <w:pPr>
              <w:pStyle w:val="ECCTableHeaderwhitefont"/>
            </w:pPr>
            <w:r w:rsidRPr="00C943B8">
              <w:t xml:space="preserve">Mean e.i.r.p. spectral density </w:t>
            </w:r>
          </w:p>
        </w:tc>
        <w:tc>
          <w:tcPr>
            <w:tcW w:w="1329" w:type="dxa"/>
          </w:tcPr>
          <w:p w14:paraId="16E3F66E" w14:textId="77777777" w:rsidR="00C943B8" w:rsidRPr="00C943B8" w:rsidRDefault="00C943B8" w:rsidP="000A69BD">
            <w:pPr>
              <w:pStyle w:val="ECCTableHeaderwhitefont"/>
            </w:pPr>
            <w:r w:rsidRPr="00C943B8">
              <w:t>Peak e.i.r.p.</w:t>
            </w:r>
          </w:p>
        </w:tc>
        <w:tc>
          <w:tcPr>
            <w:tcW w:w="1605" w:type="dxa"/>
          </w:tcPr>
          <w:p w14:paraId="42718B0A" w14:textId="77777777" w:rsidR="00C943B8" w:rsidRPr="00C943B8" w:rsidRDefault="00C943B8" w:rsidP="000A69BD">
            <w:pPr>
              <w:pStyle w:val="ECCTableHeaderwhitefont"/>
            </w:pPr>
            <w:r w:rsidRPr="00C943B8">
              <w:t>OOB attenuation (Note 1)</w:t>
            </w:r>
          </w:p>
        </w:tc>
      </w:tr>
      <w:tr w:rsidR="00DC5B6D" w:rsidRPr="00C53FB5" w14:paraId="371E7E55" w14:textId="77777777" w:rsidTr="00DC5B6D">
        <w:tc>
          <w:tcPr>
            <w:tcW w:w="1805" w:type="dxa"/>
          </w:tcPr>
          <w:p w14:paraId="442B0D4F" w14:textId="77777777" w:rsidR="00DC5B6D" w:rsidRPr="00DC5B6D" w:rsidRDefault="00DC5B6D" w:rsidP="000A69BD">
            <w:pPr>
              <w:pStyle w:val="ECCTabletext"/>
              <w:jc w:val="left"/>
            </w:pPr>
            <w:r w:rsidRPr="00C53FB5">
              <w:t xml:space="preserve">116 to </w:t>
            </w:r>
            <w:r w:rsidRPr="00DC5B6D">
              <w:t>148</w:t>
            </w:r>
            <w:r w:rsidR="00CF4994">
              <w:t>.5</w:t>
            </w:r>
            <w:r w:rsidRPr="00DC5B6D">
              <w:t> GHz</w:t>
            </w:r>
          </w:p>
        </w:tc>
        <w:tc>
          <w:tcPr>
            <w:tcW w:w="1548" w:type="dxa"/>
            <w:shd w:val="clear" w:color="auto" w:fill="auto"/>
          </w:tcPr>
          <w:p w14:paraId="42AA784D" w14:textId="77777777" w:rsidR="00DC5B6D" w:rsidRPr="00DC5B6D" w:rsidRDefault="00DC5B6D" w:rsidP="000A69BD">
            <w:pPr>
              <w:pStyle w:val="ECCTabletext"/>
              <w:jc w:val="left"/>
            </w:pPr>
            <w:r w:rsidRPr="00E7470D">
              <w:t>1 GHz</w:t>
            </w:r>
          </w:p>
        </w:tc>
        <w:tc>
          <w:tcPr>
            <w:tcW w:w="1454" w:type="dxa"/>
            <w:shd w:val="clear" w:color="auto" w:fill="auto"/>
          </w:tcPr>
          <w:p w14:paraId="20D5EB54" w14:textId="587770D6" w:rsidR="00DC5B6D" w:rsidRPr="00DC5B6D" w:rsidRDefault="00B74852" w:rsidP="000A69BD">
            <w:pPr>
              <w:pStyle w:val="ECCTabletext"/>
              <w:jc w:val="left"/>
            </w:pPr>
            <w:r>
              <w:t>100</w:t>
            </w:r>
            <w:r w:rsidR="00F800A2">
              <w:t>%</w:t>
            </w:r>
          </w:p>
        </w:tc>
        <w:tc>
          <w:tcPr>
            <w:tcW w:w="1750" w:type="dxa"/>
            <w:shd w:val="clear" w:color="auto" w:fill="auto"/>
          </w:tcPr>
          <w:p w14:paraId="49B1C8B0" w14:textId="77777777" w:rsidR="00DC5B6D" w:rsidRPr="00DC5B6D" w:rsidRDefault="00DC5B6D" w:rsidP="000A69BD">
            <w:pPr>
              <w:pStyle w:val="ECCTabletext"/>
              <w:jc w:val="left"/>
              <w:rPr>
                <w:highlight w:val="yellow"/>
              </w:rPr>
            </w:pPr>
            <w:r w:rsidRPr="00B074F0">
              <w:t>12 dBm/MHz</w:t>
            </w:r>
          </w:p>
        </w:tc>
        <w:tc>
          <w:tcPr>
            <w:tcW w:w="1329" w:type="dxa"/>
            <w:shd w:val="clear" w:color="auto" w:fill="auto"/>
          </w:tcPr>
          <w:p w14:paraId="446CD33E" w14:textId="77777777" w:rsidR="00DC5B6D" w:rsidRPr="00DC5B6D" w:rsidRDefault="00DC5B6D" w:rsidP="000A69BD">
            <w:pPr>
              <w:pStyle w:val="ECCTabletext"/>
              <w:jc w:val="left"/>
            </w:pPr>
            <w:r w:rsidRPr="006A16BF">
              <w:t>42</w:t>
            </w:r>
            <w:r w:rsidRPr="00DC5B6D">
              <w:t> dBm</w:t>
            </w:r>
          </w:p>
        </w:tc>
        <w:tc>
          <w:tcPr>
            <w:tcW w:w="1605" w:type="dxa"/>
          </w:tcPr>
          <w:p w14:paraId="1DF0BA0E" w14:textId="77777777" w:rsidR="00DC5B6D" w:rsidRPr="00DC5B6D" w:rsidRDefault="00DC5B6D" w:rsidP="000A69BD">
            <w:pPr>
              <w:pStyle w:val="ECCTabletext"/>
              <w:jc w:val="left"/>
            </w:pPr>
            <w:r w:rsidRPr="00497690">
              <w:t>20</w:t>
            </w:r>
            <w:r w:rsidRPr="00DC5B6D">
              <w:t> dB</w:t>
            </w:r>
          </w:p>
        </w:tc>
      </w:tr>
      <w:tr w:rsidR="00DC5B6D" w:rsidRPr="00C53FB5" w14:paraId="6898866E" w14:textId="77777777" w:rsidTr="00DC5B6D">
        <w:tc>
          <w:tcPr>
            <w:tcW w:w="1805" w:type="dxa"/>
          </w:tcPr>
          <w:p w14:paraId="27E15527" w14:textId="77777777" w:rsidR="00DC5B6D" w:rsidRPr="00DC5B6D" w:rsidRDefault="00DC5B6D" w:rsidP="000A69BD">
            <w:pPr>
              <w:pStyle w:val="ECCTabletext"/>
              <w:jc w:val="left"/>
            </w:pPr>
            <w:r w:rsidRPr="00C53FB5">
              <w:t>1</w:t>
            </w:r>
            <w:r w:rsidRPr="00DC5B6D">
              <w:t>67 to 182 GHz</w:t>
            </w:r>
          </w:p>
        </w:tc>
        <w:tc>
          <w:tcPr>
            <w:tcW w:w="1548" w:type="dxa"/>
            <w:shd w:val="clear" w:color="auto" w:fill="auto"/>
          </w:tcPr>
          <w:p w14:paraId="0A8C7D95" w14:textId="77777777" w:rsidR="00DC5B6D" w:rsidRPr="00DC5B6D" w:rsidRDefault="00DC5B6D" w:rsidP="000A69BD">
            <w:pPr>
              <w:pStyle w:val="ECCTabletext"/>
              <w:jc w:val="left"/>
            </w:pPr>
            <w:r w:rsidRPr="00E7470D">
              <w:t>1 GHz</w:t>
            </w:r>
          </w:p>
        </w:tc>
        <w:tc>
          <w:tcPr>
            <w:tcW w:w="1454" w:type="dxa"/>
            <w:shd w:val="clear" w:color="auto" w:fill="auto"/>
          </w:tcPr>
          <w:p w14:paraId="4ABA6A63" w14:textId="7930A611" w:rsidR="00DC5B6D" w:rsidRPr="00DC5B6D" w:rsidRDefault="00B74852" w:rsidP="000A69BD">
            <w:pPr>
              <w:pStyle w:val="ECCTabletext"/>
              <w:jc w:val="left"/>
            </w:pPr>
            <w:r>
              <w:t>100</w:t>
            </w:r>
            <w:r w:rsidR="00F800A2">
              <w:t>%</w:t>
            </w:r>
          </w:p>
        </w:tc>
        <w:tc>
          <w:tcPr>
            <w:tcW w:w="1750" w:type="dxa"/>
            <w:shd w:val="clear" w:color="auto" w:fill="auto"/>
          </w:tcPr>
          <w:p w14:paraId="6C9026B6" w14:textId="77777777" w:rsidR="00DC5B6D" w:rsidRPr="00DC5B6D" w:rsidRDefault="00B74852" w:rsidP="000A69BD">
            <w:pPr>
              <w:pStyle w:val="ECCTabletext"/>
              <w:jc w:val="left"/>
            </w:pPr>
            <w:r>
              <w:t>12</w:t>
            </w:r>
            <w:r w:rsidR="00DC5B6D" w:rsidRPr="00B31C94">
              <w:t> dBm/MHz</w:t>
            </w:r>
          </w:p>
        </w:tc>
        <w:tc>
          <w:tcPr>
            <w:tcW w:w="1329" w:type="dxa"/>
            <w:shd w:val="clear" w:color="auto" w:fill="auto"/>
          </w:tcPr>
          <w:p w14:paraId="712A10A5" w14:textId="77777777" w:rsidR="00DC5B6D" w:rsidRPr="00DC5B6D" w:rsidRDefault="00DC5B6D" w:rsidP="000A69BD">
            <w:pPr>
              <w:pStyle w:val="ECCTabletext"/>
              <w:jc w:val="left"/>
            </w:pPr>
            <w:r w:rsidRPr="006A16BF">
              <w:t>4</w:t>
            </w:r>
            <w:r w:rsidR="00B74852">
              <w:t>2</w:t>
            </w:r>
            <w:r w:rsidRPr="00DC5B6D">
              <w:t> dBm</w:t>
            </w:r>
          </w:p>
        </w:tc>
        <w:tc>
          <w:tcPr>
            <w:tcW w:w="1605" w:type="dxa"/>
          </w:tcPr>
          <w:p w14:paraId="75CD85F2" w14:textId="77777777" w:rsidR="00DC5B6D" w:rsidRPr="00DC5B6D" w:rsidRDefault="00DC5B6D" w:rsidP="000A69BD">
            <w:pPr>
              <w:pStyle w:val="ECCTabletext"/>
              <w:jc w:val="left"/>
            </w:pPr>
            <w:r w:rsidRPr="00497690">
              <w:t>20 dB</w:t>
            </w:r>
          </w:p>
        </w:tc>
      </w:tr>
      <w:tr w:rsidR="00200700" w:rsidRPr="00C53FB5" w14:paraId="053494BC" w14:textId="77777777" w:rsidTr="00200700">
        <w:tc>
          <w:tcPr>
            <w:tcW w:w="9491" w:type="dxa"/>
            <w:gridSpan w:val="6"/>
          </w:tcPr>
          <w:p w14:paraId="3E6A0AFE" w14:textId="77777777" w:rsidR="00200700" w:rsidRPr="00497690" w:rsidRDefault="00200700" w:rsidP="00464AE0">
            <w:pPr>
              <w:pStyle w:val="ECCTablenote"/>
            </w:pPr>
            <w:r w:rsidRPr="00DC5B6D">
              <w:t>Note 1:</w:t>
            </w:r>
            <w:r w:rsidRPr="00200700">
              <w:t xml:space="preserve"> Assumed out-of-band attenuation of the TLPR-signal in adjacent bands allocated to FS.</w:t>
            </w:r>
          </w:p>
        </w:tc>
      </w:tr>
    </w:tbl>
    <w:p w14:paraId="4D3A9756" w14:textId="77777777" w:rsidR="00FE3CC3" w:rsidRDefault="00FE3CC3" w:rsidP="00FE3CC3">
      <w:pPr>
        <w:pStyle w:val="Heading3"/>
      </w:pPr>
      <w:bookmarkStart w:id="678" w:name="_Ref67389860"/>
      <w:bookmarkStart w:id="679" w:name="_Toc84325397"/>
      <w:bookmarkStart w:id="680" w:name="_Toc127346319"/>
      <w:r>
        <w:t>Results</w:t>
      </w:r>
      <w:bookmarkEnd w:id="678"/>
      <w:bookmarkEnd w:id="679"/>
      <w:bookmarkEnd w:id="680"/>
    </w:p>
    <w:p w14:paraId="5BCC8A11" w14:textId="7DD05E0A" w:rsidR="00FE3CC3" w:rsidRPr="00B10E31" w:rsidRDefault="002205D8" w:rsidP="00FE3CC3">
      <w:r>
        <w:fldChar w:fldCharType="begin"/>
      </w:r>
      <w:r>
        <w:instrText xml:space="preserve"> REF _Ref67057674 \h </w:instrText>
      </w:r>
      <w:r>
        <w:fldChar w:fldCharType="separate"/>
      </w:r>
      <w:r w:rsidR="0041125F" w:rsidRPr="002205D8">
        <w:t>Table </w:t>
      </w:r>
      <w:r w:rsidR="0041125F">
        <w:rPr>
          <w:noProof/>
        </w:rPr>
        <w:t>80</w:t>
      </w:r>
      <w:r>
        <w:fldChar w:fldCharType="end"/>
      </w:r>
      <w:r>
        <w:t xml:space="preserve"> </w:t>
      </w:r>
      <w:r w:rsidR="00FE3CC3" w:rsidRPr="00B10E31">
        <w:t>shows the single-entry wo</w:t>
      </w:r>
      <w:r w:rsidR="00207F88">
        <w:t>r</w:t>
      </w:r>
      <w:r w:rsidR="00FE3CC3" w:rsidRPr="00B10E31">
        <w:t>st-case results for tank level probing radar, e.g. the largest separation distances for the individual frequency ranges, and FS victim receivers distinguished between the long</w:t>
      </w:r>
      <w:r w:rsidR="00955330">
        <w:t>-</w:t>
      </w:r>
      <w:r w:rsidR="00FE3CC3" w:rsidRPr="00B10E31">
        <w:t>term objective and the peak power objective.</w:t>
      </w:r>
    </w:p>
    <w:p w14:paraId="50D9A77C" w14:textId="3C9D1566" w:rsidR="00FE3CC3" w:rsidRPr="00FE3CC3" w:rsidRDefault="002205D8" w:rsidP="00506913">
      <w:pPr>
        <w:pStyle w:val="Caption"/>
      </w:pPr>
      <w:bookmarkStart w:id="681" w:name="_Ref67057674"/>
      <w:r w:rsidRPr="002205D8">
        <w:t>Table </w:t>
      </w:r>
      <w:r>
        <w:fldChar w:fldCharType="begin"/>
      </w:r>
      <w:r>
        <w:instrText>SEQ Table \* ARABIC</w:instrText>
      </w:r>
      <w:r>
        <w:fldChar w:fldCharType="separate"/>
      </w:r>
      <w:r w:rsidR="004F49F9">
        <w:rPr>
          <w:noProof/>
        </w:rPr>
        <w:t>80</w:t>
      </w:r>
      <w:r>
        <w:fldChar w:fldCharType="end"/>
      </w:r>
      <w:bookmarkEnd w:id="681"/>
      <w:r w:rsidR="00FE3CC3" w:rsidRPr="00FE3CC3">
        <w:t>: Required separation distances determined in</w:t>
      </w:r>
      <w:r w:rsidR="00506913">
        <w:t xml:space="preserve"> a single-entry study for TLPR</w:t>
      </w:r>
    </w:p>
    <w:tbl>
      <w:tblPr>
        <w:tblStyle w:val="ECCTable-redheader"/>
        <w:tblW w:w="0" w:type="auto"/>
        <w:tblInd w:w="0" w:type="dxa"/>
        <w:tblLook w:val="04A0" w:firstRow="1" w:lastRow="0" w:firstColumn="1" w:lastColumn="0" w:noHBand="0" w:noVBand="1"/>
      </w:tblPr>
      <w:tblGrid>
        <w:gridCol w:w="1838"/>
        <w:gridCol w:w="1843"/>
        <w:gridCol w:w="1559"/>
        <w:gridCol w:w="1559"/>
        <w:gridCol w:w="1418"/>
        <w:gridCol w:w="1412"/>
      </w:tblGrid>
      <w:tr w:rsidR="00FE3CC3" w14:paraId="351F956A" w14:textId="77777777" w:rsidTr="00FB07D5">
        <w:trPr>
          <w:cnfStyle w:val="100000000000" w:firstRow="1" w:lastRow="0" w:firstColumn="0" w:lastColumn="0" w:oddVBand="0" w:evenVBand="0" w:oddHBand="0" w:evenHBand="0" w:firstRowFirstColumn="0" w:firstRowLastColumn="0" w:lastRowFirstColumn="0" w:lastRowLastColumn="0"/>
        </w:trPr>
        <w:tc>
          <w:tcPr>
            <w:tcW w:w="1838" w:type="dxa"/>
            <w:vMerge w:val="restart"/>
            <w:tcBorders>
              <w:top w:val="single" w:sz="4" w:space="0" w:color="FFFFFF" w:themeColor="background1"/>
            </w:tcBorders>
          </w:tcPr>
          <w:p w14:paraId="48FB1CCF" w14:textId="77777777" w:rsidR="00FE3CC3" w:rsidRPr="00FE3CC3" w:rsidRDefault="00FE3CC3" w:rsidP="00876039">
            <w:pPr>
              <w:pStyle w:val="ECCTableHeaderwhitefont"/>
            </w:pPr>
            <w:r w:rsidRPr="00213B63">
              <w:t>Investigated Frequency range</w:t>
            </w:r>
          </w:p>
        </w:tc>
        <w:tc>
          <w:tcPr>
            <w:tcW w:w="1843" w:type="dxa"/>
            <w:vMerge w:val="restart"/>
            <w:tcBorders>
              <w:top w:val="single" w:sz="4" w:space="0" w:color="FFFFFF" w:themeColor="background1"/>
            </w:tcBorders>
          </w:tcPr>
          <w:p w14:paraId="648D0617" w14:textId="77777777" w:rsidR="00FE3CC3" w:rsidRPr="00FE3CC3" w:rsidRDefault="00FE3CC3" w:rsidP="00755979">
            <w:pPr>
              <w:pStyle w:val="ECCTableHeaderwhitefont"/>
            </w:pPr>
            <w:r w:rsidRPr="00213B63">
              <w:t xml:space="preserve">Allocated band for </w:t>
            </w:r>
            <w:r w:rsidRPr="00FE3CC3">
              <w:t>FS</w:t>
            </w:r>
          </w:p>
        </w:tc>
        <w:tc>
          <w:tcPr>
            <w:tcW w:w="3118" w:type="dxa"/>
            <w:gridSpan w:val="2"/>
            <w:tcBorders>
              <w:top w:val="single" w:sz="4" w:space="0" w:color="FFFFFF" w:themeColor="background1"/>
              <w:bottom w:val="single" w:sz="4" w:space="0" w:color="FFFFFF" w:themeColor="background1"/>
            </w:tcBorders>
          </w:tcPr>
          <w:p w14:paraId="112F98D8" w14:textId="77777777" w:rsidR="00FE3CC3" w:rsidRPr="00FE3CC3" w:rsidRDefault="00FE3CC3" w:rsidP="00755979">
            <w:pPr>
              <w:pStyle w:val="ECCTableHeaderwhitefont"/>
            </w:pPr>
            <w:r w:rsidRPr="00B10E31">
              <w:t>Required</w:t>
            </w:r>
            <w:r w:rsidRPr="00FE3CC3">
              <w:t xml:space="preserve"> separation distance for scenario 1</w:t>
            </w:r>
          </w:p>
        </w:tc>
        <w:tc>
          <w:tcPr>
            <w:tcW w:w="2830" w:type="dxa"/>
            <w:gridSpan w:val="2"/>
            <w:tcBorders>
              <w:top w:val="single" w:sz="4" w:space="0" w:color="FFFFFF" w:themeColor="background1"/>
              <w:bottom w:val="single" w:sz="4" w:space="0" w:color="FFFFFF" w:themeColor="background1"/>
            </w:tcBorders>
          </w:tcPr>
          <w:p w14:paraId="6A074CF0" w14:textId="77777777" w:rsidR="00FE3CC3" w:rsidRPr="00FE3CC3" w:rsidRDefault="00FE3CC3" w:rsidP="00755979">
            <w:pPr>
              <w:pStyle w:val="ECCTableHeaderwhitefont"/>
            </w:pPr>
            <w:r w:rsidRPr="00B10E31">
              <w:t>Required</w:t>
            </w:r>
            <w:r w:rsidRPr="00FE3CC3">
              <w:t xml:space="preserve"> separation distance for scenario 2</w:t>
            </w:r>
          </w:p>
        </w:tc>
      </w:tr>
      <w:tr w:rsidR="00002352" w14:paraId="14AA5D89" w14:textId="77777777" w:rsidTr="00FB07D5">
        <w:tc>
          <w:tcPr>
            <w:tcW w:w="1838" w:type="dxa"/>
            <w:vMerge/>
            <w:tcBorders>
              <w:right w:val="single" w:sz="4" w:space="0" w:color="FFFFFF" w:themeColor="background1"/>
            </w:tcBorders>
          </w:tcPr>
          <w:p w14:paraId="17B3D183" w14:textId="77777777" w:rsidR="00002352" w:rsidRPr="00213B63" w:rsidRDefault="00002352" w:rsidP="00002352">
            <w:pPr>
              <w:pStyle w:val="ECCTableHeaderwhitefont"/>
            </w:pPr>
          </w:p>
        </w:tc>
        <w:tc>
          <w:tcPr>
            <w:tcW w:w="1843" w:type="dxa"/>
            <w:vMerge/>
            <w:tcBorders>
              <w:left w:val="single" w:sz="4" w:space="0" w:color="FFFFFF" w:themeColor="background1"/>
              <w:right w:val="single" w:sz="4" w:space="0" w:color="FFFFFF" w:themeColor="background1"/>
            </w:tcBorders>
          </w:tcPr>
          <w:p w14:paraId="6879456F" w14:textId="77777777" w:rsidR="00002352" w:rsidRPr="00213B63" w:rsidRDefault="00002352" w:rsidP="00002352">
            <w:pPr>
              <w:pStyle w:val="ECCTableHeaderwhitefont"/>
            </w:pP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F69B208" w14:textId="322C2E8F" w:rsidR="00002352" w:rsidRPr="00310D32" w:rsidRDefault="00002352" w:rsidP="00880FB3">
            <w:pPr>
              <w:pStyle w:val="ECCTableHeaderwhitefont"/>
              <w:spacing w:after="120"/>
              <w:rPr>
                <w:b/>
                <w:bCs w:val="0"/>
              </w:rPr>
            </w:pPr>
            <w:r w:rsidRPr="00310D32">
              <w:rPr>
                <w:b/>
                <w:bCs w:val="0"/>
              </w:rPr>
              <w:t>Long</w:t>
            </w:r>
            <w:r w:rsidR="00880FB3">
              <w:rPr>
                <w:b/>
                <w:bCs w:val="0"/>
              </w:rPr>
              <w:t>-</w:t>
            </w:r>
            <w:r w:rsidRPr="00310D32">
              <w:rPr>
                <w:b/>
                <w:bCs w:val="0"/>
              </w:rPr>
              <w:t>term objective</w:t>
            </w: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64DF964D" w14:textId="6402FA7D" w:rsidR="00002352" w:rsidRPr="00310D32" w:rsidRDefault="00002352" w:rsidP="00880FB3">
            <w:pPr>
              <w:pStyle w:val="ECCTableHeaderwhitefont"/>
              <w:spacing w:after="120"/>
              <w:rPr>
                <w:b/>
                <w:bCs w:val="0"/>
              </w:rPr>
            </w:pPr>
            <w:r w:rsidRPr="00310D32">
              <w:rPr>
                <w:b/>
                <w:bCs w:val="0"/>
              </w:rPr>
              <w:t>Peak</w:t>
            </w:r>
            <w:r w:rsidR="00880FB3">
              <w:rPr>
                <w:b/>
                <w:bCs w:val="0"/>
              </w:rPr>
              <w:t>-</w:t>
            </w:r>
            <w:r w:rsidRPr="00310D32">
              <w:rPr>
                <w:b/>
                <w:bCs w:val="0"/>
              </w:rPr>
              <w:t>power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095E70E" w14:textId="615085BE" w:rsidR="00002352" w:rsidRPr="00310D32" w:rsidRDefault="00002352" w:rsidP="00880FB3">
            <w:pPr>
              <w:pStyle w:val="ECCTableHeaderwhitefont"/>
              <w:spacing w:after="120"/>
              <w:rPr>
                <w:b/>
                <w:bCs w:val="0"/>
              </w:rPr>
            </w:pPr>
            <w:r w:rsidRPr="00310D32">
              <w:rPr>
                <w:b/>
                <w:bCs w:val="0"/>
              </w:rPr>
              <w:t>Long</w:t>
            </w:r>
            <w:r w:rsidR="00880FB3">
              <w:rPr>
                <w:b/>
                <w:bCs w:val="0"/>
              </w:rPr>
              <w:t>-</w:t>
            </w:r>
            <w:r w:rsidRPr="00310D32">
              <w:rPr>
                <w:b/>
                <w:bCs w:val="0"/>
              </w:rPr>
              <w:t>term objective</w:t>
            </w:r>
          </w:p>
        </w:tc>
        <w:tc>
          <w:tcPr>
            <w:tcW w:w="141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1CDF12F" w14:textId="6927BF49" w:rsidR="00002352" w:rsidRPr="00310D32" w:rsidRDefault="00002352" w:rsidP="00002352">
            <w:pPr>
              <w:pStyle w:val="ECCTableHeaderwhitefont"/>
              <w:rPr>
                <w:b/>
                <w:bCs w:val="0"/>
              </w:rPr>
            </w:pPr>
            <w:r w:rsidRPr="00310D32">
              <w:rPr>
                <w:b/>
                <w:bCs w:val="0"/>
              </w:rPr>
              <w:t>Peak</w:t>
            </w:r>
            <w:r w:rsidR="00880FB3">
              <w:rPr>
                <w:b/>
                <w:bCs w:val="0"/>
              </w:rPr>
              <w:t>-</w:t>
            </w:r>
            <w:r w:rsidRPr="00310D32">
              <w:rPr>
                <w:b/>
                <w:bCs w:val="0"/>
              </w:rPr>
              <w:t>power objective</w:t>
            </w:r>
          </w:p>
        </w:tc>
      </w:tr>
      <w:tr w:rsidR="00FE3CC3" w14:paraId="536B0084" w14:textId="77777777" w:rsidTr="00FB07D5">
        <w:tc>
          <w:tcPr>
            <w:tcW w:w="1838" w:type="dxa"/>
            <w:vMerge w:val="restart"/>
          </w:tcPr>
          <w:p w14:paraId="66D312DB" w14:textId="77777777" w:rsidR="00FE3CC3" w:rsidRPr="00FE3CC3" w:rsidRDefault="00FE3CC3" w:rsidP="000A69BD">
            <w:pPr>
              <w:pStyle w:val="ECCTabletext"/>
              <w:jc w:val="left"/>
            </w:pPr>
            <w:r w:rsidRPr="00913718">
              <w:t>116 to 148</w:t>
            </w:r>
            <w:r w:rsidR="00CF4994">
              <w:t>.5</w:t>
            </w:r>
            <w:r w:rsidRPr="00913718">
              <w:t> GHz</w:t>
            </w:r>
          </w:p>
        </w:tc>
        <w:tc>
          <w:tcPr>
            <w:tcW w:w="1843" w:type="dxa"/>
          </w:tcPr>
          <w:p w14:paraId="4A873D57" w14:textId="77777777" w:rsidR="00FE3CC3" w:rsidRPr="00FE3CC3" w:rsidRDefault="00FE3CC3" w:rsidP="000A69BD">
            <w:pPr>
              <w:pStyle w:val="ECCTabletext"/>
              <w:jc w:val="left"/>
            </w:pPr>
            <w:r w:rsidRPr="00913718">
              <w:t>111</w:t>
            </w:r>
            <w:r w:rsidR="00CF4994">
              <w:t>.8</w:t>
            </w:r>
            <w:r w:rsidRPr="00913718">
              <w:t xml:space="preserve"> to 114</w:t>
            </w:r>
            <w:r w:rsidR="00CF4994">
              <w:t>.2</w:t>
            </w:r>
            <w:r w:rsidRPr="00913718">
              <w:t>5 GHz</w:t>
            </w:r>
            <w:r w:rsidR="00DC5B6D">
              <w:t xml:space="preserve"> (OOB)</w:t>
            </w:r>
          </w:p>
        </w:tc>
        <w:tc>
          <w:tcPr>
            <w:tcW w:w="1559" w:type="dxa"/>
            <w:tcBorders>
              <w:top w:val="single" w:sz="4" w:space="0" w:color="D22A23"/>
            </w:tcBorders>
            <w:shd w:val="clear" w:color="auto" w:fill="auto"/>
          </w:tcPr>
          <w:p w14:paraId="41490E05" w14:textId="77777777" w:rsidR="00FE3CC3" w:rsidRPr="00FE3CC3" w:rsidRDefault="00D421AB" w:rsidP="000A69BD">
            <w:pPr>
              <w:pStyle w:val="ECCTabletext"/>
              <w:jc w:val="left"/>
            </w:pPr>
            <w:r>
              <w:t>19</w:t>
            </w:r>
            <w:r w:rsidR="00FE3CC3" w:rsidRPr="008E3475">
              <w:t> m</w:t>
            </w:r>
          </w:p>
        </w:tc>
        <w:tc>
          <w:tcPr>
            <w:tcW w:w="1559" w:type="dxa"/>
            <w:tcBorders>
              <w:top w:val="single" w:sz="4" w:space="0" w:color="D22A23"/>
            </w:tcBorders>
          </w:tcPr>
          <w:p w14:paraId="2AABA05F" w14:textId="77777777" w:rsidR="00FE3CC3" w:rsidRPr="00FE3CC3" w:rsidRDefault="00FE3CC3" w:rsidP="000A69BD">
            <w:pPr>
              <w:pStyle w:val="ECCTabletext"/>
              <w:jc w:val="left"/>
            </w:pPr>
            <w:r w:rsidRPr="008E3475">
              <w:t>1 m</w:t>
            </w:r>
          </w:p>
        </w:tc>
        <w:tc>
          <w:tcPr>
            <w:tcW w:w="1418" w:type="dxa"/>
            <w:tcBorders>
              <w:top w:val="single" w:sz="4" w:space="0" w:color="D22A23"/>
            </w:tcBorders>
          </w:tcPr>
          <w:p w14:paraId="15342C17" w14:textId="77777777" w:rsidR="00FE3CC3" w:rsidRPr="00FE3CC3" w:rsidRDefault="00D421AB" w:rsidP="000A69BD">
            <w:pPr>
              <w:pStyle w:val="ECCTabletext"/>
              <w:jc w:val="left"/>
            </w:pPr>
            <w:r>
              <w:t>2</w:t>
            </w:r>
            <w:r w:rsidR="00FE3CC3">
              <w:t> m</w:t>
            </w:r>
          </w:p>
        </w:tc>
        <w:tc>
          <w:tcPr>
            <w:tcW w:w="1412" w:type="dxa"/>
            <w:tcBorders>
              <w:top w:val="single" w:sz="4" w:space="0" w:color="D22A23"/>
            </w:tcBorders>
          </w:tcPr>
          <w:p w14:paraId="0D8C1E17" w14:textId="77777777" w:rsidR="00FE3CC3" w:rsidRPr="00FE3CC3" w:rsidRDefault="00FE3CC3" w:rsidP="000A69BD">
            <w:pPr>
              <w:pStyle w:val="ECCTabletext"/>
              <w:jc w:val="left"/>
            </w:pPr>
            <w:r>
              <w:t>0 m</w:t>
            </w:r>
          </w:p>
        </w:tc>
      </w:tr>
      <w:tr w:rsidR="00FE3CC3" w14:paraId="7B9FE17D" w14:textId="77777777" w:rsidTr="00FB07D5">
        <w:tc>
          <w:tcPr>
            <w:tcW w:w="1838" w:type="dxa"/>
            <w:vMerge/>
          </w:tcPr>
          <w:p w14:paraId="4AFFAF94" w14:textId="77777777" w:rsidR="00FE3CC3" w:rsidRPr="00913718" w:rsidRDefault="00FE3CC3" w:rsidP="00FE3CC3">
            <w:pPr>
              <w:pStyle w:val="ECCTabletext"/>
            </w:pPr>
          </w:p>
        </w:tc>
        <w:tc>
          <w:tcPr>
            <w:tcW w:w="1843" w:type="dxa"/>
          </w:tcPr>
          <w:p w14:paraId="4DFFA29F" w14:textId="77777777" w:rsidR="00FE3CC3" w:rsidRPr="00FE3CC3" w:rsidRDefault="00FE3CC3" w:rsidP="000A69BD">
            <w:pPr>
              <w:pStyle w:val="ECCTabletext"/>
              <w:jc w:val="left"/>
            </w:pPr>
            <w:r w:rsidRPr="00913718">
              <w:t>130 to 134 GHz</w:t>
            </w:r>
            <w:r w:rsidR="00DC5B6D">
              <w:t xml:space="preserve"> (In-band)</w:t>
            </w:r>
          </w:p>
        </w:tc>
        <w:tc>
          <w:tcPr>
            <w:tcW w:w="1559" w:type="dxa"/>
          </w:tcPr>
          <w:p w14:paraId="630E9024" w14:textId="77777777" w:rsidR="00FE3CC3" w:rsidRPr="00FE3CC3" w:rsidRDefault="00D421AB" w:rsidP="000A69BD">
            <w:pPr>
              <w:pStyle w:val="ECCTabletext"/>
              <w:jc w:val="left"/>
            </w:pPr>
            <w:r>
              <w:t>101</w:t>
            </w:r>
            <w:r w:rsidR="00FE3CC3" w:rsidRPr="008E3475">
              <w:t> m</w:t>
            </w:r>
          </w:p>
        </w:tc>
        <w:tc>
          <w:tcPr>
            <w:tcW w:w="1559" w:type="dxa"/>
          </w:tcPr>
          <w:p w14:paraId="40BCA1E0" w14:textId="77777777" w:rsidR="00FE3CC3" w:rsidRPr="00FE3CC3" w:rsidRDefault="00FE3CC3" w:rsidP="000A69BD">
            <w:pPr>
              <w:pStyle w:val="ECCTabletext"/>
              <w:jc w:val="left"/>
            </w:pPr>
            <w:r w:rsidRPr="008E3475">
              <w:t>6 m</w:t>
            </w:r>
          </w:p>
        </w:tc>
        <w:tc>
          <w:tcPr>
            <w:tcW w:w="1418" w:type="dxa"/>
          </w:tcPr>
          <w:p w14:paraId="1F9ADE53" w14:textId="77777777" w:rsidR="00FE3CC3" w:rsidRPr="00FE3CC3" w:rsidRDefault="00D421AB" w:rsidP="000A69BD">
            <w:pPr>
              <w:pStyle w:val="ECCTabletext"/>
              <w:jc w:val="left"/>
            </w:pPr>
            <w:r>
              <w:t>9</w:t>
            </w:r>
            <w:r w:rsidR="00FE3CC3">
              <w:t> m</w:t>
            </w:r>
          </w:p>
        </w:tc>
        <w:tc>
          <w:tcPr>
            <w:tcW w:w="1412" w:type="dxa"/>
          </w:tcPr>
          <w:p w14:paraId="134FE8BA" w14:textId="77777777" w:rsidR="00FE3CC3" w:rsidRPr="00FE3CC3" w:rsidRDefault="00FE3CC3" w:rsidP="000A69BD">
            <w:pPr>
              <w:pStyle w:val="ECCTabletext"/>
              <w:jc w:val="left"/>
            </w:pPr>
            <w:r>
              <w:t>1 m</w:t>
            </w:r>
          </w:p>
        </w:tc>
      </w:tr>
      <w:tr w:rsidR="00FE3CC3" w14:paraId="7BE9F0D9" w14:textId="77777777" w:rsidTr="00FB07D5">
        <w:tc>
          <w:tcPr>
            <w:tcW w:w="1838" w:type="dxa"/>
            <w:vMerge/>
          </w:tcPr>
          <w:p w14:paraId="3F9A61E9" w14:textId="77777777" w:rsidR="00FE3CC3" w:rsidRPr="00913718" w:rsidRDefault="00FE3CC3" w:rsidP="00FE3CC3">
            <w:pPr>
              <w:pStyle w:val="ECCTabletext"/>
            </w:pPr>
          </w:p>
        </w:tc>
        <w:tc>
          <w:tcPr>
            <w:tcW w:w="1843" w:type="dxa"/>
          </w:tcPr>
          <w:p w14:paraId="20AAF7E5" w14:textId="77777777" w:rsidR="00FE3CC3" w:rsidRPr="00FE3CC3" w:rsidRDefault="00FE3CC3" w:rsidP="000A69BD">
            <w:pPr>
              <w:pStyle w:val="ECCTabletext"/>
              <w:jc w:val="left"/>
            </w:pPr>
            <w:r>
              <w:t>141 to 148</w:t>
            </w:r>
            <w:r w:rsidR="00CF4994">
              <w:t>.5</w:t>
            </w:r>
            <w:r>
              <w:t xml:space="preserve"> GHz</w:t>
            </w:r>
            <w:r w:rsidR="00DC5B6D">
              <w:t xml:space="preserve"> (In-band)</w:t>
            </w:r>
          </w:p>
        </w:tc>
        <w:tc>
          <w:tcPr>
            <w:tcW w:w="1559" w:type="dxa"/>
          </w:tcPr>
          <w:p w14:paraId="59F4D445" w14:textId="77777777" w:rsidR="00FE3CC3" w:rsidRPr="00FE3CC3" w:rsidRDefault="00D421AB" w:rsidP="000A69BD">
            <w:pPr>
              <w:pStyle w:val="ECCTabletext"/>
              <w:jc w:val="left"/>
            </w:pPr>
            <w:r>
              <w:t>79</w:t>
            </w:r>
            <w:r w:rsidR="00FE3CC3" w:rsidRPr="008E3475">
              <w:t> m</w:t>
            </w:r>
          </w:p>
        </w:tc>
        <w:tc>
          <w:tcPr>
            <w:tcW w:w="1559" w:type="dxa"/>
          </w:tcPr>
          <w:p w14:paraId="2080513B" w14:textId="77777777" w:rsidR="00FE3CC3" w:rsidRPr="00FE3CC3" w:rsidRDefault="00FE3CC3" w:rsidP="000A69BD">
            <w:pPr>
              <w:pStyle w:val="ECCTabletext"/>
              <w:jc w:val="left"/>
            </w:pPr>
            <w:r w:rsidRPr="008E3475">
              <w:t>4 m</w:t>
            </w:r>
          </w:p>
        </w:tc>
        <w:tc>
          <w:tcPr>
            <w:tcW w:w="1418" w:type="dxa"/>
          </w:tcPr>
          <w:p w14:paraId="75B90911" w14:textId="77777777" w:rsidR="00FE3CC3" w:rsidRPr="00FE3CC3" w:rsidRDefault="00D421AB" w:rsidP="000A69BD">
            <w:pPr>
              <w:pStyle w:val="ECCTabletext"/>
              <w:jc w:val="left"/>
            </w:pPr>
            <w:r>
              <w:t>7</w:t>
            </w:r>
            <w:r w:rsidR="00FE3CC3">
              <w:t> m</w:t>
            </w:r>
          </w:p>
        </w:tc>
        <w:tc>
          <w:tcPr>
            <w:tcW w:w="1412" w:type="dxa"/>
          </w:tcPr>
          <w:p w14:paraId="569DB9B3" w14:textId="77777777" w:rsidR="00FE3CC3" w:rsidRPr="00FE3CC3" w:rsidRDefault="00FE3CC3" w:rsidP="000A69BD">
            <w:pPr>
              <w:pStyle w:val="ECCTabletext"/>
              <w:jc w:val="left"/>
            </w:pPr>
            <w:r>
              <w:t>0 m</w:t>
            </w:r>
          </w:p>
        </w:tc>
      </w:tr>
      <w:tr w:rsidR="00FE3CC3" w14:paraId="62DED50C" w14:textId="77777777" w:rsidTr="00FB07D5">
        <w:tc>
          <w:tcPr>
            <w:tcW w:w="1838" w:type="dxa"/>
          </w:tcPr>
          <w:p w14:paraId="58C9B974" w14:textId="77777777" w:rsidR="00FE3CC3" w:rsidRPr="00FE3CC3" w:rsidRDefault="00FE3CC3" w:rsidP="000A69BD">
            <w:pPr>
              <w:pStyle w:val="ECCTabletext"/>
              <w:jc w:val="left"/>
            </w:pPr>
            <w:r w:rsidRPr="00913718">
              <w:t>167 to 182 GHz</w:t>
            </w:r>
          </w:p>
        </w:tc>
        <w:tc>
          <w:tcPr>
            <w:tcW w:w="1843" w:type="dxa"/>
          </w:tcPr>
          <w:p w14:paraId="4DDC8476" w14:textId="77777777" w:rsidR="00FE3CC3" w:rsidRPr="00FE3CC3" w:rsidRDefault="00FE3CC3" w:rsidP="000A69BD">
            <w:pPr>
              <w:pStyle w:val="ECCTabletext"/>
              <w:jc w:val="left"/>
            </w:pPr>
            <w:r w:rsidRPr="00913718">
              <w:t>167 to 174</w:t>
            </w:r>
            <w:r w:rsidR="00CF4994">
              <w:t>.8</w:t>
            </w:r>
            <w:r w:rsidRPr="00913718">
              <w:t> GHz</w:t>
            </w:r>
            <w:r w:rsidR="00DC5B6D">
              <w:t xml:space="preserve"> (In-band)</w:t>
            </w:r>
          </w:p>
        </w:tc>
        <w:tc>
          <w:tcPr>
            <w:tcW w:w="1559" w:type="dxa"/>
          </w:tcPr>
          <w:p w14:paraId="1FD27D3C" w14:textId="77777777" w:rsidR="00FE3CC3" w:rsidRPr="00FE3CC3" w:rsidRDefault="00D421AB" w:rsidP="000A69BD">
            <w:pPr>
              <w:pStyle w:val="ECCTabletext"/>
              <w:jc w:val="left"/>
            </w:pPr>
            <w:r>
              <w:t>50</w:t>
            </w:r>
            <w:r w:rsidR="00FE3CC3">
              <w:t> m</w:t>
            </w:r>
          </w:p>
        </w:tc>
        <w:tc>
          <w:tcPr>
            <w:tcW w:w="1559" w:type="dxa"/>
          </w:tcPr>
          <w:p w14:paraId="691B1C85" w14:textId="77777777" w:rsidR="00FE3CC3" w:rsidRPr="00FE3CC3" w:rsidRDefault="00D421AB" w:rsidP="000A69BD">
            <w:pPr>
              <w:pStyle w:val="ECCTabletext"/>
              <w:jc w:val="left"/>
            </w:pPr>
            <w:r>
              <w:t>3</w:t>
            </w:r>
            <w:r w:rsidR="00FE3CC3">
              <w:t> m</w:t>
            </w:r>
          </w:p>
        </w:tc>
        <w:tc>
          <w:tcPr>
            <w:tcW w:w="1418" w:type="dxa"/>
          </w:tcPr>
          <w:p w14:paraId="5021FD39" w14:textId="77777777" w:rsidR="00FE3CC3" w:rsidRPr="00FE3CC3" w:rsidRDefault="00D421AB" w:rsidP="000A69BD">
            <w:pPr>
              <w:pStyle w:val="ECCTabletext"/>
              <w:jc w:val="left"/>
            </w:pPr>
            <w:r>
              <w:t>5</w:t>
            </w:r>
            <w:r w:rsidR="00FE3CC3">
              <w:t> m</w:t>
            </w:r>
          </w:p>
        </w:tc>
        <w:tc>
          <w:tcPr>
            <w:tcW w:w="1412" w:type="dxa"/>
          </w:tcPr>
          <w:p w14:paraId="42FC448E" w14:textId="77777777" w:rsidR="00FE3CC3" w:rsidRPr="00FE3CC3" w:rsidRDefault="00D421AB" w:rsidP="000A69BD">
            <w:pPr>
              <w:pStyle w:val="ECCTabletext"/>
              <w:jc w:val="left"/>
            </w:pPr>
            <w:r>
              <w:t>0</w:t>
            </w:r>
            <w:r w:rsidR="00FE3CC3">
              <w:t> m</w:t>
            </w:r>
          </w:p>
        </w:tc>
      </w:tr>
    </w:tbl>
    <w:p w14:paraId="19A028EB" w14:textId="655DD47C" w:rsidR="00530C48" w:rsidRPr="00B10E31" w:rsidRDefault="00530C48" w:rsidP="00530C48">
      <w:r>
        <w:t xml:space="preserve">The conclusions drawn from these results can be found in </w:t>
      </w:r>
      <w:r w:rsidR="009D5FA2">
        <w:t>section</w:t>
      </w:r>
      <w:r>
        <w:t xml:space="preserve"> </w:t>
      </w:r>
      <w:r>
        <w:fldChar w:fldCharType="begin"/>
      </w:r>
      <w:r>
        <w:instrText xml:space="preserve"> REF _Ref67393051 \r \h </w:instrText>
      </w:r>
      <w:r>
        <w:fldChar w:fldCharType="separate"/>
      </w:r>
      <w:r w:rsidR="004F49F9">
        <w:t>8.7.3</w:t>
      </w:r>
      <w:r>
        <w:fldChar w:fldCharType="end"/>
      </w:r>
      <w:r>
        <w:t>.</w:t>
      </w:r>
    </w:p>
    <w:p w14:paraId="304E8701" w14:textId="77777777" w:rsidR="00591E62" w:rsidRPr="00591E62" w:rsidRDefault="00591E62" w:rsidP="00591E62">
      <w:pPr>
        <w:pStyle w:val="Heading2"/>
      </w:pPr>
      <w:bookmarkStart w:id="682" w:name="_Toc84325398"/>
      <w:bookmarkStart w:id="683" w:name="_Toc127346320"/>
      <w:r w:rsidRPr="00591E62">
        <w:t>Radiodetermination systems for industry automation in shielded environments (RDI-S)</w:t>
      </w:r>
      <w:bookmarkEnd w:id="682"/>
      <w:bookmarkEnd w:id="683"/>
    </w:p>
    <w:p w14:paraId="4F9DFDB7" w14:textId="77777777" w:rsidR="00591E62" w:rsidRPr="00730998" w:rsidRDefault="00591E62" w:rsidP="00591E62">
      <w:pPr>
        <w:pStyle w:val="Heading3"/>
      </w:pPr>
      <w:bookmarkStart w:id="684" w:name="_Toc84325399"/>
      <w:bookmarkStart w:id="685" w:name="_Toc127346321"/>
      <w:r w:rsidRPr="00730998">
        <w:t>Technical parameters of RDI-S</w:t>
      </w:r>
      <w:bookmarkEnd w:id="684"/>
      <w:bookmarkEnd w:id="685"/>
    </w:p>
    <w:p w14:paraId="7B1B32D6" w14:textId="03EBF852" w:rsidR="00591E62" w:rsidRPr="00B10E31" w:rsidRDefault="00591E62" w:rsidP="00591E62">
      <w:r w:rsidRPr="00B10E31">
        <w:t xml:space="preserve">For RDI-S the whole frequency range from 116 to 260 GHz has been defined (see </w:t>
      </w:r>
      <w:r w:rsidR="009D5FA2">
        <w:t>section</w:t>
      </w:r>
      <w:r w:rsidRPr="00B10E31">
        <w:t xml:space="preserve"> </w:t>
      </w:r>
      <w:r w:rsidR="00477961">
        <w:rPr>
          <w:highlight w:val="yellow"/>
        </w:rPr>
        <w:fldChar w:fldCharType="begin"/>
      </w:r>
      <w:r w:rsidR="00477961">
        <w:instrText xml:space="preserve"> REF _Ref66452766 \r \h </w:instrText>
      </w:r>
      <w:r w:rsidR="00477961">
        <w:rPr>
          <w:highlight w:val="yellow"/>
        </w:rPr>
      </w:r>
      <w:r w:rsidR="00477961">
        <w:rPr>
          <w:highlight w:val="yellow"/>
        </w:rPr>
        <w:fldChar w:fldCharType="separate"/>
      </w:r>
      <w:r w:rsidR="004F49F9">
        <w:t>2.2.8.2</w:t>
      </w:r>
      <w:r w:rsidR="00477961">
        <w:rPr>
          <w:highlight w:val="yellow"/>
        </w:rPr>
        <w:fldChar w:fldCharType="end"/>
      </w:r>
      <w:r w:rsidRPr="00B10E31">
        <w:t xml:space="preserve">). In this band several allocations for FS are affected (see </w:t>
      </w:r>
      <w:r w:rsidR="009D5FA2">
        <w:t>section</w:t>
      </w:r>
      <w:r w:rsidRPr="00B10E31">
        <w:t xml:space="preserve"> </w:t>
      </w:r>
      <w:r w:rsidR="00477961">
        <w:rPr>
          <w:highlight w:val="yellow"/>
        </w:rPr>
        <w:fldChar w:fldCharType="begin"/>
      </w:r>
      <w:r w:rsidR="00477961">
        <w:instrText xml:space="preserve"> REF _Ref66361706 \r \h </w:instrText>
      </w:r>
      <w:r w:rsidR="00477961">
        <w:rPr>
          <w:highlight w:val="yellow"/>
        </w:rPr>
      </w:r>
      <w:r w:rsidR="00477961">
        <w:rPr>
          <w:highlight w:val="yellow"/>
        </w:rPr>
        <w:fldChar w:fldCharType="separate"/>
      </w:r>
      <w:r w:rsidR="004F49F9">
        <w:t>3.3</w:t>
      </w:r>
      <w:r w:rsidR="00477961">
        <w:rPr>
          <w:highlight w:val="yellow"/>
        </w:rPr>
        <w:fldChar w:fldCharType="end"/>
      </w:r>
      <w:r w:rsidRPr="00B10E31">
        <w:t>). All these identified bands have been investigated by single-entry studies. In these studies the individually required separation distance (</w:t>
      </w:r>
      <w:r w:rsidR="009D5FA2">
        <w:t>section</w:t>
      </w:r>
      <w:r w:rsidRPr="00B10E31">
        <w:t xml:space="preserve"> </w:t>
      </w:r>
      <w:r w:rsidR="00477961">
        <w:rPr>
          <w:highlight w:val="yellow"/>
        </w:rPr>
        <w:fldChar w:fldCharType="begin"/>
      </w:r>
      <w:r w:rsidR="00477961">
        <w:instrText xml:space="preserve"> REF _Ref15293384 \r \h </w:instrText>
      </w:r>
      <w:r w:rsidR="00477961">
        <w:rPr>
          <w:highlight w:val="yellow"/>
        </w:rPr>
      </w:r>
      <w:r w:rsidR="00477961">
        <w:rPr>
          <w:highlight w:val="yellow"/>
        </w:rPr>
        <w:fldChar w:fldCharType="separate"/>
      </w:r>
      <w:r w:rsidR="004F49F9">
        <w:t>3.4.2</w:t>
      </w:r>
      <w:r w:rsidR="00477961">
        <w:rPr>
          <w:highlight w:val="yellow"/>
        </w:rPr>
        <w:fldChar w:fldCharType="end"/>
      </w:r>
      <w:r w:rsidRPr="00B10E31">
        <w:t>) is determined by means of the technical parameters (</w:t>
      </w:r>
      <w:r w:rsidR="009D5FA2">
        <w:t>section</w:t>
      </w:r>
      <w:r w:rsidRPr="00B10E31">
        <w:t xml:space="preserve"> </w:t>
      </w:r>
      <w:r w:rsidR="00477961">
        <w:rPr>
          <w:highlight w:val="yellow"/>
        </w:rPr>
        <w:fldChar w:fldCharType="begin"/>
      </w:r>
      <w:r w:rsidR="00477961">
        <w:instrText xml:space="preserve"> REF _Ref66452779 \r \h </w:instrText>
      </w:r>
      <w:r w:rsidR="00477961">
        <w:rPr>
          <w:highlight w:val="yellow"/>
        </w:rPr>
      </w:r>
      <w:r w:rsidR="00477961">
        <w:rPr>
          <w:highlight w:val="yellow"/>
        </w:rPr>
        <w:fldChar w:fldCharType="separate"/>
      </w:r>
      <w:r w:rsidR="004F49F9">
        <w:t>2.2.8.3</w:t>
      </w:r>
      <w:r w:rsidR="00477961">
        <w:rPr>
          <w:highlight w:val="yellow"/>
        </w:rPr>
        <w:fldChar w:fldCharType="end"/>
      </w:r>
      <w:r w:rsidRPr="00B10E31">
        <w:t>), the antenna data (</w:t>
      </w:r>
      <w:r w:rsidR="009D5FA2">
        <w:t>section</w:t>
      </w:r>
      <w:r w:rsidRPr="00B10E31">
        <w:t xml:space="preserve"> </w:t>
      </w:r>
      <w:r w:rsidR="00477961">
        <w:rPr>
          <w:highlight w:val="yellow"/>
        </w:rPr>
        <w:fldChar w:fldCharType="begin"/>
      </w:r>
      <w:r w:rsidR="00477961">
        <w:instrText xml:space="preserve"> REF _Ref66452804 \r \h </w:instrText>
      </w:r>
      <w:r w:rsidR="00477961">
        <w:rPr>
          <w:highlight w:val="yellow"/>
        </w:rPr>
      </w:r>
      <w:r w:rsidR="00477961">
        <w:rPr>
          <w:highlight w:val="yellow"/>
        </w:rPr>
        <w:fldChar w:fldCharType="separate"/>
      </w:r>
      <w:r w:rsidR="004F49F9">
        <w:t>2.2.8.4</w:t>
      </w:r>
      <w:r w:rsidR="00477961">
        <w:rPr>
          <w:highlight w:val="yellow"/>
        </w:rPr>
        <w:fldChar w:fldCharType="end"/>
      </w:r>
      <w:r w:rsidRPr="00B10E31">
        <w:t>), the defined interference scenarios (</w:t>
      </w:r>
      <w:r w:rsidR="009D5FA2">
        <w:t>section</w:t>
      </w:r>
      <w:r w:rsidRPr="00B10E31">
        <w:t xml:space="preserve"> </w:t>
      </w:r>
      <w:r w:rsidR="00477961">
        <w:rPr>
          <w:highlight w:val="yellow"/>
        </w:rPr>
        <w:fldChar w:fldCharType="begin"/>
      </w:r>
      <w:r w:rsidR="00477961">
        <w:instrText xml:space="preserve"> REF _Ref66452787 \r \h </w:instrText>
      </w:r>
      <w:r w:rsidR="00477961">
        <w:rPr>
          <w:highlight w:val="yellow"/>
        </w:rPr>
      </w:r>
      <w:r w:rsidR="00477961">
        <w:rPr>
          <w:highlight w:val="yellow"/>
        </w:rPr>
        <w:fldChar w:fldCharType="separate"/>
      </w:r>
      <w:r w:rsidR="004F49F9">
        <w:t>2.2.8.6</w:t>
      </w:r>
      <w:r w:rsidR="00477961">
        <w:rPr>
          <w:highlight w:val="yellow"/>
        </w:rPr>
        <w:fldChar w:fldCharType="end"/>
      </w:r>
      <w:r w:rsidRPr="00B10E31">
        <w:t>) and the protection requirements for FS (</w:t>
      </w:r>
      <w:r w:rsidR="009D5FA2">
        <w:t>section</w:t>
      </w:r>
      <w:r w:rsidRPr="00B10E31">
        <w:t xml:space="preserve"> </w:t>
      </w:r>
      <w:r w:rsidR="00477961">
        <w:rPr>
          <w:highlight w:val="yellow"/>
        </w:rPr>
        <w:fldChar w:fldCharType="begin"/>
      </w:r>
      <w:r w:rsidR="00477961">
        <w:instrText xml:space="preserve"> REF _Ref25574886 \r \h </w:instrText>
      </w:r>
      <w:r w:rsidR="00477961">
        <w:rPr>
          <w:highlight w:val="yellow"/>
        </w:rPr>
      </w:r>
      <w:r w:rsidR="00477961">
        <w:rPr>
          <w:highlight w:val="yellow"/>
        </w:rPr>
        <w:fldChar w:fldCharType="separate"/>
      </w:r>
      <w:r w:rsidR="004F49F9">
        <w:t>3.5.2</w:t>
      </w:r>
      <w:r w:rsidR="00477961">
        <w:rPr>
          <w:highlight w:val="yellow"/>
        </w:rPr>
        <w:fldChar w:fldCharType="end"/>
      </w:r>
      <w:r w:rsidRPr="00B10E31">
        <w:t xml:space="preserve">). The exact calculations can be found in an Excel-spreadsheet which is attached to this </w:t>
      </w:r>
      <w:hyperlink r:id="rId163" w:history="1">
        <w:r w:rsidR="00C70410">
          <w:rPr>
            <w:rStyle w:val="Hyperlink"/>
          </w:rPr>
          <w:t>Report</w:t>
        </w:r>
      </w:hyperlink>
      <w:r w:rsidRPr="00B10E31">
        <w:t>.</w:t>
      </w:r>
    </w:p>
    <w:p w14:paraId="5D7A4862" w14:textId="3467F6A9" w:rsidR="00591E62" w:rsidRPr="00B10E31" w:rsidRDefault="00591E62" w:rsidP="00591E62">
      <w:r w:rsidRPr="00B10E31">
        <w:t>The following technical parameters of the RDI-S application (</w:t>
      </w:r>
      <w:r w:rsidR="009D5FA2">
        <w:t>section</w:t>
      </w:r>
      <w:r w:rsidRPr="00B10E31">
        <w:t xml:space="preserve"> </w:t>
      </w:r>
      <w:r w:rsidR="00477961">
        <w:rPr>
          <w:highlight w:val="yellow"/>
        </w:rPr>
        <w:fldChar w:fldCharType="begin"/>
      </w:r>
      <w:r w:rsidR="00477961">
        <w:instrText xml:space="preserve"> REF _Ref66452779 \r \h </w:instrText>
      </w:r>
      <w:r w:rsidR="00477961">
        <w:rPr>
          <w:highlight w:val="yellow"/>
        </w:rPr>
      </w:r>
      <w:r w:rsidR="00477961">
        <w:rPr>
          <w:highlight w:val="yellow"/>
        </w:rPr>
        <w:fldChar w:fldCharType="separate"/>
      </w:r>
      <w:r w:rsidR="004F49F9">
        <w:t>2.2.8.3</w:t>
      </w:r>
      <w:r w:rsidR="00477961">
        <w:rPr>
          <w:highlight w:val="yellow"/>
        </w:rPr>
        <w:fldChar w:fldCharType="end"/>
      </w:r>
      <w:r w:rsidRPr="00B10E31">
        <w:t>) have been used in the studies in the different frequency ranges.</w:t>
      </w:r>
    </w:p>
    <w:p w14:paraId="3737AF32" w14:textId="03E042B0" w:rsidR="00591E62" w:rsidRPr="007E68AF" w:rsidRDefault="00477961" w:rsidP="00591E62">
      <w:pPr>
        <w:pStyle w:val="Caption"/>
        <w:rPr>
          <w:rStyle w:val="ECCParagraph"/>
        </w:rPr>
      </w:pPr>
      <w:r w:rsidRPr="00477961">
        <w:t>Table </w:t>
      </w:r>
      <w:r>
        <w:fldChar w:fldCharType="begin"/>
      </w:r>
      <w:r>
        <w:instrText>SEQ Table \* ARABIC</w:instrText>
      </w:r>
      <w:r>
        <w:fldChar w:fldCharType="separate"/>
      </w:r>
      <w:r w:rsidR="004F49F9">
        <w:rPr>
          <w:noProof/>
        </w:rPr>
        <w:t>81</w:t>
      </w:r>
      <w:r>
        <w:fldChar w:fldCharType="end"/>
      </w:r>
      <w:r w:rsidR="00591E62" w:rsidRPr="00591E62">
        <w:t xml:space="preserve">: Technical parameters of RDI-S used for the conducted studies at the different centre frequencies </w:t>
      </w:r>
    </w:p>
    <w:tbl>
      <w:tblPr>
        <w:tblStyle w:val="ECCTable-redheader"/>
        <w:tblW w:w="9857" w:type="dxa"/>
        <w:tblInd w:w="0" w:type="dxa"/>
        <w:tblLook w:val="04A0" w:firstRow="1" w:lastRow="0" w:firstColumn="1" w:lastColumn="0" w:noHBand="0" w:noVBand="1"/>
      </w:tblPr>
      <w:tblGrid>
        <w:gridCol w:w="1673"/>
        <w:gridCol w:w="1395"/>
        <w:gridCol w:w="1336"/>
        <w:gridCol w:w="1049"/>
        <w:gridCol w:w="1622"/>
        <w:gridCol w:w="1177"/>
        <w:gridCol w:w="1605"/>
      </w:tblGrid>
      <w:tr w:rsidR="00C943B8" w:rsidRPr="00566944" w14:paraId="7935E0D4" w14:textId="77777777" w:rsidTr="00DC5B6D">
        <w:trPr>
          <w:cnfStyle w:val="100000000000" w:firstRow="1" w:lastRow="0" w:firstColumn="0" w:lastColumn="0" w:oddVBand="0" w:evenVBand="0" w:oddHBand="0" w:evenHBand="0" w:firstRowFirstColumn="0" w:firstRowLastColumn="0" w:lastRowFirstColumn="0" w:lastRowLastColumn="0"/>
        </w:trPr>
        <w:tc>
          <w:tcPr>
            <w:tcW w:w="1673" w:type="dxa"/>
          </w:tcPr>
          <w:p w14:paraId="6E48D19A" w14:textId="77777777" w:rsidR="00C943B8" w:rsidRPr="00C943B8" w:rsidRDefault="00C943B8" w:rsidP="00876039">
            <w:pPr>
              <w:pStyle w:val="ECCTableHeaderwhitefont"/>
            </w:pPr>
            <w:r w:rsidRPr="00C943B8">
              <w:t>Investigated frequency range</w:t>
            </w:r>
          </w:p>
        </w:tc>
        <w:tc>
          <w:tcPr>
            <w:tcW w:w="1395" w:type="dxa"/>
          </w:tcPr>
          <w:p w14:paraId="7A9DE2E0" w14:textId="77777777" w:rsidR="00C943B8" w:rsidRPr="00C943B8" w:rsidRDefault="00C943B8" w:rsidP="000A69BD">
            <w:pPr>
              <w:pStyle w:val="ECCTableHeaderwhitefont"/>
            </w:pPr>
            <w:r w:rsidRPr="00C943B8">
              <w:t>Investigated centre frequency</w:t>
            </w:r>
          </w:p>
        </w:tc>
        <w:tc>
          <w:tcPr>
            <w:tcW w:w="1336" w:type="dxa"/>
          </w:tcPr>
          <w:p w14:paraId="161594CD" w14:textId="77777777" w:rsidR="00C943B8" w:rsidRPr="00C943B8" w:rsidRDefault="00C943B8" w:rsidP="000A69BD">
            <w:pPr>
              <w:pStyle w:val="ECCTableHeaderwhitefont"/>
            </w:pPr>
            <w:r w:rsidRPr="00C943B8">
              <w:t>Modulation bandwidth</w:t>
            </w:r>
          </w:p>
        </w:tc>
        <w:tc>
          <w:tcPr>
            <w:tcW w:w="1049" w:type="dxa"/>
          </w:tcPr>
          <w:p w14:paraId="54FA45D4" w14:textId="77777777" w:rsidR="00C943B8" w:rsidRPr="00C943B8" w:rsidRDefault="00C943B8" w:rsidP="000A69BD">
            <w:pPr>
              <w:pStyle w:val="ECCTableHeaderwhitefont"/>
            </w:pPr>
            <w:r w:rsidRPr="00C943B8">
              <w:t>Duty cycle</w:t>
            </w:r>
          </w:p>
        </w:tc>
        <w:tc>
          <w:tcPr>
            <w:tcW w:w="1622" w:type="dxa"/>
          </w:tcPr>
          <w:p w14:paraId="2055A930" w14:textId="77777777" w:rsidR="00C943B8" w:rsidRPr="00C943B8" w:rsidRDefault="00C943B8" w:rsidP="000A69BD">
            <w:pPr>
              <w:pStyle w:val="ECCTableHeaderwhitefont"/>
            </w:pPr>
            <w:r w:rsidRPr="00C943B8">
              <w:t xml:space="preserve">Mean e.i.r.p. spectral density </w:t>
            </w:r>
          </w:p>
        </w:tc>
        <w:tc>
          <w:tcPr>
            <w:tcW w:w="1177" w:type="dxa"/>
          </w:tcPr>
          <w:p w14:paraId="114861BE" w14:textId="77777777" w:rsidR="00C943B8" w:rsidRPr="00C943B8" w:rsidRDefault="00C943B8" w:rsidP="000A69BD">
            <w:pPr>
              <w:pStyle w:val="ECCTableHeaderwhitefont"/>
            </w:pPr>
            <w:r w:rsidRPr="00C943B8">
              <w:t>Peak e.i.r.p.</w:t>
            </w:r>
          </w:p>
        </w:tc>
        <w:tc>
          <w:tcPr>
            <w:tcW w:w="1605" w:type="dxa"/>
          </w:tcPr>
          <w:p w14:paraId="20DA7E8E" w14:textId="77777777" w:rsidR="00C943B8" w:rsidRPr="00C943B8" w:rsidRDefault="00C943B8" w:rsidP="000A69BD">
            <w:pPr>
              <w:pStyle w:val="ECCTableHeaderwhitefont"/>
            </w:pPr>
            <w:r w:rsidRPr="00C943B8">
              <w:t>OOB attenuation (Note 1)</w:t>
            </w:r>
          </w:p>
        </w:tc>
      </w:tr>
      <w:tr w:rsidR="00A22BD9" w:rsidRPr="00C53FB5" w14:paraId="6254CA13" w14:textId="77777777" w:rsidTr="00DC5B6D">
        <w:tc>
          <w:tcPr>
            <w:tcW w:w="1673" w:type="dxa"/>
            <w:vMerge w:val="restart"/>
          </w:tcPr>
          <w:p w14:paraId="22FF1DA7" w14:textId="77777777" w:rsidR="00A22BD9" w:rsidRPr="00DC5B6D" w:rsidRDefault="00A22BD9" w:rsidP="000A69BD">
            <w:pPr>
              <w:pStyle w:val="ECCTabletext"/>
              <w:jc w:val="left"/>
            </w:pPr>
            <w:r>
              <w:t>116 to 260 GHz</w:t>
            </w:r>
          </w:p>
        </w:tc>
        <w:tc>
          <w:tcPr>
            <w:tcW w:w="1395" w:type="dxa"/>
          </w:tcPr>
          <w:p w14:paraId="3021543B" w14:textId="77777777" w:rsidR="00A22BD9" w:rsidRPr="00DC5B6D" w:rsidRDefault="00A22BD9" w:rsidP="000A69BD">
            <w:pPr>
              <w:pStyle w:val="ECCTabletext"/>
              <w:jc w:val="left"/>
              <w:rPr>
                <w:highlight w:val="yellow"/>
              </w:rPr>
            </w:pPr>
            <w:r>
              <w:t>113</w:t>
            </w:r>
            <w:r w:rsidR="00CF4994">
              <w:t>.0</w:t>
            </w:r>
            <w:r>
              <w:t>25 GHz</w:t>
            </w:r>
          </w:p>
        </w:tc>
        <w:tc>
          <w:tcPr>
            <w:tcW w:w="1336" w:type="dxa"/>
            <w:shd w:val="clear" w:color="auto" w:fill="auto"/>
          </w:tcPr>
          <w:p w14:paraId="09A916A1" w14:textId="77777777" w:rsidR="00A22BD9" w:rsidRPr="00DC5B6D" w:rsidRDefault="00A22BD9" w:rsidP="000A69BD">
            <w:pPr>
              <w:pStyle w:val="ECCTabletext"/>
              <w:jc w:val="left"/>
            </w:pPr>
            <w:r>
              <w:t>100</w:t>
            </w:r>
            <w:r w:rsidRPr="00EB5660">
              <w:t> GHz</w:t>
            </w:r>
          </w:p>
        </w:tc>
        <w:tc>
          <w:tcPr>
            <w:tcW w:w="1049" w:type="dxa"/>
            <w:shd w:val="clear" w:color="auto" w:fill="auto"/>
          </w:tcPr>
          <w:p w14:paraId="36D5E4FF" w14:textId="41D409E6" w:rsidR="00A22BD9" w:rsidRPr="00DC5B6D" w:rsidRDefault="00A22BD9" w:rsidP="000A69BD">
            <w:pPr>
              <w:pStyle w:val="ECCTabletext"/>
              <w:jc w:val="left"/>
            </w:pPr>
            <w:r w:rsidRPr="00B9577F">
              <w:t>100</w:t>
            </w:r>
            <w:r w:rsidR="00F800A2">
              <w:t>%</w:t>
            </w:r>
          </w:p>
        </w:tc>
        <w:tc>
          <w:tcPr>
            <w:tcW w:w="1622" w:type="dxa"/>
            <w:shd w:val="clear" w:color="auto" w:fill="auto"/>
          </w:tcPr>
          <w:p w14:paraId="46BEE18E" w14:textId="77777777" w:rsidR="00A22BD9" w:rsidRPr="00DC5B6D" w:rsidRDefault="00A22BD9" w:rsidP="000A69BD">
            <w:pPr>
              <w:pStyle w:val="ECCTabletext"/>
              <w:jc w:val="left"/>
            </w:pPr>
            <w:r w:rsidRPr="00591152">
              <w:t>-</w:t>
            </w:r>
            <w:r>
              <w:t>15</w:t>
            </w:r>
            <w:r w:rsidRPr="00591152">
              <w:t> dBm/MHz</w:t>
            </w:r>
          </w:p>
        </w:tc>
        <w:tc>
          <w:tcPr>
            <w:tcW w:w="1177" w:type="dxa"/>
            <w:shd w:val="clear" w:color="auto" w:fill="auto"/>
          </w:tcPr>
          <w:p w14:paraId="23DFD30A" w14:textId="77777777" w:rsidR="00A22BD9" w:rsidRPr="00DC5B6D" w:rsidRDefault="00A22BD9" w:rsidP="000A69BD">
            <w:pPr>
              <w:pStyle w:val="ECCTabletext"/>
              <w:jc w:val="left"/>
            </w:pPr>
            <w:r>
              <w:t>35</w:t>
            </w:r>
            <w:r w:rsidRPr="00591152">
              <w:t> dBm</w:t>
            </w:r>
          </w:p>
        </w:tc>
        <w:tc>
          <w:tcPr>
            <w:tcW w:w="1605" w:type="dxa"/>
            <w:vMerge w:val="restart"/>
          </w:tcPr>
          <w:p w14:paraId="5CAFE0ED" w14:textId="77777777" w:rsidR="00A22BD9" w:rsidRPr="00DC5B6D" w:rsidRDefault="00A22BD9" w:rsidP="000A69BD">
            <w:pPr>
              <w:pStyle w:val="ECCTabletext"/>
              <w:jc w:val="left"/>
            </w:pPr>
            <w:r>
              <w:t>1</w:t>
            </w:r>
            <w:r w:rsidRPr="00497690">
              <w:t>0</w:t>
            </w:r>
            <w:r w:rsidRPr="00DC5B6D">
              <w:t> dB</w:t>
            </w:r>
          </w:p>
        </w:tc>
      </w:tr>
      <w:tr w:rsidR="00A22BD9" w:rsidRPr="00C53FB5" w14:paraId="48D5038E" w14:textId="77777777" w:rsidTr="00DC5B6D">
        <w:tc>
          <w:tcPr>
            <w:tcW w:w="1673" w:type="dxa"/>
            <w:vMerge/>
          </w:tcPr>
          <w:p w14:paraId="69D91CE8" w14:textId="77777777" w:rsidR="00A22BD9" w:rsidRPr="00C53FB5" w:rsidRDefault="00A22BD9" w:rsidP="00DC5B6D">
            <w:pPr>
              <w:pStyle w:val="ECCTabletext"/>
            </w:pPr>
          </w:p>
        </w:tc>
        <w:tc>
          <w:tcPr>
            <w:tcW w:w="1395" w:type="dxa"/>
          </w:tcPr>
          <w:p w14:paraId="4936E099" w14:textId="77777777" w:rsidR="00A22BD9" w:rsidRPr="00DC5B6D" w:rsidRDefault="00A22BD9" w:rsidP="000A69BD">
            <w:pPr>
              <w:pStyle w:val="ECCTabletext"/>
              <w:jc w:val="left"/>
              <w:rPr>
                <w:highlight w:val="yellow"/>
              </w:rPr>
            </w:pPr>
            <w:r>
              <w:t>132 GHz</w:t>
            </w:r>
          </w:p>
        </w:tc>
        <w:tc>
          <w:tcPr>
            <w:tcW w:w="1336" w:type="dxa"/>
            <w:shd w:val="clear" w:color="auto" w:fill="auto"/>
          </w:tcPr>
          <w:p w14:paraId="59533222" w14:textId="77777777" w:rsidR="00A22BD9" w:rsidRPr="00DC5B6D" w:rsidRDefault="00A22BD9" w:rsidP="000A69BD">
            <w:pPr>
              <w:pStyle w:val="ECCTabletext"/>
              <w:jc w:val="left"/>
            </w:pPr>
            <w:r>
              <w:t>100</w:t>
            </w:r>
            <w:r w:rsidRPr="00EB5660">
              <w:t> </w:t>
            </w:r>
            <w:r w:rsidRPr="00DC5B6D">
              <w:t>GHz</w:t>
            </w:r>
          </w:p>
        </w:tc>
        <w:tc>
          <w:tcPr>
            <w:tcW w:w="1049" w:type="dxa"/>
            <w:shd w:val="clear" w:color="auto" w:fill="auto"/>
          </w:tcPr>
          <w:p w14:paraId="67B73969" w14:textId="7E8C9FFB" w:rsidR="00A22BD9" w:rsidRPr="00DC5B6D" w:rsidRDefault="00A22BD9" w:rsidP="000A69BD">
            <w:pPr>
              <w:pStyle w:val="ECCTabletext"/>
              <w:jc w:val="left"/>
            </w:pPr>
            <w:r w:rsidRPr="00B9577F">
              <w:t>100</w:t>
            </w:r>
            <w:r w:rsidR="00F800A2">
              <w:t>%</w:t>
            </w:r>
          </w:p>
        </w:tc>
        <w:tc>
          <w:tcPr>
            <w:tcW w:w="1622" w:type="dxa"/>
            <w:shd w:val="clear" w:color="auto" w:fill="auto"/>
          </w:tcPr>
          <w:p w14:paraId="7B226308" w14:textId="77777777" w:rsidR="00A22BD9" w:rsidRPr="00DC5B6D" w:rsidRDefault="00A22BD9" w:rsidP="000A69BD">
            <w:pPr>
              <w:pStyle w:val="ECCTabletext"/>
              <w:jc w:val="left"/>
            </w:pPr>
            <w:r w:rsidRPr="00591152">
              <w:t>-</w:t>
            </w:r>
            <w:r>
              <w:t>5</w:t>
            </w:r>
            <w:r w:rsidRPr="00DC5B6D">
              <w:t> dBm/MHz</w:t>
            </w:r>
          </w:p>
        </w:tc>
        <w:tc>
          <w:tcPr>
            <w:tcW w:w="1177" w:type="dxa"/>
            <w:shd w:val="clear" w:color="auto" w:fill="auto"/>
          </w:tcPr>
          <w:p w14:paraId="713E2DB4" w14:textId="77777777" w:rsidR="00A22BD9" w:rsidRPr="00DC5B6D" w:rsidRDefault="00A22BD9" w:rsidP="000A69BD">
            <w:pPr>
              <w:pStyle w:val="ECCTabletext"/>
              <w:jc w:val="left"/>
            </w:pPr>
            <w:r>
              <w:t>45</w:t>
            </w:r>
            <w:r w:rsidRPr="00DC5B6D">
              <w:t> dBm</w:t>
            </w:r>
          </w:p>
        </w:tc>
        <w:tc>
          <w:tcPr>
            <w:tcW w:w="1605" w:type="dxa"/>
            <w:vMerge/>
          </w:tcPr>
          <w:p w14:paraId="796C3FB5" w14:textId="77777777" w:rsidR="00A22BD9" w:rsidRPr="00DC5B6D" w:rsidRDefault="00A22BD9" w:rsidP="00DC5B6D">
            <w:pPr>
              <w:pStyle w:val="ECCTabletext"/>
            </w:pPr>
          </w:p>
        </w:tc>
      </w:tr>
      <w:tr w:rsidR="00A22BD9" w:rsidRPr="00C53FB5" w14:paraId="36A433D0" w14:textId="77777777" w:rsidTr="00DC5B6D">
        <w:tc>
          <w:tcPr>
            <w:tcW w:w="1673" w:type="dxa"/>
            <w:vMerge/>
          </w:tcPr>
          <w:p w14:paraId="2EF641B8" w14:textId="77777777" w:rsidR="00A22BD9" w:rsidRPr="009B5279" w:rsidRDefault="00A22BD9" w:rsidP="00DC5B6D">
            <w:pPr>
              <w:pStyle w:val="ECCTabletext"/>
            </w:pPr>
          </w:p>
        </w:tc>
        <w:tc>
          <w:tcPr>
            <w:tcW w:w="1395" w:type="dxa"/>
          </w:tcPr>
          <w:p w14:paraId="3843EF3C" w14:textId="77777777" w:rsidR="00A22BD9" w:rsidRPr="00DC5B6D" w:rsidRDefault="00A22BD9" w:rsidP="000A69BD">
            <w:pPr>
              <w:pStyle w:val="ECCTabletext"/>
              <w:jc w:val="left"/>
              <w:rPr>
                <w:highlight w:val="yellow"/>
              </w:rPr>
            </w:pPr>
            <w:r>
              <w:t>144</w:t>
            </w:r>
            <w:r w:rsidR="00CF4994">
              <w:t>.7</w:t>
            </w:r>
            <w:r>
              <w:t>5 GHz</w:t>
            </w:r>
          </w:p>
        </w:tc>
        <w:tc>
          <w:tcPr>
            <w:tcW w:w="1336" w:type="dxa"/>
            <w:shd w:val="clear" w:color="auto" w:fill="auto"/>
          </w:tcPr>
          <w:p w14:paraId="213D9DE6" w14:textId="77777777" w:rsidR="00A22BD9" w:rsidRPr="00DC5B6D" w:rsidRDefault="00A22BD9" w:rsidP="000A69BD">
            <w:pPr>
              <w:pStyle w:val="ECCTabletext"/>
              <w:jc w:val="left"/>
            </w:pPr>
            <w:r>
              <w:t>100</w:t>
            </w:r>
            <w:r w:rsidRPr="00EB5660">
              <w:t> GHz</w:t>
            </w:r>
          </w:p>
        </w:tc>
        <w:tc>
          <w:tcPr>
            <w:tcW w:w="1049" w:type="dxa"/>
            <w:shd w:val="clear" w:color="auto" w:fill="auto"/>
          </w:tcPr>
          <w:p w14:paraId="53DF56DF" w14:textId="73E261CF" w:rsidR="00A22BD9" w:rsidRPr="00DC5B6D" w:rsidRDefault="00A22BD9" w:rsidP="000A69BD">
            <w:pPr>
              <w:pStyle w:val="ECCTabletext"/>
              <w:jc w:val="left"/>
            </w:pPr>
            <w:r w:rsidRPr="00B9577F">
              <w:t>100</w:t>
            </w:r>
            <w:r w:rsidR="00F800A2">
              <w:t>%</w:t>
            </w:r>
          </w:p>
        </w:tc>
        <w:tc>
          <w:tcPr>
            <w:tcW w:w="1622" w:type="dxa"/>
            <w:shd w:val="clear" w:color="auto" w:fill="auto"/>
          </w:tcPr>
          <w:p w14:paraId="3A148C71" w14:textId="77777777" w:rsidR="00A22BD9" w:rsidRPr="00DC5B6D" w:rsidRDefault="00A22BD9" w:rsidP="000A69BD">
            <w:pPr>
              <w:pStyle w:val="ECCTabletext"/>
              <w:jc w:val="left"/>
            </w:pPr>
            <w:r w:rsidRPr="00591152">
              <w:t>-</w:t>
            </w:r>
            <w:r>
              <w:t>5</w:t>
            </w:r>
            <w:r w:rsidRPr="00591152">
              <w:t> dBm/MHz</w:t>
            </w:r>
          </w:p>
        </w:tc>
        <w:tc>
          <w:tcPr>
            <w:tcW w:w="1177" w:type="dxa"/>
            <w:shd w:val="clear" w:color="auto" w:fill="auto"/>
          </w:tcPr>
          <w:p w14:paraId="415CA650" w14:textId="77777777" w:rsidR="00A22BD9" w:rsidRPr="00DC5B6D" w:rsidRDefault="00A22BD9" w:rsidP="000A69BD">
            <w:pPr>
              <w:pStyle w:val="ECCTabletext"/>
              <w:jc w:val="left"/>
            </w:pPr>
            <w:r>
              <w:t>45</w:t>
            </w:r>
            <w:r w:rsidRPr="00591152">
              <w:t> dBm</w:t>
            </w:r>
          </w:p>
        </w:tc>
        <w:tc>
          <w:tcPr>
            <w:tcW w:w="1605" w:type="dxa"/>
            <w:vMerge/>
          </w:tcPr>
          <w:p w14:paraId="1A652E0C" w14:textId="77777777" w:rsidR="00A22BD9" w:rsidRPr="00DC5B6D" w:rsidRDefault="00A22BD9" w:rsidP="00DC5B6D">
            <w:pPr>
              <w:pStyle w:val="ECCTabletext"/>
            </w:pPr>
          </w:p>
        </w:tc>
      </w:tr>
      <w:tr w:rsidR="00A22BD9" w:rsidRPr="00C53FB5" w14:paraId="6856F38B" w14:textId="77777777" w:rsidTr="00DC5B6D">
        <w:tc>
          <w:tcPr>
            <w:tcW w:w="1673" w:type="dxa"/>
            <w:vMerge/>
          </w:tcPr>
          <w:p w14:paraId="546487E8" w14:textId="77777777" w:rsidR="00A22BD9" w:rsidRPr="00C53FB5" w:rsidRDefault="00A22BD9" w:rsidP="00DC5B6D">
            <w:pPr>
              <w:pStyle w:val="ECCTabletext"/>
            </w:pPr>
          </w:p>
        </w:tc>
        <w:tc>
          <w:tcPr>
            <w:tcW w:w="1395" w:type="dxa"/>
          </w:tcPr>
          <w:p w14:paraId="2FBEA4DA" w14:textId="77777777" w:rsidR="00A22BD9" w:rsidRPr="00DC5B6D" w:rsidRDefault="00A22BD9" w:rsidP="000A69BD">
            <w:pPr>
              <w:pStyle w:val="ECCTabletext"/>
              <w:jc w:val="left"/>
              <w:rPr>
                <w:highlight w:val="yellow"/>
              </w:rPr>
            </w:pPr>
            <w:r>
              <w:t>157</w:t>
            </w:r>
            <w:r w:rsidR="00CF4994">
              <w:t>.7</w:t>
            </w:r>
            <w:r>
              <w:t>5 GHz</w:t>
            </w:r>
          </w:p>
        </w:tc>
        <w:tc>
          <w:tcPr>
            <w:tcW w:w="1336" w:type="dxa"/>
            <w:shd w:val="clear" w:color="auto" w:fill="auto"/>
          </w:tcPr>
          <w:p w14:paraId="3FC7034E" w14:textId="77777777" w:rsidR="00A22BD9" w:rsidRPr="00DC5B6D" w:rsidRDefault="00A22BD9" w:rsidP="000A69BD">
            <w:pPr>
              <w:pStyle w:val="ECCTabletext"/>
              <w:jc w:val="left"/>
            </w:pPr>
            <w:r>
              <w:t>100</w:t>
            </w:r>
            <w:r w:rsidRPr="00EB5660">
              <w:t> GHz</w:t>
            </w:r>
          </w:p>
        </w:tc>
        <w:tc>
          <w:tcPr>
            <w:tcW w:w="1049" w:type="dxa"/>
            <w:shd w:val="clear" w:color="auto" w:fill="auto"/>
          </w:tcPr>
          <w:p w14:paraId="50D6A572" w14:textId="4ECF2554" w:rsidR="00A22BD9" w:rsidRPr="00DC5B6D" w:rsidRDefault="00A22BD9" w:rsidP="000A69BD">
            <w:pPr>
              <w:pStyle w:val="ECCTabletext"/>
              <w:jc w:val="left"/>
            </w:pPr>
            <w:r w:rsidRPr="00B9577F">
              <w:t>100</w:t>
            </w:r>
            <w:r w:rsidR="00F800A2">
              <w:t>%</w:t>
            </w:r>
          </w:p>
        </w:tc>
        <w:tc>
          <w:tcPr>
            <w:tcW w:w="1622" w:type="dxa"/>
            <w:shd w:val="clear" w:color="auto" w:fill="auto"/>
          </w:tcPr>
          <w:p w14:paraId="5595E5A6" w14:textId="77777777" w:rsidR="00A22BD9" w:rsidRPr="00DC5B6D" w:rsidRDefault="00A22BD9" w:rsidP="000A69BD">
            <w:pPr>
              <w:pStyle w:val="ECCTabletext"/>
              <w:jc w:val="left"/>
            </w:pPr>
            <w:r w:rsidRPr="00591152">
              <w:t>-</w:t>
            </w:r>
            <w:r>
              <w:t>5</w:t>
            </w:r>
            <w:r w:rsidRPr="00DC5B6D">
              <w:t> dBm/MHz</w:t>
            </w:r>
          </w:p>
        </w:tc>
        <w:tc>
          <w:tcPr>
            <w:tcW w:w="1177" w:type="dxa"/>
            <w:shd w:val="clear" w:color="auto" w:fill="auto"/>
          </w:tcPr>
          <w:p w14:paraId="7297E5F9" w14:textId="77777777" w:rsidR="00A22BD9" w:rsidRPr="00DC5B6D" w:rsidRDefault="00A22BD9" w:rsidP="000A69BD">
            <w:pPr>
              <w:pStyle w:val="ECCTabletext"/>
              <w:jc w:val="left"/>
            </w:pPr>
            <w:r>
              <w:t>45</w:t>
            </w:r>
            <w:r w:rsidRPr="00DC5B6D">
              <w:t> dBm</w:t>
            </w:r>
          </w:p>
        </w:tc>
        <w:tc>
          <w:tcPr>
            <w:tcW w:w="1605" w:type="dxa"/>
            <w:vMerge/>
          </w:tcPr>
          <w:p w14:paraId="485E6509" w14:textId="77777777" w:rsidR="00A22BD9" w:rsidRPr="00DC5B6D" w:rsidRDefault="00A22BD9" w:rsidP="00DC5B6D">
            <w:pPr>
              <w:pStyle w:val="ECCTabletext"/>
            </w:pPr>
          </w:p>
        </w:tc>
      </w:tr>
      <w:tr w:rsidR="00A22BD9" w:rsidRPr="00C53FB5" w14:paraId="720B074A" w14:textId="77777777" w:rsidTr="00DC5B6D">
        <w:tc>
          <w:tcPr>
            <w:tcW w:w="1673" w:type="dxa"/>
            <w:vMerge/>
          </w:tcPr>
          <w:p w14:paraId="6AC9FD33" w14:textId="77777777" w:rsidR="00A22BD9" w:rsidRPr="009B5279" w:rsidRDefault="00A22BD9" w:rsidP="00DC5B6D">
            <w:pPr>
              <w:pStyle w:val="ECCTabletext"/>
            </w:pPr>
          </w:p>
        </w:tc>
        <w:tc>
          <w:tcPr>
            <w:tcW w:w="1395" w:type="dxa"/>
          </w:tcPr>
          <w:p w14:paraId="62038855" w14:textId="77777777" w:rsidR="00A22BD9" w:rsidRPr="00DC5B6D" w:rsidRDefault="00A22BD9" w:rsidP="000A69BD">
            <w:pPr>
              <w:pStyle w:val="ECCTabletext"/>
              <w:jc w:val="left"/>
              <w:rPr>
                <w:highlight w:val="yellow"/>
              </w:rPr>
            </w:pPr>
            <w:r>
              <w:t>170</w:t>
            </w:r>
            <w:r w:rsidR="00CF4994">
              <w:t>.7</w:t>
            </w:r>
            <w:r>
              <w:t>5 GHz</w:t>
            </w:r>
          </w:p>
        </w:tc>
        <w:tc>
          <w:tcPr>
            <w:tcW w:w="1336" w:type="dxa"/>
            <w:shd w:val="clear" w:color="auto" w:fill="auto"/>
          </w:tcPr>
          <w:p w14:paraId="3C9219FE" w14:textId="77777777" w:rsidR="00A22BD9" w:rsidRPr="00DC5B6D" w:rsidRDefault="00A22BD9" w:rsidP="000A69BD">
            <w:pPr>
              <w:pStyle w:val="ECCTabletext"/>
              <w:jc w:val="left"/>
            </w:pPr>
            <w:r>
              <w:t>100</w:t>
            </w:r>
            <w:r w:rsidRPr="00EB5660">
              <w:t> GHz</w:t>
            </w:r>
          </w:p>
        </w:tc>
        <w:tc>
          <w:tcPr>
            <w:tcW w:w="1049" w:type="dxa"/>
            <w:shd w:val="clear" w:color="auto" w:fill="auto"/>
          </w:tcPr>
          <w:p w14:paraId="4BFBFB71" w14:textId="7BD7ED57" w:rsidR="00A22BD9" w:rsidRPr="00DC5B6D" w:rsidRDefault="00A22BD9" w:rsidP="000A69BD">
            <w:pPr>
              <w:pStyle w:val="ECCTabletext"/>
              <w:jc w:val="left"/>
            </w:pPr>
            <w:r w:rsidRPr="00B9577F">
              <w:t>100</w:t>
            </w:r>
            <w:r w:rsidR="00F800A2">
              <w:t>%</w:t>
            </w:r>
          </w:p>
        </w:tc>
        <w:tc>
          <w:tcPr>
            <w:tcW w:w="1622" w:type="dxa"/>
            <w:shd w:val="clear" w:color="auto" w:fill="auto"/>
          </w:tcPr>
          <w:p w14:paraId="1CE9F38C" w14:textId="77777777" w:rsidR="00A22BD9" w:rsidRPr="00DC5B6D" w:rsidRDefault="00A22BD9" w:rsidP="000A69BD">
            <w:pPr>
              <w:pStyle w:val="ECCTabletext"/>
              <w:jc w:val="left"/>
            </w:pPr>
            <w:r w:rsidRPr="00591152">
              <w:t>-</w:t>
            </w:r>
            <w:r>
              <w:t>5</w:t>
            </w:r>
            <w:r w:rsidRPr="00DC5B6D">
              <w:t> dBm/MHz</w:t>
            </w:r>
          </w:p>
        </w:tc>
        <w:tc>
          <w:tcPr>
            <w:tcW w:w="1177" w:type="dxa"/>
            <w:shd w:val="clear" w:color="auto" w:fill="auto"/>
          </w:tcPr>
          <w:p w14:paraId="5630FF00" w14:textId="77777777" w:rsidR="00A22BD9" w:rsidRPr="00DC5B6D" w:rsidRDefault="00A22BD9" w:rsidP="000A69BD">
            <w:pPr>
              <w:pStyle w:val="ECCTabletext"/>
              <w:jc w:val="left"/>
            </w:pPr>
            <w:r>
              <w:t>45</w:t>
            </w:r>
            <w:r w:rsidRPr="00DC5B6D">
              <w:t> dBm</w:t>
            </w:r>
          </w:p>
        </w:tc>
        <w:tc>
          <w:tcPr>
            <w:tcW w:w="1605" w:type="dxa"/>
            <w:vMerge/>
          </w:tcPr>
          <w:p w14:paraId="30B3853B" w14:textId="77777777" w:rsidR="00A22BD9" w:rsidRPr="00591152" w:rsidRDefault="00A22BD9" w:rsidP="00DC5B6D">
            <w:pPr>
              <w:pStyle w:val="ECCTabletext"/>
            </w:pPr>
          </w:p>
        </w:tc>
      </w:tr>
      <w:tr w:rsidR="00200700" w:rsidRPr="00C53FB5" w14:paraId="6DCEBA95" w14:textId="77777777" w:rsidTr="00200700">
        <w:tc>
          <w:tcPr>
            <w:tcW w:w="9857" w:type="dxa"/>
            <w:gridSpan w:val="7"/>
          </w:tcPr>
          <w:p w14:paraId="2C23A070" w14:textId="77777777" w:rsidR="00200700" w:rsidRPr="00591152" w:rsidRDefault="00200700" w:rsidP="00464AE0">
            <w:pPr>
              <w:pStyle w:val="ECCTablenote"/>
            </w:pPr>
            <w:r>
              <w:t>Note 1</w:t>
            </w:r>
            <w:r w:rsidRPr="00200700">
              <w:t>: Assumed out-of-band attenuation of the RDI-S-signal in adjacent bands allocated to FS.</w:t>
            </w:r>
          </w:p>
        </w:tc>
      </w:tr>
    </w:tbl>
    <w:p w14:paraId="2ED8D46D" w14:textId="77777777" w:rsidR="00591E62" w:rsidRDefault="00591E62" w:rsidP="00591E62">
      <w:pPr>
        <w:pStyle w:val="Heading3"/>
      </w:pPr>
      <w:bookmarkStart w:id="686" w:name="_Ref67330794"/>
      <w:bookmarkStart w:id="687" w:name="_Toc84325400"/>
      <w:bookmarkStart w:id="688" w:name="_Toc127346322"/>
      <w:r>
        <w:t>Results</w:t>
      </w:r>
      <w:bookmarkEnd w:id="686"/>
      <w:bookmarkEnd w:id="687"/>
      <w:bookmarkEnd w:id="688"/>
    </w:p>
    <w:p w14:paraId="4F5A1B76" w14:textId="66B0C0FA" w:rsidR="00591E62" w:rsidRPr="00591E62" w:rsidRDefault="00477961" w:rsidP="00591E62">
      <w:r>
        <w:fldChar w:fldCharType="begin"/>
      </w:r>
      <w:r>
        <w:instrText xml:space="preserve"> REF _Ref67058152 \h </w:instrText>
      </w:r>
      <w:r>
        <w:fldChar w:fldCharType="separate"/>
      </w:r>
      <w:r w:rsidR="0041125F" w:rsidRPr="00477961">
        <w:t>Table </w:t>
      </w:r>
      <w:r w:rsidR="0041125F">
        <w:rPr>
          <w:noProof/>
        </w:rPr>
        <w:t>82</w:t>
      </w:r>
      <w:r>
        <w:fldChar w:fldCharType="end"/>
      </w:r>
      <w:r>
        <w:t xml:space="preserve"> </w:t>
      </w:r>
      <w:r w:rsidR="00591E62" w:rsidRPr="00591E62">
        <w:t xml:space="preserve">shows the single-entry </w:t>
      </w:r>
      <w:r w:rsidR="00791D2C">
        <w:t>worst</w:t>
      </w:r>
      <w:r w:rsidR="00591E62" w:rsidRPr="00591E62">
        <w:t>-case results for RDI-S, e.g. the largest separation distances for the individual frequency ranges, and FS victim receivers distinguished between the long</w:t>
      </w:r>
      <w:r w:rsidR="00414F3A">
        <w:t>-</w:t>
      </w:r>
      <w:r w:rsidR="00591E62" w:rsidRPr="00591E62">
        <w:t>term objective and the peak power objective.</w:t>
      </w:r>
    </w:p>
    <w:p w14:paraId="4EDC4ABE" w14:textId="2D9D9937" w:rsidR="00591E62" w:rsidRPr="0050574B" w:rsidRDefault="00477961" w:rsidP="00591E62">
      <w:pPr>
        <w:pStyle w:val="Caption"/>
        <w:rPr>
          <w:rStyle w:val="ECCParagraph"/>
        </w:rPr>
      </w:pPr>
      <w:bookmarkStart w:id="689" w:name="_Ref67058152"/>
      <w:r w:rsidRPr="00477961">
        <w:t>Table </w:t>
      </w:r>
      <w:r>
        <w:fldChar w:fldCharType="begin"/>
      </w:r>
      <w:r>
        <w:instrText>SEQ Table \* ARABIC</w:instrText>
      </w:r>
      <w:r>
        <w:fldChar w:fldCharType="separate"/>
      </w:r>
      <w:r w:rsidR="004F49F9">
        <w:rPr>
          <w:noProof/>
        </w:rPr>
        <w:t>82</w:t>
      </w:r>
      <w:r>
        <w:fldChar w:fldCharType="end"/>
      </w:r>
      <w:bookmarkEnd w:id="689"/>
      <w:r w:rsidR="00591E62">
        <w:t>: Required separation distances determined in a single-entry study for RDI-S</w:t>
      </w:r>
    </w:p>
    <w:tbl>
      <w:tblPr>
        <w:tblStyle w:val="ECCTable-redheader"/>
        <w:tblW w:w="9776" w:type="dxa"/>
        <w:tblInd w:w="0" w:type="dxa"/>
        <w:tblLook w:val="04A0" w:firstRow="1" w:lastRow="0" w:firstColumn="1" w:lastColumn="0" w:noHBand="0" w:noVBand="1"/>
      </w:tblPr>
      <w:tblGrid>
        <w:gridCol w:w="1405"/>
        <w:gridCol w:w="1568"/>
        <w:gridCol w:w="1417"/>
        <w:gridCol w:w="1275"/>
        <w:gridCol w:w="1418"/>
        <w:gridCol w:w="1365"/>
        <w:gridCol w:w="1328"/>
      </w:tblGrid>
      <w:tr w:rsidR="00591E62" w14:paraId="069DCE47" w14:textId="77777777" w:rsidTr="00FB07D5">
        <w:trPr>
          <w:cnfStyle w:val="100000000000" w:firstRow="1" w:lastRow="0" w:firstColumn="0" w:lastColumn="0" w:oddVBand="0" w:evenVBand="0" w:oddHBand="0" w:evenHBand="0" w:firstRowFirstColumn="0" w:firstRowLastColumn="0" w:lastRowFirstColumn="0" w:lastRowLastColumn="0"/>
        </w:trPr>
        <w:tc>
          <w:tcPr>
            <w:tcW w:w="1405" w:type="dxa"/>
            <w:vMerge w:val="restart"/>
            <w:tcBorders>
              <w:top w:val="single" w:sz="4" w:space="0" w:color="FFFFFF" w:themeColor="background1"/>
            </w:tcBorders>
          </w:tcPr>
          <w:p w14:paraId="742C42CC" w14:textId="77777777" w:rsidR="00591E62" w:rsidRPr="00591E62" w:rsidRDefault="00591E62" w:rsidP="00876039">
            <w:pPr>
              <w:pStyle w:val="ECCTableHeaderwhitefont"/>
            </w:pPr>
            <w:r w:rsidRPr="00213B63">
              <w:t>Investigated Frequency range</w:t>
            </w:r>
          </w:p>
        </w:tc>
        <w:tc>
          <w:tcPr>
            <w:tcW w:w="1568" w:type="dxa"/>
            <w:vMerge w:val="restart"/>
            <w:tcBorders>
              <w:top w:val="single" w:sz="4" w:space="0" w:color="FFFFFF" w:themeColor="background1"/>
            </w:tcBorders>
          </w:tcPr>
          <w:p w14:paraId="610B7BE7" w14:textId="77777777" w:rsidR="00591E62" w:rsidRPr="00591E62" w:rsidRDefault="00591E62" w:rsidP="000A69BD">
            <w:pPr>
              <w:pStyle w:val="ECCTableHeaderwhitefont"/>
            </w:pPr>
            <w:r w:rsidRPr="00213B63">
              <w:t xml:space="preserve">Allocated band for </w:t>
            </w:r>
            <w:r w:rsidRPr="00591E62">
              <w:t>FS</w:t>
            </w:r>
          </w:p>
        </w:tc>
        <w:tc>
          <w:tcPr>
            <w:tcW w:w="1417" w:type="dxa"/>
            <w:vMerge w:val="restart"/>
            <w:tcBorders>
              <w:top w:val="single" w:sz="4" w:space="0" w:color="FFFFFF" w:themeColor="background1"/>
            </w:tcBorders>
          </w:tcPr>
          <w:p w14:paraId="109D270F" w14:textId="77777777" w:rsidR="00591E62" w:rsidRPr="00591E62" w:rsidRDefault="00591E62" w:rsidP="000A69BD">
            <w:pPr>
              <w:pStyle w:val="ECCTableHeaderwhitefont"/>
            </w:pPr>
            <w:r>
              <w:t>Investigated centre frequency</w:t>
            </w:r>
          </w:p>
        </w:tc>
        <w:tc>
          <w:tcPr>
            <w:tcW w:w="2693" w:type="dxa"/>
            <w:gridSpan w:val="2"/>
            <w:tcBorders>
              <w:top w:val="single" w:sz="4" w:space="0" w:color="FFFFFF" w:themeColor="background1"/>
              <w:bottom w:val="single" w:sz="4" w:space="0" w:color="FFFFFF" w:themeColor="background1"/>
            </w:tcBorders>
          </w:tcPr>
          <w:p w14:paraId="77F031A1" w14:textId="77777777" w:rsidR="00591E62" w:rsidRPr="00591E62" w:rsidRDefault="00591E62" w:rsidP="000A69BD">
            <w:pPr>
              <w:pStyle w:val="ECCTableHeaderwhitefont"/>
            </w:pPr>
            <w:r w:rsidRPr="00591E62">
              <w:t>Required separation distance for scenario 1</w:t>
            </w:r>
          </w:p>
        </w:tc>
        <w:tc>
          <w:tcPr>
            <w:tcW w:w="2693" w:type="dxa"/>
            <w:gridSpan w:val="2"/>
            <w:tcBorders>
              <w:top w:val="single" w:sz="4" w:space="0" w:color="FFFFFF" w:themeColor="background1"/>
              <w:bottom w:val="single" w:sz="4" w:space="0" w:color="FFFFFF" w:themeColor="background1"/>
              <w:right w:val="single" w:sz="4" w:space="0" w:color="FFFFFF" w:themeColor="background1"/>
            </w:tcBorders>
          </w:tcPr>
          <w:p w14:paraId="54ACDCC2" w14:textId="77777777" w:rsidR="00591E62" w:rsidRPr="00591E62" w:rsidRDefault="00591E62" w:rsidP="000A69BD">
            <w:pPr>
              <w:pStyle w:val="ECCTableHeaderwhitefont"/>
            </w:pPr>
            <w:r w:rsidRPr="00591E62">
              <w:t>Required separation distance for scenario 2</w:t>
            </w:r>
          </w:p>
        </w:tc>
      </w:tr>
      <w:tr w:rsidR="00002352" w14:paraId="50C3215D" w14:textId="77777777" w:rsidTr="00FB07D5">
        <w:tc>
          <w:tcPr>
            <w:tcW w:w="1405" w:type="dxa"/>
            <w:vMerge/>
            <w:tcBorders>
              <w:right w:val="single" w:sz="4" w:space="0" w:color="FFFFFF" w:themeColor="background1"/>
            </w:tcBorders>
          </w:tcPr>
          <w:p w14:paraId="6EFF3E6D" w14:textId="77777777" w:rsidR="00002352" w:rsidRPr="00213B63" w:rsidRDefault="00002352" w:rsidP="00002352">
            <w:pPr>
              <w:pStyle w:val="ECCTableHeaderwhitefont"/>
            </w:pPr>
          </w:p>
        </w:tc>
        <w:tc>
          <w:tcPr>
            <w:tcW w:w="1568" w:type="dxa"/>
            <w:vMerge/>
            <w:tcBorders>
              <w:left w:val="single" w:sz="4" w:space="0" w:color="FFFFFF" w:themeColor="background1"/>
              <w:right w:val="single" w:sz="4" w:space="0" w:color="FFFFFF" w:themeColor="background1"/>
            </w:tcBorders>
          </w:tcPr>
          <w:p w14:paraId="510AC41F" w14:textId="77777777" w:rsidR="00002352" w:rsidRPr="00213B63" w:rsidRDefault="00002352" w:rsidP="00002352">
            <w:pPr>
              <w:pStyle w:val="ECCTableHeaderwhitefont"/>
            </w:pPr>
          </w:p>
        </w:tc>
        <w:tc>
          <w:tcPr>
            <w:tcW w:w="1417" w:type="dxa"/>
            <w:vMerge/>
            <w:tcBorders>
              <w:left w:val="single" w:sz="4" w:space="0" w:color="FFFFFF" w:themeColor="background1"/>
              <w:right w:val="single" w:sz="4" w:space="0" w:color="FFFFFF" w:themeColor="background1"/>
            </w:tcBorders>
            <w:shd w:val="clear" w:color="auto" w:fill="D22A23"/>
          </w:tcPr>
          <w:p w14:paraId="2512C217" w14:textId="77777777" w:rsidR="00002352" w:rsidRPr="00591E62" w:rsidRDefault="00002352" w:rsidP="00002352">
            <w:pPr>
              <w:pStyle w:val="ECCTableHeaderwhitefon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BACA440" w14:textId="50D005AC" w:rsidR="00002352" w:rsidRPr="00591E62" w:rsidRDefault="00002352" w:rsidP="00002352">
            <w:pPr>
              <w:pStyle w:val="ECCTableHeaderwhitefont"/>
            </w:pPr>
            <w:r w:rsidRPr="00310D32">
              <w:rPr>
                <w:b/>
                <w:bCs w:val="0"/>
              </w:rPr>
              <w:t>Long term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926186D" w14:textId="57766D93" w:rsidR="00002352" w:rsidRPr="00591E62" w:rsidRDefault="00002352" w:rsidP="00002352">
            <w:pPr>
              <w:pStyle w:val="ECCTableHeaderwhitefont"/>
            </w:pPr>
            <w:r w:rsidRPr="00310D32">
              <w:rPr>
                <w:b/>
                <w:bCs w:val="0"/>
              </w:rPr>
              <w:t>Peak power objective</w:t>
            </w:r>
          </w:p>
        </w:tc>
        <w:tc>
          <w:tcPr>
            <w:tcW w:w="1365"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583B3AA" w14:textId="7556954A" w:rsidR="00002352" w:rsidRPr="00591E62" w:rsidRDefault="00002352" w:rsidP="00002352">
            <w:pPr>
              <w:pStyle w:val="ECCTableHeaderwhitefont"/>
            </w:pPr>
            <w:r w:rsidRPr="00310D32">
              <w:rPr>
                <w:b/>
                <w:bCs w:val="0"/>
              </w:rPr>
              <w:t>Long term objective</w:t>
            </w:r>
          </w:p>
        </w:tc>
        <w:tc>
          <w:tcPr>
            <w:tcW w:w="132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8903EB8" w14:textId="15AA1F83" w:rsidR="00002352" w:rsidRPr="00591E62" w:rsidRDefault="00002352" w:rsidP="00002352">
            <w:pPr>
              <w:pStyle w:val="ECCTableHeaderwhitefont"/>
            </w:pPr>
            <w:r w:rsidRPr="00310D32">
              <w:rPr>
                <w:b/>
                <w:bCs w:val="0"/>
              </w:rPr>
              <w:t>Peak power objective</w:t>
            </w:r>
          </w:p>
        </w:tc>
      </w:tr>
      <w:tr w:rsidR="00591E62" w14:paraId="2578621F" w14:textId="77777777" w:rsidTr="00FB07D5">
        <w:tc>
          <w:tcPr>
            <w:tcW w:w="1405" w:type="dxa"/>
            <w:vMerge w:val="restart"/>
          </w:tcPr>
          <w:p w14:paraId="68E3C4D3" w14:textId="77777777" w:rsidR="00591E62" w:rsidRPr="00591E62" w:rsidRDefault="00591E62" w:rsidP="000A69BD">
            <w:pPr>
              <w:pStyle w:val="ECCTabletext"/>
              <w:jc w:val="left"/>
            </w:pPr>
            <w:r w:rsidRPr="009B5279">
              <w:t>116 to 260 GHz</w:t>
            </w:r>
          </w:p>
        </w:tc>
        <w:tc>
          <w:tcPr>
            <w:tcW w:w="1568" w:type="dxa"/>
          </w:tcPr>
          <w:p w14:paraId="0502BCE8" w14:textId="77777777" w:rsidR="00591E62" w:rsidRPr="00591E62" w:rsidRDefault="00591E62" w:rsidP="000A69BD">
            <w:pPr>
              <w:pStyle w:val="ECCTabletext"/>
              <w:jc w:val="left"/>
            </w:pPr>
            <w:r w:rsidRPr="00913718">
              <w:t>111</w:t>
            </w:r>
            <w:r w:rsidR="00CF4994">
              <w:t>.8</w:t>
            </w:r>
            <w:r w:rsidRPr="00913718">
              <w:t xml:space="preserve"> to 114</w:t>
            </w:r>
            <w:r w:rsidR="00CF4994">
              <w:t>.2</w:t>
            </w:r>
            <w:r w:rsidRPr="00913718">
              <w:t>5 GHz</w:t>
            </w:r>
            <w:r w:rsidR="006D26BA">
              <w:t xml:space="preserve"> (OOB)</w:t>
            </w:r>
          </w:p>
        </w:tc>
        <w:tc>
          <w:tcPr>
            <w:tcW w:w="1417" w:type="dxa"/>
          </w:tcPr>
          <w:p w14:paraId="5515B31F" w14:textId="77777777" w:rsidR="00591E62" w:rsidRPr="00591E62" w:rsidRDefault="00591E62" w:rsidP="000A69BD">
            <w:pPr>
              <w:pStyle w:val="ECCTabletext"/>
              <w:jc w:val="left"/>
            </w:pPr>
            <w:r>
              <w:t>113</w:t>
            </w:r>
            <w:r w:rsidR="00CF4994">
              <w:t>.0</w:t>
            </w:r>
            <w:r>
              <w:t>25 GHz</w:t>
            </w:r>
          </w:p>
        </w:tc>
        <w:tc>
          <w:tcPr>
            <w:tcW w:w="1275" w:type="dxa"/>
            <w:tcBorders>
              <w:top w:val="single" w:sz="4" w:space="0" w:color="FFFFFF" w:themeColor="background1"/>
            </w:tcBorders>
            <w:shd w:val="clear" w:color="auto" w:fill="auto"/>
          </w:tcPr>
          <w:p w14:paraId="3C8597DC" w14:textId="77777777" w:rsidR="00591E62" w:rsidRPr="00591E62" w:rsidRDefault="00591E62" w:rsidP="000A69BD">
            <w:pPr>
              <w:pStyle w:val="ECCTabletext"/>
              <w:jc w:val="left"/>
            </w:pPr>
            <w:r>
              <w:t>1</w:t>
            </w:r>
            <w:r w:rsidR="002D2A8D">
              <w:t>1</w:t>
            </w:r>
            <w:r>
              <w:t> m</w:t>
            </w:r>
          </w:p>
        </w:tc>
        <w:tc>
          <w:tcPr>
            <w:tcW w:w="1418" w:type="dxa"/>
            <w:tcBorders>
              <w:top w:val="single" w:sz="4" w:space="0" w:color="D22A23"/>
            </w:tcBorders>
          </w:tcPr>
          <w:p w14:paraId="6C1FA677" w14:textId="77777777" w:rsidR="00591E62" w:rsidRPr="00591E62" w:rsidRDefault="002D2A8D" w:rsidP="000A69BD">
            <w:pPr>
              <w:pStyle w:val="ECCTabletext"/>
              <w:jc w:val="left"/>
            </w:pPr>
            <w:r>
              <w:t>6</w:t>
            </w:r>
            <w:r w:rsidR="00591E62">
              <w:t> m</w:t>
            </w:r>
          </w:p>
        </w:tc>
        <w:tc>
          <w:tcPr>
            <w:tcW w:w="1365" w:type="dxa"/>
            <w:tcBorders>
              <w:top w:val="single" w:sz="4" w:space="0" w:color="D22A23"/>
            </w:tcBorders>
          </w:tcPr>
          <w:p w14:paraId="15421161" w14:textId="77777777" w:rsidR="00591E62" w:rsidRPr="00591E62" w:rsidRDefault="002D2A8D" w:rsidP="000A69BD">
            <w:pPr>
              <w:pStyle w:val="ECCTabletext"/>
              <w:jc w:val="left"/>
            </w:pPr>
            <w:r>
              <w:t>1</w:t>
            </w:r>
            <w:r w:rsidR="00591E62">
              <w:t> m</w:t>
            </w:r>
          </w:p>
        </w:tc>
        <w:tc>
          <w:tcPr>
            <w:tcW w:w="1328" w:type="dxa"/>
            <w:tcBorders>
              <w:top w:val="single" w:sz="4" w:space="0" w:color="D22A23"/>
              <w:right w:val="single" w:sz="4" w:space="0" w:color="D22A23"/>
            </w:tcBorders>
          </w:tcPr>
          <w:p w14:paraId="22A16A51" w14:textId="77777777" w:rsidR="00591E62" w:rsidRPr="00591E62" w:rsidRDefault="002D2A8D" w:rsidP="000A69BD">
            <w:pPr>
              <w:pStyle w:val="ECCTabletext"/>
              <w:jc w:val="left"/>
            </w:pPr>
            <w:r>
              <w:t>1</w:t>
            </w:r>
            <w:r w:rsidR="00591E62">
              <w:t> m</w:t>
            </w:r>
          </w:p>
        </w:tc>
      </w:tr>
      <w:tr w:rsidR="00591E62" w14:paraId="264FD635" w14:textId="77777777" w:rsidTr="00FB07D5">
        <w:tc>
          <w:tcPr>
            <w:tcW w:w="1405" w:type="dxa"/>
            <w:vMerge/>
          </w:tcPr>
          <w:p w14:paraId="1658F7B0" w14:textId="77777777" w:rsidR="00591E62" w:rsidRPr="00913718" w:rsidRDefault="00591E62" w:rsidP="00591E62">
            <w:pPr>
              <w:pStyle w:val="ECCTabletext"/>
            </w:pPr>
          </w:p>
        </w:tc>
        <w:tc>
          <w:tcPr>
            <w:tcW w:w="1568" w:type="dxa"/>
          </w:tcPr>
          <w:p w14:paraId="6E22C5CB" w14:textId="77777777" w:rsidR="00591E62" w:rsidRPr="00591E62" w:rsidRDefault="00591E62" w:rsidP="000A69BD">
            <w:pPr>
              <w:pStyle w:val="ECCTabletext"/>
              <w:jc w:val="left"/>
            </w:pPr>
            <w:r w:rsidRPr="00913718">
              <w:t>130 to 134 GHz</w:t>
            </w:r>
            <w:r w:rsidR="006D26BA">
              <w:t xml:space="preserve"> (In-band)</w:t>
            </w:r>
          </w:p>
        </w:tc>
        <w:tc>
          <w:tcPr>
            <w:tcW w:w="1417" w:type="dxa"/>
          </w:tcPr>
          <w:p w14:paraId="470AF90D" w14:textId="77777777" w:rsidR="00591E62" w:rsidRPr="00591E62" w:rsidRDefault="00591E62" w:rsidP="000A69BD">
            <w:pPr>
              <w:pStyle w:val="ECCTabletext"/>
              <w:jc w:val="left"/>
            </w:pPr>
            <w:r>
              <w:t>132 GHz</w:t>
            </w:r>
          </w:p>
        </w:tc>
        <w:tc>
          <w:tcPr>
            <w:tcW w:w="1275" w:type="dxa"/>
          </w:tcPr>
          <w:p w14:paraId="0B014EC1" w14:textId="77777777" w:rsidR="00591E62" w:rsidRPr="00591E62" w:rsidRDefault="002D2A8D" w:rsidP="000A69BD">
            <w:pPr>
              <w:pStyle w:val="ECCTabletext"/>
              <w:jc w:val="left"/>
            </w:pPr>
            <w:r>
              <w:t>24</w:t>
            </w:r>
            <w:r w:rsidR="00591E62">
              <w:t> m</w:t>
            </w:r>
          </w:p>
        </w:tc>
        <w:tc>
          <w:tcPr>
            <w:tcW w:w="1418" w:type="dxa"/>
          </w:tcPr>
          <w:p w14:paraId="4C36EC39" w14:textId="77777777" w:rsidR="00591E62" w:rsidRPr="00591E62" w:rsidRDefault="002D2A8D" w:rsidP="000A69BD">
            <w:pPr>
              <w:pStyle w:val="ECCTabletext"/>
              <w:jc w:val="left"/>
            </w:pPr>
            <w:r>
              <w:t>14</w:t>
            </w:r>
            <w:r w:rsidR="00591E62">
              <w:t> m</w:t>
            </w:r>
          </w:p>
        </w:tc>
        <w:tc>
          <w:tcPr>
            <w:tcW w:w="1365" w:type="dxa"/>
          </w:tcPr>
          <w:p w14:paraId="721123B1" w14:textId="77777777" w:rsidR="00591E62" w:rsidRPr="00591E62" w:rsidRDefault="002D2A8D" w:rsidP="000A69BD">
            <w:pPr>
              <w:pStyle w:val="ECCTabletext"/>
              <w:jc w:val="left"/>
            </w:pPr>
            <w:r>
              <w:t>3</w:t>
            </w:r>
            <w:r w:rsidR="00591E62">
              <w:t> m</w:t>
            </w:r>
          </w:p>
        </w:tc>
        <w:tc>
          <w:tcPr>
            <w:tcW w:w="1328" w:type="dxa"/>
            <w:tcBorders>
              <w:right w:val="single" w:sz="4" w:space="0" w:color="D22A23"/>
            </w:tcBorders>
          </w:tcPr>
          <w:p w14:paraId="1693271A" w14:textId="77777777" w:rsidR="00591E62" w:rsidRPr="00591E62" w:rsidRDefault="002D2A8D" w:rsidP="000A69BD">
            <w:pPr>
              <w:pStyle w:val="ECCTabletext"/>
              <w:jc w:val="left"/>
            </w:pPr>
            <w:r>
              <w:t>1</w:t>
            </w:r>
            <w:r w:rsidR="00591E62">
              <w:t> m</w:t>
            </w:r>
          </w:p>
        </w:tc>
      </w:tr>
      <w:tr w:rsidR="00591E62" w14:paraId="3D1B2DFB" w14:textId="77777777" w:rsidTr="00FB07D5">
        <w:tc>
          <w:tcPr>
            <w:tcW w:w="1405" w:type="dxa"/>
            <w:vMerge/>
          </w:tcPr>
          <w:p w14:paraId="5FD966D9" w14:textId="77777777" w:rsidR="00591E62" w:rsidRPr="00913718" w:rsidRDefault="00591E62" w:rsidP="00591E62">
            <w:pPr>
              <w:pStyle w:val="ECCTabletext"/>
            </w:pPr>
          </w:p>
        </w:tc>
        <w:tc>
          <w:tcPr>
            <w:tcW w:w="1568" w:type="dxa"/>
          </w:tcPr>
          <w:p w14:paraId="324B8A7E" w14:textId="77777777" w:rsidR="00591E62" w:rsidRPr="00591E62" w:rsidRDefault="00591E62" w:rsidP="000A69BD">
            <w:pPr>
              <w:pStyle w:val="ECCTabletext"/>
              <w:jc w:val="left"/>
            </w:pPr>
            <w:r>
              <w:t>141 to 148</w:t>
            </w:r>
            <w:r w:rsidR="00CF4994">
              <w:t>.5</w:t>
            </w:r>
            <w:r>
              <w:t xml:space="preserve"> GHz</w:t>
            </w:r>
            <w:r w:rsidR="006D26BA">
              <w:t xml:space="preserve"> (In-band)</w:t>
            </w:r>
          </w:p>
        </w:tc>
        <w:tc>
          <w:tcPr>
            <w:tcW w:w="1417" w:type="dxa"/>
          </w:tcPr>
          <w:p w14:paraId="170CE0B0" w14:textId="77777777" w:rsidR="00591E62" w:rsidRPr="00591E62" w:rsidRDefault="00591E62" w:rsidP="000A69BD">
            <w:pPr>
              <w:pStyle w:val="ECCTabletext"/>
              <w:jc w:val="left"/>
            </w:pPr>
            <w:r>
              <w:t>144</w:t>
            </w:r>
            <w:r w:rsidR="00CF4994">
              <w:t>.7</w:t>
            </w:r>
            <w:r>
              <w:t>5 GHz</w:t>
            </w:r>
          </w:p>
        </w:tc>
        <w:tc>
          <w:tcPr>
            <w:tcW w:w="1275" w:type="dxa"/>
          </w:tcPr>
          <w:p w14:paraId="64147C67" w14:textId="77777777" w:rsidR="00591E62" w:rsidRPr="00591E62" w:rsidRDefault="002D2A8D" w:rsidP="000A69BD">
            <w:pPr>
              <w:pStyle w:val="ECCTabletext"/>
              <w:jc w:val="left"/>
            </w:pPr>
            <w:r>
              <w:t>22</w:t>
            </w:r>
            <w:r w:rsidR="00591E62">
              <w:t> m</w:t>
            </w:r>
          </w:p>
        </w:tc>
        <w:tc>
          <w:tcPr>
            <w:tcW w:w="1418" w:type="dxa"/>
          </w:tcPr>
          <w:p w14:paraId="00F56BAA" w14:textId="77777777" w:rsidR="00591E62" w:rsidRPr="00591E62" w:rsidRDefault="002D2A8D" w:rsidP="000A69BD">
            <w:pPr>
              <w:pStyle w:val="ECCTabletext"/>
              <w:jc w:val="left"/>
            </w:pPr>
            <w:r>
              <w:t>12</w:t>
            </w:r>
            <w:r w:rsidR="00591E62">
              <w:t> m</w:t>
            </w:r>
          </w:p>
        </w:tc>
        <w:tc>
          <w:tcPr>
            <w:tcW w:w="1365" w:type="dxa"/>
          </w:tcPr>
          <w:p w14:paraId="62300FFA" w14:textId="77777777" w:rsidR="00591E62" w:rsidRPr="00591E62" w:rsidRDefault="002D2A8D" w:rsidP="000A69BD">
            <w:pPr>
              <w:pStyle w:val="ECCTabletext"/>
              <w:jc w:val="left"/>
            </w:pPr>
            <w:r>
              <w:t>2</w:t>
            </w:r>
            <w:r w:rsidR="00591E62">
              <w:t> m</w:t>
            </w:r>
          </w:p>
        </w:tc>
        <w:tc>
          <w:tcPr>
            <w:tcW w:w="1328" w:type="dxa"/>
            <w:tcBorders>
              <w:right w:val="single" w:sz="4" w:space="0" w:color="D22A23"/>
            </w:tcBorders>
          </w:tcPr>
          <w:p w14:paraId="68E1E500" w14:textId="77777777" w:rsidR="00591E62" w:rsidRPr="00591E62" w:rsidRDefault="002D2A8D" w:rsidP="000A69BD">
            <w:pPr>
              <w:pStyle w:val="ECCTabletext"/>
              <w:jc w:val="left"/>
            </w:pPr>
            <w:r>
              <w:t>1</w:t>
            </w:r>
            <w:r w:rsidR="00591E62">
              <w:t> m</w:t>
            </w:r>
          </w:p>
        </w:tc>
      </w:tr>
      <w:tr w:rsidR="00591E62" w14:paraId="0B6866B7" w14:textId="77777777" w:rsidTr="00FB07D5">
        <w:tc>
          <w:tcPr>
            <w:tcW w:w="1405" w:type="dxa"/>
            <w:vMerge/>
          </w:tcPr>
          <w:p w14:paraId="56BFCF1F" w14:textId="77777777" w:rsidR="00591E62" w:rsidRPr="00913718" w:rsidRDefault="00591E62" w:rsidP="00591E62">
            <w:pPr>
              <w:pStyle w:val="ECCTabletext"/>
            </w:pPr>
          </w:p>
        </w:tc>
        <w:tc>
          <w:tcPr>
            <w:tcW w:w="1568" w:type="dxa"/>
          </w:tcPr>
          <w:p w14:paraId="1779C968" w14:textId="77777777" w:rsidR="00591E62" w:rsidRPr="00591E62" w:rsidRDefault="00591E62" w:rsidP="000A69BD">
            <w:pPr>
              <w:pStyle w:val="ECCTabletext"/>
              <w:jc w:val="left"/>
            </w:pPr>
            <w:r w:rsidRPr="00913718">
              <w:t>1</w:t>
            </w:r>
            <w:r w:rsidRPr="00591E62">
              <w:t>51</w:t>
            </w:r>
            <w:r w:rsidR="00CF4994">
              <w:t>.5</w:t>
            </w:r>
            <w:r w:rsidRPr="00591E62">
              <w:t xml:space="preserve"> to 164 GHz</w:t>
            </w:r>
            <w:r w:rsidR="006D26BA">
              <w:t xml:space="preserve"> (In-band)</w:t>
            </w:r>
          </w:p>
        </w:tc>
        <w:tc>
          <w:tcPr>
            <w:tcW w:w="1417" w:type="dxa"/>
          </w:tcPr>
          <w:p w14:paraId="363058E6" w14:textId="77777777" w:rsidR="00591E62" w:rsidRPr="00591E62" w:rsidRDefault="00591E62" w:rsidP="000A69BD">
            <w:pPr>
              <w:pStyle w:val="ECCTabletext"/>
              <w:jc w:val="left"/>
            </w:pPr>
            <w:r>
              <w:t>157</w:t>
            </w:r>
            <w:r w:rsidR="00CF4994">
              <w:t>.7</w:t>
            </w:r>
            <w:r>
              <w:t>5 GHz</w:t>
            </w:r>
          </w:p>
        </w:tc>
        <w:tc>
          <w:tcPr>
            <w:tcW w:w="1275" w:type="dxa"/>
          </w:tcPr>
          <w:p w14:paraId="77CF3948" w14:textId="77777777" w:rsidR="00591E62" w:rsidRPr="00591E62" w:rsidRDefault="002D2A8D" w:rsidP="000A69BD">
            <w:pPr>
              <w:pStyle w:val="ECCTabletext"/>
              <w:jc w:val="left"/>
            </w:pPr>
            <w:r>
              <w:t>20</w:t>
            </w:r>
            <w:r w:rsidR="00591E62">
              <w:t> m</w:t>
            </w:r>
          </w:p>
        </w:tc>
        <w:tc>
          <w:tcPr>
            <w:tcW w:w="1418" w:type="dxa"/>
          </w:tcPr>
          <w:p w14:paraId="63D5752B" w14:textId="77777777" w:rsidR="00591E62" w:rsidRPr="00591E62" w:rsidRDefault="002D2A8D" w:rsidP="000A69BD">
            <w:pPr>
              <w:pStyle w:val="ECCTabletext"/>
              <w:jc w:val="left"/>
            </w:pPr>
            <w:r>
              <w:t>11</w:t>
            </w:r>
            <w:r w:rsidR="00591E62">
              <w:t> m</w:t>
            </w:r>
          </w:p>
        </w:tc>
        <w:tc>
          <w:tcPr>
            <w:tcW w:w="1365" w:type="dxa"/>
          </w:tcPr>
          <w:p w14:paraId="0EFCCFC3" w14:textId="77777777" w:rsidR="00591E62" w:rsidRPr="00591E62" w:rsidRDefault="002D2A8D" w:rsidP="000A69BD">
            <w:pPr>
              <w:pStyle w:val="ECCTabletext"/>
              <w:jc w:val="left"/>
            </w:pPr>
            <w:r>
              <w:t>2</w:t>
            </w:r>
            <w:r w:rsidR="00591E62">
              <w:t> m</w:t>
            </w:r>
          </w:p>
        </w:tc>
        <w:tc>
          <w:tcPr>
            <w:tcW w:w="1328" w:type="dxa"/>
            <w:tcBorders>
              <w:right w:val="single" w:sz="4" w:space="0" w:color="D22A23"/>
            </w:tcBorders>
          </w:tcPr>
          <w:p w14:paraId="13BB16DA" w14:textId="77777777" w:rsidR="00591E62" w:rsidRPr="00591E62" w:rsidRDefault="002D2A8D" w:rsidP="000A69BD">
            <w:pPr>
              <w:pStyle w:val="ECCTabletext"/>
              <w:jc w:val="left"/>
            </w:pPr>
            <w:r>
              <w:t>1</w:t>
            </w:r>
            <w:r w:rsidR="00591E62">
              <w:t> m</w:t>
            </w:r>
          </w:p>
        </w:tc>
      </w:tr>
      <w:tr w:rsidR="00591E62" w14:paraId="754A7581" w14:textId="77777777" w:rsidTr="00FB07D5">
        <w:tc>
          <w:tcPr>
            <w:tcW w:w="1405" w:type="dxa"/>
            <w:vMerge/>
          </w:tcPr>
          <w:p w14:paraId="3F3932D4" w14:textId="77777777" w:rsidR="00591E62" w:rsidRPr="00913718" w:rsidRDefault="00591E62" w:rsidP="00591E62">
            <w:pPr>
              <w:pStyle w:val="ECCTabletext"/>
            </w:pPr>
          </w:p>
        </w:tc>
        <w:tc>
          <w:tcPr>
            <w:tcW w:w="1568" w:type="dxa"/>
          </w:tcPr>
          <w:p w14:paraId="105FB946" w14:textId="77777777" w:rsidR="00591E62" w:rsidRPr="00591E62" w:rsidRDefault="00591E62" w:rsidP="000A69BD">
            <w:pPr>
              <w:pStyle w:val="ECCTabletext"/>
              <w:jc w:val="left"/>
            </w:pPr>
            <w:r>
              <w:t>167 to 174</w:t>
            </w:r>
            <w:r w:rsidR="00CF4994">
              <w:t>.8</w:t>
            </w:r>
            <w:r>
              <w:t> GHz</w:t>
            </w:r>
            <w:r w:rsidR="006D26BA">
              <w:t xml:space="preserve"> (In-band)</w:t>
            </w:r>
          </w:p>
        </w:tc>
        <w:tc>
          <w:tcPr>
            <w:tcW w:w="1417" w:type="dxa"/>
          </w:tcPr>
          <w:p w14:paraId="43536621" w14:textId="77777777" w:rsidR="00591E62" w:rsidRPr="00591E62" w:rsidRDefault="00591E62" w:rsidP="000A69BD">
            <w:pPr>
              <w:pStyle w:val="ECCTabletext"/>
              <w:jc w:val="left"/>
            </w:pPr>
            <w:r>
              <w:t>170</w:t>
            </w:r>
            <w:r w:rsidR="00CF4994">
              <w:t>.7</w:t>
            </w:r>
            <w:r>
              <w:t>5 GHz</w:t>
            </w:r>
          </w:p>
        </w:tc>
        <w:tc>
          <w:tcPr>
            <w:tcW w:w="1275" w:type="dxa"/>
          </w:tcPr>
          <w:p w14:paraId="7181E690" w14:textId="77777777" w:rsidR="00591E62" w:rsidRPr="00591E62" w:rsidRDefault="002D2A8D" w:rsidP="000A69BD">
            <w:pPr>
              <w:pStyle w:val="ECCTabletext"/>
              <w:jc w:val="left"/>
            </w:pPr>
            <w:r>
              <w:t>19</w:t>
            </w:r>
            <w:r w:rsidR="00591E62">
              <w:t> m</w:t>
            </w:r>
          </w:p>
        </w:tc>
        <w:tc>
          <w:tcPr>
            <w:tcW w:w="1418" w:type="dxa"/>
          </w:tcPr>
          <w:p w14:paraId="1F7715B4" w14:textId="77777777" w:rsidR="00591E62" w:rsidRPr="00591E62" w:rsidRDefault="002D2A8D" w:rsidP="000A69BD">
            <w:pPr>
              <w:pStyle w:val="ECCTabletext"/>
              <w:jc w:val="left"/>
            </w:pPr>
            <w:r>
              <w:t>10</w:t>
            </w:r>
            <w:r w:rsidR="00591E62">
              <w:t> m</w:t>
            </w:r>
          </w:p>
        </w:tc>
        <w:tc>
          <w:tcPr>
            <w:tcW w:w="1365" w:type="dxa"/>
          </w:tcPr>
          <w:p w14:paraId="368869BE" w14:textId="77777777" w:rsidR="00591E62" w:rsidRPr="00591E62" w:rsidRDefault="002D2A8D" w:rsidP="000A69BD">
            <w:pPr>
              <w:pStyle w:val="ECCTabletext"/>
              <w:jc w:val="left"/>
            </w:pPr>
            <w:r>
              <w:t>2</w:t>
            </w:r>
            <w:r w:rsidR="00591E62">
              <w:t> m</w:t>
            </w:r>
          </w:p>
        </w:tc>
        <w:tc>
          <w:tcPr>
            <w:tcW w:w="1328" w:type="dxa"/>
            <w:tcBorders>
              <w:right w:val="single" w:sz="4" w:space="0" w:color="D22A23"/>
            </w:tcBorders>
          </w:tcPr>
          <w:p w14:paraId="2A4D5F36" w14:textId="77777777" w:rsidR="00591E62" w:rsidRPr="00591E62" w:rsidRDefault="002D2A8D" w:rsidP="000A69BD">
            <w:pPr>
              <w:pStyle w:val="ECCTabletext"/>
              <w:jc w:val="left"/>
            </w:pPr>
            <w:r>
              <w:t>1</w:t>
            </w:r>
            <w:r w:rsidR="00591E62">
              <w:t> m</w:t>
            </w:r>
          </w:p>
        </w:tc>
      </w:tr>
    </w:tbl>
    <w:p w14:paraId="448ABC5D" w14:textId="6EA57DA1" w:rsidR="00605D3C" w:rsidRPr="00D735FC" w:rsidRDefault="00530C48" w:rsidP="00605D3C">
      <w:r>
        <w:t xml:space="preserve">The conclusions drawn from these results can be found in </w:t>
      </w:r>
      <w:r w:rsidR="009D5FA2">
        <w:t>section</w:t>
      </w:r>
      <w:r>
        <w:t xml:space="preserve"> </w:t>
      </w:r>
      <w:r>
        <w:fldChar w:fldCharType="begin"/>
      </w:r>
      <w:r>
        <w:instrText xml:space="preserve"> REF _Ref67393077 \r \h </w:instrText>
      </w:r>
      <w:r>
        <w:fldChar w:fldCharType="separate"/>
      </w:r>
      <w:r w:rsidR="004F49F9">
        <w:t>8.8.3</w:t>
      </w:r>
      <w:r>
        <w:fldChar w:fldCharType="end"/>
      </w:r>
      <w:r>
        <w:t>.</w:t>
      </w:r>
    </w:p>
    <w:p w14:paraId="19692836" w14:textId="77777777" w:rsidR="00B3337C" w:rsidRDefault="00782957" w:rsidP="00B3337C">
      <w:pPr>
        <w:pStyle w:val="Heading1"/>
        <w:rPr>
          <w:noProof/>
          <w:lang w:val="en-GB"/>
        </w:rPr>
      </w:pPr>
      <w:bookmarkStart w:id="690" w:name="_Ref67995675"/>
      <w:bookmarkStart w:id="691" w:name="_Toc84325401"/>
      <w:bookmarkStart w:id="692" w:name="_Toc127346323"/>
      <w:r>
        <w:t>Sharing and Compatibility Studies with EESS (Passive)</w:t>
      </w:r>
      <w:bookmarkEnd w:id="690"/>
      <w:bookmarkEnd w:id="691"/>
      <w:bookmarkEnd w:id="692"/>
    </w:p>
    <w:p w14:paraId="72384CB9" w14:textId="77777777" w:rsidR="00FB07D5" w:rsidRPr="00310332" w:rsidRDefault="00FB07D5" w:rsidP="00310332">
      <w:pPr>
        <w:pStyle w:val="Heading2"/>
        <w:rPr>
          <w:rStyle w:val="Hyperlink"/>
          <w:color w:val="auto"/>
          <w:u w:val="none"/>
        </w:rPr>
      </w:pPr>
      <w:bookmarkStart w:id="693" w:name="_Toc84325402"/>
      <w:bookmarkStart w:id="694" w:name="_Toc127346324"/>
      <w:r w:rsidRPr="00310332">
        <w:rPr>
          <w:rStyle w:val="Hyperlink"/>
          <w:color w:val="auto"/>
          <w:u w:val="none"/>
        </w:rPr>
        <w:t xml:space="preserve">Generic </w:t>
      </w:r>
      <w:r w:rsidR="006A55E4" w:rsidRPr="00310332">
        <w:rPr>
          <w:rStyle w:val="Hyperlink"/>
          <w:color w:val="auto"/>
          <w:u w:val="none"/>
        </w:rPr>
        <w:t xml:space="preserve">Indoor </w:t>
      </w:r>
      <w:r w:rsidRPr="00310332">
        <w:rPr>
          <w:rStyle w:val="Hyperlink"/>
          <w:color w:val="auto"/>
          <w:u w:val="none"/>
        </w:rPr>
        <w:t>surveillance Radar</w:t>
      </w:r>
      <w:bookmarkEnd w:id="693"/>
      <w:bookmarkEnd w:id="694"/>
    </w:p>
    <w:p w14:paraId="74E43C61" w14:textId="77777777" w:rsidR="00A916BE" w:rsidRDefault="00A916BE" w:rsidP="00A916BE">
      <w:pPr>
        <w:pStyle w:val="Heading3"/>
      </w:pPr>
      <w:bookmarkStart w:id="695" w:name="_Ref67913648"/>
      <w:bookmarkStart w:id="696" w:name="_Toc84325403"/>
      <w:bookmarkStart w:id="697" w:name="_Toc127346325"/>
      <w:r>
        <w:t>Technical parameters of generic indoor survei</w:t>
      </w:r>
      <w:r w:rsidR="005E5019">
        <w:t>l</w:t>
      </w:r>
      <w:r>
        <w:t>lance radar sensors</w:t>
      </w:r>
      <w:bookmarkEnd w:id="695"/>
      <w:bookmarkEnd w:id="696"/>
      <w:bookmarkEnd w:id="697"/>
    </w:p>
    <w:p w14:paraId="72ED5A15" w14:textId="19E07289" w:rsidR="008045F1" w:rsidRPr="00FB07D5" w:rsidRDefault="008045F1" w:rsidP="008045F1">
      <w:r w:rsidRPr="00FB07D5">
        <w:t xml:space="preserve">For </w:t>
      </w:r>
      <w:r>
        <w:t>generic indoor surveillance radar sensors</w:t>
      </w:r>
      <w:r w:rsidRPr="00FB07D5">
        <w:t xml:space="preserve"> altogether </w:t>
      </w:r>
      <w:r>
        <w:t>three</w:t>
      </w:r>
      <w:r w:rsidRPr="00FB07D5">
        <w:t xml:space="preserve"> potential frequency bands have been defined (see </w:t>
      </w:r>
      <w:r w:rsidR="009D5FA2">
        <w:t>section</w:t>
      </w:r>
      <w:r w:rsidRPr="00FB07D5">
        <w:t xml:space="preserve"> </w:t>
      </w:r>
      <w:r>
        <w:rPr>
          <w:highlight w:val="yellow"/>
        </w:rPr>
        <w:fldChar w:fldCharType="begin"/>
      </w:r>
      <w:r>
        <w:instrText xml:space="preserve"> REF _Ref67854171 \n \h </w:instrText>
      </w:r>
      <w:r>
        <w:rPr>
          <w:highlight w:val="yellow"/>
        </w:rPr>
      </w:r>
      <w:r>
        <w:rPr>
          <w:highlight w:val="yellow"/>
        </w:rPr>
        <w:fldChar w:fldCharType="separate"/>
      </w:r>
      <w:r w:rsidR="004F49F9">
        <w:t>2.2.1.2</w:t>
      </w:r>
      <w:r>
        <w:rPr>
          <w:highlight w:val="yellow"/>
        </w:rPr>
        <w:fldChar w:fldCharType="end"/>
      </w:r>
      <w:r w:rsidRPr="00FB07D5">
        <w:t xml:space="preserve">). However, only for the </w:t>
      </w:r>
      <w:r>
        <w:t>two</w:t>
      </w:r>
      <w:r w:rsidRPr="00FB07D5">
        <w:t xml:space="preserve"> frequency bands 116 to 130 GHz</w:t>
      </w:r>
      <w:r>
        <w:t xml:space="preserve"> </w:t>
      </w:r>
      <w:r w:rsidRPr="00FB07D5">
        <w:t xml:space="preserve">and </w:t>
      </w:r>
      <w:r>
        <w:t xml:space="preserve">141 </w:t>
      </w:r>
      <w:r w:rsidRPr="00FB07D5">
        <w:t xml:space="preserve">to </w:t>
      </w:r>
      <w:r>
        <w:t>148</w:t>
      </w:r>
      <w:r w:rsidR="00CF4994">
        <w:t>.5</w:t>
      </w:r>
      <w:r w:rsidRPr="00FB07D5">
        <w:t xml:space="preserve"> GHz allocations for EESS are affected which are located within these bands or adjacent to them (please compare the figures in </w:t>
      </w:r>
      <w:r w:rsidR="009D5FA2">
        <w:t>section</w:t>
      </w:r>
      <w:r w:rsidRPr="00FB07D5">
        <w:t xml:space="preserve"> </w:t>
      </w:r>
      <w:r>
        <w:rPr>
          <w:highlight w:val="yellow"/>
        </w:rPr>
        <w:fldChar w:fldCharType="begin"/>
      </w:r>
      <w:r>
        <w:instrText xml:space="preserve"> REF _Ref66361706 \r \h </w:instrText>
      </w:r>
      <w:r>
        <w:rPr>
          <w:highlight w:val="yellow"/>
        </w:rPr>
      </w:r>
      <w:r>
        <w:rPr>
          <w:highlight w:val="yellow"/>
        </w:rPr>
        <w:fldChar w:fldCharType="separate"/>
      </w:r>
      <w:r w:rsidR="004F49F9">
        <w:t>3.3</w:t>
      </w:r>
      <w:r>
        <w:rPr>
          <w:highlight w:val="yellow"/>
        </w:rPr>
        <w:fldChar w:fldCharType="end"/>
      </w:r>
      <w:r w:rsidRPr="00FB07D5">
        <w:t>).</w:t>
      </w:r>
      <w:r w:rsidR="00907448">
        <w:t xml:space="preserve"> </w:t>
      </w:r>
      <w:r w:rsidRPr="00FB07D5">
        <w:t xml:space="preserve">Consequently, these </w:t>
      </w:r>
      <w:r>
        <w:t>two</w:t>
      </w:r>
      <w:r w:rsidRPr="00FB07D5">
        <w:t xml:space="preserve"> bands have been investigated in single-entry and aggregate studies. In these studies the individual residual margin (</w:t>
      </w:r>
      <w:r w:rsidR="009D5FA2">
        <w:t>section</w:t>
      </w:r>
      <w:r w:rsidRPr="00FB07D5">
        <w:t xml:space="preserve"> </w:t>
      </w:r>
      <w:r>
        <w:rPr>
          <w:highlight w:val="yellow"/>
        </w:rPr>
        <w:fldChar w:fldCharType="begin"/>
      </w:r>
      <w:r>
        <w:instrText xml:space="preserve"> REF _Ref66361724 \r \h </w:instrText>
      </w:r>
      <w:r>
        <w:rPr>
          <w:highlight w:val="yellow"/>
        </w:rPr>
      </w:r>
      <w:r>
        <w:rPr>
          <w:highlight w:val="yellow"/>
        </w:rPr>
        <w:fldChar w:fldCharType="separate"/>
      </w:r>
      <w:r w:rsidR="004F49F9">
        <w:t>3.4.4</w:t>
      </w:r>
      <w:r>
        <w:rPr>
          <w:highlight w:val="yellow"/>
        </w:rPr>
        <w:fldChar w:fldCharType="end"/>
      </w:r>
      <w:r w:rsidRPr="00FB07D5">
        <w:t>) to the interference criterion is determined by means of the technical parameters (</w:t>
      </w:r>
      <w:r w:rsidR="009D5FA2">
        <w:t>section</w:t>
      </w:r>
      <w:r w:rsidRPr="00FB07D5">
        <w:t xml:space="preserve"> </w:t>
      </w:r>
      <w:r w:rsidR="00907448">
        <w:rPr>
          <w:highlight w:val="yellow"/>
        </w:rPr>
        <w:fldChar w:fldCharType="begin"/>
      </w:r>
      <w:r w:rsidR="00907448">
        <w:instrText xml:space="preserve"> REF _Ref67854364 \n \h </w:instrText>
      </w:r>
      <w:r w:rsidR="00907448">
        <w:rPr>
          <w:highlight w:val="yellow"/>
        </w:rPr>
      </w:r>
      <w:r w:rsidR="00907448">
        <w:rPr>
          <w:highlight w:val="yellow"/>
        </w:rPr>
        <w:fldChar w:fldCharType="separate"/>
      </w:r>
      <w:r w:rsidR="004F49F9">
        <w:t>2.2.1.3</w:t>
      </w:r>
      <w:r w:rsidR="00907448">
        <w:rPr>
          <w:highlight w:val="yellow"/>
        </w:rPr>
        <w:fldChar w:fldCharType="end"/>
      </w:r>
      <w:r w:rsidRPr="00FB07D5">
        <w:t>), the antenna data (</w:t>
      </w:r>
      <w:r w:rsidR="009D5FA2">
        <w:t>section</w:t>
      </w:r>
      <w:r w:rsidRPr="00FB07D5">
        <w:t xml:space="preserve"> </w:t>
      </w:r>
      <w:r w:rsidR="00907448">
        <w:rPr>
          <w:highlight w:val="yellow"/>
        </w:rPr>
        <w:fldChar w:fldCharType="begin"/>
      </w:r>
      <w:r w:rsidR="00907448">
        <w:instrText xml:space="preserve"> REF _Ref67854372 \n \h </w:instrText>
      </w:r>
      <w:r w:rsidR="00907448">
        <w:rPr>
          <w:highlight w:val="yellow"/>
        </w:rPr>
      </w:r>
      <w:r w:rsidR="00907448">
        <w:rPr>
          <w:highlight w:val="yellow"/>
        </w:rPr>
        <w:fldChar w:fldCharType="separate"/>
      </w:r>
      <w:r w:rsidR="0041125F">
        <w:t>2.2.1.4</w:t>
      </w:r>
      <w:r w:rsidR="00907448">
        <w:rPr>
          <w:highlight w:val="yellow"/>
        </w:rPr>
        <w:fldChar w:fldCharType="end"/>
      </w:r>
      <w:r w:rsidRPr="00FB07D5">
        <w:t>), the defined interference scenarios (</w:t>
      </w:r>
      <w:r w:rsidR="009D5FA2">
        <w:t>section</w:t>
      </w:r>
      <w:r w:rsidRPr="00FB07D5">
        <w:t xml:space="preserve"> </w:t>
      </w:r>
      <w:r w:rsidR="00907448">
        <w:rPr>
          <w:highlight w:val="yellow"/>
        </w:rPr>
        <w:fldChar w:fldCharType="begin"/>
      </w:r>
      <w:r w:rsidR="00907448">
        <w:instrText xml:space="preserve"> REF _Ref67854384 \n \h </w:instrText>
      </w:r>
      <w:r w:rsidR="00907448">
        <w:rPr>
          <w:highlight w:val="yellow"/>
        </w:rPr>
      </w:r>
      <w:r w:rsidR="00907448">
        <w:rPr>
          <w:highlight w:val="yellow"/>
        </w:rPr>
        <w:fldChar w:fldCharType="separate"/>
      </w:r>
      <w:r w:rsidR="004F49F9">
        <w:t>2.2.1.6</w:t>
      </w:r>
      <w:r w:rsidR="00907448">
        <w:rPr>
          <w:highlight w:val="yellow"/>
        </w:rPr>
        <w:fldChar w:fldCharType="end"/>
      </w:r>
      <w:r w:rsidRPr="00FB07D5">
        <w:t>) and the protection requirements for EESS (</w:t>
      </w:r>
      <w:r w:rsidR="009D5FA2">
        <w:t>section</w:t>
      </w:r>
      <w:r w:rsidRPr="00FB07D5">
        <w:t xml:space="preserve"> </w:t>
      </w:r>
      <w:r>
        <w:rPr>
          <w:highlight w:val="yellow"/>
        </w:rPr>
        <w:fldChar w:fldCharType="begin"/>
      </w:r>
      <w:r>
        <w:instrText xml:space="preserve"> REF _Ref66361876 \r \h </w:instrText>
      </w:r>
      <w:r>
        <w:rPr>
          <w:highlight w:val="yellow"/>
        </w:rPr>
      </w:r>
      <w:r>
        <w:rPr>
          <w:highlight w:val="yellow"/>
        </w:rPr>
        <w:fldChar w:fldCharType="separate"/>
      </w:r>
      <w:r w:rsidR="004F49F9">
        <w:t>3.5.4</w:t>
      </w:r>
      <w:r>
        <w:rPr>
          <w:highlight w:val="yellow"/>
        </w:rPr>
        <w:fldChar w:fldCharType="end"/>
      </w:r>
      <w:r w:rsidRPr="00FB07D5">
        <w:t xml:space="preserve">). The exact calculations can be found in an Excel-spreadsheet which is attached to this </w:t>
      </w:r>
      <w:hyperlink r:id="rId164" w:history="1">
        <w:r w:rsidR="00C70410">
          <w:rPr>
            <w:rStyle w:val="Hyperlink"/>
          </w:rPr>
          <w:t>Report</w:t>
        </w:r>
      </w:hyperlink>
      <w:r w:rsidRPr="00FB07D5">
        <w:t>.</w:t>
      </w:r>
    </w:p>
    <w:p w14:paraId="16A5D9C8" w14:textId="455A1AD8" w:rsidR="00907448" w:rsidRPr="00FB07D5" w:rsidRDefault="00907448" w:rsidP="00907448">
      <w:r w:rsidRPr="00FB07D5">
        <w:t xml:space="preserve">The following technical parameters of the </w:t>
      </w:r>
      <w:r w:rsidR="009D5FA2">
        <w:t>hand-held</w:t>
      </w:r>
      <w:r w:rsidRPr="007E2326">
        <w:t>/mobile and fixed generic</w:t>
      </w:r>
      <w:r>
        <w:t xml:space="preserve"> </w:t>
      </w:r>
      <w:r w:rsidRPr="007E2326">
        <w:t>indoor surveil</w:t>
      </w:r>
      <w:r>
        <w:t>l</w:t>
      </w:r>
      <w:r w:rsidRPr="007E2326">
        <w:t>ance</w:t>
      </w:r>
      <w:r w:rsidRPr="00FB07D5">
        <w:t xml:space="preserve"> application (</w:t>
      </w:r>
      <w:r w:rsidR="009D5FA2">
        <w:t>section</w:t>
      </w:r>
      <w:r w:rsidRPr="00FB07D5">
        <w:t xml:space="preserve"> </w:t>
      </w:r>
      <w:r>
        <w:rPr>
          <w:highlight w:val="yellow"/>
        </w:rPr>
        <w:fldChar w:fldCharType="begin"/>
      </w:r>
      <w:r>
        <w:instrText xml:space="preserve"> REF _Ref67854482 \n \h </w:instrText>
      </w:r>
      <w:r>
        <w:rPr>
          <w:highlight w:val="yellow"/>
        </w:rPr>
      </w:r>
      <w:r>
        <w:rPr>
          <w:highlight w:val="yellow"/>
        </w:rPr>
        <w:fldChar w:fldCharType="separate"/>
      </w:r>
      <w:r w:rsidR="004F49F9">
        <w:t>2.2.1.3</w:t>
      </w:r>
      <w:r>
        <w:rPr>
          <w:highlight w:val="yellow"/>
        </w:rPr>
        <w:fldChar w:fldCharType="end"/>
      </w:r>
      <w:r w:rsidRPr="00FB07D5">
        <w:t>) have been used in the studies in the different frequency ranges.</w:t>
      </w:r>
    </w:p>
    <w:p w14:paraId="73A094C3" w14:textId="6C2366C1" w:rsidR="00907448" w:rsidRDefault="00907448" w:rsidP="00907448">
      <w:pPr>
        <w:pStyle w:val="Caption"/>
        <w:rPr>
          <w:rStyle w:val="ECCParagraph"/>
        </w:rPr>
      </w:pPr>
      <w:bookmarkStart w:id="698" w:name="_Ref67858952"/>
      <w:r w:rsidRPr="00477961">
        <w:t>Table </w:t>
      </w:r>
      <w:r>
        <w:fldChar w:fldCharType="begin"/>
      </w:r>
      <w:r>
        <w:instrText>SEQ Table \* ARABIC</w:instrText>
      </w:r>
      <w:r>
        <w:fldChar w:fldCharType="separate"/>
      </w:r>
      <w:r w:rsidR="004F49F9">
        <w:rPr>
          <w:noProof/>
        </w:rPr>
        <w:t>83</w:t>
      </w:r>
      <w:r>
        <w:fldChar w:fldCharType="end"/>
      </w:r>
      <w:bookmarkEnd w:id="698"/>
      <w:r>
        <w:t>: Technical parameters of generic indoor surveillance radars used for the conducted single-entry and aggregate studies in the different frequency bands</w:t>
      </w:r>
    </w:p>
    <w:tbl>
      <w:tblPr>
        <w:tblStyle w:val="ECCTable-redheader"/>
        <w:tblW w:w="9776" w:type="dxa"/>
        <w:tblInd w:w="0" w:type="dxa"/>
        <w:tblLayout w:type="fixed"/>
        <w:tblLook w:val="04A0" w:firstRow="1" w:lastRow="0" w:firstColumn="1" w:lastColumn="0" w:noHBand="0" w:noVBand="1"/>
      </w:tblPr>
      <w:tblGrid>
        <w:gridCol w:w="1413"/>
        <w:gridCol w:w="1843"/>
        <w:gridCol w:w="1417"/>
        <w:gridCol w:w="851"/>
        <w:gridCol w:w="1525"/>
        <w:gridCol w:w="1310"/>
        <w:gridCol w:w="1417"/>
      </w:tblGrid>
      <w:tr w:rsidR="00907448" w:rsidRPr="00566944" w14:paraId="53DCF41D" w14:textId="77777777" w:rsidTr="00AE28F3">
        <w:trPr>
          <w:cnfStyle w:val="100000000000" w:firstRow="1" w:lastRow="0" w:firstColumn="0" w:lastColumn="0" w:oddVBand="0" w:evenVBand="0" w:oddHBand="0" w:evenHBand="0" w:firstRowFirstColumn="0" w:firstRowLastColumn="0" w:lastRowFirstColumn="0" w:lastRowLastColumn="0"/>
        </w:trPr>
        <w:tc>
          <w:tcPr>
            <w:tcW w:w="1413" w:type="dxa"/>
          </w:tcPr>
          <w:p w14:paraId="7277E523" w14:textId="77777777" w:rsidR="00907448" w:rsidRPr="00907448" w:rsidRDefault="00907448" w:rsidP="00876039">
            <w:pPr>
              <w:pStyle w:val="ECCTableHeaderwhitefont"/>
            </w:pPr>
            <w:r w:rsidRPr="002876E6">
              <w:t>Investigated frequency range</w:t>
            </w:r>
          </w:p>
        </w:tc>
        <w:tc>
          <w:tcPr>
            <w:tcW w:w="1843" w:type="dxa"/>
          </w:tcPr>
          <w:p w14:paraId="7C9E69EB" w14:textId="77777777" w:rsidR="00907448" w:rsidRPr="00907448" w:rsidRDefault="00907448" w:rsidP="000A69BD">
            <w:pPr>
              <w:pStyle w:val="ECCTableHeaderwhitefont"/>
            </w:pPr>
            <w:r>
              <w:t>Device type</w:t>
            </w:r>
          </w:p>
        </w:tc>
        <w:tc>
          <w:tcPr>
            <w:tcW w:w="1417" w:type="dxa"/>
          </w:tcPr>
          <w:p w14:paraId="64526676" w14:textId="77777777" w:rsidR="00907448" w:rsidRPr="00907448" w:rsidRDefault="00907448" w:rsidP="000A69BD">
            <w:pPr>
              <w:pStyle w:val="ECCTableHeaderwhitefont"/>
            </w:pPr>
            <w:r>
              <w:t>Assumed m</w:t>
            </w:r>
            <w:r w:rsidRPr="00907448">
              <w:t>odulation bandwidth</w:t>
            </w:r>
          </w:p>
        </w:tc>
        <w:tc>
          <w:tcPr>
            <w:tcW w:w="851" w:type="dxa"/>
          </w:tcPr>
          <w:p w14:paraId="4831B414" w14:textId="77777777" w:rsidR="00907448" w:rsidRPr="00907448" w:rsidRDefault="00907448" w:rsidP="000A69BD">
            <w:pPr>
              <w:pStyle w:val="ECCTableHeaderwhitefont"/>
            </w:pPr>
            <w:r w:rsidRPr="002876E6">
              <w:t>Duty cycle</w:t>
            </w:r>
          </w:p>
        </w:tc>
        <w:tc>
          <w:tcPr>
            <w:tcW w:w="1525" w:type="dxa"/>
          </w:tcPr>
          <w:p w14:paraId="35D63CBB" w14:textId="77777777" w:rsidR="00907448" w:rsidRPr="00907448" w:rsidRDefault="00907448" w:rsidP="000A69BD">
            <w:pPr>
              <w:pStyle w:val="ECCTableHeaderwhitefont"/>
            </w:pPr>
            <w:r w:rsidRPr="00B10E31">
              <w:t xml:space="preserve">Mean </w:t>
            </w:r>
            <w:r w:rsidRPr="00907448">
              <w:t>e.i.r.p. spectral density (Note 2)</w:t>
            </w:r>
          </w:p>
        </w:tc>
        <w:tc>
          <w:tcPr>
            <w:tcW w:w="1310" w:type="dxa"/>
          </w:tcPr>
          <w:p w14:paraId="76E4A720" w14:textId="77777777" w:rsidR="00907448" w:rsidRPr="00907448" w:rsidRDefault="00907448" w:rsidP="000A69BD">
            <w:pPr>
              <w:pStyle w:val="ECCTableHeaderwhitefont"/>
            </w:pPr>
            <w:r>
              <w:t>Mean</w:t>
            </w:r>
            <w:r w:rsidRPr="00907448">
              <w:t xml:space="preserve"> e.i.r.p. (Note 2)</w:t>
            </w:r>
          </w:p>
        </w:tc>
        <w:tc>
          <w:tcPr>
            <w:tcW w:w="1417" w:type="dxa"/>
          </w:tcPr>
          <w:p w14:paraId="3CEC649F" w14:textId="77777777" w:rsidR="00907448" w:rsidRPr="00907448" w:rsidRDefault="00907448" w:rsidP="000A69BD">
            <w:pPr>
              <w:pStyle w:val="ECCTableHeaderwhitefont"/>
            </w:pPr>
            <w:r>
              <w:t>OOB attenuati</w:t>
            </w:r>
            <w:r w:rsidRPr="00907448">
              <w:t>on (Note 1)</w:t>
            </w:r>
          </w:p>
        </w:tc>
      </w:tr>
      <w:tr w:rsidR="00907448" w:rsidRPr="00C53FB5" w14:paraId="2D1F50FE" w14:textId="77777777" w:rsidTr="00AE28F3">
        <w:tc>
          <w:tcPr>
            <w:tcW w:w="1413" w:type="dxa"/>
            <w:vMerge w:val="restart"/>
          </w:tcPr>
          <w:p w14:paraId="5E8DD9E5" w14:textId="77777777" w:rsidR="00907448" w:rsidRPr="00907448" w:rsidRDefault="00907448" w:rsidP="000A69BD">
            <w:pPr>
              <w:pStyle w:val="ECCTabletext"/>
              <w:jc w:val="left"/>
            </w:pPr>
            <w:r w:rsidRPr="00C53FB5">
              <w:t xml:space="preserve">116 </w:t>
            </w:r>
            <w:r w:rsidRPr="00907448">
              <w:t>to 130 GHz</w:t>
            </w:r>
          </w:p>
        </w:tc>
        <w:tc>
          <w:tcPr>
            <w:tcW w:w="1843" w:type="dxa"/>
          </w:tcPr>
          <w:p w14:paraId="02ED0C79" w14:textId="4F0685DC" w:rsidR="00907448" w:rsidRPr="00907448" w:rsidRDefault="009D5FA2" w:rsidP="000A69BD">
            <w:pPr>
              <w:pStyle w:val="ECCTabletext"/>
              <w:jc w:val="left"/>
            </w:pPr>
            <w:r>
              <w:t>Hand-held</w:t>
            </w:r>
            <w:r w:rsidR="00907448" w:rsidRPr="00907448">
              <w:t>/mobile</w:t>
            </w:r>
          </w:p>
        </w:tc>
        <w:tc>
          <w:tcPr>
            <w:tcW w:w="1417" w:type="dxa"/>
          </w:tcPr>
          <w:p w14:paraId="5B042F1C" w14:textId="77777777" w:rsidR="00907448" w:rsidRPr="00907448" w:rsidRDefault="00907448" w:rsidP="000A69BD">
            <w:pPr>
              <w:pStyle w:val="ECCTabletext"/>
              <w:jc w:val="left"/>
            </w:pPr>
            <w:r>
              <w:t>1 GHz</w:t>
            </w:r>
          </w:p>
        </w:tc>
        <w:tc>
          <w:tcPr>
            <w:tcW w:w="851" w:type="dxa"/>
          </w:tcPr>
          <w:p w14:paraId="4A902502" w14:textId="484A290E" w:rsidR="00907448" w:rsidRPr="00907448" w:rsidRDefault="00907448" w:rsidP="000A69BD">
            <w:pPr>
              <w:pStyle w:val="ECCTabletext"/>
              <w:jc w:val="left"/>
            </w:pPr>
            <w:r>
              <w:t>20</w:t>
            </w:r>
            <w:r w:rsidR="00F800A2">
              <w:t>%</w:t>
            </w:r>
          </w:p>
        </w:tc>
        <w:tc>
          <w:tcPr>
            <w:tcW w:w="1525" w:type="dxa"/>
          </w:tcPr>
          <w:p w14:paraId="16E8946C" w14:textId="77777777" w:rsidR="00907448" w:rsidRPr="00907448" w:rsidRDefault="00907448" w:rsidP="000A69BD">
            <w:pPr>
              <w:pStyle w:val="ECCTabletext"/>
              <w:jc w:val="left"/>
            </w:pPr>
            <w:r>
              <w:t>-20 dBm</w:t>
            </w:r>
            <w:r w:rsidRPr="00907448">
              <w:t>/MHz</w:t>
            </w:r>
          </w:p>
        </w:tc>
        <w:tc>
          <w:tcPr>
            <w:tcW w:w="1310" w:type="dxa"/>
          </w:tcPr>
          <w:p w14:paraId="7392ACC7" w14:textId="77777777" w:rsidR="00907448" w:rsidRPr="00907448" w:rsidRDefault="00907448" w:rsidP="000A69BD">
            <w:pPr>
              <w:pStyle w:val="ECCTabletext"/>
              <w:jc w:val="left"/>
            </w:pPr>
            <w:r>
              <w:t>10 dBm</w:t>
            </w:r>
          </w:p>
        </w:tc>
        <w:tc>
          <w:tcPr>
            <w:tcW w:w="1417" w:type="dxa"/>
          </w:tcPr>
          <w:p w14:paraId="5CFB3B50" w14:textId="77777777" w:rsidR="00907448" w:rsidRPr="00907448" w:rsidRDefault="00907448" w:rsidP="000A69BD">
            <w:pPr>
              <w:pStyle w:val="ECCTabletext"/>
              <w:jc w:val="left"/>
            </w:pPr>
            <w:r w:rsidRPr="00497690">
              <w:t>20 dB</w:t>
            </w:r>
          </w:p>
        </w:tc>
      </w:tr>
      <w:tr w:rsidR="00907448" w:rsidRPr="00C53FB5" w14:paraId="1100CCFC" w14:textId="77777777" w:rsidTr="00AE28F3">
        <w:tc>
          <w:tcPr>
            <w:tcW w:w="1413" w:type="dxa"/>
            <w:vMerge/>
          </w:tcPr>
          <w:p w14:paraId="2572ED74" w14:textId="77777777" w:rsidR="00907448" w:rsidRPr="00C53FB5" w:rsidRDefault="00907448" w:rsidP="00907448">
            <w:pPr>
              <w:pStyle w:val="ECCTabletext"/>
            </w:pPr>
          </w:p>
        </w:tc>
        <w:tc>
          <w:tcPr>
            <w:tcW w:w="1843" w:type="dxa"/>
          </w:tcPr>
          <w:p w14:paraId="450C3210" w14:textId="77777777" w:rsidR="00907448" w:rsidRPr="00907448" w:rsidRDefault="00907448" w:rsidP="000A69BD">
            <w:pPr>
              <w:pStyle w:val="ECCTabletext"/>
              <w:jc w:val="left"/>
            </w:pPr>
            <w:r>
              <w:t>F</w:t>
            </w:r>
            <w:r w:rsidRPr="00907448">
              <w:t>ixed</w:t>
            </w:r>
          </w:p>
        </w:tc>
        <w:tc>
          <w:tcPr>
            <w:tcW w:w="1417" w:type="dxa"/>
          </w:tcPr>
          <w:p w14:paraId="7FE96F1E" w14:textId="77777777" w:rsidR="00907448" w:rsidRPr="00907448" w:rsidRDefault="00907448" w:rsidP="000A69BD">
            <w:pPr>
              <w:pStyle w:val="ECCTabletext"/>
              <w:jc w:val="left"/>
            </w:pPr>
            <w:r>
              <w:t>1</w:t>
            </w:r>
            <w:r w:rsidRPr="00907448">
              <w:t> GHz</w:t>
            </w:r>
          </w:p>
        </w:tc>
        <w:tc>
          <w:tcPr>
            <w:tcW w:w="851" w:type="dxa"/>
          </w:tcPr>
          <w:p w14:paraId="3958D3E6" w14:textId="6015D9A6" w:rsidR="00907448" w:rsidRPr="00907448" w:rsidRDefault="00907448" w:rsidP="000A69BD">
            <w:pPr>
              <w:pStyle w:val="ECCTabletext"/>
              <w:jc w:val="left"/>
            </w:pPr>
            <w:r>
              <w:t>10</w:t>
            </w:r>
            <w:r w:rsidR="00F800A2">
              <w:t>%</w:t>
            </w:r>
          </w:p>
        </w:tc>
        <w:tc>
          <w:tcPr>
            <w:tcW w:w="1525" w:type="dxa"/>
          </w:tcPr>
          <w:p w14:paraId="1FC5FE17" w14:textId="77777777" w:rsidR="00907448" w:rsidRPr="00907448" w:rsidRDefault="00907448" w:rsidP="000A69BD">
            <w:pPr>
              <w:pStyle w:val="ECCTabletext"/>
              <w:jc w:val="left"/>
            </w:pPr>
            <w:r>
              <w:t>-10 dBm</w:t>
            </w:r>
            <w:r w:rsidRPr="00907448">
              <w:t>/MHz</w:t>
            </w:r>
          </w:p>
        </w:tc>
        <w:tc>
          <w:tcPr>
            <w:tcW w:w="1310" w:type="dxa"/>
          </w:tcPr>
          <w:p w14:paraId="09B1828A" w14:textId="77777777" w:rsidR="00907448" w:rsidRPr="00907448" w:rsidRDefault="00907448" w:rsidP="000A69BD">
            <w:pPr>
              <w:pStyle w:val="ECCTabletext"/>
              <w:jc w:val="left"/>
            </w:pPr>
            <w:r>
              <w:t>20 dBm</w:t>
            </w:r>
          </w:p>
        </w:tc>
        <w:tc>
          <w:tcPr>
            <w:tcW w:w="1417" w:type="dxa"/>
          </w:tcPr>
          <w:p w14:paraId="79E994DD" w14:textId="77777777" w:rsidR="00907448" w:rsidRPr="00907448" w:rsidRDefault="00907448" w:rsidP="000A69BD">
            <w:pPr>
              <w:pStyle w:val="ECCTabletext"/>
              <w:jc w:val="left"/>
            </w:pPr>
            <w:r w:rsidRPr="00497690">
              <w:t>20 dB</w:t>
            </w:r>
          </w:p>
        </w:tc>
      </w:tr>
      <w:tr w:rsidR="00907448" w:rsidRPr="00C53FB5" w14:paraId="6F020D0F" w14:textId="77777777" w:rsidTr="00AE28F3">
        <w:tc>
          <w:tcPr>
            <w:tcW w:w="1413" w:type="dxa"/>
            <w:vMerge w:val="restart"/>
          </w:tcPr>
          <w:p w14:paraId="66C4AC32" w14:textId="77777777" w:rsidR="00907448" w:rsidRPr="00907448" w:rsidRDefault="00907448" w:rsidP="000A69BD">
            <w:pPr>
              <w:pStyle w:val="ECCTabletext"/>
              <w:jc w:val="left"/>
            </w:pPr>
            <w:r w:rsidRPr="00C53FB5">
              <w:t>1</w:t>
            </w:r>
            <w:r w:rsidRPr="00907448">
              <w:t>41 to 148</w:t>
            </w:r>
            <w:r w:rsidR="00CF4994">
              <w:t>.5</w:t>
            </w:r>
            <w:r w:rsidRPr="00907448">
              <w:t> GHz</w:t>
            </w:r>
          </w:p>
        </w:tc>
        <w:tc>
          <w:tcPr>
            <w:tcW w:w="1843" w:type="dxa"/>
          </w:tcPr>
          <w:p w14:paraId="220EF366" w14:textId="0A8B9272" w:rsidR="00907448" w:rsidRPr="00907448" w:rsidRDefault="009D5FA2" w:rsidP="000A69BD">
            <w:pPr>
              <w:pStyle w:val="ECCTabletext"/>
              <w:jc w:val="left"/>
            </w:pPr>
            <w:r>
              <w:t>Hand-held</w:t>
            </w:r>
            <w:r w:rsidR="00907448" w:rsidRPr="00907448">
              <w:t>/mobile</w:t>
            </w:r>
          </w:p>
        </w:tc>
        <w:tc>
          <w:tcPr>
            <w:tcW w:w="1417" w:type="dxa"/>
          </w:tcPr>
          <w:p w14:paraId="329C65D9" w14:textId="77777777" w:rsidR="00907448" w:rsidRPr="00907448" w:rsidRDefault="00907448" w:rsidP="000A69BD">
            <w:pPr>
              <w:pStyle w:val="ECCTabletext"/>
              <w:jc w:val="left"/>
            </w:pPr>
            <w:r>
              <w:t>1</w:t>
            </w:r>
            <w:r w:rsidRPr="00907448">
              <w:t> GHz</w:t>
            </w:r>
          </w:p>
        </w:tc>
        <w:tc>
          <w:tcPr>
            <w:tcW w:w="851" w:type="dxa"/>
          </w:tcPr>
          <w:p w14:paraId="34FC0ED9" w14:textId="277DCFE5" w:rsidR="00907448" w:rsidRPr="00907448" w:rsidRDefault="00907448" w:rsidP="000A69BD">
            <w:pPr>
              <w:pStyle w:val="ECCTabletext"/>
              <w:jc w:val="left"/>
            </w:pPr>
            <w:r>
              <w:t>20</w:t>
            </w:r>
            <w:r w:rsidR="00F800A2">
              <w:t>%</w:t>
            </w:r>
          </w:p>
        </w:tc>
        <w:tc>
          <w:tcPr>
            <w:tcW w:w="1525" w:type="dxa"/>
          </w:tcPr>
          <w:p w14:paraId="44D26C94" w14:textId="77777777" w:rsidR="00907448" w:rsidRPr="00907448" w:rsidRDefault="00907448" w:rsidP="000A69BD">
            <w:pPr>
              <w:pStyle w:val="ECCTabletext"/>
              <w:jc w:val="left"/>
            </w:pPr>
            <w:r>
              <w:t>-20 dBm</w:t>
            </w:r>
            <w:r w:rsidRPr="00907448">
              <w:t>/MHz</w:t>
            </w:r>
          </w:p>
        </w:tc>
        <w:tc>
          <w:tcPr>
            <w:tcW w:w="1310" w:type="dxa"/>
          </w:tcPr>
          <w:p w14:paraId="579C4A1F" w14:textId="77777777" w:rsidR="00907448" w:rsidRPr="00907448" w:rsidRDefault="00907448" w:rsidP="000A69BD">
            <w:pPr>
              <w:pStyle w:val="ECCTabletext"/>
              <w:jc w:val="left"/>
            </w:pPr>
            <w:r>
              <w:t>10 dB</w:t>
            </w:r>
            <w:r w:rsidRPr="00907448">
              <w:t>m</w:t>
            </w:r>
          </w:p>
        </w:tc>
        <w:tc>
          <w:tcPr>
            <w:tcW w:w="1417" w:type="dxa"/>
          </w:tcPr>
          <w:p w14:paraId="21D477BB" w14:textId="77777777" w:rsidR="00907448" w:rsidRPr="00907448" w:rsidRDefault="00907448" w:rsidP="000A69BD">
            <w:pPr>
              <w:pStyle w:val="ECCTabletext"/>
              <w:jc w:val="left"/>
            </w:pPr>
            <w:r w:rsidRPr="00497690">
              <w:t>20 dB</w:t>
            </w:r>
          </w:p>
        </w:tc>
      </w:tr>
      <w:tr w:rsidR="00907448" w:rsidRPr="00C53FB5" w14:paraId="5E77263F" w14:textId="77777777" w:rsidTr="00AE28F3">
        <w:tc>
          <w:tcPr>
            <w:tcW w:w="1413" w:type="dxa"/>
            <w:vMerge/>
          </w:tcPr>
          <w:p w14:paraId="3CBBE745" w14:textId="77777777" w:rsidR="00907448" w:rsidRPr="00C53FB5" w:rsidRDefault="00907448" w:rsidP="00907448">
            <w:pPr>
              <w:pStyle w:val="ECCTabletext"/>
            </w:pPr>
          </w:p>
        </w:tc>
        <w:tc>
          <w:tcPr>
            <w:tcW w:w="1843" w:type="dxa"/>
          </w:tcPr>
          <w:p w14:paraId="0FA40E6C" w14:textId="77777777" w:rsidR="00907448" w:rsidRPr="00907448" w:rsidRDefault="00907448" w:rsidP="000A69BD">
            <w:pPr>
              <w:pStyle w:val="ECCTabletext"/>
              <w:jc w:val="left"/>
            </w:pPr>
            <w:r>
              <w:t>F</w:t>
            </w:r>
            <w:r w:rsidRPr="00907448">
              <w:t>ixed</w:t>
            </w:r>
          </w:p>
        </w:tc>
        <w:tc>
          <w:tcPr>
            <w:tcW w:w="1417" w:type="dxa"/>
          </w:tcPr>
          <w:p w14:paraId="23C9FC3C" w14:textId="77777777" w:rsidR="00907448" w:rsidRPr="00907448" w:rsidRDefault="00907448" w:rsidP="000A69BD">
            <w:pPr>
              <w:pStyle w:val="ECCTabletext"/>
              <w:jc w:val="left"/>
            </w:pPr>
            <w:r>
              <w:t>1</w:t>
            </w:r>
            <w:r w:rsidRPr="00907448">
              <w:t> GHz</w:t>
            </w:r>
          </w:p>
        </w:tc>
        <w:tc>
          <w:tcPr>
            <w:tcW w:w="851" w:type="dxa"/>
          </w:tcPr>
          <w:p w14:paraId="16DE49B7" w14:textId="209D4BAD" w:rsidR="00907448" w:rsidRPr="00907448" w:rsidRDefault="00907448" w:rsidP="000A69BD">
            <w:pPr>
              <w:pStyle w:val="ECCTabletext"/>
              <w:jc w:val="left"/>
            </w:pPr>
            <w:r>
              <w:t>10</w:t>
            </w:r>
            <w:r w:rsidR="00F800A2">
              <w:t>%</w:t>
            </w:r>
          </w:p>
        </w:tc>
        <w:tc>
          <w:tcPr>
            <w:tcW w:w="1525" w:type="dxa"/>
          </w:tcPr>
          <w:p w14:paraId="68BEA2A2" w14:textId="77777777" w:rsidR="00907448" w:rsidRPr="00907448" w:rsidRDefault="00907448" w:rsidP="000A69BD">
            <w:pPr>
              <w:pStyle w:val="ECCTabletext"/>
              <w:jc w:val="left"/>
            </w:pPr>
            <w:r>
              <w:t>-10 dBm</w:t>
            </w:r>
            <w:r w:rsidRPr="00907448">
              <w:t>/MHz</w:t>
            </w:r>
          </w:p>
        </w:tc>
        <w:tc>
          <w:tcPr>
            <w:tcW w:w="1310" w:type="dxa"/>
          </w:tcPr>
          <w:p w14:paraId="747200AF" w14:textId="77777777" w:rsidR="00907448" w:rsidRPr="00907448" w:rsidRDefault="00907448" w:rsidP="000A69BD">
            <w:pPr>
              <w:pStyle w:val="ECCTabletext"/>
              <w:jc w:val="left"/>
            </w:pPr>
            <w:r>
              <w:t>20 dBm</w:t>
            </w:r>
          </w:p>
        </w:tc>
        <w:tc>
          <w:tcPr>
            <w:tcW w:w="1417" w:type="dxa"/>
          </w:tcPr>
          <w:p w14:paraId="54911FA0" w14:textId="77777777" w:rsidR="00907448" w:rsidRPr="00907448" w:rsidRDefault="00907448" w:rsidP="000A69BD">
            <w:pPr>
              <w:pStyle w:val="ECCTabletext"/>
              <w:jc w:val="left"/>
            </w:pPr>
            <w:r w:rsidRPr="00497690">
              <w:t>20 dB</w:t>
            </w:r>
          </w:p>
        </w:tc>
      </w:tr>
      <w:tr w:rsidR="00907448" w:rsidRPr="00C53FB5" w14:paraId="5AD68FCA" w14:textId="77777777" w:rsidTr="00AE28F3">
        <w:tc>
          <w:tcPr>
            <w:tcW w:w="9776" w:type="dxa"/>
            <w:gridSpan w:val="7"/>
          </w:tcPr>
          <w:p w14:paraId="1C033906" w14:textId="77777777" w:rsidR="00907448" w:rsidRPr="00907448" w:rsidRDefault="00907448" w:rsidP="00464AE0">
            <w:pPr>
              <w:pStyle w:val="ECCTablenote"/>
            </w:pPr>
            <w:r>
              <w:t xml:space="preserve">Note 1: Assumed out-of-band attenuation of the </w:t>
            </w:r>
            <w:r w:rsidRPr="00907448">
              <w:t xml:space="preserve">generic indoor surveillance radar in adjacent bands allocated to </w:t>
            </w:r>
            <w:r w:rsidR="00AE28F3">
              <w:t>EESS</w:t>
            </w:r>
            <w:r w:rsidRPr="00907448">
              <w:t>.</w:t>
            </w:r>
          </w:p>
          <w:p w14:paraId="42AF5181" w14:textId="3167953E" w:rsidR="00907448" w:rsidRPr="00907448" w:rsidRDefault="00907448" w:rsidP="00464AE0">
            <w:pPr>
              <w:pStyle w:val="ECCTablenote"/>
            </w:pPr>
            <w:r w:rsidRPr="00143CCA">
              <w:t>Note 2: The duty cycle</w:t>
            </w:r>
            <w:r w:rsidRPr="00907448">
              <w:t>s are not considered in the mean e.i.r.p. spectral density and mean e.i.r.p. values. Consequently, the given mean e.i.r.p. spectral density and mean e.i.r.p. is valid for averaging over T</w:t>
            </w:r>
            <w:r w:rsidRPr="00BA6464">
              <w:rPr>
                <w:vertAlign w:val="subscript"/>
              </w:rPr>
              <w:t>meas</w:t>
            </w:r>
            <w:r w:rsidRPr="00907448">
              <w:t xml:space="preserve"> (time when transmission is on, see </w:t>
            </w:r>
            <w:r w:rsidRPr="00907448">
              <w:fldChar w:fldCharType="begin"/>
            </w:r>
            <w:r w:rsidRPr="00907448">
              <w:instrText xml:space="preserve"> REF _Ref8900572 \h  \* MERGEFORMAT </w:instrText>
            </w:r>
            <w:r w:rsidRPr="00907448">
              <w:fldChar w:fldCharType="separate"/>
            </w:r>
            <w:r w:rsidR="0041125F" w:rsidRPr="006D6727">
              <w:t>Figure </w:t>
            </w:r>
            <w:r w:rsidR="0041125F">
              <w:t>36</w:t>
            </w:r>
            <w:r w:rsidRPr="00907448">
              <w:fldChar w:fldCharType="end"/>
            </w:r>
            <w:r w:rsidRPr="00907448">
              <w:t>).</w:t>
            </w:r>
          </w:p>
        </w:tc>
      </w:tr>
    </w:tbl>
    <w:p w14:paraId="74570E9F" w14:textId="3EB52DD3" w:rsidR="00A916BE" w:rsidRDefault="00A916BE" w:rsidP="008045F1">
      <w:r>
        <w:t xml:space="preserve">For the aggregate studies the total numbers of fixed and </w:t>
      </w:r>
      <w:r w:rsidR="009D5FA2">
        <w:t>hand-held</w:t>
      </w:r>
      <w:r>
        <w:t>/mobile devices in the IFOV of the satellite were combined, and it was assumed that 2</w:t>
      </w:r>
      <w:r w:rsidR="00F800A2">
        <w:t>%</w:t>
      </w:r>
      <w:r>
        <w:t xml:space="preserve"> of the devices are abusively operated outdoors. In this case the proposed installation requirement to fixed generic indoor surveillance equipment was not considered. In addition, for the aggregate scenario an average gain of all devices (fixed and </w:t>
      </w:r>
      <w:r w:rsidR="009D5FA2">
        <w:t>hand-held</w:t>
      </w:r>
      <w:r>
        <w:t>/mobile) in the footprint of the satellite of 0 dBi has been agreed and used.</w:t>
      </w:r>
    </w:p>
    <w:p w14:paraId="4AD8EC96" w14:textId="77777777" w:rsidR="00A916BE" w:rsidRDefault="00A916BE" w:rsidP="00A916BE">
      <w:pPr>
        <w:pStyle w:val="Heading3"/>
      </w:pPr>
      <w:bookmarkStart w:id="699" w:name="_Ref67859667"/>
      <w:bookmarkStart w:id="700" w:name="_Ref67859670"/>
      <w:bookmarkStart w:id="701" w:name="_Toc84325404"/>
      <w:bookmarkStart w:id="702" w:name="_Toc127346326"/>
      <w:r>
        <w:t>Results</w:t>
      </w:r>
      <w:bookmarkEnd w:id="699"/>
      <w:bookmarkEnd w:id="700"/>
      <w:bookmarkEnd w:id="701"/>
      <w:bookmarkEnd w:id="702"/>
    </w:p>
    <w:p w14:paraId="7EF91606" w14:textId="3167A694" w:rsidR="00A916BE" w:rsidRPr="00667141" w:rsidRDefault="009E6A7E" w:rsidP="00A916BE">
      <w:pPr>
        <w:rPr>
          <w:rFonts w:eastAsia="Times New Roman"/>
          <w:b/>
          <w:bCs/>
          <w:color w:val="D2232A"/>
          <w:szCs w:val="20"/>
          <w:lang w:val="da-DK"/>
        </w:rPr>
      </w:pPr>
      <w:r>
        <w:fldChar w:fldCharType="begin"/>
      </w:r>
      <w:r>
        <w:instrText xml:space="preserve"> REF _Ref67857174 \h </w:instrText>
      </w:r>
      <w:r>
        <w:fldChar w:fldCharType="separate"/>
      </w:r>
      <w:r w:rsidR="0041125F" w:rsidRPr="00477961">
        <w:t>Table </w:t>
      </w:r>
      <w:r w:rsidR="0041125F">
        <w:rPr>
          <w:noProof/>
        </w:rPr>
        <w:t>84</w:t>
      </w:r>
      <w:r>
        <w:fldChar w:fldCharType="end"/>
      </w:r>
      <w:r>
        <w:t xml:space="preserve"> </w:t>
      </w:r>
      <w:r w:rsidR="00A916BE" w:rsidRPr="001C46A1">
        <w:t xml:space="preserve">shows the single-entry and </w:t>
      </w:r>
      <w:r>
        <w:fldChar w:fldCharType="begin"/>
      </w:r>
      <w:r>
        <w:instrText xml:space="preserve"> REF _Ref67858644 \h </w:instrText>
      </w:r>
      <w:r>
        <w:fldChar w:fldCharType="separate"/>
      </w:r>
      <w:r w:rsidR="0041125F" w:rsidRPr="00477961">
        <w:t>Table </w:t>
      </w:r>
      <w:r w:rsidR="0041125F">
        <w:rPr>
          <w:noProof/>
        </w:rPr>
        <w:t>85</w:t>
      </w:r>
      <w:r>
        <w:fldChar w:fldCharType="end"/>
      </w:r>
      <w:r>
        <w:t xml:space="preserve"> </w:t>
      </w:r>
      <w:r w:rsidR="00A916BE" w:rsidRPr="001C46A1">
        <w:t>the aggregate wo</w:t>
      </w:r>
      <w:r w:rsidR="00A916BE">
        <w:t>r</w:t>
      </w:r>
      <w:r w:rsidR="00A916BE" w:rsidRPr="001C46A1">
        <w:t xml:space="preserve">st-case results for </w:t>
      </w:r>
      <w:r w:rsidR="00A916BE">
        <w:t>generic indoor surveillance radar sensors</w:t>
      </w:r>
      <w:r w:rsidR="00A916BE" w:rsidRPr="001C46A1">
        <w:t>, e.g. the residual margins for the individual frequency ranges, and EESS victim sensors. A positive margin indicates that the interference criterion is fulfilled and a negative margin that the criterion is violated.</w:t>
      </w:r>
    </w:p>
    <w:p w14:paraId="02671158" w14:textId="77777777" w:rsidR="008C2E08" w:rsidRDefault="008C2E08">
      <w:pPr>
        <w:rPr>
          <w:rFonts w:eastAsia="Times New Roman"/>
          <w:b/>
          <w:bCs/>
          <w:color w:val="D2232A"/>
          <w:szCs w:val="20"/>
          <w:lang w:val="da-DK"/>
        </w:rPr>
      </w:pPr>
      <w:bookmarkStart w:id="703" w:name="_Ref67857174"/>
      <w:r>
        <w:br w:type="page"/>
      </w:r>
    </w:p>
    <w:p w14:paraId="34CED4B9" w14:textId="384EEF2C" w:rsidR="00A916BE" w:rsidRDefault="00186F14" w:rsidP="00A916BE">
      <w:pPr>
        <w:pStyle w:val="Caption"/>
      </w:pPr>
      <w:bookmarkStart w:id="704" w:name="_Ref89343644"/>
      <w:r w:rsidRPr="00477961">
        <w:t>Table </w:t>
      </w:r>
      <w:r>
        <w:fldChar w:fldCharType="begin"/>
      </w:r>
      <w:r>
        <w:instrText>SEQ Table \* ARABIC</w:instrText>
      </w:r>
      <w:r>
        <w:fldChar w:fldCharType="separate"/>
      </w:r>
      <w:r w:rsidR="004F49F9">
        <w:rPr>
          <w:noProof/>
        </w:rPr>
        <w:t>84</w:t>
      </w:r>
      <w:r>
        <w:fldChar w:fldCharType="end"/>
      </w:r>
      <w:bookmarkEnd w:id="703"/>
      <w:bookmarkEnd w:id="704"/>
      <w:r w:rsidR="00A916BE">
        <w:t xml:space="preserve">: </w:t>
      </w:r>
      <w:r w:rsidR="00A916BE" w:rsidRPr="006231F5">
        <w:t xml:space="preserve">Margins to the </w:t>
      </w:r>
      <w:r w:rsidR="00A916BE">
        <w:t xml:space="preserve">EESS </w:t>
      </w:r>
      <w:r w:rsidR="00A916BE" w:rsidRPr="006231F5">
        <w:t xml:space="preserve">interference criterion determined in a single-entry study </w:t>
      </w:r>
      <w:r w:rsidR="00A916BE" w:rsidRPr="005B7086">
        <w:t xml:space="preserve">for </w:t>
      </w:r>
      <w:r w:rsidR="00A916BE">
        <w:t>generic indoor surveil</w:t>
      </w:r>
      <w:r w:rsidR="005E5019">
        <w:t>l</w:t>
      </w:r>
      <w:r w:rsidR="00A916BE">
        <w:t>ance radar sensors</w:t>
      </w:r>
    </w:p>
    <w:tbl>
      <w:tblPr>
        <w:tblStyle w:val="ECCTable-redheader"/>
        <w:tblW w:w="0" w:type="auto"/>
        <w:tblInd w:w="0" w:type="dxa"/>
        <w:tblLook w:val="04A0" w:firstRow="1" w:lastRow="0" w:firstColumn="1" w:lastColumn="0" w:noHBand="0" w:noVBand="1"/>
      </w:tblPr>
      <w:tblGrid>
        <w:gridCol w:w="1384"/>
        <w:gridCol w:w="1160"/>
        <w:gridCol w:w="2161"/>
        <w:gridCol w:w="1395"/>
        <w:gridCol w:w="2011"/>
        <w:gridCol w:w="1518"/>
      </w:tblGrid>
      <w:tr w:rsidR="00186F14" w14:paraId="27BB37B5" w14:textId="77777777" w:rsidTr="00404588">
        <w:trPr>
          <w:cnfStyle w:val="100000000000" w:firstRow="1" w:lastRow="0" w:firstColumn="0" w:lastColumn="0" w:oddVBand="0" w:evenVBand="0" w:oddHBand="0" w:evenHBand="0" w:firstRowFirstColumn="0" w:firstRowLastColumn="0" w:lastRowFirstColumn="0" w:lastRowLastColumn="0"/>
        </w:trPr>
        <w:tc>
          <w:tcPr>
            <w:tcW w:w="1384" w:type="dxa"/>
          </w:tcPr>
          <w:p w14:paraId="7DC39073" w14:textId="77777777" w:rsidR="00186F14" w:rsidRPr="00186F14" w:rsidRDefault="00186F14" w:rsidP="00876039">
            <w:pPr>
              <w:pStyle w:val="ECCTableHeaderwhitefont"/>
            </w:pPr>
            <w:r w:rsidRPr="003515E3">
              <w:t>Investigated Frequency range</w:t>
            </w:r>
          </w:p>
        </w:tc>
        <w:tc>
          <w:tcPr>
            <w:tcW w:w="1160" w:type="dxa"/>
          </w:tcPr>
          <w:p w14:paraId="52898469" w14:textId="77777777" w:rsidR="00186F14" w:rsidRPr="00186F14" w:rsidRDefault="00186F14" w:rsidP="000A69BD">
            <w:pPr>
              <w:pStyle w:val="ECCTableHeaderwhitefont"/>
            </w:pPr>
            <w:r>
              <w:t>Device</w:t>
            </w:r>
            <w:r w:rsidR="005E5019">
              <w:t xml:space="preserve"> type</w:t>
            </w:r>
          </w:p>
        </w:tc>
        <w:tc>
          <w:tcPr>
            <w:tcW w:w="2161" w:type="dxa"/>
          </w:tcPr>
          <w:p w14:paraId="00A99B12" w14:textId="77777777" w:rsidR="00186F14" w:rsidRPr="00186F14" w:rsidRDefault="00186F14" w:rsidP="000A69BD">
            <w:pPr>
              <w:pStyle w:val="ECCTableHeaderwhitefont"/>
            </w:pPr>
            <w:r w:rsidRPr="001C46A1">
              <w:t>Allocated band for EESS</w:t>
            </w:r>
          </w:p>
        </w:tc>
        <w:tc>
          <w:tcPr>
            <w:tcW w:w="1395" w:type="dxa"/>
          </w:tcPr>
          <w:p w14:paraId="05AEBCBC" w14:textId="77777777" w:rsidR="00186F14" w:rsidRPr="00186F14" w:rsidRDefault="00186F14" w:rsidP="000A69BD">
            <w:pPr>
              <w:pStyle w:val="ECCTableHeaderwhitefont"/>
            </w:pPr>
            <w:r w:rsidRPr="001C46A1">
              <w:t>Evaluated frequency</w:t>
            </w:r>
          </w:p>
        </w:tc>
        <w:tc>
          <w:tcPr>
            <w:tcW w:w="2011" w:type="dxa"/>
          </w:tcPr>
          <w:p w14:paraId="1B8B3ECF" w14:textId="77777777" w:rsidR="00186F14" w:rsidRPr="00186F14" w:rsidRDefault="00186F14" w:rsidP="000A69BD">
            <w:pPr>
              <w:pStyle w:val="ECCTableHeaderwhitefont"/>
            </w:pPr>
            <w:r w:rsidRPr="001C46A1">
              <w:t>EESS victim sensor</w:t>
            </w:r>
          </w:p>
        </w:tc>
        <w:tc>
          <w:tcPr>
            <w:tcW w:w="1518" w:type="dxa"/>
          </w:tcPr>
          <w:p w14:paraId="47F54740" w14:textId="77777777" w:rsidR="00186F14" w:rsidRPr="00186F14" w:rsidRDefault="00186F14" w:rsidP="000A69BD">
            <w:pPr>
              <w:pStyle w:val="ECCTableHeaderwhitefont"/>
            </w:pPr>
            <w:r w:rsidRPr="001C46A1">
              <w:t>Margin to interference criterion</w:t>
            </w:r>
          </w:p>
        </w:tc>
      </w:tr>
      <w:tr w:rsidR="00186F14" w14:paraId="74CC905E" w14:textId="77777777" w:rsidTr="00404588">
        <w:tc>
          <w:tcPr>
            <w:tcW w:w="1384" w:type="dxa"/>
          </w:tcPr>
          <w:p w14:paraId="5454E7A1" w14:textId="77777777" w:rsidR="00186F14" w:rsidRPr="00186F14" w:rsidRDefault="00186F14" w:rsidP="000A69BD">
            <w:pPr>
              <w:pStyle w:val="ECCTabletext"/>
              <w:jc w:val="left"/>
            </w:pPr>
            <w:r>
              <w:t>116 to 130 </w:t>
            </w:r>
            <w:r w:rsidRPr="00186F14">
              <w:t>GHz</w:t>
            </w:r>
          </w:p>
        </w:tc>
        <w:tc>
          <w:tcPr>
            <w:tcW w:w="1160" w:type="dxa"/>
          </w:tcPr>
          <w:p w14:paraId="5846F343" w14:textId="560C3629" w:rsidR="00186F14" w:rsidRPr="00186F14" w:rsidRDefault="009D5FA2" w:rsidP="000A69BD">
            <w:pPr>
              <w:pStyle w:val="ECCTabletext"/>
              <w:jc w:val="left"/>
            </w:pPr>
            <w:r>
              <w:t>Hand-held</w:t>
            </w:r>
            <w:r w:rsidR="00186F14">
              <w:t>/</w:t>
            </w:r>
            <w:r w:rsidR="00186F14" w:rsidRPr="00186F14">
              <w:t xml:space="preserve"> mobile</w:t>
            </w:r>
          </w:p>
        </w:tc>
        <w:tc>
          <w:tcPr>
            <w:tcW w:w="2161" w:type="dxa"/>
          </w:tcPr>
          <w:p w14:paraId="34EF4122"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(in-band)</w:t>
            </w:r>
          </w:p>
        </w:tc>
        <w:tc>
          <w:tcPr>
            <w:tcW w:w="1395" w:type="dxa"/>
          </w:tcPr>
          <w:p w14:paraId="59A28F7D" w14:textId="77777777" w:rsidR="00186F14" w:rsidRPr="00186F14" w:rsidRDefault="00186F14" w:rsidP="000A69BD">
            <w:pPr>
              <w:pStyle w:val="ECCTabletext"/>
              <w:jc w:val="left"/>
            </w:pPr>
            <w:r>
              <w:t>119</w:t>
            </w:r>
            <w:r w:rsidR="00CF4994">
              <w:t>.1</w:t>
            </w:r>
            <w:r>
              <w:t>25 GHz</w:t>
            </w:r>
          </w:p>
        </w:tc>
        <w:tc>
          <w:tcPr>
            <w:tcW w:w="2011" w:type="dxa"/>
          </w:tcPr>
          <w:p w14:paraId="4C679BF4" w14:textId="77777777" w:rsidR="00186F14" w:rsidRPr="00186F14" w:rsidRDefault="00186F14" w:rsidP="000A69BD">
            <w:pPr>
              <w:pStyle w:val="ECCTabletext"/>
              <w:jc w:val="left"/>
            </w:pPr>
            <w:r w:rsidRPr="005D48C2">
              <w:t>MWI conical scanner</w:t>
            </w:r>
          </w:p>
        </w:tc>
        <w:tc>
          <w:tcPr>
            <w:tcW w:w="1518" w:type="dxa"/>
          </w:tcPr>
          <w:p w14:paraId="3DD6CEE9" w14:textId="77777777" w:rsidR="00186F14" w:rsidRPr="00186F14" w:rsidRDefault="00186F14" w:rsidP="000A69BD">
            <w:pPr>
              <w:pStyle w:val="ECCTabletext"/>
              <w:jc w:val="left"/>
            </w:pPr>
            <w:r>
              <w:t>33</w:t>
            </w:r>
            <w:r w:rsidR="00CF4994">
              <w:t>.6</w:t>
            </w:r>
            <w:r w:rsidRPr="00186F14">
              <w:t> dB</w:t>
            </w:r>
          </w:p>
        </w:tc>
      </w:tr>
      <w:tr w:rsidR="00186F14" w14:paraId="5F872FDD" w14:textId="77777777" w:rsidTr="00404588">
        <w:tc>
          <w:tcPr>
            <w:tcW w:w="1384" w:type="dxa"/>
          </w:tcPr>
          <w:p w14:paraId="66CB4A2D" w14:textId="77777777" w:rsidR="00186F14" w:rsidRPr="00186F14" w:rsidRDefault="00186F14" w:rsidP="000A69BD">
            <w:pPr>
              <w:pStyle w:val="ECCTabletext"/>
              <w:jc w:val="left"/>
            </w:pPr>
            <w:r>
              <w:t>116 to 130 </w:t>
            </w:r>
            <w:r w:rsidRPr="00186F14">
              <w:t>GHz</w:t>
            </w:r>
          </w:p>
        </w:tc>
        <w:tc>
          <w:tcPr>
            <w:tcW w:w="1160" w:type="dxa"/>
          </w:tcPr>
          <w:p w14:paraId="1FE98D12" w14:textId="77777777" w:rsidR="00186F14" w:rsidRPr="00186F14" w:rsidRDefault="00186F14" w:rsidP="000A69BD">
            <w:pPr>
              <w:pStyle w:val="ECCTabletext"/>
              <w:jc w:val="left"/>
            </w:pPr>
            <w:r>
              <w:t>F</w:t>
            </w:r>
            <w:r w:rsidRPr="00186F14">
              <w:t>ixed</w:t>
            </w:r>
          </w:p>
        </w:tc>
        <w:tc>
          <w:tcPr>
            <w:tcW w:w="2161" w:type="dxa"/>
          </w:tcPr>
          <w:p w14:paraId="5DD5B485"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(in-band)</w:t>
            </w:r>
          </w:p>
        </w:tc>
        <w:tc>
          <w:tcPr>
            <w:tcW w:w="1395" w:type="dxa"/>
          </w:tcPr>
          <w:p w14:paraId="6A7B2902" w14:textId="77777777" w:rsidR="00186F14" w:rsidRPr="00186F14" w:rsidRDefault="00186F14" w:rsidP="000A69BD">
            <w:pPr>
              <w:pStyle w:val="ECCTabletext"/>
              <w:jc w:val="left"/>
            </w:pPr>
            <w:r>
              <w:t>119</w:t>
            </w:r>
            <w:r w:rsidR="00CF4994">
              <w:t>.1</w:t>
            </w:r>
            <w:r>
              <w:t>25 GHz</w:t>
            </w:r>
          </w:p>
        </w:tc>
        <w:tc>
          <w:tcPr>
            <w:tcW w:w="2011" w:type="dxa"/>
          </w:tcPr>
          <w:p w14:paraId="11E111A3" w14:textId="77777777" w:rsidR="00186F14" w:rsidRPr="00186F14" w:rsidRDefault="00186F14" w:rsidP="000A69BD">
            <w:pPr>
              <w:pStyle w:val="ECCTabletext"/>
              <w:jc w:val="left"/>
            </w:pPr>
            <w:r w:rsidRPr="005D48C2">
              <w:t>MWI conical scanner</w:t>
            </w:r>
          </w:p>
        </w:tc>
        <w:tc>
          <w:tcPr>
            <w:tcW w:w="1518" w:type="dxa"/>
          </w:tcPr>
          <w:p w14:paraId="026E60E0" w14:textId="77777777" w:rsidR="00186F14" w:rsidRPr="00186F14" w:rsidRDefault="00186F14" w:rsidP="000A69BD">
            <w:pPr>
              <w:pStyle w:val="ECCTabletext"/>
              <w:jc w:val="left"/>
            </w:pPr>
            <w:r>
              <w:t>26</w:t>
            </w:r>
            <w:r w:rsidR="00CF4994">
              <w:t>.6</w:t>
            </w:r>
            <w:r w:rsidRPr="00186F14">
              <w:t> dB</w:t>
            </w:r>
          </w:p>
        </w:tc>
      </w:tr>
      <w:tr w:rsidR="00186F14" w:rsidRPr="001C46A1" w14:paraId="28081844" w14:textId="77777777" w:rsidTr="00404588">
        <w:tc>
          <w:tcPr>
            <w:tcW w:w="1384" w:type="dxa"/>
          </w:tcPr>
          <w:p w14:paraId="60441DDB" w14:textId="77777777" w:rsidR="00186F14" w:rsidRPr="00186F14" w:rsidRDefault="00186F14" w:rsidP="000A69BD">
            <w:pPr>
              <w:pStyle w:val="ECCTabletext"/>
              <w:jc w:val="left"/>
            </w:pPr>
            <w:r>
              <w:t>122</w:t>
            </w:r>
            <w:r w:rsidR="00CF4994">
              <w:t>.2</w:t>
            </w:r>
            <w:r>
              <w:t>5</w:t>
            </w:r>
            <w:r w:rsidRPr="00186F14">
              <w:t xml:space="preserve"> to 130 GHz</w:t>
            </w:r>
          </w:p>
        </w:tc>
        <w:tc>
          <w:tcPr>
            <w:tcW w:w="1160" w:type="dxa"/>
          </w:tcPr>
          <w:p w14:paraId="303A52F8" w14:textId="2D86B65C" w:rsidR="00186F14" w:rsidRPr="00186F14" w:rsidRDefault="009D5FA2" w:rsidP="000A69BD">
            <w:pPr>
              <w:pStyle w:val="ECCTabletext"/>
              <w:jc w:val="left"/>
            </w:pPr>
            <w:r>
              <w:t>Hand-held</w:t>
            </w:r>
            <w:r w:rsidR="00186F14">
              <w:t>/</w:t>
            </w:r>
            <w:r w:rsidR="00186F14" w:rsidRPr="00186F14">
              <w:t xml:space="preserve"> mobile</w:t>
            </w:r>
          </w:p>
        </w:tc>
        <w:tc>
          <w:tcPr>
            <w:tcW w:w="2161" w:type="dxa"/>
          </w:tcPr>
          <w:p w14:paraId="488DC9F6"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w:t>
            </w:r>
            <w:r w:rsidR="004F691F">
              <w:t xml:space="preserve">in </w:t>
            </w:r>
            <w:r w:rsidRPr="00186F14">
              <w:t>adjacent)</w:t>
            </w:r>
          </w:p>
        </w:tc>
        <w:tc>
          <w:tcPr>
            <w:tcW w:w="1395" w:type="dxa"/>
          </w:tcPr>
          <w:p w14:paraId="0289C25B" w14:textId="77777777" w:rsidR="00186F14" w:rsidRPr="00186F14" w:rsidRDefault="00186F14" w:rsidP="000A69BD">
            <w:pPr>
              <w:pStyle w:val="ECCTabletext"/>
              <w:jc w:val="left"/>
            </w:pPr>
            <w:r>
              <w:t>119</w:t>
            </w:r>
            <w:r w:rsidR="00CF4994">
              <w:t>.1</w:t>
            </w:r>
            <w:r>
              <w:t>25 GHz</w:t>
            </w:r>
          </w:p>
        </w:tc>
        <w:tc>
          <w:tcPr>
            <w:tcW w:w="2011" w:type="dxa"/>
          </w:tcPr>
          <w:p w14:paraId="79F1C451" w14:textId="77777777" w:rsidR="00186F14" w:rsidRPr="00186F14" w:rsidRDefault="00186F14" w:rsidP="000A69BD">
            <w:pPr>
              <w:pStyle w:val="ECCTabletext"/>
              <w:jc w:val="left"/>
            </w:pPr>
            <w:r w:rsidRPr="005D48C2">
              <w:t>MWI conical scanner</w:t>
            </w:r>
          </w:p>
        </w:tc>
        <w:tc>
          <w:tcPr>
            <w:tcW w:w="1518" w:type="dxa"/>
          </w:tcPr>
          <w:p w14:paraId="4B055E86" w14:textId="77777777" w:rsidR="00186F14" w:rsidRPr="00186F14" w:rsidRDefault="00186F14" w:rsidP="000A69BD">
            <w:pPr>
              <w:pStyle w:val="ECCTabletext"/>
              <w:jc w:val="left"/>
            </w:pPr>
            <w:r>
              <w:t>53</w:t>
            </w:r>
            <w:r w:rsidR="00CF4994">
              <w:t>.6</w:t>
            </w:r>
            <w:r w:rsidRPr="00186F14">
              <w:t> dB</w:t>
            </w:r>
          </w:p>
        </w:tc>
      </w:tr>
      <w:tr w:rsidR="00186F14" w:rsidRPr="001C46A1" w14:paraId="597EAD78" w14:textId="77777777" w:rsidTr="00404588">
        <w:tc>
          <w:tcPr>
            <w:tcW w:w="1384" w:type="dxa"/>
          </w:tcPr>
          <w:p w14:paraId="5997BD85" w14:textId="77777777" w:rsidR="00186F14" w:rsidRPr="00186F14" w:rsidRDefault="00186F14" w:rsidP="000A69BD">
            <w:pPr>
              <w:pStyle w:val="ECCTabletext"/>
              <w:jc w:val="left"/>
            </w:pPr>
            <w:r>
              <w:t>122</w:t>
            </w:r>
            <w:r w:rsidR="00CF4994">
              <w:t>.2</w:t>
            </w:r>
            <w:r>
              <w:t>5</w:t>
            </w:r>
            <w:r w:rsidRPr="00186F14">
              <w:t xml:space="preserve"> to 130 GHz</w:t>
            </w:r>
          </w:p>
        </w:tc>
        <w:tc>
          <w:tcPr>
            <w:tcW w:w="1160" w:type="dxa"/>
          </w:tcPr>
          <w:p w14:paraId="2D4E88D6" w14:textId="77777777" w:rsidR="00186F14" w:rsidRPr="00186F14" w:rsidRDefault="00186F14" w:rsidP="000A69BD">
            <w:pPr>
              <w:pStyle w:val="ECCTabletext"/>
              <w:jc w:val="left"/>
            </w:pPr>
            <w:r>
              <w:t>F</w:t>
            </w:r>
            <w:r w:rsidRPr="00186F14">
              <w:t>ixed</w:t>
            </w:r>
          </w:p>
        </w:tc>
        <w:tc>
          <w:tcPr>
            <w:tcW w:w="2161" w:type="dxa"/>
          </w:tcPr>
          <w:p w14:paraId="38E43456"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w:t>
            </w:r>
            <w:r w:rsidR="004F691F">
              <w:t xml:space="preserve">in </w:t>
            </w:r>
            <w:r w:rsidRPr="00186F14">
              <w:t>adjacent)</w:t>
            </w:r>
          </w:p>
        </w:tc>
        <w:tc>
          <w:tcPr>
            <w:tcW w:w="1395" w:type="dxa"/>
          </w:tcPr>
          <w:p w14:paraId="25B8A2BB" w14:textId="77777777" w:rsidR="00186F14" w:rsidRPr="00186F14" w:rsidRDefault="00186F14" w:rsidP="000A69BD">
            <w:pPr>
              <w:pStyle w:val="ECCTabletext"/>
              <w:jc w:val="left"/>
            </w:pPr>
            <w:r>
              <w:t>119</w:t>
            </w:r>
            <w:r w:rsidR="00CF4994">
              <w:t>.1</w:t>
            </w:r>
            <w:r>
              <w:t>25 GHz</w:t>
            </w:r>
          </w:p>
        </w:tc>
        <w:tc>
          <w:tcPr>
            <w:tcW w:w="2011" w:type="dxa"/>
          </w:tcPr>
          <w:p w14:paraId="3747B175" w14:textId="77777777" w:rsidR="00186F14" w:rsidRPr="00186F14" w:rsidRDefault="00186F14" w:rsidP="000A69BD">
            <w:pPr>
              <w:pStyle w:val="ECCTabletext"/>
              <w:jc w:val="left"/>
            </w:pPr>
            <w:r w:rsidRPr="005D48C2">
              <w:t>MWI conical scanner</w:t>
            </w:r>
          </w:p>
        </w:tc>
        <w:tc>
          <w:tcPr>
            <w:tcW w:w="1518" w:type="dxa"/>
          </w:tcPr>
          <w:p w14:paraId="546FA0F5" w14:textId="77777777" w:rsidR="00186F14" w:rsidRPr="00186F14" w:rsidRDefault="00186F14" w:rsidP="000A69BD">
            <w:pPr>
              <w:pStyle w:val="ECCTabletext"/>
              <w:jc w:val="left"/>
            </w:pPr>
            <w:r>
              <w:t>46</w:t>
            </w:r>
            <w:r w:rsidR="00CF4994">
              <w:t>.6</w:t>
            </w:r>
            <w:r w:rsidRPr="00186F14">
              <w:t> dB</w:t>
            </w:r>
          </w:p>
        </w:tc>
      </w:tr>
      <w:tr w:rsidR="00186F14" w14:paraId="1C25F196" w14:textId="77777777" w:rsidTr="00404588">
        <w:tc>
          <w:tcPr>
            <w:tcW w:w="1384" w:type="dxa"/>
          </w:tcPr>
          <w:p w14:paraId="6BD1C5F5" w14:textId="77777777" w:rsidR="00186F14" w:rsidRPr="00186F14" w:rsidRDefault="00186F14" w:rsidP="000A69BD">
            <w:pPr>
              <w:pStyle w:val="ECCTabletext"/>
              <w:jc w:val="left"/>
            </w:pPr>
            <w:r>
              <w:t>116 to 130 </w:t>
            </w:r>
            <w:r w:rsidRPr="00186F14">
              <w:t>GHz</w:t>
            </w:r>
          </w:p>
        </w:tc>
        <w:tc>
          <w:tcPr>
            <w:tcW w:w="1160" w:type="dxa"/>
          </w:tcPr>
          <w:p w14:paraId="69A44163" w14:textId="240EBDBE" w:rsidR="00186F14" w:rsidRPr="00186F14" w:rsidRDefault="009D5FA2" w:rsidP="000A69BD">
            <w:pPr>
              <w:pStyle w:val="ECCTabletext"/>
              <w:jc w:val="left"/>
            </w:pPr>
            <w:r>
              <w:t>Hand-held</w:t>
            </w:r>
            <w:r w:rsidR="00186F14">
              <w:t>/</w:t>
            </w:r>
            <w:r w:rsidR="00186F14" w:rsidRPr="00186F14">
              <w:t xml:space="preserve"> mobile</w:t>
            </w:r>
          </w:p>
        </w:tc>
        <w:tc>
          <w:tcPr>
            <w:tcW w:w="2161" w:type="dxa"/>
          </w:tcPr>
          <w:p w14:paraId="5D6D56B1" w14:textId="77777777" w:rsidR="00186F14" w:rsidRPr="00186F14" w:rsidRDefault="00186F14" w:rsidP="000A69BD">
            <w:pPr>
              <w:pStyle w:val="ECCTabletext"/>
              <w:jc w:val="left"/>
            </w:pPr>
            <w:r w:rsidRPr="00C53FB5">
              <w:t>1</w:t>
            </w:r>
            <w:r w:rsidRPr="00186F14">
              <w:t>14</w:t>
            </w:r>
            <w:r w:rsidR="00CF4994">
              <w:t>.2</w:t>
            </w:r>
            <w:r w:rsidRPr="00186F14">
              <w:t>5 to 1</w:t>
            </w:r>
            <w:r w:rsidR="007E4FCF">
              <w:t>16</w:t>
            </w:r>
            <w:r w:rsidRPr="00186F14">
              <w:t> GHz (5.340 in adjacent)</w:t>
            </w:r>
          </w:p>
        </w:tc>
        <w:tc>
          <w:tcPr>
            <w:tcW w:w="1395" w:type="dxa"/>
          </w:tcPr>
          <w:p w14:paraId="46A3BB70" w14:textId="77777777" w:rsidR="00186F14" w:rsidRPr="00186F14" w:rsidRDefault="00186F14" w:rsidP="000A69BD">
            <w:pPr>
              <w:pStyle w:val="ECCTabletext"/>
              <w:jc w:val="left"/>
            </w:pPr>
            <w:r>
              <w:t>115</w:t>
            </w:r>
            <w:r w:rsidR="00CF4994">
              <w:t>.1</w:t>
            </w:r>
            <w:r>
              <w:t>25</w:t>
            </w:r>
            <w:r w:rsidRPr="00186F14">
              <w:t> GHz</w:t>
            </w:r>
          </w:p>
        </w:tc>
        <w:tc>
          <w:tcPr>
            <w:tcW w:w="2011" w:type="dxa"/>
          </w:tcPr>
          <w:p w14:paraId="125A8A30" w14:textId="77777777" w:rsidR="00186F14" w:rsidRPr="00186F14" w:rsidRDefault="00186F14" w:rsidP="000A69BD">
            <w:pPr>
              <w:pStyle w:val="ECCTabletext"/>
              <w:jc w:val="left"/>
            </w:pPr>
            <w:r w:rsidRPr="005D48C2">
              <w:t>MWI conical scanner</w:t>
            </w:r>
          </w:p>
        </w:tc>
        <w:tc>
          <w:tcPr>
            <w:tcW w:w="1518" w:type="dxa"/>
          </w:tcPr>
          <w:p w14:paraId="36740664" w14:textId="77777777" w:rsidR="00186F14" w:rsidRPr="00186F14" w:rsidRDefault="00186F14" w:rsidP="000A69BD">
            <w:pPr>
              <w:pStyle w:val="ECCTabletext"/>
              <w:jc w:val="left"/>
            </w:pPr>
            <w:r>
              <w:t>56</w:t>
            </w:r>
            <w:r w:rsidR="00CF4994">
              <w:t>.0</w:t>
            </w:r>
            <w:r w:rsidRPr="00186F14">
              <w:t> dB</w:t>
            </w:r>
          </w:p>
        </w:tc>
      </w:tr>
      <w:tr w:rsidR="00186F14" w14:paraId="2C491C60" w14:textId="77777777" w:rsidTr="00404588">
        <w:tc>
          <w:tcPr>
            <w:tcW w:w="1384" w:type="dxa"/>
          </w:tcPr>
          <w:p w14:paraId="76B1D75D" w14:textId="77777777" w:rsidR="00186F14" w:rsidRPr="00186F14" w:rsidRDefault="00186F14" w:rsidP="000A69BD">
            <w:pPr>
              <w:pStyle w:val="ECCTabletext"/>
              <w:jc w:val="left"/>
            </w:pPr>
            <w:r>
              <w:t>116 to 130 </w:t>
            </w:r>
            <w:r w:rsidRPr="00186F14">
              <w:t>GHz</w:t>
            </w:r>
          </w:p>
        </w:tc>
        <w:tc>
          <w:tcPr>
            <w:tcW w:w="1160" w:type="dxa"/>
          </w:tcPr>
          <w:p w14:paraId="1F9FFCC1" w14:textId="77777777" w:rsidR="00186F14" w:rsidRPr="00186F14" w:rsidRDefault="00186F14" w:rsidP="000A69BD">
            <w:pPr>
              <w:pStyle w:val="ECCTabletext"/>
              <w:jc w:val="left"/>
            </w:pPr>
            <w:r>
              <w:t>F</w:t>
            </w:r>
            <w:r w:rsidRPr="00186F14">
              <w:t>ixed</w:t>
            </w:r>
          </w:p>
        </w:tc>
        <w:tc>
          <w:tcPr>
            <w:tcW w:w="2161" w:type="dxa"/>
          </w:tcPr>
          <w:p w14:paraId="57B0363A" w14:textId="77777777" w:rsidR="00186F14" w:rsidRPr="00186F14" w:rsidRDefault="00186F14" w:rsidP="000A69BD">
            <w:pPr>
              <w:pStyle w:val="ECCTabletext"/>
              <w:jc w:val="left"/>
            </w:pPr>
            <w:r w:rsidRPr="00C53FB5">
              <w:t>1</w:t>
            </w:r>
            <w:r w:rsidRPr="00186F14">
              <w:t>14</w:t>
            </w:r>
            <w:r w:rsidR="00CF4994">
              <w:t>.2</w:t>
            </w:r>
            <w:r w:rsidRPr="00186F14">
              <w:t>5 to 1</w:t>
            </w:r>
            <w:r w:rsidR="007E4FCF">
              <w:t>16</w:t>
            </w:r>
            <w:r w:rsidRPr="00186F14">
              <w:t> GHz (5.340 in adjacent)</w:t>
            </w:r>
          </w:p>
        </w:tc>
        <w:tc>
          <w:tcPr>
            <w:tcW w:w="1395" w:type="dxa"/>
          </w:tcPr>
          <w:p w14:paraId="1E1D3F2A" w14:textId="77777777" w:rsidR="00186F14" w:rsidRPr="00186F14" w:rsidRDefault="00186F14" w:rsidP="000A69BD">
            <w:pPr>
              <w:pStyle w:val="ECCTabletext"/>
              <w:jc w:val="left"/>
            </w:pPr>
            <w:r>
              <w:t>115</w:t>
            </w:r>
            <w:r w:rsidR="00CF4994">
              <w:t>.1</w:t>
            </w:r>
            <w:r>
              <w:t>25</w:t>
            </w:r>
            <w:r w:rsidRPr="00186F14">
              <w:t> GHz</w:t>
            </w:r>
          </w:p>
        </w:tc>
        <w:tc>
          <w:tcPr>
            <w:tcW w:w="2011" w:type="dxa"/>
          </w:tcPr>
          <w:p w14:paraId="630CFDE8" w14:textId="77777777" w:rsidR="00186F14" w:rsidRPr="00186F14" w:rsidRDefault="00186F14" w:rsidP="000A69BD">
            <w:pPr>
              <w:pStyle w:val="ECCTabletext"/>
              <w:jc w:val="left"/>
            </w:pPr>
            <w:r w:rsidRPr="005D48C2">
              <w:t>MWI conical scanner</w:t>
            </w:r>
          </w:p>
        </w:tc>
        <w:tc>
          <w:tcPr>
            <w:tcW w:w="1518" w:type="dxa"/>
          </w:tcPr>
          <w:p w14:paraId="04758A59" w14:textId="77777777" w:rsidR="00186F14" w:rsidRPr="00186F14" w:rsidRDefault="00186F14" w:rsidP="000A69BD">
            <w:pPr>
              <w:pStyle w:val="ECCTabletext"/>
              <w:jc w:val="left"/>
            </w:pPr>
            <w:r>
              <w:t>46</w:t>
            </w:r>
            <w:r w:rsidR="00CF4994">
              <w:t>.0</w:t>
            </w:r>
            <w:r w:rsidRPr="00186F14">
              <w:t> dB</w:t>
            </w:r>
          </w:p>
        </w:tc>
      </w:tr>
      <w:tr w:rsidR="00186F14" w14:paraId="3858803A" w14:textId="77777777" w:rsidTr="00404588">
        <w:tc>
          <w:tcPr>
            <w:tcW w:w="1384" w:type="dxa"/>
            <w:vMerge w:val="restart"/>
          </w:tcPr>
          <w:p w14:paraId="0BD25084" w14:textId="77777777" w:rsidR="00186F14" w:rsidRPr="00186F14" w:rsidRDefault="00186F14" w:rsidP="000A69BD">
            <w:pPr>
              <w:pStyle w:val="ECCTabletext"/>
              <w:jc w:val="left"/>
            </w:pPr>
            <w:r>
              <w:t>141 to 148</w:t>
            </w:r>
            <w:r w:rsidR="00CF4994">
              <w:t>.5</w:t>
            </w:r>
            <w:r>
              <w:t xml:space="preserve"> </w:t>
            </w:r>
            <w:r w:rsidRPr="00186F14">
              <w:t>GHz</w:t>
            </w:r>
          </w:p>
        </w:tc>
        <w:tc>
          <w:tcPr>
            <w:tcW w:w="1160" w:type="dxa"/>
            <w:vMerge w:val="restart"/>
          </w:tcPr>
          <w:p w14:paraId="1E678FED" w14:textId="6491DF17" w:rsidR="00186F14" w:rsidRPr="00186F14" w:rsidRDefault="009D5FA2" w:rsidP="000A69BD">
            <w:pPr>
              <w:pStyle w:val="ECCTabletext"/>
              <w:jc w:val="left"/>
            </w:pPr>
            <w:r>
              <w:t>Hand-held</w:t>
            </w:r>
            <w:r w:rsidR="00186F14">
              <w:t>/</w:t>
            </w:r>
            <w:r w:rsidR="00186F14" w:rsidRPr="00186F14">
              <w:t xml:space="preserve"> mobile</w:t>
            </w:r>
          </w:p>
        </w:tc>
        <w:tc>
          <w:tcPr>
            <w:tcW w:w="2161" w:type="dxa"/>
            <w:vMerge w:val="restart"/>
          </w:tcPr>
          <w:p w14:paraId="060944E1" w14:textId="77777777" w:rsidR="00186F14" w:rsidRPr="00186F14" w:rsidRDefault="00186F14" w:rsidP="000A69BD">
            <w:pPr>
              <w:pStyle w:val="ECCTabletext"/>
              <w:jc w:val="left"/>
            </w:pPr>
            <w:r w:rsidRPr="00C53FB5">
              <w:t>1</w:t>
            </w:r>
            <w:r w:rsidRPr="00186F14">
              <w:t>48</w:t>
            </w:r>
            <w:r w:rsidR="00CF4994">
              <w:t>.5</w:t>
            </w:r>
            <w:r w:rsidRPr="00186F14">
              <w:t xml:space="preserve"> to 151</w:t>
            </w:r>
            <w:r w:rsidR="00CF4994">
              <w:t>.5</w:t>
            </w:r>
            <w:r w:rsidR="007E4FCF">
              <w:t> </w:t>
            </w:r>
            <w:r w:rsidRPr="00186F14">
              <w:t>GHz (5.340 in adjacent)</w:t>
            </w:r>
          </w:p>
        </w:tc>
        <w:tc>
          <w:tcPr>
            <w:tcW w:w="1395" w:type="dxa"/>
            <w:vMerge w:val="restart"/>
          </w:tcPr>
          <w:p w14:paraId="2CA40DAF" w14:textId="77777777" w:rsidR="00186F14" w:rsidRPr="00186F14" w:rsidRDefault="00186F14" w:rsidP="000A69BD">
            <w:pPr>
              <w:pStyle w:val="ECCTabletext"/>
              <w:jc w:val="left"/>
            </w:pPr>
            <w:r>
              <w:t>150</w:t>
            </w:r>
            <w:r w:rsidRPr="00186F14">
              <w:t> GHz</w:t>
            </w:r>
          </w:p>
        </w:tc>
        <w:tc>
          <w:tcPr>
            <w:tcW w:w="2011" w:type="dxa"/>
          </w:tcPr>
          <w:p w14:paraId="2CADB0EB" w14:textId="02D18D13" w:rsidR="00186F14" w:rsidRPr="00186F14" w:rsidRDefault="00186F14" w:rsidP="000A69BD">
            <w:pPr>
              <w:pStyle w:val="ECCTabletext"/>
              <w:jc w:val="left"/>
            </w:pPr>
            <w:r w:rsidRPr="007D52AA">
              <w:t>Syst</w:t>
            </w:r>
            <w:r w:rsidR="009A18E2">
              <w:t>em</w:t>
            </w:r>
            <w:r w:rsidRPr="007D52AA">
              <w:t xml:space="preserve"> N1 (</w:t>
            </w:r>
            <w:r w:rsidR="009A18E2">
              <w:t>N</w:t>
            </w:r>
            <w:r w:rsidRPr="007D52AA">
              <w:t>adir)</w:t>
            </w:r>
          </w:p>
        </w:tc>
        <w:tc>
          <w:tcPr>
            <w:tcW w:w="1518" w:type="dxa"/>
          </w:tcPr>
          <w:p w14:paraId="1E68DFA5" w14:textId="77777777" w:rsidR="00186F14" w:rsidRPr="00186F14" w:rsidRDefault="00186F14" w:rsidP="000A69BD">
            <w:pPr>
              <w:pStyle w:val="ECCTabletext"/>
              <w:jc w:val="left"/>
            </w:pPr>
            <w:r>
              <w:t>62</w:t>
            </w:r>
            <w:r w:rsidR="00CF4994">
              <w:t>.4</w:t>
            </w:r>
            <w:r w:rsidRPr="00186F14">
              <w:t> dB</w:t>
            </w:r>
          </w:p>
        </w:tc>
      </w:tr>
      <w:tr w:rsidR="00186F14" w14:paraId="56DDA59C" w14:textId="77777777" w:rsidTr="00404588">
        <w:tc>
          <w:tcPr>
            <w:tcW w:w="1384" w:type="dxa"/>
            <w:vMerge/>
          </w:tcPr>
          <w:p w14:paraId="363C0F42" w14:textId="77777777" w:rsidR="00186F14" w:rsidRDefault="00186F14" w:rsidP="00186F14">
            <w:pPr>
              <w:pStyle w:val="ECCTabletext"/>
            </w:pPr>
          </w:p>
        </w:tc>
        <w:tc>
          <w:tcPr>
            <w:tcW w:w="1160" w:type="dxa"/>
            <w:vMerge/>
          </w:tcPr>
          <w:p w14:paraId="392216D1" w14:textId="77777777" w:rsidR="00186F14" w:rsidRDefault="00186F14" w:rsidP="00186F14">
            <w:pPr>
              <w:pStyle w:val="ECCTabletext"/>
            </w:pPr>
          </w:p>
        </w:tc>
        <w:tc>
          <w:tcPr>
            <w:tcW w:w="2161" w:type="dxa"/>
            <w:vMerge/>
          </w:tcPr>
          <w:p w14:paraId="6BD22079" w14:textId="77777777" w:rsidR="00186F14" w:rsidRPr="00C53FB5" w:rsidRDefault="00186F14" w:rsidP="00186F14">
            <w:pPr>
              <w:pStyle w:val="ECCTabletext"/>
            </w:pPr>
          </w:p>
        </w:tc>
        <w:tc>
          <w:tcPr>
            <w:tcW w:w="1395" w:type="dxa"/>
            <w:vMerge/>
          </w:tcPr>
          <w:p w14:paraId="7734A5E9" w14:textId="77777777" w:rsidR="00186F14" w:rsidRDefault="00186F14" w:rsidP="00186F14">
            <w:pPr>
              <w:pStyle w:val="ECCTabletext"/>
            </w:pPr>
          </w:p>
        </w:tc>
        <w:tc>
          <w:tcPr>
            <w:tcW w:w="2011" w:type="dxa"/>
          </w:tcPr>
          <w:p w14:paraId="39CDC179" w14:textId="5D3B2B23" w:rsidR="00186F14" w:rsidRPr="00186F14" w:rsidRDefault="00186F14" w:rsidP="000A69BD">
            <w:pPr>
              <w:pStyle w:val="ECCTabletext"/>
              <w:jc w:val="left"/>
            </w:pPr>
            <w:r w:rsidRPr="007D52AA">
              <w:t>Syst</w:t>
            </w:r>
            <w:r w:rsidR="009A18E2">
              <w:t>em</w:t>
            </w:r>
            <w:r w:rsidRPr="007D52AA">
              <w:t xml:space="preserve"> N1 </w:t>
            </w:r>
            <w:r w:rsidRPr="00186F14">
              <w:t>(</w:t>
            </w:r>
            <w:r w:rsidR="009A18E2">
              <w:t>O</w:t>
            </w:r>
            <w:r w:rsidRPr="00186F14">
              <w:t>uter)</w:t>
            </w:r>
          </w:p>
        </w:tc>
        <w:tc>
          <w:tcPr>
            <w:tcW w:w="1518" w:type="dxa"/>
          </w:tcPr>
          <w:p w14:paraId="2584131A" w14:textId="77777777" w:rsidR="00186F14" w:rsidRPr="00186F14" w:rsidRDefault="00186F14" w:rsidP="000A69BD">
            <w:pPr>
              <w:pStyle w:val="ECCTabletext"/>
              <w:jc w:val="left"/>
            </w:pPr>
            <w:r>
              <w:t>69</w:t>
            </w:r>
            <w:r w:rsidR="00CF4994">
              <w:t>.0</w:t>
            </w:r>
            <w:r w:rsidRPr="00186F14">
              <w:t> dB</w:t>
            </w:r>
          </w:p>
        </w:tc>
      </w:tr>
      <w:tr w:rsidR="00186F14" w14:paraId="12624417" w14:textId="77777777" w:rsidTr="00404588">
        <w:tc>
          <w:tcPr>
            <w:tcW w:w="1384" w:type="dxa"/>
            <w:vMerge w:val="restart"/>
          </w:tcPr>
          <w:p w14:paraId="1027315C" w14:textId="77777777" w:rsidR="00186F14" w:rsidRPr="00186F14" w:rsidRDefault="00186F14" w:rsidP="000A69BD">
            <w:pPr>
              <w:pStyle w:val="ECCTabletext"/>
              <w:jc w:val="left"/>
            </w:pPr>
            <w:r>
              <w:t>141 to 148</w:t>
            </w:r>
            <w:r w:rsidR="00CF4994">
              <w:t>.5</w:t>
            </w:r>
            <w:r>
              <w:t xml:space="preserve"> </w:t>
            </w:r>
            <w:r w:rsidRPr="00186F14">
              <w:t>GHz</w:t>
            </w:r>
          </w:p>
        </w:tc>
        <w:tc>
          <w:tcPr>
            <w:tcW w:w="1160" w:type="dxa"/>
            <w:vMerge w:val="restart"/>
          </w:tcPr>
          <w:p w14:paraId="4A9D482D" w14:textId="77777777" w:rsidR="00186F14" w:rsidRPr="00186F14" w:rsidRDefault="00186F14" w:rsidP="000A69BD">
            <w:pPr>
              <w:pStyle w:val="ECCTabletext"/>
              <w:jc w:val="left"/>
            </w:pPr>
            <w:r>
              <w:t>F</w:t>
            </w:r>
            <w:r w:rsidRPr="00186F14">
              <w:t>ixed</w:t>
            </w:r>
          </w:p>
        </w:tc>
        <w:tc>
          <w:tcPr>
            <w:tcW w:w="2161" w:type="dxa"/>
            <w:vMerge w:val="restart"/>
          </w:tcPr>
          <w:p w14:paraId="0EE6B134" w14:textId="77777777" w:rsidR="00186F14" w:rsidRPr="00186F14" w:rsidRDefault="00186F14" w:rsidP="000A69BD">
            <w:pPr>
              <w:pStyle w:val="ECCTabletext"/>
              <w:jc w:val="left"/>
            </w:pPr>
            <w:r w:rsidRPr="00C53FB5">
              <w:t>1</w:t>
            </w:r>
            <w:r w:rsidRPr="00186F14">
              <w:t>48</w:t>
            </w:r>
            <w:r w:rsidR="00CF4994">
              <w:t>.5</w:t>
            </w:r>
            <w:r w:rsidRPr="00186F14">
              <w:t xml:space="preserve"> to 151</w:t>
            </w:r>
            <w:r w:rsidR="00CF4994">
              <w:t>.5</w:t>
            </w:r>
            <w:r w:rsidRPr="00186F14">
              <w:t> GHz (5.340 in adjacent)</w:t>
            </w:r>
          </w:p>
        </w:tc>
        <w:tc>
          <w:tcPr>
            <w:tcW w:w="1395" w:type="dxa"/>
            <w:vMerge w:val="restart"/>
          </w:tcPr>
          <w:p w14:paraId="4328DCFA" w14:textId="77777777" w:rsidR="00186F14" w:rsidRPr="00186F14" w:rsidRDefault="00186F14" w:rsidP="000A69BD">
            <w:pPr>
              <w:pStyle w:val="ECCTabletext"/>
              <w:jc w:val="left"/>
            </w:pPr>
            <w:r>
              <w:t>150</w:t>
            </w:r>
            <w:r w:rsidRPr="00186F14">
              <w:t> GHz</w:t>
            </w:r>
          </w:p>
        </w:tc>
        <w:tc>
          <w:tcPr>
            <w:tcW w:w="2011" w:type="dxa"/>
          </w:tcPr>
          <w:p w14:paraId="11B2286F" w14:textId="17253803" w:rsidR="00186F14" w:rsidRPr="00186F14" w:rsidRDefault="00186F14" w:rsidP="000A69BD">
            <w:pPr>
              <w:pStyle w:val="ECCTabletext"/>
              <w:jc w:val="left"/>
            </w:pPr>
            <w:r w:rsidRPr="007D52AA">
              <w:t>Syst</w:t>
            </w:r>
            <w:r w:rsidR="009A18E2">
              <w:t>em</w:t>
            </w:r>
            <w:r w:rsidRPr="007D52AA">
              <w:t xml:space="preserve"> N1 (</w:t>
            </w:r>
            <w:r w:rsidR="009A18E2">
              <w:t>N</w:t>
            </w:r>
            <w:r w:rsidRPr="007D52AA">
              <w:t>adir)</w:t>
            </w:r>
          </w:p>
        </w:tc>
        <w:tc>
          <w:tcPr>
            <w:tcW w:w="1518" w:type="dxa"/>
          </w:tcPr>
          <w:p w14:paraId="7AC5D3FB" w14:textId="77777777" w:rsidR="00186F14" w:rsidRPr="00186F14" w:rsidRDefault="00186F14" w:rsidP="000A69BD">
            <w:pPr>
              <w:pStyle w:val="ECCTabletext"/>
              <w:jc w:val="left"/>
            </w:pPr>
            <w:r>
              <w:t>55</w:t>
            </w:r>
            <w:r w:rsidR="00CF4994">
              <w:t>.8</w:t>
            </w:r>
            <w:r w:rsidRPr="00186F14">
              <w:t> dB</w:t>
            </w:r>
          </w:p>
        </w:tc>
      </w:tr>
      <w:tr w:rsidR="00186F14" w14:paraId="0A7062FE" w14:textId="77777777" w:rsidTr="00404588">
        <w:tc>
          <w:tcPr>
            <w:tcW w:w="1384" w:type="dxa"/>
            <w:vMerge/>
          </w:tcPr>
          <w:p w14:paraId="5EDADC3A" w14:textId="77777777" w:rsidR="00186F14" w:rsidRDefault="00186F14" w:rsidP="00186F14">
            <w:pPr>
              <w:pStyle w:val="ECCTabletext"/>
            </w:pPr>
          </w:p>
        </w:tc>
        <w:tc>
          <w:tcPr>
            <w:tcW w:w="1160" w:type="dxa"/>
            <w:vMerge/>
          </w:tcPr>
          <w:p w14:paraId="0D3F8DEA" w14:textId="77777777" w:rsidR="00186F14" w:rsidRDefault="00186F14" w:rsidP="00186F14">
            <w:pPr>
              <w:pStyle w:val="ECCTabletext"/>
            </w:pPr>
          </w:p>
        </w:tc>
        <w:tc>
          <w:tcPr>
            <w:tcW w:w="2161" w:type="dxa"/>
            <w:vMerge/>
          </w:tcPr>
          <w:p w14:paraId="5A34129D" w14:textId="77777777" w:rsidR="00186F14" w:rsidRPr="00C53FB5" w:rsidRDefault="00186F14" w:rsidP="00186F14">
            <w:pPr>
              <w:pStyle w:val="ECCTabletext"/>
            </w:pPr>
          </w:p>
        </w:tc>
        <w:tc>
          <w:tcPr>
            <w:tcW w:w="1395" w:type="dxa"/>
            <w:vMerge/>
          </w:tcPr>
          <w:p w14:paraId="1ABAEB40" w14:textId="77777777" w:rsidR="00186F14" w:rsidRDefault="00186F14" w:rsidP="00186F14">
            <w:pPr>
              <w:pStyle w:val="ECCTabletext"/>
            </w:pPr>
          </w:p>
        </w:tc>
        <w:tc>
          <w:tcPr>
            <w:tcW w:w="2011" w:type="dxa"/>
          </w:tcPr>
          <w:p w14:paraId="0FDFC467" w14:textId="51B6AB7E" w:rsidR="00186F14" w:rsidRPr="00186F14" w:rsidRDefault="00186F14" w:rsidP="000A69BD">
            <w:pPr>
              <w:pStyle w:val="ECCTabletext"/>
              <w:jc w:val="left"/>
            </w:pPr>
            <w:r w:rsidRPr="007D52AA">
              <w:t>Syst</w:t>
            </w:r>
            <w:r w:rsidR="009A18E2">
              <w:t>em</w:t>
            </w:r>
            <w:r w:rsidRPr="007D52AA">
              <w:t xml:space="preserve"> N1 (</w:t>
            </w:r>
            <w:r w:rsidR="009A18E2">
              <w:t>O</w:t>
            </w:r>
            <w:r w:rsidRPr="007D52AA">
              <w:t>uter)</w:t>
            </w:r>
          </w:p>
        </w:tc>
        <w:tc>
          <w:tcPr>
            <w:tcW w:w="1518" w:type="dxa"/>
          </w:tcPr>
          <w:p w14:paraId="167E6834" w14:textId="77777777" w:rsidR="00186F14" w:rsidRPr="00186F14" w:rsidRDefault="00186F14" w:rsidP="000A69BD">
            <w:pPr>
              <w:pStyle w:val="ECCTabletext"/>
              <w:jc w:val="left"/>
            </w:pPr>
            <w:r>
              <w:t>62</w:t>
            </w:r>
            <w:r w:rsidR="00CF4994">
              <w:t>.0</w:t>
            </w:r>
            <w:r w:rsidRPr="00186F14">
              <w:t> dB</w:t>
            </w:r>
          </w:p>
        </w:tc>
      </w:tr>
    </w:tbl>
    <w:p w14:paraId="1492646C" w14:textId="76C9E379" w:rsidR="00502877" w:rsidRDefault="005E5019" w:rsidP="005E5019">
      <w:pPr>
        <w:pStyle w:val="Caption"/>
      </w:pPr>
      <w:bookmarkStart w:id="705" w:name="_Ref67858644"/>
      <w:r w:rsidRPr="00477961">
        <w:t>Table </w:t>
      </w:r>
      <w:r>
        <w:fldChar w:fldCharType="begin"/>
      </w:r>
      <w:r>
        <w:instrText>SEQ Table \* ARABIC</w:instrText>
      </w:r>
      <w:r>
        <w:fldChar w:fldCharType="separate"/>
      </w:r>
      <w:r w:rsidR="004F49F9">
        <w:rPr>
          <w:noProof/>
        </w:rPr>
        <w:t>85</w:t>
      </w:r>
      <w:r>
        <w:fldChar w:fldCharType="end"/>
      </w:r>
      <w:bookmarkEnd w:id="705"/>
      <w:r>
        <w:t xml:space="preserve">: </w:t>
      </w:r>
      <w:r w:rsidRPr="006231F5">
        <w:t xml:space="preserve">Margins to the </w:t>
      </w:r>
      <w:r>
        <w:t xml:space="preserve">EESS </w:t>
      </w:r>
      <w:r w:rsidRPr="006231F5">
        <w:t>interference criterion determined in a</w:t>
      </w:r>
      <w:r>
        <w:t xml:space="preserve">n aggregate </w:t>
      </w:r>
      <w:r w:rsidRPr="006231F5">
        <w:t xml:space="preserve">study </w:t>
      </w:r>
      <w:r w:rsidRPr="005B7086">
        <w:t xml:space="preserve">for </w:t>
      </w:r>
      <w:r>
        <w:t>generic indoor surveillance radar sensors</w:t>
      </w:r>
    </w:p>
    <w:tbl>
      <w:tblPr>
        <w:tblStyle w:val="ECCTable-redheader"/>
        <w:tblW w:w="0" w:type="auto"/>
        <w:tblInd w:w="0" w:type="dxa"/>
        <w:tblLook w:val="04A0" w:firstRow="1" w:lastRow="0" w:firstColumn="1" w:lastColumn="0" w:noHBand="0" w:noVBand="1"/>
      </w:tblPr>
      <w:tblGrid>
        <w:gridCol w:w="1383"/>
        <w:gridCol w:w="1717"/>
        <w:gridCol w:w="1919"/>
        <w:gridCol w:w="1395"/>
        <w:gridCol w:w="1854"/>
        <w:gridCol w:w="1361"/>
      </w:tblGrid>
      <w:tr w:rsidR="005E5019" w14:paraId="6F0B0886" w14:textId="77777777" w:rsidTr="009E6A7E">
        <w:trPr>
          <w:cnfStyle w:val="100000000000" w:firstRow="1" w:lastRow="0" w:firstColumn="0" w:lastColumn="0" w:oddVBand="0" w:evenVBand="0" w:oddHBand="0" w:evenHBand="0" w:firstRowFirstColumn="0" w:firstRowLastColumn="0" w:lastRowFirstColumn="0" w:lastRowLastColumn="0"/>
        </w:trPr>
        <w:tc>
          <w:tcPr>
            <w:tcW w:w="1383" w:type="dxa"/>
          </w:tcPr>
          <w:p w14:paraId="4F2334E9" w14:textId="77777777" w:rsidR="005E5019" w:rsidRPr="005E5019" w:rsidRDefault="005E5019" w:rsidP="00876039">
            <w:pPr>
              <w:pStyle w:val="ECCTableHeaderwhitefont"/>
            </w:pPr>
            <w:r w:rsidRPr="003515E3">
              <w:t>Investigated Frequency range</w:t>
            </w:r>
          </w:p>
        </w:tc>
        <w:tc>
          <w:tcPr>
            <w:tcW w:w="1717" w:type="dxa"/>
          </w:tcPr>
          <w:p w14:paraId="14B1B8E5" w14:textId="77777777" w:rsidR="005E5019" w:rsidRPr="005E5019" w:rsidRDefault="005E5019" w:rsidP="000A69BD">
            <w:pPr>
              <w:pStyle w:val="ECCTableHeaderwhitefont"/>
            </w:pPr>
            <w:r>
              <w:t>Device type</w:t>
            </w:r>
          </w:p>
        </w:tc>
        <w:tc>
          <w:tcPr>
            <w:tcW w:w="1919" w:type="dxa"/>
          </w:tcPr>
          <w:p w14:paraId="010EF267" w14:textId="77777777" w:rsidR="005E5019" w:rsidRPr="005E5019" w:rsidRDefault="005E5019" w:rsidP="000A69BD">
            <w:pPr>
              <w:pStyle w:val="ECCTableHeaderwhitefont"/>
            </w:pPr>
            <w:r w:rsidRPr="001C46A1">
              <w:t>Allocated band for EESS</w:t>
            </w:r>
          </w:p>
        </w:tc>
        <w:tc>
          <w:tcPr>
            <w:tcW w:w="1395" w:type="dxa"/>
          </w:tcPr>
          <w:p w14:paraId="3575F84A" w14:textId="77777777" w:rsidR="005E5019" w:rsidRPr="005E5019" w:rsidRDefault="005E5019" w:rsidP="000A69BD">
            <w:pPr>
              <w:pStyle w:val="ECCTableHeaderwhitefont"/>
            </w:pPr>
            <w:r w:rsidRPr="001C46A1">
              <w:t>Evaluated frequency</w:t>
            </w:r>
          </w:p>
        </w:tc>
        <w:tc>
          <w:tcPr>
            <w:tcW w:w="1854" w:type="dxa"/>
          </w:tcPr>
          <w:p w14:paraId="09C3026F" w14:textId="77777777" w:rsidR="005E5019" w:rsidRPr="005E5019" w:rsidRDefault="005E5019" w:rsidP="000A69BD">
            <w:pPr>
              <w:pStyle w:val="ECCTableHeaderwhitefont"/>
            </w:pPr>
            <w:r w:rsidRPr="001C46A1">
              <w:t>EESS victim sensor</w:t>
            </w:r>
          </w:p>
        </w:tc>
        <w:tc>
          <w:tcPr>
            <w:tcW w:w="1361" w:type="dxa"/>
          </w:tcPr>
          <w:p w14:paraId="19410935" w14:textId="77777777" w:rsidR="005E5019" w:rsidRPr="005E5019" w:rsidRDefault="005E5019" w:rsidP="000A69BD">
            <w:pPr>
              <w:pStyle w:val="ECCTableHeaderwhitefont"/>
            </w:pPr>
            <w:r w:rsidRPr="001C46A1">
              <w:t>Margin to interference criterion</w:t>
            </w:r>
          </w:p>
        </w:tc>
      </w:tr>
      <w:tr w:rsidR="005E5019" w14:paraId="6F06F10C" w14:textId="77777777" w:rsidTr="009E6A7E">
        <w:tc>
          <w:tcPr>
            <w:tcW w:w="1383" w:type="dxa"/>
          </w:tcPr>
          <w:p w14:paraId="1552E775" w14:textId="77777777" w:rsidR="005E5019" w:rsidRPr="005E5019" w:rsidRDefault="005E5019" w:rsidP="000A69BD">
            <w:pPr>
              <w:pStyle w:val="ECCTabletext"/>
              <w:jc w:val="left"/>
            </w:pPr>
            <w:r>
              <w:t>116 to 130 </w:t>
            </w:r>
            <w:r w:rsidRPr="005E5019">
              <w:t>GHz</w:t>
            </w:r>
          </w:p>
        </w:tc>
        <w:tc>
          <w:tcPr>
            <w:tcW w:w="1717" w:type="dxa"/>
          </w:tcPr>
          <w:p w14:paraId="288620D6" w14:textId="4B28509E" w:rsidR="005E5019" w:rsidRPr="005E5019" w:rsidRDefault="009D5FA2" w:rsidP="000A69BD">
            <w:pPr>
              <w:pStyle w:val="ECCTabletext"/>
              <w:jc w:val="left"/>
            </w:pPr>
            <w:r>
              <w:t>Hand-held</w:t>
            </w:r>
            <w:r w:rsidR="005E5019">
              <w:t>/</w:t>
            </w:r>
            <w:r w:rsidR="005E5019" w:rsidRPr="005E5019">
              <w:t>mobile</w:t>
            </w:r>
            <w:r w:rsidR="005E5019">
              <w:t xml:space="preserve"> + fixed</w:t>
            </w:r>
          </w:p>
        </w:tc>
        <w:tc>
          <w:tcPr>
            <w:tcW w:w="1919" w:type="dxa"/>
          </w:tcPr>
          <w:p w14:paraId="3CA68776" w14:textId="77777777" w:rsidR="005E5019" w:rsidRPr="005E5019" w:rsidRDefault="005E5019" w:rsidP="000A69BD">
            <w:pPr>
              <w:pStyle w:val="ECCTabletext"/>
              <w:jc w:val="left"/>
            </w:pPr>
            <w:r w:rsidRPr="00C53FB5">
              <w:t>1</w:t>
            </w:r>
            <w:r w:rsidRPr="005E5019">
              <w:t>14</w:t>
            </w:r>
            <w:r w:rsidR="00CF4994">
              <w:t>.2</w:t>
            </w:r>
            <w:r w:rsidRPr="005E5019">
              <w:t>5 to 122</w:t>
            </w:r>
            <w:r w:rsidR="00CF4994">
              <w:t>.2</w:t>
            </w:r>
            <w:r w:rsidRPr="005E5019">
              <w:t>5 GHz (in-band)</w:t>
            </w:r>
          </w:p>
        </w:tc>
        <w:tc>
          <w:tcPr>
            <w:tcW w:w="1395" w:type="dxa"/>
          </w:tcPr>
          <w:p w14:paraId="5BA78BEA" w14:textId="77777777" w:rsidR="005E5019" w:rsidRPr="005E5019" w:rsidRDefault="005E5019" w:rsidP="000A69BD">
            <w:pPr>
              <w:pStyle w:val="ECCTabletext"/>
              <w:jc w:val="left"/>
            </w:pPr>
            <w:r>
              <w:t>119</w:t>
            </w:r>
            <w:r w:rsidR="00CF4994">
              <w:t>.1</w:t>
            </w:r>
            <w:r>
              <w:t>25 GHz</w:t>
            </w:r>
          </w:p>
        </w:tc>
        <w:tc>
          <w:tcPr>
            <w:tcW w:w="1854" w:type="dxa"/>
          </w:tcPr>
          <w:p w14:paraId="45AF65E0" w14:textId="77777777" w:rsidR="005E5019" w:rsidRPr="005E5019" w:rsidRDefault="005E5019" w:rsidP="000A69BD">
            <w:pPr>
              <w:pStyle w:val="ECCTabletext"/>
              <w:jc w:val="left"/>
            </w:pPr>
            <w:r w:rsidRPr="005D48C2">
              <w:t>MWI conical scanner</w:t>
            </w:r>
          </w:p>
        </w:tc>
        <w:tc>
          <w:tcPr>
            <w:tcW w:w="1361" w:type="dxa"/>
          </w:tcPr>
          <w:p w14:paraId="74E4225B" w14:textId="77777777" w:rsidR="005E5019" w:rsidRPr="005E5019" w:rsidRDefault="007E4FCF" w:rsidP="000A69BD">
            <w:pPr>
              <w:pStyle w:val="ECCTabletext"/>
              <w:jc w:val="left"/>
            </w:pPr>
            <w:r>
              <w:t>-21</w:t>
            </w:r>
            <w:r w:rsidR="00CF4994">
              <w:t>.0</w:t>
            </w:r>
            <w:r w:rsidR="005E5019" w:rsidRPr="005E5019">
              <w:t> dB</w:t>
            </w:r>
          </w:p>
        </w:tc>
      </w:tr>
      <w:tr w:rsidR="005E5019" w14:paraId="7E36A0B5" w14:textId="77777777" w:rsidTr="009E6A7E">
        <w:tc>
          <w:tcPr>
            <w:tcW w:w="1383" w:type="dxa"/>
          </w:tcPr>
          <w:p w14:paraId="785A3A17" w14:textId="77777777" w:rsidR="005E5019" w:rsidRPr="005E5019" w:rsidRDefault="005E5019" w:rsidP="000A69BD">
            <w:pPr>
              <w:pStyle w:val="ECCTabletext"/>
              <w:jc w:val="left"/>
            </w:pPr>
            <w:r>
              <w:t>116 to 130 </w:t>
            </w:r>
            <w:r w:rsidRPr="005E5019">
              <w:t>GHz</w:t>
            </w:r>
          </w:p>
        </w:tc>
        <w:tc>
          <w:tcPr>
            <w:tcW w:w="1717" w:type="dxa"/>
          </w:tcPr>
          <w:p w14:paraId="38737160" w14:textId="64A9A060" w:rsidR="005E5019" w:rsidRPr="005E5019" w:rsidRDefault="009D5FA2" w:rsidP="000A69BD">
            <w:pPr>
              <w:pStyle w:val="ECCTabletext"/>
              <w:jc w:val="left"/>
            </w:pPr>
            <w:r>
              <w:t>Hand-held</w:t>
            </w:r>
            <w:r w:rsidR="005E5019">
              <w:t>/</w:t>
            </w:r>
            <w:r w:rsidR="005E5019" w:rsidRPr="005E5019">
              <w:t>mobile + fixed</w:t>
            </w:r>
          </w:p>
        </w:tc>
        <w:tc>
          <w:tcPr>
            <w:tcW w:w="1919" w:type="dxa"/>
          </w:tcPr>
          <w:p w14:paraId="3FD154CE" w14:textId="77777777" w:rsidR="005E5019" w:rsidRPr="005E5019" w:rsidRDefault="005E5019" w:rsidP="000A69BD">
            <w:pPr>
              <w:pStyle w:val="ECCTabletext"/>
              <w:jc w:val="left"/>
            </w:pPr>
            <w:r w:rsidRPr="00C53FB5">
              <w:t>1</w:t>
            </w:r>
            <w:r w:rsidRPr="005E5019">
              <w:t>14</w:t>
            </w:r>
            <w:r w:rsidR="00CF4994">
              <w:t>.2</w:t>
            </w:r>
            <w:r w:rsidRPr="005E5019">
              <w:t>5 to 122</w:t>
            </w:r>
            <w:r w:rsidR="00CF4994">
              <w:t>.2</w:t>
            </w:r>
            <w:r w:rsidRPr="005E5019">
              <w:t>5 GHz (</w:t>
            </w:r>
            <w:r w:rsidR="004F691F">
              <w:t xml:space="preserve">in </w:t>
            </w:r>
            <w:r>
              <w:t>adjacent</w:t>
            </w:r>
            <w:r w:rsidRPr="005E5019">
              <w:t>)</w:t>
            </w:r>
          </w:p>
        </w:tc>
        <w:tc>
          <w:tcPr>
            <w:tcW w:w="1395" w:type="dxa"/>
          </w:tcPr>
          <w:p w14:paraId="5CAF3003" w14:textId="77777777" w:rsidR="005E5019" w:rsidRPr="005E5019" w:rsidRDefault="005E5019" w:rsidP="000A69BD">
            <w:pPr>
              <w:pStyle w:val="ECCTabletext"/>
              <w:jc w:val="left"/>
            </w:pPr>
            <w:r>
              <w:t>119</w:t>
            </w:r>
            <w:r w:rsidR="00CF4994">
              <w:t>.1</w:t>
            </w:r>
            <w:r>
              <w:t>25 GHz</w:t>
            </w:r>
          </w:p>
        </w:tc>
        <w:tc>
          <w:tcPr>
            <w:tcW w:w="1854" w:type="dxa"/>
          </w:tcPr>
          <w:p w14:paraId="47D1C060" w14:textId="77777777" w:rsidR="005E5019" w:rsidRPr="005E5019" w:rsidRDefault="005E5019" w:rsidP="000A69BD">
            <w:pPr>
              <w:pStyle w:val="ECCTabletext"/>
              <w:jc w:val="left"/>
            </w:pPr>
            <w:r w:rsidRPr="005D48C2">
              <w:t>MWI conical scanner</w:t>
            </w:r>
          </w:p>
        </w:tc>
        <w:tc>
          <w:tcPr>
            <w:tcW w:w="1361" w:type="dxa"/>
          </w:tcPr>
          <w:p w14:paraId="54CE022F" w14:textId="77777777" w:rsidR="005E5019" w:rsidRPr="005E5019" w:rsidRDefault="007E4FCF" w:rsidP="000A69BD">
            <w:pPr>
              <w:pStyle w:val="ECCTabletext"/>
              <w:jc w:val="left"/>
            </w:pPr>
            <w:r>
              <w:t>-0</w:t>
            </w:r>
            <w:r w:rsidR="00CF4994">
              <w:t>.9</w:t>
            </w:r>
            <w:r w:rsidR="005E5019" w:rsidRPr="005E5019">
              <w:t> dB</w:t>
            </w:r>
          </w:p>
        </w:tc>
      </w:tr>
      <w:tr w:rsidR="005E5019" w:rsidRPr="001C46A1" w14:paraId="18BA2892" w14:textId="77777777" w:rsidTr="009E6A7E">
        <w:tc>
          <w:tcPr>
            <w:tcW w:w="1383" w:type="dxa"/>
          </w:tcPr>
          <w:p w14:paraId="10C04594" w14:textId="77777777" w:rsidR="005E5019" w:rsidRPr="005E5019" w:rsidRDefault="005E5019" w:rsidP="000A69BD">
            <w:pPr>
              <w:pStyle w:val="ECCTabletext"/>
              <w:jc w:val="left"/>
            </w:pPr>
            <w:r>
              <w:t>122</w:t>
            </w:r>
            <w:r w:rsidR="00CF4994">
              <w:t>.2</w:t>
            </w:r>
            <w:r>
              <w:t>5</w:t>
            </w:r>
            <w:r w:rsidRPr="005E5019">
              <w:t xml:space="preserve"> to 130 GHz</w:t>
            </w:r>
          </w:p>
        </w:tc>
        <w:tc>
          <w:tcPr>
            <w:tcW w:w="1717" w:type="dxa"/>
          </w:tcPr>
          <w:p w14:paraId="3B3A0220" w14:textId="5A7A810E" w:rsidR="005E5019" w:rsidRPr="005E5019" w:rsidRDefault="009D5FA2" w:rsidP="000A69BD">
            <w:pPr>
              <w:pStyle w:val="ECCTabletext"/>
              <w:jc w:val="left"/>
            </w:pPr>
            <w:r>
              <w:t>Hand-held</w:t>
            </w:r>
            <w:r w:rsidR="005E5019">
              <w:t>/</w:t>
            </w:r>
            <w:r w:rsidR="005E5019" w:rsidRPr="005E5019">
              <w:t>mobile + fixed</w:t>
            </w:r>
          </w:p>
        </w:tc>
        <w:tc>
          <w:tcPr>
            <w:tcW w:w="1919" w:type="dxa"/>
          </w:tcPr>
          <w:p w14:paraId="3B706AC7" w14:textId="77777777" w:rsidR="005E5019" w:rsidRPr="005E5019" w:rsidRDefault="005E5019" w:rsidP="000A69BD">
            <w:pPr>
              <w:pStyle w:val="ECCTabletext"/>
              <w:jc w:val="left"/>
            </w:pPr>
            <w:r w:rsidRPr="00C53FB5">
              <w:t>1</w:t>
            </w:r>
            <w:r w:rsidRPr="005E5019">
              <w:t>14</w:t>
            </w:r>
            <w:r w:rsidR="00CF4994">
              <w:t>.2</w:t>
            </w:r>
            <w:r w:rsidRPr="005E5019">
              <w:t xml:space="preserve">5 to </w:t>
            </w:r>
            <w:r>
              <w:t>116</w:t>
            </w:r>
            <w:r w:rsidRPr="005E5019">
              <w:t> GHz (</w:t>
            </w:r>
            <w:r>
              <w:t xml:space="preserve">5.340 in </w:t>
            </w:r>
            <w:r w:rsidRPr="005E5019">
              <w:t>adjacent)</w:t>
            </w:r>
          </w:p>
        </w:tc>
        <w:tc>
          <w:tcPr>
            <w:tcW w:w="1395" w:type="dxa"/>
          </w:tcPr>
          <w:p w14:paraId="62BD365F" w14:textId="77777777" w:rsidR="005E5019" w:rsidRPr="005E5019" w:rsidRDefault="005E5019" w:rsidP="000A69BD">
            <w:pPr>
              <w:pStyle w:val="ECCTabletext"/>
              <w:jc w:val="left"/>
            </w:pPr>
            <w:r>
              <w:t>115</w:t>
            </w:r>
            <w:r w:rsidR="00CF4994">
              <w:t>.1</w:t>
            </w:r>
            <w:r>
              <w:t>25 GHz</w:t>
            </w:r>
          </w:p>
        </w:tc>
        <w:tc>
          <w:tcPr>
            <w:tcW w:w="1854" w:type="dxa"/>
          </w:tcPr>
          <w:p w14:paraId="0FDBD1CD" w14:textId="77777777" w:rsidR="005E5019" w:rsidRPr="005E5019" w:rsidRDefault="005E5019" w:rsidP="000A69BD">
            <w:pPr>
              <w:pStyle w:val="ECCTabletext"/>
              <w:jc w:val="left"/>
            </w:pPr>
            <w:r w:rsidRPr="005D48C2">
              <w:t>MWI conical scanner</w:t>
            </w:r>
          </w:p>
        </w:tc>
        <w:tc>
          <w:tcPr>
            <w:tcW w:w="1361" w:type="dxa"/>
          </w:tcPr>
          <w:p w14:paraId="7F0C5F8A" w14:textId="77777777" w:rsidR="005E5019" w:rsidRPr="005E5019" w:rsidRDefault="007E4FCF" w:rsidP="000A69BD">
            <w:pPr>
              <w:pStyle w:val="ECCTabletext"/>
              <w:jc w:val="left"/>
            </w:pPr>
            <w:r>
              <w:t>-1</w:t>
            </w:r>
            <w:r w:rsidR="00CF4994">
              <w:t>.2</w:t>
            </w:r>
            <w:r w:rsidR="005E5019" w:rsidRPr="005E5019">
              <w:t> dB</w:t>
            </w:r>
          </w:p>
        </w:tc>
      </w:tr>
      <w:tr w:rsidR="005E5019" w:rsidRPr="001C46A1" w14:paraId="6F6F3BC4" w14:textId="77777777" w:rsidTr="009E6A7E">
        <w:tc>
          <w:tcPr>
            <w:tcW w:w="1383" w:type="dxa"/>
            <w:vMerge w:val="restart"/>
          </w:tcPr>
          <w:p w14:paraId="38B33132" w14:textId="77777777" w:rsidR="005E5019" w:rsidRPr="005E5019" w:rsidRDefault="005E5019" w:rsidP="000A69BD">
            <w:pPr>
              <w:pStyle w:val="ECCTabletext"/>
              <w:jc w:val="left"/>
            </w:pPr>
            <w:r>
              <w:t>141 to 148</w:t>
            </w:r>
            <w:r w:rsidR="00CF4994">
              <w:t>.5</w:t>
            </w:r>
            <w:r>
              <w:t> GHz</w:t>
            </w:r>
          </w:p>
        </w:tc>
        <w:tc>
          <w:tcPr>
            <w:tcW w:w="1717" w:type="dxa"/>
            <w:vMerge w:val="restart"/>
          </w:tcPr>
          <w:p w14:paraId="4D7321EE" w14:textId="28B5CB6E" w:rsidR="005E5019" w:rsidRPr="005E5019" w:rsidRDefault="009D5FA2" w:rsidP="000A69BD">
            <w:pPr>
              <w:pStyle w:val="ECCTabletext"/>
              <w:jc w:val="left"/>
            </w:pPr>
            <w:r>
              <w:t>Hand-held</w:t>
            </w:r>
            <w:r w:rsidR="005E5019">
              <w:t>/</w:t>
            </w:r>
            <w:r w:rsidR="005E5019" w:rsidRPr="005E5019">
              <w:t>mobile + fixed</w:t>
            </w:r>
          </w:p>
        </w:tc>
        <w:tc>
          <w:tcPr>
            <w:tcW w:w="1919" w:type="dxa"/>
            <w:vMerge w:val="restart"/>
          </w:tcPr>
          <w:p w14:paraId="54E98E56" w14:textId="77777777" w:rsidR="005E5019" w:rsidRPr="005E5019" w:rsidRDefault="005E5019" w:rsidP="000A69BD">
            <w:pPr>
              <w:pStyle w:val="ECCTabletext"/>
              <w:jc w:val="left"/>
            </w:pPr>
            <w:r>
              <w:t>148</w:t>
            </w:r>
            <w:r w:rsidR="00CF4994">
              <w:t>.5</w:t>
            </w:r>
            <w:r w:rsidRPr="005E5019">
              <w:t xml:space="preserve"> to </w:t>
            </w:r>
            <w:r>
              <w:t>151</w:t>
            </w:r>
            <w:r w:rsidR="00CF4994">
              <w:t>.5</w:t>
            </w:r>
            <w:r w:rsidRPr="005E5019">
              <w:t> GHz (</w:t>
            </w:r>
            <w:r>
              <w:t xml:space="preserve">5.340 in </w:t>
            </w:r>
            <w:r w:rsidRPr="005E5019">
              <w:t>adjacent)</w:t>
            </w:r>
          </w:p>
        </w:tc>
        <w:tc>
          <w:tcPr>
            <w:tcW w:w="1395" w:type="dxa"/>
            <w:vMerge w:val="restart"/>
          </w:tcPr>
          <w:p w14:paraId="1F066225" w14:textId="77777777" w:rsidR="005E5019" w:rsidRPr="005E5019" w:rsidRDefault="005E5019" w:rsidP="000A69BD">
            <w:pPr>
              <w:pStyle w:val="ECCTabletext"/>
              <w:jc w:val="left"/>
            </w:pPr>
            <w:r>
              <w:t>150 GHz</w:t>
            </w:r>
          </w:p>
        </w:tc>
        <w:tc>
          <w:tcPr>
            <w:tcW w:w="1854" w:type="dxa"/>
          </w:tcPr>
          <w:p w14:paraId="52EFE44E" w14:textId="044EFFC4" w:rsidR="005E5019" w:rsidRPr="005E5019" w:rsidRDefault="005E5019" w:rsidP="000A69BD">
            <w:pPr>
              <w:pStyle w:val="ECCTabletext"/>
              <w:jc w:val="left"/>
            </w:pPr>
            <w:r w:rsidRPr="007D52AA">
              <w:t>Syst</w:t>
            </w:r>
            <w:r w:rsidR="009A18E2">
              <w:t>em</w:t>
            </w:r>
            <w:r w:rsidRPr="007D52AA">
              <w:t xml:space="preserve"> N1 (</w:t>
            </w:r>
            <w:r w:rsidR="009A18E2">
              <w:t>N</w:t>
            </w:r>
            <w:r w:rsidRPr="007D52AA">
              <w:t>adir)</w:t>
            </w:r>
          </w:p>
        </w:tc>
        <w:tc>
          <w:tcPr>
            <w:tcW w:w="1361" w:type="dxa"/>
          </w:tcPr>
          <w:p w14:paraId="58166D62" w14:textId="77777777" w:rsidR="005E5019" w:rsidRPr="005E5019" w:rsidRDefault="005E5019" w:rsidP="000A69BD">
            <w:pPr>
              <w:pStyle w:val="ECCTabletext"/>
              <w:jc w:val="left"/>
            </w:pPr>
            <w:r>
              <w:t>3</w:t>
            </w:r>
            <w:r w:rsidR="00CF4994">
              <w:t>.8</w:t>
            </w:r>
            <w:r w:rsidRPr="005E5019">
              <w:t> dB</w:t>
            </w:r>
          </w:p>
        </w:tc>
      </w:tr>
      <w:tr w:rsidR="005E5019" w:rsidRPr="001C46A1" w14:paraId="35E12FAF" w14:textId="77777777" w:rsidTr="009E6A7E">
        <w:tc>
          <w:tcPr>
            <w:tcW w:w="1383" w:type="dxa"/>
            <w:vMerge/>
          </w:tcPr>
          <w:p w14:paraId="1954AF03" w14:textId="77777777" w:rsidR="005E5019" w:rsidRDefault="005E5019" w:rsidP="005E5019">
            <w:pPr>
              <w:pStyle w:val="ECCTabletext"/>
            </w:pPr>
          </w:p>
        </w:tc>
        <w:tc>
          <w:tcPr>
            <w:tcW w:w="1717" w:type="dxa"/>
            <w:vMerge/>
          </w:tcPr>
          <w:p w14:paraId="60CAD3A4" w14:textId="77777777" w:rsidR="005E5019" w:rsidRDefault="005E5019" w:rsidP="005E5019">
            <w:pPr>
              <w:pStyle w:val="ECCTabletext"/>
            </w:pPr>
          </w:p>
        </w:tc>
        <w:tc>
          <w:tcPr>
            <w:tcW w:w="1919" w:type="dxa"/>
            <w:vMerge/>
          </w:tcPr>
          <w:p w14:paraId="60261457" w14:textId="77777777" w:rsidR="005E5019" w:rsidRPr="00C53FB5" w:rsidRDefault="005E5019" w:rsidP="005E5019">
            <w:pPr>
              <w:pStyle w:val="ECCTabletext"/>
            </w:pPr>
          </w:p>
        </w:tc>
        <w:tc>
          <w:tcPr>
            <w:tcW w:w="1395" w:type="dxa"/>
            <w:vMerge/>
          </w:tcPr>
          <w:p w14:paraId="2FE73EAC" w14:textId="77777777" w:rsidR="005E5019" w:rsidRDefault="005E5019" w:rsidP="005E5019">
            <w:pPr>
              <w:pStyle w:val="ECCTabletext"/>
            </w:pPr>
          </w:p>
        </w:tc>
        <w:tc>
          <w:tcPr>
            <w:tcW w:w="1854" w:type="dxa"/>
          </w:tcPr>
          <w:p w14:paraId="555C29FE" w14:textId="2E19BDBD" w:rsidR="005E5019" w:rsidRPr="005E5019" w:rsidRDefault="005E5019" w:rsidP="000A69BD">
            <w:pPr>
              <w:pStyle w:val="ECCTabletext"/>
              <w:jc w:val="left"/>
            </w:pPr>
            <w:r w:rsidRPr="007D52AA">
              <w:t>Syst</w:t>
            </w:r>
            <w:r w:rsidR="009A18E2">
              <w:t>em</w:t>
            </w:r>
            <w:r w:rsidRPr="007D52AA">
              <w:t xml:space="preserve"> N1 (</w:t>
            </w:r>
            <w:r w:rsidR="009A18E2">
              <w:t>O</w:t>
            </w:r>
            <w:r w:rsidRPr="007D52AA">
              <w:t>uter)</w:t>
            </w:r>
          </w:p>
        </w:tc>
        <w:tc>
          <w:tcPr>
            <w:tcW w:w="1361" w:type="dxa"/>
          </w:tcPr>
          <w:p w14:paraId="4BC3E97D" w14:textId="77777777" w:rsidR="005E5019" w:rsidRDefault="005E5019" w:rsidP="000A69BD">
            <w:pPr>
              <w:pStyle w:val="ECCTabletext"/>
              <w:jc w:val="left"/>
            </w:pPr>
            <w:r>
              <w:t>5</w:t>
            </w:r>
            <w:r w:rsidR="00CF4994">
              <w:t>.1</w:t>
            </w:r>
            <w:r>
              <w:t> dB</w:t>
            </w:r>
          </w:p>
        </w:tc>
      </w:tr>
    </w:tbl>
    <w:p w14:paraId="1AEF2D29" w14:textId="219AC5B5" w:rsidR="009E6A7E" w:rsidRPr="006B2F3A" w:rsidRDefault="009E6A7E" w:rsidP="009E6A7E">
      <w:r>
        <w:t xml:space="preserve">The conclusions drawn from these results can be found in </w:t>
      </w:r>
      <w:r w:rsidR="009D5FA2">
        <w:t>section</w:t>
      </w:r>
      <w:r>
        <w:t xml:space="preserve"> </w:t>
      </w:r>
      <w:r>
        <w:fldChar w:fldCharType="begin"/>
      </w:r>
      <w:r>
        <w:instrText xml:space="preserve"> REF _Ref67858645 \r \h </w:instrText>
      </w:r>
      <w:r>
        <w:fldChar w:fldCharType="separate"/>
      </w:r>
      <w:r w:rsidR="004F49F9">
        <w:t>8.1.4</w:t>
      </w:r>
      <w:r>
        <w:fldChar w:fldCharType="end"/>
      </w:r>
      <w:r>
        <w:t>.</w:t>
      </w:r>
    </w:p>
    <w:p w14:paraId="64A4368A" w14:textId="77777777" w:rsidR="00FB07D5" w:rsidRDefault="00FB07D5" w:rsidP="00FB07D5">
      <w:pPr>
        <w:pStyle w:val="Heading2"/>
      </w:pPr>
      <w:bookmarkStart w:id="706" w:name="_Toc84325405"/>
      <w:bookmarkStart w:id="707" w:name="_Toc127346327"/>
      <w:r w:rsidRPr="00B06E7F">
        <w:t>Radiodetermination systems for industry automation (RDI)</w:t>
      </w:r>
      <w:bookmarkEnd w:id="706"/>
      <w:bookmarkEnd w:id="707"/>
    </w:p>
    <w:p w14:paraId="0ACD3243" w14:textId="77777777" w:rsidR="00FB07D5" w:rsidRDefault="00FB07D5" w:rsidP="00FB07D5">
      <w:pPr>
        <w:pStyle w:val="Heading3"/>
      </w:pPr>
      <w:bookmarkStart w:id="708" w:name="_Ref67390031"/>
      <w:bookmarkStart w:id="709" w:name="_Toc84325406"/>
      <w:bookmarkStart w:id="710" w:name="_Toc127346328"/>
      <w:r>
        <w:t>Technical parameters of RDI</w:t>
      </w:r>
      <w:bookmarkEnd w:id="708"/>
      <w:bookmarkEnd w:id="709"/>
      <w:bookmarkEnd w:id="710"/>
    </w:p>
    <w:p w14:paraId="7D0DFDEB" w14:textId="64A1CFC0" w:rsidR="00FB07D5" w:rsidRPr="00FB07D5" w:rsidRDefault="00FB07D5" w:rsidP="00FB07D5">
      <w:r w:rsidRPr="00FB07D5">
        <w:t xml:space="preserve">For RDI altogether five potential frequency bands have been defined (see </w:t>
      </w:r>
      <w:r w:rsidR="009D5FA2">
        <w:t>section</w:t>
      </w:r>
      <w:r w:rsidRPr="00FB07D5">
        <w:t xml:space="preserve"> </w:t>
      </w:r>
      <w:r w:rsidR="00253F35">
        <w:rPr>
          <w:highlight w:val="yellow"/>
        </w:rPr>
        <w:fldChar w:fldCharType="begin"/>
      </w:r>
      <w:r w:rsidR="00253F35">
        <w:instrText xml:space="preserve"> REF _Ref66448158 \r \h </w:instrText>
      </w:r>
      <w:r w:rsidR="00253F35">
        <w:rPr>
          <w:highlight w:val="yellow"/>
        </w:rPr>
      </w:r>
      <w:r w:rsidR="00253F35">
        <w:rPr>
          <w:highlight w:val="yellow"/>
        </w:rPr>
        <w:fldChar w:fldCharType="separate"/>
      </w:r>
      <w:r w:rsidR="004F49F9">
        <w:t>2.2.2.2</w:t>
      </w:r>
      <w:r w:rsidR="00253F35">
        <w:rPr>
          <w:highlight w:val="yellow"/>
        </w:rPr>
        <w:fldChar w:fldCharType="end"/>
      </w:r>
      <w:r w:rsidRPr="00FB07D5">
        <w:t>). However, only for the four frequency bands 116 to 130 GHz, 174</w:t>
      </w:r>
      <w:r w:rsidR="00CF4994">
        <w:t>.8</w:t>
      </w:r>
      <w:r w:rsidRPr="00FB07D5">
        <w:t xml:space="preserve"> to 182 GHz, 185 to 190 GHz and 231</w:t>
      </w:r>
      <w:r w:rsidR="00CF4994">
        <w:t>.5</w:t>
      </w:r>
      <w:r w:rsidRPr="00FB07D5">
        <w:t xml:space="preserve"> to 250 GHz allocations for EESS are affected which are located within these bands or adjacent to them (please compare the figures in </w:t>
      </w:r>
      <w:r w:rsidR="009D5FA2">
        <w:t>section</w:t>
      </w:r>
      <w:r w:rsidRPr="00FB07D5">
        <w:t xml:space="preserve"> </w:t>
      </w:r>
      <w:r w:rsidR="00253F35">
        <w:rPr>
          <w:highlight w:val="yellow"/>
        </w:rPr>
        <w:fldChar w:fldCharType="begin"/>
      </w:r>
      <w:r w:rsidR="00253F35">
        <w:instrText xml:space="preserve"> REF _Ref66361706 \r \h </w:instrText>
      </w:r>
      <w:r w:rsidR="00253F35">
        <w:rPr>
          <w:highlight w:val="yellow"/>
        </w:rPr>
      </w:r>
      <w:r w:rsidR="00253F35">
        <w:rPr>
          <w:highlight w:val="yellow"/>
        </w:rPr>
        <w:fldChar w:fldCharType="separate"/>
      </w:r>
      <w:r w:rsidR="004F49F9">
        <w:t>3.3</w:t>
      </w:r>
      <w:r w:rsidR="00253F35">
        <w:rPr>
          <w:highlight w:val="yellow"/>
        </w:rPr>
        <w:fldChar w:fldCharType="end"/>
      </w:r>
      <w:r w:rsidRPr="00FB07D5">
        <w:t>). Consequently, these four bands have been investigated in single-entry and aggregate studies. In these studies the individual residual margin (</w:t>
      </w:r>
      <w:r w:rsidR="009D5FA2">
        <w:t>section</w:t>
      </w:r>
      <w:r w:rsidRPr="00FB07D5">
        <w:t xml:space="preserve"> </w:t>
      </w:r>
      <w:r w:rsidR="00253F35">
        <w:rPr>
          <w:highlight w:val="yellow"/>
        </w:rPr>
        <w:fldChar w:fldCharType="begin"/>
      </w:r>
      <w:r w:rsidR="00253F35">
        <w:instrText xml:space="preserve"> REF _Ref66361724 \r \h </w:instrText>
      </w:r>
      <w:r w:rsidR="00253F35">
        <w:rPr>
          <w:highlight w:val="yellow"/>
        </w:rPr>
      </w:r>
      <w:r w:rsidR="00253F35">
        <w:rPr>
          <w:highlight w:val="yellow"/>
        </w:rPr>
        <w:fldChar w:fldCharType="separate"/>
      </w:r>
      <w:r w:rsidR="004F49F9">
        <w:t>3.4.4</w:t>
      </w:r>
      <w:r w:rsidR="00253F35">
        <w:rPr>
          <w:highlight w:val="yellow"/>
        </w:rPr>
        <w:fldChar w:fldCharType="end"/>
      </w:r>
      <w:r w:rsidRPr="00FB07D5">
        <w:t>) to the interference criterion is determined by means of the technical parameters (</w:t>
      </w:r>
      <w:r w:rsidR="009D5FA2">
        <w:t>section</w:t>
      </w:r>
      <w:r w:rsidRPr="00FB07D5">
        <w:t xml:space="preserve"> </w:t>
      </w:r>
      <w:r w:rsidR="00253F35">
        <w:rPr>
          <w:highlight w:val="yellow"/>
        </w:rPr>
        <w:fldChar w:fldCharType="begin"/>
      </w:r>
      <w:r w:rsidR="00253F35">
        <w:instrText xml:space="preserve"> REF _Ref66448217 \r \h </w:instrText>
      </w:r>
      <w:r w:rsidR="00253F35">
        <w:rPr>
          <w:highlight w:val="yellow"/>
        </w:rPr>
      </w:r>
      <w:r w:rsidR="00253F35">
        <w:rPr>
          <w:highlight w:val="yellow"/>
        </w:rPr>
        <w:fldChar w:fldCharType="separate"/>
      </w:r>
      <w:r w:rsidR="004F49F9">
        <w:t>2.2.2.3</w:t>
      </w:r>
      <w:r w:rsidR="00253F35">
        <w:rPr>
          <w:highlight w:val="yellow"/>
        </w:rPr>
        <w:fldChar w:fldCharType="end"/>
      </w:r>
      <w:r w:rsidRPr="00FB07D5">
        <w:t>), the antenna data (</w:t>
      </w:r>
      <w:r w:rsidR="009D5FA2">
        <w:t>section</w:t>
      </w:r>
      <w:r w:rsidRPr="00FB07D5">
        <w:t xml:space="preserve"> </w:t>
      </w:r>
      <w:r w:rsidR="00253F35">
        <w:rPr>
          <w:highlight w:val="yellow"/>
        </w:rPr>
        <w:fldChar w:fldCharType="begin"/>
      </w:r>
      <w:r w:rsidR="00253F35">
        <w:instrText xml:space="preserve"> REF _Ref20137901 \r \h </w:instrText>
      </w:r>
      <w:r w:rsidR="00253F35">
        <w:rPr>
          <w:highlight w:val="yellow"/>
        </w:rPr>
      </w:r>
      <w:r w:rsidR="00253F35">
        <w:rPr>
          <w:highlight w:val="yellow"/>
        </w:rPr>
        <w:fldChar w:fldCharType="separate"/>
      </w:r>
      <w:r w:rsidR="004F49F9">
        <w:t>2.2.2.4</w:t>
      </w:r>
      <w:r w:rsidR="00253F35">
        <w:rPr>
          <w:highlight w:val="yellow"/>
        </w:rPr>
        <w:fldChar w:fldCharType="end"/>
      </w:r>
      <w:r w:rsidRPr="00FB07D5">
        <w:t>), the defined interference scenarios (</w:t>
      </w:r>
      <w:r w:rsidR="009D5FA2">
        <w:t>section</w:t>
      </w:r>
      <w:r w:rsidRPr="00FB07D5">
        <w:t xml:space="preserve"> </w:t>
      </w:r>
      <w:r w:rsidR="00253F35">
        <w:rPr>
          <w:highlight w:val="yellow"/>
        </w:rPr>
        <w:fldChar w:fldCharType="begin"/>
      </w:r>
      <w:r w:rsidR="00253F35">
        <w:instrText xml:space="preserve"> REF _Ref53582739 \r \h </w:instrText>
      </w:r>
      <w:r w:rsidR="00253F35">
        <w:rPr>
          <w:highlight w:val="yellow"/>
        </w:rPr>
      </w:r>
      <w:r w:rsidR="00253F35">
        <w:rPr>
          <w:highlight w:val="yellow"/>
        </w:rPr>
        <w:fldChar w:fldCharType="separate"/>
      </w:r>
      <w:r w:rsidR="004F49F9">
        <w:t>2.2.2.6</w:t>
      </w:r>
      <w:r w:rsidR="00253F35">
        <w:rPr>
          <w:highlight w:val="yellow"/>
        </w:rPr>
        <w:fldChar w:fldCharType="end"/>
      </w:r>
      <w:r w:rsidRPr="00FB07D5">
        <w:t>) and the protection requirements for EESS (</w:t>
      </w:r>
      <w:r w:rsidR="009D5FA2">
        <w:t>section</w:t>
      </w:r>
      <w:r w:rsidRPr="00FB07D5">
        <w:t xml:space="preserve"> </w:t>
      </w:r>
      <w:r w:rsidR="00253F35">
        <w:rPr>
          <w:highlight w:val="yellow"/>
        </w:rPr>
        <w:fldChar w:fldCharType="begin"/>
      </w:r>
      <w:r w:rsidR="00253F35">
        <w:instrText xml:space="preserve"> REF _Ref66361876 \r \h </w:instrText>
      </w:r>
      <w:r w:rsidR="00253F35">
        <w:rPr>
          <w:highlight w:val="yellow"/>
        </w:rPr>
      </w:r>
      <w:r w:rsidR="00253F35">
        <w:rPr>
          <w:highlight w:val="yellow"/>
        </w:rPr>
        <w:fldChar w:fldCharType="separate"/>
      </w:r>
      <w:r w:rsidR="004F49F9">
        <w:t>3.5.4</w:t>
      </w:r>
      <w:r w:rsidR="00253F35">
        <w:rPr>
          <w:highlight w:val="yellow"/>
        </w:rPr>
        <w:fldChar w:fldCharType="end"/>
      </w:r>
      <w:r w:rsidRPr="00FB07D5">
        <w:t xml:space="preserve">). The exact calculations can be found in an Excel-spreadsheet which is attached to this </w:t>
      </w:r>
      <w:hyperlink r:id="rId165" w:history="1">
        <w:r w:rsidR="00C70410">
          <w:rPr>
            <w:rStyle w:val="Hyperlink"/>
          </w:rPr>
          <w:t>Report</w:t>
        </w:r>
      </w:hyperlink>
      <w:r w:rsidRPr="00FB07D5">
        <w:t>.</w:t>
      </w:r>
    </w:p>
    <w:p w14:paraId="1CD30873" w14:textId="7BE85418" w:rsidR="00FB07D5" w:rsidRPr="00FB07D5" w:rsidRDefault="00FB07D5" w:rsidP="00FB07D5">
      <w:r w:rsidRPr="00FB07D5">
        <w:t>The following technical parameters of the RDI application (</w:t>
      </w:r>
      <w:r w:rsidR="009D5FA2">
        <w:t>section</w:t>
      </w:r>
      <w:r w:rsidRPr="00FB07D5">
        <w:t xml:space="preserve"> </w:t>
      </w:r>
      <w:r w:rsidR="00253F35">
        <w:rPr>
          <w:highlight w:val="yellow"/>
        </w:rPr>
        <w:fldChar w:fldCharType="begin"/>
      </w:r>
      <w:r w:rsidR="00253F35">
        <w:instrText xml:space="preserve"> REF _Ref66448217 \r \h </w:instrText>
      </w:r>
      <w:r w:rsidR="00253F35">
        <w:rPr>
          <w:highlight w:val="yellow"/>
        </w:rPr>
      </w:r>
      <w:r w:rsidR="00253F35">
        <w:rPr>
          <w:highlight w:val="yellow"/>
        </w:rPr>
        <w:fldChar w:fldCharType="separate"/>
      </w:r>
      <w:r w:rsidR="004F49F9">
        <w:t>2.2.2.3</w:t>
      </w:r>
      <w:r w:rsidR="00253F35">
        <w:rPr>
          <w:highlight w:val="yellow"/>
        </w:rPr>
        <w:fldChar w:fldCharType="end"/>
      </w:r>
      <w:r w:rsidRPr="00FB07D5">
        <w:t>) have been used in the studies in the different frequency ranges.</w:t>
      </w:r>
    </w:p>
    <w:p w14:paraId="66F7E2CA" w14:textId="4E22AB26" w:rsidR="00FB07D5" w:rsidRDefault="00253F35" w:rsidP="00FB07D5">
      <w:pPr>
        <w:pStyle w:val="Caption"/>
        <w:rPr>
          <w:rStyle w:val="ECCParagraph"/>
        </w:rPr>
      </w:pPr>
      <w:bookmarkStart w:id="711" w:name="_Ref67312809"/>
      <w:r w:rsidRPr="00477961">
        <w:t>Table </w:t>
      </w:r>
      <w:r>
        <w:fldChar w:fldCharType="begin"/>
      </w:r>
      <w:r>
        <w:instrText>SEQ Table \* ARABIC</w:instrText>
      </w:r>
      <w:r>
        <w:fldChar w:fldCharType="separate"/>
      </w:r>
      <w:r w:rsidR="004F49F9">
        <w:rPr>
          <w:noProof/>
        </w:rPr>
        <w:t>86</w:t>
      </w:r>
      <w:r>
        <w:fldChar w:fldCharType="end"/>
      </w:r>
      <w:bookmarkEnd w:id="711"/>
      <w:r w:rsidR="00FB07D5">
        <w:t>: Technical parameters of RDI used for the conducted single-entry and aggregate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C943B8" w:rsidRPr="00566944" w14:paraId="66E654C9"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4EC4565E" w14:textId="77777777" w:rsidR="00C943B8" w:rsidRPr="00C943B8" w:rsidRDefault="00C943B8" w:rsidP="00876039">
            <w:pPr>
              <w:pStyle w:val="ECCTableHeaderwhitefont"/>
            </w:pPr>
            <w:r w:rsidRPr="00C943B8">
              <w:t>Investigated Frequency range</w:t>
            </w:r>
          </w:p>
        </w:tc>
        <w:tc>
          <w:tcPr>
            <w:tcW w:w="1569" w:type="dxa"/>
          </w:tcPr>
          <w:p w14:paraId="5D323F12" w14:textId="77777777" w:rsidR="00C943B8" w:rsidRPr="00C943B8" w:rsidRDefault="00C943B8" w:rsidP="000A69BD">
            <w:pPr>
              <w:pStyle w:val="ECCTableHeaderwhitefont"/>
            </w:pPr>
            <w:r w:rsidRPr="00C943B8">
              <w:t>Assumed modulation bandwidth</w:t>
            </w:r>
          </w:p>
        </w:tc>
        <w:tc>
          <w:tcPr>
            <w:tcW w:w="1513" w:type="dxa"/>
          </w:tcPr>
          <w:p w14:paraId="6BAA7718" w14:textId="77777777" w:rsidR="00C943B8" w:rsidRPr="00C943B8" w:rsidRDefault="00C943B8" w:rsidP="000A69BD">
            <w:pPr>
              <w:pStyle w:val="ECCTableHeaderwhitefont"/>
            </w:pPr>
            <w:r w:rsidRPr="00C943B8">
              <w:t>Duty cycle</w:t>
            </w:r>
          </w:p>
        </w:tc>
        <w:tc>
          <w:tcPr>
            <w:tcW w:w="1767" w:type="dxa"/>
          </w:tcPr>
          <w:p w14:paraId="05A7C098" w14:textId="77777777" w:rsidR="00C943B8" w:rsidRPr="00C943B8" w:rsidRDefault="00C943B8" w:rsidP="000A69BD">
            <w:pPr>
              <w:pStyle w:val="ECCTableHeaderwhitefont"/>
            </w:pPr>
            <w:r w:rsidRPr="00C943B8">
              <w:t xml:space="preserve">Mean e.i.r.p. spectral density </w:t>
            </w:r>
            <w:r w:rsidR="00247C46">
              <w:t>(Note 2)</w:t>
            </w:r>
          </w:p>
        </w:tc>
        <w:tc>
          <w:tcPr>
            <w:tcW w:w="1437" w:type="dxa"/>
          </w:tcPr>
          <w:p w14:paraId="0F9437DA" w14:textId="77777777" w:rsidR="00C943B8" w:rsidRPr="00C943B8" w:rsidRDefault="00C943B8" w:rsidP="000A69BD">
            <w:pPr>
              <w:pStyle w:val="ECCTableHeaderwhitefont"/>
            </w:pPr>
            <w:r w:rsidRPr="00C943B8">
              <w:t>Peak e.i.r.p.</w:t>
            </w:r>
          </w:p>
        </w:tc>
        <w:tc>
          <w:tcPr>
            <w:tcW w:w="1437" w:type="dxa"/>
          </w:tcPr>
          <w:p w14:paraId="442F5540" w14:textId="77777777" w:rsidR="00C943B8" w:rsidRPr="00C943B8" w:rsidRDefault="00C943B8" w:rsidP="000A69BD">
            <w:pPr>
              <w:pStyle w:val="ECCTableHeaderwhitefont"/>
            </w:pPr>
            <w:r w:rsidRPr="00C943B8">
              <w:t>OOB attenuation (Note 1)</w:t>
            </w:r>
          </w:p>
        </w:tc>
      </w:tr>
      <w:tr w:rsidR="00207F88" w:rsidRPr="00C53FB5" w14:paraId="1524BD6B" w14:textId="77777777" w:rsidTr="00BF4052">
        <w:tc>
          <w:tcPr>
            <w:tcW w:w="1838" w:type="dxa"/>
          </w:tcPr>
          <w:p w14:paraId="2D4F895F" w14:textId="77777777" w:rsidR="00207F88" w:rsidRPr="00207F88" w:rsidRDefault="00207F88" w:rsidP="000A69BD">
            <w:pPr>
              <w:pStyle w:val="ECCTabletext"/>
              <w:jc w:val="left"/>
            </w:pPr>
            <w:r w:rsidRPr="00C53FB5">
              <w:t xml:space="preserve">116 to </w:t>
            </w:r>
            <w:r w:rsidRPr="00207F88">
              <w:t>130 GHz</w:t>
            </w:r>
          </w:p>
        </w:tc>
        <w:tc>
          <w:tcPr>
            <w:tcW w:w="1569" w:type="dxa"/>
          </w:tcPr>
          <w:p w14:paraId="5F55DFFF" w14:textId="77777777" w:rsidR="00207F88" w:rsidRPr="00207F88" w:rsidRDefault="00207F88" w:rsidP="000A69BD">
            <w:pPr>
              <w:pStyle w:val="ECCTabletext"/>
              <w:jc w:val="left"/>
            </w:pPr>
            <w:r>
              <w:t>14 GHz</w:t>
            </w:r>
          </w:p>
        </w:tc>
        <w:tc>
          <w:tcPr>
            <w:tcW w:w="1513" w:type="dxa"/>
          </w:tcPr>
          <w:p w14:paraId="7C7F1558" w14:textId="5342ADAD" w:rsidR="00207F88" w:rsidRPr="00207F88" w:rsidRDefault="00207F88" w:rsidP="000A69BD">
            <w:pPr>
              <w:pStyle w:val="ECCTabletext"/>
              <w:jc w:val="left"/>
            </w:pPr>
            <w:r>
              <w:t>5</w:t>
            </w:r>
            <w:r w:rsidR="00F800A2">
              <w:t>%</w:t>
            </w:r>
          </w:p>
        </w:tc>
        <w:tc>
          <w:tcPr>
            <w:tcW w:w="1767" w:type="dxa"/>
          </w:tcPr>
          <w:p w14:paraId="3262DDC3" w14:textId="77777777" w:rsidR="00207F88" w:rsidRPr="00207F88" w:rsidRDefault="00207F88" w:rsidP="000A69BD">
            <w:pPr>
              <w:pStyle w:val="ECCTabletext"/>
              <w:jc w:val="left"/>
            </w:pPr>
            <w:r>
              <w:t>-2</w:t>
            </w:r>
            <w:r w:rsidR="00053C7C">
              <w:t>3</w:t>
            </w:r>
            <w:r w:rsidR="00CF4994">
              <w:t>.5</w:t>
            </w:r>
            <w:r>
              <w:t> dBm/MHz</w:t>
            </w:r>
          </w:p>
        </w:tc>
        <w:tc>
          <w:tcPr>
            <w:tcW w:w="1437" w:type="dxa"/>
          </w:tcPr>
          <w:p w14:paraId="15E24102" w14:textId="77777777" w:rsidR="00207F88" w:rsidRPr="00207F88" w:rsidRDefault="00207F88" w:rsidP="000A69BD">
            <w:pPr>
              <w:pStyle w:val="ECCTabletext"/>
              <w:jc w:val="left"/>
            </w:pPr>
            <w:r>
              <w:t>3</w:t>
            </w:r>
            <w:r w:rsidR="00053C7C">
              <w:t>1</w:t>
            </w:r>
            <w:r>
              <w:t> dBm</w:t>
            </w:r>
          </w:p>
        </w:tc>
        <w:tc>
          <w:tcPr>
            <w:tcW w:w="1437" w:type="dxa"/>
          </w:tcPr>
          <w:p w14:paraId="23E4A1ED" w14:textId="77777777" w:rsidR="00207F88" w:rsidRPr="00207F88" w:rsidRDefault="00207F88" w:rsidP="000A69BD">
            <w:pPr>
              <w:pStyle w:val="ECCTabletext"/>
              <w:jc w:val="left"/>
            </w:pPr>
            <w:r>
              <w:t>20 dB</w:t>
            </w:r>
          </w:p>
        </w:tc>
      </w:tr>
      <w:tr w:rsidR="00207F88" w:rsidRPr="00C53FB5" w14:paraId="5DFEAFCB" w14:textId="77777777" w:rsidTr="00BF4052">
        <w:tc>
          <w:tcPr>
            <w:tcW w:w="1838" w:type="dxa"/>
          </w:tcPr>
          <w:p w14:paraId="3D836DD0" w14:textId="77777777" w:rsidR="00207F88" w:rsidRPr="00207F88" w:rsidRDefault="00207F88" w:rsidP="000A69BD">
            <w:pPr>
              <w:pStyle w:val="ECCTabletext"/>
              <w:jc w:val="left"/>
            </w:pPr>
            <w:r w:rsidRPr="00C53FB5">
              <w:t>174</w:t>
            </w:r>
            <w:r w:rsidR="00CF4994">
              <w:t>.8</w:t>
            </w:r>
            <w:r w:rsidRPr="00C53FB5">
              <w:t xml:space="preserve"> to 182 GHz</w:t>
            </w:r>
          </w:p>
        </w:tc>
        <w:tc>
          <w:tcPr>
            <w:tcW w:w="1569" w:type="dxa"/>
          </w:tcPr>
          <w:p w14:paraId="7618AA63" w14:textId="77777777" w:rsidR="00207F88" w:rsidRPr="00207F88" w:rsidRDefault="00053C7C" w:rsidP="000A69BD">
            <w:pPr>
              <w:pStyle w:val="ECCTabletext"/>
              <w:jc w:val="left"/>
            </w:pPr>
            <w:r>
              <w:t>1</w:t>
            </w:r>
            <w:r w:rsidR="00CF4994">
              <w:t>.5</w:t>
            </w:r>
            <w:r w:rsidR="00207F88">
              <w:t> GHz</w:t>
            </w:r>
          </w:p>
        </w:tc>
        <w:tc>
          <w:tcPr>
            <w:tcW w:w="1513" w:type="dxa"/>
          </w:tcPr>
          <w:p w14:paraId="2B4D9266" w14:textId="400D9892" w:rsidR="00207F88" w:rsidRPr="00207F88" w:rsidRDefault="00207F88" w:rsidP="000A69BD">
            <w:pPr>
              <w:pStyle w:val="ECCTabletext"/>
              <w:jc w:val="left"/>
            </w:pPr>
            <w:r>
              <w:t>5</w:t>
            </w:r>
            <w:r w:rsidR="00F800A2">
              <w:t>%</w:t>
            </w:r>
          </w:p>
        </w:tc>
        <w:tc>
          <w:tcPr>
            <w:tcW w:w="1767" w:type="dxa"/>
          </w:tcPr>
          <w:p w14:paraId="59F62566" w14:textId="77777777" w:rsidR="00207F88" w:rsidRPr="00207F88" w:rsidRDefault="00207F88" w:rsidP="000A69BD">
            <w:pPr>
              <w:pStyle w:val="ECCTabletext"/>
              <w:jc w:val="left"/>
            </w:pPr>
            <w:r>
              <w:t>-</w:t>
            </w:r>
            <w:r w:rsidR="00053C7C">
              <w:t>13</w:t>
            </w:r>
            <w:r w:rsidR="00CF4994">
              <w:t>.8</w:t>
            </w:r>
            <w:r>
              <w:t> dBm/MHz</w:t>
            </w:r>
          </w:p>
        </w:tc>
        <w:tc>
          <w:tcPr>
            <w:tcW w:w="1437" w:type="dxa"/>
          </w:tcPr>
          <w:p w14:paraId="5305ABCC" w14:textId="77777777" w:rsidR="00207F88" w:rsidRPr="00207F88" w:rsidRDefault="00207F88" w:rsidP="000A69BD">
            <w:pPr>
              <w:pStyle w:val="ECCTabletext"/>
              <w:jc w:val="left"/>
            </w:pPr>
            <w:r>
              <w:t>3</w:t>
            </w:r>
            <w:r w:rsidR="00053C7C">
              <w:t>1</w:t>
            </w:r>
            <w:r>
              <w:t> dBm</w:t>
            </w:r>
          </w:p>
        </w:tc>
        <w:tc>
          <w:tcPr>
            <w:tcW w:w="1437" w:type="dxa"/>
          </w:tcPr>
          <w:p w14:paraId="1B9C809C" w14:textId="77777777" w:rsidR="00207F88" w:rsidRDefault="00207F88" w:rsidP="000A69BD">
            <w:pPr>
              <w:pStyle w:val="ECCTabletext"/>
              <w:jc w:val="left"/>
            </w:pPr>
            <w:r>
              <w:t>20 dB</w:t>
            </w:r>
          </w:p>
        </w:tc>
      </w:tr>
      <w:tr w:rsidR="00207F88" w:rsidRPr="00C53FB5" w14:paraId="7A225D86" w14:textId="77777777" w:rsidTr="00BF4052">
        <w:tc>
          <w:tcPr>
            <w:tcW w:w="1838" w:type="dxa"/>
          </w:tcPr>
          <w:p w14:paraId="0EAAF7C2" w14:textId="77777777" w:rsidR="00207F88" w:rsidRPr="00207F88" w:rsidRDefault="00207F88" w:rsidP="000A69BD">
            <w:pPr>
              <w:pStyle w:val="ECCTabletext"/>
              <w:jc w:val="left"/>
            </w:pPr>
            <w:r w:rsidRPr="00C53FB5">
              <w:t>185 to 190 GHz</w:t>
            </w:r>
          </w:p>
        </w:tc>
        <w:tc>
          <w:tcPr>
            <w:tcW w:w="1569" w:type="dxa"/>
          </w:tcPr>
          <w:p w14:paraId="4FEF8E5D" w14:textId="77777777" w:rsidR="00207F88" w:rsidRPr="00207F88" w:rsidRDefault="00053C7C" w:rsidP="000A69BD">
            <w:pPr>
              <w:pStyle w:val="ECCTabletext"/>
              <w:jc w:val="left"/>
            </w:pPr>
            <w:r>
              <w:t>1</w:t>
            </w:r>
            <w:r w:rsidR="00CF4994">
              <w:t>.5</w:t>
            </w:r>
            <w:r w:rsidR="00207F88">
              <w:t> GHz</w:t>
            </w:r>
          </w:p>
        </w:tc>
        <w:tc>
          <w:tcPr>
            <w:tcW w:w="1513" w:type="dxa"/>
          </w:tcPr>
          <w:p w14:paraId="34356B2A" w14:textId="64A2E0E5" w:rsidR="00207F88" w:rsidRPr="00207F88" w:rsidRDefault="00207F88" w:rsidP="000A69BD">
            <w:pPr>
              <w:pStyle w:val="ECCTabletext"/>
              <w:jc w:val="left"/>
            </w:pPr>
            <w:r>
              <w:t>5</w:t>
            </w:r>
            <w:r w:rsidR="00F800A2">
              <w:t>%</w:t>
            </w:r>
          </w:p>
        </w:tc>
        <w:tc>
          <w:tcPr>
            <w:tcW w:w="1767" w:type="dxa"/>
          </w:tcPr>
          <w:p w14:paraId="005CFAE3" w14:textId="77777777" w:rsidR="00207F88" w:rsidRPr="00207F88" w:rsidRDefault="00207F88" w:rsidP="000A69BD">
            <w:pPr>
              <w:pStyle w:val="ECCTabletext"/>
              <w:jc w:val="left"/>
            </w:pPr>
            <w:r>
              <w:t>-</w:t>
            </w:r>
            <w:r w:rsidR="00053C7C">
              <w:t>13</w:t>
            </w:r>
            <w:r w:rsidR="00CF4994">
              <w:t>.8</w:t>
            </w:r>
            <w:r>
              <w:t> dBm/MHz</w:t>
            </w:r>
          </w:p>
        </w:tc>
        <w:tc>
          <w:tcPr>
            <w:tcW w:w="1437" w:type="dxa"/>
          </w:tcPr>
          <w:p w14:paraId="0A1174AA" w14:textId="77777777" w:rsidR="00207F88" w:rsidRPr="00207F88" w:rsidRDefault="00207F88" w:rsidP="000A69BD">
            <w:pPr>
              <w:pStyle w:val="ECCTabletext"/>
              <w:jc w:val="left"/>
            </w:pPr>
            <w:r>
              <w:t>3</w:t>
            </w:r>
            <w:r w:rsidR="00053C7C">
              <w:t>1</w:t>
            </w:r>
            <w:r>
              <w:t> dBm</w:t>
            </w:r>
          </w:p>
        </w:tc>
        <w:tc>
          <w:tcPr>
            <w:tcW w:w="1437" w:type="dxa"/>
          </w:tcPr>
          <w:p w14:paraId="5AB558F4" w14:textId="77777777" w:rsidR="00207F88" w:rsidRDefault="00207F88" w:rsidP="000A69BD">
            <w:pPr>
              <w:pStyle w:val="ECCTabletext"/>
              <w:jc w:val="left"/>
            </w:pPr>
            <w:r>
              <w:t>20 dB</w:t>
            </w:r>
          </w:p>
        </w:tc>
      </w:tr>
      <w:tr w:rsidR="00207F88" w:rsidRPr="00C53FB5" w14:paraId="6882E054" w14:textId="77777777" w:rsidTr="00BF4052">
        <w:tc>
          <w:tcPr>
            <w:tcW w:w="1838" w:type="dxa"/>
          </w:tcPr>
          <w:p w14:paraId="136AC6E2" w14:textId="77777777" w:rsidR="00207F88" w:rsidRPr="00207F88" w:rsidRDefault="00207F88" w:rsidP="000A69BD">
            <w:pPr>
              <w:pStyle w:val="ECCTabletext"/>
              <w:jc w:val="left"/>
            </w:pPr>
            <w:r w:rsidRPr="00C53FB5">
              <w:t>231</w:t>
            </w:r>
            <w:r w:rsidR="00CF4994">
              <w:t>.5</w:t>
            </w:r>
            <w:r w:rsidRPr="00C53FB5">
              <w:t xml:space="preserve"> to 250 GHz</w:t>
            </w:r>
          </w:p>
        </w:tc>
        <w:tc>
          <w:tcPr>
            <w:tcW w:w="1569" w:type="dxa"/>
          </w:tcPr>
          <w:p w14:paraId="025C807B" w14:textId="77777777" w:rsidR="00207F88" w:rsidRPr="00207F88" w:rsidRDefault="00053C7C" w:rsidP="000A69BD">
            <w:pPr>
              <w:pStyle w:val="ECCTabletext"/>
              <w:jc w:val="left"/>
            </w:pPr>
            <w:r>
              <w:t>15</w:t>
            </w:r>
            <w:r w:rsidR="00207F88">
              <w:t> GHz</w:t>
            </w:r>
          </w:p>
        </w:tc>
        <w:tc>
          <w:tcPr>
            <w:tcW w:w="1513" w:type="dxa"/>
          </w:tcPr>
          <w:p w14:paraId="31B9A0E3" w14:textId="579A9272" w:rsidR="00207F88" w:rsidRPr="00207F88" w:rsidRDefault="00207F88" w:rsidP="000A69BD">
            <w:pPr>
              <w:pStyle w:val="ECCTabletext"/>
              <w:jc w:val="left"/>
            </w:pPr>
            <w:r>
              <w:t>5</w:t>
            </w:r>
            <w:r w:rsidR="00F800A2">
              <w:t>%</w:t>
            </w:r>
          </w:p>
        </w:tc>
        <w:tc>
          <w:tcPr>
            <w:tcW w:w="1767" w:type="dxa"/>
          </w:tcPr>
          <w:p w14:paraId="395DF2C5" w14:textId="77777777" w:rsidR="00207F88" w:rsidRPr="00207F88" w:rsidRDefault="00207F88" w:rsidP="000A69BD">
            <w:pPr>
              <w:pStyle w:val="ECCTabletext"/>
              <w:jc w:val="left"/>
            </w:pPr>
            <w:r>
              <w:t>-2</w:t>
            </w:r>
            <w:r w:rsidR="00053C7C">
              <w:t>5</w:t>
            </w:r>
            <w:r w:rsidR="00CF4994">
              <w:t>.6</w:t>
            </w:r>
            <w:r>
              <w:t> dBm/MHz</w:t>
            </w:r>
          </w:p>
        </w:tc>
        <w:tc>
          <w:tcPr>
            <w:tcW w:w="1437" w:type="dxa"/>
          </w:tcPr>
          <w:p w14:paraId="643732ED" w14:textId="77777777" w:rsidR="00207F88" w:rsidRPr="00207F88" w:rsidRDefault="00207F88" w:rsidP="000A69BD">
            <w:pPr>
              <w:pStyle w:val="ECCTabletext"/>
              <w:jc w:val="left"/>
            </w:pPr>
            <w:r>
              <w:t>3</w:t>
            </w:r>
            <w:r w:rsidR="00053C7C">
              <w:t>1</w:t>
            </w:r>
            <w:r>
              <w:t> dBm</w:t>
            </w:r>
          </w:p>
        </w:tc>
        <w:tc>
          <w:tcPr>
            <w:tcW w:w="1437" w:type="dxa"/>
          </w:tcPr>
          <w:p w14:paraId="34A99340" w14:textId="77777777" w:rsidR="00207F88" w:rsidRDefault="00207F88" w:rsidP="000A69BD">
            <w:pPr>
              <w:pStyle w:val="ECCTabletext"/>
              <w:jc w:val="left"/>
            </w:pPr>
            <w:r>
              <w:t>20 dB</w:t>
            </w:r>
          </w:p>
        </w:tc>
      </w:tr>
      <w:tr w:rsidR="00200700" w:rsidRPr="00C53FB5" w14:paraId="334CE26E" w14:textId="77777777" w:rsidTr="00200700">
        <w:tc>
          <w:tcPr>
            <w:tcW w:w="9561" w:type="dxa"/>
            <w:gridSpan w:val="6"/>
          </w:tcPr>
          <w:p w14:paraId="7FE4EDCC" w14:textId="77777777" w:rsidR="00200700" w:rsidRPr="00200700" w:rsidRDefault="00200700" w:rsidP="00464AE0">
            <w:pPr>
              <w:pStyle w:val="ECCTablenote"/>
            </w:pPr>
            <w:r>
              <w:t>Note 1</w:t>
            </w:r>
            <w:r w:rsidRPr="00200700">
              <w:t>: Assumed out-of-band attenuation of the RDI-signal in adjacent bands allocated to EESS.</w:t>
            </w:r>
          </w:p>
          <w:p w14:paraId="0C83B1E9" w14:textId="5632E2A3" w:rsidR="00200700" w:rsidRDefault="00200700" w:rsidP="00464AE0">
            <w:pPr>
              <w:pStyle w:val="ECCTablenote"/>
            </w:pPr>
            <w:r w:rsidRPr="00247C46">
              <w:t>Note 2: The duty cycle of 5</w:t>
            </w:r>
            <w:r w:rsidR="00F800A2">
              <w:t>%</w:t>
            </w:r>
            <w:r w:rsidRPr="00247C46">
              <w:t xml:space="preserve"> is already considered in this mean e.i.r.p. spectral density value. </w:t>
            </w:r>
            <w:r w:rsidRPr="00200700">
              <w:t>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279764F0" w14:textId="77777777" w:rsidR="001C46A1" w:rsidRDefault="001C46A1" w:rsidP="001C46A1">
      <w:pPr>
        <w:pStyle w:val="Heading3"/>
      </w:pPr>
      <w:bookmarkStart w:id="712" w:name="_Toc84325407"/>
      <w:bookmarkStart w:id="713" w:name="_Toc127346329"/>
      <w:r>
        <w:t>Results</w:t>
      </w:r>
      <w:bookmarkEnd w:id="712"/>
      <w:bookmarkEnd w:id="713"/>
    </w:p>
    <w:p w14:paraId="76080FE5" w14:textId="7FBD45A3" w:rsidR="001C46A1" w:rsidRPr="001C46A1" w:rsidRDefault="00BE44BA" w:rsidP="001C46A1">
      <w:r>
        <w:fldChar w:fldCharType="begin"/>
      </w:r>
      <w:r>
        <w:instrText xml:space="preserve"> REF _Ref67225483 \h </w:instrText>
      </w:r>
      <w:r>
        <w:fldChar w:fldCharType="separate"/>
      </w:r>
      <w:r w:rsidR="0041125F" w:rsidRPr="00477961">
        <w:t>Table </w:t>
      </w:r>
      <w:r w:rsidR="0041125F">
        <w:rPr>
          <w:noProof/>
        </w:rPr>
        <w:t>87</w:t>
      </w:r>
      <w:r>
        <w:fldChar w:fldCharType="end"/>
      </w:r>
      <w:r w:rsidR="00B329DB">
        <w:t xml:space="preserve"> shows the single entry and</w:t>
      </w:r>
      <w:r>
        <w:t xml:space="preserve"> </w:t>
      </w:r>
      <w:r>
        <w:fldChar w:fldCharType="begin"/>
      </w:r>
      <w:r>
        <w:instrText xml:space="preserve"> REF _Ref89343430 \h </w:instrText>
      </w:r>
      <w:r>
        <w:fldChar w:fldCharType="separate"/>
      </w:r>
      <w:r w:rsidR="0041125F" w:rsidRPr="00477961">
        <w:t>Table </w:t>
      </w:r>
      <w:r w:rsidR="0041125F">
        <w:rPr>
          <w:noProof/>
        </w:rPr>
        <w:t>88</w:t>
      </w:r>
      <w:r>
        <w:fldChar w:fldCharType="end"/>
      </w:r>
      <w:r>
        <w:t xml:space="preserve"> </w:t>
      </w:r>
      <w:r w:rsidR="001C46A1" w:rsidRPr="001C46A1">
        <w:t>the aggregate wo</w:t>
      </w:r>
      <w:r w:rsidR="006B2771">
        <w:t>r</w:t>
      </w:r>
      <w:r w:rsidR="001C46A1" w:rsidRPr="001C46A1">
        <w:t>st-case results for RDI, e.g. the residual margins for the individual frequency ranges, and EESS victim sensors. A positive margin indicates that the interference criterion is fulfilled and a negative margin that the criterion is violated.</w:t>
      </w:r>
    </w:p>
    <w:p w14:paraId="2E56B3B0" w14:textId="23AB9BB5" w:rsidR="001C46A1" w:rsidRDefault="00253F35" w:rsidP="001C46A1">
      <w:pPr>
        <w:pStyle w:val="Caption"/>
      </w:pPr>
      <w:bookmarkStart w:id="714" w:name="_Ref67225483"/>
      <w:r w:rsidRPr="00477961">
        <w:t>Table </w:t>
      </w:r>
      <w:r>
        <w:fldChar w:fldCharType="begin"/>
      </w:r>
      <w:r>
        <w:instrText>SEQ Table \* ARABIC</w:instrText>
      </w:r>
      <w:r>
        <w:fldChar w:fldCharType="separate"/>
      </w:r>
      <w:r w:rsidR="004F49F9">
        <w:rPr>
          <w:noProof/>
        </w:rPr>
        <w:t>87</w:t>
      </w:r>
      <w:r>
        <w:fldChar w:fldCharType="end"/>
      </w:r>
      <w:bookmarkEnd w:id="714"/>
      <w:r w:rsidR="001C46A1">
        <w:t xml:space="preserve">: </w:t>
      </w:r>
      <w:r w:rsidR="001C46A1" w:rsidRPr="006231F5">
        <w:t xml:space="preserve">Margins to the </w:t>
      </w:r>
      <w:r w:rsidR="001C46A1">
        <w:t xml:space="preserve">EESS </w:t>
      </w:r>
      <w:r w:rsidR="001C46A1" w:rsidRPr="006231F5">
        <w:t xml:space="preserve">interference criterion determined in a single-entry study </w:t>
      </w:r>
      <w:r w:rsidR="001C46A1" w:rsidRPr="005B7086">
        <w:t>for RDI</w:t>
      </w:r>
    </w:p>
    <w:tbl>
      <w:tblPr>
        <w:tblStyle w:val="ECCTable-redheader"/>
        <w:tblW w:w="0" w:type="auto"/>
        <w:tblInd w:w="0" w:type="dxa"/>
        <w:tblLook w:val="04A0" w:firstRow="1" w:lastRow="0" w:firstColumn="1" w:lastColumn="0" w:noHBand="0" w:noVBand="1"/>
      </w:tblPr>
      <w:tblGrid>
        <w:gridCol w:w="1793"/>
        <w:gridCol w:w="2313"/>
        <w:gridCol w:w="1418"/>
        <w:gridCol w:w="2409"/>
        <w:gridCol w:w="1696"/>
      </w:tblGrid>
      <w:tr w:rsidR="001C46A1" w14:paraId="7F43E3A9"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4F382534" w14:textId="77777777" w:rsidR="001C46A1" w:rsidRPr="001C46A1" w:rsidRDefault="001C46A1" w:rsidP="00876039">
            <w:pPr>
              <w:pStyle w:val="ECCTableHeaderwhitefont"/>
            </w:pPr>
            <w:r w:rsidRPr="001C46A1">
              <w:t>Investigated Frequency range</w:t>
            </w:r>
          </w:p>
        </w:tc>
        <w:tc>
          <w:tcPr>
            <w:tcW w:w="2313" w:type="dxa"/>
          </w:tcPr>
          <w:p w14:paraId="37F8138F" w14:textId="77777777" w:rsidR="001C46A1" w:rsidRPr="001C46A1" w:rsidRDefault="001C46A1" w:rsidP="000A69BD">
            <w:pPr>
              <w:pStyle w:val="ECCTableHeaderwhitefont"/>
            </w:pPr>
            <w:r w:rsidRPr="001C46A1">
              <w:t>Allocated band for EESS</w:t>
            </w:r>
          </w:p>
        </w:tc>
        <w:tc>
          <w:tcPr>
            <w:tcW w:w="1418" w:type="dxa"/>
          </w:tcPr>
          <w:p w14:paraId="43131C5B" w14:textId="77777777" w:rsidR="001C46A1" w:rsidRPr="001C46A1" w:rsidRDefault="001C46A1" w:rsidP="000A69BD">
            <w:pPr>
              <w:pStyle w:val="ECCTableHeaderwhitefont"/>
            </w:pPr>
            <w:r w:rsidRPr="001C46A1">
              <w:t>Evaluated frequency</w:t>
            </w:r>
          </w:p>
        </w:tc>
        <w:tc>
          <w:tcPr>
            <w:tcW w:w="2409" w:type="dxa"/>
          </w:tcPr>
          <w:p w14:paraId="4F33ACDE" w14:textId="77777777" w:rsidR="001C46A1" w:rsidRPr="001C46A1" w:rsidRDefault="001C46A1" w:rsidP="000A69BD">
            <w:pPr>
              <w:pStyle w:val="ECCTableHeaderwhitefont"/>
            </w:pPr>
            <w:r w:rsidRPr="001C46A1">
              <w:t>EESS victim sensor</w:t>
            </w:r>
          </w:p>
        </w:tc>
        <w:tc>
          <w:tcPr>
            <w:tcW w:w="1696" w:type="dxa"/>
          </w:tcPr>
          <w:p w14:paraId="0C7BAA60" w14:textId="77777777" w:rsidR="001C46A1" w:rsidRPr="001C46A1" w:rsidRDefault="001C46A1" w:rsidP="000A69BD">
            <w:pPr>
              <w:pStyle w:val="ECCTableHeaderwhitefont"/>
            </w:pPr>
            <w:r w:rsidRPr="001C46A1">
              <w:t>Margin to interference criterion</w:t>
            </w:r>
          </w:p>
        </w:tc>
      </w:tr>
      <w:tr w:rsidR="001C46A1" w14:paraId="77DC77B9" w14:textId="77777777" w:rsidTr="004E0271">
        <w:tc>
          <w:tcPr>
            <w:tcW w:w="1793" w:type="dxa"/>
          </w:tcPr>
          <w:p w14:paraId="6A81D2D6" w14:textId="77777777" w:rsidR="001C46A1" w:rsidRPr="001C46A1" w:rsidRDefault="001C46A1" w:rsidP="000A69BD">
            <w:pPr>
              <w:pStyle w:val="ECCTabletext"/>
              <w:jc w:val="left"/>
            </w:pPr>
            <w:r w:rsidRPr="00C53FB5">
              <w:t>116 to 130 GHz</w:t>
            </w:r>
          </w:p>
        </w:tc>
        <w:tc>
          <w:tcPr>
            <w:tcW w:w="2313" w:type="dxa"/>
          </w:tcPr>
          <w:p w14:paraId="1182531B" w14:textId="77777777" w:rsidR="001C46A1" w:rsidRPr="001C46A1" w:rsidRDefault="001C46A1" w:rsidP="000A69BD">
            <w:pPr>
              <w:pStyle w:val="ECCTabletext"/>
              <w:jc w:val="left"/>
            </w:pPr>
            <w:r w:rsidRPr="00C53FB5">
              <w:t>1</w:t>
            </w:r>
            <w:r w:rsidRPr="001C46A1">
              <w:t>14</w:t>
            </w:r>
            <w:r w:rsidR="00CF4994">
              <w:t>.2</w:t>
            </w:r>
            <w:r w:rsidRPr="001C46A1">
              <w:t>5 to 122</w:t>
            </w:r>
            <w:r w:rsidR="00CF4994">
              <w:t>.2</w:t>
            </w:r>
            <w:r w:rsidRPr="001C46A1">
              <w:t>5 GHz</w:t>
            </w:r>
            <w:r w:rsidR="00207F88">
              <w:t xml:space="preserve"> (In-band)</w:t>
            </w:r>
          </w:p>
        </w:tc>
        <w:tc>
          <w:tcPr>
            <w:tcW w:w="1418" w:type="dxa"/>
          </w:tcPr>
          <w:p w14:paraId="4FBAF3D9" w14:textId="77777777" w:rsidR="001C46A1" w:rsidRPr="001C46A1" w:rsidRDefault="001C46A1" w:rsidP="000A69BD">
            <w:pPr>
              <w:pStyle w:val="ECCTabletext"/>
              <w:jc w:val="left"/>
            </w:pPr>
            <w:r>
              <w:t>119</w:t>
            </w:r>
            <w:r w:rsidR="00CF4994">
              <w:t>.1</w:t>
            </w:r>
            <w:r>
              <w:t>25 GHz</w:t>
            </w:r>
          </w:p>
        </w:tc>
        <w:tc>
          <w:tcPr>
            <w:tcW w:w="2409" w:type="dxa"/>
          </w:tcPr>
          <w:p w14:paraId="522998C8" w14:textId="77777777" w:rsidR="001C46A1" w:rsidRPr="001C46A1" w:rsidRDefault="001C46A1" w:rsidP="000A69BD">
            <w:pPr>
              <w:pStyle w:val="ECCTabletext"/>
              <w:jc w:val="left"/>
            </w:pPr>
            <w:r w:rsidRPr="005D48C2">
              <w:t>MWI conical scanner</w:t>
            </w:r>
          </w:p>
        </w:tc>
        <w:tc>
          <w:tcPr>
            <w:tcW w:w="1696" w:type="dxa"/>
          </w:tcPr>
          <w:p w14:paraId="20D71F67" w14:textId="77777777" w:rsidR="001C46A1" w:rsidRPr="001C46A1" w:rsidRDefault="001C46A1" w:rsidP="000A69BD">
            <w:pPr>
              <w:pStyle w:val="ECCTabletext"/>
              <w:jc w:val="left"/>
            </w:pPr>
            <w:r w:rsidRPr="001C46A1">
              <w:t>-</w:t>
            </w:r>
            <w:r w:rsidR="00053C7C">
              <w:t>0</w:t>
            </w:r>
            <w:r w:rsidR="00CF4994">
              <w:t>.8</w:t>
            </w:r>
            <w:r w:rsidRPr="001C46A1">
              <w:t> dB</w:t>
            </w:r>
          </w:p>
        </w:tc>
      </w:tr>
      <w:tr w:rsidR="001C46A1" w14:paraId="4C66B05F" w14:textId="77777777" w:rsidTr="004E0271">
        <w:tc>
          <w:tcPr>
            <w:tcW w:w="1793" w:type="dxa"/>
          </w:tcPr>
          <w:p w14:paraId="5FE9F515" w14:textId="77777777" w:rsidR="001C46A1" w:rsidRPr="001C46A1" w:rsidRDefault="001C46A1" w:rsidP="000A69BD">
            <w:pPr>
              <w:pStyle w:val="ECCTabletext"/>
              <w:jc w:val="left"/>
            </w:pPr>
            <w:r>
              <w:t>174</w:t>
            </w:r>
            <w:r w:rsidR="00CF4994">
              <w:t>.8</w:t>
            </w:r>
            <w:r>
              <w:t xml:space="preserve"> to 182 GHz</w:t>
            </w:r>
          </w:p>
        </w:tc>
        <w:tc>
          <w:tcPr>
            <w:tcW w:w="2313" w:type="dxa"/>
          </w:tcPr>
          <w:p w14:paraId="2D6C10A7" w14:textId="77777777" w:rsidR="001C46A1" w:rsidRPr="001C46A1" w:rsidRDefault="001C46A1" w:rsidP="000A69BD">
            <w:pPr>
              <w:pStyle w:val="ECCTabletext"/>
              <w:jc w:val="left"/>
            </w:pPr>
            <w:r>
              <w:t>174</w:t>
            </w:r>
            <w:r w:rsidR="00CF4994">
              <w:t>.8</w:t>
            </w:r>
            <w:r>
              <w:t xml:space="preserve"> to 191</w:t>
            </w:r>
            <w:r w:rsidR="00CF4994">
              <w:t>.8</w:t>
            </w:r>
            <w:r>
              <w:t> GHz</w:t>
            </w:r>
            <w:r w:rsidR="00207F88">
              <w:t xml:space="preserve"> (In-band)</w:t>
            </w:r>
          </w:p>
        </w:tc>
        <w:tc>
          <w:tcPr>
            <w:tcW w:w="1418" w:type="dxa"/>
          </w:tcPr>
          <w:p w14:paraId="25C7B155" w14:textId="77777777" w:rsidR="001C46A1" w:rsidRPr="001C46A1" w:rsidRDefault="001C46A1" w:rsidP="000A69BD">
            <w:pPr>
              <w:pStyle w:val="ECCTabletext"/>
              <w:jc w:val="left"/>
            </w:pPr>
            <w:r>
              <w:t>178</w:t>
            </w:r>
            <w:r w:rsidR="00CF4994">
              <w:t>.4</w:t>
            </w:r>
            <w:r>
              <w:t> GHz</w:t>
            </w:r>
          </w:p>
        </w:tc>
        <w:tc>
          <w:tcPr>
            <w:tcW w:w="2409" w:type="dxa"/>
          </w:tcPr>
          <w:p w14:paraId="78EADB79" w14:textId="77777777" w:rsidR="001C46A1" w:rsidRPr="001C46A1" w:rsidRDefault="001C46A1" w:rsidP="000A69BD">
            <w:pPr>
              <w:pStyle w:val="ECCTabletext"/>
              <w:jc w:val="left"/>
            </w:pPr>
            <w:r>
              <w:t>AWS nadir scanner (at nadir)</w:t>
            </w:r>
          </w:p>
        </w:tc>
        <w:tc>
          <w:tcPr>
            <w:tcW w:w="1696" w:type="dxa"/>
          </w:tcPr>
          <w:p w14:paraId="64F2A9BD" w14:textId="77777777" w:rsidR="001C46A1" w:rsidRPr="001C46A1" w:rsidRDefault="00053C7C" w:rsidP="000A69BD">
            <w:pPr>
              <w:pStyle w:val="ECCTabletext"/>
              <w:jc w:val="left"/>
            </w:pPr>
            <w:r>
              <w:t>0</w:t>
            </w:r>
            <w:r w:rsidR="00CF4994">
              <w:t>.1</w:t>
            </w:r>
            <w:r w:rsidR="001C46A1" w:rsidRPr="001C46A1">
              <w:t> dB</w:t>
            </w:r>
          </w:p>
        </w:tc>
      </w:tr>
      <w:tr w:rsidR="001C46A1" w14:paraId="24F47D62" w14:textId="77777777" w:rsidTr="004E0271">
        <w:tc>
          <w:tcPr>
            <w:tcW w:w="1793" w:type="dxa"/>
          </w:tcPr>
          <w:p w14:paraId="1A88F7E4" w14:textId="77777777" w:rsidR="001C46A1" w:rsidRPr="001C46A1" w:rsidRDefault="001C46A1" w:rsidP="000A69BD">
            <w:pPr>
              <w:pStyle w:val="ECCTabletext"/>
              <w:jc w:val="left"/>
            </w:pPr>
            <w:r>
              <w:t>185 to 190 GHz</w:t>
            </w:r>
          </w:p>
        </w:tc>
        <w:tc>
          <w:tcPr>
            <w:tcW w:w="2313" w:type="dxa"/>
          </w:tcPr>
          <w:p w14:paraId="139AB555" w14:textId="77777777" w:rsidR="001C46A1" w:rsidRPr="001C46A1" w:rsidRDefault="001C46A1" w:rsidP="000A69BD">
            <w:pPr>
              <w:pStyle w:val="ECCTabletext"/>
              <w:jc w:val="left"/>
            </w:pPr>
            <w:r>
              <w:t>174</w:t>
            </w:r>
            <w:r w:rsidR="00CF4994">
              <w:t>.8</w:t>
            </w:r>
            <w:r>
              <w:t xml:space="preserve"> to 191</w:t>
            </w:r>
            <w:r w:rsidR="00CF4994">
              <w:t>.8</w:t>
            </w:r>
            <w:r>
              <w:t> GHz</w:t>
            </w:r>
            <w:r w:rsidR="00207F88">
              <w:t xml:space="preserve"> (In-band)</w:t>
            </w:r>
          </w:p>
        </w:tc>
        <w:tc>
          <w:tcPr>
            <w:tcW w:w="1418" w:type="dxa"/>
          </w:tcPr>
          <w:p w14:paraId="312B26A4" w14:textId="77777777" w:rsidR="001C46A1" w:rsidRPr="001C46A1" w:rsidRDefault="001C46A1" w:rsidP="000A69BD">
            <w:pPr>
              <w:pStyle w:val="ECCTabletext"/>
              <w:jc w:val="left"/>
            </w:pPr>
            <w:r>
              <w:t>187</w:t>
            </w:r>
            <w:r w:rsidR="00CF4994">
              <w:t>.5</w:t>
            </w:r>
            <w:r>
              <w:t> GHz</w:t>
            </w:r>
          </w:p>
        </w:tc>
        <w:tc>
          <w:tcPr>
            <w:tcW w:w="2409" w:type="dxa"/>
          </w:tcPr>
          <w:p w14:paraId="5F763439" w14:textId="77777777" w:rsidR="001C46A1" w:rsidRPr="001C46A1" w:rsidRDefault="003760DE" w:rsidP="000A69BD">
            <w:pPr>
              <w:pStyle w:val="ECCTabletext"/>
              <w:jc w:val="left"/>
            </w:pPr>
            <w:r>
              <w:t>AWS nadir scanner (at nadir)</w:t>
            </w:r>
          </w:p>
        </w:tc>
        <w:tc>
          <w:tcPr>
            <w:tcW w:w="1696" w:type="dxa"/>
          </w:tcPr>
          <w:p w14:paraId="54BE55F5" w14:textId="77777777" w:rsidR="001C46A1" w:rsidRPr="001C46A1" w:rsidRDefault="00053C7C" w:rsidP="000A69BD">
            <w:pPr>
              <w:pStyle w:val="ECCTabletext"/>
              <w:jc w:val="left"/>
            </w:pPr>
            <w:r>
              <w:t>0</w:t>
            </w:r>
            <w:r w:rsidR="00CF4994">
              <w:t>.5</w:t>
            </w:r>
            <w:r w:rsidR="001C46A1" w:rsidRPr="001C46A1">
              <w:t> dB</w:t>
            </w:r>
          </w:p>
        </w:tc>
      </w:tr>
      <w:tr w:rsidR="001C46A1" w14:paraId="33E81DFF" w14:textId="77777777" w:rsidTr="004E0271">
        <w:tc>
          <w:tcPr>
            <w:tcW w:w="1793" w:type="dxa"/>
          </w:tcPr>
          <w:p w14:paraId="527AE939" w14:textId="77777777" w:rsidR="001C46A1" w:rsidRPr="001C46A1" w:rsidRDefault="001C46A1" w:rsidP="000A69BD">
            <w:pPr>
              <w:pStyle w:val="ECCTabletext"/>
              <w:jc w:val="left"/>
            </w:pPr>
            <w:r>
              <w:t>231</w:t>
            </w:r>
            <w:r w:rsidR="00CF4994">
              <w:t>.5</w:t>
            </w:r>
            <w:r>
              <w:t xml:space="preserve"> to 250 GHz</w:t>
            </w:r>
          </w:p>
        </w:tc>
        <w:tc>
          <w:tcPr>
            <w:tcW w:w="2313" w:type="dxa"/>
          </w:tcPr>
          <w:p w14:paraId="50521AA1" w14:textId="77777777" w:rsidR="001C46A1" w:rsidRPr="001C46A1" w:rsidRDefault="001C46A1" w:rsidP="000A69BD">
            <w:pPr>
              <w:pStyle w:val="ECCTabletext"/>
              <w:jc w:val="left"/>
            </w:pPr>
            <w:r>
              <w:t>239 to 248 GHz</w:t>
            </w:r>
            <w:r w:rsidR="00207F88">
              <w:t xml:space="preserve"> (In-band)</w:t>
            </w:r>
          </w:p>
        </w:tc>
        <w:tc>
          <w:tcPr>
            <w:tcW w:w="1418" w:type="dxa"/>
          </w:tcPr>
          <w:p w14:paraId="78D4740B" w14:textId="77777777" w:rsidR="001C46A1" w:rsidRPr="001C46A1" w:rsidRDefault="001C46A1" w:rsidP="000A69BD">
            <w:pPr>
              <w:pStyle w:val="ECCTabletext"/>
              <w:jc w:val="left"/>
            </w:pPr>
            <w:r>
              <w:t>243</w:t>
            </w:r>
            <w:r w:rsidR="00CF4994">
              <w:t>.5</w:t>
            </w:r>
            <w:r>
              <w:t> GHz</w:t>
            </w:r>
          </w:p>
        </w:tc>
        <w:tc>
          <w:tcPr>
            <w:tcW w:w="2409" w:type="dxa"/>
          </w:tcPr>
          <w:p w14:paraId="0974B6DF" w14:textId="77777777" w:rsidR="001C46A1" w:rsidRPr="001C46A1" w:rsidRDefault="001C46A1" w:rsidP="000A69BD">
            <w:pPr>
              <w:pStyle w:val="ECCTabletext"/>
              <w:jc w:val="left"/>
            </w:pPr>
            <w:r>
              <w:t>AWS nadir scanner (at nadir)</w:t>
            </w:r>
          </w:p>
        </w:tc>
        <w:tc>
          <w:tcPr>
            <w:tcW w:w="1696" w:type="dxa"/>
          </w:tcPr>
          <w:p w14:paraId="5D9839A4" w14:textId="77777777" w:rsidR="001C46A1" w:rsidRPr="001C46A1" w:rsidRDefault="001C46A1" w:rsidP="000A69BD">
            <w:pPr>
              <w:pStyle w:val="ECCTabletext"/>
              <w:jc w:val="left"/>
            </w:pPr>
            <w:r w:rsidRPr="001C46A1">
              <w:t>1</w:t>
            </w:r>
            <w:r w:rsidR="00053C7C">
              <w:t>4</w:t>
            </w:r>
            <w:r w:rsidR="00CF4994">
              <w:t>.6</w:t>
            </w:r>
            <w:r w:rsidRPr="001C46A1">
              <w:t> dB</w:t>
            </w:r>
          </w:p>
        </w:tc>
      </w:tr>
    </w:tbl>
    <w:p w14:paraId="0998E6F2" w14:textId="77777777" w:rsidR="00C6310A" w:rsidRDefault="00C6310A" w:rsidP="001C46A1">
      <w:pPr>
        <w:pStyle w:val="Caption"/>
      </w:pPr>
      <w:bookmarkStart w:id="715" w:name="_Ref67225557"/>
      <w:bookmarkStart w:id="716" w:name="_Ref89343430"/>
    </w:p>
    <w:p w14:paraId="6AD39C2C" w14:textId="5AE55359" w:rsidR="001C46A1" w:rsidRPr="001C46A1" w:rsidRDefault="00253F35" w:rsidP="001C46A1">
      <w:pPr>
        <w:pStyle w:val="Caption"/>
      </w:pPr>
      <w:r w:rsidRPr="00477961">
        <w:t>Table </w:t>
      </w:r>
      <w:r>
        <w:fldChar w:fldCharType="begin"/>
      </w:r>
      <w:r>
        <w:instrText>SEQ Table \* ARABIC</w:instrText>
      </w:r>
      <w:r>
        <w:fldChar w:fldCharType="separate"/>
      </w:r>
      <w:r w:rsidR="004F49F9">
        <w:rPr>
          <w:noProof/>
        </w:rPr>
        <w:t>88</w:t>
      </w:r>
      <w:r>
        <w:fldChar w:fldCharType="end"/>
      </w:r>
      <w:bookmarkEnd w:id="715"/>
      <w:bookmarkEnd w:id="716"/>
      <w:r>
        <w:t xml:space="preserve">: </w:t>
      </w:r>
      <w:r w:rsidR="001C46A1" w:rsidRPr="001C46A1">
        <w:t>Margins to the EESS interference criterion determined in an aggregate study for RDI</w:t>
      </w:r>
    </w:p>
    <w:tbl>
      <w:tblPr>
        <w:tblStyle w:val="ECCTable-redheader"/>
        <w:tblW w:w="0" w:type="auto"/>
        <w:tblInd w:w="0" w:type="dxa"/>
        <w:tblLook w:val="04A0" w:firstRow="1" w:lastRow="0" w:firstColumn="1" w:lastColumn="0" w:noHBand="0" w:noVBand="1"/>
      </w:tblPr>
      <w:tblGrid>
        <w:gridCol w:w="1763"/>
        <w:gridCol w:w="2106"/>
        <w:gridCol w:w="1655"/>
        <w:gridCol w:w="2434"/>
        <w:gridCol w:w="1671"/>
      </w:tblGrid>
      <w:tr w:rsidR="001C46A1" w14:paraId="57BED975" w14:textId="77777777" w:rsidTr="004E0271">
        <w:trPr>
          <w:cnfStyle w:val="100000000000" w:firstRow="1" w:lastRow="0" w:firstColumn="0" w:lastColumn="0" w:oddVBand="0" w:evenVBand="0" w:oddHBand="0" w:evenHBand="0" w:firstRowFirstColumn="0" w:firstRowLastColumn="0" w:lastRowFirstColumn="0" w:lastRowLastColumn="0"/>
        </w:trPr>
        <w:tc>
          <w:tcPr>
            <w:tcW w:w="1763" w:type="dxa"/>
          </w:tcPr>
          <w:p w14:paraId="531B2A56" w14:textId="77777777" w:rsidR="001C46A1" w:rsidRPr="001C46A1" w:rsidRDefault="001C46A1" w:rsidP="00876039">
            <w:pPr>
              <w:pStyle w:val="ECCTableHeaderwhitefont"/>
            </w:pPr>
            <w:r w:rsidRPr="001C46A1">
              <w:t>Investigated Frequency range</w:t>
            </w:r>
          </w:p>
        </w:tc>
        <w:tc>
          <w:tcPr>
            <w:tcW w:w="2106" w:type="dxa"/>
          </w:tcPr>
          <w:p w14:paraId="543403E0" w14:textId="77777777" w:rsidR="001C46A1" w:rsidRPr="001C46A1" w:rsidRDefault="001C46A1" w:rsidP="000A69BD">
            <w:pPr>
              <w:pStyle w:val="ECCTableHeaderwhitefont"/>
            </w:pPr>
            <w:r w:rsidRPr="001C46A1">
              <w:t>Allocated band for EESS</w:t>
            </w:r>
          </w:p>
        </w:tc>
        <w:tc>
          <w:tcPr>
            <w:tcW w:w="1655" w:type="dxa"/>
          </w:tcPr>
          <w:p w14:paraId="6A859206" w14:textId="77777777" w:rsidR="001C46A1" w:rsidRPr="001C46A1" w:rsidRDefault="001C46A1" w:rsidP="000A69BD">
            <w:pPr>
              <w:pStyle w:val="ECCTableHeaderwhitefont"/>
            </w:pPr>
            <w:r w:rsidRPr="001C46A1">
              <w:t>Evaluated Frequency</w:t>
            </w:r>
          </w:p>
        </w:tc>
        <w:tc>
          <w:tcPr>
            <w:tcW w:w="2434" w:type="dxa"/>
          </w:tcPr>
          <w:p w14:paraId="213FCE5E" w14:textId="77777777" w:rsidR="001C46A1" w:rsidRPr="001C46A1" w:rsidRDefault="001C46A1" w:rsidP="000A69BD">
            <w:pPr>
              <w:pStyle w:val="ECCTableHeaderwhitefont"/>
            </w:pPr>
            <w:r w:rsidRPr="001C46A1">
              <w:t>EESS victim sensor</w:t>
            </w:r>
          </w:p>
        </w:tc>
        <w:tc>
          <w:tcPr>
            <w:tcW w:w="1671" w:type="dxa"/>
          </w:tcPr>
          <w:p w14:paraId="27DCABFD" w14:textId="77777777" w:rsidR="001C46A1" w:rsidRPr="001C46A1" w:rsidRDefault="001C46A1" w:rsidP="000A69BD">
            <w:pPr>
              <w:pStyle w:val="ECCTableHeaderwhitefont"/>
            </w:pPr>
            <w:r w:rsidRPr="001C46A1">
              <w:t>Margin to interference criterion</w:t>
            </w:r>
          </w:p>
        </w:tc>
      </w:tr>
      <w:tr w:rsidR="001C46A1" w14:paraId="0568F9B8" w14:textId="77777777" w:rsidTr="004E0271">
        <w:tc>
          <w:tcPr>
            <w:tcW w:w="1763" w:type="dxa"/>
          </w:tcPr>
          <w:p w14:paraId="4FA94175" w14:textId="77777777" w:rsidR="001C46A1" w:rsidRPr="001C46A1" w:rsidRDefault="001C46A1" w:rsidP="000A69BD">
            <w:pPr>
              <w:pStyle w:val="ECCTabletext"/>
              <w:jc w:val="left"/>
            </w:pPr>
            <w:r w:rsidRPr="00C53FB5">
              <w:t>116 to 130 GHz</w:t>
            </w:r>
          </w:p>
        </w:tc>
        <w:tc>
          <w:tcPr>
            <w:tcW w:w="2106" w:type="dxa"/>
          </w:tcPr>
          <w:p w14:paraId="2B410B2F" w14:textId="77777777" w:rsidR="001C46A1" w:rsidRPr="001C46A1" w:rsidRDefault="001C46A1" w:rsidP="000A69BD">
            <w:pPr>
              <w:pStyle w:val="ECCTabletext"/>
              <w:jc w:val="left"/>
            </w:pPr>
            <w:r w:rsidRPr="00C53FB5">
              <w:t>1</w:t>
            </w:r>
            <w:r w:rsidRPr="001C46A1">
              <w:t>14</w:t>
            </w:r>
            <w:r w:rsidR="00CF4994">
              <w:t>.2</w:t>
            </w:r>
            <w:r w:rsidRPr="001C46A1">
              <w:t>5 to 122</w:t>
            </w:r>
            <w:r w:rsidR="00CF4994">
              <w:t>.2</w:t>
            </w:r>
            <w:r w:rsidRPr="001C46A1">
              <w:t>5 GHz</w:t>
            </w:r>
            <w:r w:rsidR="006B2771">
              <w:t xml:space="preserve"> (In-band)</w:t>
            </w:r>
          </w:p>
        </w:tc>
        <w:tc>
          <w:tcPr>
            <w:tcW w:w="1655" w:type="dxa"/>
          </w:tcPr>
          <w:p w14:paraId="7956D034" w14:textId="77777777" w:rsidR="001C46A1" w:rsidRPr="001C46A1" w:rsidRDefault="001C46A1" w:rsidP="000A69BD">
            <w:pPr>
              <w:pStyle w:val="ECCTabletext"/>
              <w:jc w:val="left"/>
            </w:pPr>
            <w:r>
              <w:t>119</w:t>
            </w:r>
            <w:r w:rsidR="00CF4994">
              <w:t>.1</w:t>
            </w:r>
            <w:r>
              <w:t>25 GHz</w:t>
            </w:r>
          </w:p>
        </w:tc>
        <w:tc>
          <w:tcPr>
            <w:tcW w:w="2434" w:type="dxa"/>
          </w:tcPr>
          <w:p w14:paraId="127E5BB2" w14:textId="77777777" w:rsidR="001C46A1" w:rsidRPr="001C46A1" w:rsidRDefault="001C46A1" w:rsidP="000A69BD">
            <w:pPr>
              <w:pStyle w:val="ECCTabletext"/>
              <w:jc w:val="left"/>
            </w:pPr>
            <w:r w:rsidRPr="005D48C2">
              <w:t xml:space="preserve">MWI conical </w:t>
            </w:r>
            <w:r w:rsidRPr="001C46A1">
              <w:t>scanner</w:t>
            </w:r>
          </w:p>
        </w:tc>
        <w:tc>
          <w:tcPr>
            <w:tcW w:w="1671" w:type="dxa"/>
          </w:tcPr>
          <w:p w14:paraId="1490786F" w14:textId="77777777" w:rsidR="001C46A1" w:rsidRPr="001C46A1" w:rsidRDefault="00F013D6" w:rsidP="000A69BD">
            <w:pPr>
              <w:pStyle w:val="ECCTabletext"/>
              <w:jc w:val="left"/>
            </w:pPr>
            <w:r>
              <w:t>5</w:t>
            </w:r>
            <w:r w:rsidR="00CF4994">
              <w:t>.5</w:t>
            </w:r>
            <w:r w:rsidR="001C46A1" w:rsidRPr="001C46A1">
              <w:t> dB</w:t>
            </w:r>
          </w:p>
        </w:tc>
      </w:tr>
      <w:tr w:rsidR="001C46A1" w14:paraId="3BF393B7" w14:textId="77777777" w:rsidTr="004E0271">
        <w:tc>
          <w:tcPr>
            <w:tcW w:w="1763" w:type="dxa"/>
          </w:tcPr>
          <w:p w14:paraId="2740AE95" w14:textId="77777777" w:rsidR="001C46A1" w:rsidRPr="001C46A1" w:rsidRDefault="001C46A1" w:rsidP="000A69BD">
            <w:pPr>
              <w:pStyle w:val="ECCTabletext"/>
              <w:jc w:val="left"/>
            </w:pPr>
            <w:r>
              <w:t>174</w:t>
            </w:r>
            <w:r w:rsidR="00CF4994">
              <w:t>.8</w:t>
            </w:r>
            <w:r>
              <w:t xml:space="preserve"> to 182 GHz</w:t>
            </w:r>
          </w:p>
        </w:tc>
        <w:tc>
          <w:tcPr>
            <w:tcW w:w="2106" w:type="dxa"/>
          </w:tcPr>
          <w:p w14:paraId="77766071" w14:textId="77777777" w:rsidR="001C46A1" w:rsidRPr="001C46A1" w:rsidRDefault="001C46A1" w:rsidP="000A69BD">
            <w:pPr>
              <w:pStyle w:val="ECCTabletext"/>
              <w:jc w:val="left"/>
            </w:pPr>
            <w:r>
              <w:t>174</w:t>
            </w:r>
            <w:r w:rsidR="00CF4994">
              <w:t>.8</w:t>
            </w:r>
            <w:r>
              <w:t xml:space="preserve"> to 191</w:t>
            </w:r>
            <w:r w:rsidR="00CF4994">
              <w:t>.8</w:t>
            </w:r>
            <w:r>
              <w:t> GHz</w:t>
            </w:r>
            <w:r w:rsidR="006B2771">
              <w:t xml:space="preserve"> (In-band)</w:t>
            </w:r>
          </w:p>
        </w:tc>
        <w:tc>
          <w:tcPr>
            <w:tcW w:w="1655" w:type="dxa"/>
          </w:tcPr>
          <w:p w14:paraId="135ED8D9" w14:textId="77777777" w:rsidR="001C46A1" w:rsidRPr="001C46A1" w:rsidRDefault="001C46A1" w:rsidP="000A69BD">
            <w:pPr>
              <w:pStyle w:val="ECCTabletext"/>
              <w:jc w:val="left"/>
            </w:pPr>
            <w:r>
              <w:t>178</w:t>
            </w:r>
            <w:r w:rsidR="00CF4994">
              <w:t>.4</w:t>
            </w:r>
            <w:r>
              <w:t> GHz</w:t>
            </w:r>
          </w:p>
        </w:tc>
        <w:tc>
          <w:tcPr>
            <w:tcW w:w="2434" w:type="dxa"/>
          </w:tcPr>
          <w:p w14:paraId="38B1B1CF" w14:textId="77777777" w:rsidR="001C46A1" w:rsidRPr="00882B57" w:rsidRDefault="001C46A1" w:rsidP="000A69BD">
            <w:pPr>
              <w:pStyle w:val="ECCTabletext"/>
              <w:jc w:val="left"/>
            </w:pPr>
            <w:r w:rsidRPr="00882B57">
              <w:t>MWS nadir scanner (at nadir)</w:t>
            </w:r>
          </w:p>
        </w:tc>
        <w:tc>
          <w:tcPr>
            <w:tcW w:w="1671" w:type="dxa"/>
          </w:tcPr>
          <w:p w14:paraId="13FF15CA" w14:textId="77777777" w:rsidR="001C46A1" w:rsidRPr="001C46A1" w:rsidRDefault="00F013D6" w:rsidP="000A69BD">
            <w:pPr>
              <w:pStyle w:val="ECCTabletext"/>
              <w:jc w:val="left"/>
            </w:pPr>
            <w:r>
              <w:t>13</w:t>
            </w:r>
            <w:r w:rsidR="00CF4994">
              <w:t>.4</w:t>
            </w:r>
            <w:r w:rsidR="001C46A1" w:rsidRPr="001C46A1">
              <w:t> dB</w:t>
            </w:r>
          </w:p>
        </w:tc>
      </w:tr>
      <w:tr w:rsidR="001C46A1" w14:paraId="46464210" w14:textId="77777777" w:rsidTr="004E0271">
        <w:tc>
          <w:tcPr>
            <w:tcW w:w="1763" w:type="dxa"/>
          </w:tcPr>
          <w:p w14:paraId="0A76A934" w14:textId="77777777" w:rsidR="001C46A1" w:rsidRPr="001C46A1" w:rsidRDefault="001C46A1" w:rsidP="000A69BD">
            <w:pPr>
              <w:pStyle w:val="ECCTabletext"/>
              <w:jc w:val="left"/>
            </w:pPr>
            <w:r>
              <w:t>185 to 190 GHz</w:t>
            </w:r>
          </w:p>
        </w:tc>
        <w:tc>
          <w:tcPr>
            <w:tcW w:w="2106" w:type="dxa"/>
          </w:tcPr>
          <w:p w14:paraId="0545DB94" w14:textId="77777777" w:rsidR="001C46A1" w:rsidRPr="001C46A1" w:rsidRDefault="001C46A1" w:rsidP="000A69BD">
            <w:pPr>
              <w:pStyle w:val="ECCTabletext"/>
              <w:jc w:val="left"/>
            </w:pPr>
            <w:r>
              <w:t>174</w:t>
            </w:r>
            <w:r w:rsidR="00CF4994">
              <w:t>.8</w:t>
            </w:r>
            <w:r>
              <w:t xml:space="preserve"> to 191</w:t>
            </w:r>
            <w:r w:rsidR="00CF4994">
              <w:t>.8</w:t>
            </w:r>
            <w:r>
              <w:t> GHz</w:t>
            </w:r>
            <w:r w:rsidR="006B2771">
              <w:t xml:space="preserve"> (In-band)</w:t>
            </w:r>
          </w:p>
        </w:tc>
        <w:tc>
          <w:tcPr>
            <w:tcW w:w="1655" w:type="dxa"/>
          </w:tcPr>
          <w:p w14:paraId="64056C45" w14:textId="77777777" w:rsidR="001C46A1" w:rsidRPr="001C46A1" w:rsidRDefault="001C46A1" w:rsidP="000A69BD">
            <w:pPr>
              <w:pStyle w:val="ECCTabletext"/>
              <w:jc w:val="left"/>
            </w:pPr>
            <w:r>
              <w:t>187</w:t>
            </w:r>
            <w:r w:rsidR="00CF4994">
              <w:t>.5</w:t>
            </w:r>
            <w:r>
              <w:t> GHz</w:t>
            </w:r>
          </w:p>
        </w:tc>
        <w:tc>
          <w:tcPr>
            <w:tcW w:w="2434" w:type="dxa"/>
          </w:tcPr>
          <w:p w14:paraId="3F17730D" w14:textId="77777777" w:rsidR="001C46A1" w:rsidRPr="00882B57" w:rsidRDefault="001C46A1" w:rsidP="000A69BD">
            <w:pPr>
              <w:pStyle w:val="ECCTabletext"/>
              <w:jc w:val="left"/>
            </w:pPr>
            <w:r w:rsidRPr="00882B57">
              <w:t>MHS nadir scanner (at nadir)</w:t>
            </w:r>
          </w:p>
        </w:tc>
        <w:tc>
          <w:tcPr>
            <w:tcW w:w="1671" w:type="dxa"/>
          </w:tcPr>
          <w:p w14:paraId="01A5875A" w14:textId="77777777" w:rsidR="001C46A1" w:rsidRPr="001C46A1" w:rsidRDefault="00F013D6" w:rsidP="000A69BD">
            <w:pPr>
              <w:pStyle w:val="ECCTabletext"/>
              <w:jc w:val="left"/>
            </w:pPr>
            <w:r>
              <w:t>16</w:t>
            </w:r>
            <w:r w:rsidR="00CF4994">
              <w:t>.8</w:t>
            </w:r>
            <w:r w:rsidR="001C46A1" w:rsidRPr="001C46A1">
              <w:t> dB</w:t>
            </w:r>
          </w:p>
        </w:tc>
      </w:tr>
      <w:tr w:rsidR="001C46A1" w14:paraId="067ABF1A" w14:textId="77777777" w:rsidTr="004E0271">
        <w:tc>
          <w:tcPr>
            <w:tcW w:w="1763" w:type="dxa"/>
          </w:tcPr>
          <w:p w14:paraId="10614CC3" w14:textId="77777777" w:rsidR="001C46A1" w:rsidRPr="001C46A1" w:rsidRDefault="001C46A1" w:rsidP="000A69BD">
            <w:pPr>
              <w:pStyle w:val="ECCTabletext"/>
              <w:jc w:val="left"/>
            </w:pPr>
            <w:r>
              <w:t>231</w:t>
            </w:r>
            <w:r w:rsidR="00CF4994">
              <w:t>.5</w:t>
            </w:r>
            <w:r>
              <w:t xml:space="preserve"> to 250 GHz</w:t>
            </w:r>
          </w:p>
        </w:tc>
        <w:tc>
          <w:tcPr>
            <w:tcW w:w="2106" w:type="dxa"/>
          </w:tcPr>
          <w:p w14:paraId="7FCA97D2" w14:textId="77777777" w:rsidR="001C46A1" w:rsidRPr="001C46A1" w:rsidRDefault="001C46A1" w:rsidP="000A69BD">
            <w:pPr>
              <w:pStyle w:val="ECCTabletext"/>
              <w:jc w:val="left"/>
            </w:pPr>
            <w:r>
              <w:t>239 to 248 GHz</w:t>
            </w:r>
            <w:r w:rsidR="006B2771">
              <w:t xml:space="preserve"> (In-band)</w:t>
            </w:r>
          </w:p>
        </w:tc>
        <w:tc>
          <w:tcPr>
            <w:tcW w:w="1655" w:type="dxa"/>
          </w:tcPr>
          <w:p w14:paraId="1A2F6254" w14:textId="77777777" w:rsidR="001C46A1" w:rsidRPr="001C46A1" w:rsidRDefault="001C46A1" w:rsidP="000A69BD">
            <w:pPr>
              <w:pStyle w:val="ECCTabletext"/>
              <w:jc w:val="left"/>
            </w:pPr>
            <w:r>
              <w:t>243</w:t>
            </w:r>
            <w:r w:rsidR="00CF4994">
              <w:t>.5</w:t>
            </w:r>
            <w:r>
              <w:t> GHz</w:t>
            </w:r>
          </w:p>
        </w:tc>
        <w:tc>
          <w:tcPr>
            <w:tcW w:w="2434" w:type="dxa"/>
          </w:tcPr>
          <w:p w14:paraId="26DC00EA" w14:textId="77777777" w:rsidR="001C46A1" w:rsidRPr="001C46A1" w:rsidRDefault="001C46A1" w:rsidP="000A69BD">
            <w:pPr>
              <w:pStyle w:val="ECCTabletext"/>
              <w:jc w:val="left"/>
            </w:pPr>
            <w:r>
              <w:t xml:space="preserve">AWS nadir </w:t>
            </w:r>
            <w:r w:rsidRPr="001C46A1">
              <w:t>scanner (at nadir)</w:t>
            </w:r>
          </w:p>
        </w:tc>
        <w:tc>
          <w:tcPr>
            <w:tcW w:w="1671" w:type="dxa"/>
          </w:tcPr>
          <w:p w14:paraId="611BE706" w14:textId="77777777" w:rsidR="001C46A1" w:rsidRPr="001C46A1" w:rsidRDefault="001C46A1" w:rsidP="000A69BD">
            <w:pPr>
              <w:pStyle w:val="ECCTabletext"/>
              <w:jc w:val="left"/>
            </w:pPr>
            <w:r w:rsidRPr="001C46A1">
              <w:t>3</w:t>
            </w:r>
            <w:r w:rsidR="00F013D6">
              <w:t>1</w:t>
            </w:r>
            <w:r w:rsidR="00CF4994">
              <w:t>.6</w:t>
            </w:r>
            <w:r w:rsidRPr="001C46A1">
              <w:t> dB</w:t>
            </w:r>
          </w:p>
        </w:tc>
      </w:tr>
    </w:tbl>
    <w:p w14:paraId="2E020DD5" w14:textId="1E7635D5" w:rsidR="006B2F3A" w:rsidRPr="006B2F3A" w:rsidRDefault="006B2F3A" w:rsidP="006B2F3A">
      <w:r>
        <w:t xml:space="preserve">The conclusions drawn from these results can be found in </w:t>
      </w:r>
      <w:r w:rsidR="009D5FA2">
        <w:t>section</w:t>
      </w:r>
      <w:r>
        <w:t xml:space="preserve"> </w:t>
      </w:r>
      <w:r>
        <w:fldChar w:fldCharType="begin"/>
      </w:r>
      <w:r>
        <w:instrText xml:space="preserve"> REF _Ref67393126 \r \h </w:instrText>
      </w:r>
      <w:r>
        <w:fldChar w:fldCharType="separate"/>
      </w:r>
      <w:r w:rsidR="004F49F9">
        <w:t>8.2.4</w:t>
      </w:r>
      <w:r>
        <w:fldChar w:fldCharType="end"/>
      </w:r>
      <w:r>
        <w:t>.</w:t>
      </w:r>
    </w:p>
    <w:p w14:paraId="1FD95F80" w14:textId="77777777" w:rsidR="001C46A1" w:rsidRDefault="001C46A1" w:rsidP="001C46A1">
      <w:pPr>
        <w:pStyle w:val="Heading2"/>
      </w:pPr>
      <w:bookmarkStart w:id="717" w:name="_Ref67390192"/>
      <w:bookmarkStart w:id="718" w:name="_Toc84325408"/>
      <w:bookmarkStart w:id="719" w:name="_Toc127346330"/>
      <w:r>
        <w:t>Short range</w:t>
      </w:r>
      <w:r w:rsidRPr="001C46A1">
        <w:t xml:space="preserve"> assist and Surrounding monitoring for vehicles and autonomous systems</w:t>
      </w:r>
      <w:bookmarkEnd w:id="717"/>
      <w:bookmarkEnd w:id="718"/>
      <w:bookmarkEnd w:id="719"/>
    </w:p>
    <w:p w14:paraId="71317109" w14:textId="77777777" w:rsidR="00B25267" w:rsidRDefault="00B25267" w:rsidP="00B25267">
      <w:pPr>
        <w:pStyle w:val="Heading3"/>
      </w:pPr>
      <w:bookmarkStart w:id="720" w:name="_Ref67390370"/>
      <w:bookmarkStart w:id="721" w:name="_Toc84325409"/>
      <w:bookmarkStart w:id="722" w:name="_Toc127346331"/>
      <w:bookmarkStart w:id="723" w:name="_Hlk67922495"/>
      <w:r>
        <w:t>Technical parameters of short</w:t>
      </w:r>
      <w:r w:rsidR="00832E5D">
        <w:t>-</w:t>
      </w:r>
      <w:r>
        <w:t>range assist</w:t>
      </w:r>
      <w:bookmarkEnd w:id="720"/>
      <w:bookmarkEnd w:id="721"/>
      <w:bookmarkEnd w:id="722"/>
    </w:p>
    <w:p w14:paraId="10CA67AD" w14:textId="46CCE6C9" w:rsidR="004C733E" w:rsidRDefault="00BB0742" w:rsidP="00BB0742">
      <w:bookmarkStart w:id="724" w:name="_Hlk32936885"/>
      <w:r w:rsidRPr="00BB0742">
        <w:t xml:space="preserve">For </w:t>
      </w:r>
      <w:r>
        <w:t>short</w:t>
      </w:r>
      <w:r w:rsidR="00832E5D">
        <w:t>-</w:t>
      </w:r>
      <w:r>
        <w:t>range assist</w:t>
      </w:r>
      <w:r w:rsidRPr="00BB0742">
        <w:t xml:space="preserve"> altogether </w:t>
      </w:r>
      <w:r>
        <w:t>three</w:t>
      </w:r>
      <w:r w:rsidRPr="00BB0742">
        <w:t xml:space="preserve"> potential frequency bands have been defined (see </w:t>
      </w:r>
      <w:r w:rsidR="009D5FA2">
        <w:t>section</w:t>
      </w:r>
      <w:r w:rsidRPr="00BB0742">
        <w:t xml:space="preserve"> </w:t>
      </w:r>
      <w:r w:rsidR="00776523">
        <w:rPr>
          <w:highlight w:val="yellow"/>
        </w:rPr>
        <w:fldChar w:fldCharType="begin"/>
      </w:r>
      <w:r w:rsidR="00776523">
        <w:instrText xml:space="preserve"> REF _Ref67225688 \r \h </w:instrText>
      </w:r>
      <w:r w:rsidR="00776523">
        <w:rPr>
          <w:highlight w:val="yellow"/>
        </w:rPr>
      </w:r>
      <w:r w:rsidR="00776523">
        <w:rPr>
          <w:highlight w:val="yellow"/>
        </w:rPr>
        <w:fldChar w:fldCharType="separate"/>
      </w:r>
      <w:r w:rsidR="004F49F9">
        <w:t>2.2.3.2</w:t>
      </w:r>
      <w:r w:rsidR="00776523">
        <w:rPr>
          <w:highlight w:val="yellow"/>
        </w:rPr>
        <w:fldChar w:fldCharType="end"/>
      </w:r>
      <w:r w:rsidRPr="00BB0742">
        <w:t xml:space="preserve">). </w:t>
      </w:r>
      <w:r w:rsidR="0010762D">
        <w:t>For all three frequency bands</w:t>
      </w:r>
      <w:r w:rsidRPr="00BB0742">
        <w:t xml:space="preserve"> </w:t>
      </w:r>
      <w:r w:rsidR="0010762D" w:rsidRPr="00FB07D5">
        <w:t>116 to 130 GHz, 1</w:t>
      </w:r>
      <w:r w:rsidR="0010762D">
        <w:t>3</w:t>
      </w:r>
      <w:r w:rsidR="0010762D" w:rsidRPr="00FB07D5">
        <w:t>4 to 1</w:t>
      </w:r>
      <w:r w:rsidR="0010762D">
        <w:t>41</w:t>
      </w:r>
      <w:r w:rsidR="0010762D" w:rsidRPr="00FB07D5">
        <w:t> GHz</w:t>
      </w:r>
      <w:r w:rsidR="0010762D">
        <w:t xml:space="preserve"> and</w:t>
      </w:r>
      <w:r w:rsidR="0010762D" w:rsidRPr="00FB07D5">
        <w:t xml:space="preserve"> 1</w:t>
      </w:r>
      <w:r w:rsidR="0010762D">
        <w:t>41</w:t>
      </w:r>
      <w:r w:rsidR="0010762D" w:rsidRPr="00FB07D5">
        <w:t xml:space="preserve"> to </w:t>
      </w:r>
      <w:r w:rsidR="0010762D">
        <w:t>148</w:t>
      </w:r>
      <w:r w:rsidR="00CF4994">
        <w:t>.5</w:t>
      </w:r>
      <w:r w:rsidR="0010762D" w:rsidRPr="00FB07D5">
        <w:t xml:space="preserve"> GHz </w:t>
      </w:r>
      <w:r w:rsidRPr="00BB0742">
        <w:t xml:space="preserve">allocations for EESS are affected which are located within these bands or adjacent to them (please compare the figures in </w:t>
      </w:r>
      <w:r w:rsidR="009D5FA2">
        <w:t>section</w:t>
      </w:r>
      <w:r w:rsidRPr="00BB0742">
        <w:t xml:space="preserve"> </w:t>
      </w:r>
      <w:r w:rsidR="00776523">
        <w:rPr>
          <w:highlight w:val="yellow"/>
        </w:rPr>
        <w:fldChar w:fldCharType="begin"/>
      </w:r>
      <w:r w:rsidR="00776523">
        <w:instrText xml:space="preserve"> REF _Ref66361706 \r \h </w:instrText>
      </w:r>
      <w:r w:rsidR="00776523">
        <w:rPr>
          <w:highlight w:val="yellow"/>
        </w:rPr>
      </w:r>
      <w:r w:rsidR="00776523">
        <w:rPr>
          <w:highlight w:val="yellow"/>
        </w:rPr>
        <w:fldChar w:fldCharType="separate"/>
      </w:r>
      <w:r w:rsidR="004F49F9">
        <w:t>3.3</w:t>
      </w:r>
      <w:r w:rsidR="00776523">
        <w:rPr>
          <w:highlight w:val="yellow"/>
        </w:rPr>
        <w:fldChar w:fldCharType="end"/>
      </w:r>
      <w:r w:rsidRPr="00BB0742">
        <w:t xml:space="preserve">). Consequently, these </w:t>
      </w:r>
      <w:r w:rsidR="0010762D">
        <w:t>three</w:t>
      </w:r>
      <w:r w:rsidRPr="00BB0742">
        <w:t xml:space="preserve"> bands have been investigated in aggregate studies</w:t>
      </w:r>
      <w:r w:rsidR="004C733E">
        <w:t xml:space="preserve"> for </w:t>
      </w:r>
      <w:r w:rsidR="00D23B4A">
        <w:t xml:space="preserve">the </w:t>
      </w:r>
      <w:r w:rsidR="004C733E">
        <w:t xml:space="preserve">two different vehicle density cases </w:t>
      </w:r>
      <w:r w:rsidR="00D23B4A">
        <w:t>"</w:t>
      </w:r>
      <w:r w:rsidR="004C733E">
        <w:t>urban/suburban</w:t>
      </w:r>
      <w:r w:rsidR="00D23B4A">
        <w:t>"</w:t>
      </w:r>
      <w:r w:rsidR="004C733E">
        <w:t xml:space="preserve"> and </w:t>
      </w:r>
      <w:r w:rsidR="00D23B4A">
        <w:t>"</w:t>
      </w:r>
      <w:r w:rsidR="004C733E">
        <w:t>highway</w:t>
      </w:r>
      <w:r w:rsidR="00D23B4A">
        <w:t>"</w:t>
      </w:r>
      <w:r w:rsidRPr="00BB0742">
        <w:t xml:space="preserve">. </w:t>
      </w:r>
      <w:r w:rsidR="00D23B4A">
        <w:t>For the urban/suburban case a density of 330 vehicles/km² and for the highway case a density of 123 vehicles/km² have been assumed, respectively.</w:t>
      </w:r>
    </w:p>
    <w:p w14:paraId="3FF7FFA3" w14:textId="520A4DAA" w:rsidR="00BB0742" w:rsidRPr="00BB0742" w:rsidRDefault="00BB0742" w:rsidP="00BB0742">
      <w:r w:rsidRPr="00BB0742">
        <w:t>In these studies the individual residual margin (</w:t>
      </w:r>
      <w:r w:rsidR="009D5FA2">
        <w:t>section</w:t>
      </w:r>
      <w:r w:rsidRPr="00BB0742">
        <w:t xml:space="preserve"> </w:t>
      </w:r>
      <w:r w:rsidR="00776523">
        <w:rPr>
          <w:highlight w:val="yellow"/>
        </w:rPr>
        <w:fldChar w:fldCharType="begin"/>
      </w:r>
      <w:r w:rsidR="00776523">
        <w:instrText xml:space="preserve"> REF _Ref66361724 \r \h </w:instrText>
      </w:r>
      <w:r w:rsidR="00776523">
        <w:rPr>
          <w:highlight w:val="yellow"/>
        </w:rPr>
      </w:r>
      <w:r w:rsidR="00776523">
        <w:rPr>
          <w:highlight w:val="yellow"/>
        </w:rPr>
        <w:fldChar w:fldCharType="separate"/>
      </w:r>
      <w:r w:rsidR="004F49F9">
        <w:t>3.4.4</w:t>
      </w:r>
      <w:r w:rsidR="00776523">
        <w:rPr>
          <w:highlight w:val="yellow"/>
        </w:rPr>
        <w:fldChar w:fldCharType="end"/>
      </w:r>
      <w:r w:rsidRPr="00BB0742">
        <w:t>) to the interference criterion is determined by means of the technical parameters (</w:t>
      </w:r>
      <w:r w:rsidR="009D5FA2">
        <w:t>section</w:t>
      </w:r>
      <w:r w:rsidRPr="00BB0742">
        <w:t xml:space="preserve"> </w:t>
      </w:r>
      <w:r w:rsidR="00776523">
        <w:rPr>
          <w:highlight w:val="yellow"/>
        </w:rPr>
        <w:fldChar w:fldCharType="begin"/>
      </w:r>
      <w:r w:rsidR="00776523">
        <w:instrText xml:space="preserve"> REF _Ref20313340 \r \h </w:instrText>
      </w:r>
      <w:r w:rsidR="00776523">
        <w:rPr>
          <w:highlight w:val="yellow"/>
        </w:rPr>
      </w:r>
      <w:r w:rsidR="00776523">
        <w:rPr>
          <w:highlight w:val="yellow"/>
        </w:rPr>
        <w:fldChar w:fldCharType="separate"/>
      </w:r>
      <w:r w:rsidR="004F49F9">
        <w:t>2.2.3.3</w:t>
      </w:r>
      <w:r w:rsidR="00776523">
        <w:rPr>
          <w:highlight w:val="yellow"/>
        </w:rPr>
        <w:fldChar w:fldCharType="end"/>
      </w:r>
      <w:r w:rsidRPr="00BB0742">
        <w:t>), the antenna data (</w:t>
      </w:r>
      <w:r w:rsidR="009D5FA2">
        <w:t>section</w:t>
      </w:r>
      <w:r w:rsidRPr="00BB0742">
        <w:t xml:space="preserve"> </w:t>
      </w:r>
      <w:r w:rsidR="00776523">
        <w:rPr>
          <w:highlight w:val="yellow"/>
        </w:rPr>
        <w:fldChar w:fldCharType="begin"/>
      </w:r>
      <w:r w:rsidR="00776523">
        <w:instrText xml:space="preserve"> REF _Ref67225744 \r \h </w:instrText>
      </w:r>
      <w:r w:rsidR="00776523">
        <w:rPr>
          <w:highlight w:val="yellow"/>
        </w:rPr>
      </w:r>
      <w:r w:rsidR="00776523">
        <w:rPr>
          <w:highlight w:val="yellow"/>
        </w:rPr>
        <w:fldChar w:fldCharType="separate"/>
      </w:r>
      <w:r w:rsidR="004F49F9">
        <w:t>2.2.3.4</w:t>
      </w:r>
      <w:r w:rsidR="00776523">
        <w:rPr>
          <w:highlight w:val="yellow"/>
        </w:rPr>
        <w:fldChar w:fldCharType="end"/>
      </w:r>
      <w:r w:rsidRPr="00BB0742">
        <w:t>), the defined interference scenarios (</w:t>
      </w:r>
      <w:r w:rsidR="009D5FA2">
        <w:t>section</w:t>
      </w:r>
      <w:r w:rsidRPr="00BB0742">
        <w:t xml:space="preserve"> </w:t>
      </w:r>
      <w:r w:rsidR="00776523">
        <w:rPr>
          <w:highlight w:val="yellow"/>
        </w:rPr>
        <w:fldChar w:fldCharType="begin"/>
      </w:r>
      <w:r w:rsidR="00776523">
        <w:instrText xml:space="preserve"> REF _Ref67225770 \r \h </w:instrText>
      </w:r>
      <w:r w:rsidR="00776523">
        <w:rPr>
          <w:highlight w:val="yellow"/>
        </w:rPr>
      </w:r>
      <w:r w:rsidR="00776523">
        <w:rPr>
          <w:highlight w:val="yellow"/>
        </w:rPr>
        <w:fldChar w:fldCharType="separate"/>
      </w:r>
      <w:r w:rsidR="004F49F9">
        <w:t>2.2.3.6</w:t>
      </w:r>
      <w:r w:rsidR="00776523">
        <w:rPr>
          <w:highlight w:val="yellow"/>
        </w:rPr>
        <w:fldChar w:fldCharType="end"/>
      </w:r>
      <w:r w:rsidRPr="00BB0742">
        <w:t>) and the protection requirements for EESS (</w:t>
      </w:r>
      <w:r w:rsidR="009D5FA2">
        <w:t>section</w:t>
      </w:r>
      <w:r w:rsidRPr="00BB0742">
        <w:t xml:space="preserve"> </w:t>
      </w:r>
      <w:r w:rsidR="00776523">
        <w:rPr>
          <w:highlight w:val="yellow"/>
        </w:rPr>
        <w:fldChar w:fldCharType="begin"/>
      </w:r>
      <w:r w:rsidR="00776523">
        <w:instrText xml:space="preserve"> REF _Ref66361876 \r \h </w:instrText>
      </w:r>
      <w:r w:rsidR="00776523">
        <w:rPr>
          <w:highlight w:val="yellow"/>
        </w:rPr>
      </w:r>
      <w:r w:rsidR="00776523">
        <w:rPr>
          <w:highlight w:val="yellow"/>
        </w:rPr>
        <w:fldChar w:fldCharType="separate"/>
      </w:r>
      <w:r w:rsidR="004F49F9">
        <w:t>3.5.4</w:t>
      </w:r>
      <w:r w:rsidR="00776523">
        <w:rPr>
          <w:highlight w:val="yellow"/>
        </w:rPr>
        <w:fldChar w:fldCharType="end"/>
      </w:r>
      <w:r w:rsidRPr="00BB0742">
        <w:t xml:space="preserve">). The exact calculations can be found in an Excel-spreadsheet which is attached to this </w:t>
      </w:r>
      <w:hyperlink r:id="rId166" w:history="1">
        <w:r w:rsidR="00C70410">
          <w:rPr>
            <w:rStyle w:val="Hyperlink"/>
          </w:rPr>
          <w:t>Report</w:t>
        </w:r>
      </w:hyperlink>
      <w:r w:rsidRPr="00BB0742">
        <w:t>.</w:t>
      </w:r>
    </w:p>
    <w:p w14:paraId="2816D500" w14:textId="26C80184" w:rsidR="00BB0742" w:rsidRPr="00BB0742" w:rsidRDefault="00BB0742" w:rsidP="00BB0742">
      <w:r w:rsidRPr="00BB0742">
        <w:t xml:space="preserve">The following technical parameters of the </w:t>
      </w:r>
      <w:r w:rsidR="0010762D">
        <w:t>SR-assist</w:t>
      </w:r>
      <w:r w:rsidRPr="00BB0742">
        <w:t xml:space="preserve"> application (</w:t>
      </w:r>
      <w:r w:rsidR="009D5FA2">
        <w:t>section</w:t>
      </w:r>
      <w:r w:rsidRPr="00BB0742">
        <w:t xml:space="preserve"> </w:t>
      </w:r>
      <w:r w:rsidR="00776523">
        <w:rPr>
          <w:highlight w:val="yellow"/>
        </w:rPr>
        <w:fldChar w:fldCharType="begin"/>
      </w:r>
      <w:r w:rsidR="00776523">
        <w:instrText xml:space="preserve"> REF _Ref20313340 \r \h </w:instrText>
      </w:r>
      <w:r w:rsidR="00776523">
        <w:rPr>
          <w:highlight w:val="yellow"/>
        </w:rPr>
      </w:r>
      <w:r w:rsidR="00776523">
        <w:rPr>
          <w:highlight w:val="yellow"/>
        </w:rPr>
        <w:fldChar w:fldCharType="separate"/>
      </w:r>
      <w:r w:rsidR="004F49F9">
        <w:t>2.2.3.3</w:t>
      </w:r>
      <w:r w:rsidR="00776523">
        <w:rPr>
          <w:highlight w:val="yellow"/>
        </w:rPr>
        <w:fldChar w:fldCharType="end"/>
      </w:r>
      <w:r w:rsidRPr="00BB0742">
        <w:t>) have been used in the studies in the different frequency ranges.</w:t>
      </w:r>
    </w:p>
    <w:p w14:paraId="0EF6311A" w14:textId="36E459D0" w:rsidR="00BB0742" w:rsidRPr="00BB0742" w:rsidRDefault="00776523" w:rsidP="00BB0742">
      <w:pPr>
        <w:pStyle w:val="Caption"/>
        <w:rPr>
          <w:rStyle w:val="ECCParagraph"/>
        </w:rPr>
      </w:pPr>
      <w:bookmarkStart w:id="725" w:name="_Ref67226273"/>
      <w:r w:rsidRPr="00477961">
        <w:t>Table </w:t>
      </w:r>
      <w:r>
        <w:fldChar w:fldCharType="begin"/>
      </w:r>
      <w:r>
        <w:instrText>SEQ Table \* ARABIC</w:instrText>
      </w:r>
      <w:r>
        <w:fldChar w:fldCharType="separate"/>
      </w:r>
      <w:r w:rsidR="004F49F9">
        <w:rPr>
          <w:noProof/>
        </w:rPr>
        <w:t>89</w:t>
      </w:r>
      <w:r>
        <w:fldChar w:fldCharType="end"/>
      </w:r>
      <w:bookmarkEnd w:id="725"/>
      <w:r w:rsidR="00BB0742" w:rsidRPr="00BB0742">
        <w:t xml:space="preserve">: Technical parameters of </w:t>
      </w:r>
      <w:r w:rsidR="0010762D">
        <w:t>short-range assist</w:t>
      </w:r>
      <w:r w:rsidR="00BB0742" w:rsidRPr="00BB0742">
        <w:t xml:space="preserve"> used for the conducted single-entry and aggregate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BB0742" w:rsidRPr="00566944" w14:paraId="5373EA2F" w14:textId="77777777" w:rsidTr="0061571C">
        <w:trPr>
          <w:cnfStyle w:val="100000000000" w:firstRow="1" w:lastRow="0" w:firstColumn="0" w:lastColumn="0" w:oddVBand="0" w:evenVBand="0" w:oddHBand="0" w:evenHBand="0" w:firstRowFirstColumn="0" w:firstRowLastColumn="0" w:lastRowFirstColumn="0" w:lastRowLastColumn="0"/>
        </w:trPr>
        <w:tc>
          <w:tcPr>
            <w:tcW w:w="1838" w:type="dxa"/>
          </w:tcPr>
          <w:p w14:paraId="15C66C98" w14:textId="77777777" w:rsidR="00BB0742" w:rsidRPr="00BB0742" w:rsidRDefault="00BB0742" w:rsidP="00876039">
            <w:pPr>
              <w:pStyle w:val="ECCTableHeaderwhitefont"/>
            </w:pPr>
            <w:r w:rsidRPr="00BB0742">
              <w:t>Investigated Frequency range</w:t>
            </w:r>
          </w:p>
        </w:tc>
        <w:tc>
          <w:tcPr>
            <w:tcW w:w="1569" w:type="dxa"/>
          </w:tcPr>
          <w:p w14:paraId="7840B4E5" w14:textId="77777777" w:rsidR="00BB0742" w:rsidRPr="00BB0742" w:rsidRDefault="00BB0742" w:rsidP="000A69BD">
            <w:pPr>
              <w:pStyle w:val="ECCTableHeaderwhitefont"/>
            </w:pPr>
            <w:r w:rsidRPr="00BB0742">
              <w:t>Assumed modulation bandwidth</w:t>
            </w:r>
          </w:p>
        </w:tc>
        <w:tc>
          <w:tcPr>
            <w:tcW w:w="1513" w:type="dxa"/>
          </w:tcPr>
          <w:p w14:paraId="65689F70" w14:textId="77777777" w:rsidR="00BB0742" w:rsidRPr="00BB0742" w:rsidRDefault="000033B3" w:rsidP="000A69BD">
            <w:pPr>
              <w:pStyle w:val="ECCTableHeaderwhitefont"/>
            </w:pPr>
            <w:r>
              <w:t>D</w:t>
            </w:r>
            <w:r w:rsidR="00BB0742" w:rsidRPr="00BB0742">
              <w:t>uty cycle</w:t>
            </w:r>
          </w:p>
        </w:tc>
        <w:tc>
          <w:tcPr>
            <w:tcW w:w="1767" w:type="dxa"/>
          </w:tcPr>
          <w:p w14:paraId="79B97B67" w14:textId="77777777" w:rsidR="00BB0742" w:rsidRPr="00BB0742" w:rsidRDefault="000033B3" w:rsidP="000A69BD">
            <w:pPr>
              <w:pStyle w:val="ECCTableHeaderwhitefont"/>
            </w:pPr>
            <w:r>
              <w:t>M</w:t>
            </w:r>
            <w:r w:rsidR="00BB0742" w:rsidRPr="00BB0742">
              <w:t>ean e.i.r.p.</w:t>
            </w:r>
            <w:r w:rsidR="00D23B4A">
              <w:t xml:space="preserve"> </w:t>
            </w:r>
            <w:r w:rsidR="00C943B8">
              <w:t xml:space="preserve">spectral density </w:t>
            </w:r>
            <w:r w:rsidR="00D23B4A">
              <w:t>(Note 2)</w:t>
            </w:r>
          </w:p>
        </w:tc>
        <w:tc>
          <w:tcPr>
            <w:tcW w:w="1437" w:type="dxa"/>
          </w:tcPr>
          <w:p w14:paraId="5BC017F3" w14:textId="77777777" w:rsidR="00BB0742" w:rsidRPr="00BB0742" w:rsidRDefault="000033B3" w:rsidP="000A69BD">
            <w:pPr>
              <w:pStyle w:val="ECCTableHeaderwhitefont"/>
            </w:pPr>
            <w:r>
              <w:t>P</w:t>
            </w:r>
            <w:r w:rsidR="00BB0742" w:rsidRPr="00BB0742">
              <w:t>eak e.i.r.p.</w:t>
            </w:r>
          </w:p>
        </w:tc>
        <w:tc>
          <w:tcPr>
            <w:tcW w:w="1437" w:type="dxa"/>
          </w:tcPr>
          <w:p w14:paraId="7363B717" w14:textId="77777777" w:rsidR="00BB0742" w:rsidRPr="00BB0742" w:rsidRDefault="00BB0742" w:rsidP="000A69BD">
            <w:pPr>
              <w:pStyle w:val="ECCTableHeaderwhitefont"/>
            </w:pPr>
            <w:r w:rsidRPr="00BB0742">
              <w:t>OOB attenuation (Note 1)</w:t>
            </w:r>
          </w:p>
        </w:tc>
      </w:tr>
      <w:tr w:rsidR="00BB0742" w:rsidRPr="00C53FB5" w14:paraId="6BA9E5E7" w14:textId="77777777" w:rsidTr="0061571C">
        <w:tc>
          <w:tcPr>
            <w:tcW w:w="1838" w:type="dxa"/>
          </w:tcPr>
          <w:p w14:paraId="20EBFE98" w14:textId="77777777" w:rsidR="00BB0742" w:rsidRPr="00BB0742" w:rsidRDefault="00BB0742" w:rsidP="000A69BD">
            <w:pPr>
              <w:pStyle w:val="ECCTabletext"/>
              <w:jc w:val="left"/>
            </w:pPr>
            <w:r w:rsidRPr="00BB0742">
              <w:t>116 to 130 GHz</w:t>
            </w:r>
          </w:p>
        </w:tc>
        <w:tc>
          <w:tcPr>
            <w:tcW w:w="1569" w:type="dxa"/>
          </w:tcPr>
          <w:p w14:paraId="1892C7D1" w14:textId="77777777" w:rsidR="00BB0742" w:rsidRPr="00BB0742" w:rsidRDefault="00BB0742" w:rsidP="000A69BD">
            <w:pPr>
              <w:pStyle w:val="ECCTabletext"/>
              <w:jc w:val="left"/>
            </w:pPr>
            <w:r w:rsidRPr="00BB0742">
              <w:t>1 GHz</w:t>
            </w:r>
          </w:p>
        </w:tc>
        <w:tc>
          <w:tcPr>
            <w:tcW w:w="1513" w:type="dxa"/>
          </w:tcPr>
          <w:p w14:paraId="5208520D" w14:textId="40FD861F" w:rsidR="00BB0742" w:rsidRPr="00BB0742" w:rsidRDefault="000836D6" w:rsidP="000A69BD">
            <w:pPr>
              <w:pStyle w:val="ECCTabletext"/>
              <w:jc w:val="left"/>
            </w:pPr>
            <w:r>
              <w:t>50</w:t>
            </w:r>
            <w:r w:rsidR="00F800A2">
              <w:t>%</w:t>
            </w:r>
          </w:p>
        </w:tc>
        <w:tc>
          <w:tcPr>
            <w:tcW w:w="1767" w:type="dxa"/>
          </w:tcPr>
          <w:p w14:paraId="24408E3F" w14:textId="77777777" w:rsidR="00BB0742" w:rsidRPr="00BB0742" w:rsidRDefault="00DF7D9D" w:rsidP="000A69BD">
            <w:pPr>
              <w:pStyle w:val="ECCTabletext"/>
              <w:jc w:val="left"/>
            </w:pPr>
            <w:r>
              <w:t>14 dBm</w:t>
            </w:r>
            <w:r w:rsidR="0002322C">
              <w:t>/MHz</w:t>
            </w:r>
          </w:p>
        </w:tc>
        <w:tc>
          <w:tcPr>
            <w:tcW w:w="1437" w:type="dxa"/>
          </w:tcPr>
          <w:p w14:paraId="5B9DD257" w14:textId="77777777" w:rsidR="00BB0742" w:rsidRPr="00BB0742" w:rsidRDefault="00DF7D9D" w:rsidP="000A69BD">
            <w:pPr>
              <w:pStyle w:val="ECCTabletext"/>
              <w:jc w:val="left"/>
            </w:pPr>
            <w:r>
              <w:t>47</w:t>
            </w:r>
            <w:r w:rsidR="00BB0742" w:rsidRPr="00BB0742">
              <w:t> dBm</w:t>
            </w:r>
          </w:p>
        </w:tc>
        <w:tc>
          <w:tcPr>
            <w:tcW w:w="1437" w:type="dxa"/>
          </w:tcPr>
          <w:p w14:paraId="509B2A12" w14:textId="77777777" w:rsidR="00BB0742" w:rsidRPr="00BB0742" w:rsidRDefault="00BB0742" w:rsidP="000A69BD">
            <w:pPr>
              <w:pStyle w:val="ECCTabletext"/>
              <w:jc w:val="left"/>
            </w:pPr>
            <w:r w:rsidRPr="00BB0742">
              <w:t>20 dB</w:t>
            </w:r>
          </w:p>
        </w:tc>
      </w:tr>
      <w:tr w:rsidR="00BB0742" w:rsidRPr="00C53FB5" w14:paraId="66E8FB96" w14:textId="77777777" w:rsidTr="0061571C">
        <w:tc>
          <w:tcPr>
            <w:tcW w:w="1838" w:type="dxa"/>
          </w:tcPr>
          <w:p w14:paraId="6FE5C84D" w14:textId="77777777" w:rsidR="00BB0742" w:rsidRPr="00BB0742" w:rsidRDefault="00BB0742" w:rsidP="000A69BD">
            <w:pPr>
              <w:pStyle w:val="ECCTabletext"/>
              <w:jc w:val="left"/>
            </w:pPr>
            <w:r w:rsidRPr="00BB0742">
              <w:t>1</w:t>
            </w:r>
            <w:r w:rsidR="0010762D">
              <w:t>34</w:t>
            </w:r>
            <w:r w:rsidRPr="00BB0742">
              <w:t xml:space="preserve"> to </w:t>
            </w:r>
            <w:r w:rsidR="0010762D">
              <w:t>141</w:t>
            </w:r>
            <w:r w:rsidRPr="00BB0742">
              <w:t> GHz</w:t>
            </w:r>
          </w:p>
        </w:tc>
        <w:tc>
          <w:tcPr>
            <w:tcW w:w="1569" w:type="dxa"/>
          </w:tcPr>
          <w:p w14:paraId="5D4215B3" w14:textId="77777777" w:rsidR="00BB0742" w:rsidRPr="00BB0742" w:rsidRDefault="00BB0742" w:rsidP="000A69BD">
            <w:pPr>
              <w:pStyle w:val="ECCTabletext"/>
              <w:jc w:val="left"/>
            </w:pPr>
            <w:r w:rsidRPr="00BB0742">
              <w:t>1 GHz</w:t>
            </w:r>
          </w:p>
        </w:tc>
        <w:tc>
          <w:tcPr>
            <w:tcW w:w="1513" w:type="dxa"/>
          </w:tcPr>
          <w:p w14:paraId="4B476B3D" w14:textId="590F1B1E" w:rsidR="00BB0742" w:rsidRPr="00BB0742" w:rsidRDefault="000836D6" w:rsidP="000A69BD">
            <w:pPr>
              <w:pStyle w:val="ECCTabletext"/>
              <w:jc w:val="left"/>
            </w:pPr>
            <w:r>
              <w:t>50</w:t>
            </w:r>
            <w:r w:rsidR="00F800A2">
              <w:t>%</w:t>
            </w:r>
          </w:p>
        </w:tc>
        <w:tc>
          <w:tcPr>
            <w:tcW w:w="1767" w:type="dxa"/>
          </w:tcPr>
          <w:p w14:paraId="0DE9DCA1" w14:textId="77777777" w:rsidR="00BB0742" w:rsidRPr="00BB0742" w:rsidRDefault="00DF7D9D" w:rsidP="000A69BD">
            <w:pPr>
              <w:pStyle w:val="ECCTabletext"/>
              <w:jc w:val="left"/>
            </w:pPr>
            <w:r>
              <w:t>14</w:t>
            </w:r>
            <w:r w:rsidRPr="00DF7D9D">
              <w:t> dBm</w:t>
            </w:r>
            <w:r w:rsidR="0002322C">
              <w:t>/MHz</w:t>
            </w:r>
          </w:p>
        </w:tc>
        <w:tc>
          <w:tcPr>
            <w:tcW w:w="1437" w:type="dxa"/>
          </w:tcPr>
          <w:p w14:paraId="5FC1BB51" w14:textId="77777777" w:rsidR="00BB0742" w:rsidRPr="00BB0742" w:rsidRDefault="00DF7D9D" w:rsidP="000A69BD">
            <w:pPr>
              <w:pStyle w:val="ECCTabletext"/>
              <w:jc w:val="left"/>
            </w:pPr>
            <w:r>
              <w:t>47</w:t>
            </w:r>
            <w:r w:rsidR="00BB0742" w:rsidRPr="00BB0742">
              <w:t> dBm</w:t>
            </w:r>
          </w:p>
        </w:tc>
        <w:tc>
          <w:tcPr>
            <w:tcW w:w="1437" w:type="dxa"/>
          </w:tcPr>
          <w:p w14:paraId="263C006C" w14:textId="77777777" w:rsidR="00BB0742" w:rsidRPr="00BB0742" w:rsidRDefault="00BB0742" w:rsidP="000A69BD">
            <w:pPr>
              <w:pStyle w:val="ECCTabletext"/>
              <w:jc w:val="left"/>
            </w:pPr>
            <w:r w:rsidRPr="00BB0742">
              <w:t>20 dB</w:t>
            </w:r>
          </w:p>
        </w:tc>
      </w:tr>
      <w:tr w:rsidR="00BB0742" w:rsidRPr="00C53FB5" w14:paraId="709B9CB2" w14:textId="77777777" w:rsidTr="0061571C">
        <w:tc>
          <w:tcPr>
            <w:tcW w:w="1838" w:type="dxa"/>
          </w:tcPr>
          <w:p w14:paraId="130886DB" w14:textId="77777777" w:rsidR="00BB0742" w:rsidRPr="00BB0742" w:rsidRDefault="0010762D" w:rsidP="000A69BD">
            <w:pPr>
              <w:pStyle w:val="ECCTabletext"/>
              <w:jc w:val="left"/>
            </w:pPr>
            <w:r>
              <w:t>141</w:t>
            </w:r>
            <w:r w:rsidR="00BB0742" w:rsidRPr="00BB0742">
              <w:t xml:space="preserve"> to 1</w:t>
            </w:r>
            <w:r>
              <w:t>48</w:t>
            </w:r>
            <w:r w:rsidR="00CF4994">
              <w:t>.5</w:t>
            </w:r>
            <w:r w:rsidR="00BB0742" w:rsidRPr="00BB0742">
              <w:t> GHz</w:t>
            </w:r>
          </w:p>
        </w:tc>
        <w:tc>
          <w:tcPr>
            <w:tcW w:w="1569" w:type="dxa"/>
          </w:tcPr>
          <w:p w14:paraId="492A3F79" w14:textId="77777777" w:rsidR="00BB0742" w:rsidRPr="00BB0742" w:rsidRDefault="00BB0742" w:rsidP="000A69BD">
            <w:pPr>
              <w:pStyle w:val="ECCTabletext"/>
              <w:jc w:val="left"/>
            </w:pPr>
            <w:r w:rsidRPr="00BB0742">
              <w:t>1 GHz</w:t>
            </w:r>
          </w:p>
        </w:tc>
        <w:tc>
          <w:tcPr>
            <w:tcW w:w="1513" w:type="dxa"/>
          </w:tcPr>
          <w:p w14:paraId="74D1DC78" w14:textId="33902F28" w:rsidR="00BB0742" w:rsidRPr="00BB0742" w:rsidRDefault="000836D6" w:rsidP="000A69BD">
            <w:pPr>
              <w:pStyle w:val="ECCTabletext"/>
              <w:jc w:val="left"/>
            </w:pPr>
            <w:r>
              <w:t>50</w:t>
            </w:r>
            <w:r w:rsidR="00F800A2">
              <w:t>%</w:t>
            </w:r>
          </w:p>
        </w:tc>
        <w:tc>
          <w:tcPr>
            <w:tcW w:w="1767" w:type="dxa"/>
          </w:tcPr>
          <w:p w14:paraId="3203EDCB" w14:textId="77777777" w:rsidR="00BB0742" w:rsidRPr="00BB0742" w:rsidRDefault="00DF7D9D" w:rsidP="000A69BD">
            <w:pPr>
              <w:pStyle w:val="ECCTabletext"/>
              <w:jc w:val="left"/>
            </w:pPr>
            <w:r>
              <w:t>14</w:t>
            </w:r>
            <w:r w:rsidRPr="00DF7D9D">
              <w:t> dBm</w:t>
            </w:r>
            <w:r w:rsidR="0002322C">
              <w:t>/MHz</w:t>
            </w:r>
          </w:p>
        </w:tc>
        <w:tc>
          <w:tcPr>
            <w:tcW w:w="1437" w:type="dxa"/>
          </w:tcPr>
          <w:p w14:paraId="5BC64482" w14:textId="77777777" w:rsidR="00BB0742" w:rsidRPr="00BB0742" w:rsidRDefault="00DF7D9D" w:rsidP="000A69BD">
            <w:pPr>
              <w:pStyle w:val="ECCTabletext"/>
              <w:jc w:val="left"/>
            </w:pPr>
            <w:r>
              <w:t>47</w:t>
            </w:r>
            <w:r w:rsidR="00BB0742" w:rsidRPr="00BB0742">
              <w:t> dBm</w:t>
            </w:r>
          </w:p>
        </w:tc>
        <w:tc>
          <w:tcPr>
            <w:tcW w:w="1437" w:type="dxa"/>
          </w:tcPr>
          <w:p w14:paraId="603F1F2B" w14:textId="77777777" w:rsidR="00BB0742" w:rsidRPr="00BB0742" w:rsidRDefault="00BB0742" w:rsidP="000A69BD">
            <w:pPr>
              <w:pStyle w:val="ECCTabletext"/>
              <w:jc w:val="left"/>
            </w:pPr>
            <w:r w:rsidRPr="00BB0742">
              <w:t>20 dB</w:t>
            </w:r>
          </w:p>
        </w:tc>
      </w:tr>
      <w:tr w:rsidR="00200700" w:rsidRPr="00C53FB5" w14:paraId="7668BA6D" w14:textId="77777777" w:rsidTr="00200700">
        <w:tc>
          <w:tcPr>
            <w:tcW w:w="9561" w:type="dxa"/>
            <w:gridSpan w:val="6"/>
          </w:tcPr>
          <w:p w14:paraId="1CD73DF8" w14:textId="77777777" w:rsidR="00200700" w:rsidRPr="00200700" w:rsidRDefault="00200700" w:rsidP="00464AE0">
            <w:pPr>
              <w:pStyle w:val="ECCTablenote"/>
            </w:pPr>
            <w:r w:rsidRPr="00BB0742">
              <w:t xml:space="preserve">Note 1: Assumed out-of-band attenuation of the </w:t>
            </w:r>
            <w:r w:rsidRPr="00200700">
              <w:t>SR-assist-signal in adjacent bands allocated to EESS.</w:t>
            </w:r>
          </w:p>
          <w:p w14:paraId="08711CC1" w14:textId="709733D9" w:rsidR="00200700" w:rsidRPr="00BB0742" w:rsidRDefault="00200700" w:rsidP="00464AE0">
            <w:pPr>
              <w:pStyle w:val="ECCTablenote"/>
            </w:pPr>
            <w:r w:rsidRPr="00ED25AF">
              <w:t xml:space="preserve">Note 2: The </w:t>
            </w:r>
            <w:r w:rsidRPr="00200700">
              <w:t>duty cycle of 50</w:t>
            </w:r>
            <w:r w:rsidR="00F800A2">
              <w:t>%</w:t>
            </w:r>
            <w:r w:rsidRPr="00200700">
              <w:t xml:space="preserve"> is already considered in this mean e.i.r.p. spectral density 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2AC4EF25" w14:textId="77777777" w:rsidR="0002322C" w:rsidRPr="0002322C" w:rsidRDefault="0002322C" w:rsidP="0002322C">
      <w:r w:rsidRPr="0002322C">
        <w:t>In addition, calculations have also been performed with a peak e.i.r.p. of 40 dBm and 26 dBm.</w:t>
      </w:r>
    </w:p>
    <w:p w14:paraId="6017288B" w14:textId="77777777" w:rsidR="00745F6B" w:rsidRDefault="00745F6B" w:rsidP="00745F6B">
      <w:pPr>
        <w:pStyle w:val="Heading3"/>
      </w:pPr>
      <w:bookmarkStart w:id="726" w:name="_Toc84325410"/>
      <w:bookmarkStart w:id="727" w:name="_Toc127346332"/>
      <w:r>
        <w:t>Results</w:t>
      </w:r>
      <w:bookmarkEnd w:id="726"/>
      <w:bookmarkEnd w:id="727"/>
    </w:p>
    <w:p w14:paraId="737B4EFC" w14:textId="7A10D8A8" w:rsidR="00745F6B" w:rsidRPr="001C46A1" w:rsidRDefault="00776523" w:rsidP="00776523">
      <w:r>
        <w:fldChar w:fldCharType="begin"/>
      </w:r>
      <w:r>
        <w:instrText xml:space="preserve"> REF _Ref67226103 \h </w:instrText>
      </w:r>
      <w:r>
        <w:fldChar w:fldCharType="separate"/>
      </w:r>
      <w:r w:rsidR="0041125F" w:rsidRPr="00477961">
        <w:t>Table </w:t>
      </w:r>
      <w:r w:rsidR="0041125F">
        <w:rPr>
          <w:noProof/>
        </w:rPr>
        <w:t>90</w:t>
      </w:r>
      <w:r>
        <w:fldChar w:fldCharType="end"/>
      </w:r>
      <w:r>
        <w:t xml:space="preserve"> </w:t>
      </w:r>
      <w:r w:rsidR="00745F6B" w:rsidRPr="001C46A1">
        <w:t>shows the aggregate wo</w:t>
      </w:r>
      <w:r w:rsidR="00745F6B">
        <w:t>r</w:t>
      </w:r>
      <w:r w:rsidR="00745F6B" w:rsidRPr="001C46A1">
        <w:t xml:space="preserve">st-case results for </w:t>
      </w:r>
      <w:r w:rsidR="00745F6B">
        <w:t>short-range assist</w:t>
      </w:r>
      <w:r w:rsidR="00822801">
        <w:t xml:space="preserve"> in the urban/suburban scenario and </w:t>
      </w:r>
      <w:r w:rsidRPr="00776523">
        <w:fldChar w:fldCharType="begin"/>
      </w:r>
      <w:r w:rsidRPr="00776523">
        <w:instrText xml:space="preserve"> REF _Ref67226190 \h </w:instrText>
      </w:r>
      <w:r>
        <w:instrText xml:space="preserve"> \* MERGEFORMAT </w:instrText>
      </w:r>
      <w:r w:rsidRPr="00776523">
        <w:fldChar w:fldCharType="separate"/>
      </w:r>
      <w:r w:rsidR="0041125F" w:rsidRPr="00477961">
        <w:t>Table </w:t>
      </w:r>
      <w:r w:rsidR="0041125F">
        <w:t>91</w:t>
      </w:r>
      <w:r w:rsidRPr="00776523">
        <w:fldChar w:fldCharType="end"/>
      </w:r>
      <w:r w:rsidRPr="00776523">
        <w:t xml:space="preserve"> </w:t>
      </w:r>
      <w:r w:rsidR="00822801" w:rsidRPr="00822801">
        <w:rPr>
          <w:rStyle w:val="ECCParagraph"/>
        </w:rPr>
        <w:t>in the highway scenario</w:t>
      </w:r>
      <w:r w:rsidR="00745F6B" w:rsidRPr="001C46A1">
        <w:t>, e.g. the residual margins for the individual frequency ranges, and EESS victim sensors. A positive margin indicates that the interference criterion is fulfilled and a negative margin that the criterion is violated.</w:t>
      </w:r>
    </w:p>
    <w:p w14:paraId="5C92085D" w14:textId="49884412" w:rsidR="00745F6B" w:rsidRDefault="00776523" w:rsidP="00745F6B">
      <w:pPr>
        <w:pStyle w:val="Caption"/>
      </w:pPr>
      <w:bookmarkStart w:id="728" w:name="_Ref67226103"/>
      <w:r w:rsidRPr="00477961">
        <w:t>Table </w:t>
      </w:r>
      <w:r>
        <w:fldChar w:fldCharType="begin"/>
      </w:r>
      <w:r>
        <w:instrText>SEQ Table \* ARABIC</w:instrText>
      </w:r>
      <w:r>
        <w:fldChar w:fldCharType="separate"/>
      </w:r>
      <w:r w:rsidR="004F49F9">
        <w:rPr>
          <w:noProof/>
        </w:rPr>
        <w:t>90</w:t>
      </w:r>
      <w:r>
        <w:fldChar w:fldCharType="end"/>
      </w:r>
      <w:bookmarkEnd w:id="728"/>
      <w:r w:rsidR="00745F6B">
        <w:t xml:space="preserve">: </w:t>
      </w:r>
      <w:r w:rsidR="00745F6B" w:rsidRPr="006231F5">
        <w:t xml:space="preserve">Margins to the </w:t>
      </w:r>
      <w:r w:rsidR="00745F6B">
        <w:t xml:space="preserve">EESS </w:t>
      </w:r>
      <w:r w:rsidR="00745F6B" w:rsidRPr="006231F5">
        <w:t>interference criterion determined in a</w:t>
      </w:r>
      <w:r w:rsidR="00745F6B">
        <w:t xml:space="preserve">n aggregate </w:t>
      </w:r>
      <w:r w:rsidR="00745F6B" w:rsidRPr="006231F5">
        <w:t xml:space="preserve">study </w:t>
      </w:r>
      <w:r w:rsidR="00745F6B" w:rsidRPr="005B7086">
        <w:t xml:space="preserve">for </w:t>
      </w:r>
      <w:r w:rsidR="00745F6B">
        <w:t>SR-assist in the urban/suburban scenario</w:t>
      </w:r>
    </w:p>
    <w:tbl>
      <w:tblPr>
        <w:tblStyle w:val="ECCTable-redheader"/>
        <w:tblW w:w="0" w:type="auto"/>
        <w:tblInd w:w="0" w:type="dxa"/>
        <w:tblLook w:val="04A0" w:firstRow="1" w:lastRow="0" w:firstColumn="1" w:lastColumn="0" w:noHBand="0" w:noVBand="1"/>
      </w:tblPr>
      <w:tblGrid>
        <w:gridCol w:w="1793"/>
        <w:gridCol w:w="1746"/>
        <w:gridCol w:w="1985"/>
        <w:gridCol w:w="2409"/>
        <w:gridCol w:w="1696"/>
      </w:tblGrid>
      <w:tr w:rsidR="00745F6B" w14:paraId="095BAB12" w14:textId="77777777" w:rsidTr="0061571C">
        <w:trPr>
          <w:cnfStyle w:val="100000000000" w:firstRow="1" w:lastRow="0" w:firstColumn="0" w:lastColumn="0" w:oddVBand="0" w:evenVBand="0" w:oddHBand="0" w:evenHBand="0" w:firstRowFirstColumn="0" w:firstRowLastColumn="0" w:lastRowFirstColumn="0" w:lastRowLastColumn="0"/>
        </w:trPr>
        <w:tc>
          <w:tcPr>
            <w:tcW w:w="1793" w:type="dxa"/>
          </w:tcPr>
          <w:p w14:paraId="6957CA80" w14:textId="77777777" w:rsidR="00745F6B" w:rsidRPr="00745F6B" w:rsidRDefault="00745F6B" w:rsidP="00876039">
            <w:pPr>
              <w:pStyle w:val="ECCTableHeaderwhitefont"/>
            </w:pPr>
            <w:r w:rsidRPr="001C46A1">
              <w:t xml:space="preserve">Investigated </w:t>
            </w:r>
            <w:r w:rsidRPr="00745F6B">
              <w:t>Frequency range</w:t>
            </w:r>
          </w:p>
        </w:tc>
        <w:tc>
          <w:tcPr>
            <w:tcW w:w="1746" w:type="dxa"/>
          </w:tcPr>
          <w:p w14:paraId="68006DDC" w14:textId="77777777" w:rsidR="00745F6B" w:rsidRPr="00745F6B" w:rsidRDefault="00745F6B" w:rsidP="000A69BD">
            <w:pPr>
              <w:pStyle w:val="ECCTableHeaderwhitefont"/>
            </w:pPr>
            <w:r w:rsidRPr="001C46A1">
              <w:t>Allocated band for EESS</w:t>
            </w:r>
          </w:p>
        </w:tc>
        <w:tc>
          <w:tcPr>
            <w:tcW w:w="1985" w:type="dxa"/>
          </w:tcPr>
          <w:p w14:paraId="73837732" w14:textId="77777777" w:rsidR="00745F6B" w:rsidRPr="00745F6B" w:rsidRDefault="00745F6B" w:rsidP="000A69BD">
            <w:pPr>
              <w:pStyle w:val="ECCTableHeaderwhitefont"/>
            </w:pPr>
            <w:r w:rsidRPr="001C46A1">
              <w:t>Evaluated frequency</w:t>
            </w:r>
          </w:p>
        </w:tc>
        <w:tc>
          <w:tcPr>
            <w:tcW w:w="2409" w:type="dxa"/>
          </w:tcPr>
          <w:p w14:paraId="1580B70C" w14:textId="77777777" w:rsidR="00745F6B" w:rsidRPr="00745F6B" w:rsidRDefault="00745F6B" w:rsidP="000A69BD">
            <w:pPr>
              <w:pStyle w:val="ECCTableHeaderwhitefont"/>
            </w:pPr>
            <w:r w:rsidRPr="001C46A1">
              <w:t>EESS victim sensor</w:t>
            </w:r>
          </w:p>
        </w:tc>
        <w:tc>
          <w:tcPr>
            <w:tcW w:w="1696" w:type="dxa"/>
          </w:tcPr>
          <w:p w14:paraId="05FB00D5" w14:textId="77777777" w:rsidR="00745F6B" w:rsidRPr="00745F6B" w:rsidRDefault="00745F6B" w:rsidP="000A69BD">
            <w:pPr>
              <w:pStyle w:val="ECCTableHeaderwhitefont"/>
            </w:pPr>
            <w:r w:rsidRPr="001C46A1">
              <w:t>Margin to interference criterion</w:t>
            </w:r>
          </w:p>
        </w:tc>
      </w:tr>
      <w:tr w:rsidR="009345D6" w14:paraId="70D4D4CE" w14:textId="77777777" w:rsidTr="0061571C">
        <w:tc>
          <w:tcPr>
            <w:tcW w:w="1793" w:type="dxa"/>
            <w:vMerge w:val="restart"/>
          </w:tcPr>
          <w:p w14:paraId="1CBE9427" w14:textId="77777777" w:rsidR="009345D6" w:rsidRPr="00745F6B" w:rsidRDefault="009345D6" w:rsidP="000A69BD">
            <w:pPr>
              <w:pStyle w:val="ECCTabletext"/>
              <w:jc w:val="left"/>
            </w:pPr>
            <w:r w:rsidRPr="00C53FB5">
              <w:t>116 to 130 GHz</w:t>
            </w:r>
          </w:p>
        </w:tc>
        <w:tc>
          <w:tcPr>
            <w:tcW w:w="1746" w:type="dxa"/>
            <w:vMerge w:val="restart"/>
          </w:tcPr>
          <w:p w14:paraId="56466200" w14:textId="77777777" w:rsidR="009345D6" w:rsidRPr="00745F6B" w:rsidRDefault="009345D6" w:rsidP="000A69BD">
            <w:pPr>
              <w:pStyle w:val="ECCTabletext"/>
              <w:jc w:val="left"/>
            </w:pPr>
            <w:r w:rsidRPr="00C53FB5">
              <w:t>1</w:t>
            </w:r>
            <w:r w:rsidRPr="00745F6B">
              <w:t>14</w:t>
            </w:r>
            <w:r w:rsidR="00CF4994">
              <w:t>.2</w:t>
            </w:r>
            <w:r w:rsidRPr="00745F6B">
              <w:t>5 to 122</w:t>
            </w:r>
            <w:r w:rsidR="00CF4994">
              <w:t>.2</w:t>
            </w:r>
            <w:r w:rsidRPr="00745F6B">
              <w:t xml:space="preserve">5 GHz </w:t>
            </w:r>
          </w:p>
        </w:tc>
        <w:tc>
          <w:tcPr>
            <w:tcW w:w="1985" w:type="dxa"/>
          </w:tcPr>
          <w:p w14:paraId="652A7EED" w14:textId="77777777" w:rsidR="009345D6" w:rsidRPr="00745F6B" w:rsidRDefault="009345D6" w:rsidP="000A69BD">
            <w:pPr>
              <w:pStyle w:val="ECCTabletext"/>
              <w:jc w:val="left"/>
            </w:pPr>
            <w:r>
              <w:t xml:space="preserve">116 GHz </w:t>
            </w:r>
            <w:r w:rsidRPr="00745F6B">
              <w:t>(</w:t>
            </w:r>
            <w:r w:rsidRPr="009345D6">
              <w:t>In-band)</w:t>
            </w:r>
          </w:p>
        </w:tc>
        <w:tc>
          <w:tcPr>
            <w:tcW w:w="2409" w:type="dxa"/>
          </w:tcPr>
          <w:p w14:paraId="2A543DA4" w14:textId="77777777" w:rsidR="009345D6" w:rsidRPr="00745F6B" w:rsidRDefault="009345D6" w:rsidP="000A69BD">
            <w:pPr>
              <w:pStyle w:val="ECCTabletext"/>
              <w:jc w:val="left"/>
            </w:pPr>
            <w:r>
              <w:t>MWI</w:t>
            </w:r>
          </w:p>
        </w:tc>
        <w:tc>
          <w:tcPr>
            <w:tcW w:w="1696" w:type="dxa"/>
          </w:tcPr>
          <w:p w14:paraId="7CCD737F" w14:textId="77777777" w:rsidR="009345D6" w:rsidRPr="00745F6B" w:rsidRDefault="009345D6" w:rsidP="000A69BD">
            <w:pPr>
              <w:pStyle w:val="ECCTabletext"/>
              <w:jc w:val="left"/>
            </w:pPr>
            <w:r>
              <w:t>-85</w:t>
            </w:r>
            <w:r w:rsidR="00CF4994">
              <w:t>.7</w:t>
            </w:r>
            <w:r>
              <w:t> dB</w:t>
            </w:r>
          </w:p>
        </w:tc>
      </w:tr>
      <w:tr w:rsidR="009345D6" w14:paraId="44D09A63" w14:textId="77777777" w:rsidTr="0061571C">
        <w:tc>
          <w:tcPr>
            <w:tcW w:w="1793" w:type="dxa"/>
            <w:vMerge/>
          </w:tcPr>
          <w:p w14:paraId="2FF4E4D6" w14:textId="77777777" w:rsidR="009345D6" w:rsidRPr="00C53FB5" w:rsidRDefault="009345D6" w:rsidP="00745F6B">
            <w:pPr>
              <w:pStyle w:val="ECCTabletext"/>
            </w:pPr>
          </w:p>
        </w:tc>
        <w:tc>
          <w:tcPr>
            <w:tcW w:w="1746" w:type="dxa"/>
            <w:vMerge/>
          </w:tcPr>
          <w:p w14:paraId="60FBC546" w14:textId="77777777" w:rsidR="009345D6" w:rsidRPr="00C53FB5" w:rsidRDefault="009345D6" w:rsidP="00745F6B">
            <w:pPr>
              <w:pStyle w:val="ECCTabletext"/>
            </w:pPr>
          </w:p>
        </w:tc>
        <w:tc>
          <w:tcPr>
            <w:tcW w:w="1985" w:type="dxa"/>
          </w:tcPr>
          <w:p w14:paraId="35CBFEF9" w14:textId="77777777" w:rsidR="009345D6" w:rsidRDefault="009345D6" w:rsidP="000A69BD">
            <w:pPr>
              <w:pStyle w:val="ECCTabletext"/>
              <w:jc w:val="left"/>
            </w:pPr>
            <w:r>
              <w:t>114</w:t>
            </w:r>
            <w:r w:rsidR="00CF4994">
              <w:t>.2</w:t>
            </w:r>
            <w:r>
              <w:t>5 GHz (OOB)</w:t>
            </w:r>
          </w:p>
        </w:tc>
        <w:tc>
          <w:tcPr>
            <w:tcW w:w="2409" w:type="dxa"/>
          </w:tcPr>
          <w:p w14:paraId="6E01698D" w14:textId="77777777" w:rsidR="009345D6" w:rsidRPr="00745F6B" w:rsidRDefault="009345D6" w:rsidP="000A69BD">
            <w:pPr>
              <w:pStyle w:val="ECCTabletext"/>
              <w:jc w:val="left"/>
            </w:pPr>
            <w:r>
              <w:t>MWI</w:t>
            </w:r>
          </w:p>
        </w:tc>
        <w:tc>
          <w:tcPr>
            <w:tcW w:w="1696" w:type="dxa"/>
          </w:tcPr>
          <w:p w14:paraId="473B30EC" w14:textId="77777777" w:rsidR="009345D6" w:rsidRPr="00745F6B" w:rsidRDefault="009345D6" w:rsidP="000A69BD">
            <w:pPr>
              <w:pStyle w:val="ECCTabletext"/>
              <w:jc w:val="left"/>
            </w:pPr>
            <w:r>
              <w:t>-65</w:t>
            </w:r>
            <w:r w:rsidR="00CF4994">
              <w:t>.7</w:t>
            </w:r>
            <w:r>
              <w:t> dB</w:t>
            </w:r>
          </w:p>
        </w:tc>
      </w:tr>
      <w:tr w:rsidR="00745F6B" w14:paraId="01789A4B" w14:textId="77777777" w:rsidTr="0061571C">
        <w:tc>
          <w:tcPr>
            <w:tcW w:w="1793" w:type="dxa"/>
          </w:tcPr>
          <w:p w14:paraId="11BF9AD7" w14:textId="77777777" w:rsidR="00745F6B" w:rsidRPr="00745F6B" w:rsidRDefault="00745F6B" w:rsidP="000A69BD">
            <w:pPr>
              <w:pStyle w:val="ECCTabletext"/>
              <w:jc w:val="left"/>
            </w:pPr>
            <w:r>
              <w:t>134 to 141 GHz</w:t>
            </w:r>
          </w:p>
        </w:tc>
        <w:tc>
          <w:tcPr>
            <w:tcW w:w="1746" w:type="dxa"/>
          </w:tcPr>
          <w:p w14:paraId="7EA3D988" w14:textId="77777777" w:rsidR="00745F6B" w:rsidRPr="00745F6B" w:rsidRDefault="009345D6" w:rsidP="000A69BD">
            <w:pPr>
              <w:pStyle w:val="ECCTabletext"/>
              <w:jc w:val="left"/>
            </w:pPr>
            <w:r>
              <w:t>14</w:t>
            </w:r>
            <w:r w:rsidR="00822801">
              <w:t>8</w:t>
            </w:r>
            <w:r w:rsidR="00CF4994">
              <w:t>.5</w:t>
            </w:r>
            <w:r>
              <w:t xml:space="preserve"> to 1</w:t>
            </w:r>
            <w:r w:rsidR="00822801">
              <w:t>51</w:t>
            </w:r>
            <w:r w:rsidR="00CF4994">
              <w:t>.5</w:t>
            </w:r>
            <w:r>
              <w:t> GHz</w:t>
            </w:r>
          </w:p>
        </w:tc>
        <w:tc>
          <w:tcPr>
            <w:tcW w:w="1985" w:type="dxa"/>
          </w:tcPr>
          <w:p w14:paraId="6EDD35C8" w14:textId="77777777" w:rsidR="00745F6B" w:rsidRPr="00745F6B" w:rsidRDefault="00745F6B" w:rsidP="000A69BD">
            <w:pPr>
              <w:pStyle w:val="ECCTabletext"/>
              <w:jc w:val="left"/>
            </w:pPr>
            <w:r>
              <w:t>1</w:t>
            </w:r>
            <w:r w:rsidR="009345D6">
              <w:t>48</w:t>
            </w:r>
            <w:r w:rsidR="00CF4994">
              <w:t>.5</w:t>
            </w:r>
            <w:r>
              <w:t> GHz</w:t>
            </w:r>
            <w:r w:rsidR="009345D6">
              <w:t xml:space="preserve"> (OOB)</w:t>
            </w:r>
          </w:p>
        </w:tc>
        <w:tc>
          <w:tcPr>
            <w:tcW w:w="2409" w:type="dxa"/>
          </w:tcPr>
          <w:p w14:paraId="376531C4" w14:textId="312C7AD7" w:rsidR="00745F6B" w:rsidRPr="00745F6B" w:rsidRDefault="009345D6" w:rsidP="000A69BD">
            <w:pPr>
              <w:pStyle w:val="ECCTabletext"/>
              <w:jc w:val="left"/>
            </w:pPr>
            <w:r>
              <w:t>Syst</w:t>
            </w:r>
            <w:r w:rsidR="009A18E2">
              <w:t>em</w:t>
            </w:r>
            <w:r>
              <w:t xml:space="preserve"> N1 (</w:t>
            </w:r>
            <w:r w:rsidR="009A18E2">
              <w:t>O</w:t>
            </w:r>
            <w:r>
              <w:t>uter)</w:t>
            </w:r>
          </w:p>
        </w:tc>
        <w:tc>
          <w:tcPr>
            <w:tcW w:w="1696" w:type="dxa"/>
          </w:tcPr>
          <w:p w14:paraId="40330CA3" w14:textId="77777777" w:rsidR="00745F6B" w:rsidRPr="00745F6B" w:rsidRDefault="009345D6" w:rsidP="000A69BD">
            <w:pPr>
              <w:pStyle w:val="ECCTabletext"/>
              <w:jc w:val="left"/>
            </w:pPr>
            <w:r>
              <w:t>-59</w:t>
            </w:r>
            <w:r w:rsidR="00CF4994">
              <w:t>.7</w:t>
            </w:r>
            <w:r>
              <w:t> dB</w:t>
            </w:r>
          </w:p>
        </w:tc>
      </w:tr>
      <w:tr w:rsidR="00822801" w14:paraId="2D2299AB" w14:textId="77777777" w:rsidTr="0061571C">
        <w:tc>
          <w:tcPr>
            <w:tcW w:w="1793" w:type="dxa"/>
          </w:tcPr>
          <w:p w14:paraId="0AC3D0E4" w14:textId="77777777" w:rsidR="00822801" w:rsidRPr="00822801" w:rsidRDefault="00822801" w:rsidP="000A69BD">
            <w:pPr>
              <w:pStyle w:val="ECCTabletext"/>
              <w:jc w:val="left"/>
            </w:pPr>
            <w:r>
              <w:t>141 to 148</w:t>
            </w:r>
            <w:r w:rsidR="00CF4994">
              <w:t>.5</w:t>
            </w:r>
            <w:r>
              <w:t> GHz</w:t>
            </w:r>
          </w:p>
        </w:tc>
        <w:tc>
          <w:tcPr>
            <w:tcW w:w="1746" w:type="dxa"/>
          </w:tcPr>
          <w:p w14:paraId="153183AA" w14:textId="77777777" w:rsidR="00822801" w:rsidRPr="00822801" w:rsidRDefault="00822801" w:rsidP="000A69BD">
            <w:pPr>
              <w:pStyle w:val="ECCTabletext"/>
              <w:jc w:val="left"/>
            </w:pPr>
            <w:r>
              <w:t>14</w:t>
            </w:r>
            <w:r w:rsidRPr="00822801">
              <w:t>8</w:t>
            </w:r>
            <w:r w:rsidR="00CF4994">
              <w:t>.5</w:t>
            </w:r>
            <w:r w:rsidRPr="00822801">
              <w:t xml:space="preserve"> to 151</w:t>
            </w:r>
            <w:r w:rsidR="00CF4994">
              <w:t>.5</w:t>
            </w:r>
            <w:r w:rsidRPr="00822801">
              <w:t> GHz</w:t>
            </w:r>
          </w:p>
        </w:tc>
        <w:tc>
          <w:tcPr>
            <w:tcW w:w="1985" w:type="dxa"/>
          </w:tcPr>
          <w:p w14:paraId="2794BEA7" w14:textId="77777777" w:rsidR="00822801" w:rsidRPr="00822801" w:rsidRDefault="00822801" w:rsidP="000A69BD">
            <w:pPr>
              <w:pStyle w:val="ECCTabletext"/>
              <w:jc w:val="left"/>
            </w:pPr>
            <w:r>
              <w:t>1</w:t>
            </w:r>
            <w:r w:rsidRPr="00822801">
              <w:t>48</w:t>
            </w:r>
            <w:r w:rsidR="00CF4994">
              <w:t>.5</w:t>
            </w:r>
            <w:r w:rsidRPr="00822801">
              <w:t> GHz (OOB)</w:t>
            </w:r>
          </w:p>
        </w:tc>
        <w:tc>
          <w:tcPr>
            <w:tcW w:w="2409" w:type="dxa"/>
          </w:tcPr>
          <w:p w14:paraId="1062DD1B" w14:textId="23140C97" w:rsidR="00822801" w:rsidRPr="00822801" w:rsidRDefault="00822801" w:rsidP="000A69BD">
            <w:pPr>
              <w:pStyle w:val="ECCTabletext"/>
              <w:jc w:val="left"/>
            </w:pPr>
            <w:r>
              <w:t>Syst</w:t>
            </w:r>
            <w:r w:rsidR="009A18E2">
              <w:t>em</w:t>
            </w:r>
            <w:r>
              <w:t xml:space="preserve"> N1 (</w:t>
            </w:r>
            <w:r w:rsidR="009A18E2">
              <w:t>O</w:t>
            </w:r>
            <w:r>
              <w:t>uter)</w:t>
            </w:r>
          </w:p>
        </w:tc>
        <w:tc>
          <w:tcPr>
            <w:tcW w:w="1696" w:type="dxa"/>
          </w:tcPr>
          <w:p w14:paraId="3BC91B21" w14:textId="77777777" w:rsidR="00822801" w:rsidRPr="00822801" w:rsidRDefault="00822801" w:rsidP="000A69BD">
            <w:pPr>
              <w:pStyle w:val="ECCTabletext"/>
              <w:jc w:val="left"/>
            </w:pPr>
            <w:r>
              <w:t>-59</w:t>
            </w:r>
            <w:r w:rsidR="00CF4994">
              <w:t>.7</w:t>
            </w:r>
            <w:r>
              <w:t> dB</w:t>
            </w:r>
          </w:p>
        </w:tc>
      </w:tr>
    </w:tbl>
    <w:p w14:paraId="236DFAA8" w14:textId="0B24BA87" w:rsidR="00822801" w:rsidRDefault="00776523" w:rsidP="00822801">
      <w:pPr>
        <w:pStyle w:val="Caption"/>
      </w:pPr>
      <w:bookmarkStart w:id="729" w:name="_Ref67226190"/>
      <w:r w:rsidRPr="00477961">
        <w:t>Table </w:t>
      </w:r>
      <w:r>
        <w:fldChar w:fldCharType="begin"/>
      </w:r>
      <w:r>
        <w:instrText>SEQ Table \* ARABIC</w:instrText>
      </w:r>
      <w:r>
        <w:fldChar w:fldCharType="separate"/>
      </w:r>
      <w:r w:rsidR="004F49F9">
        <w:rPr>
          <w:noProof/>
        </w:rPr>
        <w:t>91</w:t>
      </w:r>
      <w:r>
        <w:fldChar w:fldCharType="end"/>
      </w:r>
      <w:bookmarkEnd w:id="729"/>
      <w:r w:rsidR="00822801">
        <w:t xml:space="preserve">: </w:t>
      </w:r>
      <w:r w:rsidR="00822801" w:rsidRPr="006231F5">
        <w:t xml:space="preserve">Margins to the </w:t>
      </w:r>
      <w:r w:rsidR="00822801">
        <w:t xml:space="preserve">EESS </w:t>
      </w:r>
      <w:r w:rsidR="00822801" w:rsidRPr="006231F5">
        <w:t>interference criterion determined in a</w:t>
      </w:r>
      <w:r w:rsidR="00822801">
        <w:t xml:space="preserve">n aggregate </w:t>
      </w:r>
      <w:r w:rsidR="00822801" w:rsidRPr="006231F5">
        <w:t xml:space="preserve">study </w:t>
      </w:r>
      <w:r w:rsidR="00822801" w:rsidRPr="005B7086">
        <w:t xml:space="preserve">for </w:t>
      </w:r>
      <w:r w:rsidR="00822801">
        <w:t>SR-assist in the highway scenario</w:t>
      </w:r>
    </w:p>
    <w:tbl>
      <w:tblPr>
        <w:tblStyle w:val="ECCTable-redheader"/>
        <w:tblW w:w="0" w:type="auto"/>
        <w:tblInd w:w="0" w:type="dxa"/>
        <w:tblLook w:val="04A0" w:firstRow="1" w:lastRow="0" w:firstColumn="1" w:lastColumn="0" w:noHBand="0" w:noVBand="1"/>
      </w:tblPr>
      <w:tblGrid>
        <w:gridCol w:w="1793"/>
        <w:gridCol w:w="1746"/>
        <w:gridCol w:w="1985"/>
        <w:gridCol w:w="2409"/>
        <w:gridCol w:w="1696"/>
      </w:tblGrid>
      <w:tr w:rsidR="00822801" w14:paraId="1090F46A" w14:textId="77777777" w:rsidTr="00822801">
        <w:trPr>
          <w:cnfStyle w:val="100000000000" w:firstRow="1" w:lastRow="0" w:firstColumn="0" w:lastColumn="0" w:oddVBand="0" w:evenVBand="0" w:oddHBand="0" w:evenHBand="0" w:firstRowFirstColumn="0" w:firstRowLastColumn="0" w:lastRowFirstColumn="0" w:lastRowLastColumn="0"/>
        </w:trPr>
        <w:tc>
          <w:tcPr>
            <w:tcW w:w="1793" w:type="dxa"/>
          </w:tcPr>
          <w:p w14:paraId="4D35C816" w14:textId="77777777" w:rsidR="00822801" w:rsidRPr="00822801" w:rsidRDefault="00822801" w:rsidP="00876039">
            <w:pPr>
              <w:pStyle w:val="ECCTableHeaderwhitefont"/>
            </w:pPr>
            <w:r w:rsidRPr="001C46A1">
              <w:t xml:space="preserve">Investigated </w:t>
            </w:r>
            <w:r w:rsidRPr="00822801">
              <w:t>Frequency range</w:t>
            </w:r>
          </w:p>
        </w:tc>
        <w:tc>
          <w:tcPr>
            <w:tcW w:w="1746" w:type="dxa"/>
          </w:tcPr>
          <w:p w14:paraId="2349D1A8" w14:textId="77777777" w:rsidR="00822801" w:rsidRPr="00822801" w:rsidRDefault="00822801" w:rsidP="000A69BD">
            <w:pPr>
              <w:pStyle w:val="ECCTableHeaderwhitefont"/>
            </w:pPr>
            <w:r w:rsidRPr="001C46A1">
              <w:t>Allocated band for EESS</w:t>
            </w:r>
          </w:p>
        </w:tc>
        <w:tc>
          <w:tcPr>
            <w:tcW w:w="1985" w:type="dxa"/>
          </w:tcPr>
          <w:p w14:paraId="61FCCF74" w14:textId="77777777" w:rsidR="00822801" w:rsidRPr="00822801" w:rsidRDefault="00822801" w:rsidP="000A69BD">
            <w:pPr>
              <w:pStyle w:val="ECCTableHeaderwhitefont"/>
            </w:pPr>
            <w:r w:rsidRPr="001C46A1">
              <w:t>Evaluated frequency</w:t>
            </w:r>
          </w:p>
        </w:tc>
        <w:tc>
          <w:tcPr>
            <w:tcW w:w="2409" w:type="dxa"/>
          </w:tcPr>
          <w:p w14:paraId="3AAF8289" w14:textId="77777777" w:rsidR="00822801" w:rsidRPr="00822801" w:rsidRDefault="00822801" w:rsidP="000A69BD">
            <w:pPr>
              <w:pStyle w:val="ECCTableHeaderwhitefont"/>
            </w:pPr>
            <w:r w:rsidRPr="001C46A1">
              <w:t>EESS victim sensor</w:t>
            </w:r>
          </w:p>
        </w:tc>
        <w:tc>
          <w:tcPr>
            <w:tcW w:w="1696" w:type="dxa"/>
          </w:tcPr>
          <w:p w14:paraId="7A2FA319" w14:textId="77777777" w:rsidR="00822801" w:rsidRPr="00822801" w:rsidRDefault="00822801" w:rsidP="000A69BD">
            <w:pPr>
              <w:pStyle w:val="ECCTableHeaderwhitefont"/>
            </w:pPr>
            <w:r w:rsidRPr="001C46A1">
              <w:t>Margin to interference criterion</w:t>
            </w:r>
          </w:p>
        </w:tc>
      </w:tr>
      <w:tr w:rsidR="00822801" w14:paraId="3DC92754" w14:textId="77777777" w:rsidTr="00822801">
        <w:tc>
          <w:tcPr>
            <w:tcW w:w="1793" w:type="dxa"/>
            <w:vMerge w:val="restart"/>
          </w:tcPr>
          <w:p w14:paraId="23FD4394" w14:textId="77777777" w:rsidR="00822801" w:rsidRPr="00822801" w:rsidRDefault="00822801" w:rsidP="000A69BD">
            <w:pPr>
              <w:pStyle w:val="ECCTabletext"/>
              <w:jc w:val="left"/>
            </w:pPr>
            <w:r w:rsidRPr="00C53FB5">
              <w:t>116 to 130 GHz</w:t>
            </w:r>
          </w:p>
        </w:tc>
        <w:tc>
          <w:tcPr>
            <w:tcW w:w="1746" w:type="dxa"/>
            <w:vMerge w:val="restart"/>
          </w:tcPr>
          <w:p w14:paraId="461639AA" w14:textId="77777777" w:rsidR="00822801" w:rsidRPr="00822801" w:rsidRDefault="00822801" w:rsidP="000A69BD">
            <w:pPr>
              <w:pStyle w:val="ECCTabletext"/>
              <w:jc w:val="left"/>
            </w:pPr>
            <w:r w:rsidRPr="00C53FB5">
              <w:t>1</w:t>
            </w:r>
            <w:r w:rsidRPr="00822801">
              <w:t>14</w:t>
            </w:r>
            <w:r w:rsidR="00CF4994">
              <w:t>.2</w:t>
            </w:r>
            <w:r w:rsidRPr="00822801">
              <w:t>5 to 122</w:t>
            </w:r>
            <w:r w:rsidR="00CF4994">
              <w:t>.2</w:t>
            </w:r>
            <w:r w:rsidRPr="00822801">
              <w:t xml:space="preserve">5 GHz </w:t>
            </w:r>
          </w:p>
        </w:tc>
        <w:tc>
          <w:tcPr>
            <w:tcW w:w="1985" w:type="dxa"/>
          </w:tcPr>
          <w:p w14:paraId="5DAF11BD" w14:textId="77777777" w:rsidR="00822801" w:rsidRPr="00822801" w:rsidRDefault="00822801" w:rsidP="000A69BD">
            <w:pPr>
              <w:pStyle w:val="ECCTabletext"/>
              <w:jc w:val="left"/>
            </w:pPr>
            <w:r>
              <w:t>1</w:t>
            </w:r>
            <w:r w:rsidRPr="00822801">
              <w:t>16 GHz (In-band)</w:t>
            </w:r>
          </w:p>
        </w:tc>
        <w:tc>
          <w:tcPr>
            <w:tcW w:w="2409" w:type="dxa"/>
          </w:tcPr>
          <w:p w14:paraId="2048577A" w14:textId="77777777" w:rsidR="00822801" w:rsidRPr="00822801" w:rsidRDefault="00822801" w:rsidP="000A69BD">
            <w:pPr>
              <w:pStyle w:val="ECCTabletext"/>
              <w:jc w:val="left"/>
            </w:pPr>
            <w:r>
              <w:t>MWI</w:t>
            </w:r>
          </w:p>
        </w:tc>
        <w:tc>
          <w:tcPr>
            <w:tcW w:w="1696" w:type="dxa"/>
          </w:tcPr>
          <w:p w14:paraId="1250B8AB" w14:textId="77777777" w:rsidR="00822801" w:rsidRPr="00822801" w:rsidRDefault="00822801" w:rsidP="000A69BD">
            <w:pPr>
              <w:pStyle w:val="ECCTabletext"/>
              <w:jc w:val="left"/>
            </w:pPr>
            <w:r>
              <w:t>-81</w:t>
            </w:r>
            <w:r w:rsidR="00CF4994">
              <w:t>.5</w:t>
            </w:r>
            <w:r>
              <w:t> dB</w:t>
            </w:r>
          </w:p>
        </w:tc>
      </w:tr>
      <w:tr w:rsidR="00822801" w14:paraId="52C2D162" w14:textId="77777777" w:rsidTr="00822801">
        <w:tc>
          <w:tcPr>
            <w:tcW w:w="1793" w:type="dxa"/>
            <w:vMerge/>
          </w:tcPr>
          <w:p w14:paraId="68F685A0" w14:textId="77777777" w:rsidR="00822801" w:rsidRPr="00C53FB5" w:rsidRDefault="00822801" w:rsidP="00822801">
            <w:pPr>
              <w:pStyle w:val="ECCTabletext"/>
            </w:pPr>
          </w:p>
        </w:tc>
        <w:tc>
          <w:tcPr>
            <w:tcW w:w="1746" w:type="dxa"/>
            <w:vMerge/>
          </w:tcPr>
          <w:p w14:paraId="5471293C" w14:textId="77777777" w:rsidR="00822801" w:rsidRPr="00C53FB5" w:rsidRDefault="00822801" w:rsidP="00822801">
            <w:pPr>
              <w:pStyle w:val="ECCTabletext"/>
            </w:pPr>
          </w:p>
        </w:tc>
        <w:tc>
          <w:tcPr>
            <w:tcW w:w="1985" w:type="dxa"/>
          </w:tcPr>
          <w:p w14:paraId="1447C209" w14:textId="77777777" w:rsidR="00822801" w:rsidRPr="00822801" w:rsidRDefault="00822801" w:rsidP="000A69BD">
            <w:pPr>
              <w:pStyle w:val="ECCTabletext"/>
              <w:jc w:val="left"/>
            </w:pPr>
            <w:r>
              <w:t>114</w:t>
            </w:r>
            <w:r w:rsidR="00CF4994">
              <w:t>.2</w:t>
            </w:r>
            <w:r>
              <w:t>5 GHz</w:t>
            </w:r>
            <w:r w:rsidRPr="00822801">
              <w:t xml:space="preserve"> (OOB)</w:t>
            </w:r>
          </w:p>
        </w:tc>
        <w:tc>
          <w:tcPr>
            <w:tcW w:w="2409" w:type="dxa"/>
          </w:tcPr>
          <w:p w14:paraId="1FEB8194" w14:textId="77777777" w:rsidR="00822801" w:rsidRPr="00822801" w:rsidRDefault="00822801" w:rsidP="000A69BD">
            <w:pPr>
              <w:pStyle w:val="ECCTabletext"/>
              <w:jc w:val="left"/>
            </w:pPr>
            <w:r>
              <w:t>MW</w:t>
            </w:r>
            <w:r w:rsidRPr="00822801">
              <w:t>I</w:t>
            </w:r>
          </w:p>
        </w:tc>
        <w:tc>
          <w:tcPr>
            <w:tcW w:w="1696" w:type="dxa"/>
          </w:tcPr>
          <w:p w14:paraId="28D6C7FC" w14:textId="77777777" w:rsidR="00822801" w:rsidRPr="00822801" w:rsidRDefault="00822801" w:rsidP="000A69BD">
            <w:pPr>
              <w:pStyle w:val="ECCTabletext"/>
              <w:jc w:val="left"/>
            </w:pPr>
            <w:r>
              <w:t>-61</w:t>
            </w:r>
            <w:r w:rsidR="00CF4994">
              <w:t>.5</w:t>
            </w:r>
            <w:r>
              <w:t> dB</w:t>
            </w:r>
          </w:p>
        </w:tc>
      </w:tr>
      <w:tr w:rsidR="00822801" w14:paraId="2338BA7F" w14:textId="77777777" w:rsidTr="00822801">
        <w:tc>
          <w:tcPr>
            <w:tcW w:w="1793" w:type="dxa"/>
          </w:tcPr>
          <w:p w14:paraId="16E77758" w14:textId="77777777" w:rsidR="00822801" w:rsidRPr="00822801" w:rsidRDefault="00822801" w:rsidP="000A69BD">
            <w:pPr>
              <w:pStyle w:val="ECCTabletext"/>
              <w:jc w:val="left"/>
            </w:pPr>
            <w:r>
              <w:t>1</w:t>
            </w:r>
            <w:r w:rsidRPr="00822801">
              <w:t>34 to 141 GHz</w:t>
            </w:r>
          </w:p>
        </w:tc>
        <w:tc>
          <w:tcPr>
            <w:tcW w:w="1746" w:type="dxa"/>
          </w:tcPr>
          <w:p w14:paraId="48DA1D2C" w14:textId="77777777" w:rsidR="00822801" w:rsidRPr="00822801" w:rsidRDefault="00822801" w:rsidP="000A69BD">
            <w:pPr>
              <w:pStyle w:val="ECCTabletext"/>
              <w:jc w:val="left"/>
            </w:pPr>
            <w:r>
              <w:t>14</w:t>
            </w:r>
            <w:r w:rsidRPr="00822801">
              <w:t>8</w:t>
            </w:r>
            <w:r w:rsidR="00CF4994">
              <w:t>.5</w:t>
            </w:r>
            <w:r w:rsidRPr="00822801">
              <w:t xml:space="preserve"> to 151</w:t>
            </w:r>
            <w:r w:rsidR="00CF4994">
              <w:t>.5</w:t>
            </w:r>
            <w:r w:rsidRPr="00822801">
              <w:t> GHz</w:t>
            </w:r>
          </w:p>
        </w:tc>
        <w:tc>
          <w:tcPr>
            <w:tcW w:w="1985" w:type="dxa"/>
          </w:tcPr>
          <w:p w14:paraId="729DEF48" w14:textId="77777777" w:rsidR="00822801" w:rsidRPr="00822801" w:rsidRDefault="00822801" w:rsidP="000A69BD">
            <w:pPr>
              <w:pStyle w:val="ECCTabletext"/>
              <w:jc w:val="left"/>
            </w:pPr>
            <w:r>
              <w:t>1</w:t>
            </w:r>
            <w:r w:rsidRPr="00822801">
              <w:t>48</w:t>
            </w:r>
            <w:r w:rsidR="00CF4994">
              <w:t>.5</w:t>
            </w:r>
            <w:r w:rsidRPr="00822801">
              <w:t> GHz (OOB)</w:t>
            </w:r>
          </w:p>
        </w:tc>
        <w:tc>
          <w:tcPr>
            <w:tcW w:w="2409" w:type="dxa"/>
          </w:tcPr>
          <w:p w14:paraId="2FF1963E" w14:textId="4429B4B5" w:rsidR="00822801" w:rsidRPr="00822801" w:rsidRDefault="00822801" w:rsidP="000A69BD">
            <w:pPr>
              <w:pStyle w:val="ECCTabletext"/>
              <w:jc w:val="left"/>
            </w:pPr>
            <w:r>
              <w:t>Syst</w:t>
            </w:r>
            <w:r w:rsidR="009A18E2">
              <w:t>em</w:t>
            </w:r>
            <w:r>
              <w:t xml:space="preserve"> N1 (</w:t>
            </w:r>
            <w:r w:rsidR="009A18E2">
              <w:t>O</w:t>
            </w:r>
            <w:r>
              <w:t>uter)</w:t>
            </w:r>
          </w:p>
        </w:tc>
        <w:tc>
          <w:tcPr>
            <w:tcW w:w="1696" w:type="dxa"/>
          </w:tcPr>
          <w:p w14:paraId="621D9061" w14:textId="77777777" w:rsidR="00822801" w:rsidRPr="00822801" w:rsidRDefault="00822801" w:rsidP="000A69BD">
            <w:pPr>
              <w:pStyle w:val="ECCTabletext"/>
              <w:jc w:val="left"/>
            </w:pPr>
            <w:r>
              <w:t>-5</w:t>
            </w:r>
            <w:r w:rsidR="007B154D">
              <w:t>5</w:t>
            </w:r>
            <w:r w:rsidR="00CF4994">
              <w:t>.4</w:t>
            </w:r>
            <w:r>
              <w:t> dB</w:t>
            </w:r>
          </w:p>
        </w:tc>
      </w:tr>
      <w:tr w:rsidR="00822801" w14:paraId="2E8D7E62" w14:textId="77777777" w:rsidTr="00822801">
        <w:tc>
          <w:tcPr>
            <w:tcW w:w="1793" w:type="dxa"/>
          </w:tcPr>
          <w:p w14:paraId="52576B22" w14:textId="77777777" w:rsidR="00822801" w:rsidRPr="00822801" w:rsidRDefault="00822801" w:rsidP="000A69BD">
            <w:pPr>
              <w:pStyle w:val="ECCTabletext"/>
              <w:jc w:val="left"/>
            </w:pPr>
            <w:r>
              <w:t>141 to 148</w:t>
            </w:r>
            <w:r w:rsidR="00CF4994">
              <w:t>.5</w:t>
            </w:r>
            <w:r>
              <w:t> GHz</w:t>
            </w:r>
          </w:p>
        </w:tc>
        <w:tc>
          <w:tcPr>
            <w:tcW w:w="1746" w:type="dxa"/>
          </w:tcPr>
          <w:p w14:paraId="7EB5DEC0" w14:textId="77777777" w:rsidR="00822801" w:rsidRPr="00822801" w:rsidRDefault="00822801" w:rsidP="000A69BD">
            <w:pPr>
              <w:pStyle w:val="ECCTabletext"/>
              <w:jc w:val="left"/>
            </w:pPr>
            <w:r>
              <w:t>14</w:t>
            </w:r>
            <w:r w:rsidRPr="00822801">
              <w:t>8</w:t>
            </w:r>
            <w:r w:rsidR="00CF4994">
              <w:t>.5</w:t>
            </w:r>
            <w:r w:rsidRPr="00822801">
              <w:t xml:space="preserve"> to 151</w:t>
            </w:r>
            <w:r w:rsidR="00CF4994">
              <w:t>.5</w:t>
            </w:r>
            <w:r w:rsidRPr="00822801">
              <w:t> GHz</w:t>
            </w:r>
          </w:p>
        </w:tc>
        <w:tc>
          <w:tcPr>
            <w:tcW w:w="1985" w:type="dxa"/>
          </w:tcPr>
          <w:p w14:paraId="222F5F11" w14:textId="77777777" w:rsidR="00822801" w:rsidRPr="00822801" w:rsidRDefault="00822801" w:rsidP="000A69BD">
            <w:pPr>
              <w:pStyle w:val="ECCTabletext"/>
              <w:jc w:val="left"/>
            </w:pPr>
            <w:r>
              <w:t>1</w:t>
            </w:r>
            <w:r w:rsidRPr="00822801">
              <w:t>48</w:t>
            </w:r>
            <w:r w:rsidR="00CF4994">
              <w:t>.5</w:t>
            </w:r>
            <w:r w:rsidRPr="00822801">
              <w:t> GHz (OOB)</w:t>
            </w:r>
          </w:p>
        </w:tc>
        <w:tc>
          <w:tcPr>
            <w:tcW w:w="2409" w:type="dxa"/>
          </w:tcPr>
          <w:p w14:paraId="0E5ED7A3" w14:textId="00BA737C" w:rsidR="00822801" w:rsidRPr="00822801" w:rsidRDefault="00822801" w:rsidP="000A69BD">
            <w:pPr>
              <w:pStyle w:val="ECCTabletext"/>
              <w:jc w:val="left"/>
            </w:pPr>
            <w:r>
              <w:t>Syst</w:t>
            </w:r>
            <w:r w:rsidR="009A18E2">
              <w:t>em</w:t>
            </w:r>
            <w:r>
              <w:t xml:space="preserve"> N1 (</w:t>
            </w:r>
            <w:r w:rsidR="009A18E2">
              <w:t>O</w:t>
            </w:r>
            <w:r>
              <w:t>uter)</w:t>
            </w:r>
          </w:p>
        </w:tc>
        <w:tc>
          <w:tcPr>
            <w:tcW w:w="1696" w:type="dxa"/>
          </w:tcPr>
          <w:p w14:paraId="67832E20" w14:textId="77777777" w:rsidR="00822801" w:rsidRPr="00822801" w:rsidRDefault="00822801" w:rsidP="000A69BD">
            <w:pPr>
              <w:pStyle w:val="ECCTabletext"/>
              <w:jc w:val="left"/>
            </w:pPr>
            <w:r>
              <w:t>-5</w:t>
            </w:r>
            <w:r w:rsidR="007B154D">
              <w:t>5</w:t>
            </w:r>
            <w:r w:rsidR="00CF4994">
              <w:t>.4</w:t>
            </w:r>
            <w:r>
              <w:t> dB</w:t>
            </w:r>
          </w:p>
        </w:tc>
      </w:tr>
    </w:tbl>
    <w:bookmarkEnd w:id="723"/>
    <w:p w14:paraId="053639A4" w14:textId="6BFF198F" w:rsidR="009247E4" w:rsidRPr="0047486A" w:rsidRDefault="009247E4" w:rsidP="009247E4">
      <w:r w:rsidRPr="0047486A">
        <w:t>In addition, calculations performed with the peak e.i.r.p. of 40 dBm and 26 dBm are still depicting large negative margins</w:t>
      </w:r>
      <w:r w:rsidR="009A18E2">
        <w:t>:</w:t>
      </w:r>
    </w:p>
    <w:p w14:paraId="0C4DF95C" w14:textId="587C6C92" w:rsidR="009247E4" w:rsidRPr="0047486A" w:rsidRDefault="009247E4" w:rsidP="009247E4">
      <w:pPr>
        <w:pStyle w:val="ECCBulletsLv1"/>
      </w:pPr>
      <w:r w:rsidRPr="0047486A">
        <w:t xml:space="preserve">For </w:t>
      </w:r>
      <w:r>
        <w:t xml:space="preserve">the </w:t>
      </w:r>
      <w:r w:rsidRPr="0047486A">
        <w:t>40</w:t>
      </w:r>
      <w:r>
        <w:t> </w:t>
      </w:r>
      <w:r w:rsidRPr="0047486A">
        <w:t xml:space="preserve">dBm </w:t>
      </w:r>
      <w:r w:rsidR="0047486A">
        <w:t xml:space="preserve">peak e.i.r.p. </w:t>
      </w:r>
      <w:r w:rsidRPr="0047486A">
        <w:t>scenario</w:t>
      </w:r>
      <w:r w:rsidR="0047486A">
        <w:t>:</w:t>
      </w:r>
      <w:r w:rsidRPr="0047486A">
        <w:t xml:space="preserve"> </w:t>
      </w:r>
      <w:r w:rsidR="0047486A">
        <w:t>-</w:t>
      </w:r>
      <w:r w:rsidRPr="0047486A">
        <w:t xml:space="preserve">54.7 to </w:t>
      </w:r>
      <w:r w:rsidR="0047486A">
        <w:t>-</w:t>
      </w:r>
      <w:r w:rsidRPr="0047486A">
        <w:t>78.7</w:t>
      </w:r>
      <w:r>
        <w:t> </w:t>
      </w:r>
      <w:r w:rsidRPr="0047486A">
        <w:t xml:space="preserve">dB (in-band) and </w:t>
      </w:r>
      <w:r w:rsidR="0047486A">
        <w:t>-</w:t>
      </w:r>
      <w:r w:rsidRPr="0047486A">
        <w:t xml:space="preserve">34.7 to </w:t>
      </w:r>
      <w:r w:rsidR="0047486A">
        <w:t>-</w:t>
      </w:r>
      <w:r w:rsidRPr="0047486A">
        <w:t>58.7</w:t>
      </w:r>
      <w:r w:rsidR="00F37D72">
        <w:t> </w:t>
      </w:r>
      <w:r w:rsidRPr="0047486A">
        <w:t>dB (adjacent</w:t>
      </w:r>
      <w:r w:rsidR="000B35CE">
        <w:t>-</w:t>
      </w:r>
      <w:r w:rsidRPr="0047486A">
        <w:t>band)</w:t>
      </w:r>
      <w:r w:rsidR="009A18E2">
        <w:t>;</w:t>
      </w:r>
    </w:p>
    <w:p w14:paraId="2663FB6A" w14:textId="77777777" w:rsidR="009247E4" w:rsidRPr="0047486A" w:rsidRDefault="009247E4" w:rsidP="0047486A">
      <w:pPr>
        <w:pStyle w:val="ECCBulletsLv1"/>
      </w:pPr>
      <w:r w:rsidRPr="0047486A">
        <w:t>For 26</w:t>
      </w:r>
      <w:r w:rsidR="00F37D72">
        <w:t> </w:t>
      </w:r>
      <w:r w:rsidRPr="0047486A">
        <w:t xml:space="preserve">dBm </w:t>
      </w:r>
      <w:r w:rsidR="0047486A">
        <w:t xml:space="preserve">peak e.i.r.p. </w:t>
      </w:r>
      <w:r w:rsidRPr="0047486A">
        <w:t>scenario</w:t>
      </w:r>
      <w:r w:rsidR="0047486A">
        <w:t>:</w:t>
      </w:r>
      <w:r w:rsidRPr="0047486A">
        <w:t xml:space="preserve"> </w:t>
      </w:r>
      <w:r w:rsidR="0047486A">
        <w:t>-</w:t>
      </w:r>
      <w:r w:rsidRPr="0047486A">
        <w:t xml:space="preserve">40.7 to </w:t>
      </w:r>
      <w:r w:rsidR="0047486A">
        <w:t>-</w:t>
      </w:r>
      <w:r w:rsidRPr="0047486A">
        <w:t>64.7</w:t>
      </w:r>
      <w:r w:rsidR="00F37D72">
        <w:t> </w:t>
      </w:r>
      <w:r w:rsidRPr="0047486A">
        <w:t xml:space="preserve">dB (in-band) and </w:t>
      </w:r>
      <w:r w:rsidR="0047486A">
        <w:t>-</w:t>
      </w:r>
      <w:r w:rsidRPr="0047486A">
        <w:t xml:space="preserve">20.7 to </w:t>
      </w:r>
      <w:r w:rsidR="0047486A">
        <w:t>-</w:t>
      </w:r>
      <w:r w:rsidRPr="0047486A">
        <w:t>44.7</w:t>
      </w:r>
      <w:r w:rsidR="000B35CE">
        <w:t> </w:t>
      </w:r>
      <w:r w:rsidRPr="0047486A">
        <w:t>dB (adjacent</w:t>
      </w:r>
      <w:r w:rsidR="000B35CE">
        <w:t>-</w:t>
      </w:r>
      <w:r w:rsidRPr="0047486A">
        <w:t>band).</w:t>
      </w:r>
    </w:p>
    <w:p w14:paraId="64B0E5CD" w14:textId="5F79B461"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_Ref67393182 \r \h </w:instrText>
      </w:r>
      <w:r>
        <w:fldChar w:fldCharType="separate"/>
      </w:r>
      <w:r w:rsidR="004F49F9">
        <w:t>8.3.4</w:t>
      </w:r>
      <w:r>
        <w:fldChar w:fldCharType="end"/>
      </w:r>
      <w:r>
        <w:t>.</w:t>
      </w:r>
    </w:p>
    <w:p w14:paraId="716CD092" w14:textId="77777777" w:rsidR="001C46A1" w:rsidRDefault="001C46A1" w:rsidP="001C46A1">
      <w:pPr>
        <w:pStyle w:val="Heading2"/>
      </w:pPr>
      <w:bookmarkStart w:id="730" w:name="_Toc84325411"/>
      <w:bookmarkStart w:id="731" w:name="_Toc127346333"/>
      <w:bookmarkEnd w:id="724"/>
      <w:r w:rsidRPr="004F758F">
        <w:t>Ground Based Synthetic Aperture Radar (GBSAR)</w:t>
      </w:r>
      <w:bookmarkEnd w:id="730"/>
      <w:bookmarkEnd w:id="731"/>
    </w:p>
    <w:p w14:paraId="768A6ED7" w14:textId="77777777" w:rsidR="00604D64" w:rsidRDefault="00604D64" w:rsidP="00604D64">
      <w:pPr>
        <w:pStyle w:val="Heading3"/>
      </w:pPr>
      <w:bookmarkStart w:id="732" w:name="_Ref67390539"/>
      <w:bookmarkStart w:id="733" w:name="_Toc84325412"/>
      <w:bookmarkStart w:id="734" w:name="_Toc127346334"/>
      <w:r>
        <w:t>Technical parameters of GBSAR</w:t>
      </w:r>
      <w:bookmarkEnd w:id="732"/>
      <w:bookmarkEnd w:id="733"/>
      <w:bookmarkEnd w:id="734"/>
    </w:p>
    <w:p w14:paraId="37CB2D69" w14:textId="7354939F" w:rsidR="00B73819" w:rsidRPr="00B73819" w:rsidRDefault="00B73819" w:rsidP="00B73819">
      <w:r w:rsidRPr="00B73819">
        <w:t xml:space="preserve">For GBSAR only one frequency band have been defined (see </w:t>
      </w:r>
      <w:r w:rsidR="009D5FA2">
        <w:t>section</w:t>
      </w:r>
      <w:r w:rsidRPr="00B73819">
        <w:t xml:space="preserve"> </w:t>
      </w:r>
      <w:r w:rsidRPr="00B73819">
        <w:rPr>
          <w:highlight w:val="yellow"/>
        </w:rPr>
        <w:fldChar w:fldCharType="begin"/>
      </w:r>
      <w:r w:rsidRPr="00B73819">
        <w:instrText xml:space="preserve"> REF _Ref66361588 \r \h </w:instrText>
      </w:r>
      <w:r>
        <w:rPr>
          <w:highlight w:val="yellow"/>
        </w:rPr>
        <w:instrText xml:space="preserve"> \* MERGEFORMAT </w:instrText>
      </w:r>
      <w:r w:rsidRPr="00B73819">
        <w:rPr>
          <w:highlight w:val="yellow"/>
        </w:rPr>
      </w:r>
      <w:r w:rsidRPr="00B73819">
        <w:rPr>
          <w:highlight w:val="yellow"/>
        </w:rPr>
        <w:fldChar w:fldCharType="separate"/>
      </w:r>
      <w:r w:rsidR="004F49F9">
        <w:t>2.2.4.2</w:t>
      </w:r>
      <w:r w:rsidRPr="00B73819">
        <w:rPr>
          <w:highlight w:val="yellow"/>
        </w:rPr>
        <w:fldChar w:fldCharType="end"/>
      </w:r>
      <w:r w:rsidRPr="00B73819">
        <w:t xml:space="preserve">). Due to the fact that in this defined frequency bands no allocation to EESS is affected, the out-of-band compatibility has been investigated by a single-entry and an aggregate study (please compare the figures in </w:t>
      </w:r>
      <w:r w:rsidR="009D5FA2">
        <w:t>section</w:t>
      </w:r>
      <w:r w:rsidR="00F77BA0">
        <w:t xml:space="preserve"> </w:t>
      </w:r>
      <w:r w:rsidR="00F77BA0" w:rsidRPr="00B73819">
        <w:rPr>
          <w:highlight w:val="yellow"/>
        </w:rPr>
        <w:fldChar w:fldCharType="begin"/>
      </w:r>
      <w:r w:rsidR="00F77BA0" w:rsidRPr="00B73819">
        <w:instrText xml:space="preserve"> REF _Ref66361706 \r \h </w:instrText>
      </w:r>
      <w:r w:rsidR="00F77BA0">
        <w:rPr>
          <w:highlight w:val="yellow"/>
        </w:rPr>
        <w:instrText xml:space="preserve"> \* MERGEFORMAT </w:instrText>
      </w:r>
      <w:r w:rsidR="00F77BA0" w:rsidRPr="00B73819">
        <w:rPr>
          <w:highlight w:val="yellow"/>
        </w:rPr>
      </w:r>
      <w:r w:rsidR="00F77BA0" w:rsidRPr="00B73819">
        <w:rPr>
          <w:highlight w:val="yellow"/>
        </w:rPr>
        <w:fldChar w:fldCharType="separate"/>
      </w:r>
      <w:r w:rsidR="004F49F9">
        <w:t>3.3</w:t>
      </w:r>
      <w:r w:rsidR="00F77BA0" w:rsidRPr="00B73819">
        <w:rPr>
          <w:highlight w:val="yellow"/>
        </w:rPr>
        <w:fldChar w:fldCharType="end"/>
      </w:r>
      <w:r w:rsidRPr="00B73819">
        <w:t>). In these studies the individual residual margin (</w:t>
      </w:r>
      <w:r w:rsidR="009D5FA2">
        <w:t>section</w:t>
      </w:r>
      <w:r w:rsidR="00F77BA0">
        <w:t xml:space="preserve"> </w:t>
      </w:r>
      <w:r w:rsidR="00F77BA0" w:rsidRPr="00B73819">
        <w:rPr>
          <w:highlight w:val="yellow"/>
        </w:rPr>
        <w:fldChar w:fldCharType="begin"/>
      </w:r>
      <w:r w:rsidR="00F77BA0" w:rsidRPr="00B73819">
        <w:instrText xml:space="preserve"> REF _Ref66361724 \r \h </w:instrText>
      </w:r>
      <w:r w:rsidR="00F77BA0">
        <w:rPr>
          <w:highlight w:val="yellow"/>
        </w:rPr>
        <w:instrText xml:space="preserve"> \* MERGEFORMAT </w:instrText>
      </w:r>
      <w:r w:rsidR="00F77BA0" w:rsidRPr="00B73819">
        <w:rPr>
          <w:highlight w:val="yellow"/>
        </w:rPr>
      </w:r>
      <w:r w:rsidR="00F77BA0" w:rsidRPr="00B73819">
        <w:rPr>
          <w:highlight w:val="yellow"/>
        </w:rPr>
        <w:fldChar w:fldCharType="separate"/>
      </w:r>
      <w:r w:rsidR="004F49F9">
        <w:t>3.4.4</w:t>
      </w:r>
      <w:r w:rsidR="00F77BA0" w:rsidRPr="00B73819">
        <w:rPr>
          <w:highlight w:val="yellow"/>
        </w:rPr>
        <w:fldChar w:fldCharType="end"/>
      </w:r>
      <w:r w:rsidRPr="00B73819">
        <w:t>) to the interference criterion is determined by means of the technical parameters, the antenna data (</w:t>
      </w:r>
      <w:r w:rsidR="009D5FA2">
        <w:t>section</w:t>
      </w:r>
      <w:r w:rsidRPr="00B73819">
        <w:t xml:space="preserve"> </w:t>
      </w:r>
      <w:r w:rsidRPr="00B73819">
        <w:rPr>
          <w:highlight w:val="yellow"/>
        </w:rPr>
        <w:fldChar w:fldCharType="begin"/>
      </w:r>
      <w:r w:rsidRPr="00B73819">
        <w:instrText xml:space="preserve"> REF _Ref49776445 \r \h </w:instrText>
      </w:r>
      <w:r>
        <w:rPr>
          <w:highlight w:val="yellow"/>
        </w:rPr>
        <w:instrText xml:space="preserve"> \* MERGEFORMAT </w:instrText>
      </w:r>
      <w:r w:rsidRPr="00B73819">
        <w:rPr>
          <w:highlight w:val="yellow"/>
        </w:rPr>
      </w:r>
      <w:r w:rsidRPr="00B73819">
        <w:rPr>
          <w:highlight w:val="yellow"/>
        </w:rPr>
        <w:fldChar w:fldCharType="separate"/>
      </w:r>
      <w:r w:rsidR="004F49F9">
        <w:t>2.2.4.3</w:t>
      </w:r>
      <w:r w:rsidRPr="00B73819">
        <w:rPr>
          <w:highlight w:val="yellow"/>
        </w:rPr>
        <w:fldChar w:fldCharType="end"/>
      </w:r>
      <w:r w:rsidRPr="00B73819">
        <w:t>), the defined interference scenarios (</w:t>
      </w:r>
      <w:r w:rsidR="009D5FA2">
        <w:t>section</w:t>
      </w:r>
      <w:r w:rsidRPr="00B73819">
        <w:t xml:space="preserve"> </w:t>
      </w:r>
      <w:r w:rsidRPr="00B73819">
        <w:rPr>
          <w:highlight w:val="yellow"/>
        </w:rPr>
        <w:fldChar w:fldCharType="begin"/>
      </w:r>
      <w:r w:rsidRPr="00B73819">
        <w:instrText xml:space="preserve"> REF _Ref66361808 \r \h </w:instrText>
      </w:r>
      <w:r>
        <w:rPr>
          <w:highlight w:val="yellow"/>
        </w:rPr>
        <w:instrText xml:space="preserve"> \* MERGEFORMAT </w:instrText>
      </w:r>
      <w:r w:rsidRPr="00B73819">
        <w:rPr>
          <w:highlight w:val="yellow"/>
        </w:rPr>
      </w:r>
      <w:r w:rsidRPr="00B73819">
        <w:rPr>
          <w:highlight w:val="yellow"/>
        </w:rPr>
        <w:fldChar w:fldCharType="separate"/>
      </w:r>
      <w:r w:rsidR="004F49F9">
        <w:t>2.2.4.5</w:t>
      </w:r>
      <w:r w:rsidRPr="00B73819">
        <w:rPr>
          <w:highlight w:val="yellow"/>
        </w:rPr>
        <w:fldChar w:fldCharType="end"/>
      </w:r>
      <w:r w:rsidRPr="00B73819">
        <w:t>) and the protection requirements for EESS (</w:t>
      </w:r>
      <w:r w:rsidR="009D5FA2">
        <w:t>section</w:t>
      </w:r>
      <w:r w:rsidR="00F77BA0">
        <w:t xml:space="preserve"> </w:t>
      </w:r>
      <w:r w:rsidR="00F77BA0" w:rsidRPr="00B73819">
        <w:rPr>
          <w:highlight w:val="yellow"/>
        </w:rPr>
        <w:fldChar w:fldCharType="begin"/>
      </w:r>
      <w:r w:rsidR="00F77BA0" w:rsidRPr="00B73819">
        <w:instrText xml:space="preserve"> REF _Ref66361876 \r \h </w:instrText>
      </w:r>
      <w:r w:rsidR="00F77BA0">
        <w:rPr>
          <w:highlight w:val="yellow"/>
        </w:rPr>
        <w:instrText xml:space="preserve"> \* MERGEFORMAT </w:instrText>
      </w:r>
      <w:r w:rsidR="00F77BA0" w:rsidRPr="00B73819">
        <w:rPr>
          <w:highlight w:val="yellow"/>
        </w:rPr>
      </w:r>
      <w:r w:rsidR="00F77BA0" w:rsidRPr="00B73819">
        <w:rPr>
          <w:highlight w:val="yellow"/>
        </w:rPr>
        <w:fldChar w:fldCharType="separate"/>
      </w:r>
      <w:r w:rsidR="004F49F9">
        <w:t>3.5.4</w:t>
      </w:r>
      <w:r w:rsidR="00F77BA0" w:rsidRPr="00B73819">
        <w:rPr>
          <w:highlight w:val="yellow"/>
        </w:rPr>
        <w:fldChar w:fldCharType="end"/>
      </w:r>
      <w:r w:rsidRPr="00B73819">
        <w:t xml:space="preserve">). The exact calculations can be found in an Excel-spreadsheet which is attached to this </w:t>
      </w:r>
      <w:hyperlink r:id="rId167" w:history="1">
        <w:r w:rsidR="006B1E55">
          <w:rPr>
            <w:rStyle w:val="Hyperlink"/>
          </w:rPr>
          <w:t>Report</w:t>
        </w:r>
      </w:hyperlink>
      <w:r w:rsidRPr="00B73819">
        <w:t>.</w:t>
      </w:r>
    </w:p>
    <w:p w14:paraId="0899E000" w14:textId="627B6BCA" w:rsidR="00B73819" w:rsidRPr="00B73819" w:rsidRDefault="00B73819" w:rsidP="00B73819">
      <w:r w:rsidRPr="00B73819">
        <w:t>The following technical parameters of the GBSAR application (</w:t>
      </w:r>
      <w:r w:rsidR="009D5FA2">
        <w:t>section</w:t>
      </w:r>
      <w:r w:rsidRPr="00B73819">
        <w:t xml:space="preserve"> </w:t>
      </w:r>
      <w:r w:rsidRPr="00B73819">
        <w:rPr>
          <w:highlight w:val="yellow"/>
        </w:rPr>
        <w:fldChar w:fldCharType="begin"/>
      </w:r>
      <w:r w:rsidRPr="00B73819">
        <w:instrText xml:space="preserve"> REF _Ref49776445 \r \h </w:instrText>
      </w:r>
      <w:r>
        <w:rPr>
          <w:highlight w:val="yellow"/>
        </w:rPr>
        <w:instrText xml:space="preserve"> \* MERGEFORMAT </w:instrText>
      </w:r>
      <w:r w:rsidRPr="00B73819">
        <w:rPr>
          <w:highlight w:val="yellow"/>
        </w:rPr>
      </w:r>
      <w:r w:rsidRPr="00B73819">
        <w:rPr>
          <w:highlight w:val="yellow"/>
        </w:rPr>
        <w:fldChar w:fldCharType="separate"/>
      </w:r>
      <w:r w:rsidR="004F49F9">
        <w:t>2.2.4.3</w:t>
      </w:r>
      <w:r w:rsidRPr="00B73819">
        <w:rPr>
          <w:highlight w:val="yellow"/>
        </w:rPr>
        <w:fldChar w:fldCharType="end"/>
      </w:r>
      <w:r w:rsidRPr="00B73819">
        <w:t>) have been used in the studies.</w:t>
      </w:r>
    </w:p>
    <w:p w14:paraId="12332516" w14:textId="3C344FCD" w:rsidR="00B73819" w:rsidRPr="00B73819" w:rsidRDefault="00F77BA0" w:rsidP="008D0086">
      <w:pPr>
        <w:pStyle w:val="Caption"/>
        <w:rPr>
          <w:rStyle w:val="ECCParagraph"/>
        </w:rPr>
      </w:pPr>
      <w:r w:rsidRPr="00477961">
        <w:t>Table </w:t>
      </w:r>
      <w:r>
        <w:fldChar w:fldCharType="begin"/>
      </w:r>
      <w:r>
        <w:instrText>SEQ Table \* ARABIC</w:instrText>
      </w:r>
      <w:r>
        <w:fldChar w:fldCharType="separate"/>
      </w:r>
      <w:r w:rsidR="004F49F9">
        <w:rPr>
          <w:noProof/>
        </w:rPr>
        <w:t>92</w:t>
      </w:r>
      <w:r>
        <w:fldChar w:fldCharType="end"/>
      </w:r>
      <w:r w:rsidR="00B73819" w:rsidRPr="00B73819">
        <w:t>: Technical parameters of GBSAR used for the conducted study</w:t>
      </w:r>
    </w:p>
    <w:tbl>
      <w:tblPr>
        <w:tblStyle w:val="ECCTable-redheader"/>
        <w:tblW w:w="0" w:type="auto"/>
        <w:tblInd w:w="0" w:type="dxa"/>
        <w:tblLook w:val="04A0" w:firstRow="1" w:lastRow="0" w:firstColumn="1" w:lastColumn="0" w:noHBand="0" w:noVBand="1"/>
      </w:tblPr>
      <w:tblGrid>
        <w:gridCol w:w="1662"/>
        <w:gridCol w:w="1294"/>
        <w:gridCol w:w="964"/>
        <w:gridCol w:w="1887"/>
        <w:gridCol w:w="906"/>
        <w:gridCol w:w="1784"/>
      </w:tblGrid>
      <w:tr w:rsidR="00874785" w:rsidRPr="00566944" w14:paraId="4CD3798C" w14:textId="77777777" w:rsidTr="00ED25AF">
        <w:trPr>
          <w:cnfStyle w:val="100000000000" w:firstRow="1" w:lastRow="0" w:firstColumn="0" w:lastColumn="0" w:oddVBand="0" w:evenVBand="0" w:oddHBand="0" w:evenHBand="0" w:firstRowFirstColumn="0" w:firstRowLastColumn="0" w:lastRowFirstColumn="0" w:lastRowLastColumn="0"/>
        </w:trPr>
        <w:tc>
          <w:tcPr>
            <w:tcW w:w="1662" w:type="dxa"/>
          </w:tcPr>
          <w:p w14:paraId="4F22829A" w14:textId="77777777" w:rsidR="00874785" w:rsidRPr="00874785" w:rsidRDefault="00874785" w:rsidP="00876039">
            <w:pPr>
              <w:pStyle w:val="ECCTableHeaderwhitefont"/>
            </w:pPr>
            <w:r w:rsidRPr="00874785">
              <w:t>Investigated frequency range</w:t>
            </w:r>
          </w:p>
        </w:tc>
        <w:tc>
          <w:tcPr>
            <w:tcW w:w="1294" w:type="dxa"/>
          </w:tcPr>
          <w:p w14:paraId="79F91DF7" w14:textId="77777777" w:rsidR="00874785" w:rsidRPr="00874785" w:rsidRDefault="00874785" w:rsidP="000A69BD">
            <w:pPr>
              <w:pStyle w:val="ECCTableHeaderwhitefont"/>
            </w:pPr>
            <w:r w:rsidRPr="00874785">
              <w:t>Assumed modulation bandwidth</w:t>
            </w:r>
          </w:p>
        </w:tc>
        <w:tc>
          <w:tcPr>
            <w:tcW w:w="964" w:type="dxa"/>
          </w:tcPr>
          <w:p w14:paraId="64FF8CA2" w14:textId="77777777" w:rsidR="00874785" w:rsidRPr="00874785" w:rsidRDefault="00874785" w:rsidP="000A69BD">
            <w:pPr>
              <w:pStyle w:val="ECCTableHeaderwhitefont"/>
            </w:pPr>
            <w:r w:rsidRPr="00874785">
              <w:t>Duty cycle</w:t>
            </w:r>
          </w:p>
        </w:tc>
        <w:tc>
          <w:tcPr>
            <w:tcW w:w="1887" w:type="dxa"/>
          </w:tcPr>
          <w:p w14:paraId="3AC2FF17" w14:textId="77777777" w:rsidR="00874785" w:rsidRPr="00874785" w:rsidRDefault="00874785" w:rsidP="000A69BD">
            <w:pPr>
              <w:pStyle w:val="ECCTableHeaderwhitefont"/>
            </w:pPr>
            <w:r w:rsidRPr="00874785">
              <w:t>Mean e.i.r.p. spectral density</w:t>
            </w:r>
          </w:p>
        </w:tc>
        <w:tc>
          <w:tcPr>
            <w:tcW w:w="747" w:type="dxa"/>
          </w:tcPr>
          <w:p w14:paraId="65C0DFD5" w14:textId="77777777" w:rsidR="00874785" w:rsidRPr="00874785" w:rsidRDefault="00874785" w:rsidP="000A69BD">
            <w:pPr>
              <w:pStyle w:val="ECCTableHeaderwhitefont"/>
            </w:pPr>
            <w:r w:rsidRPr="00874785">
              <w:t>Peak e.i.r.p.</w:t>
            </w:r>
          </w:p>
        </w:tc>
        <w:tc>
          <w:tcPr>
            <w:tcW w:w="1784" w:type="dxa"/>
          </w:tcPr>
          <w:p w14:paraId="3357DD59" w14:textId="77777777" w:rsidR="00874785" w:rsidRPr="00874785" w:rsidRDefault="00874785" w:rsidP="000A69BD">
            <w:pPr>
              <w:pStyle w:val="ECCTableHeaderwhitefont"/>
            </w:pPr>
            <w:r w:rsidRPr="00874785">
              <w:t xml:space="preserve">OOB mean </w:t>
            </w:r>
            <w:r w:rsidR="00ED25AF" w:rsidRPr="00ED25AF">
              <w:t>e.i.r.p.</w:t>
            </w:r>
            <w:r w:rsidRPr="00874785">
              <w:t xml:space="preserve"> spectral density</w:t>
            </w:r>
          </w:p>
        </w:tc>
      </w:tr>
      <w:tr w:rsidR="00FA0A1D" w:rsidRPr="00C53FB5" w14:paraId="02FEF281" w14:textId="77777777" w:rsidTr="00ED25AF">
        <w:tc>
          <w:tcPr>
            <w:tcW w:w="1662" w:type="dxa"/>
          </w:tcPr>
          <w:p w14:paraId="67EABE02" w14:textId="77777777" w:rsidR="00FA0A1D" w:rsidRPr="00B73819" w:rsidRDefault="00FA0A1D" w:rsidP="000A69BD">
            <w:pPr>
              <w:pStyle w:val="ECCTabletext"/>
              <w:jc w:val="left"/>
            </w:pPr>
            <w:r w:rsidRPr="00C53FB5">
              <w:t>1</w:t>
            </w:r>
            <w:r w:rsidRPr="00B73819">
              <w:t>34 to 141 GHz</w:t>
            </w:r>
          </w:p>
        </w:tc>
        <w:tc>
          <w:tcPr>
            <w:tcW w:w="1294" w:type="dxa"/>
          </w:tcPr>
          <w:p w14:paraId="33883DE0" w14:textId="77777777" w:rsidR="00FA0A1D" w:rsidRPr="00B73819" w:rsidRDefault="00FA0A1D" w:rsidP="000A69BD">
            <w:pPr>
              <w:pStyle w:val="ECCTabletext"/>
              <w:jc w:val="left"/>
            </w:pPr>
            <w:r>
              <w:t>7</w:t>
            </w:r>
            <w:r w:rsidRPr="00B73819">
              <w:t> GHz</w:t>
            </w:r>
          </w:p>
        </w:tc>
        <w:tc>
          <w:tcPr>
            <w:tcW w:w="964" w:type="dxa"/>
          </w:tcPr>
          <w:p w14:paraId="0CBA8A7A" w14:textId="3D20C3EB" w:rsidR="00FA0A1D" w:rsidRPr="00B73819" w:rsidRDefault="00FA0A1D" w:rsidP="000A69BD">
            <w:pPr>
              <w:pStyle w:val="ECCTabletext"/>
              <w:jc w:val="left"/>
            </w:pPr>
            <w:r>
              <w:t>100</w:t>
            </w:r>
            <w:r w:rsidR="00F800A2">
              <w:t>%</w:t>
            </w:r>
          </w:p>
        </w:tc>
        <w:tc>
          <w:tcPr>
            <w:tcW w:w="1887" w:type="dxa"/>
          </w:tcPr>
          <w:p w14:paraId="6B5F2476" w14:textId="77777777" w:rsidR="00FA0A1D" w:rsidRPr="00B73819" w:rsidRDefault="00FA0A1D" w:rsidP="000A69BD">
            <w:pPr>
              <w:pStyle w:val="ECCTabletext"/>
              <w:jc w:val="left"/>
            </w:pPr>
            <w:r>
              <w:t>9</w:t>
            </w:r>
            <w:r w:rsidR="00CF4994">
              <w:t>.5</w:t>
            </w:r>
            <w:r>
              <w:t>5</w:t>
            </w:r>
            <w:r w:rsidRPr="00B73819">
              <w:t> dBm/MHz</w:t>
            </w:r>
          </w:p>
        </w:tc>
        <w:tc>
          <w:tcPr>
            <w:tcW w:w="747" w:type="dxa"/>
          </w:tcPr>
          <w:p w14:paraId="3C06C146" w14:textId="77777777" w:rsidR="00FA0A1D" w:rsidRPr="00B73819" w:rsidRDefault="00FA0A1D" w:rsidP="000A69BD">
            <w:pPr>
              <w:pStyle w:val="ECCTabletext"/>
              <w:jc w:val="left"/>
            </w:pPr>
            <w:r>
              <w:t>48</w:t>
            </w:r>
            <w:r w:rsidRPr="00B73819">
              <w:t> dBm</w:t>
            </w:r>
          </w:p>
        </w:tc>
        <w:tc>
          <w:tcPr>
            <w:tcW w:w="1784" w:type="dxa"/>
          </w:tcPr>
          <w:p w14:paraId="6A315E63" w14:textId="77777777" w:rsidR="00FA0A1D" w:rsidRDefault="00FA0A1D" w:rsidP="000A69BD">
            <w:pPr>
              <w:pStyle w:val="ECCTabletext"/>
              <w:jc w:val="left"/>
            </w:pPr>
            <w:r>
              <w:t>-21</w:t>
            </w:r>
            <w:r w:rsidR="00CF4994">
              <w:t>.8</w:t>
            </w:r>
            <w:r>
              <w:t> dBm/MHz</w:t>
            </w:r>
          </w:p>
        </w:tc>
      </w:tr>
    </w:tbl>
    <w:p w14:paraId="09A9FFFB" w14:textId="77777777" w:rsidR="00604D64" w:rsidRDefault="00604D64" w:rsidP="00604D64">
      <w:pPr>
        <w:pStyle w:val="Heading3"/>
      </w:pPr>
      <w:bookmarkStart w:id="735" w:name="_Ref67390489"/>
      <w:bookmarkStart w:id="736" w:name="_Toc84325413"/>
      <w:bookmarkStart w:id="737" w:name="_Toc127346335"/>
      <w:r>
        <w:t>Results</w:t>
      </w:r>
      <w:bookmarkEnd w:id="735"/>
      <w:bookmarkEnd w:id="736"/>
      <w:bookmarkEnd w:id="737"/>
    </w:p>
    <w:p w14:paraId="59CDEDBE" w14:textId="38BE40BC" w:rsidR="003B49A1" w:rsidRPr="001C46A1" w:rsidRDefault="000B4DEF" w:rsidP="003B49A1">
      <w:r>
        <w:fldChar w:fldCharType="begin"/>
      </w:r>
      <w:r>
        <w:instrText xml:space="preserve"> REF _Ref67226449 \h </w:instrText>
      </w:r>
      <w:r>
        <w:fldChar w:fldCharType="separate"/>
      </w:r>
      <w:r w:rsidR="0041125F" w:rsidRPr="00477961">
        <w:t>Table </w:t>
      </w:r>
      <w:r w:rsidR="0041125F">
        <w:rPr>
          <w:noProof/>
        </w:rPr>
        <w:t>93</w:t>
      </w:r>
      <w:r>
        <w:fldChar w:fldCharType="end"/>
      </w:r>
      <w:r>
        <w:t xml:space="preserve"> </w:t>
      </w:r>
      <w:r w:rsidR="003B49A1" w:rsidRPr="001C46A1">
        <w:t xml:space="preserve">shows the single-entry and </w:t>
      </w:r>
      <w:r>
        <w:fldChar w:fldCharType="begin"/>
      </w:r>
      <w:r>
        <w:instrText xml:space="preserve"> REF _Ref67226457 \h </w:instrText>
      </w:r>
      <w:r>
        <w:fldChar w:fldCharType="separate"/>
      </w:r>
      <w:r w:rsidR="0041125F" w:rsidRPr="00477961">
        <w:t>Table </w:t>
      </w:r>
      <w:r w:rsidR="0041125F">
        <w:rPr>
          <w:noProof/>
        </w:rPr>
        <w:t>94</w:t>
      </w:r>
      <w:r>
        <w:fldChar w:fldCharType="end"/>
      </w:r>
      <w:r>
        <w:t xml:space="preserve"> </w:t>
      </w:r>
      <w:r w:rsidR="003B49A1" w:rsidRPr="001C46A1">
        <w:t>the aggregate wo</w:t>
      </w:r>
      <w:r w:rsidR="003B49A1">
        <w:t>r</w:t>
      </w:r>
      <w:r w:rsidR="003B49A1" w:rsidRPr="001C46A1">
        <w:t xml:space="preserve">st-case results for </w:t>
      </w:r>
      <w:r w:rsidR="00031DBD">
        <w:t>GBSAR</w:t>
      </w:r>
      <w:r w:rsidR="003B49A1" w:rsidRPr="001C46A1">
        <w:t>, e.g. the residual margins for the individual frequency ranges, and EESS victim sensors. A positive margin indicates that the interference criterion is fulfilled and a negative margin that the criterion is violated.</w:t>
      </w:r>
    </w:p>
    <w:p w14:paraId="4C266D47" w14:textId="63E0DF15" w:rsidR="003B49A1" w:rsidRDefault="00F77BA0" w:rsidP="003B49A1">
      <w:pPr>
        <w:pStyle w:val="Caption"/>
      </w:pPr>
      <w:bookmarkStart w:id="738" w:name="_Ref67226449"/>
      <w:r w:rsidRPr="00477961">
        <w:t>Table </w:t>
      </w:r>
      <w:r>
        <w:fldChar w:fldCharType="begin"/>
      </w:r>
      <w:r>
        <w:instrText>SEQ Table \* ARABIC</w:instrText>
      </w:r>
      <w:r>
        <w:fldChar w:fldCharType="separate"/>
      </w:r>
      <w:r w:rsidR="004F49F9">
        <w:rPr>
          <w:noProof/>
        </w:rPr>
        <w:t>93</w:t>
      </w:r>
      <w:r>
        <w:fldChar w:fldCharType="end"/>
      </w:r>
      <w:bookmarkEnd w:id="738"/>
      <w:r w:rsidR="003B49A1">
        <w:t xml:space="preserve">: </w:t>
      </w:r>
      <w:r w:rsidR="003B49A1" w:rsidRPr="006231F5">
        <w:t xml:space="preserve">Margins to the </w:t>
      </w:r>
      <w:r w:rsidR="003B49A1">
        <w:t xml:space="preserve">EESS </w:t>
      </w:r>
      <w:r w:rsidR="003B49A1" w:rsidRPr="006231F5">
        <w:t xml:space="preserve">interference criterion determined in a single-entry study </w:t>
      </w:r>
      <w:r w:rsidR="003B49A1" w:rsidRPr="005B7086">
        <w:t xml:space="preserve">for </w:t>
      </w:r>
      <w:r w:rsidR="00031DBD">
        <w:t>GBSAR</w:t>
      </w:r>
    </w:p>
    <w:tbl>
      <w:tblPr>
        <w:tblStyle w:val="ECCTable-redheader"/>
        <w:tblW w:w="0" w:type="auto"/>
        <w:tblInd w:w="0" w:type="dxa"/>
        <w:tblLook w:val="04A0" w:firstRow="1" w:lastRow="0" w:firstColumn="1" w:lastColumn="0" w:noHBand="0" w:noVBand="1"/>
      </w:tblPr>
      <w:tblGrid>
        <w:gridCol w:w="1793"/>
        <w:gridCol w:w="2313"/>
        <w:gridCol w:w="1418"/>
        <w:gridCol w:w="2409"/>
        <w:gridCol w:w="1696"/>
      </w:tblGrid>
      <w:tr w:rsidR="003B49A1" w14:paraId="510972A7" w14:textId="77777777" w:rsidTr="00597995">
        <w:trPr>
          <w:cnfStyle w:val="100000000000" w:firstRow="1" w:lastRow="0" w:firstColumn="0" w:lastColumn="0" w:oddVBand="0" w:evenVBand="0" w:oddHBand="0" w:evenHBand="0" w:firstRowFirstColumn="0" w:firstRowLastColumn="0" w:lastRowFirstColumn="0" w:lastRowLastColumn="0"/>
        </w:trPr>
        <w:tc>
          <w:tcPr>
            <w:tcW w:w="1793" w:type="dxa"/>
          </w:tcPr>
          <w:p w14:paraId="793B107C" w14:textId="77777777" w:rsidR="003B49A1" w:rsidRPr="003B49A1" w:rsidRDefault="003B49A1" w:rsidP="00876039">
            <w:pPr>
              <w:pStyle w:val="ECCTableHeaderwhitefont"/>
            </w:pPr>
            <w:r w:rsidRPr="001C46A1">
              <w:t xml:space="preserve">Investigated </w:t>
            </w:r>
            <w:r w:rsidRPr="003B49A1">
              <w:t>Frequency range</w:t>
            </w:r>
          </w:p>
        </w:tc>
        <w:tc>
          <w:tcPr>
            <w:tcW w:w="2313" w:type="dxa"/>
          </w:tcPr>
          <w:p w14:paraId="69F46120" w14:textId="77777777" w:rsidR="003B49A1" w:rsidRPr="003B49A1" w:rsidRDefault="003B49A1" w:rsidP="000A69BD">
            <w:pPr>
              <w:pStyle w:val="ECCTableHeaderwhitefont"/>
            </w:pPr>
            <w:r w:rsidRPr="001C46A1">
              <w:t>Allocated band for EESS</w:t>
            </w:r>
          </w:p>
        </w:tc>
        <w:tc>
          <w:tcPr>
            <w:tcW w:w="1418" w:type="dxa"/>
          </w:tcPr>
          <w:p w14:paraId="5F3F0108" w14:textId="77777777" w:rsidR="003B49A1" w:rsidRPr="003B49A1" w:rsidRDefault="003B49A1" w:rsidP="000A69BD">
            <w:pPr>
              <w:pStyle w:val="ECCTableHeaderwhitefont"/>
            </w:pPr>
            <w:r w:rsidRPr="001C46A1">
              <w:t>Evaluated frequency</w:t>
            </w:r>
          </w:p>
        </w:tc>
        <w:tc>
          <w:tcPr>
            <w:tcW w:w="2409" w:type="dxa"/>
          </w:tcPr>
          <w:p w14:paraId="0F178C24" w14:textId="77777777" w:rsidR="003B49A1" w:rsidRPr="003B49A1" w:rsidRDefault="003B49A1" w:rsidP="000A69BD">
            <w:pPr>
              <w:pStyle w:val="ECCTableHeaderwhitefont"/>
            </w:pPr>
            <w:r w:rsidRPr="001C46A1">
              <w:t>EESS victim sensor</w:t>
            </w:r>
          </w:p>
        </w:tc>
        <w:tc>
          <w:tcPr>
            <w:tcW w:w="1696" w:type="dxa"/>
          </w:tcPr>
          <w:p w14:paraId="1567FAB3" w14:textId="77777777" w:rsidR="003B49A1" w:rsidRPr="003B49A1" w:rsidRDefault="003B49A1" w:rsidP="000A69BD">
            <w:pPr>
              <w:pStyle w:val="ECCTableHeaderwhitefont"/>
            </w:pPr>
            <w:r w:rsidRPr="001C46A1">
              <w:t>Margin to interference criterion</w:t>
            </w:r>
          </w:p>
        </w:tc>
      </w:tr>
      <w:tr w:rsidR="003B49A1" w14:paraId="468D133B" w14:textId="77777777" w:rsidTr="00597995">
        <w:tc>
          <w:tcPr>
            <w:tcW w:w="1793" w:type="dxa"/>
          </w:tcPr>
          <w:p w14:paraId="72805166" w14:textId="77777777" w:rsidR="003B49A1" w:rsidRPr="003B49A1" w:rsidRDefault="003B49A1" w:rsidP="000A69BD">
            <w:pPr>
              <w:pStyle w:val="ECCTabletext"/>
              <w:jc w:val="left"/>
            </w:pPr>
            <w:r w:rsidRPr="00C53FB5">
              <w:t>1</w:t>
            </w:r>
            <w:r>
              <w:t>34</w:t>
            </w:r>
            <w:r w:rsidRPr="00C53FB5">
              <w:t xml:space="preserve"> to 1</w:t>
            </w:r>
            <w:r>
              <w:t>41</w:t>
            </w:r>
            <w:r w:rsidRPr="00C53FB5">
              <w:t> GHz</w:t>
            </w:r>
          </w:p>
        </w:tc>
        <w:tc>
          <w:tcPr>
            <w:tcW w:w="2313" w:type="dxa"/>
          </w:tcPr>
          <w:p w14:paraId="3FBFA300" w14:textId="77777777" w:rsidR="003B49A1" w:rsidRPr="003B49A1" w:rsidRDefault="003B49A1" w:rsidP="000A69BD">
            <w:pPr>
              <w:pStyle w:val="ECCTabletext"/>
              <w:jc w:val="left"/>
            </w:pPr>
            <w:r w:rsidRPr="00C53FB5">
              <w:t>1</w:t>
            </w:r>
            <w:r>
              <w:t>48</w:t>
            </w:r>
            <w:r w:rsidR="00CF4994">
              <w:t>.5</w:t>
            </w:r>
            <w:r w:rsidRPr="003B49A1">
              <w:t xml:space="preserve"> to 1</w:t>
            </w:r>
            <w:r>
              <w:t>51</w:t>
            </w:r>
            <w:r w:rsidR="00CF4994">
              <w:t>.5</w:t>
            </w:r>
            <w:r w:rsidRPr="003B49A1">
              <w:t> GHz (</w:t>
            </w:r>
            <w:r>
              <w:t>OOB</w:t>
            </w:r>
            <w:r w:rsidRPr="003B49A1">
              <w:t>)</w:t>
            </w:r>
          </w:p>
        </w:tc>
        <w:tc>
          <w:tcPr>
            <w:tcW w:w="1418" w:type="dxa"/>
          </w:tcPr>
          <w:p w14:paraId="35DD1509" w14:textId="77777777" w:rsidR="003B49A1" w:rsidRPr="003B49A1" w:rsidRDefault="003B49A1" w:rsidP="000A69BD">
            <w:pPr>
              <w:pStyle w:val="ECCTabletext"/>
              <w:jc w:val="left"/>
            </w:pPr>
            <w:r>
              <w:t>148</w:t>
            </w:r>
            <w:r w:rsidR="00CF4994">
              <w:t>.5</w:t>
            </w:r>
            <w:r>
              <w:t> GHz</w:t>
            </w:r>
          </w:p>
        </w:tc>
        <w:tc>
          <w:tcPr>
            <w:tcW w:w="2409" w:type="dxa"/>
          </w:tcPr>
          <w:p w14:paraId="7D7CD288" w14:textId="7B82D619" w:rsidR="003B49A1" w:rsidRPr="003B49A1" w:rsidRDefault="00031DBD" w:rsidP="000A69BD">
            <w:pPr>
              <w:pStyle w:val="ECCTabletext"/>
              <w:jc w:val="left"/>
            </w:pPr>
            <w:r>
              <w:t>Sensor N1 nadir scanner (at nadir)</w:t>
            </w:r>
          </w:p>
        </w:tc>
        <w:tc>
          <w:tcPr>
            <w:tcW w:w="1696" w:type="dxa"/>
          </w:tcPr>
          <w:p w14:paraId="38A5AA8F" w14:textId="77777777" w:rsidR="003B49A1" w:rsidRPr="003B49A1" w:rsidRDefault="003B49A1" w:rsidP="000A69BD">
            <w:pPr>
              <w:pStyle w:val="ECCTabletext"/>
              <w:jc w:val="left"/>
            </w:pPr>
            <w:r>
              <w:t>13</w:t>
            </w:r>
            <w:r w:rsidRPr="003B49A1">
              <w:t> dB</w:t>
            </w:r>
          </w:p>
        </w:tc>
      </w:tr>
    </w:tbl>
    <w:p w14:paraId="2D278BC3" w14:textId="57E5746F" w:rsidR="003B49A1" w:rsidRPr="001C46A1" w:rsidRDefault="00F77BA0" w:rsidP="003B49A1">
      <w:pPr>
        <w:pStyle w:val="Caption"/>
      </w:pPr>
      <w:bookmarkStart w:id="739" w:name="_Ref67226457"/>
      <w:r w:rsidRPr="00477961">
        <w:t>Table </w:t>
      </w:r>
      <w:r>
        <w:fldChar w:fldCharType="begin"/>
      </w:r>
      <w:r>
        <w:instrText>SEQ Table \* ARABIC</w:instrText>
      </w:r>
      <w:r>
        <w:fldChar w:fldCharType="separate"/>
      </w:r>
      <w:r w:rsidR="004F49F9">
        <w:rPr>
          <w:noProof/>
        </w:rPr>
        <w:t>94</w:t>
      </w:r>
      <w:r>
        <w:fldChar w:fldCharType="end"/>
      </w:r>
      <w:bookmarkEnd w:id="739"/>
      <w:r w:rsidR="003B49A1" w:rsidRPr="001C46A1">
        <w:t xml:space="preserve">: Margins to the EESS interference criterion determined in an aggregate study for </w:t>
      </w:r>
      <w:r w:rsidR="00031DBD">
        <w:t>GBSAR</w:t>
      </w:r>
    </w:p>
    <w:tbl>
      <w:tblPr>
        <w:tblStyle w:val="ECCTable-redheader"/>
        <w:tblW w:w="0" w:type="auto"/>
        <w:tblInd w:w="0" w:type="dxa"/>
        <w:tblLook w:val="04A0" w:firstRow="1" w:lastRow="0" w:firstColumn="1" w:lastColumn="0" w:noHBand="0" w:noVBand="1"/>
      </w:tblPr>
      <w:tblGrid>
        <w:gridCol w:w="1763"/>
        <w:gridCol w:w="2106"/>
        <w:gridCol w:w="1655"/>
        <w:gridCol w:w="2434"/>
        <w:gridCol w:w="1671"/>
      </w:tblGrid>
      <w:tr w:rsidR="003B49A1" w14:paraId="5A3E6D49" w14:textId="77777777" w:rsidTr="00597995">
        <w:trPr>
          <w:cnfStyle w:val="100000000000" w:firstRow="1" w:lastRow="0" w:firstColumn="0" w:lastColumn="0" w:oddVBand="0" w:evenVBand="0" w:oddHBand="0" w:evenHBand="0" w:firstRowFirstColumn="0" w:firstRowLastColumn="0" w:lastRowFirstColumn="0" w:lastRowLastColumn="0"/>
        </w:trPr>
        <w:tc>
          <w:tcPr>
            <w:tcW w:w="1763" w:type="dxa"/>
          </w:tcPr>
          <w:p w14:paraId="61297CB2" w14:textId="77777777" w:rsidR="003B49A1" w:rsidRPr="003B49A1" w:rsidRDefault="003B49A1" w:rsidP="00876039">
            <w:pPr>
              <w:pStyle w:val="ECCTableHeaderwhitefont"/>
            </w:pPr>
            <w:r w:rsidRPr="001C46A1">
              <w:t>Investigated Frequency range</w:t>
            </w:r>
          </w:p>
        </w:tc>
        <w:tc>
          <w:tcPr>
            <w:tcW w:w="2106" w:type="dxa"/>
          </w:tcPr>
          <w:p w14:paraId="0FA1B619" w14:textId="77777777" w:rsidR="003B49A1" w:rsidRPr="003B49A1" w:rsidRDefault="003B49A1" w:rsidP="000A69BD">
            <w:pPr>
              <w:pStyle w:val="ECCTableHeaderwhitefont"/>
            </w:pPr>
            <w:r w:rsidRPr="001C46A1">
              <w:t>Allocated band for EESS</w:t>
            </w:r>
          </w:p>
        </w:tc>
        <w:tc>
          <w:tcPr>
            <w:tcW w:w="1655" w:type="dxa"/>
          </w:tcPr>
          <w:p w14:paraId="49D3931B" w14:textId="77777777" w:rsidR="003B49A1" w:rsidRPr="003B49A1" w:rsidRDefault="003B49A1" w:rsidP="000A69BD">
            <w:pPr>
              <w:pStyle w:val="ECCTableHeaderwhitefont"/>
            </w:pPr>
            <w:r w:rsidRPr="001C46A1">
              <w:t>Evaluated Frequency</w:t>
            </w:r>
          </w:p>
        </w:tc>
        <w:tc>
          <w:tcPr>
            <w:tcW w:w="2434" w:type="dxa"/>
          </w:tcPr>
          <w:p w14:paraId="54BF4B39" w14:textId="77777777" w:rsidR="003B49A1" w:rsidRPr="003B49A1" w:rsidRDefault="003B49A1" w:rsidP="000A69BD">
            <w:pPr>
              <w:pStyle w:val="ECCTableHeaderwhitefont"/>
            </w:pPr>
            <w:r w:rsidRPr="001C46A1">
              <w:t>EESS victim sensor</w:t>
            </w:r>
          </w:p>
        </w:tc>
        <w:tc>
          <w:tcPr>
            <w:tcW w:w="1671" w:type="dxa"/>
          </w:tcPr>
          <w:p w14:paraId="49B5B06F" w14:textId="77777777" w:rsidR="003B49A1" w:rsidRPr="003B49A1" w:rsidRDefault="003B49A1" w:rsidP="000A69BD">
            <w:pPr>
              <w:pStyle w:val="ECCTableHeaderwhitefont"/>
            </w:pPr>
            <w:r w:rsidRPr="001C46A1">
              <w:t>Margin to interference criterion</w:t>
            </w:r>
          </w:p>
        </w:tc>
      </w:tr>
      <w:tr w:rsidR="003B49A1" w14:paraId="13D6FAAB" w14:textId="77777777" w:rsidTr="00597995">
        <w:tc>
          <w:tcPr>
            <w:tcW w:w="1763" w:type="dxa"/>
          </w:tcPr>
          <w:p w14:paraId="27F376FE" w14:textId="77777777" w:rsidR="003B49A1" w:rsidRPr="003B49A1" w:rsidRDefault="003B49A1" w:rsidP="000A69BD">
            <w:pPr>
              <w:pStyle w:val="ECCTabletext"/>
              <w:jc w:val="left"/>
            </w:pPr>
            <w:r w:rsidRPr="00C53FB5">
              <w:t>1</w:t>
            </w:r>
            <w:r>
              <w:t>34</w:t>
            </w:r>
            <w:r w:rsidRPr="00C53FB5">
              <w:t xml:space="preserve"> to </w:t>
            </w:r>
            <w:r>
              <w:t>141</w:t>
            </w:r>
            <w:r w:rsidRPr="00C53FB5">
              <w:t> GHz</w:t>
            </w:r>
          </w:p>
        </w:tc>
        <w:tc>
          <w:tcPr>
            <w:tcW w:w="2106" w:type="dxa"/>
          </w:tcPr>
          <w:p w14:paraId="4228B036" w14:textId="77777777" w:rsidR="003B49A1" w:rsidRPr="003B49A1" w:rsidRDefault="003B49A1" w:rsidP="000A69BD">
            <w:pPr>
              <w:pStyle w:val="ECCTabletext"/>
              <w:jc w:val="left"/>
            </w:pPr>
            <w:r w:rsidRPr="00C53FB5">
              <w:t>1</w:t>
            </w:r>
            <w:r>
              <w:t>48</w:t>
            </w:r>
            <w:r w:rsidR="00CF4994">
              <w:t>.5</w:t>
            </w:r>
            <w:r>
              <w:t xml:space="preserve"> to 151</w:t>
            </w:r>
            <w:r w:rsidR="00CF4994">
              <w:t>.5</w:t>
            </w:r>
            <w:r>
              <w:t> GHz (OOB)</w:t>
            </w:r>
          </w:p>
        </w:tc>
        <w:tc>
          <w:tcPr>
            <w:tcW w:w="1655" w:type="dxa"/>
          </w:tcPr>
          <w:p w14:paraId="2DFCDB77" w14:textId="77777777" w:rsidR="003B49A1" w:rsidRPr="003B49A1" w:rsidRDefault="003B49A1" w:rsidP="000A69BD">
            <w:pPr>
              <w:pStyle w:val="ECCTabletext"/>
              <w:jc w:val="left"/>
            </w:pPr>
            <w:r>
              <w:t>148</w:t>
            </w:r>
            <w:r w:rsidR="00CF4994">
              <w:t>.5</w:t>
            </w:r>
            <w:r>
              <w:t> GHz</w:t>
            </w:r>
          </w:p>
        </w:tc>
        <w:tc>
          <w:tcPr>
            <w:tcW w:w="2434" w:type="dxa"/>
          </w:tcPr>
          <w:p w14:paraId="587C2185" w14:textId="68CDDD54" w:rsidR="003B49A1" w:rsidRPr="003B49A1" w:rsidRDefault="00031DBD" w:rsidP="000A69BD">
            <w:pPr>
              <w:pStyle w:val="ECCTabletext"/>
              <w:jc w:val="left"/>
            </w:pPr>
            <w:r>
              <w:t>Sensor N1 nadir scanner (at outer)</w:t>
            </w:r>
          </w:p>
        </w:tc>
        <w:tc>
          <w:tcPr>
            <w:tcW w:w="1671" w:type="dxa"/>
          </w:tcPr>
          <w:p w14:paraId="2D1EDB7C" w14:textId="77777777" w:rsidR="003B49A1" w:rsidRPr="003B49A1" w:rsidRDefault="003B49A1" w:rsidP="000A69BD">
            <w:pPr>
              <w:pStyle w:val="ECCTabletext"/>
              <w:jc w:val="left"/>
            </w:pPr>
            <w:r>
              <w:t>0</w:t>
            </w:r>
            <w:r w:rsidRPr="003B49A1">
              <w:t> dB</w:t>
            </w:r>
          </w:p>
        </w:tc>
      </w:tr>
    </w:tbl>
    <w:p w14:paraId="395B24B3" w14:textId="6722FF37"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_Ref67393225 \r \h </w:instrText>
      </w:r>
      <w:r>
        <w:fldChar w:fldCharType="separate"/>
      </w:r>
      <w:r w:rsidR="004F49F9">
        <w:t>8.4.4</w:t>
      </w:r>
      <w:r>
        <w:fldChar w:fldCharType="end"/>
      </w:r>
      <w:r>
        <w:t>.</w:t>
      </w:r>
    </w:p>
    <w:p w14:paraId="789BB1CD" w14:textId="77777777" w:rsidR="00604D64" w:rsidRPr="003315E5" w:rsidRDefault="00604D64" w:rsidP="00604D64">
      <w:pPr>
        <w:pStyle w:val="Heading2"/>
      </w:pPr>
      <w:bookmarkStart w:id="740" w:name="_Toc84325414"/>
      <w:bookmarkStart w:id="741" w:name="_Toc127346336"/>
      <w:r w:rsidRPr="00B06E7F">
        <w:t>Level Probing Radar (LPR)</w:t>
      </w:r>
      <w:bookmarkEnd w:id="740"/>
      <w:bookmarkEnd w:id="741"/>
    </w:p>
    <w:p w14:paraId="08011052" w14:textId="77777777" w:rsidR="001C46A1" w:rsidRPr="00AA176E" w:rsidRDefault="001C46A1" w:rsidP="001C46A1">
      <w:pPr>
        <w:pStyle w:val="Heading3"/>
      </w:pPr>
      <w:bookmarkStart w:id="742" w:name="_Ref67390652"/>
      <w:bookmarkStart w:id="743" w:name="_Toc84325415"/>
      <w:bookmarkStart w:id="744" w:name="_Toc127346337"/>
      <w:r w:rsidRPr="00AA176E">
        <w:t>Technical parameters of LPR</w:t>
      </w:r>
      <w:bookmarkEnd w:id="742"/>
      <w:bookmarkEnd w:id="743"/>
      <w:bookmarkEnd w:id="744"/>
    </w:p>
    <w:p w14:paraId="2BDBBD3B" w14:textId="7569F354" w:rsidR="001C46A1" w:rsidRPr="001C46A1" w:rsidRDefault="001C46A1" w:rsidP="001C46A1">
      <w:r w:rsidRPr="001C46A1">
        <w:t xml:space="preserve">For LPR altogether three potential frequency bands have been defined (see </w:t>
      </w:r>
      <w:r w:rsidR="009D5FA2">
        <w:t>section</w:t>
      </w:r>
      <w:r w:rsidRPr="001C46A1">
        <w:t xml:space="preserve"> </w:t>
      </w:r>
      <w:r w:rsidR="007C7A26">
        <w:rPr>
          <w:highlight w:val="yellow"/>
        </w:rPr>
        <w:fldChar w:fldCharType="begin"/>
      </w:r>
      <w:r w:rsidR="007C7A26">
        <w:instrText xml:space="preserve"> REF _Ref66452152 \r \h </w:instrText>
      </w:r>
      <w:r w:rsidR="007C7A26">
        <w:rPr>
          <w:highlight w:val="yellow"/>
        </w:rPr>
      </w:r>
      <w:r w:rsidR="007C7A26">
        <w:rPr>
          <w:highlight w:val="yellow"/>
        </w:rPr>
        <w:fldChar w:fldCharType="separate"/>
      </w:r>
      <w:r w:rsidR="004F49F9">
        <w:t>2.2.5.2</w:t>
      </w:r>
      <w:r w:rsidR="007C7A26">
        <w:rPr>
          <w:highlight w:val="yellow"/>
        </w:rPr>
        <w:fldChar w:fldCharType="end"/>
      </w:r>
      <w:r w:rsidRPr="001C46A1">
        <w:t>). Due to the fact that in all defined frequency bands allocations for EESS are affected</w:t>
      </w:r>
      <w:r w:rsidR="001D7996">
        <w:t>-</w:t>
      </w:r>
      <w:r w:rsidRPr="001C46A1">
        <w:t xml:space="preserve">either within these bands or adjacent to them – all three bands have been investigated by single-entry and aggregate studies (please compare the figures in </w:t>
      </w:r>
      <w:r w:rsidR="009D5FA2">
        <w:t>section</w:t>
      </w:r>
      <w:r w:rsidRPr="001C46A1">
        <w:t xml:space="preserve"> </w:t>
      </w:r>
      <w:r w:rsidR="007C7A26">
        <w:rPr>
          <w:highlight w:val="yellow"/>
        </w:rPr>
        <w:fldChar w:fldCharType="begin"/>
      </w:r>
      <w:r w:rsidR="007C7A26">
        <w:instrText xml:space="preserve"> REF _Ref66361706 \r \h </w:instrText>
      </w:r>
      <w:r w:rsidR="007C7A26">
        <w:rPr>
          <w:highlight w:val="yellow"/>
        </w:rPr>
      </w:r>
      <w:r w:rsidR="007C7A26">
        <w:rPr>
          <w:highlight w:val="yellow"/>
        </w:rPr>
        <w:fldChar w:fldCharType="separate"/>
      </w:r>
      <w:r w:rsidR="004F49F9">
        <w:t>3.3</w:t>
      </w:r>
      <w:r w:rsidR="007C7A26">
        <w:rPr>
          <w:highlight w:val="yellow"/>
        </w:rPr>
        <w:fldChar w:fldCharType="end"/>
      </w:r>
      <w:r w:rsidRPr="001C46A1">
        <w:t>). In these studies the individual residual margin (</w:t>
      </w:r>
      <w:r w:rsidR="009D5FA2">
        <w:t>section</w:t>
      </w:r>
      <w:r w:rsidRPr="001C46A1">
        <w:t xml:space="preserve"> </w:t>
      </w:r>
      <w:r w:rsidR="007C7A26">
        <w:rPr>
          <w:highlight w:val="yellow"/>
        </w:rPr>
        <w:fldChar w:fldCharType="begin"/>
      </w:r>
      <w:r w:rsidR="007C7A26">
        <w:instrText xml:space="preserve"> REF _Ref66361724 \r \h </w:instrText>
      </w:r>
      <w:r w:rsidR="007C7A26">
        <w:rPr>
          <w:highlight w:val="yellow"/>
        </w:rPr>
      </w:r>
      <w:r w:rsidR="007C7A26">
        <w:rPr>
          <w:highlight w:val="yellow"/>
        </w:rPr>
        <w:fldChar w:fldCharType="separate"/>
      </w:r>
      <w:r w:rsidR="004F49F9">
        <w:t>3.4.4</w:t>
      </w:r>
      <w:r w:rsidR="007C7A26">
        <w:rPr>
          <w:highlight w:val="yellow"/>
        </w:rPr>
        <w:fldChar w:fldCharType="end"/>
      </w:r>
      <w:r w:rsidRPr="001C46A1">
        <w:t>) to the interference criterion is determined by means of the technical parameters (</w:t>
      </w:r>
      <w:r w:rsidR="009D5FA2">
        <w:t>section</w:t>
      </w:r>
      <w:r w:rsidRPr="001C46A1">
        <w:t xml:space="preserve"> </w:t>
      </w:r>
      <w:r w:rsidR="007C7A26">
        <w:rPr>
          <w:highlight w:val="yellow"/>
        </w:rPr>
        <w:fldChar w:fldCharType="begin"/>
      </w:r>
      <w:r w:rsidR="007C7A26">
        <w:instrText xml:space="preserve"> REF _Ref20319451 \r \h </w:instrText>
      </w:r>
      <w:r w:rsidR="007C7A26">
        <w:rPr>
          <w:highlight w:val="yellow"/>
        </w:rPr>
      </w:r>
      <w:r w:rsidR="007C7A26">
        <w:rPr>
          <w:highlight w:val="yellow"/>
        </w:rPr>
        <w:fldChar w:fldCharType="separate"/>
      </w:r>
      <w:r w:rsidR="004F49F9">
        <w:t>2.2.5.3</w:t>
      </w:r>
      <w:r w:rsidR="007C7A26">
        <w:rPr>
          <w:highlight w:val="yellow"/>
        </w:rPr>
        <w:fldChar w:fldCharType="end"/>
      </w:r>
      <w:r w:rsidRPr="001C46A1">
        <w:t>), the antenna data (</w:t>
      </w:r>
      <w:r w:rsidR="009D5FA2">
        <w:t>section</w:t>
      </w:r>
      <w:r w:rsidRPr="001C46A1">
        <w:t xml:space="preserve"> </w:t>
      </w:r>
      <w:r w:rsidR="007C7A26">
        <w:rPr>
          <w:highlight w:val="yellow"/>
        </w:rPr>
        <w:fldChar w:fldCharType="begin"/>
      </w:r>
      <w:r w:rsidR="007C7A26">
        <w:instrText xml:space="preserve"> REF _Ref20470811 \r \h </w:instrText>
      </w:r>
      <w:r w:rsidR="007C7A26">
        <w:rPr>
          <w:highlight w:val="yellow"/>
        </w:rPr>
      </w:r>
      <w:r w:rsidR="007C7A26">
        <w:rPr>
          <w:highlight w:val="yellow"/>
        </w:rPr>
        <w:fldChar w:fldCharType="separate"/>
      </w:r>
      <w:r w:rsidR="004F49F9">
        <w:t>2.2.5.4</w:t>
      </w:r>
      <w:r w:rsidR="007C7A26">
        <w:rPr>
          <w:highlight w:val="yellow"/>
        </w:rPr>
        <w:fldChar w:fldCharType="end"/>
      </w:r>
      <w:r w:rsidRPr="001C46A1">
        <w:t>), the defined interference scenarios (</w:t>
      </w:r>
      <w:r w:rsidR="009D5FA2">
        <w:t>section</w:t>
      </w:r>
      <w:r w:rsidRPr="001C46A1">
        <w:t xml:space="preserve"> </w:t>
      </w:r>
      <w:r w:rsidR="007C7A26">
        <w:rPr>
          <w:highlight w:val="yellow"/>
        </w:rPr>
        <w:fldChar w:fldCharType="begin"/>
      </w:r>
      <w:r w:rsidR="007C7A26">
        <w:instrText xml:space="preserve"> REF _Ref36548155 \r \h </w:instrText>
      </w:r>
      <w:r w:rsidR="007C7A26">
        <w:rPr>
          <w:highlight w:val="yellow"/>
        </w:rPr>
      </w:r>
      <w:r w:rsidR="007C7A26">
        <w:rPr>
          <w:highlight w:val="yellow"/>
        </w:rPr>
        <w:fldChar w:fldCharType="separate"/>
      </w:r>
      <w:r w:rsidR="004F49F9">
        <w:t>2.2.5.6</w:t>
      </w:r>
      <w:r w:rsidR="007C7A26">
        <w:rPr>
          <w:highlight w:val="yellow"/>
        </w:rPr>
        <w:fldChar w:fldCharType="end"/>
      </w:r>
      <w:r w:rsidRPr="001C46A1">
        <w:t>) and the protection requirements for EESS (</w:t>
      </w:r>
      <w:r w:rsidR="009D5FA2">
        <w:t>section</w:t>
      </w:r>
      <w:r w:rsidRPr="001C46A1">
        <w:t xml:space="preserve"> </w:t>
      </w:r>
      <w:r w:rsidR="007C7A26">
        <w:rPr>
          <w:highlight w:val="yellow"/>
        </w:rPr>
        <w:fldChar w:fldCharType="begin"/>
      </w:r>
      <w:r w:rsidR="007C7A26">
        <w:instrText xml:space="preserve"> REF _Ref66361876 \r \h </w:instrText>
      </w:r>
      <w:r w:rsidR="007C7A26">
        <w:rPr>
          <w:highlight w:val="yellow"/>
        </w:rPr>
      </w:r>
      <w:r w:rsidR="007C7A26">
        <w:rPr>
          <w:highlight w:val="yellow"/>
        </w:rPr>
        <w:fldChar w:fldCharType="separate"/>
      </w:r>
      <w:r w:rsidR="004F49F9">
        <w:t>3.5.4</w:t>
      </w:r>
      <w:r w:rsidR="007C7A26">
        <w:rPr>
          <w:highlight w:val="yellow"/>
        </w:rPr>
        <w:fldChar w:fldCharType="end"/>
      </w:r>
      <w:r w:rsidRPr="001C46A1">
        <w:t xml:space="preserve">). The exact calculations can be found in an Excel-spreadsheet which is attached to this </w:t>
      </w:r>
      <w:hyperlink r:id="rId168" w:history="1">
        <w:r w:rsidR="006B1E55">
          <w:rPr>
            <w:rStyle w:val="Hyperlink"/>
          </w:rPr>
          <w:t>Report</w:t>
        </w:r>
      </w:hyperlink>
      <w:r w:rsidRPr="001C46A1">
        <w:t>.</w:t>
      </w:r>
    </w:p>
    <w:p w14:paraId="27F7570D" w14:textId="11D6A311" w:rsidR="001C46A1" w:rsidRPr="001C46A1" w:rsidRDefault="001C46A1" w:rsidP="001C46A1">
      <w:r w:rsidRPr="001C46A1">
        <w:t>The following technical parameters of the LPR application (</w:t>
      </w:r>
      <w:r w:rsidR="009D5FA2">
        <w:t>section</w:t>
      </w:r>
      <w:r w:rsidRPr="001C46A1">
        <w:t xml:space="preserve"> </w:t>
      </w:r>
      <w:r w:rsidR="007C7A26">
        <w:rPr>
          <w:highlight w:val="yellow"/>
        </w:rPr>
        <w:fldChar w:fldCharType="begin"/>
      </w:r>
      <w:r w:rsidR="007C7A26">
        <w:instrText xml:space="preserve"> REF _Ref20319451 \r \h </w:instrText>
      </w:r>
      <w:r w:rsidR="007C7A26">
        <w:rPr>
          <w:highlight w:val="yellow"/>
        </w:rPr>
      </w:r>
      <w:r w:rsidR="007C7A26">
        <w:rPr>
          <w:highlight w:val="yellow"/>
        </w:rPr>
        <w:fldChar w:fldCharType="separate"/>
      </w:r>
      <w:r w:rsidR="004F49F9">
        <w:t>2.2.5.3</w:t>
      </w:r>
      <w:r w:rsidR="007C7A26">
        <w:rPr>
          <w:highlight w:val="yellow"/>
        </w:rPr>
        <w:fldChar w:fldCharType="end"/>
      </w:r>
      <w:r w:rsidRPr="001C46A1">
        <w:t>) have been used in the studies in the different frequency ranges.</w:t>
      </w:r>
    </w:p>
    <w:p w14:paraId="56D366A9" w14:textId="5B74CBAE" w:rsidR="001C46A1" w:rsidRDefault="007C7A26" w:rsidP="00957309">
      <w:pPr>
        <w:pStyle w:val="Caption"/>
        <w:keepNext/>
        <w:jc w:val="both"/>
        <w:rPr>
          <w:rStyle w:val="ECCParagraph"/>
        </w:rPr>
      </w:pPr>
      <w:bookmarkStart w:id="745" w:name="_Ref67326784"/>
      <w:r w:rsidRPr="00477961">
        <w:t>Table </w:t>
      </w:r>
      <w:r>
        <w:fldChar w:fldCharType="begin"/>
      </w:r>
      <w:r>
        <w:instrText>SEQ Table \* ARABIC</w:instrText>
      </w:r>
      <w:r>
        <w:fldChar w:fldCharType="separate"/>
      </w:r>
      <w:r w:rsidR="004F49F9">
        <w:rPr>
          <w:noProof/>
        </w:rPr>
        <w:t>95</w:t>
      </w:r>
      <w:r>
        <w:fldChar w:fldCharType="end"/>
      </w:r>
      <w:bookmarkEnd w:id="745"/>
      <w:r w:rsidR="001C46A1">
        <w:t>: Technical parameters of 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360"/>
        <w:gridCol w:w="1360"/>
      </w:tblGrid>
      <w:tr w:rsidR="00906950" w:rsidRPr="00566944" w14:paraId="0986C0E3"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0716528A" w14:textId="77777777" w:rsidR="00906950" w:rsidRPr="00906950" w:rsidRDefault="00906950" w:rsidP="00957309">
            <w:pPr>
              <w:pStyle w:val="ECCTableHeaderwhitefont"/>
              <w:keepNext/>
            </w:pPr>
            <w:r w:rsidRPr="00906950">
              <w:t>Investigated frequency range</w:t>
            </w:r>
          </w:p>
        </w:tc>
        <w:tc>
          <w:tcPr>
            <w:tcW w:w="1569" w:type="dxa"/>
          </w:tcPr>
          <w:p w14:paraId="7E69363F" w14:textId="77777777" w:rsidR="00906950" w:rsidRPr="00906950" w:rsidRDefault="00906950" w:rsidP="00957309">
            <w:pPr>
              <w:pStyle w:val="ECCTableHeaderwhitefont"/>
              <w:keepNext/>
            </w:pPr>
            <w:r w:rsidRPr="00906950">
              <w:t>Assumed modulation bandwidth</w:t>
            </w:r>
          </w:p>
        </w:tc>
        <w:tc>
          <w:tcPr>
            <w:tcW w:w="1513" w:type="dxa"/>
          </w:tcPr>
          <w:p w14:paraId="2552FEFB" w14:textId="77777777" w:rsidR="00906950" w:rsidRPr="00906950" w:rsidRDefault="00906950" w:rsidP="00957309">
            <w:pPr>
              <w:pStyle w:val="ECCTableHeaderwhitefont"/>
              <w:keepNext/>
            </w:pPr>
            <w:r w:rsidRPr="00906950">
              <w:t>Duty cycle</w:t>
            </w:r>
          </w:p>
        </w:tc>
        <w:tc>
          <w:tcPr>
            <w:tcW w:w="1767" w:type="dxa"/>
          </w:tcPr>
          <w:p w14:paraId="7C0CB2D4" w14:textId="77777777" w:rsidR="00906950" w:rsidRPr="00906950" w:rsidRDefault="00906950" w:rsidP="00957309">
            <w:pPr>
              <w:pStyle w:val="ECCTableHeaderwhitefont"/>
              <w:keepNext/>
            </w:pPr>
            <w:r w:rsidRPr="00906950">
              <w:t xml:space="preserve">Mean e.i.r.p. spectral density </w:t>
            </w:r>
            <w:r w:rsidR="00DA672A">
              <w:t>(Note 2)</w:t>
            </w:r>
          </w:p>
        </w:tc>
        <w:tc>
          <w:tcPr>
            <w:tcW w:w="1360" w:type="dxa"/>
          </w:tcPr>
          <w:p w14:paraId="0E357271" w14:textId="77777777" w:rsidR="00906950" w:rsidRPr="00906950" w:rsidRDefault="00906950" w:rsidP="00957309">
            <w:pPr>
              <w:pStyle w:val="ECCTableHeaderwhitefont"/>
              <w:keepNext/>
            </w:pPr>
            <w:r w:rsidRPr="00906950">
              <w:t>Peak e.i.r.p.</w:t>
            </w:r>
          </w:p>
        </w:tc>
        <w:tc>
          <w:tcPr>
            <w:tcW w:w="1360" w:type="dxa"/>
          </w:tcPr>
          <w:p w14:paraId="3374239B" w14:textId="77777777" w:rsidR="00906950" w:rsidRPr="00906950" w:rsidRDefault="00906950" w:rsidP="00957309">
            <w:pPr>
              <w:pStyle w:val="ECCTableHeaderwhitefont"/>
              <w:keepNext/>
            </w:pPr>
            <w:r w:rsidRPr="00906950">
              <w:t>OOB attenuation (Note 1)</w:t>
            </w:r>
          </w:p>
        </w:tc>
      </w:tr>
      <w:tr w:rsidR="00095906" w:rsidRPr="00C53FB5" w14:paraId="384C070F" w14:textId="77777777" w:rsidTr="00BF4052">
        <w:tc>
          <w:tcPr>
            <w:tcW w:w="1838" w:type="dxa"/>
          </w:tcPr>
          <w:p w14:paraId="11A27433" w14:textId="77777777" w:rsidR="00095906" w:rsidRPr="00095906" w:rsidRDefault="00095906" w:rsidP="00957309">
            <w:pPr>
              <w:pStyle w:val="ECCTabletext"/>
              <w:keepNext/>
              <w:jc w:val="left"/>
            </w:pPr>
            <w:r w:rsidRPr="00C53FB5">
              <w:t xml:space="preserve">116 to </w:t>
            </w:r>
            <w:r w:rsidRPr="00095906">
              <w:t>148</w:t>
            </w:r>
            <w:r w:rsidR="00CF4994">
              <w:t>.5</w:t>
            </w:r>
            <w:r w:rsidRPr="00095906">
              <w:t> GHz</w:t>
            </w:r>
          </w:p>
        </w:tc>
        <w:tc>
          <w:tcPr>
            <w:tcW w:w="1569" w:type="dxa"/>
          </w:tcPr>
          <w:p w14:paraId="205070B1" w14:textId="77777777" w:rsidR="00095906" w:rsidRPr="00095906" w:rsidRDefault="00095906" w:rsidP="00957309">
            <w:pPr>
              <w:pStyle w:val="ECCTabletext"/>
              <w:keepNext/>
              <w:jc w:val="left"/>
            </w:pPr>
            <w:r>
              <w:t>1</w:t>
            </w:r>
            <w:r w:rsidR="00CF4994">
              <w:t>.6</w:t>
            </w:r>
            <w:r>
              <w:t> GHz</w:t>
            </w:r>
          </w:p>
        </w:tc>
        <w:tc>
          <w:tcPr>
            <w:tcW w:w="1513" w:type="dxa"/>
          </w:tcPr>
          <w:p w14:paraId="48FFF790" w14:textId="6F20D8AA" w:rsidR="00095906" w:rsidRPr="00095906" w:rsidRDefault="00095906" w:rsidP="00957309">
            <w:pPr>
              <w:pStyle w:val="ECCTabletext"/>
              <w:keepNext/>
              <w:jc w:val="left"/>
            </w:pPr>
            <w:r>
              <w:t>5</w:t>
            </w:r>
            <w:r w:rsidR="00F800A2">
              <w:t>%</w:t>
            </w:r>
          </w:p>
        </w:tc>
        <w:tc>
          <w:tcPr>
            <w:tcW w:w="1767" w:type="dxa"/>
          </w:tcPr>
          <w:p w14:paraId="1EC9312C" w14:textId="77777777" w:rsidR="00095906" w:rsidRPr="00095906" w:rsidRDefault="00095906" w:rsidP="00957309">
            <w:pPr>
              <w:pStyle w:val="ECCTabletext"/>
              <w:keepNext/>
              <w:jc w:val="left"/>
            </w:pPr>
            <w:r>
              <w:t>-</w:t>
            </w:r>
            <w:r w:rsidR="009B67A5">
              <w:t>8</w:t>
            </w:r>
            <w:r>
              <w:t> dBm/MHz</w:t>
            </w:r>
          </w:p>
        </w:tc>
        <w:tc>
          <w:tcPr>
            <w:tcW w:w="1360" w:type="dxa"/>
          </w:tcPr>
          <w:p w14:paraId="27702101" w14:textId="77777777" w:rsidR="00095906" w:rsidRPr="00095906" w:rsidRDefault="00095906" w:rsidP="00957309">
            <w:pPr>
              <w:pStyle w:val="ECCTabletext"/>
              <w:keepNext/>
              <w:jc w:val="left"/>
            </w:pPr>
            <w:r>
              <w:t>3</w:t>
            </w:r>
            <w:r w:rsidR="009B67A5">
              <w:t>7</w:t>
            </w:r>
            <w:r>
              <w:t> dBm</w:t>
            </w:r>
          </w:p>
        </w:tc>
        <w:tc>
          <w:tcPr>
            <w:tcW w:w="1360" w:type="dxa"/>
          </w:tcPr>
          <w:p w14:paraId="13AEE9CD" w14:textId="77777777" w:rsidR="00095906" w:rsidRPr="00095906" w:rsidRDefault="00095906" w:rsidP="00957309">
            <w:pPr>
              <w:pStyle w:val="ECCTabletext"/>
              <w:keepNext/>
              <w:jc w:val="left"/>
            </w:pPr>
            <w:r>
              <w:t>20 dB</w:t>
            </w:r>
          </w:p>
        </w:tc>
      </w:tr>
      <w:tr w:rsidR="00095906" w:rsidRPr="00C53FB5" w14:paraId="21D3647E" w14:textId="77777777" w:rsidTr="00BF4052">
        <w:tc>
          <w:tcPr>
            <w:tcW w:w="1838" w:type="dxa"/>
          </w:tcPr>
          <w:p w14:paraId="57B79D05" w14:textId="77777777" w:rsidR="00095906" w:rsidRPr="00095906" w:rsidRDefault="00095906" w:rsidP="00957309">
            <w:pPr>
              <w:pStyle w:val="ECCTabletext"/>
              <w:keepNext/>
              <w:jc w:val="left"/>
            </w:pPr>
            <w:r w:rsidRPr="00C53FB5">
              <w:t>1</w:t>
            </w:r>
            <w:r w:rsidRPr="00095906">
              <w:t>67 to 182 GHz</w:t>
            </w:r>
          </w:p>
        </w:tc>
        <w:tc>
          <w:tcPr>
            <w:tcW w:w="1569" w:type="dxa"/>
          </w:tcPr>
          <w:p w14:paraId="3A0FA91A" w14:textId="77777777" w:rsidR="00095906" w:rsidRPr="00095906" w:rsidRDefault="00095906" w:rsidP="00957309">
            <w:pPr>
              <w:pStyle w:val="ECCTabletext"/>
              <w:keepNext/>
              <w:jc w:val="left"/>
            </w:pPr>
            <w:r>
              <w:t>1 GHz</w:t>
            </w:r>
          </w:p>
        </w:tc>
        <w:tc>
          <w:tcPr>
            <w:tcW w:w="1513" w:type="dxa"/>
          </w:tcPr>
          <w:p w14:paraId="05D70D96" w14:textId="5A24E5E5" w:rsidR="00095906" w:rsidRPr="00095906" w:rsidRDefault="00095906" w:rsidP="00957309">
            <w:pPr>
              <w:pStyle w:val="ECCTabletext"/>
              <w:keepNext/>
              <w:jc w:val="left"/>
            </w:pPr>
            <w:r>
              <w:t>5</w:t>
            </w:r>
            <w:r w:rsidR="00F800A2">
              <w:t>%</w:t>
            </w:r>
          </w:p>
        </w:tc>
        <w:tc>
          <w:tcPr>
            <w:tcW w:w="1767" w:type="dxa"/>
          </w:tcPr>
          <w:p w14:paraId="2630DD61" w14:textId="77777777" w:rsidR="00095906" w:rsidRPr="00095906" w:rsidRDefault="00095906" w:rsidP="00957309">
            <w:pPr>
              <w:pStyle w:val="ECCTabletext"/>
              <w:keepNext/>
              <w:jc w:val="left"/>
            </w:pPr>
            <w:r>
              <w:t>-</w:t>
            </w:r>
            <w:r w:rsidR="009B67A5">
              <w:t>6</w:t>
            </w:r>
            <w:r>
              <w:t> dBm/MHz</w:t>
            </w:r>
          </w:p>
        </w:tc>
        <w:tc>
          <w:tcPr>
            <w:tcW w:w="1360" w:type="dxa"/>
          </w:tcPr>
          <w:p w14:paraId="3BA99A52" w14:textId="77777777" w:rsidR="00095906" w:rsidRPr="00095906" w:rsidRDefault="00095906" w:rsidP="00957309">
            <w:pPr>
              <w:pStyle w:val="ECCTabletext"/>
              <w:keepNext/>
              <w:jc w:val="left"/>
            </w:pPr>
            <w:r>
              <w:t>3</w:t>
            </w:r>
            <w:r w:rsidR="009B67A5">
              <w:t>7</w:t>
            </w:r>
            <w:r>
              <w:t> dBm</w:t>
            </w:r>
          </w:p>
        </w:tc>
        <w:tc>
          <w:tcPr>
            <w:tcW w:w="1360" w:type="dxa"/>
          </w:tcPr>
          <w:p w14:paraId="74920B96" w14:textId="77777777" w:rsidR="00095906" w:rsidRDefault="00095906" w:rsidP="00957309">
            <w:pPr>
              <w:pStyle w:val="ECCTabletext"/>
              <w:keepNext/>
              <w:jc w:val="left"/>
            </w:pPr>
            <w:r>
              <w:t>20 dB</w:t>
            </w:r>
          </w:p>
        </w:tc>
      </w:tr>
      <w:tr w:rsidR="00095906" w:rsidRPr="00C53FB5" w14:paraId="4382EDC5" w14:textId="77777777" w:rsidTr="00BF4052">
        <w:tc>
          <w:tcPr>
            <w:tcW w:w="1838" w:type="dxa"/>
          </w:tcPr>
          <w:p w14:paraId="45C2F7EF" w14:textId="77777777" w:rsidR="00095906" w:rsidRPr="00095906" w:rsidRDefault="00095906" w:rsidP="00957309">
            <w:pPr>
              <w:pStyle w:val="ECCTabletext"/>
              <w:keepNext/>
              <w:jc w:val="left"/>
            </w:pPr>
            <w:r>
              <w:t>231</w:t>
            </w:r>
            <w:r w:rsidR="00CF4994">
              <w:t>.5</w:t>
            </w:r>
            <w:r>
              <w:t> to 250 GHz</w:t>
            </w:r>
          </w:p>
        </w:tc>
        <w:tc>
          <w:tcPr>
            <w:tcW w:w="1569" w:type="dxa"/>
          </w:tcPr>
          <w:p w14:paraId="63AE7492" w14:textId="77777777" w:rsidR="00095906" w:rsidRPr="00095906" w:rsidRDefault="00095906" w:rsidP="00957309">
            <w:pPr>
              <w:pStyle w:val="ECCTabletext"/>
              <w:keepNext/>
              <w:jc w:val="left"/>
            </w:pPr>
            <w:r>
              <w:t>1 GHz</w:t>
            </w:r>
          </w:p>
        </w:tc>
        <w:tc>
          <w:tcPr>
            <w:tcW w:w="1513" w:type="dxa"/>
          </w:tcPr>
          <w:p w14:paraId="36BB02B2" w14:textId="54947102" w:rsidR="00095906" w:rsidRPr="00095906" w:rsidRDefault="00095906" w:rsidP="00957309">
            <w:pPr>
              <w:pStyle w:val="ECCTabletext"/>
              <w:keepNext/>
              <w:jc w:val="left"/>
            </w:pPr>
            <w:r>
              <w:t>5</w:t>
            </w:r>
            <w:r w:rsidR="00F800A2">
              <w:t>%</w:t>
            </w:r>
          </w:p>
        </w:tc>
        <w:tc>
          <w:tcPr>
            <w:tcW w:w="1767" w:type="dxa"/>
          </w:tcPr>
          <w:p w14:paraId="3F633198" w14:textId="77777777" w:rsidR="00095906" w:rsidRPr="00095906" w:rsidRDefault="00095906" w:rsidP="00957309">
            <w:pPr>
              <w:pStyle w:val="ECCTabletext"/>
              <w:keepNext/>
              <w:jc w:val="left"/>
            </w:pPr>
            <w:r>
              <w:t>-</w:t>
            </w:r>
            <w:r w:rsidR="009B67A5">
              <w:t>6</w:t>
            </w:r>
            <w:r>
              <w:t> dBm/MHz</w:t>
            </w:r>
          </w:p>
        </w:tc>
        <w:tc>
          <w:tcPr>
            <w:tcW w:w="1360" w:type="dxa"/>
          </w:tcPr>
          <w:p w14:paraId="5B726045" w14:textId="77777777" w:rsidR="00095906" w:rsidRPr="00095906" w:rsidRDefault="00095906" w:rsidP="00957309">
            <w:pPr>
              <w:pStyle w:val="ECCTabletext"/>
              <w:keepNext/>
              <w:jc w:val="left"/>
            </w:pPr>
            <w:r>
              <w:t>3</w:t>
            </w:r>
            <w:r w:rsidR="009B67A5">
              <w:t>7</w:t>
            </w:r>
            <w:r>
              <w:t> dBm</w:t>
            </w:r>
          </w:p>
        </w:tc>
        <w:tc>
          <w:tcPr>
            <w:tcW w:w="1360" w:type="dxa"/>
          </w:tcPr>
          <w:p w14:paraId="4DE41EEB" w14:textId="77777777" w:rsidR="00095906" w:rsidRDefault="00095906" w:rsidP="00957309">
            <w:pPr>
              <w:pStyle w:val="ECCTabletext"/>
              <w:keepNext/>
              <w:jc w:val="left"/>
            </w:pPr>
            <w:r>
              <w:t>20 dB</w:t>
            </w:r>
          </w:p>
        </w:tc>
      </w:tr>
      <w:tr w:rsidR="00200700" w:rsidRPr="00C53FB5" w14:paraId="22D0C61C" w14:textId="77777777" w:rsidTr="00200700">
        <w:tc>
          <w:tcPr>
            <w:tcW w:w="9407" w:type="dxa"/>
            <w:gridSpan w:val="6"/>
          </w:tcPr>
          <w:p w14:paraId="10E87496" w14:textId="77777777" w:rsidR="00200700" w:rsidRPr="00200700" w:rsidRDefault="00200700" w:rsidP="00957309">
            <w:pPr>
              <w:pStyle w:val="ECCTablenote"/>
              <w:keepNext/>
            </w:pPr>
            <w:r>
              <w:t>Note 1</w:t>
            </w:r>
            <w:r w:rsidRPr="00200700">
              <w:t>: Assumed out-of-band attenuation of the LPR-signal in adjacent bands allocated to EESS.</w:t>
            </w:r>
          </w:p>
          <w:p w14:paraId="40CD660D" w14:textId="3911A367" w:rsidR="00200700" w:rsidRDefault="00200700" w:rsidP="00957309">
            <w:pPr>
              <w:pStyle w:val="ECCTablenote"/>
              <w:keepNext/>
            </w:pPr>
            <w:r w:rsidRPr="00DA672A">
              <w:t>Note 2: The duty cycle of 5</w:t>
            </w:r>
            <w:r w:rsidR="00F800A2">
              <w:t>%</w:t>
            </w:r>
            <w:r w:rsidRPr="00DA672A">
              <w:t xml:space="preserve"> is already considered in this mean e.i.r.p. spectral density </w:t>
            </w:r>
            <w:r w:rsidRPr="00200700">
              <w:t>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3E4CDB4A" w14:textId="77777777" w:rsidR="001C46A1" w:rsidRDefault="001C46A1" w:rsidP="001C46A1">
      <w:pPr>
        <w:pStyle w:val="Heading3"/>
      </w:pPr>
      <w:bookmarkStart w:id="746" w:name="_Ref67390610"/>
      <w:bookmarkStart w:id="747" w:name="_Toc84325416"/>
      <w:bookmarkStart w:id="748" w:name="_Toc127346338"/>
      <w:r>
        <w:t>Results</w:t>
      </w:r>
      <w:bookmarkEnd w:id="746"/>
      <w:bookmarkEnd w:id="747"/>
      <w:bookmarkEnd w:id="748"/>
    </w:p>
    <w:p w14:paraId="25858BCA" w14:textId="0A51069B" w:rsidR="001C46A1" w:rsidRPr="001C46A1" w:rsidRDefault="007C7A26" w:rsidP="001C46A1">
      <w:r>
        <w:fldChar w:fldCharType="begin"/>
      </w:r>
      <w:r>
        <w:instrText xml:space="preserve"> REF _Ref67226725 \h </w:instrText>
      </w:r>
      <w:r>
        <w:fldChar w:fldCharType="separate"/>
      </w:r>
      <w:r w:rsidR="0041125F" w:rsidRPr="00477961">
        <w:t>Table </w:t>
      </w:r>
      <w:r w:rsidR="0041125F">
        <w:rPr>
          <w:noProof/>
        </w:rPr>
        <w:t>96</w:t>
      </w:r>
      <w:r>
        <w:fldChar w:fldCharType="end"/>
      </w:r>
      <w:r>
        <w:t xml:space="preserve"> </w:t>
      </w:r>
      <w:r w:rsidR="001C46A1" w:rsidRPr="001C46A1">
        <w:t xml:space="preserve">shows the single-entry and </w:t>
      </w:r>
      <w:r>
        <w:fldChar w:fldCharType="begin"/>
      </w:r>
      <w:r>
        <w:instrText xml:space="preserve"> REF _Ref67226733 \h </w:instrText>
      </w:r>
      <w:r>
        <w:fldChar w:fldCharType="separate"/>
      </w:r>
      <w:r w:rsidR="0041125F" w:rsidRPr="00477961">
        <w:t>Table </w:t>
      </w:r>
      <w:r w:rsidR="0041125F">
        <w:rPr>
          <w:noProof/>
        </w:rPr>
        <w:t>97</w:t>
      </w:r>
      <w:r>
        <w:fldChar w:fldCharType="end"/>
      </w:r>
      <w:r>
        <w:t xml:space="preserve"> </w:t>
      </w:r>
      <w:r w:rsidR="001C46A1" w:rsidRPr="001C46A1">
        <w:t xml:space="preserve">the aggregate </w:t>
      </w:r>
      <w:r w:rsidR="00791D2C">
        <w:t>worst</w:t>
      </w:r>
      <w:r w:rsidR="001C46A1" w:rsidRPr="001C46A1">
        <w:t>-case results for LPR, e.g. the residual margins for the individual frequency ranges, and EESS victim sensors. A positive margin indicates that the interference criterion is fulfilled and a negative margin that the criterion is violated.</w:t>
      </w:r>
    </w:p>
    <w:p w14:paraId="0F507910" w14:textId="6816F57A" w:rsidR="001C46A1" w:rsidRDefault="007C7A26" w:rsidP="001C46A1">
      <w:pPr>
        <w:pStyle w:val="Caption"/>
      </w:pPr>
      <w:bookmarkStart w:id="749" w:name="_Ref67226725"/>
      <w:r w:rsidRPr="00477961">
        <w:t>Table </w:t>
      </w:r>
      <w:r>
        <w:fldChar w:fldCharType="begin"/>
      </w:r>
      <w:r>
        <w:instrText>SEQ Table \* ARABIC</w:instrText>
      </w:r>
      <w:r>
        <w:fldChar w:fldCharType="separate"/>
      </w:r>
      <w:r w:rsidR="004F49F9">
        <w:rPr>
          <w:noProof/>
        </w:rPr>
        <w:t>96</w:t>
      </w:r>
      <w:r>
        <w:fldChar w:fldCharType="end"/>
      </w:r>
      <w:bookmarkEnd w:id="749"/>
      <w:r w:rsidR="001C46A1">
        <w:t xml:space="preserve">: </w:t>
      </w:r>
      <w:r w:rsidR="001C46A1" w:rsidRPr="006231F5">
        <w:t xml:space="preserve">Margins to the </w:t>
      </w:r>
      <w:r w:rsidR="001C46A1">
        <w:t xml:space="preserve">EESS </w:t>
      </w:r>
      <w:r w:rsidR="001C46A1" w:rsidRPr="006231F5">
        <w:t xml:space="preserve">interference criterion determined in a single-entry study </w:t>
      </w:r>
      <w:r w:rsidR="001C46A1" w:rsidRPr="00BA03AD">
        <w:t>for LPR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52A97F5A"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1D410287" w14:textId="77777777" w:rsidR="001C46A1" w:rsidRPr="001C46A1" w:rsidRDefault="001C46A1" w:rsidP="00876039">
            <w:pPr>
              <w:pStyle w:val="ECCTableHeaderwhitefont"/>
            </w:pPr>
            <w:r w:rsidRPr="001C46A1">
              <w:t>Investigated Frequency range</w:t>
            </w:r>
          </w:p>
        </w:tc>
        <w:tc>
          <w:tcPr>
            <w:tcW w:w="2171" w:type="dxa"/>
          </w:tcPr>
          <w:p w14:paraId="620AB2DB" w14:textId="77777777" w:rsidR="001C46A1" w:rsidRPr="001C46A1" w:rsidRDefault="001C46A1" w:rsidP="000A69BD">
            <w:pPr>
              <w:pStyle w:val="ECCTableHeaderwhitefont"/>
            </w:pPr>
            <w:r w:rsidRPr="001C46A1">
              <w:t>Allocated band for EESS</w:t>
            </w:r>
          </w:p>
        </w:tc>
        <w:tc>
          <w:tcPr>
            <w:tcW w:w="1418" w:type="dxa"/>
          </w:tcPr>
          <w:p w14:paraId="4F7C7624" w14:textId="77777777" w:rsidR="001C46A1" w:rsidRPr="001C46A1" w:rsidRDefault="001C46A1" w:rsidP="000A69BD">
            <w:pPr>
              <w:pStyle w:val="ECCTableHeaderwhitefont"/>
            </w:pPr>
            <w:r w:rsidRPr="001C46A1">
              <w:t>Evaluated frequency</w:t>
            </w:r>
          </w:p>
        </w:tc>
        <w:tc>
          <w:tcPr>
            <w:tcW w:w="2693" w:type="dxa"/>
          </w:tcPr>
          <w:p w14:paraId="74CD2335" w14:textId="77777777" w:rsidR="001C46A1" w:rsidRPr="001C46A1" w:rsidRDefault="001C46A1" w:rsidP="000A69BD">
            <w:pPr>
              <w:pStyle w:val="ECCTableHeaderwhitefont"/>
            </w:pPr>
            <w:r w:rsidRPr="001C46A1">
              <w:t>EESS victim sensor</w:t>
            </w:r>
          </w:p>
        </w:tc>
        <w:tc>
          <w:tcPr>
            <w:tcW w:w="1554" w:type="dxa"/>
          </w:tcPr>
          <w:p w14:paraId="7CCCAA2D" w14:textId="77777777" w:rsidR="001C46A1" w:rsidRPr="001C46A1" w:rsidRDefault="001C46A1" w:rsidP="000A69BD">
            <w:pPr>
              <w:pStyle w:val="ECCTableHeaderwhitefont"/>
            </w:pPr>
            <w:r w:rsidRPr="001C46A1">
              <w:t>Margin to interference criterion</w:t>
            </w:r>
          </w:p>
        </w:tc>
      </w:tr>
      <w:tr w:rsidR="001C46A1" w14:paraId="332E6687" w14:textId="77777777" w:rsidTr="004E0271">
        <w:tc>
          <w:tcPr>
            <w:tcW w:w="1793" w:type="dxa"/>
            <w:vMerge w:val="restart"/>
          </w:tcPr>
          <w:p w14:paraId="4B87750A"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26A1D634" w14:textId="77777777" w:rsidR="00B26C74" w:rsidRPr="001C46A1" w:rsidRDefault="001C46A1" w:rsidP="000A69BD">
            <w:pPr>
              <w:pStyle w:val="ECCTabletext"/>
              <w:jc w:val="left"/>
            </w:pPr>
            <w:r>
              <w:t>114</w:t>
            </w:r>
            <w:r w:rsidR="00CF4994">
              <w:t>.2</w:t>
            </w:r>
            <w:r>
              <w:t>5 to 122</w:t>
            </w:r>
            <w:r w:rsidR="00CF4994">
              <w:t>.2</w:t>
            </w:r>
            <w:r>
              <w:t>5 GHz</w:t>
            </w:r>
            <w:r w:rsidR="00B26C74">
              <w:t xml:space="preserve"> (In-band)</w:t>
            </w:r>
          </w:p>
        </w:tc>
        <w:tc>
          <w:tcPr>
            <w:tcW w:w="1418" w:type="dxa"/>
          </w:tcPr>
          <w:p w14:paraId="29A34D01" w14:textId="77777777" w:rsidR="001C46A1" w:rsidRPr="001C46A1" w:rsidRDefault="001C46A1" w:rsidP="000A69BD">
            <w:pPr>
              <w:pStyle w:val="ECCTabletext"/>
              <w:jc w:val="left"/>
            </w:pPr>
            <w:r>
              <w:t>119</w:t>
            </w:r>
            <w:r w:rsidR="00CF4994">
              <w:t>.1</w:t>
            </w:r>
            <w:r>
              <w:t>25 GHz</w:t>
            </w:r>
          </w:p>
        </w:tc>
        <w:tc>
          <w:tcPr>
            <w:tcW w:w="2693" w:type="dxa"/>
          </w:tcPr>
          <w:p w14:paraId="78CDD71B" w14:textId="77777777" w:rsidR="001C46A1" w:rsidRPr="001C46A1" w:rsidRDefault="001C46A1" w:rsidP="000A69BD">
            <w:pPr>
              <w:pStyle w:val="ECCTabletext"/>
              <w:jc w:val="left"/>
            </w:pPr>
            <w:r>
              <w:t>MWI conical scanner</w:t>
            </w:r>
          </w:p>
        </w:tc>
        <w:tc>
          <w:tcPr>
            <w:tcW w:w="1554" w:type="dxa"/>
          </w:tcPr>
          <w:p w14:paraId="0BC22C69" w14:textId="77777777" w:rsidR="001C46A1" w:rsidRPr="001C46A1" w:rsidRDefault="009B67A5" w:rsidP="000A69BD">
            <w:pPr>
              <w:pStyle w:val="ECCTabletext"/>
              <w:jc w:val="left"/>
            </w:pPr>
            <w:r>
              <w:t>0</w:t>
            </w:r>
            <w:r w:rsidR="00CF4994">
              <w:t>.1</w:t>
            </w:r>
            <w:r w:rsidR="001C46A1" w:rsidRPr="001C46A1">
              <w:t> dB</w:t>
            </w:r>
          </w:p>
        </w:tc>
      </w:tr>
      <w:tr w:rsidR="001C46A1" w14:paraId="4EE4B06B" w14:textId="77777777" w:rsidTr="004E0271">
        <w:tc>
          <w:tcPr>
            <w:tcW w:w="1793" w:type="dxa"/>
            <w:vMerge/>
          </w:tcPr>
          <w:p w14:paraId="16200D3B" w14:textId="77777777" w:rsidR="001C46A1" w:rsidRPr="00C53FB5" w:rsidRDefault="001C46A1" w:rsidP="001C46A1">
            <w:pPr>
              <w:pStyle w:val="ECCTabletext"/>
            </w:pPr>
          </w:p>
        </w:tc>
        <w:tc>
          <w:tcPr>
            <w:tcW w:w="2171" w:type="dxa"/>
          </w:tcPr>
          <w:p w14:paraId="66A84F26" w14:textId="77777777" w:rsidR="001C46A1" w:rsidRPr="001C46A1" w:rsidRDefault="001C46A1" w:rsidP="000A69BD">
            <w:pPr>
              <w:pStyle w:val="ECCTabletext"/>
              <w:jc w:val="left"/>
            </w:pPr>
            <w:r>
              <w:t>148</w:t>
            </w:r>
            <w:r w:rsidR="00CF4994">
              <w:t>.5</w:t>
            </w:r>
            <w:r>
              <w:t xml:space="preserve"> to 151</w:t>
            </w:r>
            <w:r w:rsidR="00CF4994">
              <w:t>.5</w:t>
            </w:r>
            <w:r>
              <w:t> GHz</w:t>
            </w:r>
            <w:r w:rsidR="00B26C74">
              <w:t xml:space="preserve"> (OOB)</w:t>
            </w:r>
          </w:p>
        </w:tc>
        <w:tc>
          <w:tcPr>
            <w:tcW w:w="1418" w:type="dxa"/>
          </w:tcPr>
          <w:p w14:paraId="61F13FEA" w14:textId="77777777" w:rsidR="001C46A1" w:rsidRPr="001C46A1" w:rsidRDefault="001C46A1" w:rsidP="000A69BD">
            <w:pPr>
              <w:pStyle w:val="ECCTabletext"/>
              <w:jc w:val="left"/>
            </w:pPr>
            <w:r>
              <w:t>150 GHz</w:t>
            </w:r>
          </w:p>
        </w:tc>
        <w:tc>
          <w:tcPr>
            <w:tcW w:w="2693" w:type="dxa"/>
          </w:tcPr>
          <w:p w14:paraId="7F2DEF69" w14:textId="77777777" w:rsidR="001C46A1" w:rsidRPr="001C46A1" w:rsidRDefault="001C46A1" w:rsidP="000A69BD">
            <w:pPr>
              <w:pStyle w:val="ECCTabletext"/>
              <w:jc w:val="left"/>
            </w:pPr>
            <w:r>
              <w:t>Sensor N1 nadir scanner (at nadir)</w:t>
            </w:r>
          </w:p>
        </w:tc>
        <w:tc>
          <w:tcPr>
            <w:tcW w:w="1554" w:type="dxa"/>
          </w:tcPr>
          <w:p w14:paraId="20469591" w14:textId="77777777" w:rsidR="001C46A1" w:rsidRPr="001C46A1" w:rsidRDefault="009B67A5" w:rsidP="000A69BD">
            <w:pPr>
              <w:pStyle w:val="ECCTabletext"/>
              <w:jc w:val="left"/>
            </w:pPr>
            <w:r>
              <w:t>29</w:t>
            </w:r>
            <w:r w:rsidR="00CF4994">
              <w:t>.3</w:t>
            </w:r>
            <w:r w:rsidR="001C46A1" w:rsidRPr="00461406">
              <w:t> dB</w:t>
            </w:r>
          </w:p>
        </w:tc>
      </w:tr>
      <w:tr w:rsidR="001C46A1" w14:paraId="7FB7D780" w14:textId="77777777" w:rsidTr="004E0271">
        <w:tc>
          <w:tcPr>
            <w:tcW w:w="1793" w:type="dxa"/>
            <w:vMerge w:val="restart"/>
          </w:tcPr>
          <w:p w14:paraId="3650E36C" w14:textId="77777777" w:rsidR="001C46A1" w:rsidRPr="001C46A1" w:rsidRDefault="001C46A1" w:rsidP="000A69BD">
            <w:pPr>
              <w:pStyle w:val="ECCTabletext"/>
              <w:jc w:val="left"/>
            </w:pPr>
            <w:r>
              <w:t>167 to 182 GHz</w:t>
            </w:r>
          </w:p>
        </w:tc>
        <w:tc>
          <w:tcPr>
            <w:tcW w:w="2171" w:type="dxa"/>
          </w:tcPr>
          <w:p w14:paraId="583164F3" w14:textId="77777777" w:rsidR="001C46A1" w:rsidRPr="001C46A1" w:rsidRDefault="001C46A1" w:rsidP="000A69BD">
            <w:pPr>
              <w:pStyle w:val="ECCTabletext"/>
              <w:jc w:val="left"/>
            </w:pPr>
            <w:r>
              <w:t>164 to 167 GHz</w:t>
            </w:r>
            <w:r w:rsidR="00B26C74">
              <w:t xml:space="preserve"> (OOB)</w:t>
            </w:r>
          </w:p>
        </w:tc>
        <w:tc>
          <w:tcPr>
            <w:tcW w:w="1418" w:type="dxa"/>
          </w:tcPr>
          <w:p w14:paraId="79FA9963" w14:textId="77777777" w:rsidR="001C46A1" w:rsidRPr="001C46A1" w:rsidRDefault="001C46A1" w:rsidP="000A69BD">
            <w:pPr>
              <w:pStyle w:val="ECCTabletext"/>
              <w:jc w:val="left"/>
            </w:pPr>
            <w:r>
              <w:t>165</w:t>
            </w:r>
            <w:r w:rsidR="00CF4994">
              <w:t>.5</w:t>
            </w:r>
            <w:r>
              <w:t> GHz</w:t>
            </w:r>
          </w:p>
        </w:tc>
        <w:tc>
          <w:tcPr>
            <w:tcW w:w="2693" w:type="dxa"/>
          </w:tcPr>
          <w:p w14:paraId="1DDB6660" w14:textId="77777777" w:rsidR="001C46A1" w:rsidRPr="001C46A1" w:rsidRDefault="001C46A1" w:rsidP="000A69BD">
            <w:pPr>
              <w:pStyle w:val="ECCTabletext"/>
              <w:jc w:val="left"/>
            </w:pPr>
            <w:r>
              <w:t>Sensor P1 conical scanner</w:t>
            </w:r>
          </w:p>
        </w:tc>
        <w:tc>
          <w:tcPr>
            <w:tcW w:w="1554" w:type="dxa"/>
          </w:tcPr>
          <w:p w14:paraId="04F32AA6" w14:textId="77777777" w:rsidR="001C46A1" w:rsidRPr="001C46A1" w:rsidRDefault="009B67A5" w:rsidP="000A69BD">
            <w:pPr>
              <w:pStyle w:val="ECCTabletext"/>
              <w:jc w:val="left"/>
            </w:pPr>
            <w:r>
              <w:t>28</w:t>
            </w:r>
            <w:r w:rsidR="00CF4994">
              <w:t>.2</w:t>
            </w:r>
            <w:r w:rsidR="001C46A1" w:rsidRPr="00461406">
              <w:t> dB</w:t>
            </w:r>
          </w:p>
        </w:tc>
      </w:tr>
      <w:tr w:rsidR="001C46A1" w14:paraId="08DF83B4" w14:textId="77777777" w:rsidTr="004E0271">
        <w:tc>
          <w:tcPr>
            <w:tcW w:w="1793" w:type="dxa"/>
            <w:vMerge/>
          </w:tcPr>
          <w:p w14:paraId="4AD3485A" w14:textId="77777777" w:rsidR="001C46A1" w:rsidRDefault="001C46A1" w:rsidP="001C46A1">
            <w:pPr>
              <w:pStyle w:val="ECCTabletext"/>
            </w:pPr>
          </w:p>
        </w:tc>
        <w:tc>
          <w:tcPr>
            <w:tcW w:w="2171" w:type="dxa"/>
          </w:tcPr>
          <w:p w14:paraId="268B9278" w14:textId="77777777" w:rsidR="001C46A1" w:rsidRPr="001C46A1" w:rsidRDefault="001C46A1" w:rsidP="000A69BD">
            <w:pPr>
              <w:pStyle w:val="ECCTabletext"/>
              <w:jc w:val="left"/>
            </w:pPr>
            <w:r>
              <w:t>174</w:t>
            </w:r>
            <w:r w:rsidR="00CF4994">
              <w:t>.8</w:t>
            </w:r>
            <w:r>
              <w:t> to 191</w:t>
            </w:r>
            <w:r w:rsidR="00CF4994">
              <w:t>.8</w:t>
            </w:r>
            <w:r>
              <w:t> GHz</w:t>
            </w:r>
            <w:r w:rsidR="00B26C74">
              <w:t xml:space="preserve"> (In-band)</w:t>
            </w:r>
          </w:p>
        </w:tc>
        <w:tc>
          <w:tcPr>
            <w:tcW w:w="1418" w:type="dxa"/>
          </w:tcPr>
          <w:p w14:paraId="537EBD0A" w14:textId="77777777" w:rsidR="001C46A1" w:rsidRPr="001C46A1" w:rsidRDefault="001C46A1" w:rsidP="000A69BD">
            <w:pPr>
              <w:pStyle w:val="ECCTabletext"/>
              <w:jc w:val="left"/>
            </w:pPr>
            <w:r>
              <w:t>178</w:t>
            </w:r>
            <w:r w:rsidR="00CF4994">
              <w:t>.4</w:t>
            </w:r>
            <w:r>
              <w:t> GHz</w:t>
            </w:r>
          </w:p>
        </w:tc>
        <w:tc>
          <w:tcPr>
            <w:tcW w:w="2693" w:type="dxa"/>
          </w:tcPr>
          <w:p w14:paraId="4027125B" w14:textId="77777777" w:rsidR="001C46A1" w:rsidRPr="001C46A1" w:rsidRDefault="001C46A1" w:rsidP="000A69BD">
            <w:pPr>
              <w:pStyle w:val="ECCTabletext"/>
              <w:jc w:val="left"/>
            </w:pPr>
            <w:r>
              <w:t xml:space="preserve">AWS nadir scanner (at </w:t>
            </w:r>
            <w:r w:rsidRPr="001C46A1">
              <w:t>nadir)</w:t>
            </w:r>
          </w:p>
        </w:tc>
        <w:tc>
          <w:tcPr>
            <w:tcW w:w="1554" w:type="dxa"/>
          </w:tcPr>
          <w:p w14:paraId="35F81236" w14:textId="77777777" w:rsidR="001C46A1" w:rsidRPr="001C46A1" w:rsidRDefault="009B67A5" w:rsidP="000A69BD">
            <w:pPr>
              <w:pStyle w:val="ECCTabletext"/>
              <w:jc w:val="left"/>
            </w:pPr>
            <w:r>
              <w:t>8</w:t>
            </w:r>
            <w:r w:rsidR="00CF4994">
              <w:t>.6</w:t>
            </w:r>
            <w:r w:rsidR="001C46A1" w:rsidRPr="00461406">
              <w:t> dB</w:t>
            </w:r>
          </w:p>
        </w:tc>
      </w:tr>
      <w:tr w:rsidR="001C46A1" w14:paraId="1F19B419" w14:textId="77777777" w:rsidTr="004E0271">
        <w:tc>
          <w:tcPr>
            <w:tcW w:w="1793" w:type="dxa"/>
            <w:vMerge w:val="restart"/>
          </w:tcPr>
          <w:p w14:paraId="01CC3AF4" w14:textId="77777777" w:rsidR="001C46A1" w:rsidRPr="001C46A1" w:rsidRDefault="001C46A1" w:rsidP="000A69BD">
            <w:pPr>
              <w:pStyle w:val="ECCTabletext"/>
              <w:jc w:val="left"/>
            </w:pPr>
            <w:r>
              <w:t>231</w:t>
            </w:r>
            <w:r w:rsidR="00CF4994">
              <w:t>.5</w:t>
            </w:r>
            <w:r>
              <w:t xml:space="preserve"> to 250 GHz</w:t>
            </w:r>
          </w:p>
        </w:tc>
        <w:tc>
          <w:tcPr>
            <w:tcW w:w="2171" w:type="dxa"/>
          </w:tcPr>
          <w:p w14:paraId="12FE5CB7" w14:textId="77777777" w:rsidR="001C46A1" w:rsidRPr="001C46A1" w:rsidRDefault="001C46A1" w:rsidP="000A69BD">
            <w:pPr>
              <w:pStyle w:val="ECCTabletext"/>
              <w:jc w:val="left"/>
            </w:pPr>
            <w:r>
              <w:t>226 to 231</w:t>
            </w:r>
            <w:r w:rsidR="00CF4994">
              <w:t>.5</w:t>
            </w:r>
            <w:r>
              <w:t> GHz</w:t>
            </w:r>
            <w:r w:rsidR="00B26C74">
              <w:t xml:space="preserve"> (OOB)</w:t>
            </w:r>
          </w:p>
        </w:tc>
        <w:tc>
          <w:tcPr>
            <w:tcW w:w="1418" w:type="dxa"/>
          </w:tcPr>
          <w:p w14:paraId="43378331" w14:textId="77777777" w:rsidR="001C46A1" w:rsidRPr="001C46A1" w:rsidRDefault="001C46A1" w:rsidP="000A69BD">
            <w:pPr>
              <w:pStyle w:val="ECCTabletext"/>
              <w:jc w:val="left"/>
            </w:pPr>
            <w:r>
              <w:t>228</w:t>
            </w:r>
            <w:r w:rsidR="00CF4994">
              <w:t>.7</w:t>
            </w:r>
            <w:r>
              <w:t>5 GHz</w:t>
            </w:r>
          </w:p>
        </w:tc>
        <w:tc>
          <w:tcPr>
            <w:tcW w:w="2693" w:type="dxa"/>
          </w:tcPr>
          <w:p w14:paraId="43B0CDCF" w14:textId="77777777" w:rsidR="001C46A1" w:rsidRPr="001C46A1" w:rsidRDefault="001C46A1" w:rsidP="000A69BD">
            <w:pPr>
              <w:pStyle w:val="ECCTabletext"/>
              <w:jc w:val="left"/>
            </w:pPr>
            <w:r>
              <w:t>AWS nadir scanner (at nadir)</w:t>
            </w:r>
          </w:p>
        </w:tc>
        <w:tc>
          <w:tcPr>
            <w:tcW w:w="1554" w:type="dxa"/>
          </w:tcPr>
          <w:p w14:paraId="70D46453" w14:textId="77777777" w:rsidR="001C46A1" w:rsidRPr="001C46A1" w:rsidRDefault="009B67A5" w:rsidP="000A69BD">
            <w:pPr>
              <w:pStyle w:val="ECCTabletext"/>
              <w:jc w:val="left"/>
            </w:pPr>
            <w:r>
              <w:t>30</w:t>
            </w:r>
            <w:r w:rsidR="00CF4994">
              <w:t>.3</w:t>
            </w:r>
            <w:r w:rsidR="001C46A1" w:rsidRPr="00461406">
              <w:t> dB</w:t>
            </w:r>
          </w:p>
        </w:tc>
      </w:tr>
      <w:tr w:rsidR="001C46A1" w14:paraId="685DC96D" w14:textId="77777777" w:rsidTr="004E0271">
        <w:tc>
          <w:tcPr>
            <w:tcW w:w="1793" w:type="dxa"/>
            <w:vMerge/>
          </w:tcPr>
          <w:p w14:paraId="381EE4F2" w14:textId="77777777" w:rsidR="001C46A1" w:rsidRDefault="001C46A1" w:rsidP="001C46A1">
            <w:pPr>
              <w:pStyle w:val="ECCTabletext"/>
            </w:pPr>
          </w:p>
        </w:tc>
        <w:tc>
          <w:tcPr>
            <w:tcW w:w="2171" w:type="dxa"/>
          </w:tcPr>
          <w:p w14:paraId="1441E4CB" w14:textId="77777777" w:rsidR="001C46A1" w:rsidRPr="001C46A1" w:rsidRDefault="001C46A1" w:rsidP="000A69BD">
            <w:pPr>
              <w:pStyle w:val="ECCTabletext"/>
              <w:jc w:val="left"/>
            </w:pPr>
            <w:r>
              <w:t>239 to 248 GHz</w:t>
            </w:r>
            <w:r w:rsidR="00B26C74">
              <w:t xml:space="preserve"> (In-band)</w:t>
            </w:r>
          </w:p>
        </w:tc>
        <w:tc>
          <w:tcPr>
            <w:tcW w:w="1418" w:type="dxa"/>
          </w:tcPr>
          <w:p w14:paraId="3EF30129" w14:textId="77777777" w:rsidR="001C46A1" w:rsidRPr="001C46A1" w:rsidRDefault="001C46A1" w:rsidP="000A69BD">
            <w:pPr>
              <w:pStyle w:val="ECCTabletext"/>
              <w:jc w:val="left"/>
            </w:pPr>
            <w:r>
              <w:t>243</w:t>
            </w:r>
            <w:r w:rsidR="00CF4994">
              <w:t>.5</w:t>
            </w:r>
            <w:r>
              <w:t> GHz</w:t>
            </w:r>
          </w:p>
        </w:tc>
        <w:tc>
          <w:tcPr>
            <w:tcW w:w="2693" w:type="dxa"/>
          </w:tcPr>
          <w:p w14:paraId="0B804B54" w14:textId="77777777" w:rsidR="001C46A1" w:rsidRPr="001C46A1" w:rsidRDefault="001C46A1" w:rsidP="000A69BD">
            <w:pPr>
              <w:pStyle w:val="ECCTabletext"/>
              <w:jc w:val="left"/>
            </w:pPr>
            <w:r>
              <w:t>AWS nadir scanner (at nadir)</w:t>
            </w:r>
          </w:p>
        </w:tc>
        <w:tc>
          <w:tcPr>
            <w:tcW w:w="1554" w:type="dxa"/>
          </w:tcPr>
          <w:p w14:paraId="53D6894A" w14:textId="77777777" w:rsidR="001C46A1" w:rsidRPr="001C46A1" w:rsidRDefault="009B67A5" w:rsidP="000A69BD">
            <w:pPr>
              <w:pStyle w:val="ECCTabletext"/>
              <w:jc w:val="left"/>
            </w:pPr>
            <w:r>
              <w:t>11</w:t>
            </w:r>
            <w:r w:rsidR="00CF4994">
              <w:t>.4</w:t>
            </w:r>
            <w:r w:rsidR="001C46A1" w:rsidRPr="00461406">
              <w:t> dB</w:t>
            </w:r>
          </w:p>
        </w:tc>
      </w:tr>
    </w:tbl>
    <w:p w14:paraId="710549DD" w14:textId="78D85DDD" w:rsidR="001C46A1" w:rsidRDefault="007C7A26" w:rsidP="001C46A1">
      <w:pPr>
        <w:pStyle w:val="Caption"/>
      </w:pPr>
      <w:bookmarkStart w:id="750" w:name="_Ref67226733"/>
      <w:r w:rsidRPr="00477961">
        <w:t>Table </w:t>
      </w:r>
      <w:r>
        <w:fldChar w:fldCharType="begin"/>
      </w:r>
      <w:r>
        <w:instrText>SEQ Table \* ARABIC</w:instrText>
      </w:r>
      <w:r>
        <w:fldChar w:fldCharType="separate"/>
      </w:r>
      <w:r w:rsidR="004F49F9">
        <w:rPr>
          <w:noProof/>
        </w:rPr>
        <w:t>97</w:t>
      </w:r>
      <w:r>
        <w:fldChar w:fldCharType="end"/>
      </w:r>
      <w:bookmarkEnd w:id="750"/>
      <w:r w:rsidR="001C46A1">
        <w:t xml:space="preserve">: </w:t>
      </w:r>
      <w:r w:rsidR="001C46A1" w:rsidRPr="006231F5">
        <w:t xml:space="preserve">Margins to the </w:t>
      </w:r>
      <w:r w:rsidR="001C46A1">
        <w:t xml:space="preserve">EESS </w:t>
      </w:r>
      <w:r w:rsidR="001C46A1" w:rsidRPr="006231F5">
        <w:t xml:space="preserve">interference criterion determined in </w:t>
      </w:r>
      <w:r w:rsidR="001C46A1">
        <w:t xml:space="preserve">an aggregate </w:t>
      </w:r>
      <w:r w:rsidR="001C46A1" w:rsidRPr="006231F5">
        <w:t xml:space="preserve">study </w:t>
      </w:r>
      <w:r w:rsidR="001C46A1" w:rsidRPr="00BA03AD">
        <w:t>for LPR</w:t>
      </w:r>
    </w:p>
    <w:tbl>
      <w:tblPr>
        <w:tblStyle w:val="ECCTable-redheader"/>
        <w:tblW w:w="0" w:type="auto"/>
        <w:tblInd w:w="0" w:type="dxa"/>
        <w:tblLook w:val="04A0" w:firstRow="1" w:lastRow="0" w:firstColumn="1" w:lastColumn="0" w:noHBand="0" w:noVBand="1"/>
      </w:tblPr>
      <w:tblGrid>
        <w:gridCol w:w="1763"/>
        <w:gridCol w:w="2201"/>
        <w:gridCol w:w="1418"/>
        <w:gridCol w:w="2693"/>
        <w:gridCol w:w="1554"/>
      </w:tblGrid>
      <w:tr w:rsidR="001C46A1" w14:paraId="60E18D73" w14:textId="77777777" w:rsidTr="004E0271">
        <w:trPr>
          <w:cnfStyle w:val="100000000000" w:firstRow="1" w:lastRow="0" w:firstColumn="0" w:lastColumn="0" w:oddVBand="0" w:evenVBand="0" w:oddHBand="0" w:evenHBand="0" w:firstRowFirstColumn="0" w:firstRowLastColumn="0" w:lastRowFirstColumn="0" w:lastRowLastColumn="0"/>
        </w:trPr>
        <w:tc>
          <w:tcPr>
            <w:tcW w:w="1763" w:type="dxa"/>
          </w:tcPr>
          <w:p w14:paraId="72EF995F" w14:textId="77777777" w:rsidR="001C46A1" w:rsidRPr="001C46A1" w:rsidRDefault="001C46A1" w:rsidP="00876039">
            <w:pPr>
              <w:pStyle w:val="ECCTableHeaderwhitefont"/>
            </w:pPr>
            <w:r w:rsidRPr="001C46A1">
              <w:t>Investigated Frequency range</w:t>
            </w:r>
          </w:p>
        </w:tc>
        <w:tc>
          <w:tcPr>
            <w:tcW w:w="2201" w:type="dxa"/>
          </w:tcPr>
          <w:p w14:paraId="6CDBB58A" w14:textId="77777777" w:rsidR="001C46A1" w:rsidRPr="001C46A1" w:rsidRDefault="001C46A1" w:rsidP="000A69BD">
            <w:pPr>
              <w:pStyle w:val="ECCTableHeaderwhitefont"/>
            </w:pPr>
            <w:r w:rsidRPr="001C46A1">
              <w:t>Allocated band for EESS</w:t>
            </w:r>
          </w:p>
        </w:tc>
        <w:tc>
          <w:tcPr>
            <w:tcW w:w="1418" w:type="dxa"/>
          </w:tcPr>
          <w:p w14:paraId="43D05BDB" w14:textId="77777777" w:rsidR="001C46A1" w:rsidRPr="001C46A1" w:rsidRDefault="001C46A1" w:rsidP="000A69BD">
            <w:pPr>
              <w:pStyle w:val="ECCTableHeaderwhitefont"/>
            </w:pPr>
            <w:r w:rsidRPr="001C46A1">
              <w:t>Evaluated Frequency</w:t>
            </w:r>
          </w:p>
        </w:tc>
        <w:tc>
          <w:tcPr>
            <w:tcW w:w="2693" w:type="dxa"/>
          </w:tcPr>
          <w:p w14:paraId="2B60A99E" w14:textId="77777777" w:rsidR="001C46A1" w:rsidRPr="001C46A1" w:rsidRDefault="001C46A1" w:rsidP="000A69BD">
            <w:pPr>
              <w:pStyle w:val="ECCTableHeaderwhitefont"/>
            </w:pPr>
            <w:r w:rsidRPr="001C46A1">
              <w:t>EESS victim sensor</w:t>
            </w:r>
          </w:p>
        </w:tc>
        <w:tc>
          <w:tcPr>
            <w:tcW w:w="1554" w:type="dxa"/>
          </w:tcPr>
          <w:p w14:paraId="3657C9B2" w14:textId="77777777" w:rsidR="001C46A1" w:rsidRPr="001C46A1" w:rsidRDefault="001C46A1" w:rsidP="000A69BD">
            <w:pPr>
              <w:pStyle w:val="ECCTableHeaderwhitefont"/>
            </w:pPr>
            <w:r w:rsidRPr="001C46A1">
              <w:t>Margin to interference criterion</w:t>
            </w:r>
          </w:p>
        </w:tc>
      </w:tr>
      <w:tr w:rsidR="001C46A1" w14:paraId="2952FBDC" w14:textId="77777777" w:rsidTr="004E0271">
        <w:tc>
          <w:tcPr>
            <w:tcW w:w="1763" w:type="dxa"/>
            <w:vMerge w:val="restart"/>
          </w:tcPr>
          <w:p w14:paraId="47FC622C"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201" w:type="dxa"/>
          </w:tcPr>
          <w:p w14:paraId="384F1351" w14:textId="77777777" w:rsidR="001C46A1" w:rsidRPr="001C46A1" w:rsidRDefault="001C46A1" w:rsidP="000A69BD">
            <w:pPr>
              <w:pStyle w:val="ECCTabletext"/>
              <w:jc w:val="left"/>
            </w:pPr>
            <w:r>
              <w:t>114</w:t>
            </w:r>
            <w:r w:rsidR="00CF4994">
              <w:t>.2</w:t>
            </w:r>
            <w:r>
              <w:t>5 to 122</w:t>
            </w:r>
            <w:r w:rsidR="00CF4994">
              <w:t>.2</w:t>
            </w:r>
            <w:r>
              <w:t>5 GHz</w:t>
            </w:r>
            <w:r w:rsidR="00912683">
              <w:t xml:space="preserve"> (In-band)</w:t>
            </w:r>
          </w:p>
        </w:tc>
        <w:tc>
          <w:tcPr>
            <w:tcW w:w="1418" w:type="dxa"/>
          </w:tcPr>
          <w:p w14:paraId="4CA4E264" w14:textId="77777777" w:rsidR="001C46A1" w:rsidRPr="001C46A1" w:rsidRDefault="001C46A1" w:rsidP="000A69BD">
            <w:pPr>
              <w:pStyle w:val="ECCTabletext"/>
              <w:jc w:val="left"/>
            </w:pPr>
            <w:r>
              <w:t>119</w:t>
            </w:r>
            <w:r w:rsidR="00CF4994">
              <w:t>.1</w:t>
            </w:r>
            <w:r>
              <w:t>25 GHz</w:t>
            </w:r>
          </w:p>
        </w:tc>
        <w:tc>
          <w:tcPr>
            <w:tcW w:w="2693" w:type="dxa"/>
          </w:tcPr>
          <w:p w14:paraId="6C8DF99B" w14:textId="77777777" w:rsidR="001C46A1" w:rsidRPr="001C46A1" w:rsidRDefault="001C46A1" w:rsidP="000A69BD">
            <w:pPr>
              <w:pStyle w:val="ECCTabletext"/>
              <w:jc w:val="left"/>
            </w:pPr>
            <w:r>
              <w:t xml:space="preserve">MWI </w:t>
            </w:r>
            <w:r w:rsidRPr="001C46A1">
              <w:t>conical scanner</w:t>
            </w:r>
          </w:p>
        </w:tc>
        <w:tc>
          <w:tcPr>
            <w:tcW w:w="1554" w:type="dxa"/>
          </w:tcPr>
          <w:p w14:paraId="1DADA300" w14:textId="77777777" w:rsidR="001C46A1" w:rsidRPr="001C46A1" w:rsidRDefault="009B67A5" w:rsidP="000A69BD">
            <w:pPr>
              <w:pStyle w:val="ECCTabletext"/>
              <w:jc w:val="left"/>
            </w:pPr>
            <w:r>
              <w:t>6</w:t>
            </w:r>
            <w:r w:rsidR="00CF4994">
              <w:t>.9</w:t>
            </w:r>
            <w:r w:rsidR="001C46A1" w:rsidRPr="00461406">
              <w:t> dB</w:t>
            </w:r>
          </w:p>
        </w:tc>
      </w:tr>
      <w:tr w:rsidR="001C46A1" w14:paraId="2AEB8233" w14:textId="77777777" w:rsidTr="004E0271">
        <w:tc>
          <w:tcPr>
            <w:tcW w:w="1763" w:type="dxa"/>
            <w:vMerge/>
          </w:tcPr>
          <w:p w14:paraId="6F94FDFC" w14:textId="77777777" w:rsidR="001C46A1" w:rsidRPr="00C53FB5" w:rsidRDefault="001C46A1" w:rsidP="001C46A1">
            <w:pPr>
              <w:pStyle w:val="ECCTabletext"/>
            </w:pPr>
          </w:p>
        </w:tc>
        <w:tc>
          <w:tcPr>
            <w:tcW w:w="2201" w:type="dxa"/>
          </w:tcPr>
          <w:p w14:paraId="41E0AF4C" w14:textId="77777777" w:rsidR="001C46A1" w:rsidRPr="001C46A1" w:rsidRDefault="001C46A1" w:rsidP="000A69BD">
            <w:pPr>
              <w:pStyle w:val="ECCTabletext"/>
              <w:jc w:val="left"/>
            </w:pPr>
            <w:r>
              <w:t>148</w:t>
            </w:r>
            <w:r w:rsidR="00CF4994">
              <w:t>.5</w:t>
            </w:r>
            <w:r>
              <w:t xml:space="preserve"> to 151</w:t>
            </w:r>
            <w:r w:rsidR="00CF4994">
              <w:t>.5</w:t>
            </w:r>
            <w:r>
              <w:t> GHz</w:t>
            </w:r>
            <w:r w:rsidR="00912683">
              <w:t xml:space="preserve"> (OOB)</w:t>
            </w:r>
          </w:p>
        </w:tc>
        <w:tc>
          <w:tcPr>
            <w:tcW w:w="1418" w:type="dxa"/>
          </w:tcPr>
          <w:p w14:paraId="63B1CF19" w14:textId="77777777" w:rsidR="001C46A1" w:rsidRPr="001C46A1" w:rsidRDefault="001C46A1" w:rsidP="000A69BD">
            <w:pPr>
              <w:pStyle w:val="ECCTabletext"/>
              <w:jc w:val="left"/>
            </w:pPr>
            <w:r>
              <w:t>150 GHz</w:t>
            </w:r>
          </w:p>
        </w:tc>
        <w:tc>
          <w:tcPr>
            <w:tcW w:w="2693" w:type="dxa"/>
          </w:tcPr>
          <w:p w14:paraId="3762DFC7" w14:textId="77777777" w:rsidR="001C46A1" w:rsidRPr="001C46A1" w:rsidRDefault="001C46A1" w:rsidP="000A69BD">
            <w:pPr>
              <w:pStyle w:val="ECCTabletext"/>
              <w:jc w:val="left"/>
            </w:pPr>
            <w:r>
              <w:t xml:space="preserve">Sensor N1 nadir scanner (at </w:t>
            </w:r>
            <w:r w:rsidR="004E19B2">
              <w:t>outer</w:t>
            </w:r>
            <w:r>
              <w:t>)</w:t>
            </w:r>
          </w:p>
        </w:tc>
        <w:tc>
          <w:tcPr>
            <w:tcW w:w="1554" w:type="dxa"/>
          </w:tcPr>
          <w:p w14:paraId="672FAC22" w14:textId="77777777" w:rsidR="001C46A1" w:rsidRPr="001C46A1" w:rsidRDefault="009B67A5" w:rsidP="000A69BD">
            <w:pPr>
              <w:pStyle w:val="ECCTabletext"/>
              <w:jc w:val="left"/>
            </w:pPr>
            <w:r>
              <w:t>33</w:t>
            </w:r>
            <w:r w:rsidR="00CF4994">
              <w:t>.4</w:t>
            </w:r>
            <w:r w:rsidR="001C46A1" w:rsidRPr="00461406">
              <w:t> dB</w:t>
            </w:r>
          </w:p>
        </w:tc>
      </w:tr>
      <w:tr w:rsidR="001C46A1" w14:paraId="50720445" w14:textId="77777777" w:rsidTr="004E0271">
        <w:tc>
          <w:tcPr>
            <w:tcW w:w="1763" w:type="dxa"/>
            <w:vMerge w:val="restart"/>
          </w:tcPr>
          <w:p w14:paraId="27EE9CF2" w14:textId="77777777" w:rsidR="001C46A1" w:rsidRPr="001C46A1" w:rsidRDefault="001C46A1" w:rsidP="000A69BD">
            <w:pPr>
              <w:pStyle w:val="ECCTabletext"/>
              <w:jc w:val="left"/>
            </w:pPr>
            <w:r>
              <w:t>167 to 182 GHz</w:t>
            </w:r>
          </w:p>
        </w:tc>
        <w:tc>
          <w:tcPr>
            <w:tcW w:w="2201" w:type="dxa"/>
          </w:tcPr>
          <w:p w14:paraId="0807AF28" w14:textId="77777777" w:rsidR="001C46A1" w:rsidRPr="001C46A1" w:rsidRDefault="001C46A1" w:rsidP="000A69BD">
            <w:pPr>
              <w:pStyle w:val="ECCTabletext"/>
              <w:jc w:val="left"/>
            </w:pPr>
            <w:r>
              <w:t>164 to 167 GHz</w:t>
            </w:r>
            <w:r w:rsidR="00912683">
              <w:t xml:space="preserve"> (OOB)</w:t>
            </w:r>
          </w:p>
        </w:tc>
        <w:tc>
          <w:tcPr>
            <w:tcW w:w="1418" w:type="dxa"/>
          </w:tcPr>
          <w:p w14:paraId="29D750B3" w14:textId="77777777" w:rsidR="001C46A1" w:rsidRPr="001C46A1" w:rsidRDefault="001C46A1" w:rsidP="000A69BD">
            <w:pPr>
              <w:pStyle w:val="ECCTabletext"/>
              <w:jc w:val="left"/>
            </w:pPr>
            <w:r>
              <w:t>165</w:t>
            </w:r>
            <w:r w:rsidR="00CF4994">
              <w:t>.5</w:t>
            </w:r>
            <w:r>
              <w:t> GHz</w:t>
            </w:r>
          </w:p>
        </w:tc>
        <w:tc>
          <w:tcPr>
            <w:tcW w:w="2693" w:type="dxa"/>
          </w:tcPr>
          <w:p w14:paraId="443F9B39" w14:textId="77777777" w:rsidR="001C46A1" w:rsidRPr="001C46A1" w:rsidRDefault="001C46A1" w:rsidP="000A69BD">
            <w:pPr>
              <w:pStyle w:val="ECCTabletext"/>
              <w:jc w:val="left"/>
            </w:pPr>
            <w:r>
              <w:t>Sensor P1 conical scanner</w:t>
            </w:r>
          </w:p>
        </w:tc>
        <w:tc>
          <w:tcPr>
            <w:tcW w:w="1554" w:type="dxa"/>
          </w:tcPr>
          <w:p w14:paraId="5732BC63" w14:textId="77777777" w:rsidR="001C46A1" w:rsidRPr="001C46A1" w:rsidRDefault="009B67A5" w:rsidP="000A69BD">
            <w:pPr>
              <w:pStyle w:val="ECCTabletext"/>
              <w:jc w:val="left"/>
            </w:pPr>
            <w:r>
              <w:t>35</w:t>
            </w:r>
            <w:r w:rsidR="00CF4994">
              <w:t>.0</w:t>
            </w:r>
            <w:r w:rsidR="001C46A1" w:rsidRPr="00461406">
              <w:t> dB</w:t>
            </w:r>
          </w:p>
        </w:tc>
      </w:tr>
      <w:tr w:rsidR="001C46A1" w14:paraId="71BAD0D0" w14:textId="77777777" w:rsidTr="004E0271">
        <w:tc>
          <w:tcPr>
            <w:tcW w:w="1763" w:type="dxa"/>
            <w:vMerge/>
          </w:tcPr>
          <w:p w14:paraId="411AB0E5" w14:textId="77777777" w:rsidR="001C46A1" w:rsidRDefault="001C46A1" w:rsidP="001C46A1">
            <w:pPr>
              <w:pStyle w:val="ECCTabletext"/>
            </w:pPr>
          </w:p>
        </w:tc>
        <w:tc>
          <w:tcPr>
            <w:tcW w:w="2201" w:type="dxa"/>
          </w:tcPr>
          <w:p w14:paraId="38011543" w14:textId="77777777" w:rsidR="001C46A1" w:rsidRPr="001C46A1" w:rsidRDefault="001C46A1" w:rsidP="000A69BD">
            <w:pPr>
              <w:pStyle w:val="ECCTabletext"/>
              <w:jc w:val="left"/>
            </w:pPr>
            <w:r>
              <w:t>174</w:t>
            </w:r>
            <w:r w:rsidR="00CF4994">
              <w:t>.8</w:t>
            </w:r>
            <w:r>
              <w:t> to 191</w:t>
            </w:r>
            <w:r w:rsidR="00CF4994">
              <w:t>.8</w:t>
            </w:r>
            <w:r>
              <w:t> GHz</w:t>
            </w:r>
            <w:r w:rsidR="00912683">
              <w:t xml:space="preserve"> (In-band)</w:t>
            </w:r>
          </w:p>
        </w:tc>
        <w:tc>
          <w:tcPr>
            <w:tcW w:w="1418" w:type="dxa"/>
          </w:tcPr>
          <w:p w14:paraId="1C997D8A" w14:textId="77777777" w:rsidR="001C46A1" w:rsidRPr="001C46A1" w:rsidRDefault="001C46A1" w:rsidP="000A69BD">
            <w:pPr>
              <w:pStyle w:val="ECCTabletext"/>
              <w:jc w:val="left"/>
            </w:pPr>
            <w:r>
              <w:t>178</w:t>
            </w:r>
            <w:r w:rsidR="00CF4994">
              <w:t>.4</w:t>
            </w:r>
            <w:r>
              <w:t> GHz</w:t>
            </w:r>
          </w:p>
        </w:tc>
        <w:tc>
          <w:tcPr>
            <w:tcW w:w="2693" w:type="dxa"/>
          </w:tcPr>
          <w:p w14:paraId="4771D493" w14:textId="77777777" w:rsidR="001C46A1" w:rsidRPr="001C46A1" w:rsidRDefault="001C46A1" w:rsidP="000A69BD">
            <w:pPr>
              <w:pStyle w:val="ECCTabletext"/>
              <w:jc w:val="left"/>
            </w:pPr>
            <w:r>
              <w:t>AWS nadir scanner (at nadir)</w:t>
            </w:r>
          </w:p>
        </w:tc>
        <w:tc>
          <w:tcPr>
            <w:tcW w:w="1554" w:type="dxa"/>
          </w:tcPr>
          <w:p w14:paraId="74F4E324" w14:textId="77777777" w:rsidR="001C46A1" w:rsidRPr="001C46A1" w:rsidRDefault="009B67A5" w:rsidP="000A69BD">
            <w:pPr>
              <w:pStyle w:val="ECCTabletext"/>
              <w:jc w:val="left"/>
            </w:pPr>
            <w:r>
              <w:t>20</w:t>
            </w:r>
            <w:r w:rsidR="00CF4994">
              <w:t>.2</w:t>
            </w:r>
            <w:r w:rsidR="001C46A1" w:rsidRPr="00461406">
              <w:t> dB</w:t>
            </w:r>
          </w:p>
        </w:tc>
      </w:tr>
      <w:tr w:rsidR="001C46A1" w14:paraId="5008649C" w14:textId="77777777" w:rsidTr="004E0271">
        <w:tc>
          <w:tcPr>
            <w:tcW w:w="1763" w:type="dxa"/>
            <w:vMerge w:val="restart"/>
          </w:tcPr>
          <w:p w14:paraId="26E9BBC4" w14:textId="77777777" w:rsidR="001C46A1" w:rsidRPr="001C46A1" w:rsidRDefault="001C46A1" w:rsidP="000A69BD">
            <w:pPr>
              <w:pStyle w:val="ECCTabletext"/>
              <w:jc w:val="left"/>
            </w:pPr>
            <w:r>
              <w:t>231</w:t>
            </w:r>
            <w:r w:rsidR="00CF4994">
              <w:t>.5</w:t>
            </w:r>
            <w:r>
              <w:t xml:space="preserve"> to 250 GHz</w:t>
            </w:r>
          </w:p>
        </w:tc>
        <w:tc>
          <w:tcPr>
            <w:tcW w:w="2201" w:type="dxa"/>
          </w:tcPr>
          <w:p w14:paraId="6FD51FF3" w14:textId="77777777" w:rsidR="001C46A1" w:rsidRPr="001C46A1" w:rsidRDefault="001C46A1" w:rsidP="000A69BD">
            <w:pPr>
              <w:pStyle w:val="ECCTabletext"/>
              <w:jc w:val="left"/>
            </w:pPr>
            <w:r>
              <w:t>226 to 231</w:t>
            </w:r>
            <w:r w:rsidR="00CF4994">
              <w:t>.5</w:t>
            </w:r>
            <w:r>
              <w:t> GHz</w:t>
            </w:r>
            <w:r w:rsidR="00912683">
              <w:t xml:space="preserve"> (OOB)</w:t>
            </w:r>
          </w:p>
        </w:tc>
        <w:tc>
          <w:tcPr>
            <w:tcW w:w="1418" w:type="dxa"/>
          </w:tcPr>
          <w:p w14:paraId="5E378DA2" w14:textId="77777777" w:rsidR="001C46A1" w:rsidRPr="001C46A1" w:rsidRDefault="001C46A1" w:rsidP="000A69BD">
            <w:pPr>
              <w:pStyle w:val="ECCTabletext"/>
              <w:jc w:val="left"/>
            </w:pPr>
            <w:r>
              <w:t>228</w:t>
            </w:r>
            <w:r w:rsidR="00CF4994">
              <w:t>.7</w:t>
            </w:r>
            <w:r>
              <w:t>5 GHz</w:t>
            </w:r>
          </w:p>
        </w:tc>
        <w:tc>
          <w:tcPr>
            <w:tcW w:w="2693" w:type="dxa"/>
          </w:tcPr>
          <w:p w14:paraId="14417079" w14:textId="77777777" w:rsidR="001C46A1" w:rsidRPr="001C46A1" w:rsidRDefault="001C46A1" w:rsidP="000A69BD">
            <w:pPr>
              <w:pStyle w:val="ECCTabletext"/>
              <w:jc w:val="left"/>
            </w:pPr>
            <w:r>
              <w:t>AWS nadir scanner (at nadir)</w:t>
            </w:r>
          </w:p>
        </w:tc>
        <w:tc>
          <w:tcPr>
            <w:tcW w:w="1554" w:type="dxa"/>
          </w:tcPr>
          <w:p w14:paraId="2D8485A9" w14:textId="77777777" w:rsidR="001C46A1" w:rsidRPr="001C46A1" w:rsidRDefault="009B67A5" w:rsidP="000A69BD">
            <w:pPr>
              <w:pStyle w:val="ECCTabletext"/>
              <w:jc w:val="left"/>
            </w:pPr>
            <w:r>
              <w:t>41</w:t>
            </w:r>
            <w:r w:rsidR="00CF4994">
              <w:t>.8</w:t>
            </w:r>
            <w:r w:rsidR="001C46A1" w:rsidRPr="00461406">
              <w:t> dB</w:t>
            </w:r>
          </w:p>
        </w:tc>
      </w:tr>
      <w:tr w:rsidR="001C46A1" w14:paraId="4C41013F" w14:textId="77777777" w:rsidTr="004E0271">
        <w:tc>
          <w:tcPr>
            <w:tcW w:w="1763" w:type="dxa"/>
            <w:vMerge/>
          </w:tcPr>
          <w:p w14:paraId="6D0881B2" w14:textId="77777777" w:rsidR="001C46A1" w:rsidRDefault="001C46A1" w:rsidP="001C46A1">
            <w:pPr>
              <w:pStyle w:val="ECCTabletext"/>
            </w:pPr>
          </w:p>
        </w:tc>
        <w:tc>
          <w:tcPr>
            <w:tcW w:w="2201" w:type="dxa"/>
          </w:tcPr>
          <w:p w14:paraId="7A647F60" w14:textId="77777777" w:rsidR="001C46A1" w:rsidRPr="001C46A1" w:rsidRDefault="001C46A1" w:rsidP="000A69BD">
            <w:pPr>
              <w:pStyle w:val="ECCTabletext"/>
              <w:jc w:val="left"/>
            </w:pPr>
            <w:r>
              <w:t>239 to 248 GHz</w:t>
            </w:r>
            <w:r w:rsidR="00912683">
              <w:t xml:space="preserve"> (In-band)</w:t>
            </w:r>
          </w:p>
        </w:tc>
        <w:tc>
          <w:tcPr>
            <w:tcW w:w="1418" w:type="dxa"/>
          </w:tcPr>
          <w:p w14:paraId="7C776D7F" w14:textId="77777777" w:rsidR="001C46A1" w:rsidRPr="001C46A1" w:rsidRDefault="001C46A1" w:rsidP="000A69BD">
            <w:pPr>
              <w:pStyle w:val="ECCTabletext"/>
              <w:jc w:val="left"/>
            </w:pPr>
            <w:r>
              <w:t>234</w:t>
            </w:r>
            <w:r w:rsidR="00CF4994">
              <w:t>.5</w:t>
            </w:r>
            <w:r>
              <w:t> GHz</w:t>
            </w:r>
          </w:p>
        </w:tc>
        <w:tc>
          <w:tcPr>
            <w:tcW w:w="2693" w:type="dxa"/>
          </w:tcPr>
          <w:p w14:paraId="0CB0A96F" w14:textId="77777777" w:rsidR="001C46A1" w:rsidRPr="001C46A1" w:rsidRDefault="001C46A1" w:rsidP="000A69BD">
            <w:pPr>
              <w:pStyle w:val="ECCTabletext"/>
              <w:jc w:val="left"/>
            </w:pPr>
            <w:r>
              <w:t>AWS nadir scanner (at nadir)</w:t>
            </w:r>
          </w:p>
        </w:tc>
        <w:tc>
          <w:tcPr>
            <w:tcW w:w="1554" w:type="dxa"/>
          </w:tcPr>
          <w:p w14:paraId="7060CA62" w14:textId="77777777" w:rsidR="001C46A1" w:rsidRPr="001C46A1" w:rsidRDefault="009B67A5" w:rsidP="000A69BD">
            <w:pPr>
              <w:pStyle w:val="ECCTabletext"/>
              <w:jc w:val="left"/>
            </w:pPr>
            <w:r>
              <w:t>25</w:t>
            </w:r>
            <w:r w:rsidR="00CF4994">
              <w:t>.3</w:t>
            </w:r>
            <w:r w:rsidR="001C46A1" w:rsidRPr="00461406">
              <w:t xml:space="preserve"> dB</w:t>
            </w:r>
          </w:p>
        </w:tc>
      </w:tr>
    </w:tbl>
    <w:p w14:paraId="74D99A3C" w14:textId="0D23C364"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_Ref67393265 \r \h </w:instrText>
      </w:r>
      <w:r>
        <w:fldChar w:fldCharType="separate"/>
      </w:r>
      <w:r w:rsidR="004F49F9">
        <w:t>8.5.4</w:t>
      </w:r>
      <w:r>
        <w:fldChar w:fldCharType="end"/>
      </w:r>
      <w:r>
        <w:t>.</w:t>
      </w:r>
    </w:p>
    <w:p w14:paraId="5AFEF385" w14:textId="77777777" w:rsidR="001C46A1" w:rsidRPr="001C46A1" w:rsidRDefault="001C46A1" w:rsidP="001C46A1">
      <w:pPr>
        <w:pStyle w:val="Heading2"/>
      </w:pPr>
      <w:bookmarkStart w:id="751" w:name="_Toc84325417"/>
      <w:bookmarkStart w:id="752" w:name="_Toc127346339"/>
      <w:r w:rsidRPr="00B06E7F">
        <w:t>Contour determination and acquisition</w:t>
      </w:r>
      <w:r w:rsidRPr="001C46A1">
        <w:t xml:space="preserve"> (CDR)</w:t>
      </w:r>
      <w:bookmarkEnd w:id="751"/>
      <w:bookmarkEnd w:id="752"/>
    </w:p>
    <w:p w14:paraId="01D11BBF" w14:textId="77777777" w:rsidR="001C46A1" w:rsidRPr="00D26B35" w:rsidRDefault="001C46A1" w:rsidP="001C46A1">
      <w:pPr>
        <w:pStyle w:val="Heading3"/>
      </w:pPr>
      <w:bookmarkStart w:id="753" w:name="_Toc84325418"/>
      <w:bookmarkStart w:id="754" w:name="_Toc127346340"/>
      <w:r w:rsidRPr="00D26B35">
        <w:t>Technical parameters of CDR</w:t>
      </w:r>
      <w:bookmarkEnd w:id="753"/>
      <w:bookmarkEnd w:id="754"/>
    </w:p>
    <w:p w14:paraId="4E222D7A" w14:textId="7B370179" w:rsidR="001C46A1" w:rsidRPr="001C46A1" w:rsidRDefault="001C46A1" w:rsidP="001C46A1">
      <w:r w:rsidRPr="001C46A1">
        <w:t xml:space="preserve">For CDR altogether three potential frequency bands have been defined (see </w:t>
      </w:r>
      <w:r w:rsidR="009D5FA2">
        <w:t>section</w:t>
      </w:r>
      <w:r w:rsidRPr="001C46A1">
        <w:t xml:space="preserve"> </w:t>
      </w:r>
      <w:r w:rsidR="00CD3AC1">
        <w:rPr>
          <w:highlight w:val="yellow"/>
        </w:rPr>
        <w:fldChar w:fldCharType="begin"/>
      </w:r>
      <w:r w:rsidR="00CD3AC1">
        <w:instrText xml:space="preserve"> REF _Ref66452422 \r \h </w:instrText>
      </w:r>
      <w:r w:rsidR="00CD3AC1">
        <w:rPr>
          <w:highlight w:val="yellow"/>
        </w:rPr>
      </w:r>
      <w:r w:rsidR="00CD3AC1">
        <w:rPr>
          <w:highlight w:val="yellow"/>
        </w:rPr>
        <w:fldChar w:fldCharType="separate"/>
      </w:r>
      <w:r w:rsidR="004F49F9">
        <w:t>2.2.6.2</w:t>
      </w:r>
      <w:r w:rsidR="00CD3AC1">
        <w:rPr>
          <w:highlight w:val="yellow"/>
        </w:rPr>
        <w:fldChar w:fldCharType="end"/>
      </w:r>
      <w:r w:rsidRPr="001C46A1">
        <w:t>). Due to the fact that in all defined frequency bands allocations for EESS are affected</w:t>
      </w:r>
      <w:r w:rsidR="001D7996">
        <w:t>-</w:t>
      </w:r>
      <w:r w:rsidRPr="001C46A1">
        <w:t xml:space="preserve">either within these bands or adjacent to them – all three bands have been investigated by single-entry and aggregate studies (please compare the figures in </w:t>
      </w:r>
      <w:r w:rsidR="009D5FA2">
        <w:t>section</w:t>
      </w:r>
      <w:r w:rsidRPr="001C46A1">
        <w:t xml:space="preserve"> </w:t>
      </w:r>
      <w:r w:rsidR="00CD3AC1">
        <w:rPr>
          <w:highlight w:val="yellow"/>
        </w:rPr>
        <w:fldChar w:fldCharType="begin"/>
      </w:r>
      <w:r w:rsidR="00CD3AC1">
        <w:instrText xml:space="preserve"> REF _Ref66361706 \r \h </w:instrText>
      </w:r>
      <w:r w:rsidR="00CD3AC1">
        <w:rPr>
          <w:highlight w:val="yellow"/>
        </w:rPr>
      </w:r>
      <w:r w:rsidR="00CD3AC1">
        <w:rPr>
          <w:highlight w:val="yellow"/>
        </w:rPr>
        <w:fldChar w:fldCharType="separate"/>
      </w:r>
      <w:r w:rsidR="004F49F9">
        <w:t>3.3</w:t>
      </w:r>
      <w:r w:rsidR="00CD3AC1">
        <w:rPr>
          <w:highlight w:val="yellow"/>
        </w:rPr>
        <w:fldChar w:fldCharType="end"/>
      </w:r>
      <w:r w:rsidRPr="001C46A1">
        <w:t>). In these studies the individual residual margin (</w:t>
      </w:r>
      <w:r w:rsidR="009D5FA2">
        <w:t>section</w:t>
      </w:r>
      <w:r w:rsidRPr="001C46A1">
        <w:t xml:space="preserve"> </w:t>
      </w:r>
      <w:r w:rsidR="00CD3AC1">
        <w:rPr>
          <w:highlight w:val="yellow"/>
        </w:rPr>
        <w:fldChar w:fldCharType="begin"/>
      </w:r>
      <w:r w:rsidR="00CD3AC1">
        <w:instrText xml:space="preserve"> REF _Ref66361724 \r \h </w:instrText>
      </w:r>
      <w:r w:rsidR="00CD3AC1">
        <w:rPr>
          <w:highlight w:val="yellow"/>
        </w:rPr>
      </w:r>
      <w:r w:rsidR="00CD3AC1">
        <w:rPr>
          <w:highlight w:val="yellow"/>
        </w:rPr>
        <w:fldChar w:fldCharType="separate"/>
      </w:r>
      <w:r w:rsidR="004F49F9">
        <w:t>3.4.4</w:t>
      </w:r>
      <w:r w:rsidR="00CD3AC1">
        <w:rPr>
          <w:highlight w:val="yellow"/>
        </w:rPr>
        <w:fldChar w:fldCharType="end"/>
      </w:r>
      <w:r w:rsidRPr="001C46A1">
        <w:t>) to the interference criterion is determined by means of the technical parameters (</w:t>
      </w:r>
      <w:r w:rsidR="009D5FA2">
        <w:t>section</w:t>
      </w:r>
      <w:r w:rsidRPr="001C46A1">
        <w:t xml:space="preserve"> </w:t>
      </w:r>
      <w:r w:rsidR="00CD3AC1">
        <w:rPr>
          <w:highlight w:val="yellow"/>
        </w:rPr>
        <w:fldChar w:fldCharType="begin"/>
      </w:r>
      <w:r w:rsidR="00CD3AC1">
        <w:instrText xml:space="preserve"> REF _Ref66452445 \r \h </w:instrText>
      </w:r>
      <w:r w:rsidR="00CD3AC1">
        <w:rPr>
          <w:highlight w:val="yellow"/>
        </w:rPr>
      </w:r>
      <w:r w:rsidR="00CD3AC1">
        <w:rPr>
          <w:highlight w:val="yellow"/>
        </w:rPr>
        <w:fldChar w:fldCharType="separate"/>
      </w:r>
      <w:r w:rsidR="004F49F9">
        <w:t>2.2.6.3</w:t>
      </w:r>
      <w:r w:rsidR="00CD3AC1">
        <w:rPr>
          <w:highlight w:val="yellow"/>
        </w:rPr>
        <w:fldChar w:fldCharType="end"/>
      </w:r>
      <w:r w:rsidRPr="001C46A1">
        <w:t>), the antenna data (</w:t>
      </w:r>
      <w:r w:rsidR="009D5FA2">
        <w:t>section</w:t>
      </w:r>
      <w:r w:rsidRPr="001C46A1">
        <w:t xml:space="preserve"> </w:t>
      </w:r>
      <w:r w:rsidR="00CD3AC1">
        <w:rPr>
          <w:highlight w:val="yellow"/>
        </w:rPr>
        <w:fldChar w:fldCharType="begin"/>
      </w:r>
      <w:r w:rsidR="00CD3AC1">
        <w:instrText xml:space="preserve"> REF _Ref53992426 \r \h </w:instrText>
      </w:r>
      <w:r w:rsidR="00CD3AC1">
        <w:rPr>
          <w:highlight w:val="yellow"/>
        </w:rPr>
      </w:r>
      <w:r w:rsidR="00CD3AC1">
        <w:rPr>
          <w:highlight w:val="yellow"/>
        </w:rPr>
        <w:fldChar w:fldCharType="separate"/>
      </w:r>
      <w:r w:rsidR="004F49F9">
        <w:t>2.2.6.4</w:t>
      </w:r>
      <w:r w:rsidR="00CD3AC1">
        <w:rPr>
          <w:highlight w:val="yellow"/>
        </w:rPr>
        <w:fldChar w:fldCharType="end"/>
      </w:r>
      <w:r w:rsidRPr="001C46A1">
        <w:t>), the defined interference scenarios (</w:t>
      </w:r>
      <w:r w:rsidR="009D5FA2">
        <w:t>section</w:t>
      </w:r>
      <w:r w:rsidRPr="001C46A1">
        <w:t xml:space="preserve"> </w:t>
      </w:r>
      <w:r w:rsidR="00CD3AC1">
        <w:rPr>
          <w:highlight w:val="yellow"/>
        </w:rPr>
        <w:fldChar w:fldCharType="begin"/>
      </w:r>
      <w:r w:rsidR="00CD3AC1">
        <w:instrText xml:space="preserve"> REF _Ref66452431 \r \h </w:instrText>
      </w:r>
      <w:r w:rsidR="00CD3AC1">
        <w:rPr>
          <w:highlight w:val="yellow"/>
        </w:rPr>
      </w:r>
      <w:r w:rsidR="00CD3AC1">
        <w:rPr>
          <w:highlight w:val="yellow"/>
        </w:rPr>
        <w:fldChar w:fldCharType="separate"/>
      </w:r>
      <w:r w:rsidR="004F49F9">
        <w:t>2.2.6.6</w:t>
      </w:r>
      <w:r w:rsidR="00CD3AC1">
        <w:rPr>
          <w:highlight w:val="yellow"/>
        </w:rPr>
        <w:fldChar w:fldCharType="end"/>
      </w:r>
      <w:r w:rsidRPr="001C46A1">
        <w:t>) and the protection requirements for EESS (</w:t>
      </w:r>
      <w:r w:rsidR="009D5FA2">
        <w:t>section</w:t>
      </w:r>
      <w:r w:rsidRPr="001C46A1">
        <w:t xml:space="preserve"> </w:t>
      </w:r>
      <w:r w:rsidR="00CD3AC1">
        <w:rPr>
          <w:highlight w:val="yellow"/>
        </w:rPr>
        <w:fldChar w:fldCharType="begin"/>
      </w:r>
      <w:r w:rsidR="00CD3AC1">
        <w:instrText xml:space="preserve"> REF _Ref66361876 \r \h </w:instrText>
      </w:r>
      <w:r w:rsidR="00CD3AC1">
        <w:rPr>
          <w:highlight w:val="yellow"/>
        </w:rPr>
      </w:r>
      <w:r w:rsidR="00CD3AC1">
        <w:rPr>
          <w:highlight w:val="yellow"/>
        </w:rPr>
        <w:fldChar w:fldCharType="separate"/>
      </w:r>
      <w:r w:rsidR="004F49F9">
        <w:t>3.5.4</w:t>
      </w:r>
      <w:r w:rsidR="00CD3AC1">
        <w:rPr>
          <w:highlight w:val="yellow"/>
        </w:rPr>
        <w:fldChar w:fldCharType="end"/>
      </w:r>
      <w:r w:rsidRPr="001C46A1">
        <w:t xml:space="preserve">). The exact calculations can be found in an Excel-spreadsheet which is attached to this </w:t>
      </w:r>
      <w:hyperlink r:id="rId169" w:history="1">
        <w:r w:rsidR="006B1E55">
          <w:rPr>
            <w:rStyle w:val="Hyperlink"/>
          </w:rPr>
          <w:t>Report</w:t>
        </w:r>
      </w:hyperlink>
      <w:r w:rsidRPr="001C46A1">
        <w:t>.</w:t>
      </w:r>
    </w:p>
    <w:p w14:paraId="103778EB" w14:textId="3756A2C3" w:rsidR="001C46A1" w:rsidRPr="001C46A1" w:rsidRDefault="001C46A1" w:rsidP="001C46A1">
      <w:r w:rsidRPr="001C46A1">
        <w:t>The following technical parameters of the CDR application (</w:t>
      </w:r>
      <w:r w:rsidR="009D5FA2">
        <w:t>section</w:t>
      </w:r>
      <w:r w:rsidRPr="001C46A1">
        <w:t xml:space="preserve"> </w:t>
      </w:r>
      <w:r w:rsidR="00CD3AC1">
        <w:rPr>
          <w:highlight w:val="yellow"/>
        </w:rPr>
        <w:fldChar w:fldCharType="begin"/>
      </w:r>
      <w:r w:rsidR="00CD3AC1">
        <w:instrText xml:space="preserve"> REF _Ref66452445 \r \h </w:instrText>
      </w:r>
      <w:r w:rsidR="00CD3AC1">
        <w:rPr>
          <w:highlight w:val="yellow"/>
        </w:rPr>
      </w:r>
      <w:r w:rsidR="00CD3AC1">
        <w:rPr>
          <w:highlight w:val="yellow"/>
        </w:rPr>
        <w:fldChar w:fldCharType="separate"/>
      </w:r>
      <w:r w:rsidR="004F49F9">
        <w:t>2.2.6.3</w:t>
      </w:r>
      <w:r w:rsidR="00CD3AC1">
        <w:rPr>
          <w:highlight w:val="yellow"/>
        </w:rPr>
        <w:fldChar w:fldCharType="end"/>
      </w:r>
      <w:r w:rsidRPr="001C46A1">
        <w:t>) have been used in the studies in the different frequency ranges.</w:t>
      </w:r>
    </w:p>
    <w:p w14:paraId="3B268073" w14:textId="6E2D5999" w:rsidR="001C46A1" w:rsidRDefault="00CD3AC1" w:rsidP="001C46A1">
      <w:pPr>
        <w:pStyle w:val="Caption"/>
        <w:rPr>
          <w:rStyle w:val="ECCParagraph"/>
        </w:rPr>
      </w:pPr>
      <w:r w:rsidRPr="00477961">
        <w:t>Table </w:t>
      </w:r>
      <w:r>
        <w:fldChar w:fldCharType="begin"/>
      </w:r>
      <w:r>
        <w:instrText>SEQ Table \* ARABIC</w:instrText>
      </w:r>
      <w:r>
        <w:fldChar w:fldCharType="separate"/>
      </w:r>
      <w:r w:rsidR="004F49F9">
        <w:rPr>
          <w:noProof/>
        </w:rPr>
        <w:t>98</w:t>
      </w:r>
      <w:r>
        <w:fldChar w:fldCharType="end"/>
      </w:r>
      <w:r w:rsidR="001C46A1">
        <w:t>: Technical parameters of CDR used for the conducted studies in the different frequency bands</w:t>
      </w:r>
    </w:p>
    <w:tbl>
      <w:tblPr>
        <w:tblStyle w:val="ECCTable-redheader"/>
        <w:tblW w:w="0" w:type="auto"/>
        <w:tblInd w:w="0" w:type="dxa"/>
        <w:tblLayout w:type="fixed"/>
        <w:tblLook w:val="04A0" w:firstRow="1" w:lastRow="0" w:firstColumn="1" w:lastColumn="0" w:noHBand="0" w:noVBand="1"/>
      </w:tblPr>
      <w:tblGrid>
        <w:gridCol w:w="1555"/>
        <w:gridCol w:w="1382"/>
        <w:gridCol w:w="1338"/>
        <w:gridCol w:w="810"/>
        <w:gridCol w:w="1998"/>
        <w:gridCol w:w="1134"/>
        <w:gridCol w:w="1412"/>
      </w:tblGrid>
      <w:tr w:rsidR="00906950" w:rsidRPr="00566944" w14:paraId="587E6D5E" w14:textId="77777777" w:rsidTr="0027707F">
        <w:trPr>
          <w:cnfStyle w:val="100000000000" w:firstRow="1" w:lastRow="0" w:firstColumn="0" w:lastColumn="0" w:oddVBand="0" w:evenVBand="0" w:oddHBand="0" w:evenHBand="0" w:firstRowFirstColumn="0" w:firstRowLastColumn="0" w:lastRowFirstColumn="0" w:lastRowLastColumn="0"/>
        </w:trPr>
        <w:tc>
          <w:tcPr>
            <w:tcW w:w="1555" w:type="dxa"/>
          </w:tcPr>
          <w:p w14:paraId="4F1A94A4" w14:textId="77777777" w:rsidR="00906950" w:rsidRPr="00906950" w:rsidRDefault="00906950" w:rsidP="00876039">
            <w:pPr>
              <w:pStyle w:val="ECCTableHeaderwhitefont"/>
            </w:pPr>
            <w:r w:rsidRPr="00906950">
              <w:t>Investigated frequency range</w:t>
            </w:r>
          </w:p>
        </w:tc>
        <w:tc>
          <w:tcPr>
            <w:tcW w:w="1382" w:type="dxa"/>
          </w:tcPr>
          <w:p w14:paraId="49C541C0" w14:textId="77777777" w:rsidR="00906950" w:rsidRPr="00906950" w:rsidRDefault="00906950" w:rsidP="000A69BD">
            <w:pPr>
              <w:pStyle w:val="ECCTableHeaderwhitefont"/>
            </w:pPr>
            <w:r w:rsidRPr="00906950">
              <w:t>CDR-type</w:t>
            </w:r>
          </w:p>
        </w:tc>
        <w:tc>
          <w:tcPr>
            <w:tcW w:w="1338" w:type="dxa"/>
          </w:tcPr>
          <w:p w14:paraId="2F784B5A" w14:textId="77777777" w:rsidR="00906950" w:rsidRPr="00906950" w:rsidRDefault="00906950" w:rsidP="000A69BD">
            <w:pPr>
              <w:pStyle w:val="ECCTableHeaderwhitefont"/>
            </w:pPr>
            <w:r w:rsidRPr="00906950">
              <w:t>Assumed modulation bandwidth</w:t>
            </w:r>
          </w:p>
        </w:tc>
        <w:tc>
          <w:tcPr>
            <w:tcW w:w="810" w:type="dxa"/>
          </w:tcPr>
          <w:p w14:paraId="34EF850D" w14:textId="77777777" w:rsidR="00906950" w:rsidRPr="00906950" w:rsidRDefault="00906950" w:rsidP="000A69BD">
            <w:pPr>
              <w:pStyle w:val="ECCTableHeaderwhitefont"/>
            </w:pPr>
            <w:r w:rsidRPr="00906950">
              <w:t>Duty cycle</w:t>
            </w:r>
          </w:p>
        </w:tc>
        <w:tc>
          <w:tcPr>
            <w:tcW w:w="1998" w:type="dxa"/>
          </w:tcPr>
          <w:p w14:paraId="63D016E4" w14:textId="77777777" w:rsidR="00906950" w:rsidRPr="00906950" w:rsidRDefault="00906950" w:rsidP="000A69BD">
            <w:pPr>
              <w:pStyle w:val="ECCTableHeaderwhitefont"/>
            </w:pPr>
            <w:r w:rsidRPr="00906950">
              <w:t xml:space="preserve">Mean e.i.r.p. spectral density </w:t>
            </w:r>
            <w:r w:rsidR="00E06337">
              <w:t>(Note 2)</w:t>
            </w:r>
          </w:p>
        </w:tc>
        <w:tc>
          <w:tcPr>
            <w:tcW w:w="1134" w:type="dxa"/>
          </w:tcPr>
          <w:p w14:paraId="410B1A7F" w14:textId="77777777" w:rsidR="00906950" w:rsidRPr="00906950" w:rsidRDefault="00906950" w:rsidP="000A69BD">
            <w:pPr>
              <w:pStyle w:val="ECCTableHeaderwhitefont"/>
            </w:pPr>
            <w:r w:rsidRPr="00906950">
              <w:t>Peak e.i.r.p.</w:t>
            </w:r>
          </w:p>
        </w:tc>
        <w:tc>
          <w:tcPr>
            <w:tcW w:w="1412" w:type="dxa"/>
          </w:tcPr>
          <w:p w14:paraId="620442AA" w14:textId="77777777" w:rsidR="00906950" w:rsidRPr="00906950" w:rsidRDefault="00906950" w:rsidP="000A69BD">
            <w:pPr>
              <w:pStyle w:val="ECCTableHeaderwhitefont"/>
            </w:pPr>
            <w:r w:rsidRPr="00906950">
              <w:t>OOB attenuation (Note 1)</w:t>
            </w:r>
          </w:p>
        </w:tc>
      </w:tr>
      <w:tr w:rsidR="00AC54ED" w:rsidRPr="00C53FB5" w14:paraId="0572603E" w14:textId="77777777" w:rsidTr="0027707F">
        <w:tc>
          <w:tcPr>
            <w:tcW w:w="1555" w:type="dxa"/>
            <w:vMerge w:val="restart"/>
          </w:tcPr>
          <w:p w14:paraId="0536816C" w14:textId="77777777" w:rsidR="00AC54ED" w:rsidRPr="00AC54ED" w:rsidRDefault="00AC54ED" w:rsidP="000A69BD">
            <w:pPr>
              <w:pStyle w:val="ECCTabletext"/>
              <w:jc w:val="left"/>
            </w:pPr>
            <w:r w:rsidRPr="00C53FB5">
              <w:t xml:space="preserve">116 to </w:t>
            </w:r>
            <w:r w:rsidRPr="00AC54ED">
              <w:t>148</w:t>
            </w:r>
            <w:r w:rsidR="00CF4994">
              <w:t>.5</w:t>
            </w:r>
            <w:r w:rsidRPr="00AC54ED">
              <w:t> GHz</w:t>
            </w:r>
          </w:p>
        </w:tc>
        <w:tc>
          <w:tcPr>
            <w:tcW w:w="1382" w:type="dxa"/>
          </w:tcPr>
          <w:p w14:paraId="170FD0A6" w14:textId="77777777" w:rsidR="00AC54ED" w:rsidRPr="00AC54ED" w:rsidRDefault="00AC54ED" w:rsidP="000A69BD">
            <w:pPr>
              <w:pStyle w:val="ECCTabletext"/>
              <w:jc w:val="left"/>
            </w:pPr>
            <w:r>
              <w:t>DBF-CDR</w:t>
            </w:r>
          </w:p>
        </w:tc>
        <w:tc>
          <w:tcPr>
            <w:tcW w:w="1338" w:type="dxa"/>
          </w:tcPr>
          <w:p w14:paraId="54C41D8F" w14:textId="77777777" w:rsidR="00AC54ED" w:rsidRPr="00AC54ED" w:rsidRDefault="001D330D" w:rsidP="000A69BD">
            <w:pPr>
              <w:pStyle w:val="ECCTabletext"/>
              <w:jc w:val="left"/>
            </w:pPr>
            <w:r>
              <w:t>5</w:t>
            </w:r>
            <w:r w:rsidR="00CF4994">
              <w:t>.7</w:t>
            </w:r>
            <w:r w:rsidR="00AC54ED">
              <w:t> GHz</w:t>
            </w:r>
          </w:p>
        </w:tc>
        <w:tc>
          <w:tcPr>
            <w:tcW w:w="810" w:type="dxa"/>
          </w:tcPr>
          <w:p w14:paraId="02AEEC11" w14:textId="03762E88" w:rsidR="00AC54ED" w:rsidRPr="00AC54ED" w:rsidRDefault="00AC54ED" w:rsidP="000A69BD">
            <w:pPr>
              <w:pStyle w:val="ECCTabletext"/>
              <w:jc w:val="left"/>
            </w:pPr>
            <w:r>
              <w:t>10</w:t>
            </w:r>
            <w:r w:rsidR="00F800A2">
              <w:t>%</w:t>
            </w:r>
          </w:p>
        </w:tc>
        <w:tc>
          <w:tcPr>
            <w:tcW w:w="1998" w:type="dxa"/>
          </w:tcPr>
          <w:p w14:paraId="0BA2F7FC" w14:textId="77777777" w:rsidR="00AC54ED" w:rsidRPr="00AC54ED" w:rsidRDefault="00AC54ED" w:rsidP="000A69BD">
            <w:pPr>
              <w:pStyle w:val="ECCTabletext"/>
              <w:jc w:val="left"/>
            </w:pPr>
            <w:r>
              <w:t>-</w:t>
            </w:r>
            <w:r w:rsidR="001D330D">
              <w:t>32</w:t>
            </w:r>
            <w:r w:rsidR="00CF4994">
              <w:t>.6</w:t>
            </w:r>
            <w:r>
              <w:t> dBm/MHz</w:t>
            </w:r>
          </w:p>
        </w:tc>
        <w:tc>
          <w:tcPr>
            <w:tcW w:w="1134" w:type="dxa"/>
          </w:tcPr>
          <w:p w14:paraId="06102DAF" w14:textId="77777777" w:rsidR="00AC54ED" w:rsidRPr="00AC54ED" w:rsidRDefault="00AC54ED" w:rsidP="000A69BD">
            <w:pPr>
              <w:pStyle w:val="ECCTabletext"/>
              <w:jc w:val="left"/>
            </w:pPr>
            <w:r w:rsidRPr="006A16BF">
              <w:t>15 dBm</w:t>
            </w:r>
          </w:p>
        </w:tc>
        <w:tc>
          <w:tcPr>
            <w:tcW w:w="1412" w:type="dxa"/>
          </w:tcPr>
          <w:p w14:paraId="35B54059" w14:textId="77777777" w:rsidR="00AC54ED" w:rsidRPr="00AC54ED" w:rsidRDefault="00AC54ED" w:rsidP="000A69BD">
            <w:pPr>
              <w:pStyle w:val="ECCTabletext"/>
              <w:jc w:val="left"/>
            </w:pPr>
            <w:r>
              <w:t>20 dB</w:t>
            </w:r>
          </w:p>
        </w:tc>
      </w:tr>
      <w:tr w:rsidR="00AC54ED" w:rsidRPr="00C53FB5" w14:paraId="5A30E8D1" w14:textId="77777777" w:rsidTr="0027707F">
        <w:tc>
          <w:tcPr>
            <w:tcW w:w="1555" w:type="dxa"/>
            <w:vMerge/>
          </w:tcPr>
          <w:p w14:paraId="0FE2E92B" w14:textId="77777777" w:rsidR="00AC54ED" w:rsidRPr="00C53FB5" w:rsidRDefault="00AC54ED" w:rsidP="00AC54ED">
            <w:pPr>
              <w:pStyle w:val="ECCTabletext"/>
            </w:pPr>
          </w:p>
        </w:tc>
        <w:tc>
          <w:tcPr>
            <w:tcW w:w="1382" w:type="dxa"/>
          </w:tcPr>
          <w:p w14:paraId="0F17C468" w14:textId="77777777" w:rsidR="00AC54ED" w:rsidRPr="00AC54ED" w:rsidRDefault="00AC54ED" w:rsidP="000A69BD">
            <w:pPr>
              <w:pStyle w:val="ECCTabletext"/>
              <w:jc w:val="left"/>
            </w:pPr>
            <w:r>
              <w:t>M-/PA-CDR</w:t>
            </w:r>
          </w:p>
        </w:tc>
        <w:tc>
          <w:tcPr>
            <w:tcW w:w="1338" w:type="dxa"/>
          </w:tcPr>
          <w:p w14:paraId="1DD67C96" w14:textId="77777777" w:rsidR="00AC54ED" w:rsidRPr="00AC54ED" w:rsidRDefault="0027707F" w:rsidP="000A69BD">
            <w:pPr>
              <w:pStyle w:val="ECCTabletext"/>
              <w:jc w:val="left"/>
            </w:pPr>
            <w:r>
              <w:t>8</w:t>
            </w:r>
            <w:r w:rsidR="00AC54ED">
              <w:t> GHz</w:t>
            </w:r>
          </w:p>
        </w:tc>
        <w:tc>
          <w:tcPr>
            <w:tcW w:w="810" w:type="dxa"/>
          </w:tcPr>
          <w:p w14:paraId="48763FD0" w14:textId="67E3C0B1" w:rsidR="00AC54ED" w:rsidRPr="00AC54ED" w:rsidRDefault="00AC54ED" w:rsidP="000A69BD">
            <w:pPr>
              <w:pStyle w:val="ECCTabletext"/>
              <w:jc w:val="left"/>
            </w:pPr>
            <w:r>
              <w:t>10</w:t>
            </w:r>
            <w:r w:rsidR="00F800A2">
              <w:t>%</w:t>
            </w:r>
          </w:p>
        </w:tc>
        <w:tc>
          <w:tcPr>
            <w:tcW w:w="1998" w:type="dxa"/>
          </w:tcPr>
          <w:p w14:paraId="7B7AE6AD" w14:textId="77777777" w:rsidR="00AC54ED" w:rsidRPr="00AC54ED" w:rsidRDefault="00AC54ED" w:rsidP="000A69BD">
            <w:pPr>
              <w:pStyle w:val="ECCTabletext"/>
              <w:jc w:val="left"/>
              <w:rPr>
                <w:highlight w:val="yellow"/>
              </w:rPr>
            </w:pPr>
            <w:r w:rsidRPr="00D5065A">
              <w:t>-1</w:t>
            </w:r>
            <w:r w:rsidR="0027707F">
              <w:t>2</w:t>
            </w:r>
            <w:r w:rsidRPr="00D5065A">
              <w:t> dBm/MHz</w:t>
            </w:r>
          </w:p>
        </w:tc>
        <w:tc>
          <w:tcPr>
            <w:tcW w:w="1134" w:type="dxa"/>
          </w:tcPr>
          <w:p w14:paraId="34F06C11" w14:textId="77777777" w:rsidR="00AC54ED" w:rsidRPr="00AC54ED" w:rsidRDefault="0027707F" w:rsidP="000A69BD">
            <w:pPr>
              <w:pStyle w:val="ECCTabletext"/>
              <w:jc w:val="left"/>
            </w:pPr>
            <w:r>
              <w:t>28</w:t>
            </w:r>
            <w:r w:rsidR="00CF4994">
              <w:t>.6</w:t>
            </w:r>
            <w:r w:rsidR="00AC54ED" w:rsidRPr="006A16BF">
              <w:t> dBm</w:t>
            </w:r>
          </w:p>
        </w:tc>
        <w:tc>
          <w:tcPr>
            <w:tcW w:w="1412" w:type="dxa"/>
          </w:tcPr>
          <w:p w14:paraId="066E8D57" w14:textId="77777777" w:rsidR="00AC54ED" w:rsidRPr="006A16BF" w:rsidRDefault="00AC54ED" w:rsidP="000A69BD">
            <w:pPr>
              <w:pStyle w:val="ECCTabletext"/>
              <w:jc w:val="left"/>
            </w:pPr>
            <w:r>
              <w:t>20 dB</w:t>
            </w:r>
          </w:p>
        </w:tc>
      </w:tr>
      <w:tr w:rsidR="00AC54ED" w:rsidRPr="00C53FB5" w14:paraId="36895D6B" w14:textId="77777777" w:rsidTr="0027707F">
        <w:tc>
          <w:tcPr>
            <w:tcW w:w="1555" w:type="dxa"/>
            <w:vMerge w:val="restart"/>
          </w:tcPr>
          <w:p w14:paraId="21608C32" w14:textId="77777777" w:rsidR="00AC54ED" w:rsidRPr="00AC54ED" w:rsidRDefault="00AC54ED" w:rsidP="000A69BD">
            <w:pPr>
              <w:pStyle w:val="ECCTabletext"/>
              <w:jc w:val="left"/>
            </w:pPr>
            <w:r w:rsidRPr="00C53FB5">
              <w:t>1</w:t>
            </w:r>
            <w:r w:rsidRPr="00AC54ED">
              <w:t>67 to 182 GHz</w:t>
            </w:r>
          </w:p>
        </w:tc>
        <w:tc>
          <w:tcPr>
            <w:tcW w:w="1382" w:type="dxa"/>
          </w:tcPr>
          <w:p w14:paraId="0FEF0DB8" w14:textId="77777777" w:rsidR="00AC54ED" w:rsidRPr="00AC54ED" w:rsidRDefault="00AC54ED" w:rsidP="000A69BD">
            <w:pPr>
              <w:pStyle w:val="ECCTabletext"/>
              <w:jc w:val="left"/>
            </w:pPr>
            <w:r>
              <w:t>DBF-CDR</w:t>
            </w:r>
          </w:p>
        </w:tc>
        <w:tc>
          <w:tcPr>
            <w:tcW w:w="1338" w:type="dxa"/>
          </w:tcPr>
          <w:p w14:paraId="60EDFE1E" w14:textId="77777777" w:rsidR="00AC54ED" w:rsidRPr="00AC54ED" w:rsidRDefault="001D330D" w:rsidP="000A69BD">
            <w:pPr>
              <w:pStyle w:val="ECCTabletext"/>
              <w:jc w:val="left"/>
            </w:pPr>
            <w:r>
              <w:t>2</w:t>
            </w:r>
            <w:r w:rsidR="00CF4994">
              <w:t>.5</w:t>
            </w:r>
            <w:r w:rsidR="00AC54ED">
              <w:t> GHz</w:t>
            </w:r>
          </w:p>
        </w:tc>
        <w:tc>
          <w:tcPr>
            <w:tcW w:w="810" w:type="dxa"/>
          </w:tcPr>
          <w:p w14:paraId="253AC088" w14:textId="2764235D" w:rsidR="00AC54ED" w:rsidRPr="00AC54ED" w:rsidRDefault="00AC54ED" w:rsidP="000A69BD">
            <w:pPr>
              <w:pStyle w:val="ECCTabletext"/>
              <w:jc w:val="left"/>
            </w:pPr>
            <w:r>
              <w:t>10</w:t>
            </w:r>
            <w:r w:rsidR="00F800A2">
              <w:t>%</w:t>
            </w:r>
          </w:p>
        </w:tc>
        <w:tc>
          <w:tcPr>
            <w:tcW w:w="1998" w:type="dxa"/>
          </w:tcPr>
          <w:p w14:paraId="59F8F001" w14:textId="77777777" w:rsidR="00AC54ED" w:rsidRPr="00AC54ED" w:rsidRDefault="00AC54ED" w:rsidP="000A69BD">
            <w:pPr>
              <w:pStyle w:val="ECCTabletext"/>
              <w:jc w:val="left"/>
            </w:pPr>
            <w:r>
              <w:t>-</w:t>
            </w:r>
            <w:r w:rsidR="001D330D">
              <w:t>29</w:t>
            </w:r>
            <w:r>
              <w:t> dBm/MHz</w:t>
            </w:r>
          </w:p>
        </w:tc>
        <w:tc>
          <w:tcPr>
            <w:tcW w:w="1134" w:type="dxa"/>
          </w:tcPr>
          <w:p w14:paraId="3E1C44F5" w14:textId="77777777" w:rsidR="00AC54ED" w:rsidRPr="00AC54ED" w:rsidRDefault="00AC54ED" w:rsidP="000A69BD">
            <w:pPr>
              <w:pStyle w:val="ECCTabletext"/>
              <w:jc w:val="left"/>
            </w:pPr>
            <w:r w:rsidRPr="006A16BF">
              <w:t>15 dBm</w:t>
            </w:r>
          </w:p>
        </w:tc>
        <w:tc>
          <w:tcPr>
            <w:tcW w:w="1412" w:type="dxa"/>
          </w:tcPr>
          <w:p w14:paraId="5D8E48BD" w14:textId="77777777" w:rsidR="00AC54ED" w:rsidRPr="006A16BF" w:rsidRDefault="00AC54ED" w:rsidP="000A69BD">
            <w:pPr>
              <w:pStyle w:val="ECCTabletext"/>
              <w:jc w:val="left"/>
            </w:pPr>
            <w:r>
              <w:t>20 dB</w:t>
            </w:r>
          </w:p>
        </w:tc>
      </w:tr>
      <w:tr w:rsidR="00AC54ED" w:rsidRPr="00C53FB5" w14:paraId="4D63BADE" w14:textId="77777777" w:rsidTr="0027707F">
        <w:tc>
          <w:tcPr>
            <w:tcW w:w="1555" w:type="dxa"/>
            <w:vMerge/>
          </w:tcPr>
          <w:p w14:paraId="4ED194C8" w14:textId="77777777" w:rsidR="00AC54ED" w:rsidRPr="00C53FB5" w:rsidRDefault="00AC54ED" w:rsidP="00AC54ED">
            <w:pPr>
              <w:pStyle w:val="ECCTabletext"/>
            </w:pPr>
          </w:p>
        </w:tc>
        <w:tc>
          <w:tcPr>
            <w:tcW w:w="1382" w:type="dxa"/>
          </w:tcPr>
          <w:p w14:paraId="59459E5D" w14:textId="77777777" w:rsidR="00AC54ED" w:rsidRPr="00AC54ED" w:rsidRDefault="00AC54ED" w:rsidP="000A69BD">
            <w:pPr>
              <w:pStyle w:val="ECCTabletext"/>
              <w:jc w:val="left"/>
            </w:pPr>
            <w:r>
              <w:t>M-/PA-CDR</w:t>
            </w:r>
          </w:p>
        </w:tc>
        <w:tc>
          <w:tcPr>
            <w:tcW w:w="1338" w:type="dxa"/>
          </w:tcPr>
          <w:p w14:paraId="5ED92A3A" w14:textId="77777777" w:rsidR="00AC54ED" w:rsidRPr="00AC54ED" w:rsidRDefault="0027707F" w:rsidP="000A69BD">
            <w:pPr>
              <w:pStyle w:val="ECCTabletext"/>
              <w:jc w:val="left"/>
            </w:pPr>
            <w:r>
              <w:t>8</w:t>
            </w:r>
            <w:r w:rsidR="00AC54ED">
              <w:t> GHz</w:t>
            </w:r>
          </w:p>
        </w:tc>
        <w:tc>
          <w:tcPr>
            <w:tcW w:w="810" w:type="dxa"/>
          </w:tcPr>
          <w:p w14:paraId="4C35E81C" w14:textId="47AD7130" w:rsidR="00AC54ED" w:rsidRPr="00AC54ED" w:rsidRDefault="00AC54ED" w:rsidP="000A69BD">
            <w:pPr>
              <w:pStyle w:val="ECCTabletext"/>
              <w:jc w:val="left"/>
            </w:pPr>
            <w:r>
              <w:t>10</w:t>
            </w:r>
            <w:r w:rsidR="00F800A2">
              <w:t>%</w:t>
            </w:r>
          </w:p>
        </w:tc>
        <w:tc>
          <w:tcPr>
            <w:tcW w:w="1998" w:type="dxa"/>
          </w:tcPr>
          <w:p w14:paraId="4B16495F" w14:textId="77777777" w:rsidR="00AC54ED" w:rsidRPr="00AC54ED" w:rsidRDefault="00AC54ED" w:rsidP="000A69BD">
            <w:pPr>
              <w:pStyle w:val="ECCTabletext"/>
              <w:jc w:val="left"/>
            </w:pPr>
            <w:r w:rsidRPr="00D5065A">
              <w:t>-</w:t>
            </w:r>
            <w:r w:rsidR="0027707F">
              <w:t>9</w:t>
            </w:r>
            <w:r w:rsidRPr="00D5065A">
              <w:t> dBm/MHz</w:t>
            </w:r>
          </w:p>
        </w:tc>
        <w:tc>
          <w:tcPr>
            <w:tcW w:w="1134" w:type="dxa"/>
          </w:tcPr>
          <w:p w14:paraId="31099B21" w14:textId="77777777" w:rsidR="00AC54ED" w:rsidRPr="00AC54ED" w:rsidRDefault="0027707F" w:rsidP="000A69BD">
            <w:pPr>
              <w:pStyle w:val="ECCTabletext"/>
              <w:jc w:val="left"/>
            </w:pPr>
            <w:r>
              <w:t>34</w:t>
            </w:r>
            <w:r w:rsidR="00CF4994">
              <w:t>.6</w:t>
            </w:r>
            <w:r w:rsidR="00AC54ED" w:rsidRPr="006A16BF">
              <w:t> dBm</w:t>
            </w:r>
          </w:p>
        </w:tc>
        <w:tc>
          <w:tcPr>
            <w:tcW w:w="1412" w:type="dxa"/>
          </w:tcPr>
          <w:p w14:paraId="5890FDC1" w14:textId="77777777" w:rsidR="00AC54ED" w:rsidRPr="006A16BF" w:rsidRDefault="00AC54ED" w:rsidP="000A69BD">
            <w:pPr>
              <w:pStyle w:val="ECCTabletext"/>
              <w:jc w:val="left"/>
            </w:pPr>
            <w:r>
              <w:t>20 dB</w:t>
            </w:r>
          </w:p>
        </w:tc>
      </w:tr>
      <w:tr w:rsidR="00AC54ED" w:rsidRPr="00C53FB5" w14:paraId="3C813D1A" w14:textId="77777777" w:rsidTr="0027707F">
        <w:tc>
          <w:tcPr>
            <w:tcW w:w="1555" w:type="dxa"/>
            <w:vMerge w:val="restart"/>
          </w:tcPr>
          <w:p w14:paraId="0604A3C1" w14:textId="77777777" w:rsidR="00AC54ED" w:rsidRPr="00AC54ED" w:rsidRDefault="00AC54ED" w:rsidP="000A69BD">
            <w:pPr>
              <w:pStyle w:val="ECCTabletext"/>
              <w:jc w:val="left"/>
            </w:pPr>
            <w:r>
              <w:t>231</w:t>
            </w:r>
            <w:r w:rsidR="00CF4994">
              <w:t>.5</w:t>
            </w:r>
            <w:r>
              <w:t xml:space="preserve"> to 250 GHz</w:t>
            </w:r>
          </w:p>
        </w:tc>
        <w:tc>
          <w:tcPr>
            <w:tcW w:w="1382" w:type="dxa"/>
          </w:tcPr>
          <w:p w14:paraId="7B0AD310" w14:textId="77777777" w:rsidR="00AC54ED" w:rsidRPr="00AC54ED" w:rsidRDefault="00AC54ED" w:rsidP="000A69BD">
            <w:pPr>
              <w:pStyle w:val="ECCTabletext"/>
              <w:jc w:val="left"/>
            </w:pPr>
            <w:r>
              <w:t>DBF-CDR</w:t>
            </w:r>
          </w:p>
        </w:tc>
        <w:tc>
          <w:tcPr>
            <w:tcW w:w="1338" w:type="dxa"/>
          </w:tcPr>
          <w:p w14:paraId="6950169A" w14:textId="77777777" w:rsidR="00AC54ED" w:rsidRPr="00AC54ED" w:rsidRDefault="001D330D" w:rsidP="000A69BD">
            <w:pPr>
              <w:pStyle w:val="ECCTabletext"/>
              <w:jc w:val="left"/>
            </w:pPr>
            <w:r>
              <w:t>0</w:t>
            </w:r>
            <w:r w:rsidR="00CF4994">
              <w:t>.6</w:t>
            </w:r>
            <w:r>
              <w:t>3</w:t>
            </w:r>
            <w:r w:rsidR="00AC54ED">
              <w:t> GHz</w:t>
            </w:r>
          </w:p>
        </w:tc>
        <w:tc>
          <w:tcPr>
            <w:tcW w:w="810" w:type="dxa"/>
          </w:tcPr>
          <w:p w14:paraId="408013A5" w14:textId="63DC2670" w:rsidR="00AC54ED" w:rsidRPr="00AC54ED" w:rsidRDefault="00AC54ED" w:rsidP="000A69BD">
            <w:pPr>
              <w:pStyle w:val="ECCTabletext"/>
              <w:jc w:val="left"/>
            </w:pPr>
            <w:r>
              <w:t>10</w:t>
            </w:r>
            <w:r w:rsidR="00F800A2">
              <w:t>%</w:t>
            </w:r>
          </w:p>
        </w:tc>
        <w:tc>
          <w:tcPr>
            <w:tcW w:w="1998" w:type="dxa"/>
          </w:tcPr>
          <w:p w14:paraId="0C7E8AE5" w14:textId="77777777" w:rsidR="00AC54ED" w:rsidRPr="00AC54ED" w:rsidRDefault="00AC54ED" w:rsidP="000A69BD">
            <w:pPr>
              <w:pStyle w:val="ECCTabletext"/>
              <w:jc w:val="left"/>
            </w:pPr>
            <w:r>
              <w:t>-</w:t>
            </w:r>
            <w:r w:rsidR="001D330D">
              <w:t>23</w:t>
            </w:r>
            <w:r>
              <w:t> dBm/MHz</w:t>
            </w:r>
          </w:p>
        </w:tc>
        <w:tc>
          <w:tcPr>
            <w:tcW w:w="1134" w:type="dxa"/>
          </w:tcPr>
          <w:p w14:paraId="6DA32085" w14:textId="77777777" w:rsidR="00AC54ED" w:rsidRPr="00AC54ED" w:rsidRDefault="00AC54ED" w:rsidP="000A69BD">
            <w:pPr>
              <w:pStyle w:val="ECCTabletext"/>
              <w:jc w:val="left"/>
            </w:pPr>
            <w:r>
              <w:t>15 dBm</w:t>
            </w:r>
          </w:p>
        </w:tc>
        <w:tc>
          <w:tcPr>
            <w:tcW w:w="1412" w:type="dxa"/>
          </w:tcPr>
          <w:p w14:paraId="26238A66" w14:textId="77777777" w:rsidR="00AC54ED" w:rsidRDefault="00AC54ED" w:rsidP="000A69BD">
            <w:pPr>
              <w:pStyle w:val="ECCTabletext"/>
              <w:jc w:val="left"/>
            </w:pPr>
            <w:r>
              <w:t>20 dB</w:t>
            </w:r>
          </w:p>
        </w:tc>
      </w:tr>
      <w:tr w:rsidR="00AC54ED" w:rsidRPr="00C53FB5" w14:paraId="5657F578" w14:textId="77777777" w:rsidTr="0027707F">
        <w:tc>
          <w:tcPr>
            <w:tcW w:w="1555" w:type="dxa"/>
            <w:vMerge/>
          </w:tcPr>
          <w:p w14:paraId="4511E450" w14:textId="77777777" w:rsidR="00AC54ED" w:rsidRPr="00C53FB5" w:rsidRDefault="00AC54ED" w:rsidP="00AC54ED">
            <w:pPr>
              <w:pStyle w:val="ECCTabletext"/>
            </w:pPr>
          </w:p>
        </w:tc>
        <w:tc>
          <w:tcPr>
            <w:tcW w:w="1382" w:type="dxa"/>
          </w:tcPr>
          <w:p w14:paraId="5A70B10B" w14:textId="77777777" w:rsidR="00AC54ED" w:rsidRPr="00AC54ED" w:rsidRDefault="00AC54ED" w:rsidP="000A69BD">
            <w:pPr>
              <w:pStyle w:val="ECCTabletext"/>
              <w:jc w:val="left"/>
            </w:pPr>
            <w:r>
              <w:t>M-/PA-CDR</w:t>
            </w:r>
          </w:p>
        </w:tc>
        <w:tc>
          <w:tcPr>
            <w:tcW w:w="1338" w:type="dxa"/>
          </w:tcPr>
          <w:p w14:paraId="3044E6FD" w14:textId="77777777" w:rsidR="00AC54ED" w:rsidRPr="00AC54ED" w:rsidRDefault="0027707F" w:rsidP="000A69BD">
            <w:pPr>
              <w:pStyle w:val="ECCTabletext"/>
              <w:jc w:val="left"/>
            </w:pPr>
            <w:r>
              <w:t>8</w:t>
            </w:r>
            <w:r w:rsidR="00AC54ED">
              <w:t> GHz</w:t>
            </w:r>
          </w:p>
        </w:tc>
        <w:tc>
          <w:tcPr>
            <w:tcW w:w="810" w:type="dxa"/>
          </w:tcPr>
          <w:p w14:paraId="5E5E3247" w14:textId="0FBB7507" w:rsidR="00AC54ED" w:rsidRPr="00AC54ED" w:rsidRDefault="00AC54ED" w:rsidP="000A69BD">
            <w:pPr>
              <w:pStyle w:val="ECCTabletext"/>
              <w:jc w:val="left"/>
            </w:pPr>
            <w:r>
              <w:t>10</w:t>
            </w:r>
            <w:r w:rsidR="00F800A2">
              <w:t>%</w:t>
            </w:r>
          </w:p>
        </w:tc>
        <w:tc>
          <w:tcPr>
            <w:tcW w:w="1998" w:type="dxa"/>
          </w:tcPr>
          <w:p w14:paraId="5EBBBABD" w14:textId="77777777" w:rsidR="00AC54ED" w:rsidRPr="00AC54ED" w:rsidRDefault="00AC54ED" w:rsidP="000A69BD">
            <w:pPr>
              <w:pStyle w:val="ECCTabletext"/>
              <w:jc w:val="left"/>
            </w:pPr>
            <w:r w:rsidRPr="00D5065A">
              <w:t>-</w:t>
            </w:r>
            <w:r w:rsidR="0027707F">
              <w:t>6</w:t>
            </w:r>
            <w:r w:rsidRPr="00D5065A">
              <w:t> dBm/MHz</w:t>
            </w:r>
          </w:p>
        </w:tc>
        <w:tc>
          <w:tcPr>
            <w:tcW w:w="1134" w:type="dxa"/>
          </w:tcPr>
          <w:p w14:paraId="62F7C28B" w14:textId="77777777" w:rsidR="00AC54ED" w:rsidRPr="00AC54ED" w:rsidRDefault="00AC54ED" w:rsidP="000A69BD">
            <w:pPr>
              <w:pStyle w:val="ECCTabletext"/>
              <w:jc w:val="left"/>
            </w:pPr>
            <w:r>
              <w:t>37</w:t>
            </w:r>
            <w:r w:rsidRPr="00AC54ED">
              <w:t> dBm</w:t>
            </w:r>
          </w:p>
        </w:tc>
        <w:tc>
          <w:tcPr>
            <w:tcW w:w="1412" w:type="dxa"/>
          </w:tcPr>
          <w:p w14:paraId="55EF3F30" w14:textId="77777777" w:rsidR="00AC54ED" w:rsidRDefault="00AC54ED" w:rsidP="000A69BD">
            <w:pPr>
              <w:pStyle w:val="ECCTabletext"/>
              <w:jc w:val="left"/>
            </w:pPr>
            <w:r>
              <w:t>20 dB</w:t>
            </w:r>
          </w:p>
        </w:tc>
      </w:tr>
      <w:tr w:rsidR="00200700" w:rsidRPr="00C53FB5" w14:paraId="2D2F6E74" w14:textId="77777777" w:rsidTr="00200700">
        <w:tc>
          <w:tcPr>
            <w:tcW w:w="9629" w:type="dxa"/>
            <w:gridSpan w:val="7"/>
          </w:tcPr>
          <w:p w14:paraId="0770DF0E" w14:textId="77777777" w:rsidR="00200700" w:rsidRDefault="00200700" w:rsidP="00464AE0">
            <w:pPr>
              <w:pStyle w:val="ECCTablenote"/>
            </w:pPr>
            <w:r>
              <w:t>Note 1</w:t>
            </w:r>
            <w:r w:rsidRPr="00F66F92">
              <w:t xml:space="preserve">: Assumed out-of-band attenuation of the </w:t>
            </w:r>
            <w:r>
              <w:t>CDR</w:t>
            </w:r>
            <w:r w:rsidRPr="00F66F92">
              <w:t>-signal in adjacent bands allocated to EESS.</w:t>
            </w:r>
          </w:p>
          <w:p w14:paraId="1029C320" w14:textId="6962ED9D" w:rsidR="00200700" w:rsidRDefault="00200700" w:rsidP="00464AE0">
            <w:pPr>
              <w:pStyle w:val="ECCTablenote"/>
            </w:pPr>
            <w:r w:rsidRPr="00E06337">
              <w:t xml:space="preserve">Note 2: The duty cycle of </w:t>
            </w:r>
            <w:r>
              <w:t>10</w:t>
            </w:r>
            <w:r w:rsidR="00F800A2">
              <w:t>%</w:t>
            </w:r>
            <w:r w:rsidRPr="00E06337">
              <w:t xml:space="preserve"> is already considered in this mean e.i.r.p. spectral density value. Consequently, the given mean e.i.r.p. spectral density is valid for averaging over the whole measurement cycle T</w:t>
            </w:r>
            <w:r w:rsidRPr="00E06337">
              <w:rPr>
                <w:rStyle w:val="ECCHLsubscript"/>
              </w:rPr>
              <w:t xml:space="preserve">meas_cycle </w:t>
            </w:r>
            <w:r w:rsidRPr="00E06337">
              <w:t>of the device including any T</w:t>
            </w:r>
            <w:r w:rsidRPr="00E06337">
              <w:rPr>
                <w:rStyle w:val="ECCHLsubscript"/>
              </w:rPr>
              <w:t>off</w:t>
            </w:r>
            <w:r w:rsidRPr="00E06337">
              <w:t xml:space="preserve"> times (see </w:t>
            </w:r>
            <w:r w:rsidRPr="00E06337">
              <w:fldChar w:fldCharType="begin"/>
            </w:r>
            <w:r w:rsidRPr="00E06337">
              <w:instrText xml:space="preserve"> REF _Ref8900572 \h </w:instrText>
            </w:r>
            <w:r w:rsidRPr="00E06337">
              <w:fldChar w:fldCharType="separate"/>
            </w:r>
            <w:r w:rsidR="0041125F" w:rsidRPr="006D6727">
              <w:rPr>
                <w:noProof/>
              </w:rPr>
              <w:t>Figure </w:t>
            </w:r>
            <w:r w:rsidR="0041125F">
              <w:rPr>
                <w:noProof/>
              </w:rPr>
              <w:t>36</w:t>
            </w:r>
            <w:r w:rsidRPr="00E06337">
              <w:fldChar w:fldCharType="end"/>
            </w:r>
            <w:r w:rsidRPr="00E06337">
              <w:t>).</w:t>
            </w:r>
          </w:p>
        </w:tc>
      </w:tr>
    </w:tbl>
    <w:p w14:paraId="0FAD2B17" w14:textId="77777777" w:rsidR="001C46A1" w:rsidRDefault="001C46A1" w:rsidP="001C46A1">
      <w:pPr>
        <w:pStyle w:val="Heading3"/>
      </w:pPr>
      <w:bookmarkStart w:id="755" w:name="_Ref67346417"/>
      <w:bookmarkStart w:id="756" w:name="_Toc84325419"/>
      <w:bookmarkStart w:id="757" w:name="_Toc127346341"/>
      <w:r>
        <w:t>Results</w:t>
      </w:r>
      <w:bookmarkEnd w:id="755"/>
      <w:bookmarkEnd w:id="756"/>
      <w:bookmarkEnd w:id="757"/>
    </w:p>
    <w:p w14:paraId="015AC7C2" w14:textId="36D5B75D" w:rsidR="001C46A1" w:rsidRPr="001C46A1" w:rsidRDefault="00140FED" w:rsidP="001C46A1">
      <w:r>
        <w:fldChar w:fldCharType="begin"/>
      </w:r>
      <w:r>
        <w:instrText xml:space="preserve"> REF _Ref67227074 \h </w:instrText>
      </w:r>
      <w:r>
        <w:fldChar w:fldCharType="separate"/>
      </w:r>
      <w:r w:rsidR="0041125F" w:rsidRPr="00477961">
        <w:t>Table </w:t>
      </w:r>
      <w:r w:rsidR="0041125F">
        <w:rPr>
          <w:noProof/>
        </w:rPr>
        <w:t>99</w:t>
      </w:r>
      <w:r>
        <w:fldChar w:fldCharType="end"/>
      </w:r>
      <w:r>
        <w:t xml:space="preserve"> </w:t>
      </w:r>
      <w:r w:rsidR="001C46A1" w:rsidRPr="001C46A1">
        <w:t xml:space="preserve">shows the single-entry and </w:t>
      </w:r>
      <w:r>
        <w:fldChar w:fldCharType="begin"/>
      </w:r>
      <w:r>
        <w:instrText xml:space="preserve"> REF _Ref67227086 \h </w:instrText>
      </w:r>
      <w:r>
        <w:fldChar w:fldCharType="separate"/>
      </w:r>
      <w:r w:rsidR="0041125F" w:rsidRPr="00477961">
        <w:t>Table </w:t>
      </w:r>
      <w:r w:rsidR="0041125F">
        <w:rPr>
          <w:noProof/>
        </w:rPr>
        <w:t>100</w:t>
      </w:r>
      <w:r>
        <w:fldChar w:fldCharType="end"/>
      </w:r>
      <w:r>
        <w:t xml:space="preserve"> </w:t>
      </w:r>
      <w:r w:rsidR="001C46A1" w:rsidRPr="001C46A1">
        <w:t xml:space="preserve">the aggregate </w:t>
      </w:r>
      <w:r w:rsidR="00791D2C">
        <w:t>worst</w:t>
      </w:r>
      <w:r w:rsidR="001C46A1" w:rsidRPr="001C46A1">
        <w:t>-case results for DBF-CDR, e.g. the residual margins for the individual frequency ranges, and EESS victim sensors. A positive margin indicates that the interference criterion is fulfilled and a negative margin that the criterion is violated.</w:t>
      </w:r>
    </w:p>
    <w:p w14:paraId="12AE0C03" w14:textId="43E49C62" w:rsidR="001C46A1" w:rsidRDefault="00CD3AC1" w:rsidP="001C46A1">
      <w:pPr>
        <w:pStyle w:val="Caption"/>
      </w:pPr>
      <w:bookmarkStart w:id="758" w:name="_Ref67227074"/>
      <w:r w:rsidRPr="00477961">
        <w:t>Table </w:t>
      </w:r>
      <w:r>
        <w:fldChar w:fldCharType="begin"/>
      </w:r>
      <w:r>
        <w:instrText>SEQ Table \* ARABIC</w:instrText>
      </w:r>
      <w:r>
        <w:fldChar w:fldCharType="separate"/>
      </w:r>
      <w:r w:rsidR="004F49F9">
        <w:rPr>
          <w:noProof/>
        </w:rPr>
        <w:t>99</w:t>
      </w:r>
      <w:r>
        <w:fldChar w:fldCharType="end"/>
      </w:r>
      <w:bookmarkEnd w:id="758"/>
      <w:r w:rsidR="001C46A1">
        <w:t xml:space="preserve">: </w:t>
      </w:r>
      <w:r w:rsidR="001C46A1" w:rsidRPr="006231F5">
        <w:t xml:space="preserve">Margins to the </w:t>
      </w:r>
      <w:r w:rsidR="001C46A1">
        <w:t xml:space="preserve">EESS </w:t>
      </w:r>
      <w:r w:rsidR="001C46A1" w:rsidRPr="006231F5">
        <w:t xml:space="preserve">interference criterion determined in a single-entry study </w:t>
      </w:r>
      <w:r w:rsidR="001C46A1" w:rsidRPr="00FB1EDE">
        <w:t>for DBF-CDR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07A784E8"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3A0F7ADA" w14:textId="77777777" w:rsidR="001C46A1" w:rsidRPr="001C46A1" w:rsidRDefault="001C46A1" w:rsidP="00876039">
            <w:pPr>
              <w:pStyle w:val="ECCTableHeaderwhitefont"/>
            </w:pPr>
            <w:r w:rsidRPr="001C46A1">
              <w:t>Investigated Frequency range</w:t>
            </w:r>
          </w:p>
        </w:tc>
        <w:tc>
          <w:tcPr>
            <w:tcW w:w="2171" w:type="dxa"/>
          </w:tcPr>
          <w:p w14:paraId="7EE8BF2B" w14:textId="77777777" w:rsidR="001C46A1" w:rsidRPr="001C46A1" w:rsidRDefault="001C46A1" w:rsidP="00755979">
            <w:pPr>
              <w:pStyle w:val="ECCTableHeaderwhitefont"/>
            </w:pPr>
            <w:r w:rsidRPr="001C46A1">
              <w:t>Allocated band for EESS</w:t>
            </w:r>
          </w:p>
        </w:tc>
        <w:tc>
          <w:tcPr>
            <w:tcW w:w="1418" w:type="dxa"/>
          </w:tcPr>
          <w:p w14:paraId="41FABF2B" w14:textId="77777777" w:rsidR="001C46A1" w:rsidRPr="001C46A1" w:rsidRDefault="001C46A1" w:rsidP="00755979">
            <w:pPr>
              <w:pStyle w:val="ECCTableHeaderwhitefont"/>
            </w:pPr>
            <w:r w:rsidRPr="001C46A1">
              <w:t>Evaluated frequency</w:t>
            </w:r>
          </w:p>
        </w:tc>
        <w:tc>
          <w:tcPr>
            <w:tcW w:w="2693" w:type="dxa"/>
          </w:tcPr>
          <w:p w14:paraId="4B84B9D9" w14:textId="77777777" w:rsidR="001C46A1" w:rsidRPr="001C46A1" w:rsidRDefault="001C46A1" w:rsidP="00755979">
            <w:pPr>
              <w:pStyle w:val="ECCTableHeaderwhitefont"/>
            </w:pPr>
            <w:r w:rsidRPr="001C46A1">
              <w:t>EESS victim sensor</w:t>
            </w:r>
          </w:p>
        </w:tc>
        <w:tc>
          <w:tcPr>
            <w:tcW w:w="1554" w:type="dxa"/>
          </w:tcPr>
          <w:p w14:paraId="3DDAA2E2" w14:textId="77777777" w:rsidR="001C46A1" w:rsidRPr="001C46A1" w:rsidRDefault="001C46A1" w:rsidP="00755979">
            <w:pPr>
              <w:pStyle w:val="ECCTableHeaderwhitefont"/>
            </w:pPr>
            <w:r w:rsidRPr="001C46A1">
              <w:t>Margin to interference criterion</w:t>
            </w:r>
          </w:p>
        </w:tc>
      </w:tr>
      <w:tr w:rsidR="001C46A1" w14:paraId="47DE7DE8" w14:textId="77777777" w:rsidTr="004E0271">
        <w:tc>
          <w:tcPr>
            <w:tcW w:w="1793" w:type="dxa"/>
            <w:vMerge w:val="restart"/>
          </w:tcPr>
          <w:p w14:paraId="40A272BA"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3318171F" w14:textId="77777777" w:rsidR="001C46A1" w:rsidRPr="001C46A1" w:rsidRDefault="001C46A1" w:rsidP="000A69BD">
            <w:pPr>
              <w:pStyle w:val="ECCTabletext"/>
              <w:jc w:val="left"/>
            </w:pPr>
            <w:r>
              <w:t>114</w:t>
            </w:r>
            <w:r w:rsidR="00CF4994">
              <w:t>.2</w:t>
            </w:r>
            <w:r>
              <w:t>5 to 122</w:t>
            </w:r>
            <w:r w:rsidR="00CF4994">
              <w:t>.2</w:t>
            </w:r>
            <w:r>
              <w:t>5 GHz</w:t>
            </w:r>
            <w:r w:rsidR="00F66F92">
              <w:t xml:space="preserve"> (In-band)</w:t>
            </w:r>
          </w:p>
        </w:tc>
        <w:tc>
          <w:tcPr>
            <w:tcW w:w="1418" w:type="dxa"/>
          </w:tcPr>
          <w:p w14:paraId="3E3BDA07" w14:textId="77777777" w:rsidR="001C46A1" w:rsidRPr="001C46A1" w:rsidRDefault="001C46A1" w:rsidP="000A69BD">
            <w:pPr>
              <w:pStyle w:val="ECCTabletext"/>
              <w:jc w:val="left"/>
            </w:pPr>
            <w:r>
              <w:t>119</w:t>
            </w:r>
            <w:r w:rsidR="00CF4994">
              <w:t>.1</w:t>
            </w:r>
            <w:r>
              <w:t>25 GHz</w:t>
            </w:r>
          </w:p>
        </w:tc>
        <w:tc>
          <w:tcPr>
            <w:tcW w:w="2693" w:type="dxa"/>
          </w:tcPr>
          <w:p w14:paraId="19280940" w14:textId="77777777" w:rsidR="001C46A1" w:rsidRPr="001C46A1" w:rsidRDefault="001C46A1" w:rsidP="000A69BD">
            <w:pPr>
              <w:pStyle w:val="ECCTabletext"/>
              <w:jc w:val="left"/>
            </w:pPr>
            <w:r>
              <w:t>MWI conical scanner</w:t>
            </w:r>
          </w:p>
        </w:tc>
        <w:tc>
          <w:tcPr>
            <w:tcW w:w="1554" w:type="dxa"/>
          </w:tcPr>
          <w:p w14:paraId="2FF79366" w14:textId="77777777" w:rsidR="001C46A1" w:rsidRPr="001C46A1" w:rsidRDefault="001C46A1" w:rsidP="000A69BD">
            <w:pPr>
              <w:pStyle w:val="ECCTabletext"/>
              <w:jc w:val="left"/>
            </w:pPr>
            <w:r w:rsidRPr="001C46A1">
              <w:t>1</w:t>
            </w:r>
            <w:r w:rsidR="00E05FA8">
              <w:t>4</w:t>
            </w:r>
            <w:r w:rsidR="00CF4994">
              <w:t>.1</w:t>
            </w:r>
            <w:r w:rsidRPr="001C46A1">
              <w:t> dB</w:t>
            </w:r>
          </w:p>
        </w:tc>
      </w:tr>
      <w:tr w:rsidR="001C46A1" w14:paraId="339C56C4" w14:textId="77777777" w:rsidTr="004E0271">
        <w:tc>
          <w:tcPr>
            <w:tcW w:w="1793" w:type="dxa"/>
            <w:vMerge/>
          </w:tcPr>
          <w:p w14:paraId="3D90FC8E" w14:textId="77777777" w:rsidR="001C46A1" w:rsidRPr="00C53FB5" w:rsidRDefault="001C46A1" w:rsidP="001C46A1">
            <w:pPr>
              <w:pStyle w:val="ECCTabletext"/>
            </w:pPr>
          </w:p>
        </w:tc>
        <w:tc>
          <w:tcPr>
            <w:tcW w:w="2171" w:type="dxa"/>
          </w:tcPr>
          <w:p w14:paraId="7E35B42A" w14:textId="77777777" w:rsidR="001C46A1" w:rsidRPr="001C46A1" w:rsidRDefault="001C46A1" w:rsidP="000A69BD">
            <w:pPr>
              <w:pStyle w:val="ECCTabletext"/>
              <w:jc w:val="left"/>
            </w:pPr>
            <w:r>
              <w:t>148</w:t>
            </w:r>
            <w:r w:rsidR="00CF4994">
              <w:t>.5</w:t>
            </w:r>
            <w:r>
              <w:t xml:space="preserve"> to 151</w:t>
            </w:r>
            <w:r w:rsidR="00CF4994">
              <w:t>.5</w:t>
            </w:r>
            <w:r>
              <w:t> GHz</w:t>
            </w:r>
            <w:r w:rsidR="00F66F92">
              <w:t xml:space="preserve"> (OOB)</w:t>
            </w:r>
          </w:p>
        </w:tc>
        <w:tc>
          <w:tcPr>
            <w:tcW w:w="1418" w:type="dxa"/>
          </w:tcPr>
          <w:p w14:paraId="6D4DB4A1" w14:textId="77777777" w:rsidR="001C46A1" w:rsidRPr="001C46A1" w:rsidRDefault="001C46A1" w:rsidP="000A69BD">
            <w:pPr>
              <w:pStyle w:val="ECCTabletext"/>
              <w:jc w:val="left"/>
            </w:pPr>
            <w:r>
              <w:t>150 GHz</w:t>
            </w:r>
          </w:p>
        </w:tc>
        <w:tc>
          <w:tcPr>
            <w:tcW w:w="2693" w:type="dxa"/>
          </w:tcPr>
          <w:p w14:paraId="59176A9D" w14:textId="77777777" w:rsidR="001C46A1" w:rsidRPr="001C46A1" w:rsidRDefault="001C46A1" w:rsidP="000A69BD">
            <w:pPr>
              <w:pStyle w:val="ECCTabletext"/>
              <w:jc w:val="left"/>
            </w:pPr>
            <w:r>
              <w:t>Sensor N1 nadir scanner (at nadir)</w:t>
            </w:r>
          </w:p>
        </w:tc>
        <w:tc>
          <w:tcPr>
            <w:tcW w:w="1554" w:type="dxa"/>
          </w:tcPr>
          <w:p w14:paraId="7261F90D" w14:textId="77777777" w:rsidR="001C46A1" w:rsidRPr="001C46A1" w:rsidRDefault="001C46A1" w:rsidP="000A69BD">
            <w:pPr>
              <w:pStyle w:val="ECCTabletext"/>
              <w:jc w:val="left"/>
            </w:pPr>
            <w:r w:rsidRPr="001C46A1">
              <w:t>4</w:t>
            </w:r>
            <w:r w:rsidR="00E05FA8">
              <w:t>3</w:t>
            </w:r>
            <w:r w:rsidR="00CF4994">
              <w:t>.5</w:t>
            </w:r>
            <w:r w:rsidRPr="001C46A1">
              <w:t> dB</w:t>
            </w:r>
          </w:p>
        </w:tc>
      </w:tr>
      <w:tr w:rsidR="001C46A1" w14:paraId="1BE760E9" w14:textId="77777777" w:rsidTr="004E0271">
        <w:tc>
          <w:tcPr>
            <w:tcW w:w="1793" w:type="dxa"/>
            <w:vMerge w:val="restart"/>
          </w:tcPr>
          <w:p w14:paraId="0FB97E8A" w14:textId="77777777" w:rsidR="001C46A1" w:rsidRPr="001C46A1" w:rsidRDefault="001C46A1" w:rsidP="000A69BD">
            <w:pPr>
              <w:pStyle w:val="ECCTabletext"/>
              <w:jc w:val="left"/>
            </w:pPr>
            <w:r>
              <w:t>167 to 182 GHz</w:t>
            </w:r>
          </w:p>
        </w:tc>
        <w:tc>
          <w:tcPr>
            <w:tcW w:w="2171" w:type="dxa"/>
          </w:tcPr>
          <w:p w14:paraId="5A3825BC" w14:textId="77777777" w:rsidR="001C46A1" w:rsidRPr="001C46A1" w:rsidRDefault="001C46A1" w:rsidP="000A69BD">
            <w:pPr>
              <w:pStyle w:val="ECCTabletext"/>
              <w:jc w:val="left"/>
            </w:pPr>
            <w:r>
              <w:t>164 to 167 GHz</w:t>
            </w:r>
            <w:r w:rsidR="00F66F92">
              <w:t xml:space="preserve"> (OOB)</w:t>
            </w:r>
          </w:p>
        </w:tc>
        <w:tc>
          <w:tcPr>
            <w:tcW w:w="1418" w:type="dxa"/>
          </w:tcPr>
          <w:p w14:paraId="370C8094" w14:textId="77777777" w:rsidR="001C46A1" w:rsidRPr="001C46A1" w:rsidRDefault="001C46A1" w:rsidP="000A69BD">
            <w:pPr>
              <w:pStyle w:val="ECCTabletext"/>
              <w:jc w:val="left"/>
            </w:pPr>
            <w:r>
              <w:t>165</w:t>
            </w:r>
            <w:r w:rsidR="00CF4994">
              <w:t>.5</w:t>
            </w:r>
            <w:r>
              <w:t> GHz</w:t>
            </w:r>
          </w:p>
        </w:tc>
        <w:tc>
          <w:tcPr>
            <w:tcW w:w="2693" w:type="dxa"/>
          </w:tcPr>
          <w:p w14:paraId="75AD7B17" w14:textId="77777777" w:rsidR="001C46A1" w:rsidRPr="001C46A1" w:rsidRDefault="001C46A1" w:rsidP="000A69BD">
            <w:pPr>
              <w:pStyle w:val="ECCTabletext"/>
              <w:jc w:val="left"/>
            </w:pPr>
            <w:r>
              <w:t>Sensor P1 conical scanner</w:t>
            </w:r>
          </w:p>
        </w:tc>
        <w:tc>
          <w:tcPr>
            <w:tcW w:w="1554" w:type="dxa"/>
          </w:tcPr>
          <w:p w14:paraId="1B580C95" w14:textId="77777777" w:rsidR="001C46A1" w:rsidRPr="001C46A1" w:rsidRDefault="001C46A1" w:rsidP="000A69BD">
            <w:pPr>
              <w:pStyle w:val="ECCTabletext"/>
              <w:jc w:val="left"/>
            </w:pPr>
            <w:r w:rsidRPr="001C46A1">
              <w:t>4</w:t>
            </w:r>
            <w:r w:rsidR="00E05FA8">
              <w:t>0</w:t>
            </w:r>
            <w:r w:rsidR="00CF4994">
              <w:t>.8</w:t>
            </w:r>
            <w:r w:rsidRPr="001C46A1">
              <w:t> dB</w:t>
            </w:r>
          </w:p>
        </w:tc>
      </w:tr>
      <w:tr w:rsidR="001C46A1" w14:paraId="5AF5ACD2" w14:textId="77777777" w:rsidTr="004E0271">
        <w:tc>
          <w:tcPr>
            <w:tcW w:w="1793" w:type="dxa"/>
            <w:vMerge/>
          </w:tcPr>
          <w:p w14:paraId="167D87A4" w14:textId="77777777" w:rsidR="001C46A1" w:rsidRDefault="001C46A1" w:rsidP="001C46A1">
            <w:pPr>
              <w:pStyle w:val="ECCTabletext"/>
            </w:pPr>
          </w:p>
        </w:tc>
        <w:tc>
          <w:tcPr>
            <w:tcW w:w="2171" w:type="dxa"/>
          </w:tcPr>
          <w:p w14:paraId="68C94C82" w14:textId="77777777" w:rsidR="001C46A1" w:rsidRPr="001C46A1" w:rsidRDefault="001C46A1" w:rsidP="000A69BD">
            <w:pPr>
              <w:pStyle w:val="ECCTabletext"/>
              <w:jc w:val="left"/>
            </w:pPr>
            <w:r>
              <w:t>174</w:t>
            </w:r>
            <w:r w:rsidR="00CF4994">
              <w:t>.8</w:t>
            </w:r>
            <w:r>
              <w:t> to 191</w:t>
            </w:r>
            <w:r w:rsidR="00CF4994">
              <w:t>.8</w:t>
            </w:r>
            <w:r>
              <w:t> GHz</w:t>
            </w:r>
            <w:r w:rsidR="00F66F92">
              <w:t xml:space="preserve"> (In-band)</w:t>
            </w:r>
          </w:p>
        </w:tc>
        <w:tc>
          <w:tcPr>
            <w:tcW w:w="1418" w:type="dxa"/>
          </w:tcPr>
          <w:p w14:paraId="0D88FE55" w14:textId="77777777" w:rsidR="001C46A1" w:rsidRPr="001C46A1" w:rsidRDefault="001C46A1" w:rsidP="000A69BD">
            <w:pPr>
              <w:pStyle w:val="ECCTabletext"/>
              <w:jc w:val="left"/>
            </w:pPr>
            <w:r>
              <w:t>178</w:t>
            </w:r>
            <w:r w:rsidR="00CF4994">
              <w:t>.4</w:t>
            </w:r>
            <w:r>
              <w:t> GHz</w:t>
            </w:r>
          </w:p>
        </w:tc>
        <w:tc>
          <w:tcPr>
            <w:tcW w:w="2693" w:type="dxa"/>
          </w:tcPr>
          <w:p w14:paraId="5B91B3F5" w14:textId="77777777" w:rsidR="001C46A1" w:rsidRPr="001C46A1" w:rsidRDefault="001C46A1" w:rsidP="000A69BD">
            <w:pPr>
              <w:pStyle w:val="ECCTabletext"/>
              <w:jc w:val="left"/>
            </w:pPr>
            <w:r>
              <w:t>AWS nadir scanner (at nadir)</w:t>
            </w:r>
          </w:p>
        </w:tc>
        <w:tc>
          <w:tcPr>
            <w:tcW w:w="1554" w:type="dxa"/>
          </w:tcPr>
          <w:p w14:paraId="7FB196DE" w14:textId="77777777" w:rsidR="001C46A1" w:rsidRPr="001C46A1" w:rsidRDefault="001C46A1" w:rsidP="000A69BD">
            <w:pPr>
              <w:pStyle w:val="ECCTabletext"/>
              <w:jc w:val="left"/>
            </w:pPr>
            <w:r w:rsidRPr="001C46A1">
              <w:t>2</w:t>
            </w:r>
            <w:r w:rsidR="00E05FA8">
              <w:t>1</w:t>
            </w:r>
            <w:r w:rsidR="00CF4994">
              <w:t>.3</w:t>
            </w:r>
            <w:r w:rsidRPr="001C46A1">
              <w:t> dB</w:t>
            </w:r>
          </w:p>
        </w:tc>
      </w:tr>
      <w:tr w:rsidR="001C46A1" w14:paraId="1DF7C508" w14:textId="77777777" w:rsidTr="004E0271">
        <w:tc>
          <w:tcPr>
            <w:tcW w:w="1793" w:type="dxa"/>
            <w:vMerge w:val="restart"/>
          </w:tcPr>
          <w:p w14:paraId="1DF3DCF7" w14:textId="77777777" w:rsidR="001C46A1" w:rsidRPr="001C46A1" w:rsidRDefault="001C46A1" w:rsidP="000A69BD">
            <w:pPr>
              <w:pStyle w:val="ECCTabletext"/>
              <w:jc w:val="left"/>
            </w:pPr>
            <w:r>
              <w:t>231</w:t>
            </w:r>
            <w:r w:rsidR="00CF4994">
              <w:t>.5</w:t>
            </w:r>
            <w:r>
              <w:t xml:space="preserve"> to 250 GHz</w:t>
            </w:r>
          </w:p>
        </w:tc>
        <w:tc>
          <w:tcPr>
            <w:tcW w:w="2171" w:type="dxa"/>
          </w:tcPr>
          <w:p w14:paraId="2F70C00E" w14:textId="77777777" w:rsidR="001C46A1" w:rsidRPr="001C46A1" w:rsidRDefault="001C46A1" w:rsidP="000A69BD">
            <w:pPr>
              <w:pStyle w:val="ECCTabletext"/>
              <w:jc w:val="left"/>
            </w:pPr>
            <w:r>
              <w:t>226 to 231</w:t>
            </w:r>
            <w:r w:rsidR="00CF4994">
              <w:t>.5</w:t>
            </w:r>
            <w:r>
              <w:t> GHz</w:t>
            </w:r>
            <w:r w:rsidR="00F66F92">
              <w:t xml:space="preserve"> (OOB)</w:t>
            </w:r>
          </w:p>
        </w:tc>
        <w:tc>
          <w:tcPr>
            <w:tcW w:w="1418" w:type="dxa"/>
          </w:tcPr>
          <w:p w14:paraId="1384A823" w14:textId="77777777" w:rsidR="001C46A1" w:rsidRPr="001C46A1" w:rsidRDefault="001C46A1" w:rsidP="000A69BD">
            <w:pPr>
              <w:pStyle w:val="ECCTabletext"/>
              <w:jc w:val="left"/>
            </w:pPr>
            <w:r>
              <w:t>228</w:t>
            </w:r>
            <w:r w:rsidR="00CF4994">
              <w:t>.7</w:t>
            </w:r>
            <w:r>
              <w:t>5 GHz</w:t>
            </w:r>
          </w:p>
        </w:tc>
        <w:tc>
          <w:tcPr>
            <w:tcW w:w="2693" w:type="dxa"/>
          </w:tcPr>
          <w:p w14:paraId="63331264" w14:textId="77777777" w:rsidR="001C46A1" w:rsidRPr="001C46A1" w:rsidRDefault="001C46A1" w:rsidP="000A69BD">
            <w:pPr>
              <w:pStyle w:val="ECCTabletext"/>
              <w:jc w:val="left"/>
            </w:pPr>
            <w:r>
              <w:t>AWS nadir scanner (at nadir)</w:t>
            </w:r>
          </w:p>
        </w:tc>
        <w:tc>
          <w:tcPr>
            <w:tcW w:w="1554" w:type="dxa"/>
          </w:tcPr>
          <w:p w14:paraId="395571B3" w14:textId="77777777" w:rsidR="001C46A1" w:rsidRPr="001C46A1" w:rsidRDefault="00E05FA8" w:rsidP="000A69BD">
            <w:pPr>
              <w:pStyle w:val="ECCTabletext"/>
              <w:jc w:val="left"/>
            </w:pPr>
            <w:r>
              <w:t>36</w:t>
            </w:r>
            <w:r w:rsidR="00CF4994">
              <w:t>.7</w:t>
            </w:r>
            <w:r w:rsidR="001C46A1" w:rsidRPr="001C46A1">
              <w:t> dB</w:t>
            </w:r>
          </w:p>
        </w:tc>
      </w:tr>
      <w:tr w:rsidR="001C46A1" w14:paraId="69BBAFB3" w14:textId="77777777" w:rsidTr="004E0271">
        <w:tc>
          <w:tcPr>
            <w:tcW w:w="1793" w:type="dxa"/>
            <w:vMerge/>
          </w:tcPr>
          <w:p w14:paraId="454E980D" w14:textId="77777777" w:rsidR="001C46A1" w:rsidRDefault="001C46A1" w:rsidP="001C46A1">
            <w:pPr>
              <w:pStyle w:val="ECCTabletext"/>
            </w:pPr>
          </w:p>
        </w:tc>
        <w:tc>
          <w:tcPr>
            <w:tcW w:w="2171" w:type="dxa"/>
          </w:tcPr>
          <w:p w14:paraId="732C03E2" w14:textId="77777777" w:rsidR="001C46A1" w:rsidRPr="001C46A1" w:rsidRDefault="001C46A1" w:rsidP="000A69BD">
            <w:pPr>
              <w:pStyle w:val="ECCTabletext"/>
              <w:jc w:val="left"/>
            </w:pPr>
            <w:r>
              <w:t>239 to 248 GHz</w:t>
            </w:r>
            <w:r w:rsidR="00F66F92">
              <w:t xml:space="preserve"> (In-band)</w:t>
            </w:r>
          </w:p>
        </w:tc>
        <w:tc>
          <w:tcPr>
            <w:tcW w:w="1418" w:type="dxa"/>
          </w:tcPr>
          <w:p w14:paraId="7A9DFB25" w14:textId="77777777" w:rsidR="001C46A1" w:rsidRPr="001C46A1" w:rsidRDefault="001C46A1" w:rsidP="000A69BD">
            <w:pPr>
              <w:pStyle w:val="ECCTabletext"/>
              <w:jc w:val="left"/>
            </w:pPr>
            <w:r>
              <w:t>243</w:t>
            </w:r>
            <w:r w:rsidR="00CF4994">
              <w:t>.5</w:t>
            </w:r>
            <w:r>
              <w:t> GHz</w:t>
            </w:r>
          </w:p>
        </w:tc>
        <w:tc>
          <w:tcPr>
            <w:tcW w:w="2693" w:type="dxa"/>
          </w:tcPr>
          <w:p w14:paraId="19B8B8FF" w14:textId="77777777" w:rsidR="001C46A1" w:rsidRPr="001C46A1" w:rsidRDefault="001C46A1" w:rsidP="000A69BD">
            <w:pPr>
              <w:pStyle w:val="ECCTabletext"/>
              <w:jc w:val="left"/>
            </w:pPr>
            <w:r>
              <w:t xml:space="preserve">AWS nadir scanner (at </w:t>
            </w:r>
            <w:r w:rsidRPr="001C46A1">
              <w:t>nadir)</w:t>
            </w:r>
          </w:p>
        </w:tc>
        <w:tc>
          <w:tcPr>
            <w:tcW w:w="1554" w:type="dxa"/>
          </w:tcPr>
          <w:p w14:paraId="5E9DE088" w14:textId="77777777" w:rsidR="001C46A1" w:rsidRPr="001C46A1" w:rsidRDefault="00E05FA8" w:rsidP="000A69BD">
            <w:pPr>
              <w:pStyle w:val="ECCTabletext"/>
              <w:jc w:val="left"/>
            </w:pPr>
            <w:r>
              <w:t>17</w:t>
            </w:r>
            <w:r w:rsidR="00CF4994">
              <w:t>.7</w:t>
            </w:r>
            <w:r w:rsidR="001C46A1" w:rsidRPr="001C46A1">
              <w:t> dB</w:t>
            </w:r>
          </w:p>
        </w:tc>
      </w:tr>
    </w:tbl>
    <w:p w14:paraId="60504E40" w14:textId="2C26CC89" w:rsidR="001C46A1" w:rsidRDefault="00CD3AC1" w:rsidP="001C46A1">
      <w:pPr>
        <w:pStyle w:val="Caption"/>
      </w:pPr>
      <w:bookmarkStart w:id="759" w:name="_Ref67227086"/>
      <w:r w:rsidRPr="00477961">
        <w:t>Table </w:t>
      </w:r>
      <w:r>
        <w:fldChar w:fldCharType="begin"/>
      </w:r>
      <w:r>
        <w:instrText>SEQ Table \* ARABIC</w:instrText>
      </w:r>
      <w:r>
        <w:fldChar w:fldCharType="separate"/>
      </w:r>
      <w:r w:rsidR="004F49F9">
        <w:rPr>
          <w:noProof/>
        </w:rPr>
        <w:t>100</w:t>
      </w:r>
      <w:r>
        <w:fldChar w:fldCharType="end"/>
      </w:r>
      <w:bookmarkEnd w:id="759"/>
      <w:r w:rsidR="001C46A1">
        <w:t xml:space="preserve">: </w:t>
      </w:r>
      <w:r w:rsidR="001C46A1" w:rsidRPr="006231F5">
        <w:t xml:space="preserve">Margins to the </w:t>
      </w:r>
      <w:r w:rsidR="001C46A1">
        <w:t xml:space="preserve">EESS </w:t>
      </w:r>
      <w:r w:rsidR="001C46A1" w:rsidRPr="006231F5">
        <w:t>interference criterion determined in a</w:t>
      </w:r>
      <w:r w:rsidR="001C46A1">
        <w:t xml:space="preserve">n aggregate </w:t>
      </w:r>
      <w:r w:rsidR="001C46A1" w:rsidRPr="006231F5">
        <w:t xml:space="preserve">study </w:t>
      </w:r>
      <w:r w:rsidR="001C46A1" w:rsidRPr="00FB1EDE">
        <w:t>for DBF-CDR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2D76A274"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03D6E07E" w14:textId="77777777" w:rsidR="001C46A1" w:rsidRPr="001C46A1" w:rsidRDefault="001C46A1" w:rsidP="00876039">
            <w:pPr>
              <w:pStyle w:val="ECCTableHeaderwhitefont"/>
            </w:pPr>
            <w:r w:rsidRPr="001C46A1">
              <w:t>Investigated Frequency range</w:t>
            </w:r>
          </w:p>
        </w:tc>
        <w:tc>
          <w:tcPr>
            <w:tcW w:w="2171" w:type="dxa"/>
          </w:tcPr>
          <w:p w14:paraId="656F032F" w14:textId="77777777" w:rsidR="001C46A1" w:rsidRPr="001C46A1" w:rsidRDefault="001C46A1" w:rsidP="000A69BD">
            <w:pPr>
              <w:pStyle w:val="ECCTableHeaderwhitefont"/>
            </w:pPr>
            <w:r w:rsidRPr="001C46A1">
              <w:t>Allocated band for EESS</w:t>
            </w:r>
          </w:p>
        </w:tc>
        <w:tc>
          <w:tcPr>
            <w:tcW w:w="1418" w:type="dxa"/>
          </w:tcPr>
          <w:p w14:paraId="6EDA11DD" w14:textId="77777777" w:rsidR="001C46A1" w:rsidRPr="001C46A1" w:rsidRDefault="001C46A1" w:rsidP="000A69BD">
            <w:pPr>
              <w:pStyle w:val="ECCTableHeaderwhitefont"/>
            </w:pPr>
            <w:r w:rsidRPr="001C46A1">
              <w:t>Evaluated frequency</w:t>
            </w:r>
          </w:p>
        </w:tc>
        <w:tc>
          <w:tcPr>
            <w:tcW w:w="2693" w:type="dxa"/>
          </w:tcPr>
          <w:p w14:paraId="3EEC4BCA" w14:textId="77777777" w:rsidR="001C46A1" w:rsidRPr="001C46A1" w:rsidRDefault="001C46A1" w:rsidP="000A69BD">
            <w:pPr>
              <w:pStyle w:val="ECCTableHeaderwhitefont"/>
            </w:pPr>
            <w:r w:rsidRPr="001C46A1">
              <w:t>EESS victim sensor</w:t>
            </w:r>
          </w:p>
        </w:tc>
        <w:tc>
          <w:tcPr>
            <w:tcW w:w="1554" w:type="dxa"/>
          </w:tcPr>
          <w:p w14:paraId="0A244BA5" w14:textId="77777777" w:rsidR="001C46A1" w:rsidRPr="001C46A1" w:rsidRDefault="001C46A1" w:rsidP="000A69BD">
            <w:pPr>
              <w:pStyle w:val="ECCTableHeaderwhitefont"/>
            </w:pPr>
            <w:r w:rsidRPr="001C46A1">
              <w:t>Margin to interference criterion</w:t>
            </w:r>
          </w:p>
        </w:tc>
      </w:tr>
      <w:tr w:rsidR="001C46A1" w14:paraId="6E4FFA26" w14:textId="77777777" w:rsidTr="004E0271">
        <w:tc>
          <w:tcPr>
            <w:tcW w:w="1793" w:type="dxa"/>
            <w:vMerge w:val="restart"/>
          </w:tcPr>
          <w:p w14:paraId="3B4307BE"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158CE86E" w14:textId="77777777" w:rsidR="001C46A1" w:rsidRPr="001C46A1" w:rsidRDefault="001C46A1" w:rsidP="000A69BD">
            <w:pPr>
              <w:pStyle w:val="ECCTabletext"/>
              <w:jc w:val="left"/>
            </w:pPr>
            <w:r>
              <w:t>114</w:t>
            </w:r>
            <w:r w:rsidR="00CF4994">
              <w:t>.2</w:t>
            </w:r>
            <w:r>
              <w:t>5 to 122</w:t>
            </w:r>
            <w:r w:rsidR="00CF4994">
              <w:t>.2</w:t>
            </w:r>
            <w:r>
              <w:t>5 GHz</w:t>
            </w:r>
            <w:r w:rsidR="00060E12">
              <w:t xml:space="preserve"> (In-band)</w:t>
            </w:r>
          </w:p>
        </w:tc>
        <w:tc>
          <w:tcPr>
            <w:tcW w:w="1418" w:type="dxa"/>
          </w:tcPr>
          <w:p w14:paraId="59BD86B9" w14:textId="77777777" w:rsidR="001C46A1" w:rsidRPr="001C46A1" w:rsidRDefault="001C46A1" w:rsidP="000A69BD">
            <w:pPr>
              <w:pStyle w:val="ECCTabletext"/>
              <w:jc w:val="left"/>
            </w:pPr>
            <w:r>
              <w:t>119</w:t>
            </w:r>
            <w:r w:rsidR="00CF4994">
              <w:t>.1</w:t>
            </w:r>
            <w:r>
              <w:t>25 GHz</w:t>
            </w:r>
          </w:p>
        </w:tc>
        <w:tc>
          <w:tcPr>
            <w:tcW w:w="2693" w:type="dxa"/>
          </w:tcPr>
          <w:p w14:paraId="56E63AFA" w14:textId="77777777" w:rsidR="001C46A1" w:rsidRPr="001C46A1" w:rsidRDefault="001C46A1" w:rsidP="000A69BD">
            <w:pPr>
              <w:pStyle w:val="ECCTabletext"/>
              <w:jc w:val="left"/>
            </w:pPr>
            <w:r w:rsidRPr="00C02C8E">
              <w:t>MWI conical scanner</w:t>
            </w:r>
          </w:p>
        </w:tc>
        <w:tc>
          <w:tcPr>
            <w:tcW w:w="1554" w:type="dxa"/>
          </w:tcPr>
          <w:p w14:paraId="59716581" w14:textId="77777777" w:rsidR="001C46A1" w:rsidRPr="001C46A1" w:rsidRDefault="001C46A1" w:rsidP="000A69BD">
            <w:pPr>
              <w:pStyle w:val="ECCTabletext"/>
              <w:jc w:val="left"/>
            </w:pPr>
            <w:r w:rsidRPr="001C46A1">
              <w:t>2</w:t>
            </w:r>
            <w:r w:rsidR="007D08AC">
              <w:t>2</w:t>
            </w:r>
            <w:r w:rsidR="00CF4994">
              <w:t>.8</w:t>
            </w:r>
            <w:r w:rsidRPr="001C46A1">
              <w:t> dB</w:t>
            </w:r>
          </w:p>
        </w:tc>
      </w:tr>
      <w:tr w:rsidR="001C46A1" w14:paraId="3E23EEB7" w14:textId="77777777" w:rsidTr="004E0271">
        <w:tc>
          <w:tcPr>
            <w:tcW w:w="1793" w:type="dxa"/>
            <w:vMerge/>
          </w:tcPr>
          <w:p w14:paraId="0D3C806A" w14:textId="77777777" w:rsidR="001C46A1" w:rsidRPr="00C53FB5" w:rsidRDefault="001C46A1" w:rsidP="001C46A1">
            <w:pPr>
              <w:pStyle w:val="ECCTabletext"/>
            </w:pPr>
          </w:p>
        </w:tc>
        <w:tc>
          <w:tcPr>
            <w:tcW w:w="2171" w:type="dxa"/>
          </w:tcPr>
          <w:p w14:paraId="651718AE" w14:textId="77777777" w:rsidR="001C46A1" w:rsidRPr="001C46A1" w:rsidRDefault="001C46A1" w:rsidP="000A69BD">
            <w:pPr>
              <w:pStyle w:val="ECCTabletext"/>
              <w:jc w:val="left"/>
            </w:pPr>
            <w:r>
              <w:t>148</w:t>
            </w:r>
            <w:r w:rsidR="00CF4994">
              <w:t>.5</w:t>
            </w:r>
            <w:r>
              <w:t xml:space="preserve"> to 151</w:t>
            </w:r>
            <w:r w:rsidR="00CF4994">
              <w:t>.5</w:t>
            </w:r>
            <w:r>
              <w:t> GHz</w:t>
            </w:r>
            <w:r w:rsidR="00060E12">
              <w:t xml:space="preserve"> (OOB)</w:t>
            </w:r>
          </w:p>
        </w:tc>
        <w:tc>
          <w:tcPr>
            <w:tcW w:w="1418" w:type="dxa"/>
          </w:tcPr>
          <w:p w14:paraId="421AB190" w14:textId="77777777" w:rsidR="001C46A1" w:rsidRPr="001C46A1" w:rsidRDefault="001C46A1" w:rsidP="000A69BD">
            <w:pPr>
              <w:pStyle w:val="ECCTabletext"/>
              <w:jc w:val="left"/>
            </w:pPr>
            <w:r>
              <w:t>150 GHz</w:t>
            </w:r>
          </w:p>
        </w:tc>
        <w:tc>
          <w:tcPr>
            <w:tcW w:w="2693" w:type="dxa"/>
          </w:tcPr>
          <w:p w14:paraId="151ABFCD" w14:textId="77777777" w:rsidR="001C46A1" w:rsidRPr="001C46A1" w:rsidRDefault="001C46A1" w:rsidP="000A69BD">
            <w:pPr>
              <w:pStyle w:val="ECCTabletext"/>
              <w:jc w:val="left"/>
            </w:pPr>
            <w:r w:rsidRPr="00690D0F">
              <w:t>Sensor N1 nadir scanner (at nadir)</w:t>
            </w:r>
          </w:p>
        </w:tc>
        <w:tc>
          <w:tcPr>
            <w:tcW w:w="1554" w:type="dxa"/>
          </w:tcPr>
          <w:p w14:paraId="3E3CD0D2" w14:textId="77777777" w:rsidR="001C46A1" w:rsidRPr="001C46A1" w:rsidRDefault="001C46A1" w:rsidP="000A69BD">
            <w:pPr>
              <w:pStyle w:val="ECCTabletext"/>
              <w:jc w:val="left"/>
            </w:pPr>
            <w:r w:rsidRPr="001C46A1">
              <w:t>5</w:t>
            </w:r>
            <w:r w:rsidR="007D08AC">
              <w:t>3</w:t>
            </w:r>
            <w:r w:rsidR="00CF4994">
              <w:t>.9</w:t>
            </w:r>
            <w:r w:rsidRPr="001C46A1">
              <w:t> dB</w:t>
            </w:r>
          </w:p>
        </w:tc>
      </w:tr>
      <w:tr w:rsidR="001C46A1" w14:paraId="71D2076A" w14:textId="77777777" w:rsidTr="004E0271">
        <w:tc>
          <w:tcPr>
            <w:tcW w:w="1793" w:type="dxa"/>
            <w:vMerge w:val="restart"/>
          </w:tcPr>
          <w:p w14:paraId="0389C7F0" w14:textId="77777777" w:rsidR="001C46A1" w:rsidRPr="001C46A1" w:rsidRDefault="001C46A1" w:rsidP="000A69BD">
            <w:pPr>
              <w:pStyle w:val="ECCTabletext"/>
              <w:jc w:val="left"/>
            </w:pPr>
            <w:r>
              <w:t>167 to 182 GHz</w:t>
            </w:r>
          </w:p>
        </w:tc>
        <w:tc>
          <w:tcPr>
            <w:tcW w:w="2171" w:type="dxa"/>
          </w:tcPr>
          <w:p w14:paraId="57C7F36A" w14:textId="77777777" w:rsidR="001C46A1" w:rsidRPr="001C46A1" w:rsidRDefault="001C46A1" w:rsidP="000A69BD">
            <w:pPr>
              <w:pStyle w:val="ECCTabletext"/>
              <w:jc w:val="left"/>
            </w:pPr>
            <w:r>
              <w:t>164 to 167 GHz</w:t>
            </w:r>
            <w:r w:rsidR="00060E12">
              <w:t xml:space="preserve"> (OOB)</w:t>
            </w:r>
          </w:p>
        </w:tc>
        <w:tc>
          <w:tcPr>
            <w:tcW w:w="1418" w:type="dxa"/>
          </w:tcPr>
          <w:p w14:paraId="2CD21050" w14:textId="77777777" w:rsidR="001C46A1" w:rsidRPr="001C46A1" w:rsidRDefault="001C46A1" w:rsidP="000A69BD">
            <w:pPr>
              <w:pStyle w:val="ECCTabletext"/>
              <w:jc w:val="left"/>
            </w:pPr>
            <w:r>
              <w:t>165</w:t>
            </w:r>
            <w:r w:rsidR="00CF4994">
              <w:t>.5</w:t>
            </w:r>
            <w:r>
              <w:t> GHz</w:t>
            </w:r>
          </w:p>
        </w:tc>
        <w:tc>
          <w:tcPr>
            <w:tcW w:w="2693" w:type="dxa"/>
          </w:tcPr>
          <w:p w14:paraId="11C888A2" w14:textId="77777777" w:rsidR="001C46A1" w:rsidRPr="001C46A1" w:rsidRDefault="001C46A1" w:rsidP="000A69BD">
            <w:pPr>
              <w:pStyle w:val="ECCTabletext"/>
              <w:jc w:val="left"/>
            </w:pPr>
            <w:r w:rsidRPr="00546685">
              <w:t>Sensor P</w:t>
            </w:r>
            <w:r w:rsidR="007D08AC">
              <w:t>2</w:t>
            </w:r>
            <w:r w:rsidRPr="00546685">
              <w:t xml:space="preserve"> </w:t>
            </w:r>
            <w:r w:rsidR="007D08AC">
              <w:t>nadir</w:t>
            </w:r>
            <w:r w:rsidRPr="00546685">
              <w:t xml:space="preserve"> scanner</w:t>
            </w:r>
          </w:p>
        </w:tc>
        <w:tc>
          <w:tcPr>
            <w:tcW w:w="1554" w:type="dxa"/>
          </w:tcPr>
          <w:p w14:paraId="552E71D6" w14:textId="77777777" w:rsidR="001C46A1" w:rsidRPr="001C46A1" w:rsidRDefault="007D08AC" w:rsidP="000A69BD">
            <w:pPr>
              <w:pStyle w:val="ECCTabletext"/>
              <w:jc w:val="left"/>
            </w:pPr>
            <w:r>
              <w:t>53</w:t>
            </w:r>
            <w:r w:rsidR="00CF4994">
              <w:t>.4</w:t>
            </w:r>
            <w:r w:rsidR="001C46A1" w:rsidRPr="001C46A1">
              <w:t> dB</w:t>
            </w:r>
          </w:p>
        </w:tc>
      </w:tr>
      <w:tr w:rsidR="001C46A1" w14:paraId="76C2FD60" w14:textId="77777777" w:rsidTr="004E0271">
        <w:tc>
          <w:tcPr>
            <w:tcW w:w="1793" w:type="dxa"/>
            <w:vMerge/>
          </w:tcPr>
          <w:p w14:paraId="21736432" w14:textId="77777777" w:rsidR="001C46A1" w:rsidRDefault="001C46A1" w:rsidP="001C46A1">
            <w:pPr>
              <w:pStyle w:val="ECCTabletext"/>
            </w:pPr>
          </w:p>
        </w:tc>
        <w:tc>
          <w:tcPr>
            <w:tcW w:w="2171" w:type="dxa"/>
          </w:tcPr>
          <w:p w14:paraId="62D7A136" w14:textId="77777777" w:rsidR="001C46A1" w:rsidRPr="001C46A1" w:rsidRDefault="001C46A1" w:rsidP="000A69BD">
            <w:pPr>
              <w:pStyle w:val="ECCTabletext"/>
              <w:jc w:val="left"/>
            </w:pPr>
            <w:r>
              <w:t>174</w:t>
            </w:r>
            <w:r w:rsidR="00CF4994">
              <w:t>.8</w:t>
            </w:r>
            <w:r>
              <w:t> to 191</w:t>
            </w:r>
            <w:r w:rsidR="00CF4994">
              <w:t>.8</w:t>
            </w:r>
            <w:r>
              <w:t> GHz</w:t>
            </w:r>
            <w:r w:rsidR="00060E12">
              <w:t xml:space="preserve"> (In-band)</w:t>
            </w:r>
          </w:p>
        </w:tc>
        <w:tc>
          <w:tcPr>
            <w:tcW w:w="1418" w:type="dxa"/>
          </w:tcPr>
          <w:p w14:paraId="055086A9" w14:textId="77777777" w:rsidR="001C46A1" w:rsidRPr="001C46A1" w:rsidRDefault="001C46A1" w:rsidP="000A69BD">
            <w:pPr>
              <w:pStyle w:val="ECCTabletext"/>
              <w:jc w:val="left"/>
            </w:pPr>
            <w:r>
              <w:t>178</w:t>
            </w:r>
            <w:r w:rsidR="00CF4994">
              <w:t>.4</w:t>
            </w:r>
            <w:r>
              <w:t> GHz</w:t>
            </w:r>
          </w:p>
        </w:tc>
        <w:tc>
          <w:tcPr>
            <w:tcW w:w="2693" w:type="dxa"/>
          </w:tcPr>
          <w:p w14:paraId="7D4AC666" w14:textId="77777777" w:rsidR="001C46A1" w:rsidRPr="001C46A1" w:rsidRDefault="001C46A1" w:rsidP="000A69BD">
            <w:pPr>
              <w:pStyle w:val="ECCTabletext"/>
              <w:jc w:val="left"/>
            </w:pPr>
            <w:r w:rsidRPr="00546685">
              <w:t>AWS nadir scanner (at nadir)</w:t>
            </w:r>
          </w:p>
        </w:tc>
        <w:tc>
          <w:tcPr>
            <w:tcW w:w="1554" w:type="dxa"/>
          </w:tcPr>
          <w:p w14:paraId="38AA426C" w14:textId="77777777" w:rsidR="001C46A1" w:rsidRPr="001C46A1" w:rsidRDefault="007D08AC" w:rsidP="000A69BD">
            <w:pPr>
              <w:pStyle w:val="ECCTabletext"/>
              <w:jc w:val="left"/>
            </w:pPr>
            <w:r>
              <w:t>30</w:t>
            </w:r>
            <w:r w:rsidR="00CF4994">
              <w:t>.9</w:t>
            </w:r>
            <w:r w:rsidR="001C46A1" w:rsidRPr="001C46A1">
              <w:t> dB</w:t>
            </w:r>
          </w:p>
        </w:tc>
      </w:tr>
      <w:tr w:rsidR="001C46A1" w14:paraId="53E51BC0" w14:textId="77777777" w:rsidTr="004E0271">
        <w:tc>
          <w:tcPr>
            <w:tcW w:w="1793" w:type="dxa"/>
            <w:vMerge w:val="restart"/>
          </w:tcPr>
          <w:p w14:paraId="317F4B67" w14:textId="77777777" w:rsidR="001C46A1" w:rsidRPr="001C46A1" w:rsidRDefault="001C46A1" w:rsidP="000A69BD">
            <w:pPr>
              <w:pStyle w:val="ECCTabletext"/>
              <w:jc w:val="left"/>
            </w:pPr>
            <w:r>
              <w:t>231</w:t>
            </w:r>
            <w:r w:rsidR="00CF4994">
              <w:t>.5</w:t>
            </w:r>
            <w:r>
              <w:t xml:space="preserve"> to 250 GHz</w:t>
            </w:r>
          </w:p>
        </w:tc>
        <w:tc>
          <w:tcPr>
            <w:tcW w:w="2171" w:type="dxa"/>
          </w:tcPr>
          <w:p w14:paraId="7B7C8E3F" w14:textId="77777777" w:rsidR="001C46A1" w:rsidRPr="001C46A1" w:rsidRDefault="001C46A1" w:rsidP="000A69BD">
            <w:pPr>
              <w:pStyle w:val="ECCTabletext"/>
              <w:jc w:val="left"/>
            </w:pPr>
            <w:r>
              <w:t>226 to 231</w:t>
            </w:r>
            <w:r w:rsidR="00CF4994">
              <w:t>.5</w:t>
            </w:r>
            <w:r>
              <w:t> GHz</w:t>
            </w:r>
            <w:r w:rsidR="00060E12">
              <w:t xml:space="preserve"> (OOB)</w:t>
            </w:r>
          </w:p>
        </w:tc>
        <w:tc>
          <w:tcPr>
            <w:tcW w:w="1418" w:type="dxa"/>
          </w:tcPr>
          <w:p w14:paraId="746A134D" w14:textId="77777777" w:rsidR="001C46A1" w:rsidRPr="001C46A1" w:rsidRDefault="001C46A1" w:rsidP="000A69BD">
            <w:pPr>
              <w:pStyle w:val="ECCTabletext"/>
              <w:jc w:val="left"/>
            </w:pPr>
            <w:r>
              <w:t>228</w:t>
            </w:r>
            <w:r w:rsidR="00CF4994">
              <w:t>.7</w:t>
            </w:r>
            <w:r>
              <w:t>5 GHz</w:t>
            </w:r>
          </w:p>
        </w:tc>
        <w:tc>
          <w:tcPr>
            <w:tcW w:w="2693" w:type="dxa"/>
          </w:tcPr>
          <w:p w14:paraId="24735A19" w14:textId="77777777" w:rsidR="001C46A1" w:rsidRPr="001C46A1" w:rsidRDefault="001C46A1" w:rsidP="000A69BD">
            <w:pPr>
              <w:pStyle w:val="ECCTabletext"/>
              <w:jc w:val="left"/>
            </w:pPr>
            <w:r w:rsidRPr="0083695F">
              <w:t>AWS nadir scanner (at nadir)</w:t>
            </w:r>
          </w:p>
        </w:tc>
        <w:tc>
          <w:tcPr>
            <w:tcW w:w="1554" w:type="dxa"/>
          </w:tcPr>
          <w:p w14:paraId="785444EC" w14:textId="77777777" w:rsidR="001C46A1" w:rsidRPr="001C46A1" w:rsidRDefault="007D08AC" w:rsidP="000A69BD">
            <w:pPr>
              <w:pStyle w:val="ECCTabletext"/>
              <w:jc w:val="left"/>
            </w:pPr>
            <w:r>
              <w:t>44</w:t>
            </w:r>
            <w:r w:rsidR="00CF4994">
              <w:t>.6</w:t>
            </w:r>
            <w:r w:rsidR="001C46A1" w:rsidRPr="001C46A1">
              <w:t> dB</w:t>
            </w:r>
          </w:p>
        </w:tc>
      </w:tr>
      <w:tr w:rsidR="001C46A1" w14:paraId="19DFA2BC" w14:textId="77777777" w:rsidTr="004E0271">
        <w:tc>
          <w:tcPr>
            <w:tcW w:w="1793" w:type="dxa"/>
            <w:vMerge/>
          </w:tcPr>
          <w:p w14:paraId="17668512" w14:textId="77777777" w:rsidR="001C46A1" w:rsidRDefault="001C46A1" w:rsidP="001C46A1">
            <w:pPr>
              <w:pStyle w:val="ECCTabletext"/>
            </w:pPr>
          </w:p>
        </w:tc>
        <w:tc>
          <w:tcPr>
            <w:tcW w:w="2171" w:type="dxa"/>
          </w:tcPr>
          <w:p w14:paraId="530BC1BB" w14:textId="77777777" w:rsidR="001C46A1" w:rsidRPr="001C46A1" w:rsidRDefault="001C46A1" w:rsidP="000A69BD">
            <w:pPr>
              <w:pStyle w:val="ECCTabletext"/>
              <w:jc w:val="left"/>
            </w:pPr>
            <w:r>
              <w:t>239 to 248 GHz</w:t>
            </w:r>
            <w:r w:rsidR="00060E12">
              <w:t xml:space="preserve"> (In-band)</w:t>
            </w:r>
          </w:p>
        </w:tc>
        <w:tc>
          <w:tcPr>
            <w:tcW w:w="1418" w:type="dxa"/>
          </w:tcPr>
          <w:p w14:paraId="0513F3A3" w14:textId="77777777" w:rsidR="001C46A1" w:rsidRPr="001C46A1" w:rsidRDefault="001C46A1" w:rsidP="000A69BD">
            <w:pPr>
              <w:pStyle w:val="ECCTabletext"/>
              <w:jc w:val="left"/>
            </w:pPr>
            <w:r>
              <w:t>243</w:t>
            </w:r>
            <w:r w:rsidR="00CF4994">
              <w:t>.5</w:t>
            </w:r>
            <w:r>
              <w:t> GHz</w:t>
            </w:r>
          </w:p>
        </w:tc>
        <w:tc>
          <w:tcPr>
            <w:tcW w:w="2693" w:type="dxa"/>
          </w:tcPr>
          <w:p w14:paraId="69765961" w14:textId="77777777" w:rsidR="001C46A1" w:rsidRPr="001C46A1" w:rsidRDefault="001C46A1" w:rsidP="000A69BD">
            <w:pPr>
              <w:pStyle w:val="ECCTabletext"/>
              <w:jc w:val="left"/>
            </w:pPr>
            <w:r w:rsidRPr="0083695F">
              <w:t>AWS nadir scanner (at nadir)</w:t>
            </w:r>
          </w:p>
        </w:tc>
        <w:tc>
          <w:tcPr>
            <w:tcW w:w="1554" w:type="dxa"/>
          </w:tcPr>
          <w:p w14:paraId="7C4FBBAC" w14:textId="77777777" w:rsidR="001C46A1" w:rsidRPr="001C46A1" w:rsidRDefault="007D08AC" w:rsidP="000A69BD">
            <w:pPr>
              <w:pStyle w:val="ECCTabletext"/>
              <w:jc w:val="left"/>
            </w:pPr>
            <w:r>
              <w:t>25</w:t>
            </w:r>
            <w:r w:rsidR="00CF4994">
              <w:t>.8</w:t>
            </w:r>
            <w:r w:rsidR="001C46A1" w:rsidRPr="001C46A1">
              <w:t> dB</w:t>
            </w:r>
          </w:p>
        </w:tc>
      </w:tr>
    </w:tbl>
    <w:p w14:paraId="3372B37B" w14:textId="08358501" w:rsidR="001C46A1" w:rsidRPr="001C46A1" w:rsidRDefault="00A12E69" w:rsidP="001C46A1">
      <w:r>
        <w:fldChar w:fldCharType="begin"/>
      </w:r>
      <w:r>
        <w:instrText xml:space="preserve"> REF _Ref67227120 \h </w:instrText>
      </w:r>
      <w:r>
        <w:fldChar w:fldCharType="separate"/>
      </w:r>
      <w:r w:rsidR="0041125F" w:rsidRPr="00477961">
        <w:t>Table </w:t>
      </w:r>
      <w:r w:rsidR="0041125F">
        <w:rPr>
          <w:noProof/>
        </w:rPr>
        <w:t>101</w:t>
      </w:r>
      <w:r>
        <w:fldChar w:fldCharType="end"/>
      </w:r>
      <w:r>
        <w:t xml:space="preserve"> </w:t>
      </w:r>
      <w:r w:rsidR="001C46A1" w:rsidRPr="001C46A1">
        <w:t xml:space="preserve">shows the single-entry and </w:t>
      </w:r>
      <w:r>
        <w:fldChar w:fldCharType="begin"/>
      </w:r>
      <w:r>
        <w:instrText xml:space="preserve"> REF _Ref67227135 \h </w:instrText>
      </w:r>
      <w:r>
        <w:fldChar w:fldCharType="separate"/>
      </w:r>
      <w:r w:rsidR="0041125F" w:rsidRPr="00477961">
        <w:t>Table </w:t>
      </w:r>
      <w:r w:rsidR="0041125F">
        <w:rPr>
          <w:noProof/>
        </w:rPr>
        <w:t>102</w:t>
      </w:r>
      <w:r>
        <w:fldChar w:fldCharType="end"/>
      </w:r>
      <w:r>
        <w:t xml:space="preserve"> </w:t>
      </w:r>
      <w:r w:rsidR="001C46A1" w:rsidRPr="001C46A1">
        <w:t xml:space="preserve">the aggregate </w:t>
      </w:r>
      <w:r w:rsidR="00791D2C">
        <w:t>worst</w:t>
      </w:r>
      <w:r w:rsidR="001C46A1" w:rsidRPr="001C46A1">
        <w:t>-case results for M- and PA-CDR, e.g. the residual margins for the individual frequency ranges and EESS victim sensors.</w:t>
      </w:r>
    </w:p>
    <w:p w14:paraId="525C3D77" w14:textId="41AE4137" w:rsidR="001C46A1" w:rsidRDefault="00CD3AC1" w:rsidP="001C46A1">
      <w:pPr>
        <w:pStyle w:val="Caption"/>
      </w:pPr>
      <w:bookmarkStart w:id="760" w:name="_Ref67227120"/>
      <w:r w:rsidRPr="00477961">
        <w:t>Table </w:t>
      </w:r>
      <w:r>
        <w:fldChar w:fldCharType="begin"/>
      </w:r>
      <w:r>
        <w:instrText>SEQ Table \* ARABIC</w:instrText>
      </w:r>
      <w:r>
        <w:fldChar w:fldCharType="separate"/>
      </w:r>
      <w:r w:rsidR="004F49F9">
        <w:rPr>
          <w:noProof/>
        </w:rPr>
        <w:t>101</w:t>
      </w:r>
      <w:r>
        <w:fldChar w:fldCharType="end"/>
      </w:r>
      <w:bookmarkEnd w:id="760"/>
      <w:r w:rsidR="001C46A1">
        <w:t xml:space="preserve">: </w:t>
      </w:r>
      <w:r w:rsidR="001C46A1" w:rsidRPr="006231F5">
        <w:t xml:space="preserve">Margins to the </w:t>
      </w:r>
      <w:r w:rsidR="001C46A1">
        <w:t xml:space="preserve">EESS </w:t>
      </w:r>
      <w:r w:rsidR="001C46A1" w:rsidRPr="006231F5">
        <w:t xml:space="preserve">interference criterion determined in </w:t>
      </w:r>
      <w:r w:rsidR="001C46A1" w:rsidRPr="00C90AB9">
        <w:t>a single-entry study for M- and PA-CDR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7188C71B"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37AED885" w14:textId="77777777" w:rsidR="001C46A1" w:rsidRPr="001C46A1" w:rsidRDefault="001C46A1" w:rsidP="00876039">
            <w:pPr>
              <w:pStyle w:val="ECCTableHeaderwhitefont"/>
            </w:pPr>
            <w:r w:rsidRPr="001C46A1">
              <w:t>Investigated Frequency range</w:t>
            </w:r>
          </w:p>
        </w:tc>
        <w:tc>
          <w:tcPr>
            <w:tcW w:w="2171" w:type="dxa"/>
          </w:tcPr>
          <w:p w14:paraId="49B53B6F" w14:textId="77777777" w:rsidR="001C46A1" w:rsidRPr="001C46A1" w:rsidRDefault="001C46A1" w:rsidP="000A69BD">
            <w:pPr>
              <w:pStyle w:val="ECCTableHeaderwhitefont"/>
            </w:pPr>
            <w:r w:rsidRPr="001C46A1">
              <w:t>Allocated band for EESS</w:t>
            </w:r>
          </w:p>
        </w:tc>
        <w:tc>
          <w:tcPr>
            <w:tcW w:w="1418" w:type="dxa"/>
          </w:tcPr>
          <w:p w14:paraId="48B5F85A" w14:textId="77777777" w:rsidR="001C46A1" w:rsidRPr="001C46A1" w:rsidRDefault="001C46A1" w:rsidP="000A69BD">
            <w:pPr>
              <w:pStyle w:val="ECCTableHeaderwhitefont"/>
            </w:pPr>
            <w:r w:rsidRPr="001C46A1">
              <w:t>Evaluated frequency</w:t>
            </w:r>
          </w:p>
        </w:tc>
        <w:tc>
          <w:tcPr>
            <w:tcW w:w="2693" w:type="dxa"/>
          </w:tcPr>
          <w:p w14:paraId="0805652C" w14:textId="77777777" w:rsidR="001C46A1" w:rsidRPr="001C46A1" w:rsidRDefault="001C46A1" w:rsidP="000A69BD">
            <w:pPr>
              <w:pStyle w:val="ECCTableHeaderwhitefont"/>
            </w:pPr>
            <w:r w:rsidRPr="001C46A1">
              <w:t>EESS victim sensor</w:t>
            </w:r>
          </w:p>
        </w:tc>
        <w:tc>
          <w:tcPr>
            <w:tcW w:w="1554" w:type="dxa"/>
          </w:tcPr>
          <w:p w14:paraId="5206FF9B" w14:textId="77777777" w:rsidR="001C46A1" w:rsidRPr="001C46A1" w:rsidRDefault="001C46A1" w:rsidP="000A69BD">
            <w:pPr>
              <w:pStyle w:val="ECCTableHeaderwhitefont"/>
            </w:pPr>
            <w:r w:rsidRPr="001C46A1">
              <w:t>Margin to interference criterion</w:t>
            </w:r>
          </w:p>
        </w:tc>
      </w:tr>
      <w:tr w:rsidR="001C46A1" w14:paraId="349E833A" w14:textId="77777777" w:rsidTr="004E0271">
        <w:tc>
          <w:tcPr>
            <w:tcW w:w="1793" w:type="dxa"/>
            <w:vMerge w:val="restart"/>
          </w:tcPr>
          <w:p w14:paraId="274B42EF"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0D538280" w14:textId="77777777" w:rsidR="001C46A1" w:rsidRPr="001C46A1" w:rsidRDefault="001C46A1" w:rsidP="000A69BD">
            <w:pPr>
              <w:pStyle w:val="ECCTabletext"/>
              <w:jc w:val="left"/>
            </w:pPr>
            <w:r>
              <w:t>114</w:t>
            </w:r>
            <w:r w:rsidR="00CF4994">
              <w:t>.2</w:t>
            </w:r>
            <w:r>
              <w:t>5 to 122</w:t>
            </w:r>
            <w:r w:rsidR="00CF4994">
              <w:t>.2</w:t>
            </w:r>
            <w:r>
              <w:t>5 GHz</w:t>
            </w:r>
            <w:r w:rsidR="00724AB5">
              <w:t xml:space="preserve"> (In-band)</w:t>
            </w:r>
          </w:p>
        </w:tc>
        <w:tc>
          <w:tcPr>
            <w:tcW w:w="1418" w:type="dxa"/>
          </w:tcPr>
          <w:p w14:paraId="57C21A67" w14:textId="77777777" w:rsidR="001C46A1" w:rsidRPr="001C46A1" w:rsidRDefault="001C46A1" w:rsidP="000A69BD">
            <w:pPr>
              <w:pStyle w:val="ECCTabletext"/>
              <w:jc w:val="left"/>
            </w:pPr>
            <w:r>
              <w:t>119</w:t>
            </w:r>
            <w:r w:rsidR="00CF4994">
              <w:t>.1</w:t>
            </w:r>
            <w:r>
              <w:t>25 GHz</w:t>
            </w:r>
          </w:p>
        </w:tc>
        <w:tc>
          <w:tcPr>
            <w:tcW w:w="2693" w:type="dxa"/>
          </w:tcPr>
          <w:p w14:paraId="4C7BBA35" w14:textId="77777777" w:rsidR="001C46A1" w:rsidRPr="001C46A1" w:rsidRDefault="001C46A1" w:rsidP="000A69BD">
            <w:pPr>
              <w:pStyle w:val="ECCTabletext"/>
              <w:jc w:val="left"/>
            </w:pPr>
            <w:r>
              <w:t>MWI conical scanner</w:t>
            </w:r>
          </w:p>
        </w:tc>
        <w:tc>
          <w:tcPr>
            <w:tcW w:w="1554" w:type="dxa"/>
          </w:tcPr>
          <w:p w14:paraId="41A36676" w14:textId="77777777" w:rsidR="001C46A1" w:rsidRPr="001C46A1" w:rsidRDefault="001C46A1" w:rsidP="000A69BD">
            <w:pPr>
              <w:pStyle w:val="ECCTabletext"/>
              <w:jc w:val="left"/>
              <w:rPr>
                <w:highlight w:val="yellow"/>
              </w:rPr>
            </w:pPr>
            <w:r w:rsidRPr="00886476">
              <w:t>1</w:t>
            </w:r>
            <w:r w:rsidR="00E615C9">
              <w:t>5</w:t>
            </w:r>
            <w:r w:rsidR="00CF4994">
              <w:t>.0</w:t>
            </w:r>
            <w:r w:rsidRPr="001C46A1">
              <w:t> dB</w:t>
            </w:r>
          </w:p>
        </w:tc>
      </w:tr>
      <w:tr w:rsidR="001C46A1" w14:paraId="30B8A7C4" w14:textId="77777777" w:rsidTr="004E0271">
        <w:tc>
          <w:tcPr>
            <w:tcW w:w="1793" w:type="dxa"/>
            <w:vMerge/>
          </w:tcPr>
          <w:p w14:paraId="401D110D" w14:textId="77777777" w:rsidR="001C46A1" w:rsidRPr="00C53FB5" w:rsidRDefault="001C46A1" w:rsidP="001C46A1">
            <w:pPr>
              <w:pStyle w:val="ECCTabletext"/>
            </w:pPr>
          </w:p>
        </w:tc>
        <w:tc>
          <w:tcPr>
            <w:tcW w:w="2171" w:type="dxa"/>
          </w:tcPr>
          <w:p w14:paraId="3623F66A" w14:textId="77777777" w:rsidR="001C46A1" w:rsidRPr="001C46A1" w:rsidRDefault="001C46A1" w:rsidP="000A69BD">
            <w:pPr>
              <w:pStyle w:val="ECCTabletext"/>
              <w:jc w:val="left"/>
            </w:pPr>
            <w:r>
              <w:t>148</w:t>
            </w:r>
            <w:r w:rsidR="00CF4994">
              <w:t>.5</w:t>
            </w:r>
            <w:r>
              <w:t xml:space="preserve"> to 151</w:t>
            </w:r>
            <w:r w:rsidR="00CF4994">
              <w:t>.5</w:t>
            </w:r>
            <w:r>
              <w:t> GHz</w:t>
            </w:r>
            <w:r w:rsidR="00724AB5">
              <w:t xml:space="preserve"> (OOB)</w:t>
            </w:r>
          </w:p>
        </w:tc>
        <w:tc>
          <w:tcPr>
            <w:tcW w:w="1418" w:type="dxa"/>
          </w:tcPr>
          <w:p w14:paraId="1CB1206B" w14:textId="77777777" w:rsidR="001C46A1" w:rsidRPr="001C46A1" w:rsidRDefault="001C46A1" w:rsidP="000A69BD">
            <w:pPr>
              <w:pStyle w:val="ECCTabletext"/>
              <w:jc w:val="left"/>
            </w:pPr>
            <w:r>
              <w:t>150 GHz</w:t>
            </w:r>
          </w:p>
        </w:tc>
        <w:tc>
          <w:tcPr>
            <w:tcW w:w="2693" w:type="dxa"/>
          </w:tcPr>
          <w:p w14:paraId="52356F87" w14:textId="77777777" w:rsidR="001C46A1" w:rsidRPr="001C46A1" w:rsidRDefault="001C46A1" w:rsidP="000A69BD">
            <w:pPr>
              <w:pStyle w:val="ECCTabletext"/>
              <w:jc w:val="left"/>
            </w:pPr>
            <w:r>
              <w:t>Sensor N1 nadir scanner (at nadir)</w:t>
            </w:r>
          </w:p>
        </w:tc>
        <w:tc>
          <w:tcPr>
            <w:tcW w:w="1554" w:type="dxa"/>
          </w:tcPr>
          <w:p w14:paraId="670472E5" w14:textId="77777777" w:rsidR="001C46A1" w:rsidRPr="001C46A1" w:rsidRDefault="001C46A1" w:rsidP="000A69BD">
            <w:pPr>
              <w:pStyle w:val="ECCTabletext"/>
              <w:jc w:val="left"/>
              <w:rPr>
                <w:highlight w:val="yellow"/>
              </w:rPr>
            </w:pPr>
            <w:r w:rsidRPr="00886476">
              <w:t>4</w:t>
            </w:r>
            <w:r w:rsidR="00E615C9">
              <w:t>4</w:t>
            </w:r>
            <w:r w:rsidR="00CF4994">
              <w:t>.2</w:t>
            </w:r>
            <w:r w:rsidRPr="001C46A1">
              <w:t> dB</w:t>
            </w:r>
          </w:p>
        </w:tc>
      </w:tr>
      <w:tr w:rsidR="001C46A1" w14:paraId="665E9C82" w14:textId="77777777" w:rsidTr="004E0271">
        <w:tc>
          <w:tcPr>
            <w:tcW w:w="1793" w:type="dxa"/>
            <w:vMerge w:val="restart"/>
          </w:tcPr>
          <w:p w14:paraId="3708C53F" w14:textId="77777777" w:rsidR="001C46A1" w:rsidRPr="001C46A1" w:rsidRDefault="001C46A1" w:rsidP="000A69BD">
            <w:pPr>
              <w:pStyle w:val="ECCTabletext"/>
              <w:jc w:val="left"/>
            </w:pPr>
            <w:r>
              <w:t>167 to 182 GHz</w:t>
            </w:r>
          </w:p>
        </w:tc>
        <w:tc>
          <w:tcPr>
            <w:tcW w:w="2171" w:type="dxa"/>
          </w:tcPr>
          <w:p w14:paraId="6683E0D2" w14:textId="77777777" w:rsidR="001C46A1" w:rsidRPr="001C46A1" w:rsidRDefault="001C46A1" w:rsidP="000A69BD">
            <w:pPr>
              <w:pStyle w:val="ECCTabletext"/>
              <w:jc w:val="left"/>
            </w:pPr>
            <w:r>
              <w:t>164 to 167 GHz</w:t>
            </w:r>
            <w:r w:rsidR="00724AB5">
              <w:t xml:space="preserve"> (OOB)</w:t>
            </w:r>
          </w:p>
        </w:tc>
        <w:tc>
          <w:tcPr>
            <w:tcW w:w="1418" w:type="dxa"/>
          </w:tcPr>
          <w:p w14:paraId="6C54B772" w14:textId="77777777" w:rsidR="001C46A1" w:rsidRPr="001C46A1" w:rsidRDefault="001C46A1" w:rsidP="000A69BD">
            <w:pPr>
              <w:pStyle w:val="ECCTabletext"/>
              <w:jc w:val="left"/>
            </w:pPr>
            <w:r>
              <w:t>165</w:t>
            </w:r>
            <w:r w:rsidR="00CF4994">
              <w:t>.5</w:t>
            </w:r>
            <w:r>
              <w:t> GHz</w:t>
            </w:r>
          </w:p>
        </w:tc>
        <w:tc>
          <w:tcPr>
            <w:tcW w:w="2693" w:type="dxa"/>
          </w:tcPr>
          <w:p w14:paraId="090E847B" w14:textId="77777777" w:rsidR="001C46A1" w:rsidRPr="001C46A1" w:rsidRDefault="001C46A1" w:rsidP="000A69BD">
            <w:pPr>
              <w:pStyle w:val="ECCTabletext"/>
              <w:jc w:val="left"/>
            </w:pPr>
            <w:r>
              <w:t>Sensor P1 conical scanner</w:t>
            </w:r>
          </w:p>
        </w:tc>
        <w:tc>
          <w:tcPr>
            <w:tcW w:w="1554" w:type="dxa"/>
          </w:tcPr>
          <w:p w14:paraId="0CFD2419" w14:textId="77777777" w:rsidR="001C46A1" w:rsidRPr="001C46A1" w:rsidRDefault="001C46A1" w:rsidP="000A69BD">
            <w:pPr>
              <w:pStyle w:val="ECCTabletext"/>
              <w:jc w:val="left"/>
              <w:rPr>
                <w:highlight w:val="yellow"/>
              </w:rPr>
            </w:pPr>
            <w:r w:rsidRPr="00560A83">
              <w:t>4</w:t>
            </w:r>
            <w:r w:rsidR="00E615C9">
              <w:t>2</w:t>
            </w:r>
            <w:r w:rsidR="00CF4994">
              <w:t>.1</w:t>
            </w:r>
            <w:r w:rsidRPr="001C46A1">
              <w:t> dB</w:t>
            </w:r>
          </w:p>
        </w:tc>
      </w:tr>
      <w:tr w:rsidR="001C46A1" w14:paraId="336D4978" w14:textId="77777777" w:rsidTr="004E0271">
        <w:tc>
          <w:tcPr>
            <w:tcW w:w="1793" w:type="dxa"/>
            <w:vMerge/>
          </w:tcPr>
          <w:p w14:paraId="56A727BA" w14:textId="77777777" w:rsidR="001C46A1" w:rsidRDefault="001C46A1" w:rsidP="001C46A1">
            <w:pPr>
              <w:pStyle w:val="ECCTabletext"/>
            </w:pPr>
          </w:p>
        </w:tc>
        <w:tc>
          <w:tcPr>
            <w:tcW w:w="2171" w:type="dxa"/>
          </w:tcPr>
          <w:p w14:paraId="65ABF81D" w14:textId="77777777" w:rsidR="001C46A1" w:rsidRPr="001C46A1" w:rsidRDefault="001C46A1" w:rsidP="000A69BD">
            <w:pPr>
              <w:pStyle w:val="ECCTabletext"/>
              <w:jc w:val="left"/>
            </w:pPr>
            <w:r>
              <w:t>174</w:t>
            </w:r>
            <w:r w:rsidR="00CF4994">
              <w:t>.8</w:t>
            </w:r>
            <w:r>
              <w:t> to 191</w:t>
            </w:r>
            <w:r w:rsidR="00CF4994">
              <w:t>.8</w:t>
            </w:r>
            <w:r>
              <w:t> GHz</w:t>
            </w:r>
            <w:r w:rsidR="00724AB5">
              <w:t xml:space="preserve"> (In-band)</w:t>
            </w:r>
          </w:p>
        </w:tc>
        <w:tc>
          <w:tcPr>
            <w:tcW w:w="1418" w:type="dxa"/>
          </w:tcPr>
          <w:p w14:paraId="115A5FCF" w14:textId="77777777" w:rsidR="001C46A1" w:rsidRPr="001C46A1" w:rsidRDefault="001C46A1" w:rsidP="000A69BD">
            <w:pPr>
              <w:pStyle w:val="ECCTabletext"/>
              <w:jc w:val="left"/>
            </w:pPr>
            <w:r>
              <w:t>178</w:t>
            </w:r>
            <w:r w:rsidR="00CF4994">
              <w:t>.4</w:t>
            </w:r>
            <w:r>
              <w:t> GHz</w:t>
            </w:r>
          </w:p>
        </w:tc>
        <w:tc>
          <w:tcPr>
            <w:tcW w:w="2693" w:type="dxa"/>
          </w:tcPr>
          <w:p w14:paraId="531A318F" w14:textId="77777777" w:rsidR="001C46A1" w:rsidRPr="001C46A1" w:rsidRDefault="001C46A1" w:rsidP="000A69BD">
            <w:pPr>
              <w:pStyle w:val="ECCTabletext"/>
              <w:jc w:val="left"/>
            </w:pPr>
            <w:r>
              <w:t xml:space="preserve">AWS nadir scanner (at </w:t>
            </w:r>
            <w:r w:rsidRPr="001C46A1">
              <w:t>nadir)</w:t>
            </w:r>
          </w:p>
        </w:tc>
        <w:tc>
          <w:tcPr>
            <w:tcW w:w="1554" w:type="dxa"/>
          </w:tcPr>
          <w:p w14:paraId="2EEC1EFB" w14:textId="77777777" w:rsidR="001C46A1" w:rsidRPr="001C46A1" w:rsidRDefault="001C46A1" w:rsidP="000A69BD">
            <w:pPr>
              <w:pStyle w:val="ECCTabletext"/>
              <w:jc w:val="left"/>
            </w:pPr>
            <w:r w:rsidRPr="00560A83">
              <w:t>2</w:t>
            </w:r>
            <w:r w:rsidR="00E615C9">
              <w:t>2</w:t>
            </w:r>
            <w:r w:rsidR="00CF4994">
              <w:t>.6</w:t>
            </w:r>
            <w:r w:rsidRPr="001C46A1">
              <w:t> dB</w:t>
            </w:r>
          </w:p>
        </w:tc>
      </w:tr>
      <w:tr w:rsidR="001C46A1" w14:paraId="5DB330C3" w14:textId="77777777" w:rsidTr="004E0271">
        <w:tc>
          <w:tcPr>
            <w:tcW w:w="1793" w:type="dxa"/>
            <w:vMerge w:val="restart"/>
          </w:tcPr>
          <w:p w14:paraId="02A8429C" w14:textId="77777777" w:rsidR="001C46A1" w:rsidRPr="001C46A1" w:rsidRDefault="001C46A1" w:rsidP="000A69BD">
            <w:pPr>
              <w:pStyle w:val="ECCTabletext"/>
              <w:jc w:val="left"/>
            </w:pPr>
            <w:r>
              <w:t>231</w:t>
            </w:r>
            <w:r w:rsidR="00CF4994">
              <w:t>.5</w:t>
            </w:r>
            <w:r>
              <w:t xml:space="preserve"> to 250 GHz</w:t>
            </w:r>
          </w:p>
        </w:tc>
        <w:tc>
          <w:tcPr>
            <w:tcW w:w="2171" w:type="dxa"/>
          </w:tcPr>
          <w:p w14:paraId="0C100F20" w14:textId="77777777" w:rsidR="001C46A1" w:rsidRPr="001C46A1" w:rsidRDefault="001C46A1" w:rsidP="000A69BD">
            <w:pPr>
              <w:pStyle w:val="ECCTabletext"/>
              <w:jc w:val="left"/>
            </w:pPr>
            <w:r>
              <w:t>226 to 231</w:t>
            </w:r>
            <w:r w:rsidR="00CF4994">
              <w:t>.5</w:t>
            </w:r>
            <w:r>
              <w:t> GHz</w:t>
            </w:r>
            <w:r w:rsidR="00724AB5">
              <w:t xml:space="preserve"> (OOB)</w:t>
            </w:r>
          </w:p>
        </w:tc>
        <w:tc>
          <w:tcPr>
            <w:tcW w:w="1418" w:type="dxa"/>
          </w:tcPr>
          <w:p w14:paraId="5F20F7CC" w14:textId="77777777" w:rsidR="001C46A1" w:rsidRPr="001C46A1" w:rsidRDefault="001C46A1" w:rsidP="000A69BD">
            <w:pPr>
              <w:pStyle w:val="ECCTabletext"/>
              <w:jc w:val="left"/>
            </w:pPr>
            <w:r>
              <w:t>228</w:t>
            </w:r>
            <w:r w:rsidR="00CF4994">
              <w:t>.7</w:t>
            </w:r>
            <w:r>
              <w:t>5 GHz</w:t>
            </w:r>
          </w:p>
        </w:tc>
        <w:tc>
          <w:tcPr>
            <w:tcW w:w="2693" w:type="dxa"/>
          </w:tcPr>
          <w:p w14:paraId="0ECF2E49" w14:textId="77777777" w:rsidR="001C46A1" w:rsidRPr="001C46A1" w:rsidRDefault="001C46A1" w:rsidP="000A69BD">
            <w:pPr>
              <w:pStyle w:val="ECCTabletext"/>
              <w:jc w:val="left"/>
            </w:pPr>
            <w:r>
              <w:t>AWS nadir scanner (at nadir)</w:t>
            </w:r>
          </w:p>
        </w:tc>
        <w:tc>
          <w:tcPr>
            <w:tcW w:w="1554" w:type="dxa"/>
          </w:tcPr>
          <w:p w14:paraId="3D2F6144" w14:textId="77777777" w:rsidR="001C46A1" w:rsidRPr="001C46A1" w:rsidRDefault="001C46A1" w:rsidP="000A69BD">
            <w:pPr>
              <w:pStyle w:val="ECCTabletext"/>
              <w:jc w:val="left"/>
              <w:rPr>
                <w:highlight w:val="yellow"/>
              </w:rPr>
            </w:pPr>
            <w:r w:rsidRPr="001C46A1">
              <w:t>4</w:t>
            </w:r>
            <w:r w:rsidR="00E615C9">
              <w:t>1</w:t>
            </w:r>
            <w:r w:rsidR="00CF4994">
              <w:t>.2</w:t>
            </w:r>
            <w:r w:rsidRPr="001C46A1">
              <w:t> dB</w:t>
            </w:r>
          </w:p>
        </w:tc>
      </w:tr>
      <w:tr w:rsidR="001C46A1" w14:paraId="4308C5DD" w14:textId="77777777" w:rsidTr="004E0271">
        <w:tc>
          <w:tcPr>
            <w:tcW w:w="1793" w:type="dxa"/>
            <w:vMerge/>
          </w:tcPr>
          <w:p w14:paraId="3E62987C" w14:textId="77777777" w:rsidR="001C46A1" w:rsidRDefault="001C46A1" w:rsidP="001C46A1">
            <w:pPr>
              <w:pStyle w:val="ECCTabletext"/>
            </w:pPr>
          </w:p>
        </w:tc>
        <w:tc>
          <w:tcPr>
            <w:tcW w:w="2171" w:type="dxa"/>
          </w:tcPr>
          <w:p w14:paraId="6780993F" w14:textId="77777777" w:rsidR="001C46A1" w:rsidRPr="001C46A1" w:rsidRDefault="001C46A1" w:rsidP="000A69BD">
            <w:pPr>
              <w:pStyle w:val="ECCTabletext"/>
              <w:jc w:val="left"/>
            </w:pPr>
            <w:r>
              <w:t>239 to 248 GHz</w:t>
            </w:r>
            <w:r w:rsidR="00724AB5">
              <w:t xml:space="preserve"> (In-band)</w:t>
            </w:r>
          </w:p>
        </w:tc>
        <w:tc>
          <w:tcPr>
            <w:tcW w:w="1418" w:type="dxa"/>
          </w:tcPr>
          <w:p w14:paraId="4B83FBAC" w14:textId="77777777" w:rsidR="001C46A1" w:rsidRPr="001C46A1" w:rsidRDefault="001C46A1" w:rsidP="000A69BD">
            <w:pPr>
              <w:pStyle w:val="ECCTabletext"/>
              <w:jc w:val="left"/>
            </w:pPr>
            <w:r>
              <w:t>243</w:t>
            </w:r>
            <w:r w:rsidR="00CF4994">
              <w:t>.5</w:t>
            </w:r>
            <w:r>
              <w:t> GHz</w:t>
            </w:r>
          </w:p>
        </w:tc>
        <w:tc>
          <w:tcPr>
            <w:tcW w:w="2693" w:type="dxa"/>
          </w:tcPr>
          <w:p w14:paraId="215AE401" w14:textId="77777777" w:rsidR="001C46A1" w:rsidRPr="001C46A1" w:rsidRDefault="001C46A1" w:rsidP="000A69BD">
            <w:pPr>
              <w:pStyle w:val="ECCTabletext"/>
              <w:jc w:val="left"/>
            </w:pPr>
            <w:r>
              <w:t>AWS nadir scanner (at nadir)</w:t>
            </w:r>
          </w:p>
        </w:tc>
        <w:tc>
          <w:tcPr>
            <w:tcW w:w="1554" w:type="dxa"/>
          </w:tcPr>
          <w:p w14:paraId="36E9D122" w14:textId="77777777" w:rsidR="001C46A1" w:rsidRPr="001C46A1" w:rsidRDefault="00E615C9" w:rsidP="000A69BD">
            <w:pPr>
              <w:pStyle w:val="ECCTabletext"/>
              <w:jc w:val="left"/>
              <w:rPr>
                <w:highlight w:val="yellow"/>
              </w:rPr>
            </w:pPr>
            <w:r>
              <w:t>22</w:t>
            </w:r>
            <w:r w:rsidR="00CF4994">
              <w:t>.3</w:t>
            </w:r>
            <w:r w:rsidR="001C46A1" w:rsidRPr="001C46A1">
              <w:t> dB</w:t>
            </w:r>
          </w:p>
        </w:tc>
      </w:tr>
    </w:tbl>
    <w:p w14:paraId="429B982F" w14:textId="0F20DE76" w:rsidR="001C46A1" w:rsidRDefault="00CD3AC1" w:rsidP="001C46A1">
      <w:pPr>
        <w:pStyle w:val="Caption"/>
      </w:pPr>
      <w:bookmarkStart w:id="761" w:name="_Ref67227135"/>
      <w:r w:rsidRPr="00477961">
        <w:t>Table </w:t>
      </w:r>
      <w:r>
        <w:fldChar w:fldCharType="begin"/>
      </w:r>
      <w:r>
        <w:instrText>SEQ Table \* ARABIC</w:instrText>
      </w:r>
      <w:r>
        <w:fldChar w:fldCharType="separate"/>
      </w:r>
      <w:r w:rsidR="004F49F9">
        <w:rPr>
          <w:noProof/>
        </w:rPr>
        <w:t>102</w:t>
      </w:r>
      <w:r>
        <w:fldChar w:fldCharType="end"/>
      </w:r>
      <w:bookmarkEnd w:id="761"/>
      <w:r>
        <w:t xml:space="preserve">: </w:t>
      </w:r>
      <w:r w:rsidR="001C46A1" w:rsidRPr="006231F5">
        <w:t xml:space="preserve">Margins to the </w:t>
      </w:r>
      <w:r w:rsidR="001C46A1">
        <w:t xml:space="preserve">EESS </w:t>
      </w:r>
      <w:r w:rsidR="001C46A1" w:rsidRPr="006231F5">
        <w:t xml:space="preserve">interference criterion determined in </w:t>
      </w:r>
      <w:r w:rsidR="001C46A1" w:rsidRPr="00240F2E">
        <w:t>an aggregate study for M- and PA-CDR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5B9EB54E"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662A284D" w14:textId="77777777" w:rsidR="001C46A1" w:rsidRPr="001C46A1" w:rsidRDefault="001C46A1" w:rsidP="00876039">
            <w:pPr>
              <w:pStyle w:val="ECCTableHeaderwhitefont"/>
            </w:pPr>
            <w:r w:rsidRPr="001C46A1">
              <w:t>Investigated Frequency range</w:t>
            </w:r>
          </w:p>
        </w:tc>
        <w:tc>
          <w:tcPr>
            <w:tcW w:w="2171" w:type="dxa"/>
          </w:tcPr>
          <w:p w14:paraId="7A58FB05" w14:textId="77777777" w:rsidR="001C46A1" w:rsidRPr="001C46A1" w:rsidRDefault="001C46A1" w:rsidP="000A69BD">
            <w:pPr>
              <w:pStyle w:val="ECCTableHeaderwhitefont"/>
            </w:pPr>
            <w:r w:rsidRPr="001C46A1">
              <w:t>Allocated band for EESS</w:t>
            </w:r>
          </w:p>
        </w:tc>
        <w:tc>
          <w:tcPr>
            <w:tcW w:w="1418" w:type="dxa"/>
          </w:tcPr>
          <w:p w14:paraId="42A2E1FB" w14:textId="77777777" w:rsidR="001C46A1" w:rsidRPr="001C46A1" w:rsidRDefault="001C46A1" w:rsidP="000A69BD">
            <w:pPr>
              <w:pStyle w:val="ECCTableHeaderwhitefont"/>
            </w:pPr>
            <w:r w:rsidRPr="001C46A1">
              <w:t>Evaluated frequency</w:t>
            </w:r>
          </w:p>
        </w:tc>
        <w:tc>
          <w:tcPr>
            <w:tcW w:w="2693" w:type="dxa"/>
          </w:tcPr>
          <w:p w14:paraId="7DC43B10" w14:textId="77777777" w:rsidR="001C46A1" w:rsidRPr="001C46A1" w:rsidRDefault="001C46A1" w:rsidP="000A69BD">
            <w:pPr>
              <w:pStyle w:val="ECCTableHeaderwhitefont"/>
            </w:pPr>
            <w:r w:rsidRPr="001C46A1">
              <w:t>EESS victim sensor</w:t>
            </w:r>
          </w:p>
        </w:tc>
        <w:tc>
          <w:tcPr>
            <w:tcW w:w="1554" w:type="dxa"/>
          </w:tcPr>
          <w:p w14:paraId="6C1ACFB1" w14:textId="77777777" w:rsidR="001C46A1" w:rsidRPr="001C46A1" w:rsidRDefault="001C46A1" w:rsidP="000A69BD">
            <w:pPr>
              <w:pStyle w:val="ECCTableHeaderwhitefont"/>
            </w:pPr>
            <w:r w:rsidRPr="001C46A1">
              <w:t>Margin to interference criterion</w:t>
            </w:r>
          </w:p>
        </w:tc>
      </w:tr>
      <w:tr w:rsidR="001C46A1" w14:paraId="2385D082" w14:textId="77777777" w:rsidTr="004E0271">
        <w:tc>
          <w:tcPr>
            <w:tcW w:w="1793" w:type="dxa"/>
            <w:vMerge w:val="restart"/>
          </w:tcPr>
          <w:p w14:paraId="729E62D9"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41432627" w14:textId="77777777" w:rsidR="001C46A1" w:rsidRPr="001C46A1" w:rsidRDefault="001C46A1" w:rsidP="000A69BD">
            <w:pPr>
              <w:pStyle w:val="ECCTabletext"/>
              <w:jc w:val="left"/>
            </w:pPr>
            <w:r>
              <w:t>114</w:t>
            </w:r>
            <w:r w:rsidR="00CF4994">
              <w:t>.2</w:t>
            </w:r>
            <w:r>
              <w:t>5 to 122</w:t>
            </w:r>
            <w:r w:rsidR="00CF4994">
              <w:t>.2</w:t>
            </w:r>
            <w:r>
              <w:t>5 GHz</w:t>
            </w:r>
            <w:r w:rsidR="00724AB5">
              <w:t xml:space="preserve"> (In-band)</w:t>
            </w:r>
          </w:p>
        </w:tc>
        <w:tc>
          <w:tcPr>
            <w:tcW w:w="1418" w:type="dxa"/>
          </w:tcPr>
          <w:p w14:paraId="481B81CE" w14:textId="77777777" w:rsidR="001C46A1" w:rsidRPr="001C46A1" w:rsidRDefault="001C46A1" w:rsidP="000A69BD">
            <w:pPr>
              <w:pStyle w:val="ECCTabletext"/>
              <w:jc w:val="left"/>
            </w:pPr>
            <w:r>
              <w:t>119</w:t>
            </w:r>
            <w:r w:rsidR="00CF4994">
              <w:t>.1</w:t>
            </w:r>
            <w:r>
              <w:t>25 GHz</w:t>
            </w:r>
          </w:p>
        </w:tc>
        <w:tc>
          <w:tcPr>
            <w:tcW w:w="2693" w:type="dxa"/>
          </w:tcPr>
          <w:p w14:paraId="624F9B4B" w14:textId="77777777" w:rsidR="001C46A1" w:rsidRPr="001C46A1" w:rsidRDefault="001C46A1" w:rsidP="000A69BD">
            <w:pPr>
              <w:pStyle w:val="ECCTabletext"/>
              <w:jc w:val="left"/>
            </w:pPr>
            <w:r>
              <w:t>MWI conical scanner</w:t>
            </w:r>
          </w:p>
        </w:tc>
        <w:tc>
          <w:tcPr>
            <w:tcW w:w="1554" w:type="dxa"/>
          </w:tcPr>
          <w:p w14:paraId="230575D2" w14:textId="77777777" w:rsidR="001C46A1" w:rsidRPr="001C46A1" w:rsidRDefault="001C46A1" w:rsidP="000A69BD">
            <w:pPr>
              <w:pStyle w:val="ECCTabletext"/>
              <w:jc w:val="left"/>
            </w:pPr>
            <w:r w:rsidRPr="00307F54">
              <w:t>15</w:t>
            </w:r>
            <w:r w:rsidR="00CF4994">
              <w:t>.8</w:t>
            </w:r>
            <w:r w:rsidRPr="001C46A1">
              <w:t> dB</w:t>
            </w:r>
          </w:p>
        </w:tc>
      </w:tr>
      <w:tr w:rsidR="001C46A1" w14:paraId="07BE3111" w14:textId="77777777" w:rsidTr="004E0271">
        <w:tc>
          <w:tcPr>
            <w:tcW w:w="1793" w:type="dxa"/>
            <w:vMerge/>
          </w:tcPr>
          <w:p w14:paraId="5F9CCF2F" w14:textId="77777777" w:rsidR="001C46A1" w:rsidRPr="00C53FB5" w:rsidRDefault="001C46A1" w:rsidP="001C46A1">
            <w:pPr>
              <w:pStyle w:val="ECCTabletext"/>
            </w:pPr>
          </w:p>
        </w:tc>
        <w:tc>
          <w:tcPr>
            <w:tcW w:w="2171" w:type="dxa"/>
          </w:tcPr>
          <w:p w14:paraId="1DC5349D" w14:textId="77777777" w:rsidR="001C46A1" w:rsidRPr="001C46A1" w:rsidRDefault="001C46A1" w:rsidP="000A69BD">
            <w:pPr>
              <w:pStyle w:val="ECCTabletext"/>
              <w:jc w:val="left"/>
            </w:pPr>
            <w:r>
              <w:t>148</w:t>
            </w:r>
            <w:r w:rsidR="00CF4994">
              <w:t>.5</w:t>
            </w:r>
            <w:r>
              <w:t xml:space="preserve"> to 151</w:t>
            </w:r>
            <w:r w:rsidR="00CF4994">
              <w:t>.5</w:t>
            </w:r>
            <w:r>
              <w:t> GHz</w:t>
            </w:r>
            <w:r w:rsidR="00724AB5">
              <w:t xml:space="preserve"> (OOB)</w:t>
            </w:r>
          </w:p>
        </w:tc>
        <w:tc>
          <w:tcPr>
            <w:tcW w:w="1418" w:type="dxa"/>
          </w:tcPr>
          <w:p w14:paraId="31802C26" w14:textId="77777777" w:rsidR="001C46A1" w:rsidRPr="001C46A1" w:rsidRDefault="001C46A1" w:rsidP="000A69BD">
            <w:pPr>
              <w:pStyle w:val="ECCTabletext"/>
              <w:jc w:val="left"/>
            </w:pPr>
            <w:r>
              <w:t>150 GHz</w:t>
            </w:r>
          </w:p>
        </w:tc>
        <w:tc>
          <w:tcPr>
            <w:tcW w:w="2693" w:type="dxa"/>
          </w:tcPr>
          <w:p w14:paraId="1D2A81BA" w14:textId="77777777" w:rsidR="001C46A1" w:rsidRPr="001C46A1" w:rsidRDefault="001C46A1" w:rsidP="000A69BD">
            <w:pPr>
              <w:pStyle w:val="ECCTabletext"/>
              <w:jc w:val="left"/>
            </w:pPr>
            <w:r>
              <w:t>Sensor N1 nadir scanner (at nadir)</w:t>
            </w:r>
          </w:p>
        </w:tc>
        <w:tc>
          <w:tcPr>
            <w:tcW w:w="1554" w:type="dxa"/>
          </w:tcPr>
          <w:p w14:paraId="02BF80D6" w14:textId="77777777" w:rsidR="001C46A1" w:rsidRPr="001C46A1" w:rsidRDefault="001C46A1" w:rsidP="000A69BD">
            <w:pPr>
              <w:pStyle w:val="ECCTabletext"/>
              <w:jc w:val="left"/>
              <w:rPr>
                <w:highlight w:val="yellow"/>
              </w:rPr>
            </w:pPr>
            <w:r w:rsidRPr="00307F54">
              <w:t>4</w:t>
            </w:r>
            <w:r w:rsidR="00410DEC">
              <w:t>5</w:t>
            </w:r>
            <w:r w:rsidR="00CF4994">
              <w:t>.0</w:t>
            </w:r>
            <w:r w:rsidRPr="001C46A1">
              <w:t> dB</w:t>
            </w:r>
          </w:p>
        </w:tc>
      </w:tr>
      <w:tr w:rsidR="001C46A1" w14:paraId="608A4B7F" w14:textId="77777777" w:rsidTr="004E0271">
        <w:tc>
          <w:tcPr>
            <w:tcW w:w="1793" w:type="dxa"/>
            <w:vMerge w:val="restart"/>
          </w:tcPr>
          <w:p w14:paraId="266D09CF" w14:textId="77777777" w:rsidR="001C46A1" w:rsidRPr="001C46A1" w:rsidRDefault="001C46A1" w:rsidP="000A69BD">
            <w:pPr>
              <w:pStyle w:val="ECCTabletext"/>
              <w:jc w:val="left"/>
            </w:pPr>
            <w:r>
              <w:t>167 to 182 GHz</w:t>
            </w:r>
          </w:p>
        </w:tc>
        <w:tc>
          <w:tcPr>
            <w:tcW w:w="2171" w:type="dxa"/>
          </w:tcPr>
          <w:p w14:paraId="401E1040" w14:textId="77777777" w:rsidR="001C46A1" w:rsidRPr="001C46A1" w:rsidRDefault="001C46A1" w:rsidP="000A69BD">
            <w:pPr>
              <w:pStyle w:val="ECCTabletext"/>
              <w:jc w:val="left"/>
            </w:pPr>
            <w:r>
              <w:t>164 to 167 GHz</w:t>
            </w:r>
            <w:r w:rsidR="00724AB5">
              <w:t xml:space="preserve"> (OOB)</w:t>
            </w:r>
          </w:p>
        </w:tc>
        <w:tc>
          <w:tcPr>
            <w:tcW w:w="1418" w:type="dxa"/>
          </w:tcPr>
          <w:p w14:paraId="5C622B79" w14:textId="77777777" w:rsidR="001C46A1" w:rsidRPr="001C46A1" w:rsidRDefault="001C46A1" w:rsidP="000A69BD">
            <w:pPr>
              <w:pStyle w:val="ECCTabletext"/>
              <w:jc w:val="left"/>
            </w:pPr>
            <w:r>
              <w:t>165</w:t>
            </w:r>
            <w:r w:rsidR="00CF4994">
              <w:t>.5</w:t>
            </w:r>
            <w:r>
              <w:t> GHz</w:t>
            </w:r>
          </w:p>
        </w:tc>
        <w:tc>
          <w:tcPr>
            <w:tcW w:w="2693" w:type="dxa"/>
          </w:tcPr>
          <w:p w14:paraId="3D2A9660" w14:textId="77777777" w:rsidR="001C46A1" w:rsidRPr="001C46A1" w:rsidRDefault="001C46A1" w:rsidP="000A69BD">
            <w:pPr>
              <w:pStyle w:val="ECCTabletext"/>
              <w:jc w:val="left"/>
            </w:pPr>
            <w:r>
              <w:t>Sensor P1 conical scanner</w:t>
            </w:r>
          </w:p>
        </w:tc>
        <w:tc>
          <w:tcPr>
            <w:tcW w:w="1554" w:type="dxa"/>
          </w:tcPr>
          <w:p w14:paraId="25D7BD6A" w14:textId="77777777" w:rsidR="001C46A1" w:rsidRPr="001C46A1" w:rsidRDefault="001C46A1" w:rsidP="000A69BD">
            <w:pPr>
              <w:pStyle w:val="ECCTabletext"/>
              <w:jc w:val="left"/>
              <w:rPr>
                <w:highlight w:val="yellow"/>
              </w:rPr>
            </w:pPr>
            <w:r w:rsidRPr="00307F54">
              <w:t>4</w:t>
            </w:r>
            <w:r w:rsidR="00410DEC">
              <w:t>2</w:t>
            </w:r>
            <w:r w:rsidR="00CF4994">
              <w:t>.9</w:t>
            </w:r>
            <w:r w:rsidRPr="001C46A1">
              <w:t> dB</w:t>
            </w:r>
          </w:p>
        </w:tc>
      </w:tr>
      <w:tr w:rsidR="001C46A1" w14:paraId="3FF548A6" w14:textId="77777777" w:rsidTr="004E0271">
        <w:tc>
          <w:tcPr>
            <w:tcW w:w="1793" w:type="dxa"/>
            <w:vMerge/>
          </w:tcPr>
          <w:p w14:paraId="347F259F" w14:textId="77777777" w:rsidR="001C46A1" w:rsidRDefault="001C46A1" w:rsidP="001C46A1">
            <w:pPr>
              <w:pStyle w:val="ECCTabletext"/>
            </w:pPr>
          </w:p>
        </w:tc>
        <w:tc>
          <w:tcPr>
            <w:tcW w:w="2171" w:type="dxa"/>
          </w:tcPr>
          <w:p w14:paraId="0CD3207A" w14:textId="77777777" w:rsidR="001C46A1" w:rsidRPr="001C46A1" w:rsidRDefault="001C46A1" w:rsidP="000A69BD">
            <w:pPr>
              <w:pStyle w:val="ECCTabletext"/>
              <w:jc w:val="left"/>
            </w:pPr>
            <w:r>
              <w:t>174</w:t>
            </w:r>
            <w:r w:rsidR="00CF4994">
              <w:t>.8</w:t>
            </w:r>
            <w:r>
              <w:t> to 191</w:t>
            </w:r>
            <w:r w:rsidR="00CF4994">
              <w:t>.8</w:t>
            </w:r>
            <w:r>
              <w:t> GHz</w:t>
            </w:r>
            <w:r w:rsidR="00724AB5">
              <w:t xml:space="preserve"> (In-band)</w:t>
            </w:r>
          </w:p>
        </w:tc>
        <w:tc>
          <w:tcPr>
            <w:tcW w:w="1418" w:type="dxa"/>
          </w:tcPr>
          <w:p w14:paraId="1A91A863" w14:textId="77777777" w:rsidR="001C46A1" w:rsidRPr="001C46A1" w:rsidRDefault="001C46A1" w:rsidP="000A69BD">
            <w:pPr>
              <w:pStyle w:val="ECCTabletext"/>
              <w:jc w:val="left"/>
            </w:pPr>
            <w:r>
              <w:t>178</w:t>
            </w:r>
            <w:r w:rsidR="00CF4994">
              <w:t>.4</w:t>
            </w:r>
            <w:r>
              <w:t> GHz</w:t>
            </w:r>
          </w:p>
        </w:tc>
        <w:tc>
          <w:tcPr>
            <w:tcW w:w="2693" w:type="dxa"/>
          </w:tcPr>
          <w:p w14:paraId="60F59D0E" w14:textId="77777777" w:rsidR="001C46A1" w:rsidRPr="001C46A1" w:rsidRDefault="001C46A1" w:rsidP="000A69BD">
            <w:pPr>
              <w:pStyle w:val="ECCTabletext"/>
              <w:jc w:val="left"/>
            </w:pPr>
            <w:r>
              <w:t xml:space="preserve">AWS nadir scanner (at </w:t>
            </w:r>
            <w:r w:rsidRPr="001C46A1">
              <w:t>nadir)</w:t>
            </w:r>
          </w:p>
        </w:tc>
        <w:tc>
          <w:tcPr>
            <w:tcW w:w="1554" w:type="dxa"/>
          </w:tcPr>
          <w:p w14:paraId="4996F9AD" w14:textId="77777777" w:rsidR="001C46A1" w:rsidRPr="001C46A1" w:rsidRDefault="001C46A1" w:rsidP="000A69BD">
            <w:pPr>
              <w:pStyle w:val="ECCTabletext"/>
              <w:jc w:val="left"/>
              <w:rPr>
                <w:highlight w:val="yellow"/>
              </w:rPr>
            </w:pPr>
            <w:r w:rsidRPr="00AB658B">
              <w:t>2</w:t>
            </w:r>
            <w:r w:rsidR="00410DEC">
              <w:t>3</w:t>
            </w:r>
            <w:r w:rsidR="00CF4994">
              <w:t>.4</w:t>
            </w:r>
            <w:r w:rsidRPr="001C46A1">
              <w:t> dB</w:t>
            </w:r>
          </w:p>
        </w:tc>
      </w:tr>
      <w:tr w:rsidR="001C46A1" w14:paraId="1ABAB728" w14:textId="77777777" w:rsidTr="004E0271">
        <w:tc>
          <w:tcPr>
            <w:tcW w:w="1793" w:type="dxa"/>
            <w:vMerge w:val="restart"/>
          </w:tcPr>
          <w:p w14:paraId="3FF0EA3C" w14:textId="77777777" w:rsidR="001C46A1" w:rsidRPr="001C46A1" w:rsidRDefault="001C46A1" w:rsidP="000A69BD">
            <w:pPr>
              <w:pStyle w:val="ECCTabletext"/>
              <w:jc w:val="left"/>
            </w:pPr>
            <w:r>
              <w:t>231</w:t>
            </w:r>
            <w:r w:rsidR="00CF4994">
              <w:t>.5</w:t>
            </w:r>
            <w:r>
              <w:t xml:space="preserve"> to 250 GHz</w:t>
            </w:r>
          </w:p>
        </w:tc>
        <w:tc>
          <w:tcPr>
            <w:tcW w:w="2171" w:type="dxa"/>
          </w:tcPr>
          <w:p w14:paraId="1856E926" w14:textId="77777777" w:rsidR="001C46A1" w:rsidRPr="001C46A1" w:rsidRDefault="001C46A1" w:rsidP="000A69BD">
            <w:pPr>
              <w:pStyle w:val="ECCTabletext"/>
              <w:jc w:val="left"/>
            </w:pPr>
            <w:r>
              <w:t>226 to 231</w:t>
            </w:r>
            <w:r w:rsidR="00CF4994">
              <w:t>.5</w:t>
            </w:r>
            <w:r>
              <w:t> GHz</w:t>
            </w:r>
            <w:r w:rsidR="00724AB5">
              <w:t xml:space="preserve"> (OOB)</w:t>
            </w:r>
          </w:p>
        </w:tc>
        <w:tc>
          <w:tcPr>
            <w:tcW w:w="1418" w:type="dxa"/>
          </w:tcPr>
          <w:p w14:paraId="593B191D" w14:textId="77777777" w:rsidR="001C46A1" w:rsidRPr="001C46A1" w:rsidRDefault="001C46A1" w:rsidP="000A69BD">
            <w:pPr>
              <w:pStyle w:val="ECCTabletext"/>
              <w:jc w:val="left"/>
            </w:pPr>
            <w:r>
              <w:t>228</w:t>
            </w:r>
            <w:r w:rsidR="00CF4994">
              <w:t>.7</w:t>
            </w:r>
            <w:r>
              <w:t>5 GHz</w:t>
            </w:r>
          </w:p>
        </w:tc>
        <w:tc>
          <w:tcPr>
            <w:tcW w:w="2693" w:type="dxa"/>
          </w:tcPr>
          <w:p w14:paraId="4B3F6439" w14:textId="77777777" w:rsidR="001C46A1" w:rsidRPr="001C46A1" w:rsidRDefault="001C46A1" w:rsidP="000A69BD">
            <w:pPr>
              <w:pStyle w:val="ECCTabletext"/>
              <w:jc w:val="left"/>
            </w:pPr>
            <w:r>
              <w:t>AWS nadir scanner (at nadir)</w:t>
            </w:r>
          </w:p>
        </w:tc>
        <w:tc>
          <w:tcPr>
            <w:tcW w:w="1554" w:type="dxa"/>
          </w:tcPr>
          <w:p w14:paraId="59F4ADC1" w14:textId="77777777" w:rsidR="001C46A1" w:rsidRPr="001C46A1" w:rsidRDefault="00410DEC" w:rsidP="000A69BD">
            <w:pPr>
              <w:pStyle w:val="ECCTabletext"/>
              <w:jc w:val="left"/>
              <w:rPr>
                <w:highlight w:val="yellow"/>
              </w:rPr>
            </w:pPr>
            <w:r>
              <w:t>42</w:t>
            </w:r>
            <w:r w:rsidR="00CF4994">
              <w:t>.0</w:t>
            </w:r>
            <w:r w:rsidR="001C46A1" w:rsidRPr="001C46A1">
              <w:t> dB</w:t>
            </w:r>
          </w:p>
        </w:tc>
      </w:tr>
      <w:tr w:rsidR="001C46A1" w14:paraId="39253FF7" w14:textId="77777777" w:rsidTr="004E0271">
        <w:tc>
          <w:tcPr>
            <w:tcW w:w="1793" w:type="dxa"/>
            <w:vMerge/>
          </w:tcPr>
          <w:p w14:paraId="08113E8B" w14:textId="77777777" w:rsidR="001C46A1" w:rsidRDefault="001C46A1" w:rsidP="001C46A1">
            <w:pPr>
              <w:pStyle w:val="ECCTabletext"/>
            </w:pPr>
          </w:p>
        </w:tc>
        <w:tc>
          <w:tcPr>
            <w:tcW w:w="2171" w:type="dxa"/>
          </w:tcPr>
          <w:p w14:paraId="18991924" w14:textId="77777777" w:rsidR="001C46A1" w:rsidRPr="001C46A1" w:rsidRDefault="001C46A1" w:rsidP="000A69BD">
            <w:pPr>
              <w:pStyle w:val="ECCTabletext"/>
              <w:jc w:val="left"/>
            </w:pPr>
            <w:r>
              <w:t>239 to 248 GHz</w:t>
            </w:r>
            <w:r w:rsidR="00724AB5">
              <w:t xml:space="preserve"> (In-band)</w:t>
            </w:r>
          </w:p>
        </w:tc>
        <w:tc>
          <w:tcPr>
            <w:tcW w:w="1418" w:type="dxa"/>
          </w:tcPr>
          <w:p w14:paraId="446627DC" w14:textId="77777777" w:rsidR="001C46A1" w:rsidRPr="001C46A1" w:rsidRDefault="001C46A1" w:rsidP="000A69BD">
            <w:pPr>
              <w:pStyle w:val="ECCTabletext"/>
              <w:jc w:val="left"/>
            </w:pPr>
            <w:r>
              <w:t>243</w:t>
            </w:r>
            <w:r w:rsidR="00CF4994">
              <w:t>.5</w:t>
            </w:r>
            <w:r>
              <w:t> GHz</w:t>
            </w:r>
          </w:p>
        </w:tc>
        <w:tc>
          <w:tcPr>
            <w:tcW w:w="2693" w:type="dxa"/>
          </w:tcPr>
          <w:p w14:paraId="1E13FC17" w14:textId="77777777" w:rsidR="001C46A1" w:rsidRPr="001C46A1" w:rsidRDefault="001C46A1" w:rsidP="000A69BD">
            <w:pPr>
              <w:pStyle w:val="ECCTabletext"/>
              <w:jc w:val="left"/>
            </w:pPr>
            <w:r>
              <w:t>AWS nadir scanner (at nadir)</w:t>
            </w:r>
          </w:p>
        </w:tc>
        <w:tc>
          <w:tcPr>
            <w:tcW w:w="1554" w:type="dxa"/>
          </w:tcPr>
          <w:p w14:paraId="7FBAB7AC" w14:textId="77777777" w:rsidR="001C46A1" w:rsidRPr="001C46A1" w:rsidRDefault="001C46A1" w:rsidP="000A69BD">
            <w:pPr>
              <w:pStyle w:val="ECCTabletext"/>
              <w:jc w:val="left"/>
            </w:pPr>
            <w:r w:rsidRPr="00A5143C">
              <w:t>2</w:t>
            </w:r>
            <w:r w:rsidR="00410DEC">
              <w:t>3</w:t>
            </w:r>
            <w:r w:rsidR="00CF4994">
              <w:t>.1</w:t>
            </w:r>
            <w:r w:rsidRPr="001C46A1">
              <w:t> dB</w:t>
            </w:r>
          </w:p>
        </w:tc>
      </w:tr>
    </w:tbl>
    <w:p w14:paraId="6513B195" w14:textId="3C219FA1"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_Ref67393356 \r \h </w:instrText>
      </w:r>
      <w:r>
        <w:fldChar w:fldCharType="separate"/>
      </w:r>
      <w:r w:rsidR="004F49F9">
        <w:t>8.6.4</w:t>
      </w:r>
      <w:r>
        <w:fldChar w:fldCharType="end"/>
      </w:r>
      <w:r>
        <w:t>.</w:t>
      </w:r>
    </w:p>
    <w:p w14:paraId="3F908C94" w14:textId="77777777" w:rsidR="007D1C82" w:rsidRPr="007D1C82" w:rsidRDefault="007D1C82" w:rsidP="007D1C82">
      <w:pPr>
        <w:pStyle w:val="Heading2"/>
      </w:pPr>
      <w:bookmarkStart w:id="762" w:name="_Toc84325420"/>
      <w:bookmarkStart w:id="763" w:name="_Toc127346342"/>
      <w:r w:rsidRPr="002413B7">
        <w:t>Tank Level Probing Radar (TLPR)</w:t>
      </w:r>
      <w:bookmarkEnd w:id="762"/>
      <w:bookmarkEnd w:id="763"/>
    </w:p>
    <w:p w14:paraId="276DCF60" w14:textId="77777777" w:rsidR="007D1C82" w:rsidRPr="0005784F" w:rsidRDefault="007D1C82" w:rsidP="007D1C82">
      <w:pPr>
        <w:pStyle w:val="Heading3"/>
      </w:pPr>
      <w:bookmarkStart w:id="764" w:name="_Toc84325421"/>
      <w:bookmarkStart w:id="765" w:name="_Toc127346343"/>
      <w:r w:rsidRPr="0005784F">
        <w:t>Technical parameters of TLPR</w:t>
      </w:r>
      <w:bookmarkEnd w:id="764"/>
      <w:bookmarkEnd w:id="765"/>
    </w:p>
    <w:p w14:paraId="3AB965E6" w14:textId="2CC352A9" w:rsidR="007D1C82" w:rsidRPr="007D1C82" w:rsidRDefault="007D1C82" w:rsidP="007D1C82">
      <w:r w:rsidRPr="007D1C82">
        <w:t xml:space="preserve">For TLPR altogether three potential frequency bands have been defined (see </w:t>
      </w:r>
      <w:r w:rsidR="009D5FA2">
        <w:t>section</w:t>
      </w:r>
      <w:r w:rsidRPr="007D1C82">
        <w:t xml:space="preserve"> </w:t>
      </w:r>
      <w:r w:rsidR="00657C13">
        <w:rPr>
          <w:highlight w:val="yellow"/>
        </w:rPr>
        <w:fldChar w:fldCharType="begin"/>
      </w:r>
      <w:r w:rsidR="00657C13">
        <w:instrText xml:space="preserve"> REF _Ref66452557 \r \h </w:instrText>
      </w:r>
      <w:r w:rsidR="00657C13">
        <w:rPr>
          <w:highlight w:val="yellow"/>
        </w:rPr>
      </w:r>
      <w:r w:rsidR="00657C13">
        <w:rPr>
          <w:highlight w:val="yellow"/>
        </w:rPr>
        <w:fldChar w:fldCharType="separate"/>
      </w:r>
      <w:r w:rsidR="004F49F9">
        <w:t>2.2.7.2</w:t>
      </w:r>
      <w:r w:rsidR="00657C13">
        <w:rPr>
          <w:highlight w:val="yellow"/>
        </w:rPr>
        <w:fldChar w:fldCharType="end"/>
      </w:r>
      <w:r w:rsidRPr="007D1C82">
        <w:t>). Due to the fact that in all defined frequency bands allocations for EESS are affected</w:t>
      </w:r>
      <w:r w:rsidR="001D7996">
        <w:t>-</w:t>
      </w:r>
      <w:r w:rsidRPr="007D1C82">
        <w:t xml:space="preserve">either within these bands or adjacent to them – all three bands have been investigated by single-entry and aggregate studies (please compare the figures in </w:t>
      </w:r>
      <w:r w:rsidR="009D5FA2">
        <w:t>section</w:t>
      </w:r>
      <w:r w:rsidRPr="007D1C82">
        <w:t xml:space="preserve"> </w:t>
      </w:r>
      <w:r w:rsidR="00657C13">
        <w:rPr>
          <w:highlight w:val="yellow"/>
        </w:rPr>
        <w:fldChar w:fldCharType="begin"/>
      </w:r>
      <w:r w:rsidR="00657C13">
        <w:instrText xml:space="preserve"> REF _Ref66361706 \r \h </w:instrText>
      </w:r>
      <w:r w:rsidR="00657C13">
        <w:rPr>
          <w:highlight w:val="yellow"/>
        </w:rPr>
      </w:r>
      <w:r w:rsidR="00657C13">
        <w:rPr>
          <w:highlight w:val="yellow"/>
        </w:rPr>
        <w:fldChar w:fldCharType="separate"/>
      </w:r>
      <w:r w:rsidR="004F49F9">
        <w:t>3.3</w:t>
      </w:r>
      <w:r w:rsidR="00657C13">
        <w:rPr>
          <w:highlight w:val="yellow"/>
        </w:rPr>
        <w:fldChar w:fldCharType="end"/>
      </w:r>
      <w:r w:rsidRPr="007D1C82">
        <w:t>). In these studies the individual residual margin (</w:t>
      </w:r>
      <w:r w:rsidR="009D5FA2">
        <w:t>section</w:t>
      </w:r>
      <w:r w:rsidRPr="007D1C82">
        <w:t xml:space="preserve"> </w:t>
      </w:r>
      <w:r w:rsidR="00657C13">
        <w:rPr>
          <w:highlight w:val="yellow"/>
        </w:rPr>
        <w:fldChar w:fldCharType="begin"/>
      </w:r>
      <w:r w:rsidR="00657C13">
        <w:instrText xml:space="preserve"> REF _Ref66361724 \r \h </w:instrText>
      </w:r>
      <w:r w:rsidR="00657C13">
        <w:rPr>
          <w:highlight w:val="yellow"/>
        </w:rPr>
      </w:r>
      <w:r w:rsidR="00657C13">
        <w:rPr>
          <w:highlight w:val="yellow"/>
        </w:rPr>
        <w:fldChar w:fldCharType="separate"/>
      </w:r>
      <w:r w:rsidR="004F49F9">
        <w:t>3.4.4</w:t>
      </w:r>
      <w:r w:rsidR="00657C13">
        <w:rPr>
          <w:highlight w:val="yellow"/>
        </w:rPr>
        <w:fldChar w:fldCharType="end"/>
      </w:r>
      <w:r w:rsidRPr="007D1C82">
        <w:t>) to the interference criterion is determined by means of the technical parameters (</w:t>
      </w:r>
      <w:r w:rsidR="009D5FA2">
        <w:t>section</w:t>
      </w:r>
      <w:r w:rsidRPr="007D1C82">
        <w:t xml:space="preserve"> </w:t>
      </w:r>
      <w:r w:rsidR="00657C13">
        <w:rPr>
          <w:highlight w:val="yellow"/>
        </w:rPr>
        <w:fldChar w:fldCharType="begin"/>
      </w:r>
      <w:r w:rsidR="00657C13">
        <w:instrText xml:space="preserve"> REF _Ref66452573 \r \h </w:instrText>
      </w:r>
      <w:r w:rsidR="00657C13">
        <w:rPr>
          <w:highlight w:val="yellow"/>
        </w:rPr>
      </w:r>
      <w:r w:rsidR="00657C13">
        <w:rPr>
          <w:highlight w:val="yellow"/>
        </w:rPr>
        <w:fldChar w:fldCharType="separate"/>
      </w:r>
      <w:r w:rsidR="004F49F9">
        <w:t>2.2.7.3</w:t>
      </w:r>
      <w:r w:rsidR="00657C13">
        <w:rPr>
          <w:highlight w:val="yellow"/>
        </w:rPr>
        <w:fldChar w:fldCharType="end"/>
      </w:r>
      <w:r w:rsidRPr="007D1C82">
        <w:t>), the antenna data (</w:t>
      </w:r>
      <w:r w:rsidR="009D5FA2">
        <w:t>section</w:t>
      </w:r>
      <w:r w:rsidRPr="007D1C82">
        <w:t xml:space="preserve"> </w:t>
      </w:r>
      <w:r w:rsidR="00657C13">
        <w:rPr>
          <w:highlight w:val="yellow"/>
        </w:rPr>
        <w:fldChar w:fldCharType="begin"/>
      </w:r>
      <w:r w:rsidR="00657C13">
        <w:instrText xml:space="preserve"> REF _Ref66452566 \r \h </w:instrText>
      </w:r>
      <w:r w:rsidR="00657C13">
        <w:rPr>
          <w:highlight w:val="yellow"/>
        </w:rPr>
      </w:r>
      <w:r w:rsidR="00657C13">
        <w:rPr>
          <w:highlight w:val="yellow"/>
        </w:rPr>
        <w:fldChar w:fldCharType="separate"/>
      </w:r>
      <w:r w:rsidR="004F49F9">
        <w:t>2.2.7.4</w:t>
      </w:r>
      <w:r w:rsidR="00657C13">
        <w:rPr>
          <w:highlight w:val="yellow"/>
        </w:rPr>
        <w:fldChar w:fldCharType="end"/>
      </w:r>
      <w:r w:rsidRPr="007D1C82">
        <w:t>), the defined interference scenarios (</w:t>
      </w:r>
      <w:r w:rsidR="009D5FA2">
        <w:t>section</w:t>
      </w:r>
      <w:r w:rsidRPr="007D1C82">
        <w:t xml:space="preserve"> </w:t>
      </w:r>
      <w:r w:rsidR="00657C13">
        <w:rPr>
          <w:highlight w:val="yellow"/>
        </w:rPr>
        <w:fldChar w:fldCharType="begin"/>
      </w:r>
      <w:r w:rsidR="00657C13">
        <w:instrText xml:space="preserve"> REF _Ref27486211 \r \h </w:instrText>
      </w:r>
      <w:r w:rsidR="00657C13">
        <w:rPr>
          <w:highlight w:val="yellow"/>
        </w:rPr>
      </w:r>
      <w:r w:rsidR="00657C13">
        <w:rPr>
          <w:highlight w:val="yellow"/>
        </w:rPr>
        <w:fldChar w:fldCharType="separate"/>
      </w:r>
      <w:r w:rsidR="004F49F9">
        <w:t>2.2.7.6</w:t>
      </w:r>
      <w:r w:rsidR="00657C13">
        <w:rPr>
          <w:highlight w:val="yellow"/>
        </w:rPr>
        <w:fldChar w:fldCharType="end"/>
      </w:r>
      <w:r w:rsidRPr="007D1C82">
        <w:t>) and the protection requirements for EESS (</w:t>
      </w:r>
      <w:r w:rsidR="009D5FA2">
        <w:t>section</w:t>
      </w:r>
      <w:r w:rsidRPr="007D1C82">
        <w:t xml:space="preserve"> </w:t>
      </w:r>
      <w:r w:rsidR="00657C13">
        <w:rPr>
          <w:highlight w:val="yellow"/>
        </w:rPr>
        <w:fldChar w:fldCharType="begin"/>
      </w:r>
      <w:r w:rsidR="00657C13">
        <w:instrText xml:space="preserve"> REF _Ref66361876 \r \h </w:instrText>
      </w:r>
      <w:r w:rsidR="00657C13">
        <w:rPr>
          <w:highlight w:val="yellow"/>
        </w:rPr>
      </w:r>
      <w:r w:rsidR="00657C13">
        <w:rPr>
          <w:highlight w:val="yellow"/>
        </w:rPr>
        <w:fldChar w:fldCharType="separate"/>
      </w:r>
      <w:r w:rsidR="004F49F9">
        <w:t>3.5.4</w:t>
      </w:r>
      <w:r w:rsidR="00657C13">
        <w:rPr>
          <w:highlight w:val="yellow"/>
        </w:rPr>
        <w:fldChar w:fldCharType="end"/>
      </w:r>
      <w:r w:rsidRPr="007D1C82">
        <w:t xml:space="preserve">). The exact calculations can be found in an Excel-spreadsheet which is attached to this </w:t>
      </w:r>
      <w:hyperlink r:id="rId170" w:history="1">
        <w:r w:rsidR="006B1E55">
          <w:rPr>
            <w:rStyle w:val="Hyperlink"/>
          </w:rPr>
          <w:t>Report</w:t>
        </w:r>
      </w:hyperlink>
      <w:r w:rsidRPr="007D1C82">
        <w:t>.</w:t>
      </w:r>
    </w:p>
    <w:p w14:paraId="75870217" w14:textId="10367E4E" w:rsidR="007D1C82" w:rsidRPr="007D1C82" w:rsidRDefault="007D1C82" w:rsidP="007D1C82">
      <w:r w:rsidRPr="007D1C82">
        <w:t>The following technical parameters of the TLPR application (</w:t>
      </w:r>
      <w:r w:rsidR="009D5FA2">
        <w:t>section</w:t>
      </w:r>
      <w:r w:rsidRPr="007D1C82">
        <w:t xml:space="preserve"> </w:t>
      </w:r>
      <w:r w:rsidR="00657C13">
        <w:rPr>
          <w:highlight w:val="yellow"/>
        </w:rPr>
        <w:fldChar w:fldCharType="begin"/>
      </w:r>
      <w:r w:rsidR="00657C13">
        <w:instrText xml:space="preserve"> REF _Ref66452573 \r \h </w:instrText>
      </w:r>
      <w:r w:rsidR="00657C13">
        <w:rPr>
          <w:highlight w:val="yellow"/>
        </w:rPr>
      </w:r>
      <w:r w:rsidR="00657C13">
        <w:rPr>
          <w:highlight w:val="yellow"/>
        </w:rPr>
        <w:fldChar w:fldCharType="separate"/>
      </w:r>
      <w:r w:rsidR="004F49F9">
        <w:t>2.2.7.3</w:t>
      </w:r>
      <w:r w:rsidR="00657C13">
        <w:rPr>
          <w:highlight w:val="yellow"/>
        </w:rPr>
        <w:fldChar w:fldCharType="end"/>
      </w:r>
      <w:r w:rsidRPr="007D1C82">
        <w:t>) have been used in the studies in the different frequency ranges.</w:t>
      </w:r>
    </w:p>
    <w:p w14:paraId="57682EE1" w14:textId="1A6B6026" w:rsidR="007D1C82" w:rsidRDefault="00657C13" w:rsidP="007D1C82">
      <w:pPr>
        <w:pStyle w:val="Caption"/>
        <w:rPr>
          <w:rStyle w:val="ECCParagraph"/>
        </w:rPr>
      </w:pPr>
      <w:r w:rsidRPr="00477961">
        <w:t>Table </w:t>
      </w:r>
      <w:r>
        <w:fldChar w:fldCharType="begin"/>
      </w:r>
      <w:r>
        <w:instrText>SEQ Table \* ARABIC</w:instrText>
      </w:r>
      <w:r>
        <w:fldChar w:fldCharType="separate"/>
      </w:r>
      <w:r w:rsidR="004F49F9">
        <w:rPr>
          <w:noProof/>
        </w:rPr>
        <w:t>103</w:t>
      </w:r>
      <w:r>
        <w:fldChar w:fldCharType="end"/>
      </w:r>
      <w:r w:rsidR="007D1C82">
        <w:t>: Technical parameters of TLPR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906950" w:rsidRPr="00566944" w14:paraId="66CE46EE"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52DB57C3" w14:textId="77777777" w:rsidR="00906950" w:rsidRPr="00906950" w:rsidRDefault="00906950" w:rsidP="00876039">
            <w:pPr>
              <w:pStyle w:val="ECCTableHeaderwhitefont"/>
            </w:pPr>
            <w:r w:rsidRPr="00906950">
              <w:t>Investigated frequency range</w:t>
            </w:r>
          </w:p>
        </w:tc>
        <w:tc>
          <w:tcPr>
            <w:tcW w:w="1569" w:type="dxa"/>
          </w:tcPr>
          <w:p w14:paraId="43C2AE81" w14:textId="77777777" w:rsidR="00906950" w:rsidRPr="00906950" w:rsidRDefault="00906950" w:rsidP="00755979">
            <w:pPr>
              <w:pStyle w:val="ECCTableHeaderwhitefont"/>
            </w:pPr>
            <w:r w:rsidRPr="00906950">
              <w:t>Assumed modulation bandwidth</w:t>
            </w:r>
          </w:p>
        </w:tc>
        <w:tc>
          <w:tcPr>
            <w:tcW w:w="1513" w:type="dxa"/>
          </w:tcPr>
          <w:p w14:paraId="1EAD5C76" w14:textId="77777777" w:rsidR="00906950" w:rsidRPr="00906950" w:rsidRDefault="00906950" w:rsidP="00755979">
            <w:pPr>
              <w:pStyle w:val="ECCTableHeaderwhitefont"/>
            </w:pPr>
            <w:r w:rsidRPr="00906950">
              <w:t>Duty cycle</w:t>
            </w:r>
          </w:p>
        </w:tc>
        <w:tc>
          <w:tcPr>
            <w:tcW w:w="1767" w:type="dxa"/>
          </w:tcPr>
          <w:p w14:paraId="7BC0ED49" w14:textId="77777777" w:rsidR="00906950" w:rsidRPr="00906950" w:rsidRDefault="00906950" w:rsidP="00755979">
            <w:pPr>
              <w:pStyle w:val="ECCTableHeaderwhitefont"/>
            </w:pPr>
            <w:r w:rsidRPr="00906950">
              <w:t xml:space="preserve">Mean e.i.r.p. spectral density </w:t>
            </w:r>
          </w:p>
        </w:tc>
        <w:tc>
          <w:tcPr>
            <w:tcW w:w="1437" w:type="dxa"/>
          </w:tcPr>
          <w:p w14:paraId="335C023B" w14:textId="77777777" w:rsidR="00906950" w:rsidRPr="00906950" w:rsidRDefault="00906950" w:rsidP="00755979">
            <w:pPr>
              <w:pStyle w:val="ECCTableHeaderwhitefont"/>
            </w:pPr>
            <w:r w:rsidRPr="00906950">
              <w:t>Peak e.i.r.p.</w:t>
            </w:r>
          </w:p>
        </w:tc>
        <w:tc>
          <w:tcPr>
            <w:tcW w:w="1437" w:type="dxa"/>
          </w:tcPr>
          <w:p w14:paraId="6BCE5CE2" w14:textId="77777777" w:rsidR="00906950" w:rsidRPr="00906950" w:rsidRDefault="00906950" w:rsidP="00755979">
            <w:pPr>
              <w:pStyle w:val="ECCTableHeaderwhitefont"/>
            </w:pPr>
            <w:r w:rsidRPr="00906950">
              <w:t>OOB attenuation (Note 1)</w:t>
            </w:r>
          </w:p>
        </w:tc>
      </w:tr>
      <w:tr w:rsidR="00145455" w:rsidRPr="00C53FB5" w14:paraId="5E7EC2C6" w14:textId="77777777" w:rsidTr="00BF4052">
        <w:tc>
          <w:tcPr>
            <w:tcW w:w="1838" w:type="dxa"/>
          </w:tcPr>
          <w:p w14:paraId="128409FB" w14:textId="77777777" w:rsidR="00145455" w:rsidRPr="00145455" w:rsidRDefault="00145455" w:rsidP="000A69BD">
            <w:pPr>
              <w:pStyle w:val="ECCTabletext"/>
              <w:jc w:val="left"/>
            </w:pPr>
            <w:r w:rsidRPr="00C53FB5">
              <w:t xml:space="preserve">116 to </w:t>
            </w:r>
            <w:r w:rsidRPr="00145455">
              <w:t>148</w:t>
            </w:r>
            <w:r w:rsidR="00CF4994">
              <w:t>.5</w:t>
            </w:r>
            <w:r w:rsidRPr="00145455">
              <w:t> GHz</w:t>
            </w:r>
          </w:p>
        </w:tc>
        <w:tc>
          <w:tcPr>
            <w:tcW w:w="1569" w:type="dxa"/>
          </w:tcPr>
          <w:p w14:paraId="6E7F9CC6" w14:textId="77777777" w:rsidR="00145455" w:rsidRPr="00145455" w:rsidRDefault="00145455" w:rsidP="000A69BD">
            <w:pPr>
              <w:pStyle w:val="ECCTabletext"/>
              <w:jc w:val="left"/>
            </w:pPr>
            <w:r w:rsidRPr="00E7470D">
              <w:t>1 GHz</w:t>
            </w:r>
          </w:p>
        </w:tc>
        <w:tc>
          <w:tcPr>
            <w:tcW w:w="1513" w:type="dxa"/>
          </w:tcPr>
          <w:p w14:paraId="30AE59C8" w14:textId="2B2BAB30" w:rsidR="00145455" w:rsidRPr="00145455" w:rsidRDefault="00ED344D" w:rsidP="000A69BD">
            <w:pPr>
              <w:pStyle w:val="ECCTabletext"/>
              <w:jc w:val="left"/>
            </w:pPr>
            <w:r>
              <w:t>100</w:t>
            </w:r>
            <w:r w:rsidR="00F800A2">
              <w:t>%</w:t>
            </w:r>
          </w:p>
        </w:tc>
        <w:tc>
          <w:tcPr>
            <w:tcW w:w="1767" w:type="dxa"/>
          </w:tcPr>
          <w:p w14:paraId="2BB71F41" w14:textId="77777777" w:rsidR="00145455" w:rsidRPr="00145455" w:rsidRDefault="00145455" w:rsidP="000A69BD">
            <w:pPr>
              <w:pStyle w:val="ECCTabletext"/>
              <w:jc w:val="left"/>
            </w:pPr>
            <w:r w:rsidRPr="00E7470D">
              <w:t>12 dBm/MHz</w:t>
            </w:r>
          </w:p>
        </w:tc>
        <w:tc>
          <w:tcPr>
            <w:tcW w:w="1437" w:type="dxa"/>
          </w:tcPr>
          <w:p w14:paraId="2B36D309" w14:textId="77777777" w:rsidR="00145455" w:rsidRPr="00145455" w:rsidRDefault="00145455" w:rsidP="000A69BD">
            <w:pPr>
              <w:pStyle w:val="ECCTabletext"/>
              <w:jc w:val="left"/>
            </w:pPr>
            <w:r w:rsidRPr="00CE5E68">
              <w:t>42</w:t>
            </w:r>
            <w:r w:rsidRPr="00145455">
              <w:t> dBm</w:t>
            </w:r>
          </w:p>
        </w:tc>
        <w:tc>
          <w:tcPr>
            <w:tcW w:w="1437" w:type="dxa"/>
          </w:tcPr>
          <w:p w14:paraId="714AD29D" w14:textId="77777777" w:rsidR="00145455" w:rsidRPr="00145455" w:rsidRDefault="00145455" w:rsidP="000A69BD">
            <w:pPr>
              <w:pStyle w:val="ECCTabletext"/>
              <w:jc w:val="left"/>
            </w:pPr>
            <w:r>
              <w:t>20 dB</w:t>
            </w:r>
          </w:p>
        </w:tc>
      </w:tr>
      <w:tr w:rsidR="00145455" w:rsidRPr="00C53FB5" w14:paraId="7FC14C8E" w14:textId="77777777" w:rsidTr="00BF4052">
        <w:tc>
          <w:tcPr>
            <w:tcW w:w="1838" w:type="dxa"/>
          </w:tcPr>
          <w:p w14:paraId="40031BF1" w14:textId="77777777" w:rsidR="00145455" w:rsidRPr="00145455" w:rsidRDefault="00145455" w:rsidP="000A69BD">
            <w:pPr>
              <w:pStyle w:val="ECCTabletext"/>
              <w:jc w:val="left"/>
            </w:pPr>
            <w:r w:rsidRPr="00C53FB5">
              <w:t>1</w:t>
            </w:r>
            <w:r w:rsidRPr="00145455">
              <w:t>67 to 182 GHz</w:t>
            </w:r>
          </w:p>
        </w:tc>
        <w:tc>
          <w:tcPr>
            <w:tcW w:w="1569" w:type="dxa"/>
          </w:tcPr>
          <w:p w14:paraId="5253C99C" w14:textId="77777777" w:rsidR="00145455" w:rsidRPr="00145455" w:rsidRDefault="00145455" w:rsidP="000A69BD">
            <w:pPr>
              <w:pStyle w:val="ECCTabletext"/>
              <w:jc w:val="left"/>
            </w:pPr>
            <w:r w:rsidRPr="00E7470D">
              <w:t>1 GHz</w:t>
            </w:r>
          </w:p>
        </w:tc>
        <w:tc>
          <w:tcPr>
            <w:tcW w:w="1513" w:type="dxa"/>
          </w:tcPr>
          <w:p w14:paraId="736A5670" w14:textId="4553130C" w:rsidR="00145455" w:rsidRPr="00145455" w:rsidRDefault="00ED344D" w:rsidP="000A69BD">
            <w:pPr>
              <w:pStyle w:val="ECCTabletext"/>
              <w:jc w:val="left"/>
            </w:pPr>
            <w:r>
              <w:t>100</w:t>
            </w:r>
            <w:r w:rsidR="00F800A2">
              <w:t>%</w:t>
            </w:r>
          </w:p>
        </w:tc>
        <w:tc>
          <w:tcPr>
            <w:tcW w:w="1767" w:type="dxa"/>
          </w:tcPr>
          <w:p w14:paraId="5182EEB0" w14:textId="77777777" w:rsidR="00145455" w:rsidRPr="00145455" w:rsidRDefault="00ED344D" w:rsidP="000A69BD">
            <w:pPr>
              <w:pStyle w:val="ECCTabletext"/>
              <w:jc w:val="left"/>
            </w:pPr>
            <w:r>
              <w:t>12</w:t>
            </w:r>
            <w:r w:rsidR="00145455" w:rsidRPr="00E7470D">
              <w:t> dBm/MHz</w:t>
            </w:r>
          </w:p>
        </w:tc>
        <w:tc>
          <w:tcPr>
            <w:tcW w:w="1437" w:type="dxa"/>
          </w:tcPr>
          <w:p w14:paraId="270BB446" w14:textId="77777777" w:rsidR="00145455" w:rsidRPr="00145455" w:rsidRDefault="00145455" w:rsidP="000A69BD">
            <w:pPr>
              <w:pStyle w:val="ECCTabletext"/>
              <w:jc w:val="left"/>
            </w:pPr>
            <w:r w:rsidRPr="00CE5E68">
              <w:t>4</w:t>
            </w:r>
            <w:r w:rsidR="00ED344D">
              <w:t>2</w:t>
            </w:r>
            <w:r w:rsidRPr="00145455">
              <w:t> dBm</w:t>
            </w:r>
          </w:p>
        </w:tc>
        <w:tc>
          <w:tcPr>
            <w:tcW w:w="1437" w:type="dxa"/>
          </w:tcPr>
          <w:p w14:paraId="070FAF36" w14:textId="77777777" w:rsidR="00145455" w:rsidRPr="00CE5E68" w:rsidRDefault="00145455" w:rsidP="000A69BD">
            <w:pPr>
              <w:pStyle w:val="ECCTabletext"/>
              <w:jc w:val="left"/>
            </w:pPr>
            <w:r>
              <w:t>20 dB</w:t>
            </w:r>
          </w:p>
        </w:tc>
      </w:tr>
      <w:tr w:rsidR="00145455" w:rsidRPr="00C53FB5" w14:paraId="48823D5F" w14:textId="77777777" w:rsidTr="00BF4052">
        <w:tc>
          <w:tcPr>
            <w:tcW w:w="1838" w:type="dxa"/>
          </w:tcPr>
          <w:p w14:paraId="35A2EEA7" w14:textId="77777777" w:rsidR="00145455" w:rsidRPr="00145455" w:rsidRDefault="00145455" w:rsidP="00464AE0">
            <w:pPr>
              <w:pStyle w:val="ECCTablenote"/>
            </w:pPr>
            <w:r>
              <w:t>231</w:t>
            </w:r>
            <w:r w:rsidR="00CF4994">
              <w:t>.5</w:t>
            </w:r>
            <w:r w:rsidRPr="00145455">
              <w:t xml:space="preserve"> to 250 GHz</w:t>
            </w:r>
          </w:p>
        </w:tc>
        <w:tc>
          <w:tcPr>
            <w:tcW w:w="1569" w:type="dxa"/>
          </w:tcPr>
          <w:p w14:paraId="46AA5B4D" w14:textId="77777777" w:rsidR="00145455" w:rsidRPr="00145455" w:rsidRDefault="00145455" w:rsidP="000A69BD">
            <w:pPr>
              <w:pStyle w:val="ECCTabletext"/>
              <w:jc w:val="left"/>
            </w:pPr>
            <w:r w:rsidRPr="00E7470D">
              <w:t>1 GHz</w:t>
            </w:r>
          </w:p>
        </w:tc>
        <w:tc>
          <w:tcPr>
            <w:tcW w:w="1513" w:type="dxa"/>
          </w:tcPr>
          <w:p w14:paraId="107D82A0" w14:textId="1F0E9F8F" w:rsidR="00145455" w:rsidRPr="00145455" w:rsidRDefault="00ED344D" w:rsidP="000A69BD">
            <w:pPr>
              <w:pStyle w:val="ECCTabletext"/>
              <w:jc w:val="left"/>
            </w:pPr>
            <w:r>
              <w:t>100</w:t>
            </w:r>
            <w:r w:rsidR="00F800A2">
              <w:t>%</w:t>
            </w:r>
          </w:p>
        </w:tc>
        <w:tc>
          <w:tcPr>
            <w:tcW w:w="1767" w:type="dxa"/>
          </w:tcPr>
          <w:p w14:paraId="3A08EBF3" w14:textId="77777777" w:rsidR="00145455" w:rsidRPr="00145455" w:rsidRDefault="00ED344D" w:rsidP="000A69BD">
            <w:pPr>
              <w:pStyle w:val="ECCTabletext"/>
              <w:jc w:val="left"/>
            </w:pPr>
            <w:r>
              <w:t>12</w:t>
            </w:r>
            <w:r w:rsidR="00145455" w:rsidRPr="00E7470D">
              <w:t> dBm/MHz</w:t>
            </w:r>
          </w:p>
        </w:tc>
        <w:tc>
          <w:tcPr>
            <w:tcW w:w="1437" w:type="dxa"/>
          </w:tcPr>
          <w:p w14:paraId="0350891F" w14:textId="77777777" w:rsidR="00145455" w:rsidRPr="00145455" w:rsidRDefault="00ED344D" w:rsidP="000A69BD">
            <w:pPr>
              <w:pStyle w:val="ECCTabletext"/>
              <w:jc w:val="left"/>
            </w:pPr>
            <w:r>
              <w:t>42</w:t>
            </w:r>
            <w:r w:rsidR="00145455" w:rsidRPr="00145455">
              <w:t> dBm</w:t>
            </w:r>
          </w:p>
        </w:tc>
        <w:tc>
          <w:tcPr>
            <w:tcW w:w="1437" w:type="dxa"/>
          </w:tcPr>
          <w:p w14:paraId="43A91472" w14:textId="77777777" w:rsidR="00145455" w:rsidRPr="00CE5E68" w:rsidRDefault="00145455" w:rsidP="000A69BD">
            <w:pPr>
              <w:pStyle w:val="ECCTabletext"/>
              <w:jc w:val="left"/>
            </w:pPr>
            <w:r>
              <w:t>20 dB</w:t>
            </w:r>
          </w:p>
        </w:tc>
      </w:tr>
      <w:tr w:rsidR="00200700" w:rsidRPr="00C53FB5" w14:paraId="10F91773" w14:textId="77777777" w:rsidTr="00200700">
        <w:tc>
          <w:tcPr>
            <w:tcW w:w="9561" w:type="dxa"/>
            <w:gridSpan w:val="6"/>
          </w:tcPr>
          <w:p w14:paraId="47793BD4" w14:textId="77777777" w:rsidR="00200700" w:rsidRDefault="00200700" w:rsidP="00464AE0">
            <w:pPr>
              <w:pStyle w:val="ECCTablenote"/>
            </w:pPr>
            <w:r>
              <w:t>Note 1</w:t>
            </w:r>
            <w:r w:rsidRPr="00200700">
              <w:t>: Assumed out-of-band attenuation of the TLPR-signal in adjacent bands allocated to EESS.</w:t>
            </w:r>
          </w:p>
        </w:tc>
      </w:tr>
    </w:tbl>
    <w:p w14:paraId="3F054BAD" w14:textId="77777777" w:rsidR="007D1C82" w:rsidRDefault="007D1C82" w:rsidP="007D1C82">
      <w:pPr>
        <w:pStyle w:val="Heading3"/>
      </w:pPr>
      <w:bookmarkStart w:id="766" w:name="_Ref67391038"/>
      <w:bookmarkStart w:id="767" w:name="_Toc84325422"/>
      <w:bookmarkStart w:id="768" w:name="_Toc127346344"/>
      <w:r>
        <w:t>Results</w:t>
      </w:r>
      <w:bookmarkEnd w:id="766"/>
      <w:bookmarkEnd w:id="767"/>
      <w:bookmarkEnd w:id="768"/>
    </w:p>
    <w:p w14:paraId="49350ED4" w14:textId="096910EE" w:rsidR="007D1C82" w:rsidRPr="007D1C82" w:rsidRDefault="00657C13" w:rsidP="007D1C82">
      <w:r>
        <w:fldChar w:fldCharType="begin"/>
      </w:r>
      <w:r>
        <w:instrText xml:space="preserve"> REF _Ref67242172 \h </w:instrText>
      </w:r>
      <w:r>
        <w:fldChar w:fldCharType="separate"/>
      </w:r>
      <w:r w:rsidR="0041125F" w:rsidRPr="00477961">
        <w:t>Table </w:t>
      </w:r>
      <w:r w:rsidR="0041125F">
        <w:rPr>
          <w:noProof/>
        </w:rPr>
        <w:t>104</w:t>
      </w:r>
      <w:r>
        <w:fldChar w:fldCharType="end"/>
      </w:r>
      <w:r>
        <w:t xml:space="preserve"> </w:t>
      </w:r>
      <w:r w:rsidR="007D1C82" w:rsidRPr="007D1C82">
        <w:t xml:space="preserve">shows the single-entry and </w:t>
      </w:r>
      <w:r>
        <w:fldChar w:fldCharType="begin"/>
      </w:r>
      <w:r>
        <w:instrText xml:space="preserve"> REF _Ref67242179 \h </w:instrText>
      </w:r>
      <w:r>
        <w:fldChar w:fldCharType="separate"/>
      </w:r>
      <w:r w:rsidR="0041125F" w:rsidRPr="00477961">
        <w:t>Table </w:t>
      </w:r>
      <w:r w:rsidR="0041125F">
        <w:rPr>
          <w:noProof/>
        </w:rPr>
        <w:t>105</w:t>
      </w:r>
      <w:r>
        <w:fldChar w:fldCharType="end"/>
      </w:r>
      <w:r>
        <w:t xml:space="preserve"> </w:t>
      </w:r>
      <w:r w:rsidR="007D1C82" w:rsidRPr="007D1C82">
        <w:t xml:space="preserve">the aggregate </w:t>
      </w:r>
      <w:r w:rsidR="00791D2C">
        <w:t>worst</w:t>
      </w:r>
      <w:r w:rsidR="007D1C82" w:rsidRPr="007D1C82">
        <w:t>-case results for TLPR, e.g. the residual margins for the individual frequency ranges, and EESS victim sensors. A positive margin indicates that the interference criterion is fulfilled and a negative margin that the criterion is violated.</w:t>
      </w:r>
    </w:p>
    <w:p w14:paraId="1386B2D6" w14:textId="1C0A0104" w:rsidR="007D1C82" w:rsidRDefault="00657C13" w:rsidP="007D1C82">
      <w:pPr>
        <w:pStyle w:val="Caption"/>
      </w:pPr>
      <w:bookmarkStart w:id="769" w:name="_Ref67242172"/>
      <w:r w:rsidRPr="00477961">
        <w:t>Table </w:t>
      </w:r>
      <w:r>
        <w:fldChar w:fldCharType="begin"/>
      </w:r>
      <w:r>
        <w:instrText>SEQ Table \* ARABIC</w:instrText>
      </w:r>
      <w:r>
        <w:fldChar w:fldCharType="separate"/>
      </w:r>
      <w:r w:rsidR="004F49F9">
        <w:rPr>
          <w:noProof/>
        </w:rPr>
        <w:t>104</w:t>
      </w:r>
      <w:r>
        <w:fldChar w:fldCharType="end"/>
      </w:r>
      <w:bookmarkEnd w:id="769"/>
      <w:r>
        <w:t xml:space="preserve">: </w:t>
      </w:r>
      <w:r w:rsidR="007D1C82" w:rsidRPr="006231F5">
        <w:t xml:space="preserve">Margins to the </w:t>
      </w:r>
      <w:r w:rsidR="007D1C82">
        <w:t xml:space="preserve">EESS </w:t>
      </w:r>
      <w:r w:rsidR="007D1C82" w:rsidRPr="006231F5">
        <w:t xml:space="preserve">interference criterion determined in a single-entry study </w:t>
      </w:r>
      <w:r w:rsidR="007D1C82" w:rsidRPr="00585A38">
        <w:t>for TLPR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7D1C82" w14:paraId="05835D77"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31876AB9" w14:textId="77777777" w:rsidR="007D1C82" w:rsidRPr="007D1C82" w:rsidRDefault="007D1C82" w:rsidP="00876039">
            <w:pPr>
              <w:pStyle w:val="ECCTableHeaderwhitefont"/>
            </w:pPr>
            <w:r w:rsidRPr="007D1C82">
              <w:t>Investigated Frequency range</w:t>
            </w:r>
          </w:p>
        </w:tc>
        <w:tc>
          <w:tcPr>
            <w:tcW w:w="2171" w:type="dxa"/>
          </w:tcPr>
          <w:p w14:paraId="331610C7" w14:textId="77777777" w:rsidR="007D1C82" w:rsidRPr="007D1C82" w:rsidRDefault="007D1C82" w:rsidP="000A69BD">
            <w:pPr>
              <w:pStyle w:val="ECCTableHeaderwhitefont"/>
            </w:pPr>
            <w:r w:rsidRPr="007D1C82">
              <w:t>Allocated band for EESS</w:t>
            </w:r>
          </w:p>
        </w:tc>
        <w:tc>
          <w:tcPr>
            <w:tcW w:w="1418" w:type="dxa"/>
          </w:tcPr>
          <w:p w14:paraId="708E6666" w14:textId="77777777" w:rsidR="007D1C82" w:rsidRPr="007D1C82" w:rsidRDefault="007D1C82" w:rsidP="000A69BD">
            <w:pPr>
              <w:pStyle w:val="ECCTableHeaderwhitefont"/>
            </w:pPr>
            <w:r w:rsidRPr="007D1C82">
              <w:t>Evaluated frequency</w:t>
            </w:r>
          </w:p>
        </w:tc>
        <w:tc>
          <w:tcPr>
            <w:tcW w:w="2693" w:type="dxa"/>
          </w:tcPr>
          <w:p w14:paraId="21FB5B88" w14:textId="77777777" w:rsidR="007D1C82" w:rsidRPr="007D1C82" w:rsidRDefault="007D1C82" w:rsidP="000A69BD">
            <w:pPr>
              <w:pStyle w:val="ECCTableHeaderwhitefont"/>
            </w:pPr>
            <w:r w:rsidRPr="007D1C82">
              <w:t>EESS victim sensor</w:t>
            </w:r>
          </w:p>
        </w:tc>
        <w:tc>
          <w:tcPr>
            <w:tcW w:w="1554" w:type="dxa"/>
          </w:tcPr>
          <w:p w14:paraId="42F32947" w14:textId="77777777" w:rsidR="007D1C82" w:rsidRPr="007D1C82" w:rsidRDefault="007D1C82" w:rsidP="000A69BD">
            <w:pPr>
              <w:pStyle w:val="ECCTableHeaderwhitefont"/>
            </w:pPr>
            <w:r w:rsidRPr="007D1C82">
              <w:t>Margin to interference criterion</w:t>
            </w:r>
          </w:p>
        </w:tc>
      </w:tr>
      <w:tr w:rsidR="007D1C82" w14:paraId="1F5D7F69" w14:textId="77777777" w:rsidTr="004E0271">
        <w:tc>
          <w:tcPr>
            <w:tcW w:w="1793" w:type="dxa"/>
            <w:vMerge w:val="restart"/>
          </w:tcPr>
          <w:p w14:paraId="1BA55B73" w14:textId="77777777" w:rsidR="007D1C82" w:rsidRPr="007D1C82" w:rsidRDefault="007D1C82" w:rsidP="000A69BD">
            <w:pPr>
              <w:pStyle w:val="ECCTabletext"/>
              <w:jc w:val="left"/>
            </w:pPr>
            <w:r w:rsidRPr="00C53FB5">
              <w:t>116 to 1</w:t>
            </w:r>
            <w:r w:rsidRPr="007D1C82">
              <w:t>48</w:t>
            </w:r>
            <w:r w:rsidR="00CF4994">
              <w:t>.5</w:t>
            </w:r>
            <w:r w:rsidRPr="007D1C82">
              <w:t> GHz</w:t>
            </w:r>
          </w:p>
        </w:tc>
        <w:tc>
          <w:tcPr>
            <w:tcW w:w="2171" w:type="dxa"/>
          </w:tcPr>
          <w:p w14:paraId="31B20D9D" w14:textId="77777777" w:rsidR="007D1C82" w:rsidRPr="007D1C82" w:rsidRDefault="007D1C82" w:rsidP="000A69BD">
            <w:pPr>
              <w:pStyle w:val="ECCTabletext"/>
              <w:jc w:val="left"/>
            </w:pPr>
            <w:r>
              <w:t>114</w:t>
            </w:r>
            <w:r w:rsidR="00CF4994">
              <w:t>.2</w:t>
            </w:r>
            <w:r>
              <w:t>5 to 122</w:t>
            </w:r>
            <w:r w:rsidR="00CF4994">
              <w:t>.2</w:t>
            </w:r>
            <w:r>
              <w:t>5 GHz</w:t>
            </w:r>
            <w:r w:rsidR="00145455">
              <w:t xml:space="preserve"> (In-band)</w:t>
            </w:r>
          </w:p>
        </w:tc>
        <w:tc>
          <w:tcPr>
            <w:tcW w:w="1418" w:type="dxa"/>
          </w:tcPr>
          <w:p w14:paraId="16C11AC7" w14:textId="77777777" w:rsidR="007D1C82" w:rsidRPr="007D1C82" w:rsidRDefault="007D1C82" w:rsidP="000A69BD">
            <w:pPr>
              <w:pStyle w:val="ECCTabletext"/>
              <w:jc w:val="left"/>
            </w:pPr>
            <w:r>
              <w:t>119</w:t>
            </w:r>
            <w:r w:rsidR="00CF4994">
              <w:t>.1</w:t>
            </w:r>
            <w:r>
              <w:t>25 GHz</w:t>
            </w:r>
          </w:p>
        </w:tc>
        <w:tc>
          <w:tcPr>
            <w:tcW w:w="2693" w:type="dxa"/>
          </w:tcPr>
          <w:p w14:paraId="092CF680" w14:textId="77777777" w:rsidR="007D1C82" w:rsidRPr="007D1C82" w:rsidRDefault="007D1C82" w:rsidP="000A69BD">
            <w:pPr>
              <w:pStyle w:val="ECCTabletext"/>
              <w:jc w:val="left"/>
            </w:pPr>
            <w:r>
              <w:t>MWI conical scanner</w:t>
            </w:r>
          </w:p>
        </w:tc>
        <w:tc>
          <w:tcPr>
            <w:tcW w:w="1554" w:type="dxa"/>
          </w:tcPr>
          <w:p w14:paraId="1CF93470" w14:textId="77777777" w:rsidR="007D1C82" w:rsidRPr="007D1C82" w:rsidRDefault="00FE6C07" w:rsidP="000A69BD">
            <w:pPr>
              <w:pStyle w:val="ECCTabletext"/>
              <w:jc w:val="left"/>
              <w:rPr>
                <w:highlight w:val="yellow"/>
              </w:rPr>
            </w:pPr>
            <w:r>
              <w:t>12</w:t>
            </w:r>
            <w:r w:rsidR="00CF4994">
              <w:t>.1</w:t>
            </w:r>
            <w:r w:rsidR="007D1C82" w:rsidRPr="007D1C82">
              <w:t> dB</w:t>
            </w:r>
          </w:p>
        </w:tc>
      </w:tr>
      <w:tr w:rsidR="007D1C82" w14:paraId="04B29A66" w14:textId="77777777" w:rsidTr="004E0271">
        <w:tc>
          <w:tcPr>
            <w:tcW w:w="1793" w:type="dxa"/>
            <w:vMerge/>
          </w:tcPr>
          <w:p w14:paraId="60EDA700" w14:textId="77777777" w:rsidR="007D1C82" w:rsidRPr="00C53FB5" w:rsidRDefault="007D1C82" w:rsidP="007D1C82">
            <w:pPr>
              <w:pStyle w:val="ECCTabletext"/>
            </w:pPr>
          </w:p>
        </w:tc>
        <w:tc>
          <w:tcPr>
            <w:tcW w:w="2171" w:type="dxa"/>
          </w:tcPr>
          <w:p w14:paraId="182C8C42" w14:textId="77777777" w:rsidR="007D1C82" w:rsidRPr="007D1C82" w:rsidRDefault="007D1C82" w:rsidP="000A69BD">
            <w:pPr>
              <w:pStyle w:val="ECCTabletext"/>
              <w:jc w:val="left"/>
            </w:pPr>
            <w:r>
              <w:t>148</w:t>
            </w:r>
            <w:r w:rsidR="00CF4994">
              <w:t>.5</w:t>
            </w:r>
            <w:r>
              <w:t xml:space="preserve"> to 151</w:t>
            </w:r>
            <w:r w:rsidR="00CF4994">
              <w:t>.5</w:t>
            </w:r>
            <w:r>
              <w:t> GHz</w:t>
            </w:r>
            <w:r w:rsidR="00145455">
              <w:t xml:space="preserve"> (OOB)</w:t>
            </w:r>
          </w:p>
        </w:tc>
        <w:tc>
          <w:tcPr>
            <w:tcW w:w="1418" w:type="dxa"/>
          </w:tcPr>
          <w:p w14:paraId="000D90FA" w14:textId="77777777" w:rsidR="007D1C82" w:rsidRPr="007D1C82" w:rsidRDefault="007D1C82" w:rsidP="000A69BD">
            <w:pPr>
              <w:pStyle w:val="ECCTabletext"/>
              <w:jc w:val="left"/>
            </w:pPr>
            <w:r>
              <w:t>150 GHz</w:t>
            </w:r>
          </w:p>
        </w:tc>
        <w:tc>
          <w:tcPr>
            <w:tcW w:w="2693" w:type="dxa"/>
          </w:tcPr>
          <w:p w14:paraId="237F87DC" w14:textId="77777777" w:rsidR="007D1C82" w:rsidRPr="007D1C82" w:rsidRDefault="007D1C82" w:rsidP="000A69BD">
            <w:pPr>
              <w:pStyle w:val="ECCTabletext"/>
              <w:jc w:val="left"/>
            </w:pPr>
            <w:r>
              <w:t>Sensor N1 nadir scanner (at nadir)</w:t>
            </w:r>
          </w:p>
        </w:tc>
        <w:tc>
          <w:tcPr>
            <w:tcW w:w="1554" w:type="dxa"/>
          </w:tcPr>
          <w:p w14:paraId="6E8BCFDF" w14:textId="77777777" w:rsidR="007D1C82" w:rsidRPr="007D1C82" w:rsidRDefault="00FE6C07" w:rsidP="000A69BD">
            <w:pPr>
              <w:pStyle w:val="ECCTabletext"/>
              <w:jc w:val="left"/>
              <w:rPr>
                <w:highlight w:val="yellow"/>
              </w:rPr>
            </w:pPr>
            <w:r>
              <w:t>54</w:t>
            </w:r>
            <w:r w:rsidR="00CF4994">
              <w:t>.8</w:t>
            </w:r>
            <w:r w:rsidR="007D1C82" w:rsidRPr="007D1C82">
              <w:t> dB</w:t>
            </w:r>
          </w:p>
        </w:tc>
      </w:tr>
      <w:tr w:rsidR="007D1C82" w14:paraId="4341E3BD" w14:textId="77777777" w:rsidTr="004E0271">
        <w:tc>
          <w:tcPr>
            <w:tcW w:w="1793" w:type="dxa"/>
            <w:vMerge w:val="restart"/>
          </w:tcPr>
          <w:p w14:paraId="52D9DC3F" w14:textId="77777777" w:rsidR="007D1C82" w:rsidRPr="007D1C82" w:rsidRDefault="007D1C82" w:rsidP="000A69BD">
            <w:pPr>
              <w:pStyle w:val="ECCTabletext"/>
              <w:jc w:val="left"/>
            </w:pPr>
            <w:r>
              <w:t>167 to 182 GHz</w:t>
            </w:r>
          </w:p>
        </w:tc>
        <w:tc>
          <w:tcPr>
            <w:tcW w:w="2171" w:type="dxa"/>
          </w:tcPr>
          <w:p w14:paraId="0AE348A3" w14:textId="77777777" w:rsidR="007D1C82" w:rsidRPr="007D1C82" w:rsidRDefault="007D1C82" w:rsidP="000A69BD">
            <w:pPr>
              <w:pStyle w:val="ECCTabletext"/>
              <w:jc w:val="left"/>
            </w:pPr>
            <w:r>
              <w:t xml:space="preserve">164 to </w:t>
            </w:r>
            <w:r w:rsidRPr="007D1C82">
              <w:t>167 GHz</w:t>
            </w:r>
            <w:r w:rsidR="00145455">
              <w:t xml:space="preserve"> (OOB)</w:t>
            </w:r>
          </w:p>
        </w:tc>
        <w:tc>
          <w:tcPr>
            <w:tcW w:w="1418" w:type="dxa"/>
          </w:tcPr>
          <w:p w14:paraId="4C665055" w14:textId="77777777" w:rsidR="007D1C82" w:rsidRPr="007D1C82" w:rsidRDefault="007D1C82" w:rsidP="000A69BD">
            <w:pPr>
              <w:pStyle w:val="ECCTabletext"/>
              <w:jc w:val="left"/>
            </w:pPr>
            <w:r>
              <w:t>165</w:t>
            </w:r>
            <w:r w:rsidR="00CF4994">
              <w:t>.5</w:t>
            </w:r>
            <w:r>
              <w:t> GHz</w:t>
            </w:r>
          </w:p>
        </w:tc>
        <w:tc>
          <w:tcPr>
            <w:tcW w:w="2693" w:type="dxa"/>
          </w:tcPr>
          <w:p w14:paraId="0C24B2C9" w14:textId="77777777" w:rsidR="007D1C82" w:rsidRPr="007D1C82" w:rsidRDefault="007D1C82" w:rsidP="000A69BD">
            <w:pPr>
              <w:pStyle w:val="ECCTabletext"/>
              <w:jc w:val="left"/>
            </w:pPr>
            <w:r>
              <w:t>Sensor P1 conical scanner</w:t>
            </w:r>
          </w:p>
        </w:tc>
        <w:tc>
          <w:tcPr>
            <w:tcW w:w="1554" w:type="dxa"/>
          </w:tcPr>
          <w:p w14:paraId="76EB7DB1" w14:textId="77777777" w:rsidR="007D1C82" w:rsidRPr="007D1C82" w:rsidRDefault="00FE6C07" w:rsidP="000A69BD">
            <w:pPr>
              <w:pStyle w:val="ECCTabletext"/>
              <w:jc w:val="left"/>
              <w:rPr>
                <w:highlight w:val="yellow"/>
              </w:rPr>
            </w:pPr>
            <w:r>
              <w:t>57</w:t>
            </w:r>
            <w:r w:rsidR="00CF4994">
              <w:t>.2</w:t>
            </w:r>
            <w:r w:rsidR="007D1C82" w:rsidRPr="007D1C82">
              <w:t> dB</w:t>
            </w:r>
          </w:p>
        </w:tc>
      </w:tr>
      <w:tr w:rsidR="007D1C82" w14:paraId="1EF3E969" w14:textId="77777777" w:rsidTr="004E0271">
        <w:tc>
          <w:tcPr>
            <w:tcW w:w="1793" w:type="dxa"/>
            <w:vMerge/>
          </w:tcPr>
          <w:p w14:paraId="51CAADFD" w14:textId="77777777" w:rsidR="007D1C82" w:rsidRDefault="007D1C82" w:rsidP="007D1C82">
            <w:pPr>
              <w:pStyle w:val="ECCTabletext"/>
            </w:pPr>
          </w:p>
        </w:tc>
        <w:tc>
          <w:tcPr>
            <w:tcW w:w="2171" w:type="dxa"/>
          </w:tcPr>
          <w:p w14:paraId="6781A510" w14:textId="77777777" w:rsidR="007D1C82" w:rsidRPr="007D1C82" w:rsidRDefault="007D1C82" w:rsidP="000A69BD">
            <w:pPr>
              <w:pStyle w:val="ECCTabletext"/>
              <w:jc w:val="left"/>
            </w:pPr>
            <w:r>
              <w:t>174</w:t>
            </w:r>
            <w:r w:rsidR="00CF4994">
              <w:t>.8</w:t>
            </w:r>
            <w:r>
              <w:t> to 191</w:t>
            </w:r>
            <w:r w:rsidR="00CF4994">
              <w:t>.8</w:t>
            </w:r>
            <w:r>
              <w:t> GHz</w:t>
            </w:r>
            <w:r w:rsidR="00145455">
              <w:t xml:space="preserve"> (In-band)</w:t>
            </w:r>
          </w:p>
        </w:tc>
        <w:tc>
          <w:tcPr>
            <w:tcW w:w="1418" w:type="dxa"/>
          </w:tcPr>
          <w:p w14:paraId="73A65510" w14:textId="77777777" w:rsidR="007D1C82" w:rsidRPr="007D1C82" w:rsidRDefault="007D1C82" w:rsidP="000A69BD">
            <w:pPr>
              <w:pStyle w:val="ECCTabletext"/>
              <w:jc w:val="left"/>
            </w:pPr>
            <w:r>
              <w:t>178</w:t>
            </w:r>
            <w:r w:rsidR="00CF4994">
              <w:t>.4</w:t>
            </w:r>
            <w:r>
              <w:t> GHz</w:t>
            </w:r>
          </w:p>
        </w:tc>
        <w:tc>
          <w:tcPr>
            <w:tcW w:w="2693" w:type="dxa"/>
          </w:tcPr>
          <w:p w14:paraId="4F1A497D" w14:textId="77777777" w:rsidR="007D1C82" w:rsidRPr="007D1C82" w:rsidRDefault="007D1C82" w:rsidP="000A69BD">
            <w:pPr>
              <w:pStyle w:val="ECCTabletext"/>
              <w:jc w:val="left"/>
            </w:pPr>
            <w:r>
              <w:t>AWS nadir scanner (at nadir)</w:t>
            </w:r>
          </w:p>
        </w:tc>
        <w:tc>
          <w:tcPr>
            <w:tcW w:w="1554" w:type="dxa"/>
          </w:tcPr>
          <w:p w14:paraId="3E8211DC" w14:textId="77777777" w:rsidR="007D1C82" w:rsidRPr="007D1C82" w:rsidRDefault="00FE6C07" w:rsidP="000A69BD">
            <w:pPr>
              <w:pStyle w:val="ECCTabletext"/>
              <w:jc w:val="left"/>
              <w:rPr>
                <w:highlight w:val="yellow"/>
              </w:rPr>
            </w:pPr>
            <w:r>
              <w:t>38</w:t>
            </w:r>
            <w:r w:rsidR="00CF4994">
              <w:t>.8</w:t>
            </w:r>
            <w:r w:rsidR="007D1C82" w:rsidRPr="007D1C82">
              <w:t> dB</w:t>
            </w:r>
          </w:p>
        </w:tc>
      </w:tr>
      <w:tr w:rsidR="007D1C82" w14:paraId="29DA8446" w14:textId="77777777" w:rsidTr="004E0271">
        <w:tc>
          <w:tcPr>
            <w:tcW w:w="1793" w:type="dxa"/>
            <w:vMerge w:val="restart"/>
          </w:tcPr>
          <w:p w14:paraId="0E4E155F" w14:textId="77777777" w:rsidR="007D1C82" w:rsidRPr="007D1C82" w:rsidRDefault="007D1C82" w:rsidP="000A69BD">
            <w:pPr>
              <w:pStyle w:val="ECCTabletext"/>
              <w:jc w:val="left"/>
            </w:pPr>
            <w:r>
              <w:t>231</w:t>
            </w:r>
            <w:r w:rsidR="00CF4994">
              <w:t>.5</w:t>
            </w:r>
            <w:r>
              <w:t xml:space="preserve"> to 250 GHz</w:t>
            </w:r>
          </w:p>
        </w:tc>
        <w:tc>
          <w:tcPr>
            <w:tcW w:w="2171" w:type="dxa"/>
          </w:tcPr>
          <w:p w14:paraId="6496A823" w14:textId="77777777" w:rsidR="007D1C82" w:rsidRPr="007D1C82" w:rsidRDefault="007D1C82" w:rsidP="000A69BD">
            <w:pPr>
              <w:pStyle w:val="ECCTabletext"/>
              <w:jc w:val="left"/>
            </w:pPr>
            <w:r>
              <w:t>226 to 231</w:t>
            </w:r>
            <w:r w:rsidR="00CF4994">
              <w:t>.5</w:t>
            </w:r>
            <w:r>
              <w:t> GHz</w:t>
            </w:r>
            <w:r w:rsidR="00145455">
              <w:t xml:space="preserve"> (OOB)</w:t>
            </w:r>
          </w:p>
        </w:tc>
        <w:tc>
          <w:tcPr>
            <w:tcW w:w="1418" w:type="dxa"/>
          </w:tcPr>
          <w:p w14:paraId="02BD43A0" w14:textId="77777777" w:rsidR="007D1C82" w:rsidRPr="007D1C82" w:rsidRDefault="007D1C82" w:rsidP="000A69BD">
            <w:pPr>
              <w:pStyle w:val="ECCTabletext"/>
              <w:jc w:val="left"/>
            </w:pPr>
            <w:r>
              <w:t>228</w:t>
            </w:r>
            <w:r w:rsidR="00CF4994">
              <w:t>.7</w:t>
            </w:r>
            <w:r>
              <w:t>5 GHz</w:t>
            </w:r>
          </w:p>
        </w:tc>
        <w:tc>
          <w:tcPr>
            <w:tcW w:w="2693" w:type="dxa"/>
          </w:tcPr>
          <w:p w14:paraId="31D7FCBC" w14:textId="77777777" w:rsidR="007D1C82" w:rsidRPr="007D1C82" w:rsidRDefault="007D1C82" w:rsidP="000A69BD">
            <w:pPr>
              <w:pStyle w:val="ECCTabletext"/>
              <w:jc w:val="left"/>
            </w:pPr>
            <w:r>
              <w:t>AWS nadir scanner (at nadir)</w:t>
            </w:r>
          </w:p>
        </w:tc>
        <w:tc>
          <w:tcPr>
            <w:tcW w:w="1554" w:type="dxa"/>
          </w:tcPr>
          <w:p w14:paraId="46078733" w14:textId="77777777" w:rsidR="007D1C82" w:rsidRPr="007D1C82" w:rsidRDefault="00FE6C07" w:rsidP="000A69BD">
            <w:pPr>
              <w:pStyle w:val="ECCTabletext"/>
              <w:jc w:val="left"/>
              <w:rPr>
                <w:highlight w:val="yellow"/>
              </w:rPr>
            </w:pPr>
            <w:r>
              <w:t>64</w:t>
            </w:r>
            <w:r w:rsidR="00CF4994">
              <w:t>.3</w:t>
            </w:r>
            <w:r w:rsidR="007D1C82" w:rsidRPr="007D1C82">
              <w:t> dB</w:t>
            </w:r>
          </w:p>
        </w:tc>
      </w:tr>
      <w:tr w:rsidR="007D1C82" w14:paraId="6619C7EC" w14:textId="77777777" w:rsidTr="004E0271">
        <w:tc>
          <w:tcPr>
            <w:tcW w:w="1793" w:type="dxa"/>
            <w:vMerge/>
          </w:tcPr>
          <w:p w14:paraId="3F11359D" w14:textId="77777777" w:rsidR="007D1C82" w:rsidRDefault="007D1C82" w:rsidP="007D1C82">
            <w:pPr>
              <w:pStyle w:val="ECCTabletext"/>
            </w:pPr>
          </w:p>
        </w:tc>
        <w:tc>
          <w:tcPr>
            <w:tcW w:w="2171" w:type="dxa"/>
          </w:tcPr>
          <w:p w14:paraId="1242AD1E" w14:textId="77777777" w:rsidR="007D1C82" w:rsidRPr="007D1C82" w:rsidRDefault="007D1C82" w:rsidP="000A69BD">
            <w:pPr>
              <w:pStyle w:val="ECCTabletext"/>
              <w:jc w:val="left"/>
            </w:pPr>
            <w:r>
              <w:t>239 to 248 GHz</w:t>
            </w:r>
            <w:r w:rsidR="00145455">
              <w:t xml:space="preserve"> (In-band)</w:t>
            </w:r>
          </w:p>
        </w:tc>
        <w:tc>
          <w:tcPr>
            <w:tcW w:w="1418" w:type="dxa"/>
          </w:tcPr>
          <w:p w14:paraId="22F80CA6" w14:textId="77777777" w:rsidR="007D1C82" w:rsidRPr="007D1C82" w:rsidRDefault="007D1C82" w:rsidP="000A69BD">
            <w:pPr>
              <w:pStyle w:val="ECCTabletext"/>
              <w:jc w:val="left"/>
            </w:pPr>
            <w:r>
              <w:t>243</w:t>
            </w:r>
            <w:r w:rsidR="00CF4994">
              <w:t>.5</w:t>
            </w:r>
            <w:r>
              <w:t> GHz</w:t>
            </w:r>
          </w:p>
        </w:tc>
        <w:tc>
          <w:tcPr>
            <w:tcW w:w="2693" w:type="dxa"/>
          </w:tcPr>
          <w:p w14:paraId="210A115A" w14:textId="77777777" w:rsidR="007D1C82" w:rsidRPr="007D1C82" w:rsidRDefault="007D1C82" w:rsidP="000A69BD">
            <w:pPr>
              <w:pStyle w:val="ECCTabletext"/>
              <w:jc w:val="left"/>
            </w:pPr>
            <w:r>
              <w:t xml:space="preserve">AWS nadir </w:t>
            </w:r>
            <w:r w:rsidRPr="007D1C82">
              <w:t>scanner (at nadir)</w:t>
            </w:r>
          </w:p>
        </w:tc>
        <w:tc>
          <w:tcPr>
            <w:tcW w:w="1554" w:type="dxa"/>
          </w:tcPr>
          <w:p w14:paraId="1A486365" w14:textId="77777777" w:rsidR="007D1C82" w:rsidRPr="007D1C82" w:rsidRDefault="00FE6C07" w:rsidP="000A69BD">
            <w:pPr>
              <w:pStyle w:val="ECCTabletext"/>
              <w:jc w:val="left"/>
              <w:rPr>
                <w:highlight w:val="yellow"/>
              </w:rPr>
            </w:pPr>
            <w:r>
              <w:t>46</w:t>
            </w:r>
            <w:r w:rsidR="00CF4994">
              <w:t>.3</w:t>
            </w:r>
            <w:r w:rsidR="007D1C82" w:rsidRPr="007D1C82">
              <w:t> dB</w:t>
            </w:r>
          </w:p>
        </w:tc>
      </w:tr>
    </w:tbl>
    <w:p w14:paraId="06178559" w14:textId="47497CC3" w:rsidR="007D1C82" w:rsidRPr="007D1C82" w:rsidRDefault="00657C13" w:rsidP="007D1C82">
      <w:pPr>
        <w:pStyle w:val="Caption"/>
      </w:pPr>
      <w:bookmarkStart w:id="770" w:name="_Ref67242179"/>
      <w:r w:rsidRPr="00477961">
        <w:t>Table </w:t>
      </w:r>
      <w:r>
        <w:fldChar w:fldCharType="begin"/>
      </w:r>
      <w:r>
        <w:instrText>SEQ Table \* ARABIC</w:instrText>
      </w:r>
      <w:r>
        <w:fldChar w:fldCharType="separate"/>
      </w:r>
      <w:r w:rsidR="004F49F9">
        <w:rPr>
          <w:noProof/>
        </w:rPr>
        <w:t>105</w:t>
      </w:r>
      <w:r>
        <w:fldChar w:fldCharType="end"/>
      </w:r>
      <w:bookmarkEnd w:id="770"/>
      <w:r w:rsidR="007D1C82" w:rsidRPr="007D1C82">
        <w:t>: Margins to the EESS interference criterion determined in an aggregate study for TLPR</w:t>
      </w:r>
    </w:p>
    <w:tbl>
      <w:tblPr>
        <w:tblStyle w:val="ECCTable-redheader"/>
        <w:tblW w:w="0" w:type="auto"/>
        <w:tblInd w:w="0" w:type="dxa"/>
        <w:tblLook w:val="04A0" w:firstRow="1" w:lastRow="0" w:firstColumn="1" w:lastColumn="0" w:noHBand="0" w:noVBand="1"/>
      </w:tblPr>
      <w:tblGrid>
        <w:gridCol w:w="1763"/>
        <w:gridCol w:w="2201"/>
        <w:gridCol w:w="1418"/>
        <w:gridCol w:w="2693"/>
        <w:gridCol w:w="1554"/>
      </w:tblGrid>
      <w:tr w:rsidR="007D1C82" w14:paraId="2294FE51" w14:textId="77777777" w:rsidTr="004E0271">
        <w:trPr>
          <w:cnfStyle w:val="100000000000" w:firstRow="1" w:lastRow="0" w:firstColumn="0" w:lastColumn="0" w:oddVBand="0" w:evenVBand="0" w:oddHBand="0" w:evenHBand="0" w:firstRowFirstColumn="0" w:firstRowLastColumn="0" w:lastRowFirstColumn="0" w:lastRowLastColumn="0"/>
        </w:trPr>
        <w:tc>
          <w:tcPr>
            <w:tcW w:w="1763" w:type="dxa"/>
          </w:tcPr>
          <w:p w14:paraId="4F636E4A" w14:textId="77777777" w:rsidR="007D1C82" w:rsidRPr="007D1C82" w:rsidRDefault="007D1C82" w:rsidP="00876039">
            <w:pPr>
              <w:pStyle w:val="ECCTableHeaderwhitefont"/>
            </w:pPr>
            <w:r w:rsidRPr="007D1C82">
              <w:t>Investigated Frequency range</w:t>
            </w:r>
          </w:p>
        </w:tc>
        <w:tc>
          <w:tcPr>
            <w:tcW w:w="2201" w:type="dxa"/>
          </w:tcPr>
          <w:p w14:paraId="348AE73F" w14:textId="77777777" w:rsidR="007D1C82" w:rsidRPr="007D1C82" w:rsidRDefault="007D1C82" w:rsidP="000A69BD">
            <w:pPr>
              <w:pStyle w:val="ECCTableHeaderwhitefont"/>
            </w:pPr>
            <w:r w:rsidRPr="007D1C82">
              <w:t>Allocated band for EESS</w:t>
            </w:r>
          </w:p>
        </w:tc>
        <w:tc>
          <w:tcPr>
            <w:tcW w:w="1418" w:type="dxa"/>
          </w:tcPr>
          <w:p w14:paraId="4FD637F9" w14:textId="77777777" w:rsidR="007D1C82" w:rsidRPr="007D1C82" w:rsidRDefault="007D1C82" w:rsidP="000A69BD">
            <w:pPr>
              <w:pStyle w:val="ECCTableHeaderwhitefont"/>
            </w:pPr>
            <w:r w:rsidRPr="007D1C82">
              <w:t>Evaluated Frequency</w:t>
            </w:r>
          </w:p>
        </w:tc>
        <w:tc>
          <w:tcPr>
            <w:tcW w:w="2693" w:type="dxa"/>
          </w:tcPr>
          <w:p w14:paraId="682E2E5C" w14:textId="77777777" w:rsidR="007D1C82" w:rsidRPr="007D1C82" w:rsidRDefault="007D1C82" w:rsidP="000A69BD">
            <w:pPr>
              <w:pStyle w:val="ECCTableHeaderwhitefont"/>
            </w:pPr>
            <w:r w:rsidRPr="007D1C82">
              <w:t>EESS victim sensor</w:t>
            </w:r>
          </w:p>
        </w:tc>
        <w:tc>
          <w:tcPr>
            <w:tcW w:w="1554" w:type="dxa"/>
          </w:tcPr>
          <w:p w14:paraId="4EB576A2" w14:textId="77777777" w:rsidR="007D1C82" w:rsidRPr="007D1C82" w:rsidRDefault="007D1C82" w:rsidP="000A69BD">
            <w:pPr>
              <w:pStyle w:val="ECCTableHeaderwhitefont"/>
            </w:pPr>
            <w:r w:rsidRPr="007D1C82">
              <w:t>Margin to interference criterion</w:t>
            </w:r>
          </w:p>
        </w:tc>
      </w:tr>
      <w:tr w:rsidR="007D1C82" w14:paraId="11DCF6D6" w14:textId="77777777" w:rsidTr="004E0271">
        <w:tc>
          <w:tcPr>
            <w:tcW w:w="1763" w:type="dxa"/>
            <w:vMerge w:val="restart"/>
          </w:tcPr>
          <w:p w14:paraId="48ED3E9E" w14:textId="77777777" w:rsidR="007D1C82" w:rsidRPr="007D1C82" w:rsidRDefault="007D1C82" w:rsidP="000A69BD">
            <w:pPr>
              <w:pStyle w:val="ECCTabletext"/>
              <w:jc w:val="left"/>
            </w:pPr>
            <w:r w:rsidRPr="00C53FB5">
              <w:t>116 to 1</w:t>
            </w:r>
            <w:r w:rsidRPr="007D1C82">
              <w:t>48</w:t>
            </w:r>
            <w:r w:rsidR="00CF4994">
              <w:t>.5</w:t>
            </w:r>
            <w:r w:rsidRPr="007D1C82">
              <w:t> GHz</w:t>
            </w:r>
          </w:p>
        </w:tc>
        <w:tc>
          <w:tcPr>
            <w:tcW w:w="2201" w:type="dxa"/>
          </w:tcPr>
          <w:p w14:paraId="50882164" w14:textId="77777777" w:rsidR="007D1C82" w:rsidRPr="007D1C82" w:rsidRDefault="007D1C82" w:rsidP="000A69BD">
            <w:pPr>
              <w:pStyle w:val="ECCTabletext"/>
              <w:jc w:val="left"/>
            </w:pPr>
            <w:r>
              <w:t>114</w:t>
            </w:r>
            <w:r w:rsidR="00CF4994">
              <w:t>.2</w:t>
            </w:r>
            <w:r>
              <w:t>5 to 122</w:t>
            </w:r>
            <w:r w:rsidR="00CF4994">
              <w:t>.2</w:t>
            </w:r>
            <w:r>
              <w:t>5 GHz</w:t>
            </w:r>
            <w:r w:rsidR="00145455">
              <w:t xml:space="preserve"> (In-band)</w:t>
            </w:r>
          </w:p>
        </w:tc>
        <w:tc>
          <w:tcPr>
            <w:tcW w:w="1418" w:type="dxa"/>
          </w:tcPr>
          <w:p w14:paraId="1175EC0C" w14:textId="77777777" w:rsidR="007D1C82" w:rsidRPr="007D1C82" w:rsidRDefault="007D1C82" w:rsidP="000A69BD">
            <w:pPr>
              <w:pStyle w:val="ECCTabletext"/>
              <w:jc w:val="left"/>
            </w:pPr>
            <w:r>
              <w:t>119</w:t>
            </w:r>
            <w:r w:rsidR="00CF4994">
              <w:t>.1</w:t>
            </w:r>
            <w:r>
              <w:t>25 GHz</w:t>
            </w:r>
          </w:p>
        </w:tc>
        <w:tc>
          <w:tcPr>
            <w:tcW w:w="2693" w:type="dxa"/>
          </w:tcPr>
          <w:p w14:paraId="73ED3F5B" w14:textId="77777777" w:rsidR="007D1C82" w:rsidRPr="007D1C82" w:rsidRDefault="007D1C82" w:rsidP="000A69BD">
            <w:pPr>
              <w:pStyle w:val="ECCTabletext"/>
              <w:jc w:val="left"/>
            </w:pPr>
            <w:r>
              <w:t>MWI conical scanner</w:t>
            </w:r>
          </w:p>
        </w:tc>
        <w:tc>
          <w:tcPr>
            <w:tcW w:w="1554" w:type="dxa"/>
          </w:tcPr>
          <w:p w14:paraId="6FA46C55" w14:textId="77777777" w:rsidR="007D1C82" w:rsidRPr="007D1C82" w:rsidRDefault="00BF731D" w:rsidP="000A69BD">
            <w:pPr>
              <w:pStyle w:val="ECCTabletext"/>
              <w:jc w:val="left"/>
              <w:rPr>
                <w:highlight w:val="yellow"/>
              </w:rPr>
            </w:pPr>
            <w:r>
              <w:t>18</w:t>
            </w:r>
            <w:r w:rsidR="00CF4994">
              <w:t>.6</w:t>
            </w:r>
            <w:r w:rsidR="007D1C82" w:rsidRPr="007D1C82">
              <w:t> dB</w:t>
            </w:r>
          </w:p>
        </w:tc>
      </w:tr>
      <w:tr w:rsidR="007D1C82" w14:paraId="74A929A4" w14:textId="77777777" w:rsidTr="004E0271">
        <w:tc>
          <w:tcPr>
            <w:tcW w:w="1763" w:type="dxa"/>
            <w:vMerge/>
          </w:tcPr>
          <w:p w14:paraId="64F63041" w14:textId="77777777" w:rsidR="007D1C82" w:rsidRPr="00C53FB5" w:rsidRDefault="007D1C82" w:rsidP="007D1C82">
            <w:pPr>
              <w:pStyle w:val="ECCTabletext"/>
            </w:pPr>
          </w:p>
        </w:tc>
        <w:tc>
          <w:tcPr>
            <w:tcW w:w="2201" w:type="dxa"/>
          </w:tcPr>
          <w:p w14:paraId="53A61683" w14:textId="77777777" w:rsidR="007D1C82" w:rsidRPr="007D1C82" w:rsidRDefault="007D1C82" w:rsidP="000A69BD">
            <w:pPr>
              <w:pStyle w:val="ECCTabletext"/>
              <w:jc w:val="left"/>
            </w:pPr>
            <w:r>
              <w:t>148</w:t>
            </w:r>
            <w:r w:rsidR="00CF4994">
              <w:t>.5</w:t>
            </w:r>
            <w:r>
              <w:t xml:space="preserve"> to 151</w:t>
            </w:r>
            <w:r w:rsidR="00CF4994">
              <w:t>.5</w:t>
            </w:r>
            <w:r>
              <w:t> GHz</w:t>
            </w:r>
            <w:r w:rsidR="00145455">
              <w:t xml:space="preserve"> (OOB)</w:t>
            </w:r>
          </w:p>
        </w:tc>
        <w:tc>
          <w:tcPr>
            <w:tcW w:w="1418" w:type="dxa"/>
          </w:tcPr>
          <w:p w14:paraId="25BA84D2" w14:textId="77777777" w:rsidR="007D1C82" w:rsidRPr="007D1C82" w:rsidRDefault="007D1C82" w:rsidP="000A69BD">
            <w:pPr>
              <w:pStyle w:val="ECCTabletext"/>
              <w:jc w:val="left"/>
            </w:pPr>
            <w:r>
              <w:t>150 GHz</w:t>
            </w:r>
          </w:p>
        </w:tc>
        <w:tc>
          <w:tcPr>
            <w:tcW w:w="2693" w:type="dxa"/>
          </w:tcPr>
          <w:p w14:paraId="7F862EF9" w14:textId="77777777" w:rsidR="007D1C82" w:rsidRPr="007D1C82" w:rsidRDefault="007D1C82" w:rsidP="000A69BD">
            <w:pPr>
              <w:pStyle w:val="ECCTabletext"/>
              <w:jc w:val="left"/>
            </w:pPr>
            <w:r>
              <w:t xml:space="preserve">Sensor N1 nadir scanner (at </w:t>
            </w:r>
            <w:r w:rsidRPr="007D1C82">
              <w:t>outer)</w:t>
            </w:r>
          </w:p>
        </w:tc>
        <w:tc>
          <w:tcPr>
            <w:tcW w:w="1554" w:type="dxa"/>
          </w:tcPr>
          <w:p w14:paraId="59C4F99F" w14:textId="77777777" w:rsidR="007D1C82" w:rsidRPr="007D1C82" w:rsidRDefault="00BF731D" w:rsidP="000A69BD">
            <w:pPr>
              <w:pStyle w:val="ECCTabletext"/>
              <w:jc w:val="left"/>
              <w:rPr>
                <w:highlight w:val="yellow"/>
              </w:rPr>
            </w:pPr>
            <w:r>
              <w:t>57</w:t>
            </w:r>
            <w:r w:rsidR="00CF4994">
              <w:t>.8</w:t>
            </w:r>
            <w:r w:rsidR="007D1C82" w:rsidRPr="007D1C82">
              <w:t> dB</w:t>
            </w:r>
          </w:p>
        </w:tc>
      </w:tr>
      <w:tr w:rsidR="007D1C82" w14:paraId="601517CD" w14:textId="77777777" w:rsidTr="004E0271">
        <w:tc>
          <w:tcPr>
            <w:tcW w:w="1763" w:type="dxa"/>
            <w:vMerge w:val="restart"/>
          </w:tcPr>
          <w:p w14:paraId="18AF7377" w14:textId="77777777" w:rsidR="007D1C82" w:rsidRPr="007D1C82" w:rsidRDefault="007D1C82" w:rsidP="000A69BD">
            <w:pPr>
              <w:pStyle w:val="ECCTabletext"/>
              <w:jc w:val="left"/>
            </w:pPr>
            <w:r>
              <w:t>167 to 182 GHz</w:t>
            </w:r>
          </w:p>
        </w:tc>
        <w:tc>
          <w:tcPr>
            <w:tcW w:w="2201" w:type="dxa"/>
          </w:tcPr>
          <w:p w14:paraId="1DED4B83" w14:textId="77777777" w:rsidR="007D1C82" w:rsidRPr="007D1C82" w:rsidRDefault="007D1C82" w:rsidP="000A69BD">
            <w:pPr>
              <w:pStyle w:val="ECCTabletext"/>
              <w:jc w:val="left"/>
            </w:pPr>
            <w:r>
              <w:t>164 to 167 GHz</w:t>
            </w:r>
            <w:r w:rsidR="00145455">
              <w:t xml:space="preserve"> (OOB)</w:t>
            </w:r>
          </w:p>
        </w:tc>
        <w:tc>
          <w:tcPr>
            <w:tcW w:w="1418" w:type="dxa"/>
          </w:tcPr>
          <w:p w14:paraId="3376ABAB" w14:textId="77777777" w:rsidR="007D1C82" w:rsidRPr="007D1C82" w:rsidRDefault="007D1C82" w:rsidP="000A69BD">
            <w:pPr>
              <w:pStyle w:val="ECCTabletext"/>
              <w:jc w:val="left"/>
            </w:pPr>
            <w:r>
              <w:t>165</w:t>
            </w:r>
            <w:r w:rsidR="00CF4994">
              <w:t>.5</w:t>
            </w:r>
            <w:r>
              <w:t> GHz</w:t>
            </w:r>
          </w:p>
        </w:tc>
        <w:tc>
          <w:tcPr>
            <w:tcW w:w="2693" w:type="dxa"/>
          </w:tcPr>
          <w:p w14:paraId="6AA4991C" w14:textId="77777777" w:rsidR="007D1C82" w:rsidRPr="007D1C82" w:rsidRDefault="007D1C82" w:rsidP="000A69BD">
            <w:pPr>
              <w:pStyle w:val="ECCTabletext"/>
              <w:jc w:val="left"/>
            </w:pPr>
            <w:r>
              <w:t>Sensor P1 conical scanner</w:t>
            </w:r>
          </w:p>
        </w:tc>
        <w:tc>
          <w:tcPr>
            <w:tcW w:w="1554" w:type="dxa"/>
          </w:tcPr>
          <w:p w14:paraId="4792A6C8" w14:textId="77777777" w:rsidR="007D1C82" w:rsidRPr="007D1C82" w:rsidRDefault="00BF731D" w:rsidP="000A69BD">
            <w:pPr>
              <w:pStyle w:val="ECCTabletext"/>
              <w:jc w:val="left"/>
              <w:rPr>
                <w:highlight w:val="yellow"/>
              </w:rPr>
            </w:pPr>
            <w:r>
              <w:t>57</w:t>
            </w:r>
            <w:r w:rsidR="00CF4994">
              <w:t>.2</w:t>
            </w:r>
            <w:r w:rsidR="007D1C82" w:rsidRPr="007D1C82">
              <w:t> dB</w:t>
            </w:r>
          </w:p>
        </w:tc>
      </w:tr>
      <w:tr w:rsidR="007D1C82" w14:paraId="08E1329B" w14:textId="77777777" w:rsidTr="004E0271">
        <w:tc>
          <w:tcPr>
            <w:tcW w:w="1763" w:type="dxa"/>
            <w:vMerge/>
          </w:tcPr>
          <w:p w14:paraId="243F08D0" w14:textId="77777777" w:rsidR="007D1C82" w:rsidRDefault="007D1C82" w:rsidP="007D1C82">
            <w:pPr>
              <w:pStyle w:val="ECCTabletext"/>
            </w:pPr>
          </w:p>
        </w:tc>
        <w:tc>
          <w:tcPr>
            <w:tcW w:w="2201" w:type="dxa"/>
          </w:tcPr>
          <w:p w14:paraId="2141D846" w14:textId="77777777" w:rsidR="007D1C82" w:rsidRPr="007D1C82" w:rsidRDefault="007D1C82" w:rsidP="000A69BD">
            <w:pPr>
              <w:pStyle w:val="ECCTabletext"/>
              <w:jc w:val="left"/>
            </w:pPr>
            <w:r>
              <w:t>174</w:t>
            </w:r>
            <w:r w:rsidR="00CF4994">
              <w:t>.8</w:t>
            </w:r>
            <w:r>
              <w:t> to 191</w:t>
            </w:r>
            <w:r w:rsidR="00CF4994">
              <w:t>.8</w:t>
            </w:r>
            <w:r>
              <w:t> GHz</w:t>
            </w:r>
            <w:r w:rsidR="00145455">
              <w:t xml:space="preserve"> (In-band)</w:t>
            </w:r>
          </w:p>
        </w:tc>
        <w:tc>
          <w:tcPr>
            <w:tcW w:w="1418" w:type="dxa"/>
          </w:tcPr>
          <w:p w14:paraId="7612BE8F" w14:textId="77777777" w:rsidR="007D1C82" w:rsidRPr="007D1C82" w:rsidRDefault="007D1C82" w:rsidP="000A69BD">
            <w:pPr>
              <w:pStyle w:val="ECCTabletext"/>
              <w:jc w:val="left"/>
            </w:pPr>
            <w:r>
              <w:t>178</w:t>
            </w:r>
            <w:r w:rsidR="00CF4994">
              <w:t>.4</w:t>
            </w:r>
            <w:r>
              <w:t> GHz</w:t>
            </w:r>
          </w:p>
        </w:tc>
        <w:tc>
          <w:tcPr>
            <w:tcW w:w="2693" w:type="dxa"/>
          </w:tcPr>
          <w:p w14:paraId="48255894" w14:textId="77777777" w:rsidR="007D1C82" w:rsidRPr="007D1C82" w:rsidRDefault="00BF731D" w:rsidP="000A69BD">
            <w:pPr>
              <w:pStyle w:val="ECCTabletext"/>
              <w:jc w:val="left"/>
            </w:pPr>
            <w:r>
              <w:t>AWS</w:t>
            </w:r>
            <w:r w:rsidR="007D1C82" w:rsidRPr="007D1C82">
              <w:t xml:space="preserve"> nadir scanner (at nadir)</w:t>
            </w:r>
          </w:p>
        </w:tc>
        <w:tc>
          <w:tcPr>
            <w:tcW w:w="1554" w:type="dxa"/>
          </w:tcPr>
          <w:p w14:paraId="5BC3FD81" w14:textId="77777777" w:rsidR="007D1C82" w:rsidRPr="007D1C82" w:rsidRDefault="00BF731D" w:rsidP="000A69BD">
            <w:pPr>
              <w:pStyle w:val="ECCTabletext"/>
              <w:jc w:val="left"/>
              <w:rPr>
                <w:highlight w:val="yellow"/>
              </w:rPr>
            </w:pPr>
            <w:r>
              <w:t>38</w:t>
            </w:r>
            <w:r w:rsidR="00CF4994">
              <w:t>.8</w:t>
            </w:r>
            <w:r w:rsidR="007D1C82" w:rsidRPr="007D1C82">
              <w:t> dB</w:t>
            </w:r>
          </w:p>
        </w:tc>
      </w:tr>
      <w:tr w:rsidR="007D1C82" w14:paraId="47B3D017" w14:textId="77777777" w:rsidTr="004E0271">
        <w:tc>
          <w:tcPr>
            <w:tcW w:w="1763" w:type="dxa"/>
            <w:vMerge w:val="restart"/>
          </w:tcPr>
          <w:p w14:paraId="425F17A2" w14:textId="77777777" w:rsidR="007D1C82" w:rsidRPr="007D1C82" w:rsidRDefault="007D1C82" w:rsidP="000A69BD">
            <w:pPr>
              <w:pStyle w:val="ECCTabletext"/>
              <w:jc w:val="left"/>
            </w:pPr>
            <w:r>
              <w:t>231</w:t>
            </w:r>
            <w:r w:rsidR="00CF4994">
              <w:t>.5</w:t>
            </w:r>
            <w:r>
              <w:t xml:space="preserve"> to 250 GHz</w:t>
            </w:r>
          </w:p>
        </w:tc>
        <w:tc>
          <w:tcPr>
            <w:tcW w:w="2201" w:type="dxa"/>
          </w:tcPr>
          <w:p w14:paraId="551A8BF3" w14:textId="77777777" w:rsidR="007D1C82" w:rsidRPr="007D1C82" w:rsidRDefault="007D1C82" w:rsidP="000A69BD">
            <w:pPr>
              <w:pStyle w:val="ECCTabletext"/>
              <w:jc w:val="left"/>
            </w:pPr>
            <w:r>
              <w:t>226 to 231</w:t>
            </w:r>
            <w:r w:rsidR="00CF4994">
              <w:t>.5</w:t>
            </w:r>
            <w:r>
              <w:t> GHz</w:t>
            </w:r>
            <w:r w:rsidR="00145455">
              <w:t xml:space="preserve"> (OOB)</w:t>
            </w:r>
          </w:p>
        </w:tc>
        <w:tc>
          <w:tcPr>
            <w:tcW w:w="1418" w:type="dxa"/>
          </w:tcPr>
          <w:p w14:paraId="7677CAE8" w14:textId="77777777" w:rsidR="007D1C82" w:rsidRPr="007D1C82" w:rsidRDefault="007D1C82" w:rsidP="000A69BD">
            <w:pPr>
              <w:pStyle w:val="ECCTabletext"/>
              <w:jc w:val="left"/>
            </w:pPr>
            <w:r>
              <w:t>228</w:t>
            </w:r>
            <w:r w:rsidR="00CF4994">
              <w:t>.7</w:t>
            </w:r>
            <w:r>
              <w:t>5 GHz</w:t>
            </w:r>
          </w:p>
        </w:tc>
        <w:tc>
          <w:tcPr>
            <w:tcW w:w="2693" w:type="dxa"/>
          </w:tcPr>
          <w:p w14:paraId="6CB01A1E" w14:textId="77777777" w:rsidR="007D1C82" w:rsidRPr="007D1C82" w:rsidRDefault="007D1C82" w:rsidP="000A69BD">
            <w:pPr>
              <w:pStyle w:val="ECCTabletext"/>
              <w:jc w:val="left"/>
            </w:pPr>
            <w:r>
              <w:t xml:space="preserve">AWS nadir scanner (at </w:t>
            </w:r>
            <w:r w:rsidR="00BF731D">
              <w:t>nadir</w:t>
            </w:r>
            <w:r w:rsidRPr="007D1C82">
              <w:t>)</w:t>
            </w:r>
          </w:p>
        </w:tc>
        <w:tc>
          <w:tcPr>
            <w:tcW w:w="1554" w:type="dxa"/>
          </w:tcPr>
          <w:p w14:paraId="3AE6EA35" w14:textId="77777777" w:rsidR="007D1C82" w:rsidRPr="007D1C82" w:rsidRDefault="00BF731D" w:rsidP="000A69BD">
            <w:pPr>
              <w:pStyle w:val="ECCTabletext"/>
              <w:jc w:val="left"/>
              <w:rPr>
                <w:highlight w:val="yellow"/>
              </w:rPr>
            </w:pPr>
            <w:r>
              <w:t>79</w:t>
            </w:r>
            <w:r w:rsidR="00CF4994">
              <w:t>.3</w:t>
            </w:r>
            <w:r w:rsidR="007D1C82" w:rsidRPr="007D1C82">
              <w:t> dB</w:t>
            </w:r>
          </w:p>
        </w:tc>
      </w:tr>
      <w:tr w:rsidR="007D1C82" w14:paraId="2BBB95EB" w14:textId="77777777" w:rsidTr="004E0271">
        <w:tc>
          <w:tcPr>
            <w:tcW w:w="1763" w:type="dxa"/>
            <w:vMerge/>
          </w:tcPr>
          <w:p w14:paraId="5842DE37" w14:textId="77777777" w:rsidR="007D1C82" w:rsidRDefault="007D1C82" w:rsidP="007D1C82">
            <w:pPr>
              <w:pStyle w:val="ECCTabletext"/>
            </w:pPr>
          </w:p>
        </w:tc>
        <w:tc>
          <w:tcPr>
            <w:tcW w:w="2201" w:type="dxa"/>
          </w:tcPr>
          <w:p w14:paraId="1853D859" w14:textId="77777777" w:rsidR="007D1C82" w:rsidRPr="007D1C82" w:rsidRDefault="007D1C82" w:rsidP="000A69BD">
            <w:pPr>
              <w:pStyle w:val="ECCTabletext"/>
              <w:jc w:val="left"/>
            </w:pPr>
            <w:r>
              <w:t>239 to 248 GHz</w:t>
            </w:r>
            <w:r w:rsidR="00145455">
              <w:t xml:space="preserve"> (In-band)</w:t>
            </w:r>
          </w:p>
        </w:tc>
        <w:tc>
          <w:tcPr>
            <w:tcW w:w="1418" w:type="dxa"/>
          </w:tcPr>
          <w:p w14:paraId="639F852D" w14:textId="77777777" w:rsidR="007D1C82" w:rsidRPr="007D1C82" w:rsidRDefault="007D1C82" w:rsidP="000A69BD">
            <w:pPr>
              <w:pStyle w:val="ECCTabletext"/>
              <w:jc w:val="left"/>
            </w:pPr>
            <w:r>
              <w:t>234</w:t>
            </w:r>
            <w:r w:rsidR="00CF4994">
              <w:t>.5</w:t>
            </w:r>
            <w:r>
              <w:t> GHz</w:t>
            </w:r>
          </w:p>
        </w:tc>
        <w:tc>
          <w:tcPr>
            <w:tcW w:w="2693" w:type="dxa"/>
          </w:tcPr>
          <w:p w14:paraId="79C50E0C" w14:textId="77777777" w:rsidR="007D1C82" w:rsidRPr="007D1C82" w:rsidRDefault="007D1C82" w:rsidP="000A69BD">
            <w:pPr>
              <w:pStyle w:val="ECCTabletext"/>
              <w:jc w:val="left"/>
            </w:pPr>
            <w:r>
              <w:t>AWS nadir scanner (at nadir)</w:t>
            </w:r>
          </w:p>
        </w:tc>
        <w:tc>
          <w:tcPr>
            <w:tcW w:w="1554" w:type="dxa"/>
          </w:tcPr>
          <w:p w14:paraId="17B8E87C" w14:textId="77777777" w:rsidR="007D1C82" w:rsidRPr="007D1C82" w:rsidRDefault="00BF731D" w:rsidP="000A69BD">
            <w:pPr>
              <w:pStyle w:val="ECCTabletext"/>
              <w:jc w:val="left"/>
              <w:rPr>
                <w:highlight w:val="yellow"/>
              </w:rPr>
            </w:pPr>
            <w:r>
              <w:t>61</w:t>
            </w:r>
            <w:r w:rsidR="00CF4994">
              <w:t>.3</w:t>
            </w:r>
            <w:r>
              <w:t> </w:t>
            </w:r>
            <w:r w:rsidR="007D1C82" w:rsidRPr="007D1C82">
              <w:t>dB</w:t>
            </w:r>
          </w:p>
        </w:tc>
      </w:tr>
    </w:tbl>
    <w:p w14:paraId="56732D0A" w14:textId="38A3B81C"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_Ref67393399 \r \h </w:instrText>
      </w:r>
      <w:r>
        <w:fldChar w:fldCharType="separate"/>
      </w:r>
      <w:r w:rsidR="004F49F9">
        <w:t>8.7.4</w:t>
      </w:r>
      <w:r>
        <w:fldChar w:fldCharType="end"/>
      </w:r>
      <w:r>
        <w:t>.</w:t>
      </w:r>
    </w:p>
    <w:p w14:paraId="1B93BC37" w14:textId="77777777" w:rsidR="007D1C82" w:rsidRPr="007D1C82" w:rsidRDefault="007D1C82" w:rsidP="007D1C82">
      <w:pPr>
        <w:pStyle w:val="Heading2"/>
      </w:pPr>
      <w:bookmarkStart w:id="771" w:name="_Toc84325423"/>
      <w:bookmarkStart w:id="772" w:name="_Toc127346345"/>
      <w:r w:rsidRPr="004F758F">
        <w:t>Radiodetermination systems for industry automation in shielded environments (RDI-S)</w:t>
      </w:r>
      <w:bookmarkEnd w:id="771"/>
      <w:bookmarkEnd w:id="772"/>
    </w:p>
    <w:p w14:paraId="0DA84CD2" w14:textId="77777777" w:rsidR="007D1C82" w:rsidRPr="00B54505" w:rsidRDefault="007D1C82" w:rsidP="007D1C82">
      <w:pPr>
        <w:pStyle w:val="Heading3"/>
      </w:pPr>
      <w:bookmarkStart w:id="773" w:name="_Toc84325424"/>
      <w:bookmarkStart w:id="774" w:name="_Toc127346346"/>
      <w:r w:rsidRPr="00B54505">
        <w:t>Technical parameters of RDI-S</w:t>
      </w:r>
      <w:bookmarkEnd w:id="773"/>
      <w:bookmarkEnd w:id="774"/>
    </w:p>
    <w:p w14:paraId="0C97C8AB" w14:textId="3E02160F" w:rsidR="007D1C82" w:rsidRPr="007D1C82" w:rsidRDefault="007D1C82" w:rsidP="007D1C82">
      <w:r w:rsidRPr="007D1C82">
        <w:t xml:space="preserve">For RDI-S the whole frequency range from 116 to 260 GHz has been defined (see </w:t>
      </w:r>
      <w:r w:rsidR="009D5FA2">
        <w:t>section</w:t>
      </w:r>
      <w:r w:rsidRPr="007D1C82">
        <w:t xml:space="preserve"> </w:t>
      </w:r>
      <w:r w:rsidR="00657C13">
        <w:rPr>
          <w:highlight w:val="yellow"/>
        </w:rPr>
        <w:fldChar w:fldCharType="begin"/>
      </w:r>
      <w:r w:rsidR="00657C13">
        <w:instrText xml:space="preserve"> REF _Ref66452766 \r \h </w:instrText>
      </w:r>
      <w:r w:rsidR="00657C13">
        <w:rPr>
          <w:highlight w:val="yellow"/>
        </w:rPr>
      </w:r>
      <w:r w:rsidR="00657C13">
        <w:rPr>
          <w:highlight w:val="yellow"/>
        </w:rPr>
        <w:fldChar w:fldCharType="separate"/>
      </w:r>
      <w:r w:rsidR="004F49F9">
        <w:t>2.2.8.2</w:t>
      </w:r>
      <w:r w:rsidR="00657C13">
        <w:rPr>
          <w:highlight w:val="yellow"/>
        </w:rPr>
        <w:fldChar w:fldCharType="end"/>
      </w:r>
      <w:r w:rsidRPr="007D1C82">
        <w:t xml:space="preserve">). In this band several allocations for EESS are affected (see </w:t>
      </w:r>
      <w:r w:rsidR="009D5FA2">
        <w:t>section</w:t>
      </w:r>
      <w:r w:rsidRPr="007D1C82">
        <w:t xml:space="preserve"> </w:t>
      </w:r>
      <w:r w:rsidR="00657C13">
        <w:rPr>
          <w:highlight w:val="yellow"/>
        </w:rPr>
        <w:fldChar w:fldCharType="begin"/>
      </w:r>
      <w:r w:rsidR="00657C13">
        <w:instrText xml:space="preserve"> REF _Ref66361706 \r \h </w:instrText>
      </w:r>
      <w:r w:rsidR="00657C13">
        <w:rPr>
          <w:highlight w:val="yellow"/>
        </w:rPr>
      </w:r>
      <w:r w:rsidR="00657C13">
        <w:rPr>
          <w:highlight w:val="yellow"/>
        </w:rPr>
        <w:fldChar w:fldCharType="separate"/>
      </w:r>
      <w:r w:rsidR="004F49F9">
        <w:t>3.3</w:t>
      </w:r>
      <w:r w:rsidR="00657C13">
        <w:rPr>
          <w:highlight w:val="yellow"/>
        </w:rPr>
        <w:fldChar w:fldCharType="end"/>
      </w:r>
      <w:r w:rsidRPr="007D1C82">
        <w:t xml:space="preserve">). In addition to that altogether eight bands are affected which are protected by article 5.340 in the ITU Radio Regulations (compare </w:t>
      </w:r>
      <w:r w:rsidR="009D5FA2">
        <w:t>section</w:t>
      </w:r>
      <w:r w:rsidRPr="007D1C82">
        <w:t xml:space="preserve"> 3.4). In the protected bands there are also allocations of EESS. All these identified bands have been investigated by single-entry and aggregate studies (please compare the figures in </w:t>
      </w:r>
      <w:r w:rsidR="009D5FA2">
        <w:t>section</w:t>
      </w:r>
      <w:r w:rsidRPr="007D1C82">
        <w:t xml:space="preserve"> </w:t>
      </w:r>
      <w:r w:rsidR="00657C13">
        <w:rPr>
          <w:highlight w:val="yellow"/>
        </w:rPr>
        <w:fldChar w:fldCharType="begin"/>
      </w:r>
      <w:r w:rsidR="00657C13">
        <w:instrText xml:space="preserve"> REF _Ref66361706 \r \h </w:instrText>
      </w:r>
      <w:r w:rsidR="00657C13">
        <w:rPr>
          <w:highlight w:val="yellow"/>
        </w:rPr>
      </w:r>
      <w:r w:rsidR="00657C13">
        <w:rPr>
          <w:highlight w:val="yellow"/>
        </w:rPr>
        <w:fldChar w:fldCharType="separate"/>
      </w:r>
      <w:r w:rsidR="004F49F9">
        <w:t>3.3</w:t>
      </w:r>
      <w:r w:rsidR="00657C13">
        <w:rPr>
          <w:highlight w:val="yellow"/>
        </w:rPr>
        <w:fldChar w:fldCharType="end"/>
      </w:r>
      <w:r w:rsidRPr="007D1C82">
        <w:t>). In these studies the individual residual margin (</w:t>
      </w:r>
      <w:r w:rsidR="009D5FA2">
        <w:t>section</w:t>
      </w:r>
      <w:r w:rsidRPr="007D1C82">
        <w:t xml:space="preserve"> </w:t>
      </w:r>
      <w:r w:rsidR="00657C13">
        <w:rPr>
          <w:highlight w:val="yellow"/>
        </w:rPr>
        <w:fldChar w:fldCharType="begin"/>
      </w:r>
      <w:r w:rsidR="00657C13">
        <w:instrText xml:space="preserve"> REF _Ref66361724 \r \h </w:instrText>
      </w:r>
      <w:r w:rsidR="00657C13">
        <w:rPr>
          <w:highlight w:val="yellow"/>
        </w:rPr>
      </w:r>
      <w:r w:rsidR="00657C13">
        <w:rPr>
          <w:highlight w:val="yellow"/>
        </w:rPr>
        <w:fldChar w:fldCharType="separate"/>
      </w:r>
      <w:r w:rsidR="004F49F9">
        <w:t>3.4.4</w:t>
      </w:r>
      <w:r w:rsidR="00657C13">
        <w:rPr>
          <w:highlight w:val="yellow"/>
        </w:rPr>
        <w:fldChar w:fldCharType="end"/>
      </w:r>
      <w:r w:rsidRPr="007D1C82">
        <w:t>) to the interference criterion is determined by means of the technical parameters (</w:t>
      </w:r>
      <w:r w:rsidR="009D5FA2">
        <w:t>section</w:t>
      </w:r>
      <w:r w:rsidRPr="007D1C82">
        <w:t xml:space="preserve"> </w:t>
      </w:r>
      <w:r w:rsidR="00657C13">
        <w:rPr>
          <w:highlight w:val="yellow"/>
        </w:rPr>
        <w:fldChar w:fldCharType="begin"/>
      </w:r>
      <w:r w:rsidR="00657C13">
        <w:instrText xml:space="preserve"> REF _Ref66452779 \r \h </w:instrText>
      </w:r>
      <w:r w:rsidR="00657C13">
        <w:rPr>
          <w:highlight w:val="yellow"/>
        </w:rPr>
      </w:r>
      <w:r w:rsidR="00657C13">
        <w:rPr>
          <w:highlight w:val="yellow"/>
        </w:rPr>
        <w:fldChar w:fldCharType="separate"/>
      </w:r>
      <w:r w:rsidR="004F49F9">
        <w:t>2.2.8.3</w:t>
      </w:r>
      <w:r w:rsidR="00657C13">
        <w:rPr>
          <w:highlight w:val="yellow"/>
        </w:rPr>
        <w:fldChar w:fldCharType="end"/>
      </w:r>
      <w:r w:rsidRPr="007D1C82">
        <w:t>), the antenna data (</w:t>
      </w:r>
      <w:r w:rsidR="009D5FA2">
        <w:t>section</w:t>
      </w:r>
      <w:r w:rsidRPr="007D1C82">
        <w:t xml:space="preserve"> </w:t>
      </w:r>
      <w:r w:rsidR="00657C13">
        <w:rPr>
          <w:highlight w:val="yellow"/>
        </w:rPr>
        <w:fldChar w:fldCharType="begin"/>
      </w:r>
      <w:r w:rsidR="00657C13">
        <w:instrText xml:space="preserve"> REF _Ref66452804 \r \h </w:instrText>
      </w:r>
      <w:r w:rsidR="00657C13">
        <w:rPr>
          <w:highlight w:val="yellow"/>
        </w:rPr>
      </w:r>
      <w:r w:rsidR="00657C13">
        <w:rPr>
          <w:highlight w:val="yellow"/>
        </w:rPr>
        <w:fldChar w:fldCharType="separate"/>
      </w:r>
      <w:r w:rsidR="004F49F9">
        <w:t>2.2.8.4</w:t>
      </w:r>
      <w:r w:rsidR="00657C13">
        <w:rPr>
          <w:highlight w:val="yellow"/>
        </w:rPr>
        <w:fldChar w:fldCharType="end"/>
      </w:r>
      <w:r w:rsidRPr="007D1C82">
        <w:t>), the defined interference scenarios (</w:t>
      </w:r>
      <w:r w:rsidR="009D5FA2">
        <w:t>section</w:t>
      </w:r>
      <w:r w:rsidRPr="007D1C82">
        <w:t xml:space="preserve"> </w:t>
      </w:r>
      <w:r w:rsidR="00657C13">
        <w:rPr>
          <w:highlight w:val="yellow"/>
        </w:rPr>
        <w:fldChar w:fldCharType="begin"/>
      </w:r>
      <w:r w:rsidR="00657C13">
        <w:instrText xml:space="preserve"> REF _Ref66452787 \r \h </w:instrText>
      </w:r>
      <w:r w:rsidR="00657C13">
        <w:rPr>
          <w:highlight w:val="yellow"/>
        </w:rPr>
      </w:r>
      <w:r w:rsidR="00657C13">
        <w:rPr>
          <w:highlight w:val="yellow"/>
        </w:rPr>
        <w:fldChar w:fldCharType="separate"/>
      </w:r>
      <w:r w:rsidR="004F49F9">
        <w:t>2.2.8.6</w:t>
      </w:r>
      <w:r w:rsidR="00657C13">
        <w:rPr>
          <w:highlight w:val="yellow"/>
        </w:rPr>
        <w:fldChar w:fldCharType="end"/>
      </w:r>
      <w:r w:rsidRPr="007D1C82">
        <w:t>) and the protection requirements for EESS (</w:t>
      </w:r>
      <w:r w:rsidR="009D5FA2">
        <w:t>section</w:t>
      </w:r>
      <w:r w:rsidRPr="007D1C82">
        <w:t xml:space="preserve"> </w:t>
      </w:r>
      <w:r w:rsidR="00657C13">
        <w:rPr>
          <w:highlight w:val="yellow"/>
        </w:rPr>
        <w:fldChar w:fldCharType="begin"/>
      </w:r>
      <w:r w:rsidR="00657C13">
        <w:instrText xml:space="preserve"> REF _Ref66361876 \r \h </w:instrText>
      </w:r>
      <w:r w:rsidR="00657C13">
        <w:rPr>
          <w:highlight w:val="yellow"/>
        </w:rPr>
      </w:r>
      <w:r w:rsidR="00657C13">
        <w:rPr>
          <w:highlight w:val="yellow"/>
        </w:rPr>
        <w:fldChar w:fldCharType="separate"/>
      </w:r>
      <w:r w:rsidR="004F49F9">
        <w:t>3.5.4</w:t>
      </w:r>
      <w:r w:rsidR="00657C13">
        <w:rPr>
          <w:highlight w:val="yellow"/>
        </w:rPr>
        <w:fldChar w:fldCharType="end"/>
      </w:r>
      <w:r w:rsidRPr="007D1C82">
        <w:t xml:space="preserve">). The exact calculations can be found in an Excel-spreadsheet which is attached to this </w:t>
      </w:r>
      <w:hyperlink r:id="rId171" w:history="1">
        <w:r w:rsidR="006B1E55">
          <w:rPr>
            <w:rStyle w:val="Hyperlink"/>
          </w:rPr>
          <w:t>Report</w:t>
        </w:r>
      </w:hyperlink>
      <w:r w:rsidRPr="007D1C82">
        <w:t>.</w:t>
      </w:r>
    </w:p>
    <w:p w14:paraId="35F9FA53" w14:textId="24A95E5A" w:rsidR="007D1C82" w:rsidRPr="007D1C82" w:rsidRDefault="007D1C82" w:rsidP="007D1C82">
      <w:r w:rsidRPr="007D1C82">
        <w:t>The following technical parameters of the RDI-S application (</w:t>
      </w:r>
      <w:r w:rsidR="009D5FA2">
        <w:t>section</w:t>
      </w:r>
      <w:r w:rsidRPr="007D1C82">
        <w:t xml:space="preserve"> </w:t>
      </w:r>
      <w:r w:rsidR="00657C13">
        <w:rPr>
          <w:highlight w:val="yellow"/>
        </w:rPr>
        <w:fldChar w:fldCharType="begin"/>
      </w:r>
      <w:r w:rsidR="00657C13">
        <w:instrText xml:space="preserve"> REF _Ref66452779 \r \h </w:instrText>
      </w:r>
      <w:r w:rsidR="00657C13">
        <w:rPr>
          <w:highlight w:val="yellow"/>
        </w:rPr>
      </w:r>
      <w:r w:rsidR="00657C13">
        <w:rPr>
          <w:highlight w:val="yellow"/>
        </w:rPr>
        <w:fldChar w:fldCharType="separate"/>
      </w:r>
      <w:r w:rsidR="004F49F9">
        <w:t>2.2.8.3</w:t>
      </w:r>
      <w:r w:rsidR="00657C13">
        <w:rPr>
          <w:highlight w:val="yellow"/>
        </w:rPr>
        <w:fldChar w:fldCharType="end"/>
      </w:r>
      <w:r w:rsidRPr="007D1C82">
        <w:t>) have been used in the studies in the different frequency ranges.</w:t>
      </w:r>
    </w:p>
    <w:p w14:paraId="52051074" w14:textId="16CECCEA" w:rsidR="007D1C82" w:rsidRPr="007E68AF" w:rsidRDefault="00657C13" w:rsidP="007D1C82">
      <w:pPr>
        <w:pStyle w:val="Caption"/>
        <w:rPr>
          <w:rStyle w:val="ECCParagraph"/>
        </w:rPr>
      </w:pPr>
      <w:r w:rsidRPr="00477961">
        <w:t>Table </w:t>
      </w:r>
      <w:r>
        <w:fldChar w:fldCharType="begin"/>
      </w:r>
      <w:r>
        <w:instrText>SEQ Table \* ARABIC</w:instrText>
      </w:r>
      <w:r>
        <w:fldChar w:fldCharType="separate"/>
      </w:r>
      <w:r w:rsidR="004F49F9">
        <w:rPr>
          <w:noProof/>
        </w:rPr>
        <w:t>106</w:t>
      </w:r>
      <w:r>
        <w:fldChar w:fldCharType="end"/>
      </w:r>
      <w:r w:rsidR="007D1C82">
        <w:t>: Technical parameters of RDI-S used for the conducted studies in EESS frequency allocations outside RR article 5.340 protected bands</w:t>
      </w:r>
    </w:p>
    <w:tbl>
      <w:tblPr>
        <w:tblStyle w:val="ECCTable-redheader"/>
        <w:tblW w:w="0" w:type="auto"/>
        <w:tblInd w:w="0" w:type="dxa"/>
        <w:tblLook w:val="04A0" w:firstRow="1" w:lastRow="0" w:firstColumn="1" w:lastColumn="0" w:noHBand="0" w:noVBand="1"/>
      </w:tblPr>
      <w:tblGrid>
        <w:gridCol w:w="1792"/>
        <w:gridCol w:w="1459"/>
        <w:gridCol w:w="1294"/>
        <w:gridCol w:w="951"/>
        <w:gridCol w:w="1621"/>
        <w:gridCol w:w="1218"/>
        <w:gridCol w:w="1294"/>
      </w:tblGrid>
      <w:tr w:rsidR="00906950" w:rsidRPr="00566944" w14:paraId="19DE2C66" w14:textId="77777777" w:rsidTr="00906950">
        <w:trPr>
          <w:cnfStyle w:val="100000000000" w:firstRow="1" w:lastRow="0" w:firstColumn="0" w:lastColumn="0" w:oddVBand="0" w:evenVBand="0" w:oddHBand="0" w:evenHBand="0" w:firstRowFirstColumn="0" w:firstRowLastColumn="0" w:lastRowFirstColumn="0" w:lastRowLastColumn="0"/>
        </w:trPr>
        <w:tc>
          <w:tcPr>
            <w:tcW w:w="1792" w:type="dxa"/>
          </w:tcPr>
          <w:p w14:paraId="275504DD" w14:textId="77777777" w:rsidR="00906950" w:rsidRPr="00906950" w:rsidRDefault="00906950" w:rsidP="00876039">
            <w:pPr>
              <w:pStyle w:val="ECCTableHeaderwhitefont"/>
            </w:pPr>
            <w:r w:rsidRPr="00906950">
              <w:t>Investigated frequency range</w:t>
            </w:r>
          </w:p>
        </w:tc>
        <w:tc>
          <w:tcPr>
            <w:tcW w:w="1459" w:type="dxa"/>
          </w:tcPr>
          <w:p w14:paraId="03A85A25" w14:textId="77777777" w:rsidR="00906950" w:rsidRPr="00906950" w:rsidRDefault="00906950" w:rsidP="000A69BD">
            <w:pPr>
              <w:pStyle w:val="ECCTableHeaderwhitefont"/>
            </w:pPr>
            <w:r w:rsidRPr="00906950">
              <w:t>Investigated centre frequency</w:t>
            </w:r>
          </w:p>
        </w:tc>
        <w:tc>
          <w:tcPr>
            <w:tcW w:w="1294" w:type="dxa"/>
          </w:tcPr>
          <w:p w14:paraId="6C96F855" w14:textId="77777777" w:rsidR="00906950" w:rsidRPr="00906950" w:rsidRDefault="00906950" w:rsidP="000A69BD">
            <w:pPr>
              <w:pStyle w:val="ECCTableHeaderwhitefont"/>
            </w:pPr>
            <w:r w:rsidRPr="00906950">
              <w:t>Assumed modulation bandwidth</w:t>
            </w:r>
          </w:p>
        </w:tc>
        <w:tc>
          <w:tcPr>
            <w:tcW w:w="951" w:type="dxa"/>
          </w:tcPr>
          <w:p w14:paraId="76C1CC3D" w14:textId="77777777" w:rsidR="00906950" w:rsidRPr="00906950" w:rsidRDefault="00906950" w:rsidP="000A69BD">
            <w:pPr>
              <w:pStyle w:val="ECCTableHeaderwhitefont"/>
            </w:pPr>
            <w:r w:rsidRPr="00906950">
              <w:t>Duty cycle</w:t>
            </w:r>
          </w:p>
        </w:tc>
        <w:tc>
          <w:tcPr>
            <w:tcW w:w="1621" w:type="dxa"/>
          </w:tcPr>
          <w:p w14:paraId="03C527A4" w14:textId="77777777" w:rsidR="00906950" w:rsidRPr="00906950" w:rsidRDefault="00906950" w:rsidP="000A69BD">
            <w:pPr>
              <w:pStyle w:val="ECCTableHeaderwhitefont"/>
            </w:pPr>
            <w:r w:rsidRPr="00906950">
              <w:t xml:space="preserve">Mean e.i.r.p. spectral density </w:t>
            </w:r>
          </w:p>
        </w:tc>
        <w:tc>
          <w:tcPr>
            <w:tcW w:w="1218" w:type="dxa"/>
          </w:tcPr>
          <w:p w14:paraId="3D8E6C36" w14:textId="77777777" w:rsidR="00906950" w:rsidRPr="00906950" w:rsidRDefault="00906950" w:rsidP="000A69BD">
            <w:pPr>
              <w:pStyle w:val="ECCTableHeaderwhitefont"/>
            </w:pPr>
            <w:r w:rsidRPr="00906950">
              <w:t>Peak e.i.r.p.</w:t>
            </w:r>
          </w:p>
        </w:tc>
        <w:tc>
          <w:tcPr>
            <w:tcW w:w="1294" w:type="dxa"/>
          </w:tcPr>
          <w:p w14:paraId="1BDA1ED9" w14:textId="77777777" w:rsidR="00906950" w:rsidRPr="00906950" w:rsidRDefault="00906950" w:rsidP="000A69BD">
            <w:pPr>
              <w:pStyle w:val="ECCTableHeaderwhitefont"/>
            </w:pPr>
            <w:r w:rsidRPr="00906950">
              <w:t>OOB attenuation (Note 1)</w:t>
            </w:r>
          </w:p>
        </w:tc>
      </w:tr>
      <w:tr w:rsidR="00223A3F" w:rsidRPr="00C53FB5" w14:paraId="63648101" w14:textId="77777777" w:rsidTr="00906950">
        <w:tc>
          <w:tcPr>
            <w:tcW w:w="1792" w:type="dxa"/>
          </w:tcPr>
          <w:p w14:paraId="7B59F60E" w14:textId="77777777" w:rsidR="00223A3F" w:rsidRPr="00465A40" w:rsidRDefault="00223A3F" w:rsidP="000A69BD">
            <w:pPr>
              <w:pStyle w:val="ECCTabletext"/>
              <w:jc w:val="left"/>
            </w:pPr>
            <w:r>
              <w:t>114</w:t>
            </w:r>
            <w:r w:rsidR="00CF4994">
              <w:t>.2</w:t>
            </w:r>
            <w:r>
              <w:t>5 to 122</w:t>
            </w:r>
            <w:r w:rsidR="00CF4994">
              <w:t>.2</w:t>
            </w:r>
            <w:r>
              <w:t>5 GHz</w:t>
            </w:r>
          </w:p>
        </w:tc>
        <w:tc>
          <w:tcPr>
            <w:tcW w:w="1459" w:type="dxa"/>
          </w:tcPr>
          <w:p w14:paraId="45416F59" w14:textId="77777777" w:rsidR="00223A3F" w:rsidRPr="00465A40" w:rsidRDefault="00223A3F" w:rsidP="000A69BD">
            <w:pPr>
              <w:pStyle w:val="ECCTabletext"/>
              <w:jc w:val="left"/>
            </w:pPr>
            <w:r w:rsidRPr="00B00B56">
              <w:t>119</w:t>
            </w:r>
            <w:r w:rsidR="00CF4994">
              <w:t>.1</w:t>
            </w:r>
            <w:r w:rsidRPr="00B00B56">
              <w:t>25 GHz</w:t>
            </w:r>
          </w:p>
        </w:tc>
        <w:tc>
          <w:tcPr>
            <w:tcW w:w="1294" w:type="dxa"/>
            <w:shd w:val="clear" w:color="auto" w:fill="auto"/>
          </w:tcPr>
          <w:p w14:paraId="7A597156" w14:textId="77777777" w:rsidR="00223A3F" w:rsidRPr="00465A40" w:rsidRDefault="00223A3F" w:rsidP="000A69BD">
            <w:pPr>
              <w:pStyle w:val="ECCTabletext"/>
              <w:jc w:val="left"/>
            </w:pPr>
            <w:r>
              <w:t>100 GHz</w:t>
            </w:r>
          </w:p>
        </w:tc>
        <w:tc>
          <w:tcPr>
            <w:tcW w:w="951" w:type="dxa"/>
            <w:shd w:val="clear" w:color="auto" w:fill="auto"/>
          </w:tcPr>
          <w:p w14:paraId="545DDF6F" w14:textId="37F0B79F" w:rsidR="00223A3F" w:rsidRPr="00465A40" w:rsidRDefault="00223A3F" w:rsidP="000A69BD">
            <w:pPr>
              <w:pStyle w:val="ECCTabletext"/>
              <w:jc w:val="left"/>
            </w:pPr>
            <w:r w:rsidRPr="00B9577F">
              <w:t>100</w:t>
            </w:r>
            <w:r w:rsidR="00F800A2">
              <w:t>%</w:t>
            </w:r>
          </w:p>
        </w:tc>
        <w:tc>
          <w:tcPr>
            <w:tcW w:w="1621" w:type="dxa"/>
            <w:shd w:val="clear" w:color="auto" w:fill="auto"/>
          </w:tcPr>
          <w:p w14:paraId="30519472" w14:textId="77777777" w:rsidR="00223A3F" w:rsidRPr="00465A40" w:rsidRDefault="00223A3F" w:rsidP="000A69BD">
            <w:pPr>
              <w:pStyle w:val="ECCTabletext"/>
              <w:jc w:val="left"/>
              <w:rPr>
                <w:highlight w:val="yellow"/>
              </w:rPr>
            </w:pPr>
            <w:r w:rsidRPr="00B00B56">
              <w:t>-5 dBm/MHz</w:t>
            </w:r>
          </w:p>
        </w:tc>
        <w:tc>
          <w:tcPr>
            <w:tcW w:w="1218" w:type="dxa"/>
            <w:shd w:val="clear" w:color="auto" w:fill="auto"/>
          </w:tcPr>
          <w:p w14:paraId="44B89B33" w14:textId="77777777" w:rsidR="00223A3F" w:rsidRPr="00465A40" w:rsidRDefault="00223A3F" w:rsidP="000A69BD">
            <w:pPr>
              <w:pStyle w:val="ECCTabletext"/>
              <w:jc w:val="left"/>
            </w:pPr>
            <w:r>
              <w:t>45 dBm</w:t>
            </w:r>
          </w:p>
        </w:tc>
        <w:tc>
          <w:tcPr>
            <w:tcW w:w="1294" w:type="dxa"/>
            <w:vMerge w:val="restart"/>
          </w:tcPr>
          <w:p w14:paraId="7926DFCC" w14:textId="77777777" w:rsidR="00223A3F" w:rsidRPr="00465A40" w:rsidRDefault="00223A3F" w:rsidP="000A69BD">
            <w:pPr>
              <w:pStyle w:val="ECCTabletext"/>
              <w:jc w:val="left"/>
            </w:pPr>
            <w:r>
              <w:t>10 dB</w:t>
            </w:r>
          </w:p>
        </w:tc>
      </w:tr>
      <w:tr w:rsidR="00223A3F" w:rsidRPr="00C53FB5" w14:paraId="1CC0E887" w14:textId="77777777" w:rsidTr="00906950">
        <w:tc>
          <w:tcPr>
            <w:tcW w:w="1792" w:type="dxa"/>
            <w:vMerge w:val="restart"/>
          </w:tcPr>
          <w:p w14:paraId="21B5F2C9" w14:textId="77777777" w:rsidR="00223A3F" w:rsidRPr="00465A40" w:rsidRDefault="00223A3F" w:rsidP="000A69BD">
            <w:pPr>
              <w:pStyle w:val="ECCTabletext"/>
              <w:jc w:val="left"/>
            </w:pPr>
            <w:r>
              <w:t>174</w:t>
            </w:r>
            <w:r w:rsidR="00CF4994">
              <w:t>.8</w:t>
            </w:r>
            <w:r>
              <w:t xml:space="preserve"> to 191</w:t>
            </w:r>
            <w:r w:rsidR="00CF4994">
              <w:t>.8</w:t>
            </w:r>
            <w:r>
              <w:t> GHz</w:t>
            </w:r>
          </w:p>
        </w:tc>
        <w:tc>
          <w:tcPr>
            <w:tcW w:w="1459" w:type="dxa"/>
            <w:shd w:val="clear" w:color="auto" w:fill="auto"/>
          </w:tcPr>
          <w:p w14:paraId="5C2FC051" w14:textId="77777777" w:rsidR="00223A3F" w:rsidRPr="00465A40" w:rsidRDefault="00223A3F" w:rsidP="000A69BD">
            <w:pPr>
              <w:pStyle w:val="ECCTabletext"/>
              <w:jc w:val="left"/>
              <w:rPr>
                <w:highlight w:val="yellow"/>
              </w:rPr>
            </w:pPr>
            <w:r w:rsidRPr="00F87F4A">
              <w:t>178</w:t>
            </w:r>
            <w:r w:rsidR="00CF4994">
              <w:t>.4</w:t>
            </w:r>
            <w:r w:rsidRPr="00F87F4A">
              <w:t> GHz</w:t>
            </w:r>
          </w:p>
        </w:tc>
        <w:tc>
          <w:tcPr>
            <w:tcW w:w="1294" w:type="dxa"/>
            <w:shd w:val="clear" w:color="auto" w:fill="auto"/>
          </w:tcPr>
          <w:p w14:paraId="2EF1BF37" w14:textId="77777777" w:rsidR="00223A3F" w:rsidRPr="00465A40" w:rsidRDefault="00223A3F" w:rsidP="000A69BD">
            <w:pPr>
              <w:pStyle w:val="ECCTabletext"/>
              <w:jc w:val="left"/>
            </w:pPr>
            <w:r>
              <w:t>100 GHz</w:t>
            </w:r>
          </w:p>
        </w:tc>
        <w:tc>
          <w:tcPr>
            <w:tcW w:w="951" w:type="dxa"/>
            <w:shd w:val="clear" w:color="auto" w:fill="auto"/>
          </w:tcPr>
          <w:p w14:paraId="0B416804" w14:textId="28C11A97" w:rsidR="00223A3F" w:rsidRPr="00465A40" w:rsidRDefault="00223A3F" w:rsidP="000A69BD">
            <w:pPr>
              <w:pStyle w:val="ECCTabletext"/>
              <w:jc w:val="left"/>
            </w:pPr>
            <w:r>
              <w:t>100</w:t>
            </w:r>
            <w:r w:rsidR="00F800A2">
              <w:t>%</w:t>
            </w:r>
          </w:p>
        </w:tc>
        <w:tc>
          <w:tcPr>
            <w:tcW w:w="1621" w:type="dxa"/>
            <w:shd w:val="clear" w:color="auto" w:fill="auto"/>
          </w:tcPr>
          <w:p w14:paraId="67401C6B" w14:textId="77777777" w:rsidR="00223A3F" w:rsidRPr="00465A40" w:rsidRDefault="002B15C6" w:rsidP="000A69BD">
            <w:pPr>
              <w:pStyle w:val="ECCTabletext"/>
              <w:jc w:val="left"/>
              <w:rPr>
                <w:highlight w:val="yellow"/>
              </w:rPr>
            </w:pPr>
            <w:r>
              <w:t>10</w:t>
            </w:r>
            <w:r w:rsidR="00223A3F">
              <w:t> dBm/MHz</w:t>
            </w:r>
          </w:p>
        </w:tc>
        <w:tc>
          <w:tcPr>
            <w:tcW w:w="1218" w:type="dxa"/>
            <w:shd w:val="clear" w:color="auto" w:fill="auto"/>
          </w:tcPr>
          <w:p w14:paraId="218F3334" w14:textId="77777777" w:rsidR="00223A3F" w:rsidRPr="00465A40" w:rsidRDefault="002B15C6" w:rsidP="000A69BD">
            <w:pPr>
              <w:pStyle w:val="ECCTabletext"/>
              <w:jc w:val="left"/>
            </w:pPr>
            <w:r>
              <w:t>60</w:t>
            </w:r>
            <w:r w:rsidR="00223A3F">
              <w:t> dBm</w:t>
            </w:r>
          </w:p>
        </w:tc>
        <w:tc>
          <w:tcPr>
            <w:tcW w:w="1294" w:type="dxa"/>
            <w:vMerge/>
          </w:tcPr>
          <w:p w14:paraId="0DAC0ED0" w14:textId="77777777" w:rsidR="00223A3F" w:rsidRDefault="00223A3F" w:rsidP="00465A40">
            <w:pPr>
              <w:pStyle w:val="ECCTabletext"/>
            </w:pPr>
          </w:p>
        </w:tc>
      </w:tr>
      <w:tr w:rsidR="00223A3F" w:rsidRPr="00C53FB5" w14:paraId="4C38F8F0" w14:textId="77777777" w:rsidTr="00906950">
        <w:tc>
          <w:tcPr>
            <w:tcW w:w="1792" w:type="dxa"/>
            <w:vMerge/>
          </w:tcPr>
          <w:p w14:paraId="2FA547E7" w14:textId="77777777" w:rsidR="00223A3F" w:rsidRPr="00C53FB5" w:rsidRDefault="00223A3F" w:rsidP="00465A40">
            <w:pPr>
              <w:pStyle w:val="ECCTabletext"/>
            </w:pPr>
          </w:p>
        </w:tc>
        <w:tc>
          <w:tcPr>
            <w:tcW w:w="1459" w:type="dxa"/>
          </w:tcPr>
          <w:p w14:paraId="72C43FFB" w14:textId="77777777" w:rsidR="00223A3F" w:rsidRPr="00465A40" w:rsidRDefault="00223A3F" w:rsidP="000A69BD">
            <w:pPr>
              <w:pStyle w:val="ECCTabletext"/>
              <w:jc w:val="left"/>
              <w:rPr>
                <w:highlight w:val="yellow"/>
              </w:rPr>
            </w:pPr>
            <w:r w:rsidRPr="00806917">
              <w:t>187</w:t>
            </w:r>
            <w:r w:rsidR="00CF4994">
              <w:t>.5</w:t>
            </w:r>
            <w:r w:rsidRPr="00806917">
              <w:t> GHz</w:t>
            </w:r>
          </w:p>
        </w:tc>
        <w:tc>
          <w:tcPr>
            <w:tcW w:w="1294" w:type="dxa"/>
            <w:shd w:val="clear" w:color="auto" w:fill="auto"/>
          </w:tcPr>
          <w:p w14:paraId="6DD782EE" w14:textId="77777777" w:rsidR="00223A3F" w:rsidRPr="00465A40" w:rsidRDefault="00223A3F" w:rsidP="000A69BD">
            <w:pPr>
              <w:pStyle w:val="ECCTabletext"/>
              <w:jc w:val="left"/>
            </w:pPr>
            <w:r>
              <w:t>100 GHz</w:t>
            </w:r>
          </w:p>
        </w:tc>
        <w:tc>
          <w:tcPr>
            <w:tcW w:w="951" w:type="dxa"/>
            <w:shd w:val="clear" w:color="auto" w:fill="auto"/>
          </w:tcPr>
          <w:p w14:paraId="7FC6E350" w14:textId="1325E5CE" w:rsidR="00223A3F" w:rsidRPr="00465A40" w:rsidRDefault="00223A3F" w:rsidP="000A69BD">
            <w:pPr>
              <w:pStyle w:val="ECCTabletext"/>
              <w:jc w:val="left"/>
            </w:pPr>
            <w:r>
              <w:t>100</w:t>
            </w:r>
            <w:r w:rsidR="00F800A2">
              <w:t>%</w:t>
            </w:r>
          </w:p>
        </w:tc>
        <w:tc>
          <w:tcPr>
            <w:tcW w:w="1621" w:type="dxa"/>
            <w:shd w:val="clear" w:color="auto" w:fill="auto"/>
          </w:tcPr>
          <w:p w14:paraId="0C0B61D6" w14:textId="77777777" w:rsidR="00223A3F" w:rsidRPr="00465A40" w:rsidRDefault="00223A3F" w:rsidP="000A69BD">
            <w:pPr>
              <w:pStyle w:val="ECCTabletext"/>
              <w:jc w:val="left"/>
              <w:rPr>
                <w:highlight w:val="yellow"/>
              </w:rPr>
            </w:pPr>
            <w:r>
              <w:t>-5 dBm/MHz</w:t>
            </w:r>
          </w:p>
        </w:tc>
        <w:tc>
          <w:tcPr>
            <w:tcW w:w="1218" w:type="dxa"/>
            <w:shd w:val="clear" w:color="auto" w:fill="auto"/>
          </w:tcPr>
          <w:p w14:paraId="2BB50644" w14:textId="77777777" w:rsidR="00223A3F" w:rsidRPr="00465A40" w:rsidRDefault="00223A3F" w:rsidP="000A69BD">
            <w:pPr>
              <w:pStyle w:val="ECCTabletext"/>
              <w:jc w:val="left"/>
            </w:pPr>
            <w:r>
              <w:t>45 dBm</w:t>
            </w:r>
          </w:p>
        </w:tc>
        <w:tc>
          <w:tcPr>
            <w:tcW w:w="1294" w:type="dxa"/>
            <w:vMerge/>
          </w:tcPr>
          <w:p w14:paraId="5ABE2908" w14:textId="77777777" w:rsidR="00223A3F" w:rsidRDefault="00223A3F" w:rsidP="00465A40">
            <w:pPr>
              <w:pStyle w:val="ECCTabletext"/>
            </w:pPr>
          </w:p>
        </w:tc>
      </w:tr>
      <w:tr w:rsidR="00223A3F" w:rsidRPr="00C53FB5" w14:paraId="39112223" w14:textId="77777777" w:rsidTr="00906950">
        <w:tc>
          <w:tcPr>
            <w:tcW w:w="1792" w:type="dxa"/>
          </w:tcPr>
          <w:p w14:paraId="40B2F1A5" w14:textId="77777777" w:rsidR="00223A3F" w:rsidRPr="00465A40" w:rsidRDefault="00223A3F" w:rsidP="000A69BD">
            <w:pPr>
              <w:pStyle w:val="ECCTabletext"/>
              <w:jc w:val="left"/>
            </w:pPr>
            <w:r>
              <w:t xml:space="preserve">235 to </w:t>
            </w:r>
            <w:r w:rsidRPr="00465A40">
              <w:t>238 GHz</w:t>
            </w:r>
          </w:p>
        </w:tc>
        <w:tc>
          <w:tcPr>
            <w:tcW w:w="1459" w:type="dxa"/>
            <w:shd w:val="clear" w:color="auto" w:fill="auto"/>
          </w:tcPr>
          <w:p w14:paraId="2BED1458" w14:textId="77777777" w:rsidR="00223A3F" w:rsidRPr="00465A40" w:rsidRDefault="00223A3F" w:rsidP="000A69BD">
            <w:pPr>
              <w:pStyle w:val="ECCTabletext"/>
              <w:jc w:val="left"/>
              <w:rPr>
                <w:highlight w:val="yellow"/>
              </w:rPr>
            </w:pPr>
            <w:r w:rsidRPr="005B29DF">
              <w:t>236</w:t>
            </w:r>
            <w:r w:rsidR="00CF4994">
              <w:t>.5</w:t>
            </w:r>
            <w:r w:rsidRPr="005B29DF">
              <w:t> GHz</w:t>
            </w:r>
          </w:p>
        </w:tc>
        <w:tc>
          <w:tcPr>
            <w:tcW w:w="1294" w:type="dxa"/>
            <w:shd w:val="clear" w:color="auto" w:fill="auto"/>
          </w:tcPr>
          <w:p w14:paraId="41323FCC" w14:textId="77777777" w:rsidR="00223A3F" w:rsidRPr="00465A40" w:rsidRDefault="00223A3F" w:rsidP="000A69BD">
            <w:pPr>
              <w:pStyle w:val="ECCTabletext"/>
              <w:jc w:val="left"/>
            </w:pPr>
            <w:r>
              <w:t>100 GHz</w:t>
            </w:r>
          </w:p>
        </w:tc>
        <w:tc>
          <w:tcPr>
            <w:tcW w:w="951" w:type="dxa"/>
            <w:shd w:val="clear" w:color="auto" w:fill="auto"/>
          </w:tcPr>
          <w:p w14:paraId="3FC6480E" w14:textId="2FEDC63C" w:rsidR="00223A3F" w:rsidRPr="00465A40" w:rsidRDefault="00223A3F" w:rsidP="000A69BD">
            <w:pPr>
              <w:pStyle w:val="ECCTabletext"/>
              <w:jc w:val="left"/>
            </w:pPr>
            <w:r>
              <w:t>100</w:t>
            </w:r>
            <w:r w:rsidR="00F800A2">
              <w:t>%</w:t>
            </w:r>
          </w:p>
        </w:tc>
        <w:tc>
          <w:tcPr>
            <w:tcW w:w="1621" w:type="dxa"/>
            <w:shd w:val="clear" w:color="auto" w:fill="auto"/>
          </w:tcPr>
          <w:p w14:paraId="34C71DD9" w14:textId="77777777" w:rsidR="00223A3F" w:rsidRPr="00465A40" w:rsidRDefault="00223A3F" w:rsidP="000A69BD">
            <w:pPr>
              <w:pStyle w:val="ECCTabletext"/>
              <w:jc w:val="left"/>
              <w:rPr>
                <w:highlight w:val="yellow"/>
              </w:rPr>
            </w:pPr>
            <w:r>
              <w:t>-5 dBm/MHz</w:t>
            </w:r>
          </w:p>
        </w:tc>
        <w:tc>
          <w:tcPr>
            <w:tcW w:w="1218" w:type="dxa"/>
            <w:shd w:val="clear" w:color="auto" w:fill="auto"/>
          </w:tcPr>
          <w:p w14:paraId="55D0E2BA" w14:textId="77777777" w:rsidR="00223A3F" w:rsidRPr="00465A40" w:rsidRDefault="00223A3F" w:rsidP="000A69BD">
            <w:pPr>
              <w:pStyle w:val="ECCTabletext"/>
              <w:jc w:val="left"/>
            </w:pPr>
            <w:r>
              <w:t>45 dBm</w:t>
            </w:r>
          </w:p>
        </w:tc>
        <w:tc>
          <w:tcPr>
            <w:tcW w:w="1294" w:type="dxa"/>
            <w:vMerge/>
          </w:tcPr>
          <w:p w14:paraId="4996CBB1" w14:textId="77777777" w:rsidR="00223A3F" w:rsidRDefault="00223A3F" w:rsidP="00465A40">
            <w:pPr>
              <w:pStyle w:val="ECCTabletext"/>
            </w:pPr>
          </w:p>
        </w:tc>
      </w:tr>
      <w:tr w:rsidR="00223A3F" w:rsidRPr="00C53FB5" w14:paraId="1EAA75C3" w14:textId="77777777" w:rsidTr="00906950">
        <w:tc>
          <w:tcPr>
            <w:tcW w:w="1792" w:type="dxa"/>
          </w:tcPr>
          <w:p w14:paraId="61577493" w14:textId="77777777" w:rsidR="00223A3F" w:rsidRPr="00465A40" w:rsidRDefault="00223A3F" w:rsidP="000A69BD">
            <w:pPr>
              <w:pStyle w:val="ECCTabletext"/>
              <w:jc w:val="left"/>
            </w:pPr>
            <w:r>
              <w:t>239 </w:t>
            </w:r>
            <w:r w:rsidRPr="00465A40">
              <w:t>to 248 GHz</w:t>
            </w:r>
          </w:p>
        </w:tc>
        <w:tc>
          <w:tcPr>
            <w:tcW w:w="1459" w:type="dxa"/>
          </w:tcPr>
          <w:p w14:paraId="73201FC3" w14:textId="77777777" w:rsidR="00223A3F" w:rsidRPr="00465A40" w:rsidRDefault="00223A3F" w:rsidP="000A69BD">
            <w:pPr>
              <w:pStyle w:val="ECCTabletext"/>
              <w:jc w:val="left"/>
              <w:rPr>
                <w:highlight w:val="yellow"/>
              </w:rPr>
            </w:pPr>
            <w:r w:rsidRPr="005B29DF">
              <w:t>239 GHz</w:t>
            </w:r>
          </w:p>
        </w:tc>
        <w:tc>
          <w:tcPr>
            <w:tcW w:w="1294" w:type="dxa"/>
            <w:shd w:val="clear" w:color="auto" w:fill="auto"/>
          </w:tcPr>
          <w:p w14:paraId="326F7F6A" w14:textId="77777777" w:rsidR="00223A3F" w:rsidRPr="00465A40" w:rsidRDefault="00223A3F" w:rsidP="000A69BD">
            <w:pPr>
              <w:pStyle w:val="ECCTabletext"/>
              <w:jc w:val="left"/>
            </w:pPr>
            <w:r>
              <w:t>100 GHz</w:t>
            </w:r>
          </w:p>
        </w:tc>
        <w:tc>
          <w:tcPr>
            <w:tcW w:w="951" w:type="dxa"/>
            <w:shd w:val="clear" w:color="auto" w:fill="auto"/>
          </w:tcPr>
          <w:p w14:paraId="7A77DDD8" w14:textId="4FDAC0B1" w:rsidR="00223A3F" w:rsidRPr="00465A40" w:rsidRDefault="00223A3F" w:rsidP="000A69BD">
            <w:pPr>
              <w:pStyle w:val="ECCTabletext"/>
              <w:jc w:val="left"/>
            </w:pPr>
            <w:r>
              <w:t>100</w:t>
            </w:r>
            <w:r w:rsidR="00F800A2">
              <w:t>%</w:t>
            </w:r>
          </w:p>
        </w:tc>
        <w:tc>
          <w:tcPr>
            <w:tcW w:w="1621" w:type="dxa"/>
            <w:shd w:val="clear" w:color="auto" w:fill="auto"/>
          </w:tcPr>
          <w:p w14:paraId="6386AD97" w14:textId="77777777" w:rsidR="00223A3F" w:rsidRPr="00465A40" w:rsidRDefault="00223A3F" w:rsidP="000A69BD">
            <w:pPr>
              <w:pStyle w:val="ECCTabletext"/>
              <w:jc w:val="left"/>
              <w:rPr>
                <w:highlight w:val="yellow"/>
              </w:rPr>
            </w:pPr>
            <w:r>
              <w:t>-5 dBm/MHz</w:t>
            </w:r>
          </w:p>
        </w:tc>
        <w:tc>
          <w:tcPr>
            <w:tcW w:w="1218" w:type="dxa"/>
            <w:shd w:val="clear" w:color="auto" w:fill="auto"/>
          </w:tcPr>
          <w:p w14:paraId="40BE5917" w14:textId="77777777" w:rsidR="00223A3F" w:rsidRPr="00465A40" w:rsidRDefault="00223A3F" w:rsidP="000A69BD">
            <w:pPr>
              <w:pStyle w:val="ECCTabletext"/>
              <w:jc w:val="left"/>
            </w:pPr>
            <w:r>
              <w:t>45 dBm</w:t>
            </w:r>
          </w:p>
        </w:tc>
        <w:tc>
          <w:tcPr>
            <w:tcW w:w="1294" w:type="dxa"/>
            <w:vMerge/>
          </w:tcPr>
          <w:p w14:paraId="616C9C06" w14:textId="77777777" w:rsidR="00223A3F" w:rsidRDefault="00223A3F" w:rsidP="00465A40">
            <w:pPr>
              <w:pStyle w:val="ECCTabletext"/>
            </w:pPr>
          </w:p>
        </w:tc>
      </w:tr>
      <w:tr w:rsidR="00200700" w:rsidRPr="00C53FB5" w14:paraId="6BDFD395" w14:textId="77777777" w:rsidTr="00200700">
        <w:tc>
          <w:tcPr>
            <w:tcW w:w="9629" w:type="dxa"/>
            <w:gridSpan w:val="7"/>
          </w:tcPr>
          <w:p w14:paraId="0C747CAE" w14:textId="77777777" w:rsidR="00200700" w:rsidRDefault="00200700" w:rsidP="00464AE0">
            <w:pPr>
              <w:pStyle w:val="ECCTablenote"/>
            </w:pPr>
            <w:r>
              <w:t>Note 1</w:t>
            </w:r>
            <w:r w:rsidRPr="00200700">
              <w:t>: Assumed out-of-band attenuation of the RDI-S-signal in adjacent bands allocated to EESS.</w:t>
            </w:r>
          </w:p>
        </w:tc>
      </w:tr>
    </w:tbl>
    <w:p w14:paraId="04C4FA10" w14:textId="1FA69B39" w:rsidR="007D1C82" w:rsidRPr="007D1C82" w:rsidRDefault="00657C13" w:rsidP="007D1C82">
      <w:pPr>
        <w:pStyle w:val="Caption"/>
        <w:rPr>
          <w:rStyle w:val="ECCParagraph"/>
        </w:rPr>
      </w:pPr>
      <w:r w:rsidRPr="00477961">
        <w:t>Table </w:t>
      </w:r>
      <w:r>
        <w:fldChar w:fldCharType="begin"/>
      </w:r>
      <w:r>
        <w:instrText>SEQ Table \* ARABIC</w:instrText>
      </w:r>
      <w:r>
        <w:fldChar w:fldCharType="separate"/>
      </w:r>
      <w:r w:rsidR="004F49F9">
        <w:rPr>
          <w:noProof/>
        </w:rPr>
        <w:t>107</w:t>
      </w:r>
      <w:r>
        <w:fldChar w:fldCharType="end"/>
      </w:r>
      <w:r>
        <w:t xml:space="preserve">: </w:t>
      </w:r>
      <w:r w:rsidR="007D1C82" w:rsidRPr="007D1C82">
        <w:t>Technical parameters of RDI-S used for the conducted studies in EESS frequency allocations inside RR article 5.340 protected bands</w:t>
      </w:r>
    </w:p>
    <w:tbl>
      <w:tblPr>
        <w:tblStyle w:val="ECCTable-redheader"/>
        <w:tblW w:w="5000" w:type="pct"/>
        <w:tblInd w:w="0" w:type="dxa"/>
        <w:tblLook w:val="04A0" w:firstRow="1" w:lastRow="0" w:firstColumn="1" w:lastColumn="0" w:noHBand="0" w:noVBand="1"/>
      </w:tblPr>
      <w:tblGrid>
        <w:gridCol w:w="1605"/>
        <w:gridCol w:w="1537"/>
        <w:gridCol w:w="1294"/>
        <w:gridCol w:w="953"/>
        <w:gridCol w:w="1814"/>
        <w:gridCol w:w="1132"/>
        <w:gridCol w:w="1294"/>
      </w:tblGrid>
      <w:tr w:rsidR="00906950" w:rsidRPr="00566944" w14:paraId="457DA42A" w14:textId="77777777" w:rsidTr="007326E5">
        <w:trPr>
          <w:cnfStyle w:val="100000000000" w:firstRow="1" w:lastRow="0" w:firstColumn="0" w:lastColumn="0" w:oddVBand="0" w:evenVBand="0" w:oddHBand="0" w:evenHBand="0" w:firstRowFirstColumn="0" w:firstRowLastColumn="0" w:lastRowFirstColumn="0" w:lastRowLastColumn="0"/>
        </w:trPr>
        <w:tc>
          <w:tcPr>
            <w:tcW w:w="833" w:type="pct"/>
          </w:tcPr>
          <w:p w14:paraId="13B9DFE7" w14:textId="77777777" w:rsidR="00906950" w:rsidRPr="00906950" w:rsidRDefault="00906950" w:rsidP="00876039">
            <w:pPr>
              <w:pStyle w:val="ECCTableHeaderwhitefont"/>
            </w:pPr>
            <w:r w:rsidRPr="00906950">
              <w:t>Investigated frequency range</w:t>
            </w:r>
          </w:p>
        </w:tc>
        <w:tc>
          <w:tcPr>
            <w:tcW w:w="798" w:type="pct"/>
          </w:tcPr>
          <w:p w14:paraId="5CCF5B36" w14:textId="77777777" w:rsidR="00906950" w:rsidRPr="00906950" w:rsidRDefault="00906950" w:rsidP="000A69BD">
            <w:pPr>
              <w:pStyle w:val="ECCTableHeaderwhitefont"/>
            </w:pPr>
            <w:r w:rsidRPr="00906950">
              <w:t>Investigated centre frequency</w:t>
            </w:r>
          </w:p>
        </w:tc>
        <w:tc>
          <w:tcPr>
            <w:tcW w:w="672" w:type="pct"/>
          </w:tcPr>
          <w:p w14:paraId="19EB0C99" w14:textId="77777777" w:rsidR="00906950" w:rsidRPr="00906950" w:rsidRDefault="00906950" w:rsidP="000A69BD">
            <w:pPr>
              <w:pStyle w:val="ECCTableHeaderwhitefont"/>
            </w:pPr>
            <w:r w:rsidRPr="00906950">
              <w:t>Assumed modulation bandwidth</w:t>
            </w:r>
          </w:p>
        </w:tc>
        <w:tc>
          <w:tcPr>
            <w:tcW w:w="495" w:type="pct"/>
          </w:tcPr>
          <w:p w14:paraId="694F0539" w14:textId="77777777" w:rsidR="00906950" w:rsidRPr="00906950" w:rsidRDefault="00906950" w:rsidP="000A69BD">
            <w:pPr>
              <w:pStyle w:val="ECCTableHeaderwhitefont"/>
            </w:pPr>
            <w:r w:rsidRPr="00906950">
              <w:t>Duty cycle</w:t>
            </w:r>
          </w:p>
        </w:tc>
        <w:tc>
          <w:tcPr>
            <w:tcW w:w="942" w:type="pct"/>
          </w:tcPr>
          <w:p w14:paraId="17884C07" w14:textId="77777777" w:rsidR="00906950" w:rsidRPr="00906950" w:rsidRDefault="00906950" w:rsidP="000A69BD">
            <w:pPr>
              <w:pStyle w:val="ECCTableHeaderwhitefont"/>
            </w:pPr>
            <w:r w:rsidRPr="00906950">
              <w:t xml:space="preserve">Mean e.i.r.p. spectral density </w:t>
            </w:r>
          </w:p>
        </w:tc>
        <w:tc>
          <w:tcPr>
            <w:tcW w:w="588" w:type="pct"/>
          </w:tcPr>
          <w:p w14:paraId="62D966BB" w14:textId="77777777" w:rsidR="00906950" w:rsidRPr="00906950" w:rsidRDefault="00906950" w:rsidP="000A69BD">
            <w:pPr>
              <w:pStyle w:val="ECCTableHeaderwhitefont"/>
            </w:pPr>
            <w:r w:rsidRPr="00906950">
              <w:t>Peak e.i.r.p.</w:t>
            </w:r>
          </w:p>
        </w:tc>
        <w:tc>
          <w:tcPr>
            <w:tcW w:w="672" w:type="pct"/>
          </w:tcPr>
          <w:p w14:paraId="49470AFF" w14:textId="77777777" w:rsidR="00906950" w:rsidRPr="00906950" w:rsidRDefault="00906950" w:rsidP="000A69BD">
            <w:pPr>
              <w:pStyle w:val="ECCTableHeaderwhitefont"/>
            </w:pPr>
            <w:r w:rsidRPr="00906950">
              <w:t>OOB attenuation (Note 1)</w:t>
            </w:r>
          </w:p>
        </w:tc>
      </w:tr>
      <w:tr w:rsidR="00223A3F" w:rsidRPr="00C53FB5" w14:paraId="6F504812" w14:textId="77777777" w:rsidTr="007326E5">
        <w:tc>
          <w:tcPr>
            <w:tcW w:w="833" w:type="pct"/>
          </w:tcPr>
          <w:p w14:paraId="000FBCB3" w14:textId="77777777" w:rsidR="00223A3F" w:rsidRPr="007D1C82" w:rsidRDefault="00223A3F" w:rsidP="000A69BD">
            <w:pPr>
              <w:pStyle w:val="ECCTabletext"/>
              <w:jc w:val="left"/>
            </w:pPr>
            <w:r w:rsidRPr="00C53FB5">
              <w:t>114</w:t>
            </w:r>
            <w:r w:rsidR="00CF4994">
              <w:t>.2</w:t>
            </w:r>
            <w:r w:rsidRPr="00C53FB5">
              <w:t>5 to 116 GHz</w:t>
            </w:r>
          </w:p>
        </w:tc>
        <w:tc>
          <w:tcPr>
            <w:tcW w:w="798" w:type="pct"/>
          </w:tcPr>
          <w:p w14:paraId="76C6BF8B" w14:textId="77777777" w:rsidR="00223A3F" w:rsidRPr="007D1C82" w:rsidRDefault="00223A3F" w:rsidP="000A69BD">
            <w:pPr>
              <w:pStyle w:val="ECCTabletext"/>
              <w:jc w:val="left"/>
              <w:rPr>
                <w:highlight w:val="yellow"/>
              </w:rPr>
            </w:pPr>
            <w:r w:rsidRPr="00C53FB5">
              <w:t>115</w:t>
            </w:r>
            <w:r w:rsidR="00CF4994">
              <w:t>.1</w:t>
            </w:r>
            <w:r w:rsidRPr="00C53FB5">
              <w:t>25 GHz</w:t>
            </w:r>
          </w:p>
        </w:tc>
        <w:tc>
          <w:tcPr>
            <w:tcW w:w="672" w:type="pct"/>
            <w:shd w:val="clear" w:color="auto" w:fill="auto"/>
          </w:tcPr>
          <w:p w14:paraId="41AF3142" w14:textId="77777777" w:rsidR="00223A3F" w:rsidRPr="007D1C82" w:rsidRDefault="00223A3F" w:rsidP="000A69BD">
            <w:pPr>
              <w:pStyle w:val="ECCTabletext"/>
              <w:jc w:val="left"/>
            </w:pPr>
            <w:r>
              <w:t>100</w:t>
            </w:r>
            <w:r w:rsidRPr="00223A3F">
              <w:t> GHz</w:t>
            </w:r>
          </w:p>
        </w:tc>
        <w:tc>
          <w:tcPr>
            <w:tcW w:w="495" w:type="pct"/>
            <w:shd w:val="clear" w:color="auto" w:fill="auto"/>
          </w:tcPr>
          <w:p w14:paraId="79017888" w14:textId="161F186D" w:rsidR="00223A3F" w:rsidRPr="007D1C82" w:rsidRDefault="00223A3F" w:rsidP="000A69BD">
            <w:pPr>
              <w:pStyle w:val="ECCTabletext"/>
              <w:jc w:val="left"/>
              <w:rPr>
                <w:highlight w:val="yellow"/>
              </w:rPr>
            </w:pPr>
            <w:r w:rsidRPr="00B9577F">
              <w:t>100</w:t>
            </w:r>
            <w:r w:rsidR="00F800A2">
              <w:t>%</w:t>
            </w:r>
          </w:p>
        </w:tc>
        <w:tc>
          <w:tcPr>
            <w:tcW w:w="942" w:type="pct"/>
            <w:shd w:val="clear" w:color="auto" w:fill="auto"/>
          </w:tcPr>
          <w:p w14:paraId="4879E527" w14:textId="77777777" w:rsidR="00223A3F" w:rsidRPr="007D1C82" w:rsidRDefault="00223A3F" w:rsidP="000A69BD">
            <w:pPr>
              <w:pStyle w:val="ECCTabletext"/>
              <w:jc w:val="left"/>
              <w:rPr>
                <w:highlight w:val="yellow"/>
              </w:rPr>
            </w:pPr>
            <w:r>
              <w:t>-1</w:t>
            </w:r>
            <w:r w:rsidR="00C149C3">
              <w:t>5</w:t>
            </w:r>
            <w:r>
              <w:t> dBm/MHz</w:t>
            </w:r>
          </w:p>
        </w:tc>
        <w:tc>
          <w:tcPr>
            <w:tcW w:w="588" w:type="pct"/>
            <w:shd w:val="clear" w:color="auto" w:fill="auto"/>
          </w:tcPr>
          <w:p w14:paraId="0758EACE" w14:textId="77777777" w:rsidR="00223A3F" w:rsidRPr="007D1C82" w:rsidRDefault="00C149C3" w:rsidP="000A69BD">
            <w:pPr>
              <w:pStyle w:val="ECCTabletext"/>
              <w:jc w:val="left"/>
            </w:pPr>
            <w:r>
              <w:t>35</w:t>
            </w:r>
            <w:r w:rsidR="00223A3F" w:rsidRPr="00280FF9">
              <w:t> dBm</w:t>
            </w:r>
          </w:p>
        </w:tc>
        <w:tc>
          <w:tcPr>
            <w:tcW w:w="672" w:type="pct"/>
            <w:vMerge w:val="restart"/>
          </w:tcPr>
          <w:p w14:paraId="793487F2" w14:textId="77777777" w:rsidR="00223A3F" w:rsidRPr="00280FF9" w:rsidRDefault="00223A3F" w:rsidP="000A69BD">
            <w:pPr>
              <w:pStyle w:val="ECCTabletext"/>
              <w:jc w:val="left"/>
            </w:pPr>
            <w:r>
              <w:t>10 dB</w:t>
            </w:r>
          </w:p>
        </w:tc>
      </w:tr>
      <w:tr w:rsidR="00223A3F" w:rsidRPr="00C53FB5" w14:paraId="722A255A" w14:textId="77777777" w:rsidTr="007326E5">
        <w:tc>
          <w:tcPr>
            <w:tcW w:w="833" w:type="pct"/>
          </w:tcPr>
          <w:p w14:paraId="75E9CFCD" w14:textId="77777777" w:rsidR="00223A3F" w:rsidRPr="00465A40" w:rsidRDefault="00223A3F" w:rsidP="000A69BD">
            <w:pPr>
              <w:pStyle w:val="ECCTabletext"/>
              <w:jc w:val="left"/>
            </w:pPr>
            <w:r w:rsidRPr="00C53FB5">
              <w:t>148</w:t>
            </w:r>
            <w:r w:rsidR="00CF4994">
              <w:t>.5</w:t>
            </w:r>
            <w:r w:rsidRPr="00C53FB5">
              <w:t xml:space="preserve"> to 151</w:t>
            </w:r>
            <w:r w:rsidR="00CF4994">
              <w:t>.5</w:t>
            </w:r>
            <w:r w:rsidRPr="00C53FB5">
              <w:t> GHz</w:t>
            </w:r>
          </w:p>
        </w:tc>
        <w:tc>
          <w:tcPr>
            <w:tcW w:w="798" w:type="pct"/>
          </w:tcPr>
          <w:p w14:paraId="25D5CFA7" w14:textId="77777777" w:rsidR="00223A3F" w:rsidRPr="00465A40" w:rsidRDefault="00223A3F" w:rsidP="000A69BD">
            <w:pPr>
              <w:pStyle w:val="ECCTabletext"/>
              <w:jc w:val="left"/>
              <w:rPr>
                <w:highlight w:val="yellow"/>
              </w:rPr>
            </w:pPr>
            <w:r w:rsidRPr="00C53FB5">
              <w:t>150 GHz</w:t>
            </w:r>
          </w:p>
        </w:tc>
        <w:tc>
          <w:tcPr>
            <w:tcW w:w="672" w:type="pct"/>
            <w:shd w:val="clear" w:color="auto" w:fill="auto"/>
          </w:tcPr>
          <w:p w14:paraId="168C0DF7" w14:textId="77777777" w:rsidR="00223A3F" w:rsidRPr="00465A40" w:rsidRDefault="00223A3F" w:rsidP="000A69BD">
            <w:pPr>
              <w:pStyle w:val="ECCTabletext"/>
              <w:jc w:val="left"/>
            </w:pPr>
            <w:r>
              <w:t>100</w:t>
            </w:r>
            <w:r w:rsidRPr="00223A3F">
              <w:t> GHz</w:t>
            </w:r>
          </w:p>
        </w:tc>
        <w:tc>
          <w:tcPr>
            <w:tcW w:w="495" w:type="pct"/>
            <w:shd w:val="clear" w:color="auto" w:fill="auto"/>
          </w:tcPr>
          <w:p w14:paraId="16007D79" w14:textId="41F8C412"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2BDA3C09" w14:textId="77777777" w:rsidR="00223A3F" w:rsidRPr="00465A40" w:rsidRDefault="00223A3F" w:rsidP="000A69BD">
            <w:pPr>
              <w:pStyle w:val="ECCTabletext"/>
              <w:jc w:val="left"/>
              <w:rPr>
                <w:highlight w:val="yellow"/>
              </w:rPr>
            </w:pPr>
            <w:r>
              <w:t>-1</w:t>
            </w:r>
            <w:r w:rsidR="00C149C3">
              <w:t>5</w:t>
            </w:r>
            <w:r>
              <w:t> dBm/MHz</w:t>
            </w:r>
          </w:p>
        </w:tc>
        <w:tc>
          <w:tcPr>
            <w:tcW w:w="588" w:type="pct"/>
            <w:shd w:val="clear" w:color="auto" w:fill="auto"/>
          </w:tcPr>
          <w:p w14:paraId="6E3DFE22" w14:textId="77777777" w:rsidR="00223A3F" w:rsidRPr="00465A40" w:rsidRDefault="00C149C3" w:rsidP="000A69BD">
            <w:pPr>
              <w:pStyle w:val="ECCTabletext"/>
              <w:jc w:val="left"/>
            </w:pPr>
            <w:r>
              <w:t>35</w:t>
            </w:r>
            <w:r w:rsidR="00223A3F" w:rsidRPr="00280FF9">
              <w:t> dBm</w:t>
            </w:r>
          </w:p>
        </w:tc>
        <w:tc>
          <w:tcPr>
            <w:tcW w:w="672" w:type="pct"/>
            <w:vMerge/>
          </w:tcPr>
          <w:p w14:paraId="5B4B4886" w14:textId="77777777" w:rsidR="00223A3F" w:rsidRPr="00465A40" w:rsidRDefault="00223A3F" w:rsidP="00465A40">
            <w:pPr>
              <w:pStyle w:val="ECCTabletext"/>
            </w:pPr>
          </w:p>
        </w:tc>
      </w:tr>
      <w:tr w:rsidR="00223A3F" w:rsidRPr="00C53FB5" w14:paraId="0499E20B" w14:textId="77777777" w:rsidTr="007326E5">
        <w:tc>
          <w:tcPr>
            <w:tcW w:w="833" w:type="pct"/>
          </w:tcPr>
          <w:p w14:paraId="55E7E461" w14:textId="77777777" w:rsidR="00223A3F" w:rsidRPr="00465A40" w:rsidRDefault="00223A3F" w:rsidP="000A69BD">
            <w:pPr>
              <w:pStyle w:val="ECCTabletext"/>
              <w:jc w:val="left"/>
            </w:pPr>
            <w:r w:rsidRPr="00C53FB5">
              <w:t>164 to 167</w:t>
            </w:r>
            <w:r w:rsidRPr="00465A40">
              <w:t> GHz</w:t>
            </w:r>
          </w:p>
        </w:tc>
        <w:tc>
          <w:tcPr>
            <w:tcW w:w="798" w:type="pct"/>
          </w:tcPr>
          <w:p w14:paraId="3C3152A7" w14:textId="77777777" w:rsidR="00223A3F" w:rsidRPr="00465A40" w:rsidRDefault="00223A3F" w:rsidP="000A69BD">
            <w:pPr>
              <w:pStyle w:val="ECCTabletext"/>
              <w:jc w:val="left"/>
              <w:rPr>
                <w:highlight w:val="yellow"/>
              </w:rPr>
            </w:pPr>
            <w:r w:rsidRPr="00C53FB5">
              <w:t>165</w:t>
            </w:r>
            <w:r w:rsidR="00CF4994">
              <w:t>.5</w:t>
            </w:r>
            <w:r w:rsidRPr="00C53FB5">
              <w:t> GHz</w:t>
            </w:r>
          </w:p>
        </w:tc>
        <w:tc>
          <w:tcPr>
            <w:tcW w:w="672" w:type="pct"/>
            <w:shd w:val="clear" w:color="auto" w:fill="auto"/>
          </w:tcPr>
          <w:p w14:paraId="4B3C9C58" w14:textId="77777777" w:rsidR="00223A3F" w:rsidRPr="00465A40" w:rsidRDefault="00223A3F" w:rsidP="000A69BD">
            <w:pPr>
              <w:pStyle w:val="ECCTabletext"/>
              <w:jc w:val="left"/>
            </w:pPr>
            <w:r>
              <w:t>100</w:t>
            </w:r>
            <w:r w:rsidRPr="00223A3F">
              <w:t> GHz</w:t>
            </w:r>
          </w:p>
        </w:tc>
        <w:tc>
          <w:tcPr>
            <w:tcW w:w="495" w:type="pct"/>
            <w:shd w:val="clear" w:color="auto" w:fill="auto"/>
          </w:tcPr>
          <w:p w14:paraId="6F46C757" w14:textId="7F86C266"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095A399D" w14:textId="77777777" w:rsidR="00223A3F" w:rsidRPr="00465A40" w:rsidRDefault="00223A3F" w:rsidP="000A69BD">
            <w:pPr>
              <w:pStyle w:val="ECCTabletext"/>
              <w:jc w:val="left"/>
              <w:rPr>
                <w:highlight w:val="yellow"/>
              </w:rPr>
            </w:pPr>
            <w:r>
              <w:t>-1</w:t>
            </w:r>
            <w:r w:rsidR="00C149C3">
              <w:t>5</w:t>
            </w:r>
            <w:r>
              <w:t> dBm/MHz</w:t>
            </w:r>
          </w:p>
        </w:tc>
        <w:tc>
          <w:tcPr>
            <w:tcW w:w="588" w:type="pct"/>
            <w:shd w:val="clear" w:color="auto" w:fill="auto"/>
          </w:tcPr>
          <w:p w14:paraId="6560E9D0" w14:textId="77777777" w:rsidR="00223A3F" w:rsidRPr="00465A40" w:rsidRDefault="00C149C3" w:rsidP="000A69BD">
            <w:pPr>
              <w:pStyle w:val="ECCTabletext"/>
              <w:jc w:val="left"/>
            </w:pPr>
            <w:r>
              <w:t>35</w:t>
            </w:r>
            <w:r w:rsidR="00223A3F" w:rsidRPr="00465A40">
              <w:t> dBm</w:t>
            </w:r>
          </w:p>
        </w:tc>
        <w:tc>
          <w:tcPr>
            <w:tcW w:w="672" w:type="pct"/>
            <w:vMerge/>
          </w:tcPr>
          <w:p w14:paraId="51F6D017" w14:textId="77777777" w:rsidR="00223A3F" w:rsidRPr="00465A40" w:rsidRDefault="00223A3F" w:rsidP="00465A40">
            <w:pPr>
              <w:pStyle w:val="ECCTabletext"/>
            </w:pPr>
          </w:p>
        </w:tc>
      </w:tr>
      <w:tr w:rsidR="00223A3F" w:rsidRPr="00C53FB5" w14:paraId="2F94C44E" w14:textId="77777777" w:rsidTr="007326E5">
        <w:tc>
          <w:tcPr>
            <w:tcW w:w="833" w:type="pct"/>
          </w:tcPr>
          <w:p w14:paraId="1E8171C0" w14:textId="77777777" w:rsidR="00223A3F" w:rsidRPr="00465A40" w:rsidRDefault="00223A3F" w:rsidP="000A69BD">
            <w:pPr>
              <w:pStyle w:val="ECCTabletext"/>
              <w:jc w:val="left"/>
            </w:pPr>
            <w:r w:rsidRPr="00C53FB5">
              <w:t>182 to 185 GHz</w:t>
            </w:r>
          </w:p>
        </w:tc>
        <w:tc>
          <w:tcPr>
            <w:tcW w:w="798" w:type="pct"/>
          </w:tcPr>
          <w:p w14:paraId="66F59D9A" w14:textId="77777777" w:rsidR="00223A3F" w:rsidRPr="00465A40" w:rsidRDefault="00223A3F" w:rsidP="000A69BD">
            <w:pPr>
              <w:pStyle w:val="ECCTabletext"/>
              <w:jc w:val="left"/>
              <w:rPr>
                <w:highlight w:val="yellow"/>
              </w:rPr>
            </w:pPr>
            <w:r w:rsidRPr="00C53FB5">
              <w:t>183</w:t>
            </w:r>
            <w:r w:rsidR="00CF4994">
              <w:t>.5</w:t>
            </w:r>
            <w:r w:rsidRPr="00C53FB5">
              <w:t> GHz</w:t>
            </w:r>
          </w:p>
        </w:tc>
        <w:tc>
          <w:tcPr>
            <w:tcW w:w="672" w:type="pct"/>
            <w:shd w:val="clear" w:color="auto" w:fill="auto"/>
          </w:tcPr>
          <w:p w14:paraId="77AC0864" w14:textId="77777777" w:rsidR="00223A3F" w:rsidRPr="00465A40" w:rsidRDefault="00223A3F" w:rsidP="000A69BD">
            <w:pPr>
              <w:pStyle w:val="ECCTabletext"/>
              <w:jc w:val="left"/>
            </w:pPr>
            <w:r>
              <w:t>100</w:t>
            </w:r>
            <w:r w:rsidRPr="00223A3F">
              <w:t> GHz</w:t>
            </w:r>
          </w:p>
        </w:tc>
        <w:tc>
          <w:tcPr>
            <w:tcW w:w="495" w:type="pct"/>
            <w:shd w:val="clear" w:color="auto" w:fill="auto"/>
          </w:tcPr>
          <w:p w14:paraId="1DCAD04D" w14:textId="6FDCB76A"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08A5EA13" w14:textId="77777777" w:rsidR="00223A3F" w:rsidRPr="00465A40" w:rsidRDefault="00223A3F" w:rsidP="000A69BD">
            <w:pPr>
              <w:pStyle w:val="ECCTabletext"/>
              <w:jc w:val="left"/>
              <w:rPr>
                <w:highlight w:val="yellow"/>
              </w:rPr>
            </w:pPr>
            <w:r>
              <w:t>-1</w:t>
            </w:r>
            <w:r w:rsidR="00C149C3">
              <w:t>5</w:t>
            </w:r>
            <w:r>
              <w:t> dBm/MHz</w:t>
            </w:r>
          </w:p>
        </w:tc>
        <w:tc>
          <w:tcPr>
            <w:tcW w:w="588" w:type="pct"/>
            <w:shd w:val="clear" w:color="auto" w:fill="auto"/>
          </w:tcPr>
          <w:p w14:paraId="6011950C" w14:textId="77777777" w:rsidR="00223A3F" w:rsidRPr="00465A40" w:rsidRDefault="00223A3F" w:rsidP="000A69BD">
            <w:pPr>
              <w:pStyle w:val="ECCTabletext"/>
              <w:jc w:val="left"/>
            </w:pPr>
            <w:r w:rsidRPr="00280FF9">
              <w:t>3</w:t>
            </w:r>
            <w:r w:rsidR="00C149C3">
              <w:t>5</w:t>
            </w:r>
            <w:r w:rsidRPr="00280FF9">
              <w:t> dBm</w:t>
            </w:r>
          </w:p>
        </w:tc>
        <w:tc>
          <w:tcPr>
            <w:tcW w:w="672" w:type="pct"/>
            <w:vMerge/>
          </w:tcPr>
          <w:p w14:paraId="1D8FC567" w14:textId="77777777" w:rsidR="00223A3F" w:rsidRPr="00465A40" w:rsidRDefault="00223A3F" w:rsidP="00465A40">
            <w:pPr>
              <w:pStyle w:val="ECCTabletext"/>
            </w:pPr>
          </w:p>
        </w:tc>
      </w:tr>
      <w:tr w:rsidR="00223A3F" w:rsidRPr="00C53FB5" w14:paraId="680D840F" w14:textId="77777777" w:rsidTr="007326E5">
        <w:tc>
          <w:tcPr>
            <w:tcW w:w="833" w:type="pct"/>
          </w:tcPr>
          <w:p w14:paraId="793BAD8A" w14:textId="77777777" w:rsidR="00223A3F" w:rsidRPr="00465A40" w:rsidRDefault="00223A3F" w:rsidP="000A69BD">
            <w:pPr>
              <w:pStyle w:val="ECCTabletext"/>
              <w:jc w:val="left"/>
            </w:pPr>
            <w:r w:rsidRPr="00C53FB5">
              <w:t>190 to 191</w:t>
            </w:r>
            <w:r w:rsidR="00CF4994">
              <w:t>.8</w:t>
            </w:r>
            <w:r w:rsidRPr="00C53FB5">
              <w:t> GHz</w:t>
            </w:r>
          </w:p>
        </w:tc>
        <w:tc>
          <w:tcPr>
            <w:tcW w:w="798" w:type="pct"/>
          </w:tcPr>
          <w:p w14:paraId="017D72BC" w14:textId="77777777" w:rsidR="00223A3F" w:rsidRPr="00465A40" w:rsidRDefault="00223A3F" w:rsidP="000A69BD">
            <w:pPr>
              <w:pStyle w:val="ECCTabletext"/>
              <w:jc w:val="left"/>
              <w:rPr>
                <w:highlight w:val="yellow"/>
              </w:rPr>
            </w:pPr>
            <w:r w:rsidRPr="00C53FB5">
              <w:t>190</w:t>
            </w:r>
            <w:r w:rsidR="00CF4994">
              <w:t>.9</w:t>
            </w:r>
            <w:r w:rsidRPr="00C53FB5">
              <w:t> GHz</w:t>
            </w:r>
          </w:p>
        </w:tc>
        <w:tc>
          <w:tcPr>
            <w:tcW w:w="672" w:type="pct"/>
            <w:shd w:val="clear" w:color="auto" w:fill="auto"/>
          </w:tcPr>
          <w:p w14:paraId="44A7437B" w14:textId="77777777" w:rsidR="00223A3F" w:rsidRPr="00465A40" w:rsidRDefault="00223A3F" w:rsidP="000A69BD">
            <w:pPr>
              <w:pStyle w:val="ECCTabletext"/>
              <w:jc w:val="left"/>
            </w:pPr>
            <w:r>
              <w:t>100</w:t>
            </w:r>
            <w:r w:rsidRPr="00223A3F">
              <w:t> GHz</w:t>
            </w:r>
          </w:p>
        </w:tc>
        <w:tc>
          <w:tcPr>
            <w:tcW w:w="495" w:type="pct"/>
            <w:shd w:val="clear" w:color="auto" w:fill="auto"/>
          </w:tcPr>
          <w:p w14:paraId="5FD48D77" w14:textId="01756129"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7843F3FB" w14:textId="77777777" w:rsidR="00223A3F" w:rsidRPr="00465A40" w:rsidRDefault="00223A3F" w:rsidP="000A69BD">
            <w:pPr>
              <w:pStyle w:val="ECCTabletext"/>
              <w:jc w:val="left"/>
              <w:rPr>
                <w:highlight w:val="yellow"/>
              </w:rPr>
            </w:pPr>
            <w:r>
              <w:t>-15 dBm/MHz</w:t>
            </w:r>
          </w:p>
        </w:tc>
        <w:tc>
          <w:tcPr>
            <w:tcW w:w="588" w:type="pct"/>
            <w:shd w:val="clear" w:color="auto" w:fill="auto"/>
          </w:tcPr>
          <w:p w14:paraId="61F3D7A5" w14:textId="77777777" w:rsidR="00223A3F" w:rsidRPr="00465A40" w:rsidRDefault="00223A3F" w:rsidP="000A69BD">
            <w:pPr>
              <w:pStyle w:val="ECCTabletext"/>
              <w:jc w:val="left"/>
            </w:pPr>
            <w:r w:rsidRPr="00280FF9">
              <w:t>3</w:t>
            </w:r>
            <w:r w:rsidR="00C149C3">
              <w:t>5</w:t>
            </w:r>
            <w:r w:rsidRPr="00280FF9">
              <w:t> dBm</w:t>
            </w:r>
          </w:p>
        </w:tc>
        <w:tc>
          <w:tcPr>
            <w:tcW w:w="672" w:type="pct"/>
            <w:vMerge/>
          </w:tcPr>
          <w:p w14:paraId="62A4D1B2" w14:textId="77777777" w:rsidR="00223A3F" w:rsidRPr="00465A40" w:rsidRDefault="00223A3F" w:rsidP="00465A40">
            <w:pPr>
              <w:pStyle w:val="ECCTabletext"/>
            </w:pPr>
          </w:p>
        </w:tc>
      </w:tr>
      <w:tr w:rsidR="00223A3F" w:rsidRPr="00C53FB5" w14:paraId="75470BC3" w14:textId="77777777" w:rsidTr="007326E5">
        <w:tc>
          <w:tcPr>
            <w:tcW w:w="833" w:type="pct"/>
          </w:tcPr>
          <w:p w14:paraId="699030F4" w14:textId="77777777" w:rsidR="00223A3F" w:rsidRPr="00465A40" w:rsidRDefault="00223A3F" w:rsidP="000A69BD">
            <w:pPr>
              <w:pStyle w:val="ECCTabletext"/>
              <w:jc w:val="left"/>
            </w:pPr>
            <w:r w:rsidRPr="00C53FB5">
              <w:t>200 to 209 GHz</w:t>
            </w:r>
          </w:p>
        </w:tc>
        <w:tc>
          <w:tcPr>
            <w:tcW w:w="798" w:type="pct"/>
          </w:tcPr>
          <w:p w14:paraId="5BB2E3FF" w14:textId="77777777" w:rsidR="00223A3F" w:rsidRPr="00465A40" w:rsidRDefault="00223A3F" w:rsidP="000A69BD">
            <w:pPr>
              <w:pStyle w:val="ECCTabletext"/>
              <w:jc w:val="left"/>
              <w:rPr>
                <w:highlight w:val="yellow"/>
              </w:rPr>
            </w:pPr>
            <w:r w:rsidRPr="00C53FB5">
              <w:t>204</w:t>
            </w:r>
            <w:r w:rsidR="00CF4994">
              <w:t>.5</w:t>
            </w:r>
            <w:r w:rsidRPr="00C53FB5">
              <w:t> GHz</w:t>
            </w:r>
          </w:p>
        </w:tc>
        <w:tc>
          <w:tcPr>
            <w:tcW w:w="672" w:type="pct"/>
            <w:shd w:val="clear" w:color="auto" w:fill="auto"/>
          </w:tcPr>
          <w:p w14:paraId="78E181EE" w14:textId="77777777" w:rsidR="00223A3F" w:rsidRPr="00465A40" w:rsidRDefault="00223A3F" w:rsidP="000A69BD">
            <w:pPr>
              <w:pStyle w:val="ECCTabletext"/>
              <w:jc w:val="left"/>
            </w:pPr>
            <w:r>
              <w:t>100</w:t>
            </w:r>
            <w:r w:rsidRPr="00223A3F">
              <w:t> GHz</w:t>
            </w:r>
          </w:p>
        </w:tc>
        <w:tc>
          <w:tcPr>
            <w:tcW w:w="495" w:type="pct"/>
            <w:shd w:val="clear" w:color="auto" w:fill="auto"/>
          </w:tcPr>
          <w:p w14:paraId="7E426E8F" w14:textId="0F1D1AEB"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559861C1" w14:textId="77777777" w:rsidR="00223A3F" w:rsidRPr="00465A40" w:rsidRDefault="00223A3F" w:rsidP="000A69BD">
            <w:pPr>
              <w:pStyle w:val="ECCTabletext"/>
              <w:jc w:val="left"/>
              <w:rPr>
                <w:highlight w:val="yellow"/>
              </w:rPr>
            </w:pPr>
            <w:r>
              <w:t>-15 dBm/MHz</w:t>
            </w:r>
          </w:p>
        </w:tc>
        <w:tc>
          <w:tcPr>
            <w:tcW w:w="588" w:type="pct"/>
            <w:shd w:val="clear" w:color="auto" w:fill="auto"/>
          </w:tcPr>
          <w:p w14:paraId="51EB020D" w14:textId="77777777" w:rsidR="00223A3F" w:rsidRPr="00465A40" w:rsidRDefault="00223A3F" w:rsidP="000A69BD">
            <w:pPr>
              <w:pStyle w:val="ECCTabletext"/>
              <w:jc w:val="left"/>
            </w:pPr>
            <w:r w:rsidRPr="00280FF9">
              <w:t>3</w:t>
            </w:r>
            <w:r w:rsidR="00C149C3">
              <w:t>5</w:t>
            </w:r>
            <w:r w:rsidRPr="00280FF9">
              <w:t> dBm</w:t>
            </w:r>
          </w:p>
        </w:tc>
        <w:tc>
          <w:tcPr>
            <w:tcW w:w="672" w:type="pct"/>
            <w:vMerge/>
            <w:vAlign w:val="top"/>
          </w:tcPr>
          <w:p w14:paraId="3FBA9DDD" w14:textId="77777777" w:rsidR="00223A3F" w:rsidRPr="00465A40" w:rsidRDefault="00223A3F" w:rsidP="00465A40">
            <w:pPr>
              <w:pStyle w:val="ECCTabletext"/>
            </w:pPr>
          </w:p>
        </w:tc>
      </w:tr>
      <w:tr w:rsidR="00223A3F" w:rsidRPr="00C53FB5" w14:paraId="6D8E9F94" w14:textId="77777777" w:rsidTr="007326E5">
        <w:tc>
          <w:tcPr>
            <w:tcW w:w="833" w:type="pct"/>
          </w:tcPr>
          <w:p w14:paraId="419B27EF" w14:textId="77777777" w:rsidR="00223A3F" w:rsidRPr="00465A40" w:rsidRDefault="00223A3F" w:rsidP="000A69BD">
            <w:pPr>
              <w:pStyle w:val="ECCTabletext"/>
              <w:jc w:val="left"/>
            </w:pPr>
            <w:r w:rsidRPr="00C53FB5">
              <w:t>226 to 231</w:t>
            </w:r>
            <w:r w:rsidR="00CF4994">
              <w:t>.5</w:t>
            </w:r>
            <w:r w:rsidRPr="00C53FB5">
              <w:t> GHz</w:t>
            </w:r>
          </w:p>
        </w:tc>
        <w:tc>
          <w:tcPr>
            <w:tcW w:w="798" w:type="pct"/>
          </w:tcPr>
          <w:p w14:paraId="7857CB78" w14:textId="77777777" w:rsidR="00223A3F" w:rsidRPr="00465A40" w:rsidRDefault="00223A3F" w:rsidP="000A69BD">
            <w:pPr>
              <w:pStyle w:val="ECCTabletext"/>
              <w:jc w:val="left"/>
              <w:rPr>
                <w:highlight w:val="yellow"/>
              </w:rPr>
            </w:pPr>
            <w:r w:rsidRPr="00C53FB5">
              <w:t>228</w:t>
            </w:r>
            <w:r w:rsidR="00CF4994">
              <w:t>.7</w:t>
            </w:r>
            <w:r w:rsidRPr="00465A40">
              <w:t>5 GHz</w:t>
            </w:r>
          </w:p>
        </w:tc>
        <w:tc>
          <w:tcPr>
            <w:tcW w:w="672" w:type="pct"/>
            <w:shd w:val="clear" w:color="auto" w:fill="auto"/>
          </w:tcPr>
          <w:p w14:paraId="5B25BE04" w14:textId="77777777" w:rsidR="00223A3F" w:rsidRPr="00465A40" w:rsidRDefault="00223A3F" w:rsidP="000A69BD">
            <w:pPr>
              <w:pStyle w:val="ECCTabletext"/>
              <w:jc w:val="left"/>
            </w:pPr>
            <w:r>
              <w:t>100</w:t>
            </w:r>
            <w:r w:rsidRPr="00223A3F">
              <w:t> GHz</w:t>
            </w:r>
          </w:p>
        </w:tc>
        <w:tc>
          <w:tcPr>
            <w:tcW w:w="495" w:type="pct"/>
            <w:shd w:val="clear" w:color="auto" w:fill="auto"/>
          </w:tcPr>
          <w:p w14:paraId="51F7905F" w14:textId="6A9E659D"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216A5C16" w14:textId="77777777" w:rsidR="00223A3F" w:rsidRPr="00465A40" w:rsidRDefault="00223A3F" w:rsidP="000A69BD">
            <w:pPr>
              <w:pStyle w:val="ECCTabletext"/>
              <w:jc w:val="left"/>
              <w:rPr>
                <w:highlight w:val="yellow"/>
              </w:rPr>
            </w:pPr>
            <w:r>
              <w:t>-15 dBm/MHz</w:t>
            </w:r>
          </w:p>
        </w:tc>
        <w:tc>
          <w:tcPr>
            <w:tcW w:w="588" w:type="pct"/>
            <w:shd w:val="clear" w:color="auto" w:fill="auto"/>
          </w:tcPr>
          <w:p w14:paraId="085B8E17" w14:textId="77777777" w:rsidR="00223A3F" w:rsidRPr="00465A40" w:rsidRDefault="00223A3F" w:rsidP="000A69BD">
            <w:pPr>
              <w:pStyle w:val="ECCTabletext"/>
              <w:jc w:val="left"/>
            </w:pPr>
            <w:r w:rsidRPr="00280FF9">
              <w:t>3</w:t>
            </w:r>
            <w:r w:rsidR="00C149C3">
              <w:t>5</w:t>
            </w:r>
            <w:r w:rsidRPr="00280FF9">
              <w:t> dBm</w:t>
            </w:r>
          </w:p>
        </w:tc>
        <w:tc>
          <w:tcPr>
            <w:tcW w:w="672" w:type="pct"/>
            <w:vMerge/>
            <w:vAlign w:val="top"/>
          </w:tcPr>
          <w:p w14:paraId="3B66B085" w14:textId="77777777" w:rsidR="00223A3F" w:rsidRPr="00465A40" w:rsidRDefault="00223A3F" w:rsidP="00465A40">
            <w:pPr>
              <w:pStyle w:val="ECCTabletext"/>
            </w:pPr>
          </w:p>
        </w:tc>
      </w:tr>
      <w:tr w:rsidR="00223A3F" w:rsidRPr="00C53FB5" w14:paraId="5D396833" w14:textId="77777777" w:rsidTr="007326E5">
        <w:tc>
          <w:tcPr>
            <w:tcW w:w="833" w:type="pct"/>
          </w:tcPr>
          <w:p w14:paraId="138CD2A0" w14:textId="77777777" w:rsidR="00223A3F" w:rsidRPr="00465A40" w:rsidRDefault="00223A3F" w:rsidP="000A69BD">
            <w:pPr>
              <w:pStyle w:val="ECCTabletext"/>
              <w:jc w:val="left"/>
            </w:pPr>
            <w:r>
              <w:t>250 to 252 GHz</w:t>
            </w:r>
          </w:p>
        </w:tc>
        <w:tc>
          <w:tcPr>
            <w:tcW w:w="798" w:type="pct"/>
          </w:tcPr>
          <w:p w14:paraId="1C79004B" w14:textId="77777777" w:rsidR="00223A3F" w:rsidRPr="00465A40" w:rsidRDefault="00223A3F" w:rsidP="000A69BD">
            <w:pPr>
              <w:pStyle w:val="ECCTabletext"/>
              <w:jc w:val="left"/>
              <w:rPr>
                <w:highlight w:val="yellow"/>
              </w:rPr>
            </w:pPr>
            <w:r w:rsidRPr="00C53FB5">
              <w:t>251 GHz</w:t>
            </w:r>
          </w:p>
        </w:tc>
        <w:tc>
          <w:tcPr>
            <w:tcW w:w="672" w:type="pct"/>
            <w:shd w:val="clear" w:color="auto" w:fill="auto"/>
          </w:tcPr>
          <w:p w14:paraId="690D119D" w14:textId="77777777" w:rsidR="00223A3F" w:rsidRPr="00465A40" w:rsidRDefault="00223A3F" w:rsidP="000A69BD">
            <w:pPr>
              <w:pStyle w:val="ECCTabletext"/>
              <w:jc w:val="left"/>
            </w:pPr>
            <w:r>
              <w:t>100</w:t>
            </w:r>
            <w:r w:rsidRPr="00223A3F">
              <w:t> GHz</w:t>
            </w:r>
          </w:p>
        </w:tc>
        <w:tc>
          <w:tcPr>
            <w:tcW w:w="495" w:type="pct"/>
            <w:shd w:val="clear" w:color="auto" w:fill="auto"/>
          </w:tcPr>
          <w:p w14:paraId="3569A21B" w14:textId="59AD1EDF"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307CB921" w14:textId="77777777" w:rsidR="00223A3F" w:rsidRPr="00465A40" w:rsidRDefault="00223A3F" w:rsidP="000A69BD">
            <w:pPr>
              <w:pStyle w:val="ECCTabletext"/>
              <w:jc w:val="left"/>
              <w:rPr>
                <w:highlight w:val="yellow"/>
              </w:rPr>
            </w:pPr>
            <w:r>
              <w:t>-15 dBm/MHz</w:t>
            </w:r>
          </w:p>
        </w:tc>
        <w:tc>
          <w:tcPr>
            <w:tcW w:w="588" w:type="pct"/>
            <w:shd w:val="clear" w:color="auto" w:fill="auto"/>
          </w:tcPr>
          <w:p w14:paraId="3BD7003A" w14:textId="77777777" w:rsidR="00223A3F" w:rsidRPr="00465A40" w:rsidRDefault="00223A3F" w:rsidP="000A69BD">
            <w:pPr>
              <w:pStyle w:val="ECCTabletext"/>
              <w:jc w:val="left"/>
            </w:pPr>
            <w:r w:rsidRPr="00280FF9">
              <w:t>3</w:t>
            </w:r>
            <w:r w:rsidR="00C149C3">
              <w:t>5</w:t>
            </w:r>
            <w:r w:rsidRPr="00280FF9">
              <w:t> dBm</w:t>
            </w:r>
          </w:p>
        </w:tc>
        <w:tc>
          <w:tcPr>
            <w:tcW w:w="672" w:type="pct"/>
            <w:vMerge/>
            <w:vAlign w:val="top"/>
          </w:tcPr>
          <w:p w14:paraId="423097B9" w14:textId="77777777" w:rsidR="00223A3F" w:rsidRPr="00465A40" w:rsidRDefault="00223A3F" w:rsidP="00465A40">
            <w:pPr>
              <w:pStyle w:val="ECCTabletext"/>
            </w:pPr>
          </w:p>
        </w:tc>
      </w:tr>
      <w:tr w:rsidR="00200700" w:rsidRPr="00C53FB5" w14:paraId="2BAA8CD3" w14:textId="77777777" w:rsidTr="007326E5">
        <w:tc>
          <w:tcPr>
            <w:tcW w:w="5000" w:type="pct"/>
            <w:gridSpan w:val="7"/>
          </w:tcPr>
          <w:p w14:paraId="7E5F5E1D" w14:textId="77777777" w:rsidR="00200700" w:rsidRPr="00465A40" w:rsidRDefault="00200700" w:rsidP="00464AE0">
            <w:pPr>
              <w:pStyle w:val="ECCTablenote"/>
            </w:pPr>
            <w:r>
              <w:t>Note 1</w:t>
            </w:r>
            <w:r w:rsidRPr="00200700">
              <w:t>: Assumed out-of-band attenuation of the RDI-S-signal in adjacent bands allocated to EESS.</w:t>
            </w:r>
          </w:p>
        </w:tc>
      </w:tr>
    </w:tbl>
    <w:p w14:paraId="48E95218" w14:textId="77777777" w:rsidR="007D1C82" w:rsidRDefault="007D1C82" w:rsidP="007D1C82">
      <w:pPr>
        <w:pStyle w:val="Heading3"/>
      </w:pPr>
      <w:bookmarkStart w:id="775" w:name="_Ref67330660"/>
      <w:bookmarkStart w:id="776" w:name="_Toc84325425"/>
      <w:bookmarkStart w:id="777" w:name="_Toc127346347"/>
      <w:r>
        <w:t>Results</w:t>
      </w:r>
      <w:bookmarkEnd w:id="775"/>
      <w:bookmarkEnd w:id="776"/>
      <w:bookmarkEnd w:id="777"/>
    </w:p>
    <w:p w14:paraId="39FF3B96" w14:textId="0EF330BB" w:rsidR="007D1C82" w:rsidRPr="007D1C82" w:rsidRDefault="007459E2" w:rsidP="007D1C82">
      <w:r>
        <w:fldChar w:fldCharType="begin"/>
      </w:r>
      <w:r>
        <w:instrText xml:space="preserve"> REF _Ref67242630 \h </w:instrText>
      </w:r>
      <w:r>
        <w:fldChar w:fldCharType="separate"/>
      </w:r>
      <w:r w:rsidR="0041125F" w:rsidRPr="00477961">
        <w:t>Table </w:t>
      </w:r>
      <w:r w:rsidR="0041125F">
        <w:rPr>
          <w:noProof/>
        </w:rPr>
        <w:t>108</w:t>
      </w:r>
      <w:r>
        <w:fldChar w:fldCharType="end"/>
      </w:r>
      <w:r>
        <w:t xml:space="preserve"> </w:t>
      </w:r>
      <w:r w:rsidRPr="007D1C82">
        <w:t>shows the single-entry and</w:t>
      </w:r>
      <w:r>
        <w:t xml:space="preserve"> </w:t>
      </w:r>
      <w:r>
        <w:fldChar w:fldCharType="begin"/>
      </w:r>
      <w:r>
        <w:instrText xml:space="preserve"> REF _Ref89343516 \h </w:instrText>
      </w:r>
      <w:r>
        <w:fldChar w:fldCharType="separate"/>
      </w:r>
      <w:r w:rsidR="0041125F" w:rsidRPr="00477961">
        <w:t>Table </w:t>
      </w:r>
      <w:r w:rsidR="0041125F">
        <w:rPr>
          <w:noProof/>
        </w:rPr>
        <w:t>109</w:t>
      </w:r>
      <w:r>
        <w:fldChar w:fldCharType="end"/>
      </w:r>
      <w:r>
        <w:t xml:space="preserve"> </w:t>
      </w:r>
      <w:r w:rsidR="007D1C82" w:rsidRPr="007D1C82">
        <w:t xml:space="preserve">the aggregate </w:t>
      </w:r>
      <w:r w:rsidR="00791D2C">
        <w:t>worst</w:t>
      </w:r>
      <w:r w:rsidR="007D1C82" w:rsidRPr="007D1C82">
        <w:t>-case results for RDI-S, e.g. the residual margins for the individual frequency ranges outside RR article 5.340 protected bands, and EESS victim sensors. A positive margin indicates that the interference criterion is fulfilled and a negative margin that the criterion is violated.</w:t>
      </w:r>
    </w:p>
    <w:p w14:paraId="0F9DAD4E" w14:textId="657D2081" w:rsidR="007D1C82" w:rsidRDefault="00657C13" w:rsidP="007D1C82">
      <w:pPr>
        <w:pStyle w:val="Caption"/>
      </w:pPr>
      <w:bookmarkStart w:id="778" w:name="_Ref67242630"/>
      <w:r w:rsidRPr="00477961">
        <w:t>Table </w:t>
      </w:r>
      <w:r>
        <w:fldChar w:fldCharType="begin"/>
      </w:r>
      <w:r>
        <w:instrText>SEQ Table \* ARABIC</w:instrText>
      </w:r>
      <w:r>
        <w:fldChar w:fldCharType="separate"/>
      </w:r>
      <w:r w:rsidR="004F49F9">
        <w:rPr>
          <w:noProof/>
        </w:rPr>
        <w:t>108</w:t>
      </w:r>
      <w:r>
        <w:fldChar w:fldCharType="end"/>
      </w:r>
      <w:bookmarkEnd w:id="778"/>
      <w:r w:rsidR="007D1C82">
        <w:t xml:space="preserve">: </w:t>
      </w:r>
      <w:r w:rsidR="007D1C82" w:rsidRPr="006231F5">
        <w:t xml:space="preserve">Margins to the </w:t>
      </w:r>
      <w:r w:rsidR="007D1C82">
        <w:t xml:space="preserve">EESS </w:t>
      </w:r>
      <w:r w:rsidR="007D1C82" w:rsidRPr="006231F5">
        <w:t xml:space="preserve">interference criterion determined in a single-entry study </w:t>
      </w:r>
      <w:r w:rsidR="007D1C82" w:rsidRPr="003E1728">
        <w:t>for RDI-S</w:t>
      </w:r>
      <w:r w:rsidR="007D1C82">
        <w:t xml:space="preserve"> in frequency ranges outside RR article 5.340 protected bands</w:t>
      </w:r>
    </w:p>
    <w:tbl>
      <w:tblPr>
        <w:tblStyle w:val="ECCTable-redheader"/>
        <w:tblW w:w="5000" w:type="pct"/>
        <w:tblInd w:w="0" w:type="dxa"/>
        <w:tblLook w:val="04A0" w:firstRow="1" w:lastRow="0" w:firstColumn="1" w:lastColumn="0" w:noHBand="0" w:noVBand="1"/>
      </w:tblPr>
      <w:tblGrid>
        <w:gridCol w:w="1413"/>
        <w:gridCol w:w="2611"/>
        <w:gridCol w:w="1458"/>
        <w:gridCol w:w="2219"/>
        <w:gridCol w:w="1928"/>
      </w:tblGrid>
      <w:tr w:rsidR="007D1C82" w14:paraId="3E447E23" w14:textId="77777777" w:rsidTr="007326E5">
        <w:trPr>
          <w:cnfStyle w:val="100000000000" w:firstRow="1" w:lastRow="0" w:firstColumn="0" w:lastColumn="0" w:oddVBand="0" w:evenVBand="0" w:oddHBand="0" w:evenHBand="0" w:firstRowFirstColumn="0" w:firstRowLastColumn="0" w:lastRowFirstColumn="0" w:lastRowLastColumn="0"/>
        </w:trPr>
        <w:tc>
          <w:tcPr>
            <w:tcW w:w="734" w:type="pct"/>
          </w:tcPr>
          <w:p w14:paraId="2F0E4B93" w14:textId="77777777" w:rsidR="007D1C82" w:rsidRPr="007D1C82" w:rsidRDefault="007D1C82" w:rsidP="00876039">
            <w:pPr>
              <w:pStyle w:val="ECCTableHeaderwhitefont"/>
            </w:pPr>
            <w:r w:rsidRPr="00566944">
              <w:t>Investigated Frequency range</w:t>
            </w:r>
          </w:p>
        </w:tc>
        <w:tc>
          <w:tcPr>
            <w:tcW w:w="1356" w:type="pct"/>
          </w:tcPr>
          <w:p w14:paraId="52760FC2" w14:textId="77777777" w:rsidR="007D1C82" w:rsidRPr="007D1C82" w:rsidRDefault="007D1C82" w:rsidP="000A69BD">
            <w:pPr>
              <w:pStyle w:val="ECCTableHeaderwhitefont"/>
            </w:pPr>
            <w:r w:rsidRPr="007D1C82">
              <w:t>Allocated band for EESS</w:t>
            </w:r>
          </w:p>
        </w:tc>
        <w:tc>
          <w:tcPr>
            <w:tcW w:w="757" w:type="pct"/>
          </w:tcPr>
          <w:p w14:paraId="164758A6" w14:textId="77777777" w:rsidR="007D1C82" w:rsidRPr="007D1C82" w:rsidRDefault="007D1C82" w:rsidP="000A69BD">
            <w:pPr>
              <w:pStyle w:val="ECCTableHeaderwhitefont"/>
            </w:pPr>
            <w:r w:rsidRPr="007D1C82">
              <w:t>Investigated centre frequency</w:t>
            </w:r>
          </w:p>
        </w:tc>
        <w:tc>
          <w:tcPr>
            <w:tcW w:w="1152" w:type="pct"/>
          </w:tcPr>
          <w:p w14:paraId="4A20A39B" w14:textId="77777777" w:rsidR="007D1C82" w:rsidRPr="007D1C82" w:rsidRDefault="007D1C82" w:rsidP="000A69BD">
            <w:pPr>
              <w:pStyle w:val="ECCTableHeaderwhitefont"/>
            </w:pPr>
            <w:r w:rsidRPr="007D1C82">
              <w:t>EESS victim sensor</w:t>
            </w:r>
          </w:p>
        </w:tc>
        <w:tc>
          <w:tcPr>
            <w:tcW w:w="1001" w:type="pct"/>
          </w:tcPr>
          <w:p w14:paraId="61316033" w14:textId="77777777" w:rsidR="007D1C82" w:rsidRPr="007D1C82" w:rsidRDefault="007D1C82" w:rsidP="000A69BD">
            <w:pPr>
              <w:pStyle w:val="ECCTableHeaderwhitefont"/>
            </w:pPr>
            <w:r w:rsidRPr="007D1C82">
              <w:t>Margin to interference criterion</w:t>
            </w:r>
          </w:p>
        </w:tc>
      </w:tr>
      <w:tr w:rsidR="007D1C82" w14:paraId="1660E0EB" w14:textId="77777777" w:rsidTr="007326E5">
        <w:tc>
          <w:tcPr>
            <w:tcW w:w="734" w:type="pct"/>
            <w:vMerge w:val="restart"/>
          </w:tcPr>
          <w:p w14:paraId="64A7D6FC" w14:textId="77777777" w:rsidR="007D1C82" w:rsidRPr="007D1C82" w:rsidRDefault="007D1C82" w:rsidP="000A69BD">
            <w:pPr>
              <w:pStyle w:val="ECCTabletext"/>
              <w:jc w:val="left"/>
            </w:pPr>
            <w:r w:rsidRPr="009B5279">
              <w:t>116 to 260 GHz</w:t>
            </w:r>
          </w:p>
        </w:tc>
        <w:tc>
          <w:tcPr>
            <w:tcW w:w="1356" w:type="pct"/>
          </w:tcPr>
          <w:p w14:paraId="15EF6C53" w14:textId="77777777" w:rsidR="007D1C82" w:rsidRPr="007D1C82" w:rsidRDefault="007D1C82" w:rsidP="000A69BD">
            <w:pPr>
              <w:pStyle w:val="ECCTabletext"/>
              <w:jc w:val="left"/>
            </w:pPr>
            <w:r>
              <w:t>114</w:t>
            </w:r>
            <w:r w:rsidR="00CF4994">
              <w:t>.2</w:t>
            </w:r>
            <w:r>
              <w:t>5 to 122</w:t>
            </w:r>
            <w:r w:rsidR="00CF4994">
              <w:t>.2</w:t>
            </w:r>
            <w:r>
              <w:t>5 GHz</w:t>
            </w:r>
            <w:r w:rsidR="00465A40">
              <w:t xml:space="preserve"> (in-band)</w:t>
            </w:r>
          </w:p>
        </w:tc>
        <w:tc>
          <w:tcPr>
            <w:tcW w:w="757" w:type="pct"/>
          </w:tcPr>
          <w:p w14:paraId="1D1B5969" w14:textId="77777777" w:rsidR="007D1C82" w:rsidRPr="007D1C82" w:rsidRDefault="007D1C82" w:rsidP="000A69BD">
            <w:pPr>
              <w:pStyle w:val="ECCTabletext"/>
              <w:jc w:val="left"/>
            </w:pPr>
            <w:r w:rsidRPr="00B00B56">
              <w:t>119</w:t>
            </w:r>
            <w:r w:rsidR="00CF4994">
              <w:t>.1</w:t>
            </w:r>
            <w:r w:rsidRPr="00B00B56">
              <w:t>25 GHz</w:t>
            </w:r>
          </w:p>
        </w:tc>
        <w:tc>
          <w:tcPr>
            <w:tcW w:w="1152" w:type="pct"/>
          </w:tcPr>
          <w:p w14:paraId="3D41DFE5" w14:textId="77777777" w:rsidR="007D1C82" w:rsidRPr="007D1C82" w:rsidRDefault="007D1C82" w:rsidP="000A69BD">
            <w:pPr>
              <w:pStyle w:val="ECCTabletext"/>
              <w:jc w:val="left"/>
            </w:pPr>
            <w:r>
              <w:t>MWI conical scanner</w:t>
            </w:r>
          </w:p>
        </w:tc>
        <w:tc>
          <w:tcPr>
            <w:tcW w:w="1001" w:type="pct"/>
          </w:tcPr>
          <w:p w14:paraId="23372A5C" w14:textId="77777777" w:rsidR="007D1C82" w:rsidRPr="007D1C82" w:rsidRDefault="008D6E1F" w:rsidP="000A69BD">
            <w:pPr>
              <w:pStyle w:val="ECCTabletext"/>
              <w:jc w:val="left"/>
            </w:pPr>
            <w:r>
              <w:t>30</w:t>
            </w:r>
            <w:r w:rsidR="00CF4994">
              <w:t>.7</w:t>
            </w:r>
            <w:r w:rsidR="007D1C82">
              <w:t> dB</w:t>
            </w:r>
          </w:p>
        </w:tc>
      </w:tr>
      <w:tr w:rsidR="007D1C82" w14:paraId="32AB52D5" w14:textId="77777777" w:rsidTr="007326E5">
        <w:tc>
          <w:tcPr>
            <w:tcW w:w="734" w:type="pct"/>
            <w:vMerge/>
          </w:tcPr>
          <w:p w14:paraId="1DA15484" w14:textId="77777777" w:rsidR="007D1C82" w:rsidRDefault="007D1C82" w:rsidP="007D1C82">
            <w:pPr>
              <w:pStyle w:val="ECCTabletext"/>
            </w:pPr>
          </w:p>
        </w:tc>
        <w:tc>
          <w:tcPr>
            <w:tcW w:w="1356" w:type="pct"/>
            <w:vMerge w:val="restart"/>
          </w:tcPr>
          <w:p w14:paraId="513407D2" w14:textId="77777777" w:rsidR="007D1C82" w:rsidRPr="007D1C82" w:rsidRDefault="007D1C82" w:rsidP="000A69BD">
            <w:pPr>
              <w:pStyle w:val="ECCTabletext"/>
              <w:jc w:val="left"/>
            </w:pPr>
            <w:r>
              <w:t>174</w:t>
            </w:r>
            <w:r w:rsidR="00CF4994">
              <w:t>.8</w:t>
            </w:r>
            <w:r>
              <w:t xml:space="preserve"> to 191</w:t>
            </w:r>
            <w:r w:rsidR="00CF4994">
              <w:t>.8</w:t>
            </w:r>
            <w:r>
              <w:t> GHz</w:t>
            </w:r>
            <w:r w:rsidR="00465A40">
              <w:t xml:space="preserve"> (In-band)</w:t>
            </w:r>
          </w:p>
        </w:tc>
        <w:tc>
          <w:tcPr>
            <w:tcW w:w="757" w:type="pct"/>
          </w:tcPr>
          <w:p w14:paraId="541CE226" w14:textId="77777777" w:rsidR="007D1C82" w:rsidRPr="007D1C82" w:rsidRDefault="007D1C82" w:rsidP="000A69BD">
            <w:pPr>
              <w:pStyle w:val="ECCTabletext"/>
              <w:jc w:val="left"/>
            </w:pPr>
            <w:r w:rsidRPr="00F87F4A">
              <w:t>178</w:t>
            </w:r>
            <w:r w:rsidR="00CF4994">
              <w:t>.4</w:t>
            </w:r>
            <w:r w:rsidRPr="00F87F4A">
              <w:t> GHz</w:t>
            </w:r>
          </w:p>
        </w:tc>
        <w:tc>
          <w:tcPr>
            <w:tcW w:w="1152" w:type="pct"/>
          </w:tcPr>
          <w:p w14:paraId="731CA3FE" w14:textId="77777777" w:rsidR="007D1C82" w:rsidRPr="007D1C82" w:rsidRDefault="007D1C82" w:rsidP="000A69BD">
            <w:pPr>
              <w:pStyle w:val="ECCTabletext"/>
              <w:jc w:val="left"/>
            </w:pPr>
            <w:r>
              <w:t>AWS nadir scanner (at nadir)</w:t>
            </w:r>
          </w:p>
        </w:tc>
        <w:tc>
          <w:tcPr>
            <w:tcW w:w="1001" w:type="pct"/>
          </w:tcPr>
          <w:p w14:paraId="2CCC3F76" w14:textId="77777777" w:rsidR="007D1C82" w:rsidRPr="007D1C82" w:rsidRDefault="002B15C6" w:rsidP="000A69BD">
            <w:pPr>
              <w:pStyle w:val="ECCTabletext"/>
              <w:jc w:val="left"/>
            </w:pPr>
            <w:r>
              <w:t>26</w:t>
            </w:r>
            <w:r w:rsidR="00CF4994">
              <w:t>.3</w:t>
            </w:r>
            <w:r w:rsidR="007D1C82">
              <w:t> dB</w:t>
            </w:r>
          </w:p>
        </w:tc>
      </w:tr>
      <w:tr w:rsidR="007D1C82" w14:paraId="7B7FB9D7" w14:textId="77777777" w:rsidTr="007326E5">
        <w:tc>
          <w:tcPr>
            <w:tcW w:w="734" w:type="pct"/>
            <w:vMerge/>
          </w:tcPr>
          <w:p w14:paraId="71957B5C" w14:textId="77777777" w:rsidR="007D1C82" w:rsidRDefault="007D1C82" w:rsidP="007D1C82">
            <w:pPr>
              <w:pStyle w:val="ECCTabletext"/>
            </w:pPr>
          </w:p>
        </w:tc>
        <w:tc>
          <w:tcPr>
            <w:tcW w:w="1356" w:type="pct"/>
            <w:vMerge/>
          </w:tcPr>
          <w:p w14:paraId="0EAA6B4A" w14:textId="77777777" w:rsidR="007D1C82" w:rsidRDefault="007D1C82" w:rsidP="007D1C82">
            <w:pPr>
              <w:pStyle w:val="ECCTabletext"/>
            </w:pPr>
          </w:p>
        </w:tc>
        <w:tc>
          <w:tcPr>
            <w:tcW w:w="757" w:type="pct"/>
          </w:tcPr>
          <w:p w14:paraId="3AE2BAE4" w14:textId="77777777" w:rsidR="007D1C82" w:rsidRPr="007D1C82" w:rsidRDefault="007D1C82" w:rsidP="000A69BD">
            <w:pPr>
              <w:pStyle w:val="ECCTabletext"/>
              <w:jc w:val="left"/>
            </w:pPr>
            <w:r w:rsidRPr="00806917">
              <w:t>187</w:t>
            </w:r>
            <w:r w:rsidR="00CF4994">
              <w:t>.5</w:t>
            </w:r>
            <w:r w:rsidRPr="00806917">
              <w:t> GHz</w:t>
            </w:r>
          </w:p>
        </w:tc>
        <w:tc>
          <w:tcPr>
            <w:tcW w:w="1152" w:type="pct"/>
          </w:tcPr>
          <w:p w14:paraId="2728A1D5" w14:textId="77777777" w:rsidR="007D1C82" w:rsidRPr="007D1C82" w:rsidRDefault="007D1C82" w:rsidP="000A69BD">
            <w:pPr>
              <w:pStyle w:val="ECCTabletext"/>
              <w:jc w:val="left"/>
            </w:pPr>
            <w:r>
              <w:t>AWS nadir scanner (at nadir)</w:t>
            </w:r>
          </w:p>
        </w:tc>
        <w:tc>
          <w:tcPr>
            <w:tcW w:w="1001" w:type="pct"/>
          </w:tcPr>
          <w:p w14:paraId="5CD53C86" w14:textId="77777777" w:rsidR="007D1C82" w:rsidRPr="007D1C82" w:rsidRDefault="007D1C82" w:rsidP="000A69BD">
            <w:pPr>
              <w:pStyle w:val="ECCTabletext"/>
              <w:jc w:val="left"/>
            </w:pPr>
            <w:r>
              <w:t>4</w:t>
            </w:r>
            <w:r w:rsidR="008D6E1F">
              <w:t>1</w:t>
            </w:r>
            <w:r w:rsidR="00CF4994">
              <w:t>.8</w:t>
            </w:r>
            <w:r>
              <w:t> dB</w:t>
            </w:r>
          </w:p>
        </w:tc>
      </w:tr>
      <w:tr w:rsidR="007D1C82" w14:paraId="0A6A1F4F" w14:textId="77777777" w:rsidTr="007326E5">
        <w:tc>
          <w:tcPr>
            <w:tcW w:w="734" w:type="pct"/>
            <w:vMerge/>
          </w:tcPr>
          <w:p w14:paraId="6E097326" w14:textId="77777777" w:rsidR="007D1C82" w:rsidRDefault="007D1C82" w:rsidP="007D1C82">
            <w:pPr>
              <w:pStyle w:val="ECCTabletext"/>
            </w:pPr>
          </w:p>
        </w:tc>
        <w:tc>
          <w:tcPr>
            <w:tcW w:w="1356" w:type="pct"/>
          </w:tcPr>
          <w:p w14:paraId="7B93775B" w14:textId="77777777" w:rsidR="007D1C82" w:rsidRPr="007D1C82" w:rsidRDefault="007D1C82" w:rsidP="000A69BD">
            <w:pPr>
              <w:pStyle w:val="ECCTabletext"/>
              <w:jc w:val="left"/>
            </w:pPr>
            <w:r>
              <w:t>235 to 238 GHz</w:t>
            </w:r>
            <w:r w:rsidR="00465A40">
              <w:t xml:space="preserve"> (In-band)</w:t>
            </w:r>
          </w:p>
        </w:tc>
        <w:tc>
          <w:tcPr>
            <w:tcW w:w="757" w:type="pct"/>
          </w:tcPr>
          <w:p w14:paraId="6356D651" w14:textId="77777777" w:rsidR="007D1C82" w:rsidRPr="007D1C82" w:rsidRDefault="007D1C82" w:rsidP="000A69BD">
            <w:pPr>
              <w:pStyle w:val="ECCTabletext"/>
              <w:jc w:val="left"/>
            </w:pPr>
            <w:r w:rsidRPr="005B29DF">
              <w:t>236</w:t>
            </w:r>
            <w:r w:rsidR="00CF4994">
              <w:t>.5</w:t>
            </w:r>
            <w:r w:rsidRPr="005B29DF">
              <w:t> GHz</w:t>
            </w:r>
          </w:p>
        </w:tc>
        <w:tc>
          <w:tcPr>
            <w:tcW w:w="1152" w:type="pct"/>
          </w:tcPr>
          <w:p w14:paraId="1568CFCC" w14:textId="77777777" w:rsidR="007D1C82" w:rsidRPr="007D1C82" w:rsidRDefault="007D1C82" w:rsidP="000A69BD">
            <w:pPr>
              <w:pStyle w:val="ECCTabletext"/>
              <w:jc w:val="left"/>
            </w:pPr>
            <w:r>
              <w:t>MWI conical scanner</w:t>
            </w:r>
          </w:p>
        </w:tc>
        <w:tc>
          <w:tcPr>
            <w:tcW w:w="1001" w:type="pct"/>
          </w:tcPr>
          <w:p w14:paraId="70F88DF0" w14:textId="77777777" w:rsidR="007D1C82" w:rsidRPr="007D1C82" w:rsidRDefault="008D6E1F" w:rsidP="000A69BD">
            <w:pPr>
              <w:pStyle w:val="ECCTabletext"/>
              <w:jc w:val="left"/>
            </w:pPr>
            <w:r>
              <w:t>43</w:t>
            </w:r>
            <w:r w:rsidR="00CF4994">
              <w:t>.1</w:t>
            </w:r>
            <w:r w:rsidR="007D1C82">
              <w:t> dB</w:t>
            </w:r>
          </w:p>
        </w:tc>
      </w:tr>
      <w:tr w:rsidR="007D1C82" w14:paraId="756221B3" w14:textId="77777777" w:rsidTr="007326E5">
        <w:tc>
          <w:tcPr>
            <w:tcW w:w="734" w:type="pct"/>
            <w:vMerge/>
          </w:tcPr>
          <w:p w14:paraId="243FDB90" w14:textId="77777777" w:rsidR="007D1C82" w:rsidRDefault="007D1C82" w:rsidP="007D1C82">
            <w:pPr>
              <w:pStyle w:val="ECCTabletext"/>
            </w:pPr>
          </w:p>
        </w:tc>
        <w:tc>
          <w:tcPr>
            <w:tcW w:w="1356" w:type="pct"/>
          </w:tcPr>
          <w:p w14:paraId="40D6F030" w14:textId="77777777" w:rsidR="007D1C82" w:rsidRPr="007D1C82" w:rsidRDefault="007D1C82" w:rsidP="000A69BD">
            <w:pPr>
              <w:pStyle w:val="ECCTabletext"/>
              <w:jc w:val="left"/>
            </w:pPr>
            <w:r>
              <w:t>239 to 248 GHz</w:t>
            </w:r>
            <w:r w:rsidR="00465A40">
              <w:t xml:space="preserve"> (In-band)</w:t>
            </w:r>
          </w:p>
        </w:tc>
        <w:tc>
          <w:tcPr>
            <w:tcW w:w="757" w:type="pct"/>
          </w:tcPr>
          <w:p w14:paraId="10C94937" w14:textId="77777777" w:rsidR="007D1C82" w:rsidRPr="007D1C82" w:rsidRDefault="007D1C82" w:rsidP="000A69BD">
            <w:pPr>
              <w:pStyle w:val="ECCTabletext"/>
              <w:jc w:val="left"/>
            </w:pPr>
            <w:r w:rsidRPr="005B29DF">
              <w:t>239 GHz</w:t>
            </w:r>
          </w:p>
        </w:tc>
        <w:tc>
          <w:tcPr>
            <w:tcW w:w="1152" w:type="pct"/>
          </w:tcPr>
          <w:p w14:paraId="150A8C6A" w14:textId="77777777" w:rsidR="007D1C82" w:rsidRPr="007D1C82" w:rsidRDefault="007D1C82" w:rsidP="000A69BD">
            <w:pPr>
              <w:pStyle w:val="ECCTabletext"/>
              <w:jc w:val="left"/>
            </w:pPr>
            <w:r>
              <w:t>AWS nadir scanner (at nadir)</w:t>
            </w:r>
          </w:p>
        </w:tc>
        <w:tc>
          <w:tcPr>
            <w:tcW w:w="1001" w:type="pct"/>
          </w:tcPr>
          <w:p w14:paraId="50B97248" w14:textId="77777777" w:rsidR="007D1C82" w:rsidRPr="007D1C82" w:rsidRDefault="008D6E1F" w:rsidP="000A69BD">
            <w:pPr>
              <w:pStyle w:val="ECCTabletext"/>
              <w:jc w:val="left"/>
            </w:pPr>
            <w:r>
              <w:t>43</w:t>
            </w:r>
            <w:r w:rsidR="00CF4994">
              <w:t>.9</w:t>
            </w:r>
            <w:r w:rsidR="007D1C82">
              <w:t> dB</w:t>
            </w:r>
          </w:p>
        </w:tc>
      </w:tr>
    </w:tbl>
    <w:p w14:paraId="50B3BF4C" w14:textId="464BA1D6" w:rsidR="007D1C82" w:rsidRDefault="00657C13" w:rsidP="00D371AD">
      <w:pPr>
        <w:pStyle w:val="Caption"/>
        <w:keepNext/>
      </w:pPr>
      <w:bookmarkStart w:id="779" w:name="_Ref67242637"/>
      <w:bookmarkStart w:id="780" w:name="_Ref89343516"/>
      <w:r w:rsidRPr="00477961">
        <w:t>Table </w:t>
      </w:r>
      <w:r>
        <w:fldChar w:fldCharType="begin"/>
      </w:r>
      <w:r>
        <w:instrText>SEQ Table \* ARABIC</w:instrText>
      </w:r>
      <w:r>
        <w:fldChar w:fldCharType="separate"/>
      </w:r>
      <w:r w:rsidR="004F49F9">
        <w:rPr>
          <w:noProof/>
        </w:rPr>
        <w:t>109</w:t>
      </w:r>
      <w:r>
        <w:fldChar w:fldCharType="end"/>
      </w:r>
      <w:bookmarkEnd w:id="779"/>
      <w:bookmarkEnd w:id="780"/>
      <w:r w:rsidR="007D1C82">
        <w:t xml:space="preserve">: </w:t>
      </w:r>
      <w:r w:rsidR="007D1C82" w:rsidRPr="006231F5">
        <w:t xml:space="preserve">Margins to the </w:t>
      </w:r>
      <w:r w:rsidR="007D1C82">
        <w:t xml:space="preserve">EESS </w:t>
      </w:r>
      <w:r w:rsidR="007D1C82" w:rsidRPr="006231F5">
        <w:t xml:space="preserve">interference criterion determined in </w:t>
      </w:r>
      <w:r w:rsidR="007D1C82">
        <w:t>an aggregate</w:t>
      </w:r>
      <w:r w:rsidR="007D1C82" w:rsidRPr="006231F5">
        <w:t xml:space="preserve"> study </w:t>
      </w:r>
      <w:r w:rsidR="007D1C82" w:rsidRPr="003E1728">
        <w:t>for RDI-S</w:t>
      </w:r>
      <w:r w:rsidR="007D1C82">
        <w:t xml:space="preserve"> in frequency ranges outside RR article 5.340 protected bands</w:t>
      </w:r>
    </w:p>
    <w:tbl>
      <w:tblPr>
        <w:tblStyle w:val="ECCTable-redheader"/>
        <w:tblW w:w="9209" w:type="dxa"/>
        <w:tblInd w:w="0" w:type="dxa"/>
        <w:tblLook w:val="04A0" w:firstRow="1" w:lastRow="0" w:firstColumn="1" w:lastColumn="0" w:noHBand="0" w:noVBand="1"/>
      </w:tblPr>
      <w:tblGrid>
        <w:gridCol w:w="1917"/>
        <w:gridCol w:w="1932"/>
        <w:gridCol w:w="1395"/>
        <w:gridCol w:w="2122"/>
        <w:gridCol w:w="1843"/>
      </w:tblGrid>
      <w:tr w:rsidR="007D1C82" w14:paraId="794DEE01" w14:textId="77777777" w:rsidTr="004E0271">
        <w:trPr>
          <w:cnfStyle w:val="100000000000" w:firstRow="1" w:lastRow="0" w:firstColumn="0" w:lastColumn="0" w:oddVBand="0" w:evenVBand="0" w:oddHBand="0" w:evenHBand="0" w:firstRowFirstColumn="0" w:firstRowLastColumn="0" w:lastRowFirstColumn="0" w:lastRowLastColumn="0"/>
        </w:trPr>
        <w:tc>
          <w:tcPr>
            <w:tcW w:w="1917" w:type="dxa"/>
          </w:tcPr>
          <w:p w14:paraId="1ABE9669" w14:textId="77777777" w:rsidR="007D1C82" w:rsidRPr="007D1C82" w:rsidRDefault="007D1C82" w:rsidP="00D371AD">
            <w:pPr>
              <w:pStyle w:val="ECCTableHeaderwhitefont"/>
              <w:keepNext/>
            </w:pPr>
            <w:r w:rsidRPr="00566944">
              <w:t>Investigated Frequency range</w:t>
            </w:r>
          </w:p>
        </w:tc>
        <w:tc>
          <w:tcPr>
            <w:tcW w:w="1932" w:type="dxa"/>
          </w:tcPr>
          <w:p w14:paraId="1C9CFEC8" w14:textId="77777777" w:rsidR="007D1C82" w:rsidRPr="007D1C82" w:rsidRDefault="007D1C82" w:rsidP="00D371AD">
            <w:pPr>
              <w:pStyle w:val="ECCTableHeaderwhitefont"/>
              <w:keepNext/>
            </w:pPr>
            <w:r w:rsidRPr="007D1C82">
              <w:t>Allocated band for EESS</w:t>
            </w:r>
          </w:p>
        </w:tc>
        <w:tc>
          <w:tcPr>
            <w:tcW w:w="1395" w:type="dxa"/>
          </w:tcPr>
          <w:p w14:paraId="4DE700D1" w14:textId="77777777" w:rsidR="007D1C82" w:rsidRPr="007D1C82" w:rsidRDefault="007D1C82" w:rsidP="00D371AD">
            <w:pPr>
              <w:pStyle w:val="ECCTableHeaderwhitefont"/>
              <w:keepNext/>
            </w:pPr>
            <w:r w:rsidRPr="007D1C82">
              <w:t>Investigated centre frequency</w:t>
            </w:r>
          </w:p>
        </w:tc>
        <w:tc>
          <w:tcPr>
            <w:tcW w:w="2122" w:type="dxa"/>
          </w:tcPr>
          <w:p w14:paraId="32173AAD" w14:textId="77777777" w:rsidR="007D1C82" w:rsidRPr="007D1C82" w:rsidRDefault="007D1C82" w:rsidP="00D371AD">
            <w:pPr>
              <w:pStyle w:val="ECCTableHeaderwhitefont"/>
              <w:keepNext/>
            </w:pPr>
            <w:r w:rsidRPr="007D1C82">
              <w:t>EESS victim sensor</w:t>
            </w:r>
          </w:p>
        </w:tc>
        <w:tc>
          <w:tcPr>
            <w:tcW w:w="1843" w:type="dxa"/>
          </w:tcPr>
          <w:p w14:paraId="4032D624" w14:textId="77777777" w:rsidR="007D1C82" w:rsidRPr="007D1C82" w:rsidRDefault="007D1C82" w:rsidP="00D371AD">
            <w:pPr>
              <w:pStyle w:val="ECCTableHeaderwhitefont"/>
              <w:keepNext/>
            </w:pPr>
            <w:r w:rsidRPr="007D1C82">
              <w:t>Margin to interference criterion</w:t>
            </w:r>
          </w:p>
        </w:tc>
      </w:tr>
      <w:tr w:rsidR="007D1C82" w14:paraId="658623D3" w14:textId="77777777" w:rsidTr="004E0271">
        <w:tc>
          <w:tcPr>
            <w:tcW w:w="1917" w:type="dxa"/>
            <w:vMerge w:val="restart"/>
          </w:tcPr>
          <w:p w14:paraId="3DB08EC7" w14:textId="77777777" w:rsidR="007D1C82" w:rsidRPr="007D1C82" w:rsidRDefault="007D1C82" w:rsidP="00D371AD">
            <w:pPr>
              <w:pStyle w:val="ECCTabletext"/>
              <w:keepNext/>
              <w:jc w:val="left"/>
            </w:pPr>
            <w:r w:rsidRPr="009B5279">
              <w:t>116 to 260 GHz</w:t>
            </w:r>
          </w:p>
        </w:tc>
        <w:tc>
          <w:tcPr>
            <w:tcW w:w="1932" w:type="dxa"/>
          </w:tcPr>
          <w:p w14:paraId="39625038" w14:textId="77777777" w:rsidR="007D1C82" w:rsidRPr="007D1C82" w:rsidRDefault="007D1C82" w:rsidP="00D371AD">
            <w:pPr>
              <w:pStyle w:val="ECCTabletext"/>
              <w:keepNext/>
              <w:jc w:val="left"/>
            </w:pPr>
            <w:r>
              <w:t>114</w:t>
            </w:r>
            <w:r w:rsidR="00CF4994">
              <w:t>.2</w:t>
            </w:r>
            <w:r>
              <w:t>5 to 122</w:t>
            </w:r>
            <w:r w:rsidR="00CF4994">
              <w:t>.2</w:t>
            </w:r>
            <w:r>
              <w:t>5 GHz</w:t>
            </w:r>
            <w:r w:rsidR="00465A40">
              <w:t xml:space="preserve"> (In-band)</w:t>
            </w:r>
          </w:p>
        </w:tc>
        <w:tc>
          <w:tcPr>
            <w:tcW w:w="1395" w:type="dxa"/>
          </w:tcPr>
          <w:p w14:paraId="0BAC4BB7" w14:textId="77777777" w:rsidR="007D1C82" w:rsidRPr="007D1C82" w:rsidRDefault="007D1C82" w:rsidP="00D371AD">
            <w:pPr>
              <w:pStyle w:val="ECCTabletext"/>
              <w:keepNext/>
              <w:jc w:val="left"/>
            </w:pPr>
            <w:r w:rsidRPr="00B00B56">
              <w:t>119</w:t>
            </w:r>
            <w:r w:rsidR="00CF4994">
              <w:t>.1</w:t>
            </w:r>
            <w:r w:rsidRPr="00B00B56">
              <w:t>25 GHz</w:t>
            </w:r>
          </w:p>
        </w:tc>
        <w:tc>
          <w:tcPr>
            <w:tcW w:w="2122" w:type="dxa"/>
          </w:tcPr>
          <w:p w14:paraId="6BE15703" w14:textId="77777777" w:rsidR="007D1C82" w:rsidRPr="007D1C82" w:rsidRDefault="007D1C82" w:rsidP="00D371AD">
            <w:pPr>
              <w:pStyle w:val="ECCTabletext"/>
              <w:keepNext/>
              <w:jc w:val="left"/>
            </w:pPr>
            <w:r w:rsidRPr="00EE1C6B">
              <w:t xml:space="preserve">MWI </w:t>
            </w:r>
            <w:r w:rsidRPr="007D1C82">
              <w:t>conical scanner</w:t>
            </w:r>
          </w:p>
        </w:tc>
        <w:tc>
          <w:tcPr>
            <w:tcW w:w="1843" w:type="dxa"/>
          </w:tcPr>
          <w:p w14:paraId="3ED3FC62" w14:textId="77777777" w:rsidR="007D1C82" w:rsidRPr="007D1C82" w:rsidRDefault="0023046B" w:rsidP="00D371AD">
            <w:pPr>
              <w:pStyle w:val="ECCTabletext"/>
              <w:keepNext/>
              <w:jc w:val="left"/>
            </w:pPr>
            <w:r>
              <w:t>12</w:t>
            </w:r>
            <w:r w:rsidR="00CF4994">
              <w:t>.3</w:t>
            </w:r>
            <w:r w:rsidR="007D1C82" w:rsidRPr="007D1C82">
              <w:t> dB</w:t>
            </w:r>
          </w:p>
        </w:tc>
      </w:tr>
      <w:tr w:rsidR="007D1C82" w14:paraId="069C0E17" w14:textId="77777777" w:rsidTr="004E0271">
        <w:tc>
          <w:tcPr>
            <w:tcW w:w="1917" w:type="dxa"/>
            <w:vMerge/>
          </w:tcPr>
          <w:p w14:paraId="661948E4" w14:textId="77777777" w:rsidR="007D1C82" w:rsidRDefault="007D1C82" w:rsidP="00D371AD">
            <w:pPr>
              <w:pStyle w:val="ECCTabletext"/>
              <w:keepNext/>
            </w:pPr>
          </w:p>
        </w:tc>
        <w:tc>
          <w:tcPr>
            <w:tcW w:w="1932" w:type="dxa"/>
            <w:vMerge w:val="restart"/>
          </w:tcPr>
          <w:p w14:paraId="730E3A9A" w14:textId="77777777" w:rsidR="007D1C82" w:rsidRPr="007D1C82" w:rsidRDefault="007D1C82" w:rsidP="00D371AD">
            <w:pPr>
              <w:pStyle w:val="ECCTabletext"/>
              <w:keepNext/>
              <w:jc w:val="left"/>
            </w:pPr>
            <w:r>
              <w:t>174</w:t>
            </w:r>
            <w:r w:rsidR="00CF4994">
              <w:t>.8</w:t>
            </w:r>
            <w:r>
              <w:t xml:space="preserve"> to 191</w:t>
            </w:r>
            <w:r w:rsidR="00CF4994">
              <w:t>.8</w:t>
            </w:r>
            <w:r>
              <w:t> GHz</w:t>
            </w:r>
            <w:r w:rsidR="00465A40">
              <w:t xml:space="preserve"> (In-band)</w:t>
            </w:r>
          </w:p>
        </w:tc>
        <w:tc>
          <w:tcPr>
            <w:tcW w:w="1395" w:type="dxa"/>
          </w:tcPr>
          <w:p w14:paraId="03EB15BE" w14:textId="77777777" w:rsidR="007D1C82" w:rsidRPr="007D1C82" w:rsidRDefault="007D1C82" w:rsidP="00D371AD">
            <w:pPr>
              <w:pStyle w:val="ECCTabletext"/>
              <w:keepNext/>
              <w:jc w:val="left"/>
            </w:pPr>
            <w:r w:rsidRPr="00F87F4A">
              <w:t>178</w:t>
            </w:r>
            <w:r w:rsidR="00CF4994">
              <w:t>.4</w:t>
            </w:r>
            <w:r w:rsidRPr="00F87F4A">
              <w:t> GHz</w:t>
            </w:r>
          </w:p>
        </w:tc>
        <w:tc>
          <w:tcPr>
            <w:tcW w:w="2122" w:type="dxa"/>
          </w:tcPr>
          <w:p w14:paraId="6CADCDCC" w14:textId="77777777" w:rsidR="007D1C82" w:rsidRPr="007D1C82" w:rsidRDefault="00E05BD7" w:rsidP="00D371AD">
            <w:pPr>
              <w:pStyle w:val="ECCTabletext"/>
              <w:keepNext/>
              <w:jc w:val="left"/>
            </w:pPr>
            <w:r w:rsidRPr="00C55228">
              <w:t>MW</w:t>
            </w:r>
            <w:r w:rsidRPr="00E05BD7">
              <w:t>I conical scanner</w:t>
            </w:r>
          </w:p>
        </w:tc>
        <w:tc>
          <w:tcPr>
            <w:tcW w:w="1843" w:type="dxa"/>
          </w:tcPr>
          <w:p w14:paraId="62BCF8A7" w14:textId="77777777" w:rsidR="007D1C82" w:rsidRPr="007D1C82" w:rsidRDefault="002B15C6" w:rsidP="00D371AD">
            <w:pPr>
              <w:pStyle w:val="ECCTabletext"/>
              <w:keepNext/>
              <w:jc w:val="left"/>
            </w:pPr>
            <w:r>
              <w:t>14</w:t>
            </w:r>
            <w:r w:rsidR="00CF4994">
              <w:t>.3</w:t>
            </w:r>
            <w:r w:rsidR="007D1C82" w:rsidRPr="007D1C82">
              <w:t> dB</w:t>
            </w:r>
          </w:p>
        </w:tc>
      </w:tr>
      <w:tr w:rsidR="007D1C82" w14:paraId="35DCF94C" w14:textId="77777777" w:rsidTr="004E0271">
        <w:tc>
          <w:tcPr>
            <w:tcW w:w="1917" w:type="dxa"/>
            <w:vMerge/>
          </w:tcPr>
          <w:p w14:paraId="2BD53FA7" w14:textId="77777777" w:rsidR="007D1C82" w:rsidRDefault="007D1C82" w:rsidP="00D371AD">
            <w:pPr>
              <w:pStyle w:val="ECCTabletext"/>
              <w:keepNext/>
            </w:pPr>
          </w:p>
        </w:tc>
        <w:tc>
          <w:tcPr>
            <w:tcW w:w="1932" w:type="dxa"/>
            <w:vMerge/>
          </w:tcPr>
          <w:p w14:paraId="2EF7C575" w14:textId="77777777" w:rsidR="007D1C82" w:rsidRDefault="007D1C82" w:rsidP="00D371AD">
            <w:pPr>
              <w:pStyle w:val="ECCTabletext"/>
              <w:keepNext/>
            </w:pPr>
          </w:p>
        </w:tc>
        <w:tc>
          <w:tcPr>
            <w:tcW w:w="1395" w:type="dxa"/>
          </w:tcPr>
          <w:p w14:paraId="725EE088" w14:textId="77777777" w:rsidR="007D1C82" w:rsidRPr="007D1C82" w:rsidRDefault="007D1C82" w:rsidP="00D371AD">
            <w:pPr>
              <w:pStyle w:val="ECCTabletext"/>
              <w:keepNext/>
              <w:jc w:val="left"/>
            </w:pPr>
            <w:r w:rsidRPr="00806917">
              <w:t>187</w:t>
            </w:r>
            <w:r w:rsidR="00CF4994">
              <w:t>.5</w:t>
            </w:r>
            <w:r w:rsidRPr="00806917">
              <w:t> GHz</w:t>
            </w:r>
          </w:p>
        </w:tc>
        <w:tc>
          <w:tcPr>
            <w:tcW w:w="2122" w:type="dxa"/>
          </w:tcPr>
          <w:p w14:paraId="3CD8C91A" w14:textId="77777777" w:rsidR="007D1C82" w:rsidRPr="007D1C82" w:rsidRDefault="007D1C82" w:rsidP="00D371AD">
            <w:pPr>
              <w:pStyle w:val="ECCTabletext"/>
              <w:keepNext/>
              <w:jc w:val="left"/>
              <w:rPr>
                <w:highlight w:val="yellow"/>
              </w:rPr>
            </w:pPr>
            <w:r w:rsidRPr="00C55228">
              <w:t>MW</w:t>
            </w:r>
            <w:r w:rsidR="00E05BD7">
              <w:t>I</w:t>
            </w:r>
            <w:r w:rsidRPr="00C55228">
              <w:t xml:space="preserve"> </w:t>
            </w:r>
            <w:r w:rsidR="00E05BD7">
              <w:t>conical scanner</w:t>
            </w:r>
          </w:p>
        </w:tc>
        <w:tc>
          <w:tcPr>
            <w:tcW w:w="1843" w:type="dxa"/>
          </w:tcPr>
          <w:p w14:paraId="63A7C27C" w14:textId="77777777" w:rsidR="007D1C82" w:rsidRPr="007D1C82" w:rsidRDefault="00E05BD7" w:rsidP="00D371AD">
            <w:pPr>
              <w:pStyle w:val="ECCTabletext"/>
              <w:keepNext/>
              <w:jc w:val="left"/>
              <w:rPr>
                <w:highlight w:val="yellow"/>
              </w:rPr>
            </w:pPr>
            <w:r>
              <w:t>29</w:t>
            </w:r>
            <w:r w:rsidR="00CF4994">
              <w:t>.7</w:t>
            </w:r>
            <w:r w:rsidR="007D1C82" w:rsidRPr="007D1C82">
              <w:t> dB</w:t>
            </w:r>
          </w:p>
        </w:tc>
      </w:tr>
      <w:tr w:rsidR="007D1C82" w14:paraId="184D9851" w14:textId="77777777" w:rsidTr="004E0271">
        <w:tc>
          <w:tcPr>
            <w:tcW w:w="1917" w:type="dxa"/>
            <w:vMerge/>
          </w:tcPr>
          <w:p w14:paraId="7954A1D0" w14:textId="77777777" w:rsidR="007D1C82" w:rsidRDefault="007D1C82" w:rsidP="00D371AD">
            <w:pPr>
              <w:pStyle w:val="ECCTabletext"/>
              <w:keepNext/>
            </w:pPr>
          </w:p>
        </w:tc>
        <w:tc>
          <w:tcPr>
            <w:tcW w:w="1932" w:type="dxa"/>
          </w:tcPr>
          <w:p w14:paraId="3ED09429" w14:textId="77777777" w:rsidR="007D1C82" w:rsidRPr="007D1C82" w:rsidRDefault="007D1C82" w:rsidP="00D371AD">
            <w:pPr>
              <w:pStyle w:val="ECCTabletext"/>
              <w:keepNext/>
              <w:jc w:val="left"/>
            </w:pPr>
            <w:r>
              <w:t>235 to 238 GHz</w:t>
            </w:r>
            <w:r w:rsidR="00465A40">
              <w:t xml:space="preserve"> (In-band)</w:t>
            </w:r>
          </w:p>
        </w:tc>
        <w:tc>
          <w:tcPr>
            <w:tcW w:w="1395" w:type="dxa"/>
          </w:tcPr>
          <w:p w14:paraId="62D0BC70" w14:textId="77777777" w:rsidR="007D1C82" w:rsidRPr="007D1C82" w:rsidRDefault="007D1C82" w:rsidP="00D371AD">
            <w:pPr>
              <w:pStyle w:val="ECCTabletext"/>
              <w:keepNext/>
              <w:jc w:val="left"/>
            </w:pPr>
            <w:r w:rsidRPr="005B29DF">
              <w:t>236</w:t>
            </w:r>
            <w:r w:rsidR="00CF4994">
              <w:t>.5</w:t>
            </w:r>
            <w:r w:rsidRPr="005B29DF">
              <w:t> GHz</w:t>
            </w:r>
          </w:p>
        </w:tc>
        <w:tc>
          <w:tcPr>
            <w:tcW w:w="2122" w:type="dxa"/>
          </w:tcPr>
          <w:p w14:paraId="7CDA02D4" w14:textId="77777777" w:rsidR="007D1C82" w:rsidRPr="007D1C82" w:rsidRDefault="00E05BD7" w:rsidP="00D371AD">
            <w:pPr>
              <w:pStyle w:val="ECCTabletext"/>
              <w:keepNext/>
              <w:jc w:val="left"/>
            </w:pPr>
            <w:r>
              <w:t>ICI</w:t>
            </w:r>
            <w:r w:rsidR="007D1C82" w:rsidRPr="00C55228">
              <w:t xml:space="preserve"> conical scanner</w:t>
            </w:r>
          </w:p>
        </w:tc>
        <w:tc>
          <w:tcPr>
            <w:tcW w:w="1843" w:type="dxa"/>
          </w:tcPr>
          <w:p w14:paraId="52AB7FAB" w14:textId="77777777" w:rsidR="007D1C82" w:rsidRPr="007D1C82" w:rsidRDefault="00E05BD7" w:rsidP="00D371AD">
            <w:pPr>
              <w:pStyle w:val="ECCTabletext"/>
              <w:keepNext/>
              <w:jc w:val="left"/>
            </w:pPr>
            <w:r>
              <w:t>25</w:t>
            </w:r>
            <w:r w:rsidR="00CF4994">
              <w:t>.6</w:t>
            </w:r>
            <w:r w:rsidR="007D1C82" w:rsidRPr="007D1C82">
              <w:t> dB</w:t>
            </w:r>
          </w:p>
        </w:tc>
      </w:tr>
      <w:tr w:rsidR="007D1C82" w14:paraId="51496CC9" w14:textId="77777777" w:rsidTr="004E0271">
        <w:tc>
          <w:tcPr>
            <w:tcW w:w="1917" w:type="dxa"/>
            <w:vMerge/>
          </w:tcPr>
          <w:p w14:paraId="73D9230E" w14:textId="77777777" w:rsidR="007D1C82" w:rsidRDefault="007D1C82" w:rsidP="00D371AD">
            <w:pPr>
              <w:pStyle w:val="ECCTabletext"/>
              <w:keepNext/>
            </w:pPr>
          </w:p>
        </w:tc>
        <w:tc>
          <w:tcPr>
            <w:tcW w:w="1932" w:type="dxa"/>
          </w:tcPr>
          <w:p w14:paraId="6C22C2CC" w14:textId="77777777" w:rsidR="007D1C82" w:rsidRPr="007D1C82" w:rsidRDefault="007D1C82" w:rsidP="00D371AD">
            <w:pPr>
              <w:pStyle w:val="ECCTabletext"/>
              <w:keepNext/>
              <w:jc w:val="left"/>
            </w:pPr>
            <w:r>
              <w:t>239</w:t>
            </w:r>
            <w:r w:rsidR="00465A40">
              <w:t xml:space="preserve"> </w:t>
            </w:r>
            <w:r>
              <w:t>to 248 GHz</w:t>
            </w:r>
            <w:r w:rsidR="00465A40">
              <w:t xml:space="preserve"> (In-band)</w:t>
            </w:r>
          </w:p>
        </w:tc>
        <w:tc>
          <w:tcPr>
            <w:tcW w:w="1395" w:type="dxa"/>
          </w:tcPr>
          <w:p w14:paraId="0C980FE9" w14:textId="77777777" w:rsidR="007D1C82" w:rsidRPr="007D1C82" w:rsidRDefault="007D1C82" w:rsidP="00D371AD">
            <w:pPr>
              <w:pStyle w:val="ECCTabletext"/>
              <w:keepNext/>
              <w:jc w:val="left"/>
            </w:pPr>
            <w:r w:rsidRPr="005B29DF">
              <w:t>239 GHz</w:t>
            </w:r>
          </w:p>
        </w:tc>
        <w:tc>
          <w:tcPr>
            <w:tcW w:w="2122" w:type="dxa"/>
          </w:tcPr>
          <w:p w14:paraId="40A7249A" w14:textId="77777777" w:rsidR="007D1C82" w:rsidRPr="007D1C82" w:rsidRDefault="00E05BD7" w:rsidP="00D371AD">
            <w:pPr>
              <w:pStyle w:val="ECCTabletext"/>
              <w:keepNext/>
              <w:jc w:val="left"/>
            </w:pPr>
            <w:r>
              <w:t>ICI</w:t>
            </w:r>
            <w:r w:rsidRPr="00E05BD7">
              <w:t xml:space="preserve"> conical scanner</w:t>
            </w:r>
          </w:p>
        </w:tc>
        <w:tc>
          <w:tcPr>
            <w:tcW w:w="1843" w:type="dxa"/>
          </w:tcPr>
          <w:p w14:paraId="6734024F" w14:textId="77777777" w:rsidR="007D1C82" w:rsidRPr="007D1C82" w:rsidRDefault="00E05BD7" w:rsidP="00D371AD">
            <w:pPr>
              <w:pStyle w:val="ECCTabletext"/>
              <w:keepNext/>
              <w:jc w:val="left"/>
            </w:pPr>
            <w:r>
              <w:t>30</w:t>
            </w:r>
            <w:r w:rsidR="00CF4994">
              <w:t>.5</w:t>
            </w:r>
            <w:r w:rsidR="007D1C82" w:rsidRPr="007D1C82">
              <w:t> dB</w:t>
            </w:r>
          </w:p>
        </w:tc>
      </w:tr>
    </w:tbl>
    <w:p w14:paraId="08DF3DEE" w14:textId="59A86ADB" w:rsidR="007D1C82" w:rsidRPr="007D1C82" w:rsidRDefault="007459E2" w:rsidP="007D1C82">
      <w:r>
        <w:fldChar w:fldCharType="begin"/>
      </w:r>
      <w:r>
        <w:instrText xml:space="preserve"> REF _Ref67242714 \h </w:instrText>
      </w:r>
      <w:r>
        <w:fldChar w:fldCharType="separate"/>
      </w:r>
      <w:r w:rsidR="0041125F" w:rsidRPr="00477961">
        <w:t>Table </w:t>
      </w:r>
      <w:r w:rsidR="0041125F">
        <w:rPr>
          <w:noProof/>
        </w:rPr>
        <w:t>110</w:t>
      </w:r>
      <w:r>
        <w:fldChar w:fldCharType="end"/>
      </w:r>
      <w:r>
        <w:t xml:space="preserve"> </w:t>
      </w:r>
      <w:r w:rsidRPr="007D1C82">
        <w:t>shows the single-entry and</w:t>
      </w:r>
      <w:r>
        <w:t xml:space="preserve"> </w:t>
      </w:r>
      <w:r>
        <w:fldChar w:fldCharType="begin"/>
      </w:r>
      <w:r>
        <w:instrText xml:space="preserve"> REF _Ref89343565 \h </w:instrText>
      </w:r>
      <w:r>
        <w:fldChar w:fldCharType="separate"/>
      </w:r>
      <w:r w:rsidR="0041125F" w:rsidRPr="00477961">
        <w:t>Table </w:t>
      </w:r>
      <w:r w:rsidR="0041125F">
        <w:rPr>
          <w:noProof/>
        </w:rPr>
        <w:t>111</w:t>
      </w:r>
      <w:r>
        <w:fldChar w:fldCharType="end"/>
      </w:r>
      <w:r>
        <w:t xml:space="preserve"> </w:t>
      </w:r>
      <w:r w:rsidR="007D1C82" w:rsidRPr="007D1C82">
        <w:t xml:space="preserve">the aggregate </w:t>
      </w:r>
      <w:r w:rsidR="00791D2C">
        <w:t>worst</w:t>
      </w:r>
      <w:r w:rsidR="007D1C82" w:rsidRPr="007D1C82">
        <w:t xml:space="preserve">-case results for RDI-S, e.g. the residual margins for the individual frequency ranges inside RR article 5.340 protected bands, and EESS victim sensors. </w:t>
      </w:r>
    </w:p>
    <w:p w14:paraId="77577DF1" w14:textId="0C2B73B7" w:rsidR="007D1C82" w:rsidRDefault="00B83CE5" w:rsidP="007D1C82">
      <w:pPr>
        <w:pStyle w:val="Caption"/>
      </w:pPr>
      <w:bookmarkStart w:id="781" w:name="_Ref67242714"/>
      <w:r w:rsidRPr="00477961">
        <w:t>Table </w:t>
      </w:r>
      <w:r>
        <w:fldChar w:fldCharType="begin"/>
      </w:r>
      <w:r>
        <w:instrText>SEQ Table \* ARABIC</w:instrText>
      </w:r>
      <w:r>
        <w:fldChar w:fldCharType="separate"/>
      </w:r>
      <w:r w:rsidR="004F49F9">
        <w:rPr>
          <w:noProof/>
        </w:rPr>
        <w:t>110</w:t>
      </w:r>
      <w:r>
        <w:fldChar w:fldCharType="end"/>
      </w:r>
      <w:bookmarkEnd w:id="781"/>
      <w:r w:rsidR="007D1C82">
        <w:t xml:space="preserve">: </w:t>
      </w:r>
      <w:r w:rsidR="007D1C82" w:rsidRPr="006231F5">
        <w:t xml:space="preserve">Margins to the </w:t>
      </w:r>
      <w:r w:rsidR="007D1C82">
        <w:t xml:space="preserve">EESS </w:t>
      </w:r>
      <w:r w:rsidR="007D1C82" w:rsidRPr="006231F5">
        <w:t xml:space="preserve">interference criterion determined in a single-entry study </w:t>
      </w:r>
      <w:r w:rsidR="007D1C82" w:rsidRPr="003E1728">
        <w:t>for RDI-S</w:t>
      </w:r>
      <w:r w:rsidR="007D1C82">
        <w:t xml:space="preserve"> in frequency ranges inside RR article 5.340 protected bands</w:t>
      </w:r>
    </w:p>
    <w:tbl>
      <w:tblPr>
        <w:tblStyle w:val="ECCTable-redheader"/>
        <w:tblW w:w="5000" w:type="pct"/>
        <w:tblInd w:w="0" w:type="dxa"/>
        <w:tblLook w:val="04A0" w:firstRow="1" w:lastRow="0" w:firstColumn="1" w:lastColumn="0" w:noHBand="0" w:noVBand="1"/>
      </w:tblPr>
      <w:tblGrid>
        <w:gridCol w:w="2004"/>
        <w:gridCol w:w="2020"/>
        <w:gridCol w:w="1458"/>
        <w:gridCol w:w="2219"/>
        <w:gridCol w:w="1928"/>
      </w:tblGrid>
      <w:tr w:rsidR="007D1C82" w14:paraId="2A8BE1D5" w14:textId="77777777" w:rsidTr="000F6BEC">
        <w:trPr>
          <w:cnfStyle w:val="100000000000" w:firstRow="1" w:lastRow="0" w:firstColumn="0" w:lastColumn="0" w:oddVBand="0" w:evenVBand="0" w:oddHBand="0" w:evenHBand="0" w:firstRowFirstColumn="0" w:firstRowLastColumn="0" w:lastRowFirstColumn="0" w:lastRowLastColumn="0"/>
        </w:trPr>
        <w:tc>
          <w:tcPr>
            <w:tcW w:w="1041" w:type="pct"/>
          </w:tcPr>
          <w:p w14:paraId="72878660" w14:textId="77777777" w:rsidR="007D1C82" w:rsidRPr="007D1C82" w:rsidRDefault="007D1C82" w:rsidP="00876039">
            <w:pPr>
              <w:pStyle w:val="ECCTableHeaderwhitefont"/>
            </w:pPr>
            <w:r w:rsidRPr="00566944">
              <w:t>Investigated Frequency range</w:t>
            </w:r>
          </w:p>
        </w:tc>
        <w:tc>
          <w:tcPr>
            <w:tcW w:w="1049" w:type="pct"/>
          </w:tcPr>
          <w:p w14:paraId="543B0C95" w14:textId="77777777" w:rsidR="007D1C82" w:rsidRPr="007D1C82" w:rsidRDefault="007D1C82" w:rsidP="000A69BD">
            <w:pPr>
              <w:pStyle w:val="ECCTableHeaderwhitefont"/>
            </w:pPr>
            <w:r w:rsidRPr="007D1C82">
              <w:t>Allocated band for EESS</w:t>
            </w:r>
          </w:p>
        </w:tc>
        <w:tc>
          <w:tcPr>
            <w:tcW w:w="757" w:type="pct"/>
          </w:tcPr>
          <w:p w14:paraId="785E85C5" w14:textId="77777777" w:rsidR="007D1C82" w:rsidRPr="007D1C82" w:rsidRDefault="007D1C82" w:rsidP="000A69BD">
            <w:pPr>
              <w:pStyle w:val="ECCTableHeaderwhitefont"/>
            </w:pPr>
            <w:r w:rsidRPr="007D1C82">
              <w:t>Investigated centre frequency</w:t>
            </w:r>
          </w:p>
        </w:tc>
        <w:tc>
          <w:tcPr>
            <w:tcW w:w="1152" w:type="pct"/>
          </w:tcPr>
          <w:p w14:paraId="5D3EC802" w14:textId="77777777" w:rsidR="007D1C82" w:rsidRPr="007D1C82" w:rsidRDefault="007D1C82" w:rsidP="000A69BD">
            <w:pPr>
              <w:pStyle w:val="ECCTableHeaderwhitefont"/>
            </w:pPr>
            <w:r w:rsidRPr="007D1C82">
              <w:t>EESS victim sensor</w:t>
            </w:r>
          </w:p>
        </w:tc>
        <w:tc>
          <w:tcPr>
            <w:tcW w:w="1001" w:type="pct"/>
          </w:tcPr>
          <w:p w14:paraId="4C8BCEDD" w14:textId="77777777" w:rsidR="007D1C82" w:rsidRPr="007D1C82" w:rsidRDefault="007D1C82" w:rsidP="000A69BD">
            <w:pPr>
              <w:pStyle w:val="ECCTableHeaderwhitefont"/>
            </w:pPr>
            <w:r w:rsidRPr="007D1C82">
              <w:t>Margin to interference criterion</w:t>
            </w:r>
          </w:p>
        </w:tc>
      </w:tr>
      <w:tr w:rsidR="007D1C82" w14:paraId="73E591FD" w14:textId="77777777" w:rsidTr="000F6BEC">
        <w:tc>
          <w:tcPr>
            <w:tcW w:w="1041" w:type="pct"/>
            <w:vMerge w:val="restart"/>
          </w:tcPr>
          <w:p w14:paraId="53637149" w14:textId="77777777" w:rsidR="007D1C82" w:rsidRPr="007D1C82" w:rsidRDefault="007D1C82" w:rsidP="000A69BD">
            <w:pPr>
              <w:pStyle w:val="ECCTabletext"/>
              <w:jc w:val="left"/>
            </w:pPr>
            <w:r w:rsidRPr="009B5279">
              <w:t>116 to 260 GHz</w:t>
            </w:r>
          </w:p>
        </w:tc>
        <w:tc>
          <w:tcPr>
            <w:tcW w:w="1049" w:type="pct"/>
          </w:tcPr>
          <w:p w14:paraId="28FDCD3F" w14:textId="77777777" w:rsidR="007D1C82" w:rsidRPr="007D1C82" w:rsidRDefault="007D1C82" w:rsidP="000A69BD">
            <w:pPr>
              <w:pStyle w:val="ECCTabletext"/>
              <w:jc w:val="left"/>
            </w:pPr>
            <w:r w:rsidRPr="00C53FB5">
              <w:t>114</w:t>
            </w:r>
            <w:r w:rsidR="00CF4994">
              <w:t>.2</w:t>
            </w:r>
            <w:r w:rsidRPr="00C53FB5">
              <w:t>5 to 116 GHz</w:t>
            </w:r>
            <w:r w:rsidR="00465A40">
              <w:t xml:space="preserve"> (OOB)</w:t>
            </w:r>
          </w:p>
        </w:tc>
        <w:tc>
          <w:tcPr>
            <w:tcW w:w="757" w:type="pct"/>
          </w:tcPr>
          <w:p w14:paraId="2BB7A78E" w14:textId="77777777" w:rsidR="007D1C82" w:rsidRPr="007D1C82" w:rsidRDefault="007D1C82" w:rsidP="000A69BD">
            <w:pPr>
              <w:pStyle w:val="ECCTabletext"/>
              <w:jc w:val="left"/>
            </w:pPr>
            <w:r w:rsidRPr="00C53FB5">
              <w:t>115</w:t>
            </w:r>
            <w:r w:rsidR="00CF4994">
              <w:t>.1</w:t>
            </w:r>
            <w:r w:rsidRPr="00C53FB5">
              <w:t>25 GHz</w:t>
            </w:r>
          </w:p>
        </w:tc>
        <w:tc>
          <w:tcPr>
            <w:tcW w:w="1152" w:type="pct"/>
          </w:tcPr>
          <w:p w14:paraId="3FA3B8DE" w14:textId="77777777" w:rsidR="007D1C82" w:rsidRPr="007D1C82" w:rsidRDefault="007D1C82" w:rsidP="000A69BD">
            <w:pPr>
              <w:pStyle w:val="ECCTabletext"/>
              <w:jc w:val="left"/>
              <w:rPr>
                <w:highlight w:val="yellow"/>
              </w:rPr>
            </w:pPr>
            <w:r w:rsidRPr="001772F1">
              <w:t>MWI conical scanner</w:t>
            </w:r>
          </w:p>
        </w:tc>
        <w:tc>
          <w:tcPr>
            <w:tcW w:w="1001" w:type="pct"/>
          </w:tcPr>
          <w:p w14:paraId="06F80507" w14:textId="77777777" w:rsidR="007D1C82" w:rsidRPr="007D1C82" w:rsidRDefault="00E118CC" w:rsidP="000A69BD">
            <w:pPr>
              <w:pStyle w:val="ECCTabletext"/>
              <w:jc w:val="left"/>
            </w:pPr>
            <w:r>
              <w:t>40</w:t>
            </w:r>
            <w:r w:rsidR="00CF4994">
              <w:t>.4</w:t>
            </w:r>
            <w:r w:rsidR="007D1C82">
              <w:t> dB</w:t>
            </w:r>
          </w:p>
        </w:tc>
      </w:tr>
      <w:tr w:rsidR="007D1C82" w14:paraId="1D59DB1D" w14:textId="77777777" w:rsidTr="000F6BEC">
        <w:tc>
          <w:tcPr>
            <w:tcW w:w="1041" w:type="pct"/>
            <w:vMerge/>
          </w:tcPr>
          <w:p w14:paraId="491E9CCF" w14:textId="77777777" w:rsidR="007D1C82" w:rsidRDefault="007D1C82" w:rsidP="007D1C82">
            <w:pPr>
              <w:pStyle w:val="ECCTabletext"/>
            </w:pPr>
          </w:p>
        </w:tc>
        <w:tc>
          <w:tcPr>
            <w:tcW w:w="1049" w:type="pct"/>
          </w:tcPr>
          <w:p w14:paraId="36727B74" w14:textId="77777777" w:rsidR="007D1C82" w:rsidRPr="007D1C82" w:rsidRDefault="007D1C82" w:rsidP="000A69BD">
            <w:pPr>
              <w:pStyle w:val="ECCTabletext"/>
              <w:jc w:val="left"/>
            </w:pPr>
            <w:r w:rsidRPr="00C53FB5">
              <w:t>148</w:t>
            </w:r>
            <w:r w:rsidR="00CF4994">
              <w:t>.5</w:t>
            </w:r>
            <w:r w:rsidRPr="00C53FB5">
              <w:t xml:space="preserve"> to 151</w:t>
            </w:r>
            <w:r w:rsidR="00CF4994">
              <w:t>.5</w:t>
            </w:r>
            <w:r w:rsidRPr="00C53FB5">
              <w:t> GHz</w:t>
            </w:r>
            <w:r w:rsidR="00465A40">
              <w:t xml:space="preserve"> (In-band)</w:t>
            </w:r>
          </w:p>
        </w:tc>
        <w:tc>
          <w:tcPr>
            <w:tcW w:w="757" w:type="pct"/>
          </w:tcPr>
          <w:p w14:paraId="60F6EB34" w14:textId="77777777" w:rsidR="007D1C82" w:rsidRPr="007D1C82" w:rsidRDefault="007D1C82" w:rsidP="000A69BD">
            <w:pPr>
              <w:pStyle w:val="ECCTabletext"/>
              <w:jc w:val="left"/>
            </w:pPr>
            <w:r w:rsidRPr="00C53FB5">
              <w:t>150 GHz</w:t>
            </w:r>
          </w:p>
        </w:tc>
        <w:tc>
          <w:tcPr>
            <w:tcW w:w="1152" w:type="pct"/>
            <w:shd w:val="clear" w:color="auto" w:fill="auto"/>
          </w:tcPr>
          <w:p w14:paraId="7BAA1077" w14:textId="77777777" w:rsidR="007D1C82" w:rsidRPr="007D1C82" w:rsidRDefault="007D1C82" w:rsidP="000A69BD">
            <w:pPr>
              <w:pStyle w:val="ECCTabletext"/>
              <w:jc w:val="left"/>
            </w:pPr>
            <w:r>
              <w:t>S</w:t>
            </w:r>
            <w:r w:rsidRPr="007D1C82">
              <w:t>ensor N1 nadir scanner (at nadir)</w:t>
            </w:r>
          </w:p>
        </w:tc>
        <w:tc>
          <w:tcPr>
            <w:tcW w:w="1001" w:type="pct"/>
            <w:shd w:val="clear" w:color="auto" w:fill="auto"/>
          </w:tcPr>
          <w:p w14:paraId="4646989F" w14:textId="77777777" w:rsidR="007D1C82" w:rsidRPr="007D1C82" w:rsidRDefault="00E118CC" w:rsidP="000A69BD">
            <w:pPr>
              <w:pStyle w:val="ECCTabletext"/>
              <w:jc w:val="left"/>
            </w:pPr>
            <w:r>
              <w:t>49</w:t>
            </w:r>
            <w:r w:rsidR="00CF4994">
              <w:t>.9</w:t>
            </w:r>
            <w:r w:rsidR="007D1C82">
              <w:t> dB</w:t>
            </w:r>
          </w:p>
        </w:tc>
      </w:tr>
      <w:tr w:rsidR="007D1C82" w14:paraId="45D07EA9" w14:textId="77777777" w:rsidTr="000F6BEC">
        <w:tc>
          <w:tcPr>
            <w:tcW w:w="1041" w:type="pct"/>
            <w:vMerge/>
          </w:tcPr>
          <w:p w14:paraId="1B37A8BA" w14:textId="77777777" w:rsidR="007D1C82" w:rsidRDefault="007D1C82" w:rsidP="007D1C82">
            <w:pPr>
              <w:pStyle w:val="ECCTabletext"/>
            </w:pPr>
          </w:p>
        </w:tc>
        <w:tc>
          <w:tcPr>
            <w:tcW w:w="1049" w:type="pct"/>
          </w:tcPr>
          <w:p w14:paraId="41509C18" w14:textId="77777777" w:rsidR="007D1C82" w:rsidRPr="007D1C82" w:rsidRDefault="007D1C82" w:rsidP="000A69BD">
            <w:pPr>
              <w:pStyle w:val="ECCTabletext"/>
              <w:jc w:val="left"/>
            </w:pPr>
            <w:r w:rsidRPr="00C53FB5">
              <w:t>164 to 167</w:t>
            </w:r>
            <w:r w:rsidRPr="007D1C82">
              <w:t> GHz</w:t>
            </w:r>
            <w:r w:rsidR="00465A40">
              <w:t xml:space="preserve"> (In-band)</w:t>
            </w:r>
          </w:p>
        </w:tc>
        <w:tc>
          <w:tcPr>
            <w:tcW w:w="757" w:type="pct"/>
          </w:tcPr>
          <w:p w14:paraId="4C812B38" w14:textId="77777777" w:rsidR="007D1C82" w:rsidRPr="007D1C82" w:rsidRDefault="007D1C82" w:rsidP="000A69BD">
            <w:pPr>
              <w:pStyle w:val="ECCTabletext"/>
              <w:jc w:val="left"/>
            </w:pPr>
            <w:r w:rsidRPr="00C53FB5">
              <w:t>165</w:t>
            </w:r>
            <w:r w:rsidR="00CF4994">
              <w:t>.5</w:t>
            </w:r>
            <w:r w:rsidRPr="00C53FB5">
              <w:t> GHz</w:t>
            </w:r>
          </w:p>
        </w:tc>
        <w:tc>
          <w:tcPr>
            <w:tcW w:w="1152" w:type="pct"/>
          </w:tcPr>
          <w:p w14:paraId="1263EFC5" w14:textId="77777777" w:rsidR="007D1C82" w:rsidRPr="007D1C82" w:rsidRDefault="007D1C82" w:rsidP="000A69BD">
            <w:pPr>
              <w:pStyle w:val="ECCTabletext"/>
              <w:jc w:val="left"/>
            </w:pPr>
            <w:r>
              <w:t xml:space="preserve">Sensor P1 </w:t>
            </w:r>
            <w:r w:rsidRPr="007D1C82">
              <w:t>conical scanner</w:t>
            </w:r>
          </w:p>
        </w:tc>
        <w:tc>
          <w:tcPr>
            <w:tcW w:w="1001" w:type="pct"/>
          </w:tcPr>
          <w:p w14:paraId="1EF205AD" w14:textId="77777777" w:rsidR="007D1C82" w:rsidRPr="007D1C82" w:rsidRDefault="00E118CC" w:rsidP="000A69BD">
            <w:pPr>
              <w:pStyle w:val="ECCTabletext"/>
              <w:jc w:val="left"/>
            </w:pPr>
            <w:r>
              <w:t>50</w:t>
            </w:r>
            <w:r w:rsidR="00CF4994">
              <w:t>.9</w:t>
            </w:r>
            <w:r w:rsidR="007D1C82">
              <w:t> dB</w:t>
            </w:r>
          </w:p>
        </w:tc>
      </w:tr>
      <w:tr w:rsidR="007D1C82" w14:paraId="71CE24D7" w14:textId="77777777" w:rsidTr="000F6BEC">
        <w:tc>
          <w:tcPr>
            <w:tcW w:w="1041" w:type="pct"/>
            <w:vMerge/>
          </w:tcPr>
          <w:p w14:paraId="6A97F7CD" w14:textId="77777777" w:rsidR="007D1C82" w:rsidRDefault="007D1C82" w:rsidP="007D1C82">
            <w:pPr>
              <w:pStyle w:val="ECCTabletext"/>
            </w:pPr>
          </w:p>
        </w:tc>
        <w:tc>
          <w:tcPr>
            <w:tcW w:w="1049" w:type="pct"/>
          </w:tcPr>
          <w:p w14:paraId="630A6E94" w14:textId="77777777" w:rsidR="007D1C82" w:rsidRPr="007D1C82" w:rsidRDefault="007D1C82" w:rsidP="000A69BD">
            <w:pPr>
              <w:pStyle w:val="ECCTabletext"/>
              <w:jc w:val="left"/>
            </w:pPr>
            <w:r w:rsidRPr="00C53FB5">
              <w:t>182 to 185 GHz</w:t>
            </w:r>
            <w:r w:rsidR="00465A40">
              <w:t xml:space="preserve"> (In-band)</w:t>
            </w:r>
          </w:p>
        </w:tc>
        <w:tc>
          <w:tcPr>
            <w:tcW w:w="757" w:type="pct"/>
          </w:tcPr>
          <w:p w14:paraId="22410E51" w14:textId="77777777" w:rsidR="007D1C82" w:rsidRPr="007D1C82" w:rsidRDefault="007D1C82" w:rsidP="000A69BD">
            <w:pPr>
              <w:pStyle w:val="ECCTabletext"/>
              <w:jc w:val="left"/>
            </w:pPr>
            <w:r w:rsidRPr="00C53FB5">
              <w:t>183</w:t>
            </w:r>
            <w:r w:rsidR="00CF4994">
              <w:t>.5</w:t>
            </w:r>
            <w:r w:rsidRPr="00C53FB5">
              <w:t> GHz</w:t>
            </w:r>
          </w:p>
        </w:tc>
        <w:tc>
          <w:tcPr>
            <w:tcW w:w="1152" w:type="pct"/>
          </w:tcPr>
          <w:p w14:paraId="34CEF824" w14:textId="77777777" w:rsidR="007D1C82" w:rsidRPr="007D1C82" w:rsidRDefault="007D1C82" w:rsidP="000A69BD">
            <w:pPr>
              <w:pStyle w:val="ECCTabletext"/>
              <w:jc w:val="left"/>
              <w:rPr>
                <w:highlight w:val="yellow"/>
              </w:rPr>
            </w:pPr>
            <w:r w:rsidRPr="00C55228">
              <w:t>AWS nadir scanner (at nadir)</w:t>
            </w:r>
          </w:p>
        </w:tc>
        <w:tc>
          <w:tcPr>
            <w:tcW w:w="1001" w:type="pct"/>
          </w:tcPr>
          <w:p w14:paraId="03125832" w14:textId="77777777" w:rsidR="007D1C82" w:rsidRPr="007D1C82" w:rsidRDefault="00E118CC" w:rsidP="000A69BD">
            <w:pPr>
              <w:pStyle w:val="ECCTabletext"/>
              <w:jc w:val="left"/>
            </w:pPr>
            <w:r>
              <w:t>51</w:t>
            </w:r>
            <w:r w:rsidR="00CF4994">
              <w:t>.6</w:t>
            </w:r>
            <w:r w:rsidR="007D1C82">
              <w:t> dB</w:t>
            </w:r>
          </w:p>
        </w:tc>
      </w:tr>
      <w:tr w:rsidR="007D1C82" w14:paraId="51516D07" w14:textId="77777777" w:rsidTr="000F6BEC">
        <w:tc>
          <w:tcPr>
            <w:tcW w:w="1041" w:type="pct"/>
            <w:vMerge/>
          </w:tcPr>
          <w:p w14:paraId="0C685288" w14:textId="77777777" w:rsidR="007D1C82" w:rsidRDefault="007D1C82" w:rsidP="007D1C82">
            <w:pPr>
              <w:pStyle w:val="ECCTabletext"/>
            </w:pPr>
          </w:p>
        </w:tc>
        <w:tc>
          <w:tcPr>
            <w:tcW w:w="1049" w:type="pct"/>
          </w:tcPr>
          <w:p w14:paraId="1932F0B8" w14:textId="77777777" w:rsidR="007D1C82" w:rsidRPr="007D1C82" w:rsidRDefault="007D1C82" w:rsidP="000A69BD">
            <w:pPr>
              <w:pStyle w:val="ECCTabletext"/>
              <w:jc w:val="left"/>
            </w:pPr>
            <w:r w:rsidRPr="00C53FB5">
              <w:t>190 to 191</w:t>
            </w:r>
            <w:r w:rsidR="00CF4994">
              <w:t>.8</w:t>
            </w:r>
            <w:r w:rsidRPr="00C53FB5">
              <w:t> GHz</w:t>
            </w:r>
            <w:r w:rsidR="00465A40">
              <w:t xml:space="preserve"> (In-band)</w:t>
            </w:r>
          </w:p>
        </w:tc>
        <w:tc>
          <w:tcPr>
            <w:tcW w:w="757" w:type="pct"/>
          </w:tcPr>
          <w:p w14:paraId="524976FE" w14:textId="77777777" w:rsidR="007D1C82" w:rsidRPr="007D1C82" w:rsidRDefault="007D1C82" w:rsidP="000A69BD">
            <w:pPr>
              <w:pStyle w:val="ECCTabletext"/>
              <w:jc w:val="left"/>
            </w:pPr>
            <w:r w:rsidRPr="00C53FB5">
              <w:t>190</w:t>
            </w:r>
            <w:r w:rsidR="00CF4994">
              <w:t>.9</w:t>
            </w:r>
            <w:r w:rsidRPr="00C53FB5">
              <w:t> GHz</w:t>
            </w:r>
          </w:p>
        </w:tc>
        <w:tc>
          <w:tcPr>
            <w:tcW w:w="1152" w:type="pct"/>
          </w:tcPr>
          <w:p w14:paraId="6766D84B" w14:textId="77777777" w:rsidR="007D1C82" w:rsidRPr="007D1C82" w:rsidRDefault="007D1C82" w:rsidP="000A69BD">
            <w:pPr>
              <w:pStyle w:val="ECCTabletext"/>
              <w:jc w:val="left"/>
              <w:rPr>
                <w:highlight w:val="yellow"/>
              </w:rPr>
            </w:pPr>
            <w:r w:rsidRPr="00C55228">
              <w:t>AWS nadir scanner (at nadir)</w:t>
            </w:r>
          </w:p>
        </w:tc>
        <w:tc>
          <w:tcPr>
            <w:tcW w:w="1001" w:type="pct"/>
          </w:tcPr>
          <w:p w14:paraId="6F84B645" w14:textId="77777777" w:rsidR="007D1C82" w:rsidRPr="007D1C82" w:rsidRDefault="00E118CC" w:rsidP="000A69BD">
            <w:pPr>
              <w:pStyle w:val="ECCTabletext"/>
              <w:jc w:val="left"/>
            </w:pPr>
            <w:r>
              <w:t>51</w:t>
            </w:r>
            <w:r w:rsidR="00CF4994">
              <w:t>.9</w:t>
            </w:r>
            <w:r w:rsidR="007D1C82">
              <w:t> dB</w:t>
            </w:r>
          </w:p>
        </w:tc>
      </w:tr>
      <w:tr w:rsidR="007D1C82" w14:paraId="1A69FDA5" w14:textId="77777777" w:rsidTr="000F6BEC">
        <w:tc>
          <w:tcPr>
            <w:tcW w:w="1041" w:type="pct"/>
            <w:vMerge/>
          </w:tcPr>
          <w:p w14:paraId="3BD0780A" w14:textId="77777777" w:rsidR="007D1C82" w:rsidRDefault="007D1C82" w:rsidP="007D1C82">
            <w:pPr>
              <w:pStyle w:val="ECCTabletext"/>
            </w:pPr>
          </w:p>
        </w:tc>
        <w:tc>
          <w:tcPr>
            <w:tcW w:w="1049" w:type="pct"/>
          </w:tcPr>
          <w:p w14:paraId="4799F0F2" w14:textId="77777777" w:rsidR="007D1C82" w:rsidRPr="007D1C82" w:rsidRDefault="007D1C82" w:rsidP="000A69BD">
            <w:pPr>
              <w:pStyle w:val="ECCTabletext"/>
              <w:jc w:val="left"/>
            </w:pPr>
            <w:r w:rsidRPr="00C53FB5">
              <w:t>200 to 209 GHz</w:t>
            </w:r>
            <w:r w:rsidR="00465A40">
              <w:t xml:space="preserve"> (In-band)</w:t>
            </w:r>
          </w:p>
        </w:tc>
        <w:tc>
          <w:tcPr>
            <w:tcW w:w="757" w:type="pct"/>
          </w:tcPr>
          <w:p w14:paraId="77BD6188" w14:textId="77777777" w:rsidR="007D1C82" w:rsidRPr="007D1C82" w:rsidRDefault="007D1C82" w:rsidP="000A69BD">
            <w:pPr>
              <w:pStyle w:val="ECCTabletext"/>
              <w:jc w:val="left"/>
            </w:pPr>
            <w:r w:rsidRPr="00C53FB5">
              <w:t>204</w:t>
            </w:r>
            <w:r w:rsidR="00CF4994">
              <w:t>.5</w:t>
            </w:r>
            <w:r w:rsidRPr="00C53FB5">
              <w:t> GHz</w:t>
            </w:r>
          </w:p>
        </w:tc>
        <w:tc>
          <w:tcPr>
            <w:tcW w:w="1152" w:type="pct"/>
          </w:tcPr>
          <w:p w14:paraId="375394A5" w14:textId="77777777" w:rsidR="007D1C82" w:rsidRPr="007D1C82" w:rsidRDefault="007D1C82" w:rsidP="000A69BD">
            <w:pPr>
              <w:pStyle w:val="ECCTabletext"/>
              <w:jc w:val="left"/>
              <w:rPr>
                <w:highlight w:val="yellow"/>
              </w:rPr>
            </w:pPr>
            <w:r w:rsidRPr="00C716F4">
              <w:t>MWI conical scanner</w:t>
            </w:r>
          </w:p>
        </w:tc>
        <w:tc>
          <w:tcPr>
            <w:tcW w:w="1001" w:type="pct"/>
          </w:tcPr>
          <w:p w14:paraId="1C7A49B2" w14:textId="77777777" w:rsidR="007D1C82" w:rsidRPr="007D1C82" w:rsidRDefault="007D1C82" w:rsidP="000A69BD">
            <w:pPr>
              <w:pStyle w:val="ECCTabletext"/>
              <w:jc w:val="left"/>
            </w:pPr>
            <w:r>
              <w:t>4</w:t>
            </w:r>
            <w:r w:rsidR="00E118CC">
              <w:t>8</w:t>
            </w:r>
            <w:r w:rsidR="00CF4994">
              <w:t>.8</w:t>
            </w:r>
            <w:r>
              <w:t> dB</w:t>
            </w:r>
          </w:p>
        </w:tc>
      </w:tr>
      <w:tr w:rsidR="007D1C82" w14:paraId="3D8D1B45" w14:textId="77777777" w:rsidTr="000F6BEC">
        <w:tc>
          <w:tcPr>
            <w:tcW w:w="1041" w:type="pct"/>
            <w:vMerge/>
          </w:tcPr>
          <w:p w14:paraId="6F345D75" w14:textId="77777777" w:rsidR="007D1C82" w:rsidRDefault="007D1C82" w:rsidP="007D1C82">
            <w:pPr>
              <w:pStyle w:val="ECCTabletext"/>
            </w:pPr>
          </w:p>
        </w:tc>
        <w:tc>
          <w:tcPr>
            <w:tcW w:w="1049" w:type="pct"/>
          </w:tcPr>
          <w:p w14:paraId="46F24C63" w14:textId="77777777" w:rsidR="007D1C82" w:rsidRPr="007D1C82" w:rsidRDefault="007D1C82" w:rsidP="000A69BD">
            <w:pPr>
              <w:pStyle w:val="ECCTabletext"/>
              <w:jc w:val="left"/>
            </w:pPr>
            <w:r w:rsidRPr="00C53FB5">
              <w:t>226 to 231</w:t>
            </w:r>
            <w:r w:rsidR="00CF4994">
              <w:t>.5</w:t>
            </w:r>
            <w:r w:rsidRPr="00C53FB5">
              <w:t> GHz</w:t>
            </w:r>
            <w:r w:rsidR="00465A40">
              <w:t xml:space="preserve"> (In-band)</w:t>
            </w:r>
          </w:p>
        </w:tc>
        <w:tc>
          <w:tcPr>
            <w:tcW w:w="757" w:type="pct"/>
          </w:tcPr>
          <w:p w14:paraId="5869479B" w14:textId="77777777" w:rsidR="007D1C82" w:rsidRPr="007D1C82" w:rsidRDefault="007D1C82" w:rsidP="000A69BD">
            <w:pPr>
              <w:pStyle w:val="ECCTabletext"/>
              <w:jc w:val="left"/>
            </w:pPr>
            <w:r w:rsidRPr="00C53FB5">
              <w:t>228</w:t>
            </w:r>
            <w:r w:rsidR="00CF4994">
              <w:t>.7</w:t>
            </w:r>
            <w:r w:rsidRPr="007D1C82">
              <w:t>5 GHz</w:t>
            </w:r>
          </w:p>
        </w:tc>
        <w:tc>
          <w:tcPr>
            <w:tcW w:w="1152" w:type="pct"/>
          </w:tcPr>
          <w:p w14:paraId="59ECF6C0" w14:textId="77777777" w:rsidR="007D1C82" w:rsidRPr="007D1C82" w:rsidRDefault="007D1C82" w:rsidP="000A69BD">
            <w:pPr>
              <w:pStyle w:val="ECCTabletext"/>
              <w:jc w:val="left"/>
              <w:rPr>
                <w:highlight w:val="yellow"/>
              </w:rPr>
            </w:pPr>
            <w:r w:rsidRPr="00C716F4">
              <w:t>MWI conical scanner</w:t>
            </w:r>
          </w:p>
        </w:tc>
        <w:tc>
          <w:tcPr>
            <w:tcW w:w="1001" w:type="pct"/>
          </w:tcPr>
          <w:p w14:paraId="72C2FDBC" w14:textId="77777777" w:rsidR="007D1C82" w:rsidRPr="007D1C82" w:rsidRDefault="00E118CC" w:rsidP="000A69BD">
            <w:pPr>
              <w:pStyle w:val="ECCTabletext"/>
              <w:jc w:val="left"/>
            </w:pPr>
            <w:r>
              <w:t>52</w:t>
            </w:r>
            <w:r w:rsidR="00CF4994">
              <w:t>.3</w:t>
            </w:r>
            <w:r w:rsidR="007D1C82">
              <w:t> dB</w:t>
            </w:r>
          </w:p>
        </w:tc>
      </w:tr>
      <w:tr w:rsidR="007D1C82" w14:paraId="00CFEDA5" w14:textId="77777777" w:rsidTr="000F6BEC">
        <w:tc>
          <w:tcPr>
            <w:tcW w:w="1041" w:type="pct"/>
            <w:vMerge/>
          </w:tcPr>
          <w:p w14:paraId="695BF736" w14:textId="77777777" w:rsidR="007D1C82" w:rsidRDefault="007D1C82" w:rsidP="007D1C82">
            <w:pPr>
              <w:pStyle w:val="ECCTabletext"/>
            </w:pPr>
          </w:p>
        </w:tc>
        <w:tc>
          <w:tcPr>
            <w:tcW w:w="1049" w:type="pct"/>
          </w:tcPr>
          <w:p w14:paraId="0827C7F5" w14:textId="77777777" w:rsidR="007D1C82" w:rsidRPr="007D1C82" w:rsidRDefault="007D1C82" w:rsidP="000A69BD">
            <w:pPr>
              <w:pStyle w:val="ECCTabletext"/>
              <w:jc w:val="left"/>
            </w:pPr>
            <w:r>
              <w:t>250 to 252 GHz</w:t>
            </w:r>
            <w:r w:rsidR="00465A40">
              <w:t xml:space="preserve"> (In-band)</w:t>
            </w:r>
          </w:p>
        </w:tc>
        <w:tc>
          <w:tcPr>
            <w:tcW w:w="757" w:type="pct"/>
          </w:tcPr>
          <w:p w14:paraId="792EC6B6" w14:textId="77777777" w:rsidR="007D1C82" w:rsidRPr="007D1C82" w:rsidRDefault="007D1C82" w:rsidP="000A69BD">
            <w:pPr>
              <w:pStyle w:val="ECCTabletext"/>
              <w:jc w:val="left"/>
            </w:pPr>
            <w:r w:rsidRPr="00C53FB5">
              <w:t>251</w:t>
            </w:r>
            <w:r w:rsidR="00461D7A">
              <w:t> </w:t>
            </w:r>
            <w:r w:rsidRPr="00C53FB5">
              <w:t>GHz</w:t>
            </w:r>
          </w:p>
        </w:tc>
        <w:tc>
          <w:tcPr>
            <w:tcW w:w="1152" w:type="pct"/>
          </w:tcPr>
          <w:p w14:paraId="128A239D" w14:textId="77777777" w:rsidR="007D1C82" w:rsidRPr="007D1C82" w:rsidRDefault="007D1C82" w:rsidP="000A69BD">
            <w:pPr>
              <w:pStyle w:val="ECCTabletext"/>
              <w:jc w:val="left"/>
              <w:rPr>
                <w:highlight w:val="yellow"/>
              </w:rPr>
            </w:pPr>
            <w:r w:rsidRPr="00C716F4">
              <w:t>MWI conical scanner</w:t>
            </w:r>
          </w:p>
        </w:tc>
        <w:tc>
          <w:tcPr>
            <w:tcW w:w="1001" w:type="pct"/>
          </w:tcPr>
          <w:p w14:paraId="5884FC4D" w14:textId="77777777" w:rsidR="007D1C82" w:rsidRPr="007D1C82" w:rsidRDefault="00E118CC" w:rsidP="000A69BD">
            <w:pPr>
              <w:pStyle w:val="ECCTabletext"/>
              <w:jc w:val="left"/>
            </w:pPr>
            <w:r>
              <w:t>54</w:t>
            </w:r>
            <w:r w:rsidR="00CF4994">
              <w:t>.1</w:t>
            </w:r>
            <w:r w:rsidR="007D1C82">
              <w:t> dB</w:t>
            </w:r>
          </w:p>
        </w:tc>
      </w:tr>
    </w:tbl>
    <w:p w14:paraId="5C19B287" w14:textId="77777777" w:rsidR="00C07C80" w:rsidRDefault="00C07C80" w:rsidP="00C07C80">
      <w:pPr>
        <w:pStyle w:val="Caption"/>
      </w:pPr>
      <w:bookmarkStart w:id="782" w:name="_Ref67242720"/>
      <w:bookmarkStart w:id="783" w:name="_Ref89343565"/>
    </w:p>
    <w:p w14:paraId="75C77583" w14:textId="77777777" w:rsidR="00C07C80" w:rsidRDefault="00C07C80">
      <w:pPr>
        <w:rPr>
          <w:rFonts w:eastAsia="Times New Roman"/>
          <w:b/>
          <w:bCs/>
          <w:color w:val="D2232A"/>
          <w:szCs w:val="20"/>
          <w:lang w:val="da-DK"/>
        </w:rPr>
      </w:pPr>
      <w:r>
        <w:br w:type="page"/>
      </w:r>
    </w:p>
    <w:p w14:paraId="43DC73FC" w14:textId="44257EC7" w:rsidR="007D1C82" w:rsidRDefault="00B83CE5" w:rsidP="00C07C80">
      <w:pPr>
        <w:pStyle w:val="Caption"/>
        <w:rPr>
          <w:rStyle w:val="ECCParagraph"/>
        </w:rPr>
      </w:pPr>
      <w:r w:rsidRPr="00477961">
        <w:t>Table </w:t>
      </w:r>
      <w:r>
        <w:fldChar w:fldCharType="begin"/>
      </w:r>
      <w:r>
        <w:instrText>SEQ Table \* ARABIC</w:instrText>
      </w:r>
      <w:r>
        <w:fldChar w:fldCharType="separate"/>
      </w:r>
      <w:r w:rsidR="004F49F9">
        <w:rPr>
          <w:noProof/>
        </w:rPr>
        <w:t>111</w:t>
      </w:r>
      <w:r>
        <w:fldChar w:fldCharType="end"/>
      </w:r>
      <w:bookmarkEnd w:id="782"/>
      <w:bookmarkEnd w:id="783"/>
      <w:r w:rsidR="007D1C82">
        <w:t xml:space="preserve">: </w:t>
      </w:r>
      <w:r w:rsidR="007D1C82" w:rsidRPr="006231F5">
        <w:t xml:space="preserve">Margins to the </w:t>
      </w:r>
      <w:r w:rsidR="007D1C82">
        <w:t xml:space="preserve">EESS </w:t>
      </w:r>
      <w:r w:rsidR="007D1C82" w:rsidRPr="006231F5">
        <w:t xml:space="preserve">interference criterion determined in </w:t>
      </w:r>
      <w:r w:rsidR="007D1C82">
        <w:t>an aggregate</w:t>
      </w:r>
      <w:r w:rsidR="007D1C82" w:rsidRPr="006231F5">
        <w:t xml:space="preserve"> study </w:t>
      </w:r>
      <w:r w:rsidR="007D1C82" w:rsidRPr="003E1728">
        <w:t>for RDI-S</w:t>
      </w:r>
      <w:r w:rsidR="007D1C82">
        <w:t xml:space="preserve"> in frequency ranges inside RR article 5.340 protected bands</w:t>
      </w:r>
    </w:p>
    <w:tbl>
      <w:tblPr>
        <w:tblStyle w:val="ECCTable-redheader"/>
        <w:tblW w:w="9209" w:type="dxa"/>
        <w:tblInd w:w="0" w:type="dxa"/>
        <w:tblLook w:val="04A0" w:firstRow="1" w:lastRow="0" w:firstColumn="1" w:lastColumn="0" w:noHBand="0" w:noVBand="1"/>
      </w:tblPr>
      <w:tblGrid>
        <w:gridCol w:w="1917"/>
        <w:gridCol w:w="1932"/>
        <w:gridCol w:w="1395"/>
        <w:gridCol w:w="2122"/>
        <w:gridCol w:w="1843"/>
      </w:tblGrid>
      <w:tr w:rsidR="007D1C82" w14:paraId="435A2A28" w14:textId="77777777" w:rsidTr="004E0271">
        <w:trPr>
          <w:cnfStyle w:val="100000000000" w:firstRow="1" w:lastRow="0" w:firstColumn="0" w:lastColumn="0" w:oddVBand="0" w:evenVBand="0" w:oddHBand="0" w:evenHBand="0" w:firstRowFirstColumn="0" w:firstRowLastColumn="0" w:lastRowFirstColumn="0" w:lastRowLastColumn="0"/>
        </w:trPr>
        <w:tc>
          <w:tcPr>
            <w:tcW w:w="1917" w:type="dxa"/>
          </w:tcPr>
          <w:p w14:paraId="7B5A685B" w14:textId="77777777" w:rsidR="007D1C82" w:rsidRPr="007D1C82" w:rsidRDefault="007D1C82" w:rsidP="00C07C80">
            <w:pPr>
              <w:pStyle w:val="ECCTableHeaderwhitefont"/>
            </w:pPr>
            <w:r w:rsidRPr="00566944">
              <w:t>Investigated Frequency range</w:t>
            </w:r>
          </w:p>
        </w:tc>
        <w:tc>
          <w:tcPr>
            <w:tcW w:w="1932" w:type="dxa"/>
          </w:tcPr>
          <w:p w14:paraId="5662603F" w14:textId="77777777" w:rsidR="007D1C82" w:rsidRPr="007D1C82" w:rsidRDefault="007D1C82" w:rsidP="00C07C80">
            <w:pPr>
              <w:pStyle w:val="ECCTableHeaderwhitefont"/>
            </w:pPr>
            <w:r w:rsidRPr="007D1C82">
              <w:t>Allocated band for EESS</w:t>
            </w:r>
          </w:p>
        </w:tc>
        <w:tc>
          <w:tcPr>
            <w:tcW w:w="1395" w:type="dxa"/>
          </w:tcPr>
          <w:p w14:paraId="17132E07" w14:textId="77777777" w:rsidR="007D1C82" w:rsidRPr="007D1C82" w:rsidRDefault="007D1C82" w:rsidP="00C07C80">
            <w:pPr>
              <w:pStyle w:val="ECCTableHeaderwhitefont"/>
            </w:pPr>
            <w:r w:rsidRPr="007D1C82">
              <w:t>Investigated centre frequency</w:t>
            </w:r>
          </w:p>
        </w:tc>
        <w:tc>
          <w:tcPr>
            <w:tcW w:w="2122" w:type="dxa"/>
          </w:tcPr>
          <w:p w14:paraId="55D96D8D" w14:textId="77777777" w:rsidR="007D1C82" w:rsidRPr="007D1C82" w:rsidRDefault="007D1C82" w:rsidP="00C07C80">
            <w:pPr>
              <w:pStyle w:val="ECCTableHeaderwhitefont"/>
            </w:pPr>
            <w:r w:rsidRPr="007D1C82">
              <w:t>EESS victim sensor</w:t>
            </w:r>
          </w:p>
        </w:tc>
        <w:tc>
          <w:tcPr>
            <w:tcW w:w="1843" w:type="dxa"/>
          </w:tcPr>
          <w:p w14:paraId="114C9E1B" w14:textId="77777777" w:rsidR="007D1C82" w:rsidRPr="007D1C82" w:rsidRDefault="007D1C82" w:rsidP="00C07C80">
            <w:pPr>
              <w:pStyle w:val="ECCTableHeaderwhitefont"/>
            </w:pPr>
            <w:r w:rsidRPr="007D1C82">
              <w:t>Margin to interference criterion</w:t>
            </w:r>
          </w:p>
        </w:tc>
      </w:tr>
      <w:tr w:rsidR="007D1C82" w14:paraId="4FB666D2" w14:textId="77777777" w:rsidTr="004E0271">
        <w:tc>
          <w:tcPr>
            <w:tcW w:w="1917" w:type="dxa"/>
            <w:vMerge w:val="restart"/>
          </w:tcPr>
          <w:p w14:paraId="75100AC8" w14:textId="77777777" w:rsidR="007D1C82" w:rsidRPr="007D1C82" w:rsidRDefault="007D1C82" w:rsidP="00C07C80">
            <w:pPr>
              <w:pStyle w:val="ECCTabletext"/>
              <w:jc w:val="left"/>
            </w:pPr>
            <w:r w:rsidRPr="009B5279">
              <w:t>116 to 260 GHz</w:t>
            </w:r>
          </w:p>
        </w:tc>
        <w:tc>
          <w:tcPr>
            <w:tcW w:w="1932" w:type="dxa"/>
          </w:tcPr>
          <w:p w14:paraId="037A9B16" w14:textId="77777777" w:rsidR="007D1C82" w:rsidRPr="007D1C82" w:rsidRDefault="007D1C82" w:rsidP="00C07C80">
            <w:pPr>
              <w:pStyle w:val="ECCTabletext"/>
              <w:jc w:val="left"/>
            </w:pPr>
            <w:r w:rsidRPr="00C53FB5">
              <w:t>114</w:t>
            </w:r>
            <w:r w:rsidR="00CF4994">
              <w:t>.2</w:t>
            </w:r>
            <w:r w:rsidRPr="00C53FB5">
              <w:t>5 to 116 GHz</w:t>
            </w:r>
            <w:r w:rsidR="00C01D2B">
              <w:t xml:space="preserve"> (OOB)</w:t>
            </w:r>
          </w:p>
        </w:tc>
        <w:tc>
          <w:tcPr>
            <w:tcW w:w="1395" w:type="dxa"/>
          </w:tcPr>
          <w:p w14:paraId="119C5B5C" w14:textId="77777777" w:rsidR="007D1C82" w:rsidRPr="007D1C82" w:rsidRDefault="007D1C82" w:rsidP="00C07C80">
            <w:pPr>
              <w:pStyle w:val="ECCTabletext"/>
              <w:jc w:val="left"/>
            </w:pPr>
            <w:r w:rsidRPr="00C53FB5">
              <w:t>115</w:t>
            </w:r>
            <w:r w:rsidR="00CF4994">
              <w:t>.1</w:t>
            </w:r>
            <w:r w:rsidRPr="00C53FB5">
              <w:t>25 GHz</w:t>
            </w:r>
          </w:p>
        </w:tc>
        <w:tc>
          <w:tcPr>
            <w:tcW w:w="2122" w:type="dxa"/>
          </w:tcPr>
          <w:p w14:paraId="36698D06" w14:textId="77777777" w:rsidR="007D1C82" w:rsidRPr="007D1C82" w:rsidRDefault="007D1C82" w:rsidP="00C07C80">
            <w:pPr>
              <w:pStyle w:val="ECCTabletext"/>
              <w:jc w:val="left"/>
              <w:rPr>
                <w:highlight w:val="yellow"/>
              </w:rPr>
            </w:pPr>
            <w:r w:rsidRPr="001772F1">
              <w:t xml:space="preserve">MWI </w:t>
            </w:r>
            <w:r w:rsidRPr="007D1C82">
              <w:t>conical scanner</w:t>
            </w:r>
          </w:p>
        </w:tc>
        <w:tc>
          <w:tcPr>
            <w:tcW w:w="1843" w:type="dxa"/>
          </w:tcPr>
          <w:p w14:paraId="0A53E64A" w14:textId="77777777" w:rsidR="007D1C82" w:rsidRPr="007D1C82" w:rsidRDefault="005809AD" w:rsidP="00C07C80">
            <w:pPr>
              <w:pStyle w:val="ECCTabletext"/>
              <w:jc w:val="left"/>
              <w:rPr>
                <w:highlight w:val="yellow"/>
              </w:rPr>
            </w:pPr>
            <w:r>
              <w:t>22</w:t>
            </w:r>
            <w:r w:rsidR="00CF4994">
              <w:t>.0</w:t>
            </w:r>
            <w:r w:rsidR="007D1C82" w:rsidRPr="0049164F">
              <w:t> dB</w:t>
            </w:r>
          </w:p>
        </w:tc>
      </w:tr>
      <w:tr w:rsidR="007D1C82" w14:paraId="1EDD470B" w14:textId="77777777" w:rsidTr="004E0271">
        <w:tc>
          <w:tcPr>
            <w:tcW w:w="1917" w:type="dxa"/>
            <w:vMerge/>
          </w:tcPr>
          <w:p w14:paraId="23935A23" w14:textId="77777777" w:rsidR="007D1C82" w:rsidRDefault="007D1C82" w:rsidP="00C07C80">
            <w:pPr>
              <w:pStyle w:val="ECCTabletext"/>
            </w:pPr>
          </w:p>
        </w:tc>
        <w:tc>
          <w:tcPr>
            <w:tcW w:w="1932" w:type="dxa"/>
          </w:tcPr>
          <w:p w14:paraId="66F5AE01" w14:textId="77777777" w:rsidR="007D1C82" w:rsidRPr="007D1C82" w:rsidRDefault="007D1C82" w:rsidP="00C07C80">
            <w:pPr>
              <w:pStyle w:val="ECCTabletext"/>
              <w:jc w:val="left"/>
            </w:pPr>
            <w:r w:rsidRPr="00C53FB5">
              <w:t>148</w:t>
            </w:r>
            <w:r w:rsidR="00CF4994">
              <w:t>.5</w:t>
            </w:r>
            <w:r w:rsidRPr="00C53FB5">
              <w:t xml:space="preserve"> to 151</w:t>
            </w:r>
            <w:r w:rsidR="00CF4994">
              <w:t>.5</w:t>
            </w:r>
            <w:r w:rsidRPr="00C53FB5">
              <w:t> GHz</w:t>
            </w:r>
            <w:r w:rsidR="00C01D2B">
              <w:t xml:space="preserve"> (In-band)</w:t>
            </w:r>
          </w:p>
        </w:tc>
        <w:tc>
          <w:tcPr>
            <w:tcW w:w="1395" w:type="dxa"/>
          </w:tcPr>
          <w:p w14:paraId="7A214C87" w14:textId="77777777" w:rsidR="007D1C82" w:rsidRPr="007D1C82" w:rsidRDefault="007D1C82" w:rsidP="00C07C80">
            <w:pPr>
              <w:pStyle w:val="ECCTabletext"/>
              <w:jc w:val="left"/>
            </w:pPr>
            <w:r w:rsidRPr="00C53FB5">
              <w:t>150 GHz</w:t>
            </w:r>
          </w:p>
        </w:tc>
        <w:tc>
          <w:tcPr>
            <w:tcW w:w="2122" w:type="dxa"/>
          </w:tcPr>
          <w:p w14:paraId="6A81D405" w14:textId="77777777" w:rsidR="007D1C82" w:rsidRPr="007D1C82" w:rsidRDefault="007D1C82" w:rsidP="00C07C80">
            <w:pPr>
              <w:pStyle w:val="ECCTabletext"/>
              <w:jc w:val="left"/>
              <w:rPr>
                <w:highlight w:val="yellow"/>
              </w:rPr>
            </w:pPr>
            <w:r>
              <w:t>Sensor N1 nadir scanner (at nadir)</w:t>
            </w:r>
          </w:p>
        </w:tc>
        <w:tc>
          <w:tcPr>
            <w:tcW w:w="1843" w:type="dxa"/>
          </w:tcPr>
          <w:p w14:paraId="11AFC31F" w14:textId="77777777" w:rsidR="007D1C82" w:rsidRPr="007D1C82" w:rsidRDefault="005809AD" w:rsidP="00C07C80">
            <w:pPr>
              <w:pStyle w:val="ECCTabletext"/>
              <w:jc w:val="left"/>
              <w:rPr>
                <w:highlight w:val="yellow"/>
              </w:rPr>
            </w:pPr>
            <w:r>
              <w:t>28</w:t>
            </w:r>
            <w:r w:rsidR="00CF4994">
              <w:t>.2</w:t>
            </w:r>
            <w:r w:rsidR="007D1C82" w:rsidRPr="0049164F">
              <w:t> dB</w:t>
            </w:r>
          </w:p>
        </w:tc>
      </w:tr>
      <w:tr w:rsidR="007D1C82" w14:paraId="55A2718E" w14:textId="77777777" w:rsidTr="004E0271">
        <w:tc>
          <w:tcPr>
            <w:tcW w:w="1917" w:type="dxa"/>
            <w:vMerge/>
          </w:tcPr>
          <w:p w14:paraId="29FB2F1D" w14:textId="77777777" w:rsidR="007D1C82" w:rsidRDefault="007D1C82" w:rsidP="00C07C80">
            <w:pPr>
              <w:pStyle w:val="ECCTabletext"/>
            </w:pPr>
          </w:p>
        </w:tc>
        <w:tc>
          <w:tcPr>
            <w:tcW w:w="1932" w:type="dxa"/>
          </w:tcPr>
          <w:p w14:paraId="244B3544" w14:textId="77777777" w:rsidR="007D1C82" w:rsidRPr="007D1C82" w:rsidRDefault="007D1C82" w:rsidP="00C07C80">
            <w:pPr>
              <w:pStyle w:val="ECCTabletext"/>
              <w:jc w:val="left"/>
            </w:pPr>
            <w:r w:rsidRPr="00C53FB5">
              <w:t>164 to 167</w:t>
            </w:r>
            <w:r w:rsidRPr="007D1C82">
              <w:t> GHz</w:t>
            </w:r>
            <w:r w:rsidR="00C01D2B">
              <w:t xml:space="preserve"> (In-band)</w:t>
            </w:r>
          </w:p>
        </w:tc>
        <w:tc>
          <w:tcPr>
            <w:tcW w:w="1395" w:type="dxa"/>
          </w:tcPr>
          <w:p w14:paraId="74474159" w14:textId="77777777" w:rsidR="007D1C82" w:rsidRPr="007D1C82" w:rsidRDefault="007D1C82" w:rsidP="00C07C80">
            <w:pPr>
              <w:pStyle w:val="ECCTabletext"/>
              <w:jc w:val="left"/>
            </w:pPr>
            <w:r w:rsidRPr="00C53FB5">
              <w:t>165</w:t>
            </w:r>
            <w:r w:rsidR="00CF4994">
              <w:t>.5</w:t>
            </w:r>
            <w:r w:rsidRPr="00C53FB5">
              <w:t> GHz</w:t>
            </w:r>
          </w:p>
        </w:tc>
        <w:tc>
          <w:tcPr>
            <w:tcW w:w="2122" w:type="dxa"/>
          </w:tcPr>
          <w:p w14:paraId="6CA2F6C1" w14:textId="77777777" w:rsidR="007D1C82" w:rsidRPr="007D1C82" w:rsidRDefault="007D1C82" w:rsidP="00C07C80">
            <w:pPr>
              <w:pStyle w:val="ECCTabletext"/>
              <w:jc w:val="left"/>
              <w:rPr>
                <w:highlight w:val="yellow"/>
              </w:rPr>
            </w:pPr>
            <w:r>
              <w:t>Sensor P1 conical scanner</w:t>
            </w:r>
          </w:p>
        </w:tc>
        <w:tc>
          <w:tcPr>
            <w:tcW w:w="1843" w:type="dxa"/>
          </w:tcPr>
          <w:p w14:paraId="42E13B08" w14:textId="77777777" w:rsidR="007D1C82" w:rsidRPr="007D1C82" w:rsidRDefault="005809AD" w:rsidP="00C07C80">
            <w:pPr>
              <w:pStyle w:val="ECCTabletext"/>
              <w:jc w:val="left"/>
              <w:rPr>
                <w:highlight w:val="yellow"/>
              </w:rPr>
            </w:pPr>
            <w:r>
              <w:t>31</w:t>
            </w:r>
            <w:r w:rsidR="00CF4994">
              <w:t>.2</w:t>
            </w:r>
            <w:r w:rsidR="007D1C82" w:rsidRPr="00F17C21">
              <w:t> dB</w:t>
            </w:r>
          </w:p>
        </w:tc>
      </w:tr>
      <w:tr w:rsidR="007D1C82" w14:paraId="2A2A750B" w14:textId="77777777" w:rsidTr="004E0271">
        <w:tc>
          <w:tcPr>
            <w:tcW w:w="1917" w:type="dxa"/>
            <w:vMerge/>
          </w:tcPr>
          <w:p w14:paraId="53EB31A5" w14:textId="77777777" w:rsidR="007D1C82" w:rsidRDefault="007D1C82" w:rsidP="00C07C80">
            <w:pPr>
              <w:pStyle w:val="ECCTabletext"/>
            </w:pPr>
          </w:p>
        </w:tc>
        <w:tc>
          <w:tcPr>
            <w:tcW w:w="1932" w:type="dxa"/>
          </w:tcPr>
          <w:p w14:paraId="00DC77B6" w14:textId="77777777" w:rsidR="007D1C82" w:rsidRPr="007D1C82" w:rsidRDefault="007D1C82" w:rsidP="00C07C80">
            <w:pPr>
              <w:pStyle w:val="ECCTabletext"/>
              <w:jc w:val="left"/>
            </w:pPr>
            <w:r w:rsidRPr="00C53FB5">
              <w:t>182 to 185 GHz</w:t>
            </w:r>
            <w:r w:rsidR="00C01D2B">
              <w:t xml:space="preserve"> (In-band)</w:t>
            </w:r>
          </w:p>
        </w:tc>
        <w:tc>
          <w:tcPr>
            <w:tcW w:w="1395" w:type="dxa"/>
          </w:tcPr>
          <w:p w14:paraId="24E942C2" w14:textId="77777777" w:rsidR="007D1C82" w:rsidRPr="007D1C82" w:rsidRDefault="007D1C82" w:rsidP="00C07C80">
            <w:pPr>
              <w:pStyle w:val="ECCTabletext"/>
              <w:jc w:val="left"/>
            </w:pPr>
            <w:r w:rsidRPr="00C53FB5">
              <w:t>183</w:t>
            </w:r>
            <w:r w:rsidR="00CF4994">
              <w:t>.5</w:t>
            </w:r>
            <w:r w:rsidRPr="00C53FB5">
              <w:t> GHz</w:t>
            </w:r>
          </w:p>
        </w:tc>
        <w:tc>
          <w:tcPr>
            <w:tcW w:w="2122" w:type="dxa"/>
          </w:tcPr>
          <w:p w14:paraId="23B2C474" w14:textId="77777777" w:rsidR="007D1C82" w:rsidRPr="007D1C82" w:rsidRDefault="007D1C82" w:rsidP="00C07C80">
            <w:pPr>
              <w:pStyle w:val="ECCTabletext"/>
              <w:jc w:val="left"/>
              <w:rPr>
                <w:highlight w:val="yellow"/>
              </w:rPr>
            </w:pPr>
            <w:r>
              <w:t>M</w:t>
            </w:r>
            <w:r w:rsidRPr="007D1C82">
              <w:t>W</w:t>
            </w:r>
            <w:r w:rsidR="005809AD">
              <w:t>I conical scanner</w:t>
            </w:r>
          </w:p>
        </w:tc>
        <w:tc>
          <w:tcPr>
            <w:tcW w:w="1843" w:type="dxa"/>
          </w:tcPr>
          <w:p w14:paraId="1C27490F" w14:textId="77777777" w:rsidR="007D1C82" w:rsidRPr="007D1C82" w:rsidRDefault="005809AD" w:rsidP="00C07C80">
            <w:pPr>
              <w:pStyle w:val="ECCTabletext"/>
              <w:jc w:val="left"/>
            </w:pPr>
            <w:r>
              <w:t>39</w:t>
            </w:r>
            <w:r w:rsidR="00CF4994">
              <w:t>.5</w:t>
            </w:r>
            <w:r w:rsidR="007D1C82" w:rsidRPr="008749DA">
              <w:t> dB</w:t>
            </w:r>
          </w:p>
        </w:tc>
      </w:tr>
      <w:tr w:rsidR="007D1C82" w14:paraId="3491908C" w14:textId="77777777" w:rsidTr="004E0271">
        <w:tc>
          <w:tcPr>
            <w:tcW w:w="1917" w:type="dxa"/>
            <w:vMerge/>
          </w:tcPr>
          <w:p w14:paraId="39D8E5C0" w14:textId="77777777" w:rsidR="007D1C82" w:rsidRDefault="007D1C82" w:rsidP="00C07C80">
            <w:pPr>
              <w:pStyle w:val="ECCTabletext"/>
            </w:pPr>
          </w:p>
        </w:tc>
        <w:tc>
          <w:tcPr>
            <w:tcW w:w="1932" w:type="dxa"/>
          </w:tcPr>
          <w:p w14:paraId="50F2C22A" w14:textId="77777777" w:rsidR="007D1C82" w:rsidRPr="007D1C82" w:rsidRDefault="007D1C82" w:rsidP="00C07C80">
            <w:pPr>
              <w:pStyle w:val="ECCTabletext"/>
              <w:jc w:val="left"/>
            </w:pPr>
            <w:r w:rsidRPr="00C53FB5">
              <w:t xml:space="preserve">190 to </w:t>
            </w:r>
            <w:r w:rsidRPr="007D1C82">
              <w:t>191</w:t>
            </w:r>
            <w:r w:rsidR="00CF4994">
              <w:t>.8</w:t>
            </w:r>
            <w:r w:rsidRPr="007D1C82">
              <w:t> GHz</w:t>
            </w:r>
            <w:r w:rsidR="00C01D2B">
              <w:t xml:space="preserve"> (In-band)</w:t>
            </w:r>
          </w:p>
        </w:tc>
        <w:tc>
          <w:tcPr>
            <w:tcW w:w="1395" w:type="dxa"/>
          </w:tcPr>
          <w:p w14:paraId="0C0FAB77" w14:textId="77777777" w:rsidR="007D1C82" w:rsidRPr="007D1C82" w:rsidRDefault="007D1C82" w:rsidP="00C07C80">
            <w:pPr>
              <w:pStyle w:val="ECCTabletext"/>
              <w:jc w:val="left"/>
            </w:pPr>
            <w:r w:rsidRPr="00C53FB5">
              <w:t>190</w:t>
            </w:r>
            <w:r w:rsidR="00CF4994">
              <w:t>.9</w:t>
            </w:r>
            <w:r w:rsidRPr="00C53FB5">
              <w:t> GHz</w:t>
            </w:r>
          </w:p>
        </w:tc>
        <w:tc>
          <w:tcPr>
            <w:tcW w:w="2122" w:type="dxa"/>
          </w:tcPr>
          <w:p w14:paraId="50319E6A" w14:textId="77777777" w:rsidR="007D1C82" w:rsidRPr="007D1C82" w:rsidRDefault="005809AD" w:rsidP="00C07C80">
            <w:pPr>
              <w:pStyle w:val="ECCTabletext"/>
              <w:jc w:val="left"/>
              <w:rPr>
                <w:highlight w:val="yellow"/>
              </w:rPr>
            </w:pPr>
            <w:r>
              <w:t>M</w:t>
            </w:r>
            <w:r w:rsidRPr="005809AD">
              <w:t>WI conical scanner</w:t>
            </w:r>
          </w:p>
        </w:tc>
        <w:tc>
          <w:tcPr>
            <w:tcW w:w="1843" w:type="dxa"/>
          </w:tcPr>
          <w:p w14:paraId="1A972C77" w14:textId="77777777" w:rsidR="007D1C82" w:rsidRPr="007D1C82" w:rsidRDefault="005809AD" w:rsidP="00C07C80">
            <w:pPr>
              <w:pStyle w:val="ECCTabletext"/>
              <w:jc w:val="left"/>
            </w:pPr>
            <w:r>
              <w:t>39</w:t>
            </w:r>
            <w:r w:rsidR="00CF4994">
              <w:t>.9</w:t>
            </w:r>
            <w:r w:rsidR="007D1C82" w:rsidRPr="008749DA">
              <w:t> dB</w:t>
            </w:r>
          </w:p>
        </w:tc>
      </w:tr>
      <w:tr w:rsidR="007D1C82" w14:paraId="2EB68633" w14:textId="77777777" w:rsidTr="004E0271">
        <w:tc>
          <w:tcPr>
            <w:tcW w:w="1917" w:type="dxa"/>
            <w:vMerge/>
          </w:tcPr>
          <w:p w14:paraId="4F6310FE" w14:textId="77777777" w:rsidR="007D1C82" w:rsidRDefault="007D1C82" w:rsidP="00C07C80">
            <w:pPr>
              <w:pStyle w:val="ECCTabletext"/>
            </w:pPr>
          </w:p>
        </w:tc>
        <w:tc>
          <w:tcPr>
            <w:tcW w:w="1932" w:type="dxa"/>
          </w:tcPr>
          <w:p w14:paraId="268FBAB7" w14:textId="77777777" w:rsidR="007D1C82" w:rsidRPr="007D1C82" w:rsidRDefault="007D1C82" w:rsidP="00C07C80">
            <w:pPr>
              <w:pStyle w:val="ECCTabletext"/>
              <w:jc w:val="left"/>
            </w:pPr>
            <w:r w:rsidRPr="00C53FB5">
              <w:t>200 to 209 GHz</w:t>
            </w:r>
            <w:r w:rsidR="00C01D2B">
              <w:t xml:space="preserve"> (In-band)</w:t>
            </w:r>
          </w:p>
        </w:tc>
        <w:tc>
          <w:tcPr>
            <w:tcW w:w="1395" w:type="dxa"/>
          </w:tcPr>
          <w:p w14:paraId="72FABB2B" w14:textId="77777777" w:rsidR="007D1C82" w:rsidRPr="007D1C82" w:rsidRDefault="007D1C82" w:rsidP="00C07C80">
            <w:pPr>
              <w:pStyle w:val="ECCTabletext"/>
              <w:jc w:val="left"/>
            </w:pPr>
            <w:r w:rsidRPr="00C53FB5">
              <w:t>204</w:t>
            </w:r>
            <w:r w:rsidR="00CF4994">
              <w:t>.5</w:t>
            </w:r>
            <w:r w:rsidRPr="00C53FB5">
              <w:t> GHz</w:t>
            </w:r>
          </w:p>
        </w:tc>
        <w:tc>
          <w:tcPr>
            <w:tcW w:w="2122" w:type="dxa"/>
          </w:tcPr>
          <w:p w14:paraId="17EB65C5" w14:textId="77777777" w:rsidR="007D1C82" w:rsidRPr="007D1C82" w:rsidRDefault="007D1C82" w:rsidP="00C07C80">
            <w:pPr>
              <w:pStyle w:val="ECCTabletext"/>
              <w:jc w:val="left"/>
              <w:rPr>
                <w:highlight w:val="yellow"/>
              </w:rPr>
            </w:pPr>
            <w:r w:rsidRPr="00C716F4">
              <w:t>MWI conical scanner</w:t>
            </w:r>
          </w:p>
        </w:tc>
        <w:tc>
          <w:tcPr>
            <w:tcW w:w="1843" w:type="dxa"/>
          </w:tcPr>
          <w:p w14:paraId="3CAC07DD" w14:textId="77777777" w:rsidR="007D1C82" w:rsidRPr="007D1C82" w:rsidRDefault="005809AD" w:rsidP="00C07C80">
            <w:pPr>
              <w:pStyle w:val="ECCTabletext"/>
              <w:jc w:val="left"/>
              <w:rPr>
                <w:highlight w:val="yellow"/>
              </w:rPr>
            </w:pPr>
            <w:r>
              <w:t>31</w:t>
            </w:r>
            <w:r w:rsidR="00CF4994">
              <w:t>.7</w:t>
            </w:r>
            <w:r w:rsidR="007D1C82" w:rsidRPr="008749DA">
              <w:t> dB</w:t>
            </w:r>
          </w:p>
        </w:tc>
      </w:tr>
      <w:tr w:rsidR="007D1C82" w14:paraId="5C229CB4" w14:textId="77777777" w:rsidTr="004E0271">
        <w:tc>
          <w:tcPr>
            <w:tcW w:w="1917" w:type="dxa"/>
            <w:vMerge/>
          </w:tcPr>
          <w:p w14:paraId="2B470EFF" w14:textId="77777777" w:rsidR="007D1C82" w:rsidRDefault="007D1C82" w:rsidP="00C07C80">
            <w:pPr>
              <w:pStyle w:val="ECCTabletext"/>
            </w:pPr>
          </w:p>
        </w:tc>
        <w:tc>
          <w:tcPr>
            <w:tcW w:w="1932" w:type="dxa"/>
          </w:tcPr>
          <w:p w14:paraId="60171684" w14:textId="77777777" w:rsidR="007D1C82" w:rsidRPr="007D1C82" w:rsidRDefault="007D1C82" w:rsidP="00C07C80">
            <w:pPr>
              <w:pStyle w:val="ECCTabletext"/>
              <w:jc w:val="left"/>
            </w:pPr>
            <w:r w:rsidRPr="00C53FB5">
              <w:t>226 to 231</w:t>
            </w:r>
            <w:r w:rsidR="00CF4994">
              <w:t>.5</w:t>
            </w:r>
            <w:r w:rsidRPr="00C53FB5">
              <w:t> GHz</w:t>
            </w:r>
            <w:r w:rsidR="00C01D2B">
              <w:t xml:space="preserve"> (In-band)</w:t>
            </w:r>
          </w:p>
        </w:tc>
        <w:tc>
          <w:tcPr>
            <w:tcW w:w="1395" w:type="dxa"/>
          </w:tcPr>
          <w:p w14:paraId="70C7A389" w14:textId="77777777" w:rsidR="007D1C82" w:rsidRPr="007D1C82" w:rsidRDefault="007D1C82" w:rsidP="00C07C80">
            <w:pPr>
              <w:pStyle w:val="ECCTabletext"/>
              <w:jc w:val="left"/>
            </w:pPr>
            <w:r w:rsidRPr="00C53FB5">
              <w:t>228</w:t>
            </w:r>
            <w:r w:rsidR="00CF4994">
              <w:t>.7</w:t>
            </w:r>
            <w:r w:rsidRPr="007D1C82">
              <w:t>5 GHz</w:t>
            </w:r>
          </w:p>
        </w:tc>
        <w:tc>
          <w:tcPr>
            <w:tcW w:w="2122" w:type="dxa"/>
          </w:tcPr>
          <w:p w14:paraId="35D9B9F4" w14:textId="77777777" w:rsidR="007D1C82" w:rsidRPr="007D1C82" w:rsidRDefault="007D1C82" w:rsidP="00C07C80">
            <w:pPr>
              <w:pStyle w:val="ECCTabletext"/>
              <w:jc w:val="left"/>
              <w:rPr>
                <w:highlight w:val="yellow"/>
              </w:rPr>
            </w:pPr>
            <w:r w:rsidRPr="00C716F4">
              <w:t>MWI conical scanner</w:t>
            </w:r>
          </w:p>
        </w:tc>
        <w:tc>
          <w:tcPr>
            <w:tcW w:w="1843" w:type="dxa"/>
          </w:tcPr>
          <w:p w14:paraId="7CBF90CA" w14:textId="77777777" w:rsidR="007D1C82" w:rsidRPr="007D1C82" w:rsidRDefault="005809AD" w:rsidP="00C07C80">
            <w:pPr>
              <w:pStyle w:val="ECCTabletext"/>
              <w:jc w:val="left"/>
              <w:rPr>
                <w:highlight w:val="yellow"/>
              </w:rPr>
            </w:pPr>
            <w:r>
              <w:t>35</w:t>
            </w:r>
            <w:r w:rsidR="00CF4994">
              <w:t>.2</w:t>
            </w:r>
            <w:r w:rsidR="007D1C82" w:rsidRPr="00755783">
              <w:t> dB</w:t>
            </w:r>
          </w:p>
        </w:tc>
      </w:tr>
      <w:tr w:rsidR="007D1C82" w14:paraId="412B5861" w14:textId="77777777" w:rsidTr="004E0271">
        <w:tc>
          <w:tcPr>
            <w:tcW w:w="1917" w:type="dxa"/>
            <w:vMerge/>
          </w:tcPr>
          <w:p w14:paraId="36E28107" w14:textId="77777777" w:rsidR="007D1C82" w:rsidRDefault="007D1C82" w:rsidP="00C07C80">
            <w:pPr>
              <w:pStyle w:val="ECCTabletext"/>
            </w:pPr>
          </w:p>
        </w:tc>
        <w:tc>
          <w:tcPr>
            <w:tcW w:w="1932" w:type="dxa"/>
          </w:tcPr>
          <w:p w14:paraId="2A7CC901" w14:textId="77777777" w:rsidR="007D1C82" w:rsidRPr="007D1C82" w:rsidRDefault="007D1C82" w:rsidP="00C07C80">
            <w:pPr>
              <w:pStyle w:val="ECCTabletext"/>
              <w:jc w:val="left"/>
            </w:pPr>
            <w:r>
              <w:t>250 to 252 GHz</w:t>
            </w:r>
            <w:r w:rsidR="00C01D2B">
              <w:t xml:space="preserve"> (In-band)</w:t>
            </w:r>
          </w:p>
        </w:tc>
        <w:tc>
          <w:tcPr>
            <w:tcW w:w="1395" w:type="dxa"/>
          </w:tcPr>
          <w:p w14:paraId="1037EE94" w14:textId="77777777" w:rsidR="007D1C82" w:rsidRPr="007D1C82" w:rsidRDefault="007D1C82" w:rsidP="00C07C80">
            <w:pPr>
              <w:pStyle w:val="ECCTabletext"/>
              <w:jc w:val="left"/>
            </w:pPr>
            <w:r w:rsidRPr="00C53FB5">
              <w:t>251 GHz</w:t>
            </w:r>
          </w:p>
        </w:tc>
        <w:tc>
          <w:tcPr>
            <w:tcW w:w="2122" w:type="dxa"/>
          </w:tcPr>
          <w:p w14:paraId="4CC8549E" w14:textId="77777777" w:rsidR="007D1C82" w:rsidRPr="007D1C82" w:rsidRDefault="007D1C82" w:rsidP="00C07C80">
            <w:pPr>
              <w:pStyle w:val="ECCTabletext"/>
              <w:jc w:val="left"/>
              <w:rPr>
                <w:highlight w:val="yellow"/>
              </w:rPr>
            </w:pPr>
            <w:r w:rsidRPr="00C716F4">
              <w:t>MWI conical scanner</w:t>
            </w:r>
          </w:p>
        </w:tc>
        <w:tc>
          <w:tcPr>
            <w:tcW w:w="1843" w:type="dxa"/>
          </w:tcPr>
          <w:p w14:paraId="3C631BB9" w14:textId="77777777" w:rsidR="007D1C82" w:rsidRPr="007D1C82" w:rsidRDefault="005809AD" w:rsidP="00C07C80">
            <w:pPr>
              <w:pStyle w:val="ECCTabletext"/>
              <w:jc w:val="left"/>
              <w:rPr>
                <w:highlight w:val="yellow"/>
              </w:rPr>
            </w:pPr>
            <w:r>
              <w:t>37</w:t>
            </w:r>
            <w:r w:rsidR="00CF4994">
              <w:t>.0</w:t>
            </w:r>
            <w:r w:rsidR="007D1C82" w:rsidRPr="006B52A0">
              <w:t> dB</w:t>
            </w:r>
          </w:p>
        </w:tc>
      </w:tr>
    </w:tbl>
    <w:p w14:paraId="36EA68B7" w14:textId="09F19591" w:rsidR="00782957" w:rsidRDefault="00F31C7A" w:rsidP="00C07C80">
      <w:r>
        <w:t xml:space="preserve">The conclusions drawn from these results can be found in </w:t>
      </w:r>
      <w:r w:rsidR="009D5FA2">
        <w:t>section</w:t>
      </w:r>
      <w:r>
        <w:t xml:space="preserve"> </w:t>
      </w:r>
      <w:r>
        <w:fldChar w:fldCharType="begin"/>
      </w:r>
      <w:r>
        <w:instrText xml:space="preserve"> REF _Ref67393472 \r \h </w:instrText>
      </w:r>
      <w:r w:rsidR="00782957">
        <w:instrText xml:space="preserve"> \* MERGEFORMAT </w:instrText>
      </w:r>
      <w:r>
        <w:fldChar w:fldCharType="separate"/>
      </w:r>
      <w:r w:rsidR="004F49F9">
        <w:t>8.8.4</w:t>
      </w:r>
      <w:r>
        <w:fldChar w:fldCharType="end"/>
      </w:r>
      <w:r>
        <w:t>.</w:t>
      </w:r>
      <w:bookmarkStart w:id="784" w:name="_Ref66370564"/>
    </w:p>
    <w:p w14:paraId="59C00866" w14:textId="77777777" w:rsidR="004E0271" w:rsidRDefault="00782957" w:rsidP="0015071D">
      <w:pPr>
        <w:pStyle w:val="Heading1"/>
      </w:pPr>
      <w:bookmarkStart w:id="785" w:name="_Toc84325426"/>
      <w:bookmarkStart w:id="786" w:name="_Ref90633870"/>
      <w:bookmarkStart w:id="787" w:name="_Toc127346348"/>
      <w:r>
        <w:t xml:space="preserve">Sharing and Compatibility </w:t>
      </w:r>
      <w:r w:rsidR="00A51E48">
        <w:t>S</w:t>
      </w:r>
      <w:r>
        <w:t>tudies with Amateur Service</w:t>
      </w:r>
      <w:bookmarkEnd w:id="784"/>
      <w:bookmarkEnd w:id="785"/>
      <w:bookmarkEnd w:id="786"/>
      <w:bookmarkEnd w:id="787"/>
    </w:p>
    <w:p w14:paraId="370F1BAE" w14:textId="77777777" w:rsidR="004E0271" w:rsidRPr="00310332" w:rsidRDefault="004E0271" w:rsidP="00310332">
      <w:pPr>
        <w:pStyle w:val="Heading2"/>
        <w:rPr>
          <w:rStyle w:val="Hyperlink"/>
          <w:color w:val="auto"/>
          <w:u w:val="none"/>
        </w:rPr>
      </w:pPr>
      <w:bookmarkStart w:id="788" w:name="_Toc84325427"/>
      <w:bookmarkStart w:id="789" w:name="_Toc127346349"/>
      <w:r w:rsidRPr="00310332">
        <w:rPr>
          <w:rStyle w:val="Hyperlink"/>
          <w:color w:val="auto"/>
          <w:u w:val="none"/>
        </w:rPr>
        <w:t xml:space="preserve">Generic </w:t>
      </w:r>
      <w:r w:rsidR="006A55E4" w:rsidRPr="00310332">
        <w:rPr>
          <w:rStyle w:val="Hyperlink"/>
          <w:color w:val="auto"/>
          <w:u w:val="none"/>
        </w:rPr>
        <w:t>Indoor S</w:t>
      </w:r>
      <w:r w:rsidRPr="00310332">
        <w:rPr>
          <w:rStyle w:val="Hyperlink"/>
          <w:color w:val="auto"/>
          <w:u w:val="none"/>
        </w:rPr>
        <w:t>urveillance Radar</w:t>
      </w:r>
      <w:bookmarkEnd w:id="788"/>
      <w:bookmarkEnd w:id="789"/>
    </w:p>
    <w:p w14:paraId="59A5A7E5" w14:textId="4A856D98" w:rsidR="00AC4D6F" w:rsidRPr="004E0271" w:rsidRDefault="00C57F58" w:rsidP="00AC4D6F">
      <w:r w:rsidRPr="00FB07D5">
        <w:t xml:space="preserve">For </w:t>
      </w:r>
      <w:r w:rsidRPr="00C57F58">
        <w:t xml:space="preserve">generic indoor surveillance radar sensors altogether </w:t>
      </w:r>
      <w:r w:rsidR="003F4919">
        <w:t>three</w:t>
      </w:r>
      <w:r w:rsidRPr="00C57F58">
        <w:t xml:space="preserve"> potential frequency bands have been defined (see </w:t>
      </w:r>
      <w:r w:rsidR="009D5FA2">
        <w:t>section</w:t>
      </w:r>
      <w:r w:rsidRPr="00C57F58">
        <w:t xml:space="preserve"> </w:t>
      </w:r>
      <w:r w:rsidR="003F4919">
        <w:rPr>
          <w:highlight w:val="yellow"/>
        </w:rPr>
        <w:fldChar w:fldCharType="begin"/>
      </w:r>
      <w:r w:rsidR="003F4919">
        <w:instrText xml:space="preserve"> REF _Ref67854171 \n \h </w:instrText>
      </w:r>
      <w:r w:rsidR="003F4919">
        <w:rPr>
          <w:highlight w:val="yellow"/>
        </w:rPr>
      </w:r>
      <w:r w:rsidR="003F4919">
        <w:rPr>
          <w:highlight w:val="yellow"/>
        </w:rPr>
        <w:fldChar w:fldCharType="separate"/>
      </w:r>
      <w:r w:rsidR="004F49F9">
        <w:t>2.2.1.2</w:t>
      </w:r>
      <w:r w:rsidR="003F4919">
        <w:rPr>
          <w:highlight w:val="yellow"/>
        </w:rPr>
        <w:fldChar w:fldCharType="end"/>
      </w:r>
      <w:r w:rsidRPr="00C57F58">
        <w:t xml:space="preserve">). </w:t>
      </w:r>
      <w:r w:rsidR="003F4919" w:rsidRPr="00B10E31">
        <w:t xml:space="preserve">Due to the fact that in all defined frequency bands allocations for </w:t>
      </w:r>
      <w:r w:rsidR="003F4919">
        <w:t>Amateur</w:t>
      </w:r>
      <w:r w:rsidR="003F4919" w:rsidRPr="00B10E31">
        <w:t xml:space="preserve"> are affected</w:t>
      </w:r>
      <w:r w:rsidR="001D7996">
        <w:t>-</w:t>
      </w:r>
      <w:r w:rsidR="003F4919" w:rsidRPr="00B10E31">
        <w:t xml:space="preserve">either within these bands or adjacent to them – all </w:t>
      </w:r>
      <w:r w:rsidR="003F4919">
        <w:t>three</w:t>
      </w:r>
      <w:r w:rsidR="003F4919" w:rsidRPr="00B10E31">
        <w:t xml:space="preserve"> bands have been investigated by single-entry studies.</w:t>
      </w:r>
      <w:r w:rsidR="00AC4D6F">
        <w:t xml:space="preserve"> </w:t>
      </w:r>
      <w:r w:rsidR="00AC4D6F" w:rsidRPr="004E0271">
        <w:t>In these studies the individually required separation distance (</w:t>
      </w:r>
      <w:r w:rsidR="009D5FA2">
        <w:t>section</w:t>
      </w:r>
      <w:r w:rsidR="00AC4D6F" w:rsidRPr="004E0271">
        <w:t xml:space="preserve"> </w:t>
      </w:r>
      <w:r w:rsidR="00AC4D6F">
        <w:rPr>
          <w:highlight w:val="yellow"/>
        </w:rPr>
        <w:fldChar w:fldCharType="begin"/>
      </w:r>
      <w:r w:rsidR="00AC4D6F">
        <w:instrText xml:space="preserve"> REF _Ref15293384 \r \h </w:instrText>
      </w:r>
      <w:r w:rsidR="00AC4D6F">
        <w:rPr>
          <w:highlight w:val="yellow"/>
        </w:rPr>
      </w:r>
      <w:r w:rsidR="00AC4D6F">
        <w:rPr>
          <w:highlight w:val="yellow"/>
        </w:rPr>
        <w:fldChar w:fldCharType="separate"/>
      </w:r>
      <w:r w:rsidR="004F49F9">
        <w:t>3.4.2</w:t>
      </w:r>
      <w:r w:rsidR="00AC4D6F">
        <w:rPr>
          <w:highlight w:val="yellow"/>
        </w:rPr>
        <w:fldChar w:fldCharType="end"/>
      </w:r>
      <w:r w:rsidR="00AC4D6F" w:rsidRPr="004E0271">
        <w:t>) is determined by means of the technical parameters (</w:t>
      </w:r>
      <w:r w:rsidR="009D5FA2">
        <w:t>section</w:t>
      </w:r>
      <w:r w:rsidR="00AC4D6F" w:rsidRPr="004E0271">
        <w:t xml:space="preserve"> </w:t>
      </w:r>
      <w:r w:rsidR="00AC4D6F">
        <w:rPr>
          <w:highlight w:val="yellow"/>
        </w:rPr>
        <w:fldChar w:fldCharType="begin"/>
      </w:r>
      <w:r w:rsidR="00AC4D6F">
        <w:instrText xml:space="preserve"> REF _Ref67903579 \r \h </w:instrText>
      </w:r>
      <w:r w:rsidR="00AC4D6F">
        <w:rPr>
          <w:highlight w:val="yellow"/>
        </w:rPr>
      </w:r>
      <w:r w:rsidR="00AC4D6F">
        <w:rPr>
          <w:highlight w:val="yellow"/>
        </w:rPr>
        <w:fldChar w:fldCharType="separate"/>
      </w:r>
      <w:r w:rsidR="004F49F9">
        <w:t>2.2.1.3</w:t>
      </w:r>
      <w:r w:rsidR="00AC4D6F">
        <w:rPr>
          <w:highlight w:val="yellow"/>
        </w:rPr>
        <w:fldChar w:fldCharType="end"/>
      </w:r>
      <w:r w:rsidR="00AC4D6F" w:rsidRPr="004E0271">
        <w:t>), the antenna data (</w:t>
      </w:r>
      <w:r w:rsidR="009D5FA2">
        <w:t>section</w:t>
      </w:r>
      <w:r w:rsidR="00AC4D6F" w:rsidRPr="004E0271">
        <w:t xml:space="preserve"> </w:t>
      </w:r>
      <w:r w:rsidR="00AC4D6F">
        <w:rPr>
          <w:highlight w:val="yellow"/>
        </w:rPr>
        <w:fldChar w:fldCharType="begin"/>
      </w:r>
      <w:r w:rsidR="00AC4D6F">
        <w:instrText xml:space="preserve"> REF _Ref67903615 \r \h </w:instrText>
      </w:r>
      <w:r w:rsidR="00AC4D6F">
        <w:rPr>
          <w:highlight w:val="yellow"/>
        </w:rPr>
      </w:r>
      <w:r w:rsidR="00AC4D6F">
        <w:rPr>
          <w:highlight w:val="yellow"/>
        </w:rPr>
        <w:fldChar w:fldCharType="separate"/>
      </w:r>
      <w:r w:rsidR="0041125F">
        <w:t>2.2.1.4</w:t>
      </w:r>
      <w:r w:rsidR="00AC4D6F">
        <w:rPr>
          <w:highlight w:val="yellow"/>
        </w:rPr>
        <w:fldChar w:fldCharType="end"/>
      </w:r>
      <w:r w:rsidR="00AC4D6F" w:rsidRPr="004E0271">
        <w:t>), the defined interference scenarios (</w:t>
      </w:r>
      <w:r w:rsidR="009D5FA2">
        <w:t>section</w:t>
      </w:r>
      <w:r w:rsidR="00AC4D6F" w:rsidRPr="004E0271">
        <w:t xml:space="preserve"> </w:t>
      </w:r>
      <w:r w:rsidR="00AC4D6F">
        <w:rPr>
          <w:highlight w:val="yellow"/>
        </w:rPr>
        <w:fldChar w:fldCharType="begin"/>
      </w:r>
      <w:r w:rsidR="00AC4D6F">
        <w:instrText xml:space="preserve"> REF _Ref67903622 \r \h </w:instrText>
      </w:r>
      <w:r w:rsidR="00AC4D6F">
        <w:rPr>
          <w:highlight w:val="yellow"/>
        </w:rPr>
      </w:r>
      <w:r w:rsidR="00AC4D6F">
        <w:rPr>
          <w:highlight w:val="yellow"/>
        </w:rPr>
        <w:fldChar w:fldCharType="separate"/>
      </w:r>
      <w:r w:rsidR="004F49F9">
        <w:t>2.2.1.6</w:t>
      </w:r>
      <w:r w:rsidR="00AC4D6F">
        <w:rPr>
          <w:highlight w:val="yellow"/>
        </w:rPr>
        <w:fldChar w:fldCharType="end"/>
      </w:r>
      <w:r w:rsidR="00AC4D6F" w:rsidRPr="004E0271">
        <w:t>) and the protection requirements for Amateur Service (</w:t>
      </w:r>
      <w:r w:rsidR="009D5FA2">
        <w:t>section</w:t>
      </w:r>
      <w:r w:rsidR="00AC4D6F" w:rsidRPr="004E0271">
        <w:t xml:space="preserve"> </w:t>
      </w:r>
      <w:r w:rsidR="00AC4D6F">
        <w:rPr>
          <w:highlight w:val="yellow"/>
        </w:rPr>
        <w:fldChar w:fldCharType="begin"/>
      </w:r>
      <w:r w:rsidR="00AC4D6F">
        <w:instrText xml:space="preserve"> REF _Ref67242980 \r \h </w:instrText>
      </w:r>
      <w:r w:rsidR="00AC4D6F">
        <w:rPr>
          <w:highlight w:val="yellow"/>
        </w:rPr>
      </w:r>
      <w:r w:rsidR="00AC4D6F">
        <w:rPr>
          <w:highlight w:val="yellow"/>
        </w:rPr>
        <w:fldChar w:fldCharType="separate"/>
      </w:r>
      <w:r w:rsidR="004F49F9">
        <w:t>3.5.5</w:t>
      </w:r>
      <w:r w:rsidR="00AC4D6F">
        <w:rPr>
          <w:highlight w:val="yellow"/>
        </w:rPr>
        <w:fldChar w:fldCharType="end"/>
      </w:r>
      <w:r w:rsidR="00AC4D6F" w:rsidRPr="004E0271">
        <w:t xml:space="preserve">). The exact calculations can be found in an Excel-spreadsheet which is attached to this </w:t>
      </w:r>
      <w:hyperlink r:id="rId172" w:history="1">
        <w:r w:rsidR="006B1E55">
          <w:rPr>
            <w:rStyle w:val="Hyperlink"/>
          </w:rPr>
          <w:t>Report</w:t>
        </w:r>
      </w:hyperlink>
      <w:r w:rsidR="00AC4D6F" w:rsidRPr="004E0271">
        <w:t>.</w:t>
      </w:r>
    </w:p>
    <w:p w14:paraId="4326D32F" w14:textId="384D6542" w:rsidR="003F4919" w:rsidRDefault="003F4919" w:rsidP="003F4919">
      <w:r w:rsidRPr="00B10E31">
        <w:t xml:space="preserve">The following technical parameters of the </w:t>
      </w:r>
      <w:r w:rsidRPr="00C57F58">
        <w:t xml:space="preserve">generic </w:t>
      </w:r>
      <w:r w:rsidR="009D5FA2">
        <w:t>hand-held</w:t>
      </w:r>
      <w:r w:rsidRPr="00C57F58">
        <w:t>/mobile and fixed indoor studies (</w:t>
      </w:r>
      <w:r w:rsidR="009D5FA2">
        <w:t>section</w:t>
      </w:r>
      <w:r w:rsidRPr="00C57F58">
        <w:t xml:space="preserve"> </w:t>
      </w:r>
      <w:r>
        <w:fldChar w:fldCharType="begin"/>
      </w:r>
      <w:r>
        <w:instrText xml:space="preserve"> REF _Ref67903167 \r \h </w:instrText>
      </w:r>
      <w:r>
        <w:fldChar w:fldCharType="separate"/>
      </w:r>
      <w:r w:rsidR="004F49F9">
        <w:t>2.2.1.3</w:t>
      </w:r>
      <w:r>
        <w:fldChar w:fldCharType="end"/>
      </w:r>
      <w:r w:rsidRPr="00C57F58">
        <w:t>) have been used in the studies in the different frequency ranges.</w:t>
      </w:r>
    </w:p>
    <w:p w14:paraId="4380877E" w14:textId="3B4560A7" w:rsidR="00C57F58" w:rsidRDefault="00C57F58" w:rsidP="00C57F58">
      <w:pPr>
        <w:pStyle w:val="Caption"/>
        <w:rPr>
          <w:rStyle w:val="ECCParagraph"/>
        </w:rPr>
      </w:pPr>
      <w:r w:rsidRPr="00477961">
        <w:t>Table </w:t>
      </w:r>
      <w:r w:rsidRPr="00C57F58">
        <w:fldChar w:fldCharType="begin"/>
      </w:r>
      <w:r>
        <w:instrText xml:space="preserve"> SEQ Table \* ARABIC </w:instrText>
      </w:r>
      <w:r w:rsidRPr="00C57F58">
        <w:fldChar w:fldCharType="separate"/>
      </w:r>
      <w:r w:rsidR="004F49F9">
        <w:rPr>
          <w:noProof/>
        </w:rPr>
        <w:t>112</w:t>
      </w:r>
      <w:r w:rsidRPr="00C57F58">
        <w:fldChar w:fldCharType="end"/>
      </w:r>
      <w:r>
        <w:t xml:space="preserve">: Technical parameters of </w:t>
      </w:r>
      <w:r w:rsidR="005F127E">
        <w:t>the generic indoor surveillance radars</w:t>
      </w:r>
      <w:r>
        <w:t xml:space="preserve">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413"/>
        <w:gridCol w:w="1843"/>
        <w:gridCol w:w="1417"/>
        <w:gridCol w:w="851"/>
        <w:gridCol w:w="1525"/>
        <w:gridCol w:w="1310"/>
        <w:gridCol w:w="1417"/>
      </w:tblGrid>
      <w:tr w:rsidR="005F127E" w:rsidRPr="00566944" w14:paraId="34E13C98" w14:textId="77777777" w:rsidTr="005F127E">
        <w:trPr>
          <w:cnfStyle w:val="100000000000" w:firstRow="1" w:lastRow="0" w:firstColumn="0" w:lastColumn="0" w:oddVBand="0" w:evenVBand="0" w:oddHBand="0" w:evenHBand="0" w:firstRowFirstColumn="0" w:firstRowLastColumn="0" w:lastRowFirstColumn="0" w:lastRowLastColumn="0"/>
        </w:trPr>
        <w:tc>
          <w:tcPr>
            <w:tcW w:w="1413" w:type="dxa"/>
          </w:tcPr>
          <w:p w14:paraId="34DAC950" w14:textId="77777777" w:rsidR="005F127E" w:rsidRPr="005F127E" w:rsidRDefault="005F127E" w:rsidP="00876039">
            <w:pPr>
              <w:pStyle w:val="ECCTableHeaderwhitefont"/>
            </w:pPr>
            <w:r w:rsidRPr="002876E6">
              <w:t>Investigated frequency range</w:t>
            </w:r>
          </w:p>
        </w:tc>
        <w:tc>
          <w:tcPr>
            <w:tcW w:w="1843" w:type="dxa"/>
          </w:tcPr>
          <w:p w14:paraId="4869C20D" w14:textId="77777777" w:rsidR="005F127E" w:rsidRPr="005F127E" w:rsidRDefault="005F127E" w:rsidP="000A69BD">
            <w:pPr>
              <w:pStyle w:val="ECCTableHeaderwhitefont"/>
            </w:pPr>
            <w:r>
              <w:t>Device type</w:t>
            </w:r>
          </w:p>
        </w:tc>
        <w:tc>
          <w:tcPr>
            <w:tcW w:w="1417" w:type="dxa"/>
          </w:tcPr>
          <w:p w14:paraId="1C464B36" w14:textId="77777777" w:rsidR="005F127E" w:rsidRPr="005F127E" w:rsidRDefault="005F127E" w:rsidP="000A69BD">
            <w:pPr>
              <w:pStyle w:val="ECCTableHeaderwhitefont"/>
            </w:pPr>
            <w:r>
              <w:t>Assumed m</w:t>
            </w:r>
            <w:r w:rsidRPr="005F127E">
              <w:t>odulation bandwidth</w:t>
            </w:r>
          </w:p>
        </w:tc>
        <w:tc>
          <w:tcPr>
            <w:tcW w:w="851" w:type="dxa"/>
          </w:tcPr>
          <w:p w14:paraId="4FC00BF7" w14:textId="77777777" w:rsidR="005F127E" w:rsidRPr="005F127E" w:rsidRDefault="005F127E" w:rsidP="000A69BD">
            <w:pPr>
              <w:pStyle w:val="ECCTableHeaderwhitefont"/>
            </w:pPr>
            <w:r w:rsidRPr="002876E6">
              <w:t>Duty cycle</w:t>
            </w:r>
          </w:p>
        </w:tc>
        <w:tc>
          <w:tcPr>
            <w:tcW w:w="1525" w:type="dxa"/>
          </w:tcPr>
          <w:p w14:paraId="1597E929" w14:textId="77777777" w:rsidR="005F127E" w:rsidRPr="005F127E" w:rsidRDefault="005F127E" w:rsidP="000A69BD">
            <w:pPr>
              <w:pStyle w:val="ECCTableHeaderwhitefont"/>
            </w:pPr>
            <w:r w:rsidRPr="00B10E31">
              <w:t xml:space="preserve">Mean </w:t>
            </w:r>
            <w:r w:rsidRPr="005F127E">
              <w:t>e.i.r.p. spectral density (Note 2)</w:t>
            </w:r>
          </w:p>
        </w:tc>
        <w:tc>
          <w:tcPr>
            <w:tcW w:w="1310" w:type="dxa"/>
          </w:tcPr>
          <w:p w14:paraId="7FD888FB" w14:textId="77777777" w:rsidR="005F127E" w:rsidRPr="005F127E" w:rsidRDefault="005F127E" w:rsidP="000A69BD">
            <w:pPr>
              <w:pStyle w:val="ECCTableHeaderwhitefont"/>
            </w:pPr>
            <w:r>
              <w:t>Mean</w:t>
            </w:r>
            <w:r w:rsidRPr="005F127E">
              <w:t xml:space="preserve"> e.i.r.p. (Note 2)</w:t>
            </w:r>
          </w:p>
        </w:tc>
        <w:tc>
          <w:tcPr>
            <w:tcW w:w="1417" w:type="dxa"/>
          </w:tcPr>
          <w:p w14:paraId="310C0324" w14:textId="77777777" w:rsidR="005F127E" w:rsidRPr="005F127E" w:rsidRDefault="005F127E" w:rsidP="000A69BD">
            <w:pPr>
              <w:pStyle w:val="ECCTableHeaderwhitefont"/>
            </w:pPr>
            <w:r>
              <w:t>OOB attenuati</w:t>
            </w:r>
            <w:r w:rsidRPr="005F127E">
              <w:t>on (Note 1)</w:t>
            </w:r>
          </w:p>
        </w:tc>
      </w:tr>
      <w:tr w:rsidR="005F127E" w:rsidRPr="00C53FB5" w14:paraId="794BAD8C" w14:textId="77777777" w:rsidTr="005F127E">
        <w:tc>
          <w:tcPr>
            <w:tcW w:w="1413" w:type="dxa"/>
            <w:vMerge w:val="restart"/>
          </w:tcPr>
          <w:p w14:paraId="3FDE55C1" w14:textId="77777777" w:rsidR="005F127E" w:rsidRPr="005F127E" w:rsidRDefault="005F127E" w:rsidP="000A69BD">
            <w:pPr>
              <w:pStyle w:val="ECCTabletext"/>
              <w:jc w:val="left"/>
            </w:pPr>
            <w:r w:rsidRPr="00C53FB5">
              <w:t xml:space="preserve">116 </w:t>
            </w:r>
            <w:r w:rsidRPr="005F127E">
              <w:t>to 130 GHz</w:t>
            </w:r>
          </w:p>
        </w:tc>
        <w:tc>
          <w:tcPr>
            <w:tcW w:w="1843" w:type="dxa"/>
          </w:tcPr>
          <w:p w14:paraId="4F8CB257" w14:textId="69ABE041" w:rsidR="005F127E" w:rsidRPr="005F127E" w:rsidRDefault="009D5FA2" w:rsidP="000A69BD">
            <w:pPr>
              <w:pStyle w:val="ECCTabletext"/>
              <w:jc w:val="left"/>
            </w:pPr>
            <w:r>
              <w:t>Hand-held</w:t>
            </w:r>
            <w:r w:rsidR="005F127E" w:rsidRPr="005F127E">
              <w:t>/mobile</w:t>
            </w:r>
          </w:p>
        </w:tc>
        <w:tc>
          <w:tcPr>
            <w:tcW w:w="1417" w:type="dxa"/>
          </w:tcPr>
          <w:p w14:paraId="63A29CA7" w14:textId="77777777" w:rsidR="005F127E" w:rsidRPr="005F127E" w:rsidRDefault="005F127E" w:rsidP="000A69BD">
            <w:pPr>
              <w:pStyle w:val="ECCTabletext"/>
              <w:jc w:val="left"/>
            </w:pPr>
            <w:r>
              <w:t>1 GHz</w:t>
            </w:r>
          </w:p>
        </w:tc>
        <w:tc>
          <w:tcPr>
            <w:tcW w:w="851" w:type="dxa"/>
          </w:tcPr>
          <w:p w14:paraId="7060A5D5" w14:textId="55704FDF" w:rsidR="005F127E" w:rsidRPr="005F127E" w:rsidRDefault="005F127E" w:rsidP="000A69BD">
            <w:pPr>
              <w:pStyle w:val="ECCTabletext"/>
              <w:jc w:val="left"/>
            </w:pPr>
            <w:r>
              <w:t>20</w:t>
            </w:r>
            <w:r w:rsidRPr="005F127E">
              <w:t> %</w:t>
            </w:r>
          </w:p>
        </w:tc>
        <w:tc>
          <w:tcPr>
            <w:tcW w:w="1525" w:type="dxa"/>
          </w:tcPr>
          <w:p w14:paraId="46C6BD30" w14:textId="77777777" w:rsidR="005F127E" w:rsidRPr="005F127E" w:rsidRDefault="005F127E" w:rsidP="000A69BD">
            <w:pPr>
              <w:pStyle w:val="ECCTabletext"/>
              <w:jc w:val="left"/>
            </w:pPr>
            <w:r>
              <w:t>-20 dBm</w:t>
            </w:r>
            <w:r w:rsidRPr="005F127E">
              <w:t>/MHz</w:t>
            </w:r>
          </w:p>
        </w:tc>
        <w:tc>
          <w:tcPr>
            <w:tcW w:w="1310" w:type="dxa"/>
          </w:tcPr>
          <w:p w14:paraId="5154A7FD" w14:textId="77777777" w:rsidR="005F127E" w:rsidRPr="005F127E" w:rsidRDefault="005F127E" w:rsidP="000A69BD">
            <w:pPr>
              <w:pStyle w:val="ECCTabletext"/>
              <w:jc w:val="left"/>
            </w:pPr>
            <w:r>
              <w:t>10 dBm</w:t>
            </w:r>
          </w:p>
        </w:tc>
        <w:tc>
          <w:tcPr>
            <w:tcW w:w="1417" w:type="dxa"/>
          </w:tcPr>
          <w:p w14:paraId="37BD6EAD" w14:textId="77777777" w:rsidR="005F127E" w:rsidRPr="005F127E" w:rsidRDefault="005F127E" w:rsidP="000A69BD">
            <w:pPr>
              <w:pStyle w:val="ECCTabletext"/>
              <w:jc w:val="left"/>
            </w:pPr>
            <w:r w:rsidRPr="00497690">
              <w:t>20 dB</w:t>
            </w:r>
          </w:p>
        </w:tc>
      </w:tr>
      <w:tr w:rsidR="005F127E" w:rsidRPr="00C53FB5" w14:paraId="4DC39BF3" w14:textId="77777777" w:rsidTr="005F127E">
        <w:tc>
          <w:tcPr>
            <w:tcW w:w="1413" w:type="dxa"/>
            <w:vMerge/>
          </w:tcPr>
          <w:p w14:paraId="674DD7BB" w14:textId="77777777" w:rsidR="005F127E" w:rsidRPr="00C53FB5" w:rsidRDefault="005F127E" w:rsidP="005F127E">
            <w:pPr>
              <w:pStyle w:val="ECCTabletext"/>
            </w:pPr>
          </w:p>
        </w:tc>
        <w:tc>
          <w:tcPr>
            <w:tcW w:w="1843" w:type="dxa"/>
          </w:tcPr>
          <w:p w14:paraId="305A1526" w14:textId="77777777" w:rsidR="005F127E" w:rsidRPr="005F127E" w:rsidRDefault="005F127E" w:rsidP="000A69BD">
            <w:pPr>
              <w:pStyle w:val="ECCTabletext"/>
              <w:jc w:val="left"/>
            </w:pPr>
            <w:r>
              <w:t>F</w:t>
            </w:r>
            <w:r w:rsidRPr="005F127E">
              <w:t>ixed</w:t>
            </w:r>
          </w:p>
        </w:tc>
        <w:tc>
          <w:tcPr>
            <w:tcW w:w="1417" w:type="dxa"/>
          </w:tcPr>
          <w:p w14:paraId="0AEA2215" w14:textId="77777777" w:rsidR="005F127E" w:rsidRPr="005F127E" w:rsidRDefault="005F127E" w:rsidP="000A69BD">
            <w:pPr>
              <w:pStyle w:val="ECCTabletext"/>
              <w:jc w:val="left"/>
            </w:pPr>
            <w:r>
              <w:t>1</w:t>
            </w:r>
            <w:r w:rsidRPr="005F127E">
              <w:t> GHz</w:t>
            </w:r>
          </w:p>
        </w:tc>
        <w:tc>
          <w:tcPr>
            <w:tcW w:w="851" w:type="dxa"/>
          </w:tcPr>
          <w:p w14:paraId="532A39D9" w14:textId="50B51299" w:rsidR="005F127E" w:rsidRPr="005F127E" w:rsidRDefault="005F127E" w:rsidP="000A69BD">
            <w:pPr>
              <w:pStyle w:val="ECCTabletext"/>
              <w:jc w:val="left"/>
            </w:pPr>
            <w:r>
              <w:t>10 %</w:t>
            </w:r>
          </w:p>
        </w:tc>
        <w:tc>
          <w:tcPr>
            <w:tcW w:w="1525" w:type="dxa"/>
          </w:tcPr>
          <w:p w14:paraId="15FA18D8" w14:textId="77777777" w:rsidR="005F127E" w:rsidRPr="005F127E" w:rsidRDefault="005F127E" w:rsidP="000A69BD">
            <w:pPr>
              <w:pStyle w:val="ECCTabletext"/>
              <w:jc w:val="left"/>
            </w:pPr>
            <w:r>
              <w:t>-10 dBm</w:t>
            </w:r>
            <w:r w:rsidRPr="005F127E">
              <w:t>/MHz</w:t>
            </w:r>
          </w:p>
        </w:tc>
        <w:tc>
          <w:tcPr>
            <w:tcW w:w="1310" w:type="dxa"/>
          </w:tcPr>
          <w:p w14:paraId="3697D63C" w14:textId="77777777" w:rsidR="005F127E" w:rsidRPr="005F127E" w:rsidRDefault="005F127E" w:rsidP="000A69BD">
            <w:pPr>
              <w:pStyle w:val="ECCTabletext"/>
              <w:jc w:val="left"/>
            </w:pPr>
            <w:r>
              <w:t>20 dBm</w:t>
            </w:r>
          </w:p>
        </w:tc>
        <w:tc>
          <w:tcPr>
            <w:tcW w:w="1417" w:type="dxa"/>
          </w:tcPr>
          <w:p w14:paraId="7A028560" w14:textId="77777777" w:rsidR="005F127E" w:rsidRPr="005F127E" w:rsidRDefault="005F127E" w:rsidP="000A69BD">
            <w:pPr>
              <w:pStyle w:val="ECCTabletext"/>
              <w:jc w:val="left"/>
            </w:pPr>
            <w:r w:rsidRPr="00497690">
              <w:t>20 dB</w:t>
            </w:r>
          </w:p>
        </w:tc>
      </w:tr>
      <w:tr w:rsidR="005F127E" w:rsidRPr="00C53FB5" w14:paraId="0668322E" w14:textId="77777777" w:rsidTr="005F127E">
        <w:tc>
          <w:tcPr>
            <w:tcW w:w="1413" w:type="dxa"/>
            <w:vMerge w:val="restart"/>
          </w:tcPr>
          <w:p w14:paraId="64429EA7" w14:textId="77777777" w:rsidR="005F127E" w:rsidRPr="005F127E" w:rsidRDefault="005F127E" w:rsidP="000A69BD">
            <w:pPr>
              <w:pStyle w:val="ECCTabletext"/>
              <w:jc w:val="left"/>
            </w:pPr>
            <w:r w:rsidRPr="00C53FB5">
              <w:t>134 to 141 GHz</w:t>
            </w:r>
          </w:p>
        </w:tc>
        <w:tc>
          <w:tcPr>
            <w:tcW w:w="1843" w:type="dxa"/>
          </w:tcPr>
          <w:p w14:paraId="6ACD63A7" w14:textId="4BD8CEBD" w:rsidR="005F127E" w:rsidRPr="005F127E" w:rsidRDefault="009D5FA2" w:rsidP="000A69BD">
            <w:pPr>
              <w:pStyle w:val="ECCTabletext"/>
              <w:jc w:val="left"/>
            </w:pPr>
            <w:r>
              <w:t>Hand-held</w:t>
            </w:r>
            <w:r w:rsidR="005F127E" w:rsidRPr="005F127E">
              <w:t>/mobile</w:t>
            </w:r>
          </w:p>
        </w:tc>
        <w:tc>
          <w:tcPr>
            <w:tcW w:w="1417" w:type="dxa"/>
          </w:tcPr>
          <w:p w14:paraId="6474E897" w14:textId="77777777" w:rsidR="005F127E" w:rsidRPr="005F127E" w:rsidRDefault="005F127E" w:rsidP="000A69BD">
            <w:pPr>
              <w:pStyle w:val="ECCTabletext"/>
              <w:jc w:val="left"/>
            </w:pPr>
            <w:r>
              <w:t>1</w:t>
            </w:r>
            <w:r w:rsidRPr="005F127E">
              <w:t> GHz</w:t>
            </w:r>
          </w:p>
        </w:tc>
        <w:tc>
          <w:tcPr>
            <w:tcW w:w="851" w:type="dxa"/>
          </w:tcPr>
          <w:p w14:paraId="740BCA7C" w14:textId="4D9769B3" w:rsidR="005F127E" w:rsidRPr="005F127E" w:rsidRDefault="005F127E" w:rsidP="000A69BD">
            <w:pPr>
              <w:pStyle w:val="ECCTabletext"/>
              <w:jc w:val="left"/>
            </w:pPr>
            <w:r>
              <w:t>20</w:t>
            </w:r>
            <w:r w:rsidRPr="005F127E">
              <w:t> %</w:t>
            </w:r>
          </w:p>
        </w:tc>
        <w:tc>
          <w:tcPr>
            <w:tcW w:w="1525" w:type="dxa"/>
          </w:tcPr>
          <w:p w14:paraId="0363EAE4" w14:textId="77777777" w:rsidR="005F127E" w:rsidRPr="005F127E" w:rsidRDefault="005F127E" w:rsidP="000A69BD">
            <w:pPr>
              <w:pStyle w:val="ECCTabletext"/>
              <w:jc w:val="left"/>
            </w:pPr>
            <w:r>
              <w:t>-20 dBm</w:t>
            </w:r>
            <w:r w:rsidRPr="005F127E">
              <w:t>/MHz</w:t>
            </w:r>
          </w:p>
        </w:tc>
        <w:tc>
          <w:tcPr>
            <w:tcW w:w="1310" w:type="dxa"/>
          </w:tcPr>
          <w:p w14:paraId="2B36D969" w14:textId="77777777" w:rsidR="005F127E" w:rsidRPr="005F127E" w:rsidRDefault="005F127E" w:rsidP="000A69BD">
            <w:pPr>
              <w:pStyle w:val="ECCTabletext"/>
              <w:jc w:val="left"/>
            </w:pPr>
            <w:r>
              <w:t>10 dB</w:t>
            </w:r>
            <w:r w:rsidRPr="005F127E">
              <w:t>m</w:t>
            </w:r>
          </w:p>
        </w:tc>
        <w:tc>
          <w:tcPr>
            <w:tcW w:w="1417" w:type="dxa"/>
          </w:tcPr>
          <w:p w14:paraId="723F6DE7" w14:textId="77777777" w:rsidR="005F127E" w:rsidRPr="005F127E" w:rsidRDefault="005F127E" w:rsidP="000A69BD">
            <w:pPr>
              <w:pStyle w:val="ECCTabletext"/>
              <w:jc w:val="left"/>
            </w:pPr>
            <w:r w:rsidRPr="00497690">
              <w:t>20 dB</w:t>
            </w:r>
          </w:p>
        </w:tc>
      </w:tr>
      <w:tr w:rsidR="005F127E" w:rsidRPr="00C53FB5" w14:paraId="40416F14" w14:textId="77777777" w:rsidTr="005F127E">
        <w:tc>
          <w:tcPr>
            <w:tcW w:w="1413" w:type="dxa"/>
            <w:vMerge/>
          </w:tcPr>
          <w:p w14:paraId="6659BA8B" w14:textId="77777777" w:rsidR="005F127E" w:rsidRPr="00C53FB5" w:rsidRDefault="005F127E" w:rsidP="005F127E">
            <w:pPr>
              <w:pStyle w:val="ECCTabletext"/>
            </w:pPr>
          </w:p>
        </w:tc>
        <w:tc>
          <w:tcPr>
            <w:tcW w:w="1843" w:type="dxa"/>
          </w:tcPr>
          <w:p w14:paraId="1B564A4E" w14:textId="77777777" w:rsidR="005F127E" w:rsidRPr="005F127E" w:rsidRDefault="005F127E" w:rsidP="000A69BD">
            <w:pPr>
              <w:pStyle w:val="ECCTabletext"/>
              <w:jc w:val="left"/>
            </w:pPr>
            <w:r>
              <w:t>F</w:t>
            </w:r>
            <w:r w:rsidRPr="005F127E">
              <w:t>ixed</w:t>
            </w:r>
          </w:p>
        </w:tc>
        <w:tc>
          <w:tcPr>
            <w:tcW w:w="1417" w:type="dxa"/>
          </w:tcPr>
          <w:p w14:paraId="586D43B6" w14:textId="77777777" w:rsidR="005F127E" w:rsidRPr="005F127E" w:rsidRDefault="005F127E" w:rsidP="000A69BD">
            <w:pPr>
              <w:pStyle w:val="ECCTabletext"/>
              <w:jc w:val="left"/>
            </w:pPr>
            <w:r>
              <w:t>1</w:t>
            </w:r>
            <w:r w:rsidRPr="005F127E">
              <w:t> GHz</w:t>
            </w:r>
          </w:p>
        </w:tc>
        <w:tc>
          <w:tcPr>
            <w:tcW w:w="851" w:type="dxa"/>
          </w:tcPr>
          <w:p w14:paraId="72CB91DA" w14:textId="44BEC401" w:rsidR="005F127E" w:rsidRPr="005F127E" w:rsidRDefault="005F127E" w:rsidP="000A69BD">
            <w:pPr>
              <w:pStyle w:val="ECCTabletext"/>
              <w:jc w:val="left"/>
            </w:pPr>
            <w:r>
              <w:t>10 %</w:t>
            </w:r>
          </w:p>
        </w:tc>
        <w:tc>
          <w:tcPr>
            <w:tcW w:w="1525" w:type="dxa"/>
          </w:tcPr>
          <w:p w14:paraId="06A75840" w14:textId="77777777" w:rsidR="005F127E" w:rsidRPr="005F127E" w:rsidRDefault="005F127E" w:rsidP="000A69BD">
            <w:pPr>
              <w:pStyle w:val="ECCTabletext"/>
              <w:jc w:val="left"/>
            </w:pPr>
            <w:r>
              <w:t>-10 dBm</w:t>
            </w:r>
            <w:r w:rsidRPr="005F127E">
              <w:t>/MHz</w:t>
            </w:r>
          </w:p>
        </w:tc>
        <w:tc>
          <w:tcPr>
            <w:tcW w:w="1310" w:type="dxa"/>
          </w:tcPr>
          <w:p w14:paraId="5CF1530F" w14:textId="77777777" w:rsidR="005F127E" w:rsidRPr="005F127E" w:rsidRDefault="005F127E" w:rsidP="000A69BD">
            <w:pPr>
              <w:pStyle w:val="ECCTabletext"/>
              <w:jc w:val="left"/>
            </w:pPr>
            <w:r>
              <w:t>20 dBm</w:t>
            </w:r>
          </w:p>
        </w:tc>
        <w:tc>
          <w:tcPr>
            <w:tcW w:w="1417" w:type="dxa"/>
          </w:tcPr>
          <w:p w14:paraId="310C4F0D" w14:textId="77777777" w:rsidR="005F127E" w:rsidRPr="005F127E" w:rsidRDefault="005F127E" w:rsidP="000A69BD">
            <w:pPr>
              <w:pStyle w:val="ECCTabletext"/>
              <w:jc w:val="left"/>
            </w:pPr>
            <w:r w:rsidRPr="00497690">
              <w:t>20 dB</w:t>
            </w:r>
          </w:p>
        </w:tc>
      </w:tr>
      <w:tr w:rsidR="005F127E" w:rsidRPr="00C53FB5" w14:paraId="51384CCE" w14:textId="77777777" w:rsidTr="005F127E">
        <w:tc>
          <w:tcPr>
            <w:tcW w:w="9776" w:type="dxa"/>
            <w:gridSpan w:val="7"/>
          </w:tcPr>
          <w:p w14:paraId="294F2570" w14:textId="77777777" w:rsidR="005F127E" w:rsidRPr="005F127E" w:rsidRDefault="005F127E" w:rsidP="00464AE0">
            <w:pPr>
              <w:pStyle w:val="ECCTablenote"/>
            </w:pPr>
            <w:r>
              <w:t xml:space="preserve">Note 1: Assumed out-of-band attenuation of the </w:t>
            </w:r>
            <w:r w:rsidRPr="005F127E">
              <w:t xml:space="preserve">generic indoor surveillance radar in adjacent bands allocated to </w:t>
            </w:r>
            <w:r>
              <w:t>Amateur</w:t>
            </w:r>
            <w:r w:rsidRPr="005F127E">
              <w:t>.</w:t>
            </w:r>
          </w:p>
          <w:p w14:paraId="5C5C04FD" w14:textId="241A09C0" w:rsidR="005F127E" w:rsidRPr="005F127E" w:rsidRDefault="005F127E" w:rsidP="00464AE0">
            <w:pPr>
              <w:pStyle w:val="ECCTablenote"/>
            </w:pPr>
            <w:r w:rsidRPr="00143CCA">
              <w:t>Note 2: The duty cycle</w:t>
            </w:r>
            <w:r w:rsidRPr="005F127E">
              <w:t>s are not considered in the mean e.i.r.p. spectral density and mean e.i.r.p. values. Consequently, the given mean e.i.r.p. spectral density and mean e.i.r.p. is valid for averaging over T</w:t>
            </w:r>
            <w:r w:rsidRPr="00B607BE">
              <w:rPr>
                <w:vertAlign w:val="subscript"/>
              </w:rPr>
              <w:t>meas</w:t>
            </w:r>
            <w:r w:rsidRPr="005F127E">
              <w:t xml:space="preserve"> (time when transmission is on, see </w:t>
            </w:r>
            <w:r w:rsidRPr="005F127E">
              <w:fldChar w:fldCharType="begin"/>
            </w:r>
            <w:r w:rsidRPr="005F127E">
              <w:instrText xml:space="preserve"> REF _Ref8900572 \h  \* MERGEFORMAT </w:instrText>
            </w:r>
            <w:r w:rsidRPr="005F127E">
              <w:fldChar w:fldCharType="separate"/>
            </w:r>
            <w:r w:rsidR="0041125F" w:rsidRPr="006D6727">
              <w:t>Figure </w:t>
            </w:r>
            <w:r w:rsidR="0041125F">
              <w:t>36</w:t>
            </w:r>
            <w:r w:rsidRPr="005F127E">
              <w:fldChar w:fldCharType="end"/>
            </w:r>
            <w:r w:rsidRPr="005F127E">
              <w:t>).</w:t>
            </w:r>
          </w:p>
        </w:tc>
      </w:tr>
    </w:tbl>
    <w:p w14:paraId="77E74E14" w14:textId="77777777" w:rsidR="00AC4D6F" w:rsidRDefault="00AC4D6F" w:rsidP="00AC4D6F">
      <w:pPr>
        <w:pStyle w:val="Heading3"/>
      </w:pPr>
      <w:bookmarkStart w:id="790" w:name="_Ref67907171"/>
      <w:bookmarkStart w:id="791" w:name="_Ref67907174"/>
      <w:bookmarkStart w:id="792" w:name="_Toc84325428"/>
      <w:bookmarkStart w:id="793" w:name="_Toc127346350"/>
      <w:r>
        <w:t>Results</w:t>
      </w:r>
      <w:bookmarkEnd w:id="790"/>
      <w:bookmarkEnd w:id="791"/>
      <w:bookmarkEnd w:id="792"/>
      <w:bookmarkEnd w:id="793"/>
    </w:p>
    <w:p w14:paraId="7FAB4DE6" w14:textId="1864E711" w:rsidR="00AC4D6F" w:rsidRPr="004E0271" w:rsidRDefault="009E7F22" w:rsidP="00AC4D6F">
      <w:r>
        <w:fldChar w:fldCharType="begin"/>
      </w:r>
      <w:r>
        <w:instrText xml:space="preserve"> REF _Ref67905577 \h </w:instrText>
      </w:r>
      <w:r>
        <w:fldChar w:fldCharType="separate"/>
      </w:r>
      <w:r w:rsidR="0041125F" w:rsidRPr="00477961">
        <w:t>Table </w:t>
      </w:r>
      <w:r w:rsidR="0041125F">
        <w:rPr>
          <w:noProof/>
        </w:rPr>
        <w:t>113</w:t>
      </w:r>
      <w:r>
        <w:fldChar w:fldCharType="end"/>
      </w:r>
      <w:r>
        <w:t xml:space="preserve"> </w:t>
      </w:r>
      <w:r w:rsidR="00AC4D6F" w:rsidRPr="004E0271">
        <w:t xml:space="preserve">shows the single-entry </w:t>
      </w:r>
      <w:r w:rsidR="00AC4D6F">
        <w:t>worst</w:t>
      </w:r>
      <w:r w:rsidR="00AC4D6F" w:rsidRPr="004E0271">
        <w:t xml:space="preserve">-case results for </w:t>
      </w:r>
      <w:r w:rsidR="00AC4D6F">
        <w:t>generic indoor surveillance radar sensors</w:t>
      </w:r>
      <w:r w:rsidR="00AC4D6F" w:rsidRPr="004E0271">
        <w:t>, e.g. the largest separation distances for the individual frequency ranges and Amateur victim receivers.</w:t>
      </w:r>
    </w:p>
    <w:p w14:paraId="69D85B7A" w14:textId="2C491AD0" w:rsidR="00AC4D6F" w:rsidRDefault="009E7F22" w:rsidP="00AC4D6F">
      <w:pPr>
        <w:pStyle w:val="Caption"/>
      </w:pPr>
      <w:bookmarkStart w:id="794" w:name="_Ref67905577"/>
      <w:r w:rsidRPr="00477961">
        <w:t>Table </w:t>
      </w:r>
      <w:r w:rsidRPr="009E7F22">
        <w:fldChar w:fldCharType="begin"/>
      </w:r>
      <w:r>
        <w:instrText xml:space="preserve"> SEQ Table \* ARABIC </w:instrText>
      </w:r>
      <w:r w:rsidRPr="009E7F22">
        <w:fldChar w:fldCharType="separate"/>
      </w:r>
      <w:r w:rsidR="004F49F9">
        <w:rPr>
          <w:noProof/>
        </w:rPr>
        <w:t>113</w:t>
      </w:r>
      <w:r w:rsidRPr="009E7F22">
        <w:fldChar w:fldCharType="end"/>
      </w:r>
      <w:bookmarkEnd w:id="794"/>
      <w:r w:rsidR="00AC4D6F" w:rsidRPr="00AC4D6F">
        <w:t>: Required separation distances determined in a single-entry study for generic indoor surveilance radar sensors</w:t>
      </w:r>
    </w:p>
    <w:tbl>
      <w:tblPr>
        <w:tblStyle w:val="ECCTable-redheader"/>
        <w:tblW w:w="9634" w:type="dxa"/>
        <w:tblInd w:w="0" w:type="dxa"/>
        <w:tblLook w:val="04A0" w:firstRow="1" w:lastRow="0" w:firstColumn="1" w:lastColumn="0" w:noHBand="0" w:noVBand="1"/>
      </w:tblPr>
      <w:tblGrid>
        <w:gridCol w:w="1555"/>
        <w:gridCol w:w="1275"/>
        <w:gridCol w:w="3402"/>
        <w:gridCol w:w="3402"/>
      </w:tblGrid>
      <w:tr w:rsidR="00A85787" w14:paraId="7183CE7C" w14:textId="77777777" w:rsidTr="00E363F2">
        <w:trPr>
          <w:cnfStyle w:val="100000000000" w:firstRow="1" w:lastRow="0" w:firstColumn="0" w:lastColumn="0" w:oddVBand="0" w:evenVBand="0" w:oddHBand="0" w:evenHBand="0" w:firstRowFirstColumn="0" w:firstRowLastColumn="0" w:lastRowFirstColumn="0" w:lastRowLastColumn="0"/>
        </w:trPr>
        <w:tc>
          <w:tcPr>
            <w:tcW w:w="1555" w:type="dxa"/>
            <w:vMerge w:val="restart"/>
          </w:tcPr>
          <w:p w14:paraId="2C3A38F4" w14:textId="77777777" w:rsidR="00A85787" w:rsidRPr="007326E5" w:rsidRDefault="00A85787" w:rsidP="00876039">
            <w:pPr>
              <w:pStyle w:val="ECCTableHeaderwhitefont"/>
            </w:pPr>
            <w:r w:rsidRPr="007326E5">
              <w:rPr>
                <w:rStyle w:val="ECCParagraph"/>
              </w:rPr>
              <w:t>Device type</w:t>
            </w:r>
          </w:p>
        </w:tc>
        <w:tc>
          <w:tcPr>
            <w:tcW w:w="1275" w:type="dxa"/>
            <w:vMerge w:val="restart"/>
          </w:tcPr>
          <w:p w14:paraId="50A7B61E" w14:textId="34C93CDA" w:rsidR="00A85787" w:rsidRPr="007326E5" w:rsidRDefault="00A85787" w:rsidP="000A69BD">
            <w:pPr>
              <w:pStyle w:val="ECCTableHeaderwhitefont"/>
            </w:pPr>
            <w:r w:rsidRPr="007326E5">
              <w:rPr>
                <w:rStyle w:val="ECCParagraph"/>
              </w:rPr>
              <w:t xml:space="preserve">Single-entry case (see </w:t>
            </w:r>
            <w:r w:rsidR="009D5FA2">
              <w:rPr>
                <w:rStyle w:val="ECCParagraph"/>
              </w:rPr>
              <w:t>section</w:t>
            </w:r>
            <w:r w:rsidRPr="007326E5">
              <w:rPr>
                <w:rStyle w:val="ECCParagraph"/>
              </w:rPr>
              <w:t xml:space="preserve"> </w:t>
            </w:r>
            <w:r w:rsidRPr="007326E5">
              <w:rPr>
                <w:rStyle w:val="ECCParagraph"/>
              </w:rPr>
              <w:fldChar w:fldCharType="begin"/>
            </w:r>
            <w:r w:rsidRPr="007326E5">
              <w:rPr>
                <w:rStyle w:val="ECCParagraph"/>
              </w:rPr>
              <w:instrText xml:space="preserve"> REF _Ref67904772 \r \h  \* MERGEFORMAT </w:instrText>
            </w:r>
            <w:r w:rsidRPr="007326E5">
              <w:rPr>
                <w:rStyle w:val="ECCParagraph"/>
              </w:rPr>
            </w:r>
            <w:r w:rsidRPr="007326E5">
              <w:rPr>
                <w:rStyle w:val="ECCParagraph"/>
              </w:rPr>
              <w:fldChar w:fldCharType="separate"/>
            </w:r>
            <w:r w:rsidR="004F49F9">
              <w:rPr>
                <w:rStyle w:val="ECCParagraph"/>
              </w:rPr>
              <w:t>4.1</w:t>
            </w:r>
            <w:r w:rsidRPr="007326E5">
              <w:rPr>
                <w:rStyle w:val="ECCParagraph"/>
              </w:rPr>
              <w:fldChar w:fldCharType="end"/>
            </w:r>
            <w:r w:rsidRPr="007326E5">
              <w:rPr>
                <w:rStyle w:val="ECCParagraph"/>
              </w:rPr>
              <w:t>)</w:t>
            </w:r>
          </w:p>
        </w:tc>
        <w:tc>
          <w:tcPr>
            <w:tcW w:w="6804" w:type="dxa"/>
            <w:gridSpan w:val="2"/>
            <w:tcBorders>
              <w:bottom w:val="single" w:sz="4" w:space="0" w:color="FFFFFF" w:themeColor="background1"/>
            </w:tcBorders>
          </w:tcPr>
          <w:p w14:paraId="4D026FB2" w14:textId="77777777" w:rsidR="00A85787" w:rsidRPr="007326E5" w:rsidRDefault="00A85787" w:rsidP="000A69BD">
            <w:pPr>
              <w:pStyle w:val="ECCTableHeaderwhitefont"/>
            </w:pPr>
            <w:r w:rsidRPr="007326E5">
              <w:t>Required separation distances</w:t>
            </w:r>
          </w:p>
        </w:tc>
      </w:tr>
      <w:tr w:rsidR="00A85787" w14:paraId="600C4C17" w14:textId="77777777" w:rsidTr="00E363F2">
        <w:tc>
          <w:tcPr>
            <w:tcW w:w="1555" w:type="dxa"/>
            <w:vMerge/>
            <w:tcBorders>
              <w:left w:val="single" w:sz="4" w:space="0" w:color="D22A23"/>
              <w:right w:val="single" w:sz="4" w:space="0" w:color="FFFFFF" w:themeColor="background1"/>
            </w:tcBorders>
          </w:tcPr>
          <w:p w14:paraId="68956E8B" w14:textId="77777777" w:rsidR="00A85787" w:rsidRPr="007326E5" w:rsidRDefault="00A85787" w:rsidP="00A85787">
            <w:pPr>
              <w:pStyle w:val="ECCTableHeaderwhitefont"/>
              <w:rPr>
                <w:b/>
              </w:rPr>
            </w:pPr>
          </w:p>
        </w:tc>
        <w:tc>
          <w:tcPr>
            <w:tcW w:w="1275" w:type="dxa"/>
            <w:vMerge/>
            <w:tcBorders>
              <w:left w:val="single" w:sz="4" w:space="0" w:color="FFFFFF" w:themeColor="background1"/>
              <w:bottom w:val="single" w:sz="4" w:space="0" w:color="D22A23"/>
              <w:right w:val="single" w:sz="4" w:space="0" w:color="FFFFFF" w:themeColor="background1"/>
            </w:tcBorders>
          </w:tcPr>
          <w:p w14:paraId="47BEC24E" w14:textId="77777777" w:rsidR="00A85787" w:rsidRPr="007326E5" w:rsidRDefault="00A85787" w:rsidP="00A85787">
            <w:pPr>
              <w:pStyle w:val="ECCTableHeaderwhitefont"/>
              <w:rPr>
                <w:b/>
              </w:rPr>
            </w:pP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7C31152E" w14:textId="77777777" w:rsidR="00A85787" w:rsidRPr="007326E5" w:rsidRDefault="00A85787" w:rsidP="00876039">
            <w:pPr>
              <w:pStyle w:val="ECCTableHeaderwhitefont"/>
              <w:rPr>
                <w:rStyle w:val="ECCParagraph"/>
                <w:b/>
              </w:rPr>
            </w:pPr>
            <w:r w:rsidRPr="007326E5">
              <w:rPr>
                <w:rStyle w:val="ECCParagraph"/>
                <w:b/>
              </w:rPr>
              <w:t>Allocated Amateur band:</w:t>
            </w:r>
          </w:p>
          <w:p w14:paraId="020686AB" w14:textId="185DBD82" w:rsidR="00A85787" w:rsidRPr="007326E5" w:rsidRDefault="00A85787" w:rsidP="000A69BD">
            <w:pPr>
              <w:pStyle w:val="ECCTableHeaderwhitefont"/>
              <w:rPr>
                <w:b/>
              </w:rPr>
            </w:pPr>
            <w:r w:rsidRPr="007326E5">
              <w:rPr>
                <w:b/>
              </w:rPr>
              <w:t>122</w:t>
            </w:r>
            <w:r w:rsidR="007326E5">
              <w:rPr>
                <w:b/>
              </w:rPr>
              <w:t>.</w:t>
            </w:r>
            <w:r w:rsidRPr="007326E5">
              <w:rPr>
                <w:b/>
              </w:rPr>
              <w:t>25 GHz to 123</w:t>
            </w:r>
            <w:r w:rsidR="007326E5">
              <w:rPr>
                <w:b/>
              </w:rPr>
              <w:t xml:space="preserve"> </w:t>
            </w:r>
            <w:r w:rsidRPr="007326E5">
              <w:rPr>
                <w:b/>
              </w:rPr>
              <w:t>GHz (in-band)</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4F68F276" w14:textId="77777777" w:rsidR="00A85787" w:rsidRPr="007326E5" w:rsidRDefault="00A85787" w:rsidP="000A69BD">
            <w:pPr>
              <w:pStyle w:val="ECCTableHeaderwhitefont"/>
              <w:rPr>
                <w:rStyle w:val="ECCParagraph"/>
                <w:b/>
              </w:rPr>
            </w:pPr>
            <w:r w:rsidRPr="007326E5">
              <w:rPr>
                <w:rStyle w:val="ECCParagraph"/>
                <w:b/>
              </w:rPr>
              <w:t>Allocated Amateur band:</w:t>
            </w:r>
          </w:p>
          <w:p w14:paraId="082A7662" w14:textId="77777777" w:rsidR="00A85787" w:rsidRPr="007326E5" w:rsidRDefault="00A85787" w:rsidP="000A69BD">
            <w:pPr>
              <w:pStyle w:val="ECCTableHeaderwhitefont"/>
              <w:rPr>
                <w:b/>
              </w:rPr>
            </w:pPr>
            <w:r w:rsidRPr="007326E5">
              <w:rPr>
                <w:b/>
              </w:rPr>
              <w:t>134 to 141 GHz (in-band)</w:t>
            </w:r>
          </w:p>
        </w:tc>
      </w:tr>
      <w:tr w:rsidR="00A85787" w14:paraId="2ACF4FC5" w14:textId="77777777" w:rsidTr="00E363F2">
        <w:tc>
          <w:tcPr>
            <w:tcW w:w="1555" w:type="dxa"/>
            <w:vMerge/>
            <w:tcBorders>
              <w:top w:val="single" w:sz="4" w:space="0" w:color="FFFFFF" w:themeColor="background1"/>
              <w:left w:val="single" w:sz="4" w:space="0" w:color="D22A23"/>
              <w:right w:val="single" w:sz="4" w:space="0" w:color="FFFFFF" w:themeColor="background1"/>
            </w:tcBorders>
          </w:tcPr>
          <w:p w14:paraId="52CFFAED" w14:textId="77777777" w:rsidR="00A85787" w:rsidRPr="007326E5" w:rsidRDefault="00A85787" w:rsidP="00A85787">
            <w:pPr>
              <w:pStyle w:val="ECCTableHeaderwhitefont"/>
              <w:rPr>
                <w:b/>
              </w:rPr>
            </w:pPr>
          </w:p>
        </w:tc>
        <w:tc>
          <w:tcPr>
            <w:tcW w:w="1275" w:type="dxa"/>
            <w:vMerge/>
            <w:tcBorders>
              <w:top w:val="single" w:sz="4" w:space="0" w:color="FFFFFF" w:themeColor="background1"/>
              <w:left w:val="single" w:sz="4" w:space="0" w:color="FFFFFF" w:themeColor="background1"/>
              <w:bottom w:val="single" w:sz="4" w:space="0" w:color="D22A23"/>
              <w:right w:val="single" w:sz="4" w:space="0" w:color="FFFFFF" w:themeColor="background1"/>
            </w:tcBorders>
          </w:tcPr>
          <w:p w14:paraId="0FDA3782" w14:textId="77777777" w:rsidR="00A85787" w:rsidRPr="007326E5" w:rsidRDefault="00A85787" w:rsidP="00A85787">
            <w:pPr>
              <w:pStyle w:val="ECCTableHeaderwhitefont"/>
              <w:rPr>
                <w:b/>
              </w:rPr>
            </w:pPr>
          </w:p>
        </w:tc>
        <w:tc>
          <w:tcPr>
            <w:tcW w:w="340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1902ECC" w14:textId="5F3BDC7F" w:rsidR="00A85787" w:rsidRPr="007326E5" w:rsidRDefault="00A85787" w:rsidP="00876039">
            <w:pPr>
              <w:pStyle w:val="ECCTableHeaderwhitefont"/>
              <w:rPr>
                <w:b/>
              </w:rPr>
            </w:pPr>
            <w:r w:rsidRPr="007326E5">
              <w:rPr>
                <w:rStyle w:val="ECCParagraph"/>
                <w:b/>
              </w:rPr>
              <w:t>Evaluated frequency: 122</w:t>
            </w:r>
            <w:r w:rsidR="007326E5">
              <w:rPr>
                <w:rStyle w:val="ECCParagraph"/>
                <w:b/>
              </w:rPr>
              <w:t>.</w:t>
            </w:r>
            <w:r w:rsidRPr="007326E5">
              <w:rPr>
                <w:rStyle w:val="ECCParagraph"/>
                <w:b/>
              </w:rPr>
              <w:t>625 GHz</w:t>
            </w:r>
          </w:p>
        </w:tc>
        <w:tc>
          <w:tcPr>
            <w:tcW w:w="3402" w:type="dxa"/>
            <w:tcBorders>
              <w:top w:val="single" w:sz="4" w:space="0" w:color="FFFFFF" w:themeColor="background1"/>
              <w:left w:val="single" w:sz="4" w:space="0" w:color="FFFFFF" w:themeColor="background1"/>
              <w:bottom w:val="single" w:sz="4" w:space="0" w:color="D22A23"/>
              <w:right w:val="single" w:sz="4" w:space="0" w:color="D22A23"/>
            </w:tcBorders>
            <w:shd w:val="clear" w:color="auto" w:fill="D22A23"/>
          </w:tcPr>
          <w:p w14:paraId="53602744" w14:textId="1686DDCA" w:rsidR="00A85787" w:rsidRPr="007326E5" w:rsidRDefault="00A85787" w:rsidP="000A69BD">
            <w:pPr>
              <w:pStyle w:val="ECCTableHeaderwhitefont"/>
              <w:rPr>
                <w:b/>
              </w:rPr>
            </w:pPr>
            <w:r w:rsidRPr="007326E5">
              <w:rPr>
                <w:rStyle w:val="ECCParagraph"/>
                <w:b/>
              </w:rPr>
              <w:t>Evaluated frequency: 137</w:t>
            </w:r>
            <w:r w:rsidR="007326E5">
              <w:rPr>
                <w:rStyle w:val="ECCParagraph"/>
                <w:b/>
              </w:rPr>
              <w:t>.</w:t>
            </w:r>
            <w:r w:rsidRPr="007326E5">
              <w:rPr>
                <w:rStyle w:val="ECCParagraph"/>
                <w:b/>
              </w:rPr>
              <w:t>5 GHz</w:t>
            </w:r>
          </w:p>
        </w:tc>
      </w:tr>
      <w:tr w:rsidR="00A85787" w14:paraId="44127DD5" w14:textId="77777777" w:rsidTr="00E363F2">
        <w:tc>
          <w:tcPr>
            <w:tcW w:w="1555" w:type="dxa"/>
            <w:tcBorders>
              <w:top w:val="single" w:sz="4" w:space="0" w:color="FFFFFF" w:themeColor="background1"/>
              <w:left w:val="single" w:sz="4" w:space="0" w:color="D22A23"/>
            </w:tcBorders>
          </w:tcPr>
          <w:p w14:paraId="6E33F9E7" w14:textId="4EF74634" w:rsidR="00A85787" w:rsidRPr="00A85787" w:rsidRDefault="00A85787" w:rsidP="000A69BD">
            <w:pPr>
              <w:pStyle w:val="ECCTabletext"/>
              <w:jc w:val="left"/>
            </w:pPr>
            <w:r w:rsidRPr="004A28FB">
              <w:rPr>
                <w:rStyle w:val="ECCParagraph"/>
              </w:rPr>
              <w:t>Hand</w:t>
            </w:r>
            <w:r w:rsidR="007326E5">
              <w:rPr>
                <w:rStyle w:val="ECCParagraph"/>
              </w:rPr>
              <w:t>-</w:t>
            </w:r>
            <w:r w:rsidRPr="004A28FB">
              <w:rPr>
                <w:rStyle w:val="ECCParagraph"/>
              </w:rPr>
              <w:t>held</w:t>
            </w:r>
            <w:r w:rsidRPr="00A85787">
              <w:rPr>
                <w:rStyle w:val="ECCParagraph"/>
              </w:rPr>
              <w:t>/mobile</w:t>
            </w:r>
          </w:p>
        </w:tc>
        <w:tc>
          <w:tcPr>
            <w:tcW w:w="1275" w:type="dxa"/>
            <w:tcBorders>
              <w:top w:val="single" w:sz="4" w:space="0" w:color="D22A23"/>
            </w:tcBorders>
          </w:tcPr>
          <w:p w14:paraId="5B06FBBE" w14:textId="77777777" w:rsidR="00A85787" w:rsidRPr="00A85787" w:rsidRDefault="00A85787" w:rsidP="000A69BD">
            <w:pPr>
              <w:pStyle w:val="ECCTabletext"/>
              <w:jc w:val="left"/>
            </w:pPr>
            <w:r>
              <w:t>1</w:t>
            </w:r>
          </w:p>
        </w:tc>
        <w:tc>
          <w:tcPr>
            <w:tcW w:w="3402" w:type="dxa"/>
            <w:tcBorders>
              <w:top w:val="single" w:sz="4" w:space="0" w:color="D22A23"/>
            </w:tcBorders>
          </w:tcPr>
          <w:p w14:paraId="35F4865C" w14:textId="77777777" w:rsidR="00A85787" w:rsidRPr="00A85787" w:rsidRDefault="00A85787" w:rsidP="00A85787">
            <w:r>
              <w:t>73 m</w:t>
            </w:r>
          </w:p>
        </w:tc>
        <w:tc>
          <w:tcPr>
            <w:tcW w:w="3402" w:type="dxa"/>
            <w:tcBorders>
              <w:top w:val="single" w:sz="4" w:space="0" w:color="D22A23"/>
              <w:right w:val="single" w:sz="4" w:space="0" w:color="D22A23"/>
            </w:tcBorders>
          </w:tcPr>
          <w:p w14:paraId="00D34534" w14:textId="77777777" w:rsidR="00A85787" w:rsidRPr="00A85787" w:rsidRDefault="00A85787" w:rsidP="00A85787">
            <w:r>
              <w:t>65 m</w:t>
            </w:r>
          </w:p>
        </w:tc>
      </w:tr>
      <w:tr w:rsidR="00A85787" w14:paraId="1EDD5DD1" w14:textId="77777777" w:rsidTr="00E363F2">
        <w:tc>
          <w:tcPr>
            <w:tcW w:w="1555" w:type="dxa"/>
            <w:tcBorders>
              <w:left w:val="single" w:sz="4" w:space="0" w:color="D22A23"/>
            </w:tcBorders>
          </w:tcPr>
          <w:p w14:paraId="14723916" w14:textId="7F4D1F17" w:rsidR="00A85787" w:rsidRPr="00A85787" w:rsidRDefault="00A85787" w:rsidP="000A69BD">
            <w:pPr>
              <w:pStyle w:val="ECCTabletext"/>
              <w:jc w:val="left"/>
              <w:rPr>
                <w:rStyle w:val="ECCParagraph"/>
              </w:rPr>
            </w:pPr>
            <w:r w:rsidRPr="004A28FB">
              <w:rPr>
                <w:rStyle w:val="ECCParagraph"/>
              </w:rPr>
              <w:t>Hand</w:t>
            </w:r>
            <w:r w:rsidR="007326E5">
              <w:rPr>
                <w:rStyle w:val="ECCParagraph"/>
              </w:rPr>
              <w:t>-</w:t>
            </w:r>
            <w:r w:rsidRPr="004A28FB">
              <w:rPr>
                <w:rStyle w:val="ECCParagraph"/>
              </w:rPr>
              <w:t>held</w:t>
            </w:r>
            <w:r w:rsidRPr="00A85787">
              <w:rPr>
                <w:rStyle w:val="ECCParagraph"/>
              </w:rPr>
              <w:t>/mobile</w:t>
            </w:r>
          </w:p>
        </w:tc>
        <w:tc>
          <w:tcPr>
            <w:tcW w:w="1275" w:type="dxa"/>
          </w:tcPr>
          <w:p w14:paraId="7D04C4B9" w14:textId="77777777" w:rsidR="00A85787" w:rsidRPr="00A85787" w:rsidRDefault="00A85787" w:rsidP="000A69BD">
            <w:pPr>
              <w:pStyle w:val="ECCTabletext"/>
              <w:jc w:val="left"/>
              <w:rPr>
                <w:rStyle w:val="ECCParagraph"/>
              </w:rPr>
            </w:pPr>
            <w:r>
              <w:rPr>
                <w:rStyle w:val="ECCParagraph"/>
              </w:rPr>
              <w:t>2</w:t>
            </w:r>
          </w:p>
        </w:tc>
        <w:tc>
          <w:tcPr>
            <w:tcW w:w="3402" w:type="dxa"/>
            <w:tcBorders>
              <w:top w:val="single" w:sz="4" w:space="0" w:color="D22A23"/>
            </w:tcBorders>
          </w:tcPr>
          <w:p w14:paraId="3AFBF534" w14:textId="77777777" w:rsidR="00A85787" w:rsidRPr="00A85787" w:rsidRDefault="00A85787" w:rsidP="00A85787">
            <w:pPr>
              <w:rPr>
                <w:rStyle w:val="ECCParagraph"/>
              </w:rPr>
            </w:pPr>
            <w:r>
              <w:rPr>
                <w:rStyle w:val="ECCParagraph"/>
              </w:rPr>
              <w:t>51 m</w:t>
            </w:r>
          </w:p>
        </w:tc>
        <w:tc>
          <w:tcPr>
            <w:tcW w:w="3402" w:type="dxa"/>
            <w:tcBorders>
              <w:top w:val="single" w:sz="4" w:space="0" w:color="D22A23"/>
              <w:right w:val="single" w:sz="4" w:space="0" w:color="D22A23"/>
            </w:tcBorders>
          </w:tcPr>
          <w:p w14:paraId="6EFA9970" w14:textId="77777777" w:rsidR="00A85787" w:rsidRPr="00A85787" w:rsidRDefault="00A85787" w:rsidP="00A85787">
            <w:pPr>
              <w:rPr>
                <w:rStyle w:val="ECCParagraph"/>
              </w:rPr>
            </w:pPr>
            <w:r>
              <w:rPr>
                <w:rStyle w:val="ECCParagraph"/>
              </w:rPr>
              <w:t>45 m</w:t>
            </w:r>
          </w:p>
        </w:tc>
      </w:tr>
      <w:tr w:rsidR="00A85787" w14:paraId="7B12BCE9" w14:textId="77777777" w:rsidTr="00E363F2">
        <w:tc>
          <w:tcPr>
            <w:tcW w:w="1555" w:type="dxa"/>
            <w:tcBorders>
              <w:left w:val="single" w:sz="4" w:space="0" w:color="D22A23"/>
            </w:tcBorders>
          </w:tcPr>
          <w:p w14:paraId="2D64E5C8" w14:textId="4CAEAC44" w:rsidR="00A85787" w:rsidRPr="00A85787" w:rsidRDefault="00A85787" w:rsidP="000A69BD">
            <w:pPr>
              <w:pStyle w:val="ECCTabletext"/>
              <w:jc w:val="left"/>
              <w:rPr>
                <w:rStyle w:val="ECCParagraph"/>
              </w:rPr>
            </w:pPr>
            <w:r w:rsidRPr="004A28FB">
              <w:rPr>
                <w:rStyle w:val="ECCParagraph"/>
              </w:rPr>
              <w:t>Hand</w:t>
            </w:r>
            <w:r w:rsidR="007326E5">
              <w:rPr>
                <w:rStyle w:val="ECCParagraph"/>
              </w:rPr>
              <w:t>-</w:t>
            </w:r>
            <w:r w:rsidRPr="004A28FB">
              <w:rPr>
                <w:rStyle w:val="ECCParagraph"/>
              </w:rPr>
              <w:t>held</w:t>
            </w:r>
            <w:r w:rsidRPr="00A85787">
              <w:rPr>
                <w:rStyle w:val="ECCParagraph"/>
              </w:rPr>
              <w:t>/mobile</w:t>
            </w:r>
          </w:p>
        </w:tc>
        <w:tc>
          <w:tcPr>
            <w:tcW w:w="1275" w:type="dxa"/>
          </w:tcPr>
          <w:p w14:paraId="12CFEEBE" w14:textId="77777777" w:rsidR="00A85787" w:rsidRPr="00A85787" w:rsidRDefault="00A85787" w:rsidP="000A69BD">
            <w:pPr>
              <w:pStyle w:val="ECCTabletext"/>
              <w:jc w:val="left"/>
              <w:rPr>
                <w:rStyle w:val="ECCParagraph"/>
              </w:rPr>
            </w:pPr>
            <w:r>
              <w:rPr>
                <w:rStyle w:val="ECCParagraph"/>
              </w:rPr>
              <w:t>3</w:t>
            </w:r>
          </w:p>
        </w:tc>
        <w:tc>
          <w:tcPr>
            <w:tcW w:w="3402" w:type="dxa"/>
            <w:tcBorders>
              <w:top w:val="single" w:sz="4" w:space="0" w:color="D22A23"/>
            </w:tcBorders>
          </w:tcPr>
          <w:p w14:paraId="4E06B4A2" w14:textId="77777777" w:rsidR="00A85787" w:rsidRPr="00A85787" w:rsidRDefault="00A85787" w:rsidP="00A85787">
            <w:pPr>
              <w:rPr>
                <w:rStyle w:val="ECCParagraph"/>
              </w:rPr>
            </w:pPr>
            <w:r>
              <w:rPr>
                <w:rStyle w:val="ECCParagraph"/>
              </w:rPr>
              <w:t>6</w:t>
            </w:r>
            <w:r w:rsidRPr="00A85787">
              <w:rPr>
                <w:rStyle w:val="ECCParagraph"/>
              </w:rPr>
              <w:t> m</w:t>
            </w:r>
          </w:p>
        </w:tc>
        <w:tc>
          <w:tcPr>
            <w:tcW w:w="3402" w:type="dxa"/>
            <w:tcBorders>
              <w:top w:val="single" w:sz="4" w:space="0" w:color="D22A23"/>
              <w:right w:val="single" w:sz="4" w:space="0" w:color="D22A23"/>
            </w:tcBorders>
          </w:tcPr>
          <w:p w14:paraId="724C7ADF" w14:textId="77777777" w:rsidR="00A85787" w:rsidRPr="00A85787" w:rsidRDefault="00A85787" w:rsidP="00A85787">
            <w:pPr>
              <w:rPr>
                <w:rStyle w:val="ECCParagraph"/>
              </w:rPr>
            </w:pPr>
            <w:r>
              <w:rPr>
                <w:rStyle w:val="ECCParagraph"/>
              </w:rPr>
              <w:t>5 m</w:t>
            </w:r>
          </w:p>
        </w:tc>
      </w:tr>
      <w:tr w:rsidR="00A85787" w14:paraId="0B5FA0DF" w14:textId="77777777" w:rsidTr="00E363F2">
        <w:tc>
          <w:tcPr>
            <w:tcW w:w="1555" w:type="dxa"/>
            <w:tcBorders>
              <w:left w:val="single" w:sz="4" w:space="0" w:color="D22A23"/>
            </w:tcBorders>
          </w:tcPr>
          <w:p w14:paraId="18E6393F" w14:textId="77777777" w:rsidR="00A85787" w:rsidRPr="00A85787" w:rsidRDefault="00A85787" w:rsidP="000A69BD">
            <w:pPr>
              <w:pStyle w:val="ECCTabletext"/>
              <w:jc w:val="left"/>
              <w:rPr>
                <w:rStyle w:val="ECCParagraph"/>
              </w:rPr>
            </w:pPr>
            <w:r w:rsidRPr="004A28FB">
              <w:rPr>
                <w:rStyle w:val="ECCParagraph"/>
              </w:rPr>
              <w:t>Fixed</w:t>
            </w:r>
          </w:p>
        </w:tc>
        <w:tc>
          <w:tcPr>
            <w:tcW w:w="1275" w:type="dxa"/>
          </w:tcPr>
          <w:p w14:paraId="532EF071" w14:textId="77777777" w:rsidR="00A85787" w:rsidRPr="00A85787" w:rsidRDefault="00A85787" w:rsidP="000A69BD">
            <w:pPr>
              <w:pStyle w:val="ECCTabletext"/>
              <w:jc w:val="left"/>
              <w:rPr>
                <w:rStyle w:val="ECCParagraph"/>
              </w:rPr>
            </w:pPr>
            <w:r>
              <w:rPr>
                <w:rStyle w:val="ECCParagraph"/>
              </w:rPr>
              <w:t>1</w:t>
            </w:r>
          </w:p>
        </w:tc>
        <w:tc>
          <w:tcPr>
            <w:tcW w:w="3402" w:type="dxa"/>
            <w:tcBorders>
              <w:top w:val="single" w:sz="4" w:space="0" w:color="D22A23"/>
            </w:tcBorders>
          </w:tcPr>
          <w:p w14:paraId="4ACAEEA0" w14:textId="77777777" w:rsidR="00A85787" w:rsidRPr="00A85787" w:rsidRDefault="00A85787" w:rsidP="00A85787">
            <w:pPr>
              <w:rPr>
                <w:rStyle w:val="ECCParagraph"/>
              </w:rPr>
            </w:pPr>
            <w:r>
              <w:rPr>
                <w:rStyle w:val="ECCParagraph"/>
              </w:rPr>
              <w:t>163 m</w:t>
            </w:r>
          </w:p>
        </w:tc>
        <w:tc>
          <w:tcPr>
            <w:tcW w:w="3402" w:type="dxa"/>
            <w:tcBorders>
              <w:top w:val="single" w:sz="4" w:space="0" w:color="D22A23"/>
              <w:right w:val="single" w:sz="4" w:space="0" w:color="D22A23"/>
            </w:tcBorders>
          </w:tcPr>
          <w:p w14:paraId="66314637" w14:textId="77777777" w:rsidR="00A85787" w:rsidRPr="00A85787" w:rsidRDefault="00A85787" w:rsidP="00A85787">
            <w:pPr>
              <w:rPr>
                <w:rStyle w:val="ECCParagraph"/>
              </w:rPr>
            </w:pPr>
            <w:r>
              <w:rPr>
                <w:rStyle w:val="ECCParagraph"/>
              </w:rPr>
              <w:t>145 m</w:t>
            </w:r>
          </w:p>
        </w:tc>
      </w:tr>
      <w:tr w:rsidR="00A85787" w14:paraId="468E3D93" w14:textId="77777777" w:rsidTr="00E363F2">
        <w:tc>
          <w:tcPr>
            <w:tcW w:w="1555" w:type="dxa"/>
            <w:tcBorders>
              <w:left w:val="single" w:sz="4" w:space="0" w:color="D22A23"/>
            </w:tcBorders>
          </w:tcPr>
          <w:p w14:paraId="6EAB4C46" w14:textId="77777777" w:rsidR="00A85787" w:rsidRPr="00A85787" w:rsidRDefault="00A85787" w:rsidP="000A69BD">
            <w:pPr>
              <w:pStyle w:val="ECCTabletext"/>
              <w:jc w:val="left"/>
              <w:rPr>
                <w:rStyle w:val="ECCParagraph"/>
              </w:rPr>
            </w:pPr>
            <w:r w:rsidRPr="004A28FB">
              <w:rPr>
                <w:rStyle w:val="ECCParagraph"/>
              </w:rPr>
              <w:t>Fixed</w:t>
            </w:r>
          </w:p>
        </w:tc>
        <w:tc>
          <w:tcPr>
            <w:tcW w:w="1275" w:type="dxa"/>
          </w:tcPr>
          <w:p w14:paraId="3C99FB49" w14:textId="77777777" w:rsidR="00A85787" w:rsidRPr="00A85787" w:rsidRDefault="00A85787" w:rsidP="000A69BD">
            <w:pPr>
              <w:pStyle w:val="ECCTabletext"/>
              <w:jc w:val="left"/>
              <w:rPr>
                <w:rStyle w:val="ECCParagraph"/>
              </w:rPr>
            </w:pPr>
            <w:r>
              <w:rPr>
                <w:rStyle w:val="ECCParagraph"/>
              </w:rPr>
              <w:t>2</w:t>
            </w:r>
          </w:p>
        </w:tc>
        <w:tc>
          <w:tcPr>
            <w:tcW w:w="3402" w:type="dxa"/>
            <w:tcBorders>
              <w:top w:val="single" w:sz="4" w:space="0" w:color="D22A23"/>
            </w:tcBorders>
          </w:tcPr>
          <w:p w14:paraId="7A4A020C" w14:textId="77777777" w:rsidR="00A85787" w:rsidRPr="00A85787" w:rsidRDefault="00A85787" w:rsidP="00A85787">
            <w:pPr>
              <w:rPr>
                <w:rStyle w:val="ECCParagraph"/>
              </w:rPr>
            </w:pPr>
            <w:r>
              <w:rPr>
                <w:rStyle w:val="ECCParagraph"/>
              </w:rPr>
              <w:t>113 m</w:t>
            </w:r>
          </w:p>
        </w:tc>
        <w:tc>
          <w:tcPr>
            <w:tcW w:w="3402" w:type="dxa"/>
            <w:tcBorders>
              <w:top w:val="single" w:sz="4" w:space="0" w:color="D22A23"/>
              <w:right w:val="single" w:sz="4" w:space="0" w:color="D22A23"/>
            </w:tcBorders>
          </w:tcPr>
          <w:p w14:paraId="043D8119" w14:textId="77777777" w:rsidR="00A85787" w:rsidRPr="00A85787" w:rsidRDefault="00A85787" w:rsidP="00A85787">
            <w:pPr>
              <w:rPr>
                <w:rStyle w:val="ECCParagraph"/>
              </w:rPr>
            </w:pPr>
            <w:r>
              <w:rPr>
                <w:rStyle w:val="ECCParagraph"/>
              </w:rPr>
              <w:t>101 m</w:t>
            </w:r>
          </w:p>
        </w:tc>
      </w:tr>
      <w:tr w:rsidR="00A85787" w14:paraId="33DBE6D9" w14:textId="77777777" w:rsidTr="00E363F2">
        <w:tc>
          <w:tcPr>
            <w:tcW w:w="1555" w:type="dxa"/>
            <w:tcBorders>
              <w:left w:val="single" w:sz="4" w:space="0" w:color="D22A23"/>
            </w:tcBorders>
          </w:tcPr>
          <w:p w14:paraId="59DD11A8" w14:textId="77777777" w:rsidR="00A85787" w:rsidRPr="00A85787" w:rsidRDefault="00A85787" w:rsidP="000A69BD">
            <w:pPr>
              <w:pStyle w:val="ECCTabletext"/>
              <w:jc w:val="left"/>
              <w:rPr>
                <w:rStyle w:val="ECCParagraph"/>
              </w:rPr>
            </w:pPr>
            <w:r w:rsidRPr="004A28FB">
              <w:rPr>
                <w:rStyle w:val="ECCParagraph"/>
              </w:rPr>
              <w:t>Fixed</w:t>
            </w:r>
          </w:p>
        </w:tc>
        <w:tc>
          <w:tcPr>
            <w:tcW w:w="1275" w:type="dxa"/>
          </w:tcPr>
          <w:p w14:paraId="10FB5165" w14:textId="77777777" w:rsidR="00A85787" w:rsidRPr="00A85787" w:rsidRDefault="00A85787" w:rsidP="000A69BD">
            <w:pPr>
              <w:pStyle w:val="ECCTabletext"/>
              <w:jc w:val="left"/>
              <w:rPr>
                <w:rStyle w:val="ECCParagraph"/>
              </w:rPr>
            </w:pPr>
            <w:r>
              <w:rPr>
                <w:rStyle w:val="ECCParagraph"/>
              </w:rPr>
              <w:t>3</w:t>
            </w:r>
          </w:p>
        </w:tc>
        <w:tc>
          <w:tcPr>
            <w:tcW w:w="3402" w:type="dxa"/>
            <w:tcBorders>
              <w:top w:val="single" w:sz="4" w:space="0" w:color="D22A23"/>
            </w:tcBorders>
          </w:tcPr>
          <w:p w14:paraId="146E50BB" w14:textId="77777777" w:rsidR="00A85787" w:rsidRPr="00A85787" w:rsidRDefault="00A85787" w:rsidP="00A85787">
            <w:pPr>
              <w:rPr>
                <w:rStyle w:val="ECCParagraph"/>
              </w:rPr>
            </w:pPr>
            <w:r>
              <w:rPr>
                <w:rStyle w:val="ECCParagraph"/>
              </w:rPr>
              <w:t>13 m</w:t>
            </w:r>
          </w:p>
        </w:tc>
        <w:tc>
          <w:tcPr>
            <w:tcW w:w="3402" w:type="dxa"/>
            <w:tcBorders>
              <w:top w:val="single" w:sz="4" w:space="0" w:color="D22A23"/>
              <w:right w:val="single" w:sz="4" w:space="0" w:color="D22A23"/>
            </w:tcBorders>
          </w:tcPr>
          <w:p w14:paraId="671BE2E2" w14:textId="77777777" w:rsidR="00A85787" w:rsidRPr="00A85787" w:rsidRDefault="00A85787" w:rsidP="00A85787">
            <w:pPr>
              <w:rPr>
                <w:rStyle w:val="ECCParagraph"/>
              </w:rPr>
            </w:pPr>
            <w:r>
              <w:rPr>
                <w:rStyle w:val="ECCParagraph"/>
              </w:rPr>
              <w:t>12 m</w:t>
            </w:r>
          </w:p>
        </w:tc>
      </w:tr>
      <w:tr w:rsidR="00A85787" w14:paraId="184B3805" w14:textId="77777777" w:rsidTr="00E363F2">
        <w:tc>
          <w:tcPr>
            <w:tcW w:w="1555" w:type="dxa"/>
            <w:tcBorders>
              <w:left w:val="single" w:sz="4" w:space="0" w:color="D22A23"/>
            </w:tcBorders>
          </w:tcPr>
          <w:p w14:paraId="1633D825" w14:textId="77777777" w:rsidR="00A85787" w:rsidRPr="00A85787" w:rsidRDefault="00A85787" w:rsidP="000A69BD">
            <w:pPr>
              <w:pStyle w:val="ECCTabletext"/>
              <w:jc w:val="left"/>
              <w:rPr>
                <w:rStyle w:val="ECCParagraph"/>
              </w:rPr>
            </w:pPr>
            <w:r w:rsidRPr="004A28FB">
              <w:rPr>
                <w:rStyle w:val="ECCParagraph"/>
              </w:rPr>
              <w:t>Fixed</w:t>
            </w:r>
          </w:p>
        </w:tc>
        <w:tc>
          <w:tcPr>
            <w:tcW w:w="1275" w:type="dxa"/>
          </w:tcPr>
          <w:p w14:paraId="5DF7B797" w14:textId="77777777" w:rsidR="00A85787" w:rsidRPr="00A85787" w:rsidRDefault="00A85787" w:rsidP="000A69BD">
            <w:pPr>
              <w:pStyle w:val="ECCTabletext"/>
              <w:jc w:val="left"/>
              <w:rPr>
                <w:rStyle w:val="ECCParagraph"/>
              </w:rPr>
            </w:pPr>
            <w:r>
              <w:rPr>
                <w:rStyle w:val="ECCParagraph"/>
              </w:rPr>
              <w:t>4</w:t>
            </w:r>
          </w:p>
        </w:tc>
        <w:tc>
          <w:tcPr>
            <w:tcW w:w="3402" w:type="dxa"/>
            <w:tcBorders>
              <w:top w:val="single" w:sz="4" w:space="0" w:color="D22A23"/>
              <w:bottom w:val="single" w:sz="4" w:space="0" w:color="D22A23"/>
            </w:tcBorders>
          </w:tcPr>
          <w:p w14:paraId="034B05E2" w14:textId="77777777" w:rsidR="00A85787" w:rsidRPr="00A85787" w:rsidRDefault="00A85787" w:rsidP="00A85787">
            <w:pPr>
              <w:rPr>
                <w:rStyle w:val="ECCParagraph"/>
              </w:rPr>
            </w:pPr>
            <w:r>
              <w:rPr>
                <w:rStyle w:val="ECCParagraph"/>
              </w:rPr>
              <w:t>5 m</w:t>
            </w:r>
          </w:p>
        </w:tc>
        <w:tc>
          <w:tcPr>
            <w:tcW w:w="3402" w:type="dxa"/>
            <w:tcBorders>
              <w:top w:val="single" w:sz="4" w:space="0" w:color="D22A23"/>
              <w:bottom w:val="single" w:sz="4" w:space="0" w:color="D22A23"/>
              <w:right w:val="single" w:sz="4" w:space="0" w:color="D22A23"/>
            </w:tcBorders>
          </w:tcPr>
          <w:p w14:paraId="702D6366" w14:textId="77777777" w:rsidR="00A85787" w:rsidRPr="00A85787" w:rsidRDefault="00A85787" w:rsidP="00A85787">
            <w:r>
              <w:rPr>
                <w:rStyle w:val="ECCParagraph"/>
              </w:rPr>
              <w:t>5 </w:t>
            </w:r>
            <w:r w:rsidRPr="00A85787">
              <w:t>m</w:t>
            </w:r>
          </w:p>
        </w:tc>
      </w:tr>
    </w:tbl>
    <w:p w14:paraId="18B0DAE1" w14:textId="0162B1D0" w:rsidR="00E37FB2" w:rsidRDefault="00E37FB2" w:rsidP="00E37FB2">
      <w:pPr>
        <w:rPr>
          <w:rStyle w:val="ECCParagraph"/>
        </w:rPr>
      </w:pPr>
      <w:r>
        <w:t xml:space="preserve">Note: </w:t>
      </w:r>
      <w:r>
        <w:rPr>
          <w:rStyle w:val="ECCParagraph"/>
        </w:rPr>
        <w:t>I</w:t>
      </w:r>
      <w:r w:rsidRPr="000946A0">
        <w:rPr>
          <w:rStyle w:val="ECCParagraph"/>
        </w:rPr>
        <w:t>n former ECC studies (</w:t>
      </w:r>
      <w:r>
        <w:rPr>
          <w:rStyle w:val="ECCParagraph"/>
        </w:rPr>
        <w:t xml:space="preserve">e.g. </w:t>
      </w:r>
      <w:r w:rsidRPr="000946A0">
        <w:rPr>
          <w:rStyle w:val="ECCParagraph"/>
        </w:rPr>
        <w:t xml:space="preserve">ECC </w:t>
      </w:r>
      <w:r>
        <w:rPr>
          <w:rStyle w:val="ECCParagraph"/>
        </w:rPr>
        <w:t>R</w:t>
      </w:r>
      <w:r w:rsidRPr="000946A0">
        <w:rPr>
          <w:rStyle w:val="ECCParagraph"/>
        </w:rPr>
        <w:t>eport 190</w:t>
      </w:r>
      <w:r>
        <w:rPr>
          <w:rStyle w:val="ECCParagraph"/>
        </w:rPr>
        <w:t xml:space="preserve"> </w:t>
      </w:r>
      <w:r>
        <w:rPr>
          <w:rStyle w:val="ECCParagraph"/>
        </w:rPr>
        <w:fldChar w:fldCharType="begin"/>
      </w:r>
      <w:r>
        <w:rPr>
          <w:rStyle w:val="ECCParagraph"/>
        </w:rPr>
        <w:instrText xml:space="preserve"> REF  ECCRep190 \h \w  \* MERGEFORMAT </w:instrText>
      </w:r>
      <w:r>
        <w:rPr>
          <w:rStyle w:val="ECCParagraph"/>
        </w:rPr>
      </w:r>
      <w:r>
        <w:rPr>
          <w:rStyle w:val="ECCParagraph"/>
        </w:rPr>
        <w:fldChar w:fldCharType="separate"/>
      </w:r>
      <w:r w:rsidR="004F49F9">
        <w:rPr>
          <w:rStyle w:val="ECCParagraph"/>
        </w:rPr>
        <w:t>[21]</w:t>
      </w:r>
      <w:r>
        <w:rPr>
          <w:rStyle w:val="ECCParagraph"/>
        </w:rPr>
        <w:fldChar w:fldCharType="end"/>
      </w:r>
      <w:r w:rsidRPr="000946A0">
        <w:rPr>
          <w:rStyle w:val="ECCParagraph"/>
        </w:rPr>
        <w:t>) an in</w:t>
      </w:r>
      <w:r>
        <w:rPr>
          <w:rStyle w:val="ECCParagraph"/>
        </w:rPr>
        <w:t>door</w:t>
      </w:r>
      <w:r w:rsidRPr="000946A0">
        <w:rPr>
          <w:rStyle w:val="ECCParagraph"/>
        </w:rPr>
        <w:t>-outdoor attenuation of 60</w:t>
      </w:r>
      <w:r>
        <w:rPr>
          <w:rStyle w:val="ECCParagraph"/>
        </w:rPr>
        <w:t> </w:t>
      </w:r>
      <w:r w:rsidRPr="000946A0">
        <w:rPr>
          <w:rStyle w:val="ECCParagraph"/>
        </w:rPr>
        <w:t xml:space="preserve">dB </w:t>
      </w:r>
      <w:r>
        <w:rPr>
          <w:rStyle w:val="ECCParagraph"/>
        </w:rPr>
        <w:t>has been assumed</w:t>
      </w:r>
      <w:r w:rsidRPr="000946A0">
        <w:rPr>
          <w:rStyle w:val="ECCParagraph"/>
        </w:rPr>
        <w:t>.</w:t>
      </w:r>
    </w:p>
    <w:p w14:paraId="53C9B304" w14:textId="7C3A3038" w:rsidR="00310332" w:rsidRDefault="00020C1B" w:rsidP="00310332">
      <w:r>
        <w:t xml:space="preserve">The conclusions drawn from these results can be found in </w:t>
      </w:r>
      <w:r w:rsidR="009D5FA2">
        <w:t>section</w:t>
      </w:r>
      <w:r>
        <w:t xml:space="preserve"> </w:t>
      </w:r>
      <w:r>
        <w:fldChar w:fldCharType="begin"/>
      </w:r>
      <w:r>
        <w:instrText xml:space="preserve"> REF _Ref67906050 \r \h </w:instrText>
      </w:r>
      <w:r w:rsidR="00310332">
        <w:instrText xml:space="preserve"> \* MERGEFORMAT </w:instrText>
      </w:r>
      <w:r>
        <w:fldChar w:fldCharType="separate"/>
      </w:r>
      <w:r w:rsidR="004F49F9">
        <w:t>8.1.5</w:t>
      </w:r>
      <w:r>
        <w:fldChar w:fldCharType="end"/>
      </w:r>
      <w:r>
        <w:t>.</w:t>
      </w:r>
    </w:p>
    <w:p w14:paraId="7BE59304" w14:textId="77777777" w:rsidR="004E0271" w:rsidRDefault="004E0271" w:rsidP="004E0271">
      <w:pPr>
        <w:pStyle w:val="Heading2"/>
      </w:pPr>
      <w:bookmarkStart w:id="795" w:name="_Toc84325429"/>
      <w:bookmarkStart w:id="796" w:name="_Toc127346351"/>
      <w:r w:rsidRPr="00B06E7F">
        <w:t>Radiodetermination systems for industry automation (RDI)</w:t>
      </w:r>
      <w:bookmarkEnd w:id="795"/>
      <w:bookmarkEnd w:id="796"/>
    </w:p>
    <w:p w14:paraId="3145F63E" w14:textId="77777777" w:rsidR="004E0271" w:rsidRPr="00CA4843" w:rsidRDefault="004E0271" w:rsidP="004E0271">
      <w:pPr>
        <w:pStyle w:val="Heading3"/>
      </w:pPr>
      <w:bookmarkStart w:id="797" w:name="_Toc84325430"/>
      <w:bookmarkStart w:id="798" w:name="_Toc127346352"/>
      <w:r w:rsidRPr="00CA4843">
        <w:t>Technical parameters of RDI</w:t>
      </w:r>
      <w:bookmarkEnd w:id="797"/>
      <w:bookmarkEnd w:id="798"/>
    </w:p>
    <w:p w14:paraId="640470AD" w14:textId="397F8263" w:rsidR="004E0271" w:rsidRPr="004E0271" w:rsidRDefault="004E0271" w:rsidP="004E0271">
      <w:r w:rsidRPr="004E0271">
        <w:t xml:space="preserve">For RDI altogether five potential frequency bands have been defined (see </w:t>
      </w:r>
      <w:r w:rsidR="009D5FA2">
        <w:t>section</w:t>
      </w:r>
      <w:r w:rsidRPr="004E0271">
        <w:t xml:space="preserve"> </w:t>
      </w:r>
      <w:r w:rsidR="002F2BB5">
        <w:rPr>
          <w:highlight w:val="yellow"/>
        </w:rPr>
        <w:fldChar w:fldCharType="begin"/>
      </w:r>
      <w:r w:rsidR="002F2BB5">
        <w:instrText xml:space="preserve"> REF _Ref66448158 \r \h </w:instrText>
      </w:r>
      <w:r w:rsidR="002F2BB5">
        <w:rPr>
          <w:highlight w:val="yellow"/>
        </w:rPr>
      </w:r>
      <w:r w:rsidR="002F2BB5">
        <w:rPr>
          <w:highlight w:val="yellow"/>
        </w:rPr>
        <w:fldChar w:fldCharType="separate"/>
      </w:r>
      <w:r w:rsidR="004F49F9">
        <w:t>2.2.2.2</w:t>
      </w:r>
      <w:r w:rsidR="002F2BB5">
        <w:rPr>
          <w:highlight w:val="yellow"/>
        </w:rPr>
        <w:fldChar w:fldCharType="end"/>
      </w:r>
      <w:r w:rsidRPr="004E0271">
        <w:t>). However, only for the three frequency bands 116 to 130 GHz, 134 to 141 GHz and 231</w:t>
      </w:r>
      <w:r w:rsidR="00CF4994">
        <w:t>.5</w:t>
      </w:r>
      <w:r w:rsidRPr="004E0271">
        <w:t xml:space="preserve"> to 250 GHz allocations for Amateur Service are affected which are located within these bands (please compare the figures in </w:t>
      </w:r>
      <w:r w:rsidR="009D5FA2">
        <w:t>section</w:t>
      </w:r>
      <w:r w:rsidRPr="004E0271">
        <w:t xml:space="preserve"> </w:t>
      </w:r>
      <w:r w:rsidR="002F2BB5">
        <w:rPr>
          <w:highlight w:val="yellow"/>
        </w:rPr>
        <w:fldChar w:fldCharType="begin"/>
      </w:r>
      <w:r w:rsidR="002F2BB5">
        <w:instrText xml:space="preserve"> REF _Ref66361706 \r \h </w:instrText>
      </w:r>
      <w:r w:rsidR="002F2BB5">
        <w:rPr>
          <w:highlight w:val="yellow"/>
        </w:rPr>
      </w:r>
      <w:r w:rsidR="002F2BB5">
        <w:rPr>
          <w:highlight w:val="yellow"/>
        </w:rPr>
        <w:fldChar w:fldCharType="separate"/>
      </w:r>
      <w:r w:rsidR="004F49F9">
        <w:t>3.3</w:t>
      </w:r>
      <w:r w:rsidR="002F2BB5">
        <w:rPr>
          <w:highlight w:val="yellow"/>
        </w:rPr>
        <w:fldChar w:fldCharType="end"/>
      </w:r>
      <w:r w:rsidRPr="004E0271">
        <w:t>). Consequently, these three bands have been investigated in single-entry studies. In these studies the individually required separation distance (</w:t>
      </w:r>
      <w:r w:rsidR="009D5FA2">
        <w:t>section</w:t>
      </w:r>
      <w:r w:rsidRPr="004E0271">
        <w:t xml:space="preserve"> </w:t>
      </w:r>
      <w:r w:rsidR="002F2BB5">
        <w:rPr>
          <w:highlight w:val="yellow"/>
        </w:rPr>
        <w:fldChar w:fldCharType="begin"/>
      </w:r>
      <w:r w:rsidR="002F2BB5">
        <w:instrText xml:space="preserve"> REF _Ref15293384 \r \h </w:instrText>
      </w:r>
      <w:r w:rsidR="002F2BB5">
        <w:rPr>
          <w:highlight w:val="yellow"/>
        </w:rPr>
      </w:r>
      <w:r w:rsidR="002F2BB5">
        <w:rPr>
          <w:highlight w:val="yellow"/>
        </w:rPr>
        <w:fldChar w:fldCharType="separate"/>
      </w:r>
      <w:r w:rsidR="004F49F9">
        <w:t>3.4.2</w:t>
      </w:r>
      <w:r w:rsidR="002F2BB5">
        <w:rPr>
          <w:highlight w:val="yellow"/>
        </w:rPr>
        <w:fldChar w:fldCharType="end"/>
      </w:r>
      <w:r w:rsidRPr="004E0271">
        <w:t>) is determined by means of the technical parameters (</w:t>
      </w:r>
      <w:r w:rsidR="009D5FA2">
        <w:t>section</w:t>
      </w:r>
      <w:r w:rsidRPr="004E0271">
        <w:t xml:space="preserve"> </w:t>
      </w:r>
      <w:r w:rsidR="002F2BB5">
        <w:rPr>
          <w:highlight w:val="yellow"/>
        </w:rPr>
        <w:fldChar w:fldCharType="begin"/>
      </w:r>
      <w:r w:rsidR="002F2BB5">
        <w:instrText xml:space="preserve"> REF _Ref66448217 \r \h </w:instrText>
      </w:r>
      <w:r w:rsidR="002F2BB5">
        <w:rPr>
          <w:highlight w:val="yellow"/>
        </w:rPr>
      </w:r>
      <w:r w:rsidR="002F2BB5">
        <w:rPr>
          <w:highlight w:val="yellow"/>
        </w:rPr>
        <w:fldChar w:fldCharType="separate"/>
      </w:r>
      <w:r w:rsidR="004F49F9">
        <w:t>2.2.2.3</w:t>
      </w:r>
      <w:r w:rsidR="002F2BB5">
        <w:rPr>
          <w:highlight w:val="yellow"/>
        </w:rPr>
        <w:fldChar w:fldCharType="end"/>
      </w:r>
      <w:r w:rsidRPr="004E0271">
        <w:t>), the antenna data (</w:t>
      </w:r>
      <w:r w:rsidR="009D5FA2">
        <w:t>section</w:t>
      </w:r>
      <w:r w:rsidRPr="004E0271">
        <w:t xml:space="preserve"> </w:t>
      </w:r>
      <w:r w:rsidR="002F2BB5">
        <w:rPr>
          <w:highlight w:val="yellow"/>
        </w:rPr>
        <w:fldChar w:fldCharType="begin"/>
      </w:r>
      <w:r w:rsidR="002F2BB5">
        <w:instrText xml:space="preserve"> REF _Ref20137901 \r \h </w:instrText>
      </w:r>
      <w:r w:rsidR="002F2BB5">
        <w:rPr>
          <w:highlight w:val="yellow"/>
        </w:rPr>
      </w:r>
      <w:r w:rsidR="002F2BB5">
        <w:rPr>
          <w:highlight w:val="yellow"/>
        </w:rPr>
        <w:fldChar w:fldCharType="separate"/>
      </w:r>
      <w:r w:rsidR="004F49F9">
        <w:t>2.2.2.4</w:t>
      </w:r>
      <w:r w:rsidR="002F2BB5">
        <w:rPr>
          <w:highlight w:val="yellow"/>
        </w:rPr>
        <w:fldChar w:fldCharType="end"/>
      </w:r>
      <w:r w:rsidRPr="004E0271">
        <w:t>), the defined interference scenarios (</w:t>
      </w:r>
      <w:r w:rsidR="009D5FA2">
        <w:t>section</w:t>
      </w:r>
      <w:r w:rsidRPr="004E0271">
        <w:t xml:space="preserve"> </w:t>
      </w:r>
      <w:r w:rsidR="002F2BB5">
        <w:rPr>
          <w:highlight w:val="yellow"/>
        </w:rPr>
        <w:fldChar w:fldCharType="begin"/>
      </w:r>
      <w:r w:rsidR="002F2BB5">
        <w:instrText xml:space="preserve"> REF _Ref53582739 \r \h </w:instrText>
      </w:r>
      <w:r w:rsidR="002F2BB5">
        <w:rPr>
          <w:highlight w:val="yellow"/>
        </w:rPr>
      </w:r>
      <w:r w:rsidR="002F2BB5">
        <w:rPr>
          <w:highlight w:val="yellow"/>
        </w:rPr>
        <w:fldChar w:fldCharType="separate"/>
      </w:r>
      <w:r w:rsidR="004F49F9">
        <w:t>2.2.2.6</w:t>
      </w:r>
      <w:r w:rsidR="002F2BB5">
        <w:rPr>
          <w:highlight w:val="yellow"/>
        </w:rPr>
        <w:fldChar w:fldCharType="end"/>
      </w:r>
      <w:r w:rsidRPr="004E0271">
        <w:t>) and the protection requirements for Amateur Service (</w:t>
      </w:r>
      <w:r w:rsidR="009D5FA2">
        <w:t>section</w:t>
      </w:r>
      <w:r w:rsidRPr="004E0271">
        <w:t xml:space="preserve"> </w:t>
      </w:r>
      <w:r w:rsidR="002F2BB5">
        <w:rPr>
          <w:highlight w:val="yellow"/>
        </w:rPr>
        <w:fldChar w:fldCharType="begin"/>
      </w:r>
      <w:r w:rsidR="002F2BB5">
        <w:instrText xml:space="preserve"> REF _Ref67242980 \r \h </w:instrText>
      </w:r>
      <w:r w:rsidR="002F2BB5">
        <w:rPr>
          <w:highlight w:val="yellow"/>
        </w:rPr>
      </w:r>
      <w:r w:rsidR="002F2BB5">
        <w:rPr>
          <w:highlight w:val="yellow"/>
        </w:rPr>
        <w:fldChar w:fldCharType="separate"/>
      </w:r>
      <w:r w:rsidR="004F49F9">
        <w:t>3.5.5</w:t>
      </w:r>
      <w:r w:rsidR="002F2BB5">
        <w:rPr>
          <w:highlight w:val="yellow"/>
        </w:rPr>
        <w:fldChar w:fldCharType="end"/>
      </w:r>
      <w:r w:rsidRPr="004E0271">
        <w:t xml:space="preserve">). The exact calculations can be found in an Excel-spreadsheet which is attached to this </w:t>
      </w:r>
      <w:hyperlink r:id="rId173" w:history="1">
        <w:r w:rsidR="006B1E55">
          <w:rPr>
            <w:rStyle w:val="Hyperlink"/>
          </w:rPr>
          <w:t>Report</w:t>
        </w:r>
      </w:hyperlink>
      <w:r w:rsidRPr="004E0271">
        <w:t>.</w:t>
      </w:r>
    </w:p>
    <w:p w14:paraId="196399FB" w14:textId="01290E5C" w:rsidR="004E0271" w:rsidRPr="004E0271" w:rsidRDefault="004E0271" w:rsidP="004E0271">
      <w:r w:rsidRPr="004E0271">
        <w:t>The following technical parameters of the RDI application (</w:t>
      </w:r>
      <w:r w:rsidR="009D5FA2">
        <w:t>section</w:t>
      </w:r>
      <w:r w:rsidRPr="004E0271">
        <w:t xml:space="preserve"> </w:t>
      </w:r>
      <w:r w:rsidR="002F2BB5">
        <w:rPr>
          <w:highlight w:val="yellow"/>
        </w:rPr>
        <w:fldChar w:fldCharType="begin"/>
      </w:r>
      <w:r w:rsidR="002F2BB5">
        <w:instrText xml:space="preserve"> REF _Ref66448217 \r \h </w:instrText>
      </w:r>
      <w:r w:rsidR="002F2BB5">
        <w:rPr>
          <w:highlight w:val="yellow"/>
        </w:rPr>
      </w:r>
      <w:r w:rsidR="002F2BB5">
        <w:rPr>
          <w:highlight w:val="yellow"/>
        </w:rPr>
        <w:fldChar w:fldCharType="separate"/>
      </w:r>
      <w:r w:rsidR="004F49F9">
        <w:t>2.2.2.3</w:t>
      </w:r>
      <w:r w:rsidR="002F2BB5">
        <w:rPr>
          <w:highlight w:val="yellow"/>
        </w:rPr>
        <w:fldChar w:fldCharType="end"/>
      </w:r>
      <w:r w:rsidRPr="004E0271">
        <w:t>) have been used in the studies in the different frequency ranges.</w:t>
      </w:r>
    </w:p>
    <w:p w14:paraId="1D16F2B3" w14:textId="42E1D9BA" w:rsidR="004E0271" w:rsidRDefault="002F2BB5" w:rsidP="004E0271">
      <w:pPr>
        <w:pStyle w:val="Caption"/>
        <w:rPr>
          <w:rStyle w:val="ECCParagraph"/>
        </w:rPr>
      </w:pPr>
      <w:r w:rsidRPr="00477961">
        <w:t>Table </w:t>
      </w:r>
      <w:r>
        <w:fldChar w:fldCharType="begin"/>
      </w:r>
      <w:r>
        <w:instrText>SEQ Table \* ARABIC</w:instrText>
      </w:r>
      <w:r>
        <w:fldChar w:fldCharType="separate"/>
      </w:r>
      <w:r w:rsidR="004F49F9">
        <w:rPr>
          <w:noProof/>
        </w:rPr>
        <w:t>114</w:t>
      </w:r>
      <w:r>
        <w:fldChar w:fldCharType="end"/>
      </w:r>
      <w:r w:rsidR="004E0271">
        <w:t>: Technical parameters of RDI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266"/>
        <w:gridCol w:w="2014"/>
        <w:gridCol w:w="1437"/>
        <w:gridCol w:w="1437"/>
      </w:tblGrid>
      <w:tr w:rsidR="00906950" w:rsidRPr="00566944" w14:paraId="37D7B3E4"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14697F91" w14:textId="77777777" w:rsidR="00906950" w:rsidRPr="00906950" w:rsidRDefault="00906950" w:rsidP="00876039">
            <w:pPr>
              <w:pStyle w:val="ECCTableHeaderwhitefont"/>
            </w:pPr>
            <w:r w:rsidRPr="00906950">
              <w:t>Investigated frequency range</w:t>
            </w:r>
          </w:p>
        </w:tc>
        <w:tc>
          <w:tcPr>
            <w:tcW w:w="1569" w:type="dxa"/>
          </w:tcPr>
          <w:p w14:paraId="2E4F9C8B" w14:textId="77777777" w:rsidR="00906950" w:rsidRPr="00906950" w:rsidRDefault="00906950" w:rsidP="000A69BD">
            <w:pPr>
              <w:pStyle w:val="ECCTableHeaderwhitefont"/>
            </w:pPr>
            <w:r w:rsidRPr="00906950">
              <w:t>Modulation bandwidth</w:t>
            </w:r>
          </w:p>
        </w:tc>
        <w:tc>
          <w:tcPr>
            <w:tcW w:w="1266" w:type="dxa"/>
          </w:tcPr>
          <w:p w14:paraId="3F35432F" w14:textId="77777777" w:rsidR="00906950" w:rsidRPr="00906950" w:rsidRDefault="00906950" w:rsidP="000A69BD">
            <w:pPr>
              <w:pStyle w:val="ECCTableHeaderwhitefont"/>
            </w:pPr>
            <w:r w:rsidRPr="00906950">
              <w:t>Duty cycle</w:t>
            </w:r>
          </w:p>
        </w:tc>
        <w:tc>
          <w:tcPr>
            <w:tcW w:w="2014" w:type="dxa"/>
          </w:tcPr>
          <w:p w14:paraId="795F2EDF" w14:textId="77777777" w:rsidR="00906950" w:rsidRPr="00906950" w:rsidRDefault="00906950" w:rsidP="000A69BD">
            <w:pPr>
              <w:pStyle w:val="ECCTableHeaderwhitefont"/>
            </w:pPr>
            <w:r w:rsidRPr="00906950">
              <w:t xml:space="preserve">Mean e.i.r.p. spectral density </w:t>
            </w:r>
            <w:r w:rsidR="00EF12C9">
              <w:t>(Note 2)</w:t>
            </w:r>
          </w:p>
        </w:tc>
        <w:tc>
          <w:tcPr>
            <w:tcW w:w="1437" w:type="dxa"/>
          </w:tcPr>
          <w:p w14:paraId="5396282E" w14:textId="77777777" w:rsidR="00906950" w:rsidRPr="00906950" w:rsidRDefault="00906950" w:rsidP="000A69BD">
            <w:pPr>
              <w:pStyle w:val="ECCTableHeaderwhitefont"/>
            </w:pPr>
            <w:r w:rsidRPr="00906950">
              <w:t>Peak e.i.r.p.</w:t>
            </w:r>
          </w:p>
        </w:tc>
        <w:tc>
          <w:tcPr>
            <w:tcW w:w="1437" w:type="dxa"/>
          </w:tcPr>
          <w:p w14:paraId="429060A0" w14:textId="77777777" w:rsidR="00906950" w:rsidRPr="00906950" w:rsidRDefault="00906950" w:rsidP="000A69BD">
            <w:pPr>
              <w:pStyle w:val="ECCTableHeaderwhitefont"/>
            </w:pPr>
            <w:r w:rsidRPr="00906950">
              <w:t>OOB attenuation (Note 1)</w:t>
            </w:r>
          </w:p>
        </w:tc>
      </w:tr>
      <w:tr w:rsidR="00EE4DE0" w:rsidRPr="00C53FB5" w14:paraId="3E9B7CBF" w14:textId="77777777" w:rsidTr="00BF4052">
        <w:tc>
          <w:tcPr>
            <w:tcW w:w="1838" w:type="dxa"/>
          </w:tcPr>
          <w:p w14:paraId="691CFC88" w14:textId="77777777" w:rsidR="00EE4DE0" w:rsidRPr="00EE4DE0" w:rsidRDefault="00EE4DE0" w:rsidP="000A69BD">
            <w:pPr>
              <w:pStyle w:val="ECCTabletext"/>
              <w:jc w:val="left"/>
            </w:pPr>
            <w:r w:rsidRPr="00C53FB5">
              <w:t>116 to 130 GHz</w:t>
            </w:r>
          </w:p>
        </w:tc>
        <w:tc>
          <w:tcPr>
            <w:tcW w:w="1569" w:type="dxa"/>
          </w:tcPr>
          <w:p w14:paraId="1810CAEB" w14:textId="77777777" w:rsidR="00EE4DE0" w:rsidRPr="00EE4DE0" w:rsidRDefault="00EE4DE0" w:rsidP="000A69BD">
            <w:pPr>
              <w:pStyle w:val="ECCTabletext"/>
              <w:jc w:val="left"/>
            </w:pPr>
            <w:r>
              <w:t>14 GHz</w:t>
            </w:r>
          </w:p>
        </w:tc>
        <w:tc>
          <w:tcPr>
            <w:tcW w:w="1266" w:type="dxa"/>
          </w:tcPr>
          <w:p w14:paraId="57456738" w14:textId="6F145445" w:rsidR="00EE4DE0" w:rsidRPr="00EE4DE0" w:rsidRDefault="00EE4DE0" w:rsidP="000A69BD">
            <w:pPr>
              <w:pStyle w:val="ECCTabletext"/>
              <w:jc w:val="left"/>
            </w:pPr>
            <w:r>
              <w:t>5</w:t>
            </w:r>
            <w:r w:rsidR="00F800A2">
              <w:t>%</w:t>
            </w:r>
          </w:p>
        </w:tc>
        <w:tc>
          <w:tcPr>
            <w:tcW w:w="2014" w:type="dxa"/>
          </w:tcPr>
          <w:p w14:paraId="1C95C4FC" w14:textId="77777777" w:rsidR="00EE4DE0" w:rsidRPr="00EE4DE0" w:rsidRDefault="00EE4DE0" w:rsidP="000A69BD">
            <w:pPr>
              <w:pStyle w:val="ECCTabletext"/>
              <w:jc w:val="left"/>
            </w:pPr>
            <w:r>
              <w:t>-2</w:t>
            </w:r>
            <w:r w:rsidR="00BF4110">
              <w:t>3</w:t>
            </w:r>
            <w:r w:rsidR="00CF4994">
              <w:t>.5</w:t>
            </w:r>
            <w:r>
              <w:t> dBm/MHz</w:t>
            </w:r>
          </w:p>
        </w:tc>
        <w:tc>
          <w:tcPr>
            <w:tcW w:w="1437" w:type="dxa"/>
          </w:tcPr>
          <w:p w14:paraId="38B2B1C4" w14:textId="77777777" w:rsidR="00EE4DE0" w:rsidRPr="00EE4DE0" w:rsidRDefault="00EE4DE0" w:rsidP="000A69BD">
            <w:pPr>
              <w:pStyle w:val="ECCTabletext"/>
              <w:jc w:val="left"/>
            </w:pPr>
            <w:r>
              <w:t>3</w:t>
            </w:r>
            <w:r w:rsidR="00BF4110">
              <w:t>1</w:t>
            </w:r>
            <w:r>
              <w:t> dBm</w:t>
            </w:r>
          </w:p>
        </w:tc>
        <w:tc>
          <w:tcPr>
            <w:tcW w:w="1437" w:type="dxa"/>
          </w:tcPr>
          <w:p w14:paraId="3A5A8B36" w14:textId="77777777" w:rsidR="00EE4DE0" w:rsidRPr="00EE4DE0" w:rsidRDefault="00EE4DE0" w:rsidP="000A69BD">
            <w:pPr>
              <w:pStyle w:val="ECCTabletext"/>
              <w:jc w:val="left"/>
            </w:pPr>
            <w:r>
              <w:t>20 dB</w:t>
            </w:r>
          </w:p>
        </w:tc>
      </w:tr>
      <w:tr w:rsidR="00EE4DE0" w:rsidRPr="00C53FB5" w14:paraId="089020EA" w14:textId="77777777" w:rsidTr="00BF4052">
        <w:tc>
          <w:tcPr>
            <w:tcW w:w="1838" w:type="dxa"/>
          </w:tcPr>
          <w:p w14:paraId="6E0D74F7" w14:textId="77777777" w:rsidR="00EE4DE0" w:rsidRPr="00EE4DE0" w:rsidRDefault="00EE4DE0" w:rsidP="000A69BD">
            <w:pPr>
              <w:pStyle w:val="ECCTabletext"/>
              <w:jc w:val="left"/>
            </w:pPr>
            <w:r w:rsidRPr="00C53FB5">
              <w:t>134 to 141 GHz</w:t>
            </w:r>
          </w:p>
        </w:tc>
        <w:tc>
          <w:tcPr>
            <w:tcW w:w="1569" w:type="dxa"/>
          </w:tcPr>
          <w:p w14:paraId="154D0FCF" w14:textId="77777777" w:rsidR="00EE4DE0" w:rsidRPr="00EE4DE0" w:rsidRDefault="00EE4DE0" w:rsidP="000A69BD">
            <w:pPr>
              <w:pStyle w:val="ECCTabletext"/>
              <w:jc w:val="left"/>
            </w:pPr>
            <w:r>
              <w:t>7 GHz</w:t>
            </w:r>
          </w:p>
        </w:tc>
        <w:tc>
          <w:tcPr>
            <w:tcW w:w="1266" w:type="dxa"/>
          </w:tcPr>
          <w:p w14:paraId="48643737" w14:textId="79F1C769" w:rsidR="00EE4DE0" w:rsidRPr="00EE4DE0" w:rsidRDefault="00EE4DE0" w:rsidP="000A69BD">
            <w:pPr>
              <w:pStyle w:val="ECCTabletext"/>
              <w:jc w:val="left"/>
            </w:pPr>
            <w:r>
              <w:t>5</w:t>
            </w:r>
            <w:r w:rsidR="00F800A2">
              <w:t>%</w:t>
            </w:r>
          </w:p>
        </w:tc>
        <w:tc>
          <w:tcPr>
            <w:tcW w:w="2014" w:type="dxa"/>
          </w:tcPr>
          <w:p w14:paraId="47A7099A" w14:textId="77777777" w:rsidR="00EE4DE0" w:rsidRPr="00EE4DE0" w:rsidRDefault="00EE4DE0" w:rsidP="000A69BD">
            <w:pPr>
              <w:pStyle w:val="ECCTabletext"/>
              <w:jc w:val="left"/>
            </w:pPr>
            <w:r>
              <w:t>-2</w:t>
            </w:r>
            <w:r w:rsidR="00BF4110">
              <w:t>0</w:t>
            </w:r>
            <w:r w:rsidR="00CF4994">
              <w:t>.5</w:t>
            </w:r>
            <w:r>
              <w:t> dBm/MHz</w:t>
            </w:r>
          </w:p>
        </w:tc>
        <w:tc>
          <w:tcPr>
            <w:tcW w:w="1437" w:type="dxa"/>
          </w:tcPr>
          <w:p w14:paraId="6E2843DE" w14:textId="77777777" w:rsidR="00EE4DE0" w:rsidRPr="00EE4DE0" w:rsidRDefault="00EE4DE0" w:rsidP="000A69BD">
            <w:pPr>
              <w:pStyle w:val="ECCTabletext"/>
              <w:jc w:val="left"/>
            </w:pPr>
            <w:r>
              <w:t>3</w:t>
            </w:r>
            <w:r w:rsidR="00BF4110">
              <w:t>1</w:t>
            </w:r>
            <w:r>
              <w:t> dBm</w:t>
            </w:r>
          </w:p>
        </w:tc>
        <w:tc>
          <w:tcPr>
            <w:tcW w:w="1437" w:type="dxa"/>
          </w:tcPr>
          <w:p w14:paraId="19C07D35" w14:textId="77777777" w:rsidR="00EE4DE0" w:rsidRDefault="00EE4DE0" w:rsidP="000A69BD">
            <w:pPr>
              <w:pStyle w:val="ECCTabletext"/>
              <w:jc w:val="left"/>
            </w:pPr>
            <w:r>
              <w:t>20 dB</w:t>
            </w:r>
          </w:p>
        </w:tc>
      </w:tr>
      <w:tr w:rsidR="00EE4DE0" w:rsidRPr="00C53FB5" w14:paraId="507158F3" w14:textId="77777777" w:rsidTr="00BF4052">
        <w:tc>
          <w:tcPr>
            <w:tcW w:w="1838" w:type="dxa"/>
          </w:tcPr>
          <w:p w14:paraId="1C4B6F80" w14:textId="77777777" w:rsidR="00EE4DE0" w:rsidRPr="00EE4DE0" w:rsidRDefault="00EE4DE0" w:rsidP="000A69BD">
            <w:pPr>
              <w:pStyle w:val="ECCTabletext"/>
              <w:jc w:val="left"/>
            </w:pPr>
            <w:r w:rsidRPr="00C53FB5">
              <w:t>231</w:t>
            </w:r>
            <w:r w:rsidR="00CF4994">
              <w:t>.5</w:t>
            </w:r>
            <w:r w:rsidRPr="00C53FB5">
              <w:t xml:space="preserve"> to 250 GHz</w:t>
            </w:r>
          </w:p>
        </w:tc>
        <w:tc>
          <w:tcPr>
            <w:tcW w:w="1569" w:type="dxa"/>
          </w:tcPr>
          <w:p w14:paraId="150147B6" w14:textId="77777777" w:rsidR="00EE4DE0" w:rsidRPr="00EE4DE0" w:rsidRDefault="00EE4DE0" w:rsidP="000A69BD">
            <w:pPr>
              <w:pStyle w:val="ECCTabletext"/>
              <w:jc w:val="left"/>
            </w:pPr>
            <w:r>
              <w:t>15 GHz</w:t>
            </w:r>
          </w:p>
        </w:tc>
        <w:tc>
          <w:tcPr>
            <w:tcW w:w="1266" w:type="dxa"/>
          </w:tcPr>
          <w:p w14:paraId="6D28CC29" w14:textId="4B7BFA29" w:rsidR="00EE4DE0" w:rsidRPr="00EE4DE0" w:rsidRDefault="00EE4DE0" w:rsidP="000A69BD">
            <w:pPr>
              <w:pStyle w:val="ECCTabletext"/>
              <w:jc w:val="left"/>
            </w:pPr>
            <w:r>
              <w:t>5</w:t>
            </w:r>
            <w:r w:rsidR="00F800A2">
              <w:t>%</w:t>
            </w:r>
          </w:p>
        </w:tc>
        <w:tc>
          <w:tcPr>
            <w:tcW w:w="2014" w:type="dxa"/>
          </w:tcPr>
          <w:p w14:paraId="512D1FD4" w14:textId="77777777" w:rsidR="00EE4DE0" w:rsidRPr="00EE4DE0" w:rsidRDefault="00EE4DE0" w:rsidP="000A69BD">
            <w:pPr>
              <w:pStyle w:val="ECCTabletext"/>
              <w:jc w:val="left"/>
            </w:pPr>
            <w:r>
              <w:t>-2</w:t>
            </w:r>
            <w:r w:rsidR="00BF4110">
              <w:t>5</w:t>
            </w:r>
            <w:r w:rsidR="00CF4994">
              <w:t>.6</w:t>
            </w:r>
            <w:r>
              <w:t> dBm/MHz</w:t>
            </w:r>
          </w:p>
        </w:tc>
        <w:tc>
          <w:tcPr>
            <w:tcW w:w="1437" w:type="dxa"/>
          </w:tcPr>
          <w:p w14:paraId="4B2AE740" w14:textId="77777777" w:rsidR="00EE4DE0" w:rsidRPr="00EE4DE0" w:rsidRDefault="00EE4DE0" w:rsidP="000A69BD">
            <w:pPr>
              <w:pStyle w:val="ECCTabletext"/>
              <w:jc w:val="left"/>
            </w:pPr>
            <w:r>
              <w:t>3</w:t>
            </w:r>
            <w:r w:rsidR="00BF4110">
              <w:t>1</w:t>
            </w:r>
            <w:r>
              <w:t> dBm</w:t>
            </w:r>
          </w:p>
        </w:tc>
        <w:tc>
          <w:tcPr>
            <w:tcW w:w="1437" w:type="dxa"/>
          </w:tcPr>
          <w:p w14:paraId="47F656EB" w14:textId="77777777" w:rsidR="00EE4DE0" w:rsidRDefault="00EE4DE0" w:rsidP="000A69BD">
            <w:pPr>
              <w:pStyle w:val="ECCTabletext"/>
              <w:jc w:val="left"/>
            </w:pPr>
            <w:r>
              <w:t>20 dB</w:t>
            </w:r>
          </w:p>
        </w:tc>
      </w:tr>
      <w:tr w:rsidR="00200700" w:rsidRPr="00C53FB5" w14:paraId="6C88B203" w14:textId="77777777" w:rsidTr="00200700">
        <w:tc>
          <w:tcPr>
            <w:tcW w:w="9561" w:type="dxa"/>
            <w:gridSpan w:val="6"/>
          </w:tcPr>
          <w:p w14:paraId="276E4B7A" w14:textId="77777777" w:rsidR="00200700" w:rsidRPr="00200700" w:rsidRDefault="00200700" w:rsidP="00464AE0">
            <w:pPr>
              <w:pStyle w:val="ECCTablenote"/>
            </w:pPr>
            <w:r>
              <w:t>Note 1</w:t>
            </w:r>
            <w:r w:rsidRPr="00200700">
              <w:t>: Assumed out-of-band attenuation of the RDI-signal in adjacent bands allocated to Amateur.</w:t>
            </w:r>
          </w:p>
          <w:p w14:paraId="4D52620F" w14:textId="038829F6" w:rsidR="00200700" w:rsidRDefault="00200700" w:rsidP="00464AE0">
            <w:pPr>
              <w:pStyle w:val="ECCTablenote"/>
            </w:pPr>
            <w:r w:rsidRPr="00EF12C9">
              <w:t>Note 2: The duty cycle of 5</w:t>
            </w:r>
            <w:r w:rsidR="00F800A2">
              <w:t>%</w:t>
            </w:r>
            <w:r w:rsidRPr="00EF12C9">
              <w:t xml:space="preserve"> is already considered in this mean e.i.r.p. spectral density value. Consequently, the given mean e.i.r.p. spectral density is </w:t>
            </w:r>
            <w:r w:rsidRPr="00200700">
              <w:t>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532211C1" w14:textId="77777777" w:rsidR="004E0271" w:rsidRDefault="004E0271" w:rsidP="004E0271">
      <w:pPr>
        <w:pStyle w:val="Heading3"/>
      </w:pPr>
      <w:bookmarkStart w:id="799" w:name="_Ref67391538"/>
      <w:bookmarkStart w:id="800" w:name="_Toc84325431"/>
      <w:bookmarkStart w:id="801" w:name="_Toc127346353"/>
      <w:r>
        <w:t>Results</w:t>
      </w:r>
      <w:bookmarkEnd w:id="799"/>
      <w:bookmarkEnd w:id="800"/>
      <w:bookmarkEnd w:id="801"/>
    </w:p>
    <w:p w14:paraId="5D0FEBE8" w14:textId="18C01CF5" w:rsidR="004E0271" w:rsidRPr="004E0271" w:rsidRDefault="002F2BB5" w:rsidP="004E0271">
      <w:r>
        <w:fldChar w:fldCharType="begin"/>
      </w:r>
      <w:r>
        <w:instrText xml:space="preserve"> REF _Ref67243092 \h </w:instrText>
      </w:r>
      <w:r>
        <w:fldChar w:fldCharType="separate"/>
      </w:r>
      <w:r w:rsidR="0041125F" w:rsidRPr="00477961">
        <w:t>Table </w:t>
      </w:r>
      <w:r w:rsidR="0041125F">
        <w:rPr>
          <w:noProof/>
        </w:rPr>
        <w:t>115</w:t>
      </w:r>
      <w:r>
        <w:fldChar w:fldCharType="end"/>
      </w:r>
      <w:r>
        <w:t xml:space="preserve"> </w:t>
      </w:r>
      <w:r w:rsidR="004E0271" w:rsidRPr="004E0271">
        <w:t xml:space="preserve">shows the single-entry </w:t>
      </w:r>
      <w:r w:rsidR="00791D2C">
        <w:t>worst</w:t>
      </w:r>
      <w:r w:rsidR="004E0271" w:rsidRPr="004E0271">
        <w:t>-case results for RDI, e.g. the largest separation distances for the individual frequency ranges and Amateur victim receivers.</w:t>
      </w:r>
    </w:p>
    <w:p w14:paraId="46DA1878" w14:textId="64C7AE14" w:rsidR="004E0271" w:rsidRDefault="002F2BB5" w:rsidP="004E0271">
      <w:pPr>
        <w:pStyle w:val="Caption"/>
      </w:pPr>
      <w:bookmarkStart w:id="802" w:name="_Ref67243092"/>
      <w:r w:rsidRPr="00477961">
        <w:t>Table </w:t>
      </w:r>
      <w:r>
        <w:fldChar w:fldCharType="begin"/>
      </w:r>
      <w:r>
        <w:instrText>SEQ Table \* ARABIC</w:instrText>
      </w:r>
      <w:r>
        <w:fldChar w:fldCharType="separate"/>
      </w:r>
      <w:r w:rsidR="004F49F9">
        <w:rPr>
          <w:noProof/>
        </w:rPr>
        <w:t>115</w:t>
      </w:r>
      <w:r>
        <w:fldChar w:fldCharType="end"/>
      </w:r>
      <w:bookmarkEnd w:id="802"/>
      <w:r>
        <w:t xml:space="preserve">: </w:t>
      </w:r>
      <w:r w:rsidR="004E0271">
        <w:t>Required separation distances determined in a single-entry study for radiodetermination systems for industry automation (RDI)</w:t>
      </w:r>
    </w:p>
    <w:tbl>
      <w:tblPr>
        <w:tblStyle w:val="ECCTable-redheader"/>
        <w:tblW w:w="0" w:type="auto"/>
        <w:tblInd w:w="0" w:type="dxa"/>
        <w:tblLook w:val="04A0" w:firstRow="1" w:lastRow="0" w:firstColumn="1" w:lastColumn="0" w:noHBand="0" w:noVBand="1"/>
      </w:tblPr>
      <w:tblGrid>
        <w:gridCol w:w="2836"/>
        <w:gridCol w:w="2829"/>
        <w:gridCol w:w="2415"/>
      </w:tblGrid>
      <w:tr w:rsidR="004E0271" w14:paraId="3BD67FB1" w14:textId="77777777" w:rsidTr="000533C8">
        <w:trPr>
          <w:cnfStyle w:val="100000000000" w:firstRow="1" w:lastRow="0" w:firstColumn="0" w:lastColumn="0" w:oddVBand="0" w:evenVBand="0" w:oddHBand="0" w:evenHBand="0" w:firstRowFirstColumn="0" w:firstRowLastColumn="0" w:lastRowFirstColumn="0" w:lastRowLastColumn="0"/>
        </w:trPr>
        <w:tc>
          <w:tcPr>
            <w:tcW w:w="2836" w:type="dxa"/>
          </w:tcPr>
          <w:p w14:paraId="37E990BB" w14:textId="77777777" w:rsidR="004E0271" w:rsidRPr="004E0271" w:rsidRDefault="004E0271" w:rsidP="00876039">
            <w:pPr>
              <w:pStyle w:val="ECCTableHeaderwhitefont"/>
            </w:pPr>
            <w:r w:rsidRPr="004E0271">
              <w:t>Investigated Frequency range</w:t>
            </w:r>
          </w:p>
        </w:tc>
        <w:tc>
          <w:tcPr>
            <w:tcW w:w="2829" w:type="dxa"/>
          </w:tcPr>
          <w:p w14:paraId="1662274F" w14:textId="77777777" w:rsidR="004E0271" w:rsidRPr="004E0271" w:rsidRDefault="004E0271" w:rsidP="000A69BD">
            <w:pPr>
              <w:pStyle w:val="ECCTableHeaderwhitefont"/>
            </w:pPr>
            <w:r w:rsidRPr="004E0271">
              <w:t>Allocated band for Amateur Service</w:t>
            </w:r>
          </w:p>
        </w:tc>
        <w:tc>
          <w:tcPr>
            <w:tcW w:w="2415" w:type="dxa"/>
          </w:tcPr>
          <w:p w14:paraId="4E8ABF37" w14:textId="77777777" w:rsidR="004E0271" w:rsidRPr="004E0271" w:rsidRDefault="004E0271" w:rsidP="000A69BD">
            <w:pPr>
              <w:pStyle w:val="ECCTableHeaderwhitefont"/>
            </w:pPr>
            <w:r w:rsidRPr="004E0271">
              <w:t>Required separation distance for all Amateur Services</w:t>
            </w:r>
          </w:p>
        </w:tc>
      </w:tr>
      <w:tr w:rsidR="004E0271" w14:paraId="67EFC120" w14:textId="77777777" w:rsidTr="000533C8">
        <w:tc>
          <w:tcPr>
            <w:tcW w:w="2836" w:type="dxa"/>
          </w:tcPr>
          <w:p w14:paraId="2EED738E" w14:textId="77777777" w:rsidR="004E0271" w:rsidRPr="004E0271" w:rsidRDefault="004E0271" w:rsidP="000A69BD">
            <w:pPr>
              <w:pStyle w:val="ECCTabletext"/>
              <w:jc w:val="left"/>
            </w:pPr>
            <w:r w:rsidRPr="00C53FB5">
              <w:t>116 to 130 GHz</w:t>
            </w:r>
          </w:p>
        </w:tc>
        <w:tc>
          <w:tcPr>
            <w:tcW w:w="2829" w:type="dxa"/>
          </w:tcPr>
          <w:p w14:paraId="6676E8A6" w14:textId="77777777" w:rsidR="004E0271" w:rsidRPr="004E0271" w:rsidRDefault="004E0271" w:rsidP="000A69BD">
            <w:pPr>
              <w:pStyle w:val="ECCTabletext"/>
              <w:jc w:val="left"/>
            </w:pPr>
            <w:r w:rsidRPr="00C53FB5">
              <w:t>12</w:t>
            </w:r>
            <w:r w:rsidRPr="004E0271">
              <w:t>2</w:t>
            </w:r>
            <w:r w:rsidR="00CF4994">
              <w:t>.2</w:t>
            </w:r>
            <w:r w:rsidRPr="004E0271">
              <w:t>5 to 123 GHz</w:t>
            </w:r>
            <w:r w:rsidR="000533C8">
              <w:t xml:space="preserve"> (In-band)</w:t>
            </w:r>
          </w:p>
        </w:tc>
        <w:tc>
          <w:tcPr>
            <w:tcW w:w="2415" w:type="dxa"/>
          </w:tcPr>
          <w:p w14:paraId="7AC80EE1" w14:textId="77777777" w:rsidR="004E0271" w:rsidRPr="004E0271" w:rsidRDefault="00BF4110" w:rsidP="000A69BD">
            <w:pPr>
              <w:pStyle w:val="ECCTabletext"/>
              <w:jc w:val="left"/>
            </w:pPr>
            <w:r>
              <w:t>446</w:t>
            </w:r>
            <w:r w:rsidR="004E0271">
              <w:t> m</w:t>
            </w:r>
          </w:p>
        </w:tc>
      </w:tr>
      <w:tr w:rsidR="004E0271" w14:paraId="582D4B18" w14:textId="77777777" w:rsidTr="000533C8">
        <w:tc>
          <w:tcPr>
            <w:tcW w:w="2836" w:type="dxa"/>
          </w:tcPr>
          <w:p w14:paraId="73D0DE56" w14:textId="77777777" w:rsidR="004E0271" w:rsidRPr="004E0271" w:rsidRDefault="004E0271" w:rsidP="000A69BD">
            <w:pPr>
              <w:pStyle w:val="ECCTabletext"/>
              <w:jc w:val="left"/>
            </w:pPr>
            <w:r w:rsidRPr="00C53FB5">
              <w:t>134 to 141 GHz</w:t>
            </w:r>
          </w:p>
        </w:tc>
        <w:tc>
          <w:tcPr>
            <w:tcW w:w="2829" w:type="dxa"/>
          </w:tcPr>
          <w:p w14:paraId="2EEE70CB" w14:textId="77777777" w:rsidR="004E0271" w:rsidRPr="004E0271" w:rsidRDefault="004E0271" w:rsidP="000A69BD">
            <w:pPr>
              <w:pStyle w:val="ECCTabletext"/>
              <w:jc w:val="left"/>
            </w:pPr>
            <w:r w:rsidRPr="00C53FB5">
              <w:t>1</w:t>
            </w:r>
            <w:r w:rsidRPr="004E0271">
              <w:t>34 to 141 GHz</w:t>
            </w:r>
            <w:r w:rsidR="000533C8">
              <w:t xml:space="preserve"> (In-band)</w:t>
            </w:r>
          </w:p>
        </w:tc>
        <w:tc>
          <w:tcPr>
            <w:tcW w:w="2415" w:type="dxa"/>
          </w:tcPr>
          <w:p w14:paraId="0C69F6CA" w14:textId="77777777" w:rsidR="004E0271" w:rsidRPr="004E0271" w:rsidRDefault="00BF4110" w:rsidP="000A69BD">
            <w:pPr>
              <w:pStyle w:val="ECCTabletext"/>
              <w:jc w:val="left"/>
            </w:pPr>
            <w:r>
              <w:t>546</w:t>
            </w:r>
            <w:r w:rsidR="003C3610">
              <w:t> </w:t>
            </w:r>
            <w:r w:rsidR="004E0271">
              <w:t>m</w:t>
            </w:r>
          </w:p>
        </w:tc>
      </w:tr>
      <w:tr w:rsidR="004E0271" w14:paraId="3426A760" w14:textId="77777777" w:rsidTr="000533C8">
        <w:tc>
          <w:tcPr>
            <w:tcW w:w="2836" w:type="dxa"/>
          </w:tcPr>
          <w:p w14:paraId="5CA6BBE5" w14:textId="77777777" w:rsidR="004E0271" w:rsidRPr="004E0271" w:rsidRDefault="004E0271" w:rsidP="000A69BD">
            <w:pPr>
              <w:pStyle w:val="ECCTabletext"/>
              <w:jc w:val="left"/>
            </w:pPr>
            <w:r>
              <w:t>231</w:t>
            </w:r>
            <w:r w:rsidR="00CF4994">
              <w:t>.5</w:t>
            </w:r>
            <w:r>
              <w:t xml:space="preserve"> to 250 GHz</w:t>
            </w:r>
          </w:p>
        </w:tc>
        <w:tc>
          <w:tcPr>
            <w:tcW w:w="2829" w:type="dxa"/>
          </w:tcPr>
          <w:p w14:paraId="03833AC7" w14:textId="77777777" w:rsidR="004E0271" w:rsidRPr="004E0271" w:rsidRDefault="004E0271" w:rsidP="000A69BD">
            <w:pPr>
              <w:pStyle w:val="ECCTabletext"/>
              <w:jc w:val="left"/>
            </w:pPr>
            <w:r w:rsidRPr="00C53FB5">
              <w:t xml:space="preserve">241 to </w:t>
            </w:r>
            <w:r w:rsidRPr="004E0271">
              <w:t>250 GHz</w:t>
            </w:r>
            <w:r w:rsidR="000533C8">
              <w:t xml:space="preserve"> (In-band)</w:t>
            </w:r>
          </w:p>
        </w:tc>
        <w:tc>
          <w:tcPr>
            <w:tcW w:w="2415" w:type="dxa"/>
          </w:tcPr>
          <w:p w14:paraId="5C729E10" w14:textId="77777777" w:rsidR="004E0271" w:rsidRPr="004E0271" w:rsidRDefault="00BF4110" w:rsidP="000A69BD">
            <w:pPr>
              <w:pStyle w:val="ECCTabletext"/>
              <w:jc w:val="left"/>
            </w:pPr>
            <w:r>
              <w:t>12</w:t>
            </w:r>
            <w:r w:rsidR="00CF0121">
              <w:t>1</w:t>
            </w:r>
            <w:r w:rsidR="004E0271">
              <w:t> m</w:t>
            </w:r>
          </w:p>
        </w:tc>
      </w:tr>
    </w:tbl>
    <w:p w14:paraId="49EFE65D" w14:textId="2D24FA7D" w:rsidR="00F31C7A" w:rsidRDefault="00F31C7A" w:rsidP="00F31C7A">
      <w:r>
        <w:t xml:space="preserve">The conclusions drawn from these results can be found in </w:t>
      </w:r>
      <w:r w:rsidR="009D5FA2">
        <w:t>section</w:t>
      </w:r>
      <w:r w:rsidRPr="00F31C7A">
        <w:t xml:space="preserve"> </w:t>
      </w:r>
      <w:r>
        <w:fldChar w:fldCharType="begin"/>
      </w:r>
      <w:r>
        <w:instrText xml:space="preserve"> REF _Ref67393534 \r \h </w:instrText>
      </w:r>
      <w:r>
        <w:fldChar w:fldCharType="separate"/>
      </w:r>
      <w:r w:rsidR="004F49F9">
        <w:t>8.2.5</w:t>
      </w:r>
      <w:r>
        <w:fldChar w:fldCharType="end"/>
      </w:r>
      <w:r w:rsidRPr="00F31C7A">
        <w:t>.</w:t>
      </w:r>
    </w:p>
    <w:p w14:paraId="13656B7C" w14:textId="77777777" w:rsidR="00B75905" w:rsidRDefault="00B75905" w:rsidP="00B75905">
      <w:pPr>
        <w:pStyle w:val="Heading2"/>
      </w:pPr>
      <w:bookmarkStart w:id="803" w:name="_Toc84325432"/>
      <w:bookmarkStart w:id="804" w:name="_Toc127346354"/>
      <w:r>
        <w:t>Short range</w:t>
      </w:r>
      <w:r w:rsidRPr="00B75905">
        <w:t xml:space="preserve"> assist and Surrounding monitoring for vehicles and autonomous systems</w:t>
      </w:r>
      <w:bookmarkEnd w:id="803"/>
      <w:bookmarkEnd w:id="804"/>
    </w:p>
    <w:p w14:paraId="34D92487" w14:textId="69C0B9FF" w:rsidR="00BB0742" w:rsidRPr="00BB0742" w:rsidRDefault="00BB0742" w:rsidP="00BB0742">
      <w:r w:rsidRPr="00BB0742">
        <w:t xml:space="preserve">No study has been conducted to evaluate the compatibility between short-range assist and surrounding monitoring for vehicles and autonomous systems and </w:t>
      </w:r>
      <w:r>
        <w:t>Amateur Service</w:t>
      </w:r>
      <w:r w:rsidR="00F31C7A">
        <w:t xml:space="preserve"> (see </w:t>
      </w:r>
      <w:r w:rsidR="009D5FA2">
        <w:t>section</w:t>
      </w:r>
      <w:r w:rsidR="00F31C7A">
        <w:t xml:space="preserve"> </w:t>
      </w:r>
      <w:r w:rsidR="00F31C7A">
        <w:fldChar w:fldCharType="begin"/>
      </w:r>
      <w:r w:rsidR="00F31C7A">
        <w:instrText xml:space="preserve"> REF _Ref67393617 \r \h </w:instrText>
      </w:r>
      <w:r w:rsidR="00F31C7A">
        <w:fldChar w:fldCharType="separate"/>
      </w:r>
      <w:r w:rsidR="004F49F9">
        <w:t>8.3.5</w:t>
      </w:r>
      <w:r w:rsidR="00F31C7A">
        <w:fldChar w:fldCharType="end"/>
      </w:r>
      <w:r w:rsidR="00F31C7A">
        <w:t>).</w:t>
      </w:r>
    </w:p>
    <w:p w14:paraId="095B1687" w14:textId="77777777" w:rsidR="00B75905" w:rsidRDefault="00B75905" w:rsidP="00B75905">
      <w:pPr>
        <w:pStyle w:val="Heading2"/>
      </w:pPr>
      <w:bookmarkStart w:id="805" w:name="_Toc84325433"/>
      <w:bookmarkStart w:id="806" w:name="_Toc127346355"/>
      <w:r w:rsidRPr="004F758F">
        <w:t>Ground Based Synthetic Aperture Radar (GBSAR)</w:t>
      </w:r>
      <w:bookmarkEnd w:id="805"/>
      <w:bookmarkEnd w:id="806"/>
    </w:p>
    <w:p w14:paraId="067BF776" w14:textId="6EEB6630" w:rsidR="00F7570D" w:rsidRPr="00F7570D" w:rsidRDefault="00F7570D" w:rsidP="00F7570D">
      <w:r>
        <w:t>No study has been conducted to evaluate the compatibility between GBSAR and Amateur Service</w:t>
      </w:r>
      <w:r w:rsidR="00F31C7A">
        <w:t xml:space="preserve"> (see </w:t>
      </w:r>
      <w:r w:rsidR="009D5FA2">
        <w:t>section</w:t>
      </w:r>
      <w:r w:rsidR="00F31C7A">
        <w:t xml:space="preserve"> </w:t>
      </w:r>
      <w:r w:rsidR="00F31C7A">
        <w:fldChar w:fldCharType="begin"/>
      </w:r>
      <w:r w:rsidR="00F31C7A">
        <w:instrText xml:space="preserve"> REF _Ref67393645 \r \h </w:instrText>
      </w:r>
      <w:r w:rsidR="00F31C7A">
        <w:fldChar w:fldCharType="separate"/>
      </w:r>
      <w:r w:rsidR="004F49F9">
        <w:t>8.4.5</w:t>
      </w:r>
      <w:r w:rsidR="00F31C7A">
        <w:fldChar w:fldCharType="end"/>
      </w:r>
      <w:r w:rsidR="00F31C7A">
        <w:t>)</w:t>
      </w:r>
      <w:r>
        <w:t>.</w:t>
      </w:r>
    </w:p>
    <w:p w14:paraId="5CD1291B" w14:textId="77777777" w:rsidR="00B75905" w:rsidRPr="00B75905" w:rsidRDefault="00B75905" w:rsidP="00B75905">
      <w:pPr>
        <w:pStyle w:val="Heading2"/>
      </w:pPr>
      <w:bookmarkStart w:id="807" w:name="_Toc84325434"/>
      <w:bookmarkStart w:id="808" w:name="_Toc127346356"/>
      <w:r w:rsidRPr="00B06E7F">
        <w:t>Level Probing Radar (LPR)</w:t>
      </w:r>
      <w:bookmarkEnd w:id="807"/>
      <w:bookmarkEnd w:id="808"/>
    </w:p>
    <w:p w14:paraId="5F22D656" w14:textId="77777777" w:rsidR="00B75905" w:rsidRPr="00CA4843" w:rsidRDefault="00B75905" w:rsidP="00B75905">
      <w:pPr>
        <w:pStyle w:val="Heading3"/>
      </w:pPr>
      <w:bookmarkStart w:id="809" w:name="_Toc84325435"/>
      <w:bookmarkStart w:id="810" w:name="_Toc127346357"/>
      <w:r w:rsidRPr="00CA4843">
        <w:t xml:space="preserve">Technical parameters of </w:t>
      </w:r>
      <w:r>
        <w:t>LPR</w:t>
      </w:r>
      <w:bookmarkEnd w:id="809"/>
      <w:bookmarkEnd w:id="810"/>
    </w:p>
    <w:p w14:paraId="56857FCD" w14:textId="3D40EDF3" w:rsidR="00B75905" w:rsidRPr="00B75905" w:rsidRDefault="00B75905" w:rsidP="00B75905">
      <w:r w:rsidRPr="00B75905">
        <w:t xml:space="preserve">For LPR altogether three potential frequency bands have been defined (see </w:t>
      </w:r>
      <w:r w:rsidR="009D5FA2">
        <w:t>section</w:t>
      </w:r>
      <w:r w:rsidRPr="00B75905">
        <w:t xml:space="preserve"> </w:t>
      </w:r>
      <w:r w:rsidR="004410DD">
        <w:rPr>
          <w:highlight w:val="yellow"/>
        </w:rPr>
        <w:fldChar w:fldCharType="begin"/>
      </w:r>
      <w:r w:rsidR="004410DD">
        <w:instrText xml:space="preserve"> REF _Ref66452152 \r \h </w:instrText>
      </w:r>
      <w:r w:rsidR="004410DD">
        <w:rPr>
          <w:highlight w:val="yellow"/>
        </w:rPr>
      </w:r>
      <w:r w:rsidR="004410DD">
        <w:rPr>
          <w:highlight w:val="yellow"/>
        </w:rPr>
        <w:fldChar w:fldCharType="separate"/>
      </w:r>
      <w:r w:rsidR="004F49F9">
        <w:t>2.2.5.2</w:t>
      </w:r>
      <w:r w:rsidR="004410DD">
        <w:rPr>
          <w:highlight w:val="yellow"/>
        </w:rPr>
        <w:fldChar w:fldCharType="end"/>
      </w:r>
      <w:r w:rsidRPr="00B75905">
        <w:t>). However, only for the two frequency bands 116 to 148</w:t>
      </w:r>
      <w:r w:rsidR="00CF4994">
        <w:t>.5</w:t>
      </w:r>
      <w:r w:rsidRPr="00B75905">
        <w:t> GHz and 231</w:t>
      </w:r>
      <w:r w:rsidR="00CF4994">
        <w:t>.5</w:t>
      </w:r>
      <w:r w:rsidRPr="00B75905">
        <w:t xml:space="preserve"> to 250 GHz allocations for Amateur Service are affected which are located within these bands (please compare the figures in </w:t>
      </w:r>
      <w:r w:rsidR="009D5FA2">
        <w:t>section</w:t>
      </w:r>
      <w:r w:rsidRPr="00B75905">
        <w:t xml:space="preserve"> </w:t>
      </w:r>
      <w:r w:rsidR="004410DD">
        <w:rPr>
          <w:highlight w:val="yellow"/>
        </w:rPr>
        <w:fldChar w:fldCharType="begin"/>
      </w:r>
      <w:r w:rsidR="004410DD">
        <w:instrText xml:space="preserve"> REF _Ref66361706 \r \h </w:instrText>
      </w:r>
      <w:r w:rsidR="004410DD">
        <w:rPr>
          <w:highlight w:val="yellow"/>
        </w:rPr>
      </w:r>
      <w:r w:rsidR="004410DD">
        <w:rPr>
          <w:highlight w:val="yellow"/>
        </w:rPr>
        <w:fldChar w:fldCharType="separate"/>
      </w:r>
      <w:r w:rsidR="004F49F9">
        <w:t>3.3</w:t>
      </w:r>
      <w:r w:rsidR="004410DD">
        <w:rPr>
          <w:highlight w:val="yellow"/>
        </w:rPr>
        <w:fldChar w:fldCharType="end"/>
      </w:r>
      <w:r w:rsidRPr="00B75905">
        <w:t>). Consequently, these two bands have been investigated in single-entry studies. In these studies the individually required separation distance (</w:t>
      </w:r>
      <w:r w:rsidR="009D5FA2">
        <w:t>section</w:t>
      </w:r>
      <w:r w:rsidRPr="00B75905">
        <w:t xml:space="preserve"> </w:t>
      </w:r>
      <w:r w:rsidR="004410DD">
        <w:rPr>
          <w:highlight w:val="yellow"/>
        </w:rPr>
        <w:fldChar w:fldCharType="begin"/>
      </w:r>
      <w:r w:rsidR="004410DD">
        <w:instrText xml:space="preserve"> REF _Ref15293384 \r \h </w:instrText>
      </w:r>
      <w:r w:rsidR="004410DD">
        <w:rPr>
          <w:highlight w:val="yellow"/>
        </w:rPr>
      </w:r>
      <w:r w:rsidR="004410DD">
        <w:rPr>
          <w:highlight w:val="yellow"/>
        </w:rPr>
        <w:fldChar w:fldCharType="separate"/>
      </w:r>
      <w:r w:rsidR="004F49F9">
        <w:t>3.4.2</w:t>
      </w:r>
      <w:r w:rsidR="004410DD">
        <w:rPr>
          <w:highlight w:val="yellow"/>
        </w:rPr>
        <w:fldChar w:fldCharType="end"/>
      </w:r>
      <w:r w:rsidRPr="00B75905">
        <w:t>) is determined by means of the technical parameters (</w:t>
      </w:r>
      <w:r w:rsidR="009D5FA2">
        <w:t>section</w:t>
      </w:r>
      <w:r w:rsidRPr="00B75905">
        <w:t xml:space="preserve"> </w:t>
      </w:r>
      <w:r w:rsidR="004410DD">
        <w:rPr>
          <w:highlight w:val="yellow"/>
        </w:rPr>
        <w:fldChar w:fldCharType="begin"/>
      </w:r>
      <w:r w:rsidR="004410DD">
        <w:instrText xml:space="preserve"> REF _Ref20319451 \r \h </w:instrText>
      </w:r>
      <w:r w:rsidR="004410DD">
        <w:rPr>
          <w:highlight w:val="yellow"/>
        </w:rPr>
      </w:r>
      <w:r w:rsidR="004410DD">
        <w:rPr>
          <w:highlight w:val="yellow"/>
        </w:rPr>
        <w:fldChar w:fldCharType="separate"/>
      </w:r>
      <w:r w:rsidR="004F49F9">
        <w:t>2.2.5.3</w:t>
      </w:r>
      <w:r w:rsidR="004410DD">
        <w:rPr>
          <w:highlight w:val="yellow"/>
        </w:rPr>
        <w:fldChar w:fldCharType="end"/>
      </w:r>
      <w:r w:rsidRPr="00B75905">
        <w:t>), the antenna data (</w:t>
      </w:r>
      <w:r w:rsidR="009D5FA2">
        <w:t>section</w:t>
      </w:r>
      <w:r w:rsidRPr="00B75905">
        <w:t xml:space="preserve"> </w:t>
      </w:r>
      <w:r w:rsidR="004410DD">
        <w:rPr>
          <w:highlight w:val="yellow"/>
        </w:rPr>
        <w:fldChar w:fldCharType="begin"/>
      </w:r>
      <w:r w:rsidR="004410DD">
        <w:instrText xml:space="preserve"> REF _Ref20470811 \r \h </w:instrText>
      </w:r>
      <w:r w:rsidR="004410DD">
        <w:rPr>
          <w:highlight w:val="yellow"/>
        </w:rPr>
      </w:r>
      <w:r w:rsidR="004410DD">
        <w:rPr>
          <w:highlight w:val="yellow"/>
        </w:rPr>
        <w:fldChar w:fldCharType="separate"/>
      </w:r>
      <w:r w:rsidR="004F49F9">
        <w:t>2.2.5.4</w:t>
      </w:r>
      <w:r w:rsidR="004410DD">
        <w:rPr>
          <w:highlight w:val="yellow"/>
        </w:rPr>
        <w:fldChar w:fldCharType="end"/>
      </w:r>
      <w:r w:rsidRPr="00B75905">
        <w:t>), the defined interference scenarios (</w:t>
      </w:r>
      <w:r w:rsidR="009D5FA2">
        <w:t>section</w:t>
      </w:r>
      <w:r w:rsidRPr="00B75905">
        <w:t xml:space="preserve"> </w:t>
      </w:r>
      <w:r w:rsidR="004410DD">
        <w:rPr>
          <w:highlight w:val="yellow"/>
        </w:rPr>
        <w:fldChar w:fldCharType="begin"/>
      </w:r>
      <w:r w:rsidR="004410DD">
        <w:instrText xml:space="preserve"> REF _Ref36548155 \r \h </w:instrText>
      </w:r>
      <w:r w:rsidR="004410DD">
        <w:rPr>
          <w:highlight w:val="yellow"/>
        </w:rPr>
      </w:r>
      <w:r w:rsidR="004410DD">
        <w:rPr>
          <w:highlight w:val="yellow"/>
        </w:rPr>
        <w:fldChar w:fldCharType="separate"/>
      </w:r>
      <w:r w:rsidR="004F49F9">
        <w:t>2.2.5.6</w:t>
      </w:r>
      <w:r w:rsidR="004410DD">
        <w:rPr>
          <w:highlight w:val="yellow"/>
        </w:rPr>
        <w:fldChar w:fldCharType="end"/>
      </w:r>
      <w:r w:rsidRPr="00B75905">
        <w:t>) and the protection requirements for Amateur Service (</w:t>
      </w:r>
      <w:r w:rsidR="009D5FA2">
        <w:t>section</w:t>
      </w:r>
      <w:r w:rsidRPr="00B75905">
        <w:t xml:space="preserve"> </w:t>
      </w:r>
      <w:r w:rsidR="004410DD">
        <w:rPr>
          <w:highlight w:val="yellow"/>
        </w:rPr>
        <w:fldChar w:fldCharType="begin"/>
      </w:r>
      <w:r w:rsidR="004410DD">
        <w:instrText xml:space="preserve"> REF _Ref67243293 \r \h </w:instrText>
      </w:r>
      <w:r w:rsidR="004410DD">
        <w:rPr>
          <w:highlight w:val="yellow"/>
        </w:rPr>
      </w:r>
      <w:r w:rsidR="004410DD">
        <w:rPr>
          <w:highlight w:val="yellow"/>
        </w:rPr>
        <w:fldChar w:fldCharType="separate"/>
      </w:r>
      <w:r w:rsidR="004F49F9">
        <w:t>3.5.5</w:t>
      </w:r>
      <w:r w:rsidR="004410DD">
        <w:rPr>
          <w:highlight w:val="yellow"/>
        </w:rPr>
        <w:fldChar w:fldCharType="end"/>
      </w:r>
      <w:r w:rsidRPr="00B75905">
        <w:t xml:space="preserve">). The exact calculations can be found in an Excel-spreadsheet which is attached to this </w:t>
      </w:r>
      <w:hyperlink r:id="rId174" w:history="1">
        <w:r w:rsidR="006B1E55">
          <w:rPr>
            <w:rStyle w:val="Hyperlink"/>
          </w:rPr>
          <w:t>Report</w:t>
        </w:r>
      </w:hyperlink>
      <w:r w:rsidRPr="00B75905">
        <w:t>.</w:t>
      </w:r>
    </w:p>
    <w:p w14:paraId="5A84BE27" w14:textId="7D644E3D" w:rsidR="00B75905" w:rsidRPr="00B75905" w:rsidRDefault="00B75905" w:rsidP="00B75905">
      <w:r w:rsidRPr="00B75905">
        <w:t>The following technical parameters of the LPR application (</w:t>
      </w:r>
      <w:r w:rsidR="009D5FA2">
        <w:t>section</w:t>
      </w:r>
      <w:r w:rsidRPr="00B75905">
        <w:t xml:space="preserve"> </w:t>
      </w:r>
      <w:r w:rsidR="004410DD">
        <w:rPr>
          <w:highlight w:val="yellow"/>
        </w:rPr>
        <w:fldChar w:fldCharType="begin"/>
      </w:r>
      <w:r w:rsidR="004410DD">
        <w:instrText xml:space="preserve"> REF _Ref20319451 \r \h </w:instrText>
      </w:r>
      <w:r w:rsidR="004410DD">
        <w:rPr>
          <w:highlight w:val="yellow"/>
        </w:rPr>
      </w:r>
      <w:r w:rsidR="004410DD">
        <w:rPr>
          <w:highlight w:val="yellow"/>
        </w:rPr>
        <w:fldChar w:fldCharType="separate"/>
      </w:r>
      <w:r w:rsidR="004F49F9">
        <w:t>2.2.5.3</w:t>
      </w:r>
      <w:r w:rsidR="004410DD">
        <w:rPr>
          <w:highlight w:val="yellow"/>
        </w:rPr>
        <w:fldChar w:fldCharType="end"/>
      </w:r>
      <w:r w:rsidRPr="00B75905">
        <w:t>) have been used in the studies in the different frequency ranges.</w:t>
      </w:r>
    </w:p>
    <w:p w14:paraId="317FC07A" w14:textId="6A0A97B1" w:rsidR="00B75905" w:rsidRDefault="005C16E3" w:rsidP="00B75905">
      <w:pPr>
        <w:pStyle w:val="Caption"/>
        <w:rPr>
          <w:rStyle w:val="ECCParagraph"/>
        </w:rPr>
      </w:pPr>
      <w:r w:rsidRPr="00477961">
        <w:t>Table </w:t>
      </w:r>
      <w:r>
        <w:fldChar w:fldCharType="begin"/>
      </w:r>
      <w:r>
        <w:instrText>SEQ Table \* ARABIC</w:instrText>
      </w:r>
      <w:r>
        <w:fldChar w:fldCharType="separate"/>
      </w:r>
      <w:r w:rsidR="004F49F9">
        <w:rPr>
          <w:noProof/>
        </w:rPr>
        <w:t>116</w:t>
      </w:r>
      <w:r>
        <w:fldChar w:fldCharType="end"/>
      </w:r>
      <w:r w:rsidR="00B75905">
        <w:t>: Technical parameters of LPR used for the conducted studies in the different frequency bands</w:t>
      </w:r>
    </w:p>
    <w:tbl>
      <w:tblPr>
        <w:tblStyle w:val="ECCTable-redheader"/>
        <w:tblW w:w="9407" w:type="dxa"/>
        <w:tblInd w:w="0" w:type="dxa"/>
        <w:tblLook w:val="04A0" w:firstRow="1" w:lastRow="0" w:firstColumn="1" w:lastColumn="0" w:noHBand="0" w:noVBand="1"/>
      </w:tblPr>
      <w:tblGrid>
        <w:gridCol w:w="1838"/>
        <w:gridCol w:w="1569"/>
        <w:gridCol w:w="1513"/>
        <w:gridCol w:w="1767"/>
        <w:gridCol w:w="1360"/>
        <w:gridCol w:w="1360"/>
      </w:tblGrid>
      <w:tr w:rsidR="00906950" w:rsidRPr="00566944" w14:paraId="4B6A8815" w14:textId="77777777" w:rsidTr="000533C8">
        <w:trPr>
          <w:cnfStyle w:val="100000000000" w:firstRow="1" w:lastRow="0" w:firstColumn="0" w:lastColumn="0" w:oddVBand="0" w:evenVBand="0" w:oddHBand="0" w:evenHBand="0" w:firstRowFirstColumn="0" w:firstRowLastColumn="0" w:lastRowFirstColumn="0" w:lastRowLastColumn="0"/>
        </w:trPr>
        <w:tc>
          <w:tcPr>
            <w:tcW w:w="1838" w:type="dxa"/>
          </w:tcPr>
          <w:p w14:paraId="0D07C7CA" w14:textId="77777777" w:rsidR="00906950" w:rsidRPr="00906950" w:rsidRDefault="00906950" w:rsidP="00876039">
            <w:pPr>
              <w:pStyle w:val="ECCTableHeaderwhitefont"/>
            </w:pPr>
            <w:r w:rsidRPr="00906950">
              <w:t>Investigated frequency range</w:t>
            </w:r>
          </w:p>
        </w:tc>
        <w:tc>
          <w:tcPr>
            <w:tcW w:w="1569" w:type="dxa"/>
          </w:tcPr>
          <w:p w14:paraId="7E883E16" w14:textId="77777777" w:rsidR="00906950" w:rsidRPr="00906950" w:rsidRDefault="00906950" w:rsidP="000A69BD">
            <w:pPr>
              <w:pStyle w:val="ECCTableHeaderwhitefont"/>
            </w:pPr>
            <w:r w:rsidRPr="00906950">
              <w:t>Assumed modulation bandwidth</w:t>
            </w:r>
          </w:p>
        </w:tc>
        <w:tc>
          <w:tcPr>
            <w:tcW w:w="1513" w:type="dxa"/>
          </w:tcPr>
          <w:p w14:paraId="4BC2CA8D" w14:textId="77777777" w:rsidR="00906950" w:rsidRPr="00906950" w:rsidRDefault="00906950" w:rsidP="000A69BD">
            <w:pPr>
              <w:pStyle w:val="ECCTableHeaderwhitefont"/>
            </w:pPr>
            <w:r w:rsidRPr="00906950">
              <w:t>Duty cycle</w:t>
            </w:r>
          </w:p>
        </w:tc>
        <w:tc>
          <w:tcPr>
            <w:tcW w:w="1767" w:type="dxa"/>
          </w:tcPr>
          <w:p w14:paraId="0AE1671B" w14:textId="77777777" w:rsidR="00906950" w:rsidRPr="00906950" w:rsidRDefault="00906950" w:rsidP="000A69BD">
            <w:pPr>
              <w:pStyle w:val="ECCTableHeaderwhitefont"/>
            </w:pPr>
            <w:r w:rsidRPr="00906950">
              <w:t xml:space="preserve">Mean e.i.r.p. spectral density </w:t>
            </w:r>
            <w:r w:rsidR="00EF12C9">
              <w:t>(Note 2)</w:t>
            </w:r>
          </w:p>
        </w:tc>
        <w:tc>
          <w:tcPr>
            <w:tcW w:w="1360" w:type="dxa"/>
          </w:tcPr>
          <w:p w14:paraId="043D2F29" w14:textId="77777777" w:rsidR="00906950" w:rsidRPr="00906950" w:rsidRDefault="00906950" w:rsidP="000A69BD">
            <w:pPr>
              <w:pStyle w:val="ECCTableHeaderwhitefont"/>
            </w:pPr>
            <w:r w:rsidRPr="00906950">
              <w:t>Peak e.i.r.p.</w:t>
            </w:r>
          </w:p>
        </w:tc>
        <w:tc>
          <w:tcPr>
            <w:tcW w:w="1360" w:type="dxa"/>
          </w:tcPr>
          <w:p w14:paraId="3A46DBC9" w14:textId="77777777" w:rsidR="00906950" w:rsidRPr="00906950" w:rsidRDefault="00906950" w:rsidP="000A69BD">
            <w:pPr>
              <w:pStyle w:val="ECCTableHeaderwhitefont"/>
            </w:pPr>
            <w:r w:rsidRPr="00906950">
              <w:t>OOB attenuation (Note 1)</w:t>
            </w:r>
          </w:p>
        </w:tc>
      </w:tr>
      <w:tr w:rsidR="000533C8" w:rsidRPr="00C53FB5" w14:paraId="74C93D38" w14:textId="77777777" w:rsidTr="000533C8">
        <w:tc>
          <w:tcPr>
            <w:tcW w:w="1838" w:type="dxa"/>
          </w:tcPr>
          <w:p w14:paraId="50F37434" w14:textId="77777777" w:rsidR="000533C8" w:rsidRPr="000533C8" w:rsidRDefault="000533C8" w:rsidP="000A69BD">
            <w:pPr>
              <w:pStyle w:val="ECCTabletext"/>
              <w:jc w:val="left"/>
            </w:pPr>
            <w:r w:rsidRPr="00C53FB5">
              <w:t xml:space="preserve">116 to </w:t>
            </w:r>
            <w:r w:rsidRPr="000533C8">
              <w:t>148</w:t>
            </w:r>
            <w:r w:rsidR="00CF4994">
              <w:t>.5</w:t>
            </w:r>
            <w:r w:rsidRPr="000533C8">
              <w:t> GHz</w:t>
            </w:r>
          </w:p>
        </w:tc>
        <w:tc>
          <w:tcPr>
            <w:tcW w:w="1569" w:type="dxa"/>
          </w:tcPr>
          <w:p w14:paraId="26BDE248" w14:textId="77777777" w:rsidR="000533C8" w:rsidRPr="000533C8" w:rsidRDefault="000533C8" w:rsidP="000A69BD">
            <w:pPr>
              <w:pStyle w:val="ECCTabletext"/>
              <w:jc w:val="left"/>
            </w:pPr>
            <w:r>
              <w:t>1</w:t>
            </w:r>
            <w:r w:rsidR="00CF4994">
              <w:t>.6</w:t>
            </w:r>
            <w:r>
              <w:t> GHz</w:t>
            </w:r>
          </w:p>
        </w:tc>
        <w:tc>
          <w:tcPr>
            <w:tcW w:w="1513" w:type="dxa"/>
          </w:tcPr>
          <w:p w14:paraId="5D9EB381" w14:textId="1A2F1FFE" w:rsidR="000533C8" w:rsidRPr="000533C8" w:rsidRDefault="000533C8" w:rsidP="000A69BD">
            <w:pPr>
              <w:pStyle w:val="ECCTabletext"/>
              <w:jc w:val="left"/>
            </w:pPr>
            <w:r>
              <w:t>5</w:t>
            </w:r>
            <w:r w:rsidR="00F800A2">
              <w:t>%</w:t>
            </w:r>
          </w:p>
        </w:tc>
        <w:tc>
          <w:tcPr>
            <w:tcW w:w="1767" w:type="dxa"/>
          </w:tcPr>
          <w:p w14:paraId="2C59436A" w14:textId="77777777" w:rsidR="000533C8" w:rsidRPr="000533C8" w:rsidRDefault="000533C8" w:rsidP="000A69BD">
            <w:pPr>
              <w:pStyle w:val="ECCTabletext"/>
              <w:jc w:val="left"/>
            </w:pPr>
            <w:r>
              <w:t>-8 dBm/MHz</w:t>
            </w:r>
          </w:p>
        </w:tc>
        <w:tc>
          <w:tcPr>
            <w:tcW w:w="1360" w:type="dxa"/>
          </w:tcPr>
          <w:p w14:paraId="777C1465" w14:textId="77777777" w:rsidR="000533C8" w:rsidRPr="000533C8" w:rsidRDefault="000533C8" w:rsidP="000A69BD">
            <w:pPr>
              <w:pStyle w:val="ECCTabletext"/>
              <w:jc w:val="left"/>
            </w:pPr>
            <w:r>
              <w:t>3</w:t>
            </w:r>
            <w:r w:rsidR="006C5DAB">
              <w:t>7</w:t>
            </w:r>
            <w:r>
              <w:t> dBm</w:t>
            </w:r>
          </w:p>
        </w:tc>
        <w:tc>
          <w:tcPr>
            <w:tcW w:w="1360" w:type="dxa"/>
          </w:tcPr>
          <w:p w14:paraId="6E274D31" w14:textId="77777777" w:rsidR="000533C8" w:rsidRPr="000533C8" w:rsidRDefault="000533C8" w:rsidP="000A69BD">
            <w:pPr>
              <w:pStyle w:val="ECCTabletext"/>
              <w:jc w:val="left"/>
            </w:pPr>
            <w:r>
              <w:t>20</w:t>
            </w:r>
            <w:r w:rsidRPr="000533C8">
              <w:t> dB</w:t>
            </w:r>
          </w:p>
        </w:tc>
      </w:tr>
      <w:tr w:rsidR="000533C8" w:rsidRPr="00C53FB5" w14:paraId="1343D0DA" w14:textId="77777777" w:rsidTr="000533C8">
        <w:tc>
          <w:tcPr>
            <w:tcW w:w="1838" w:type="dxa"/>
          </w:tcPr>
          <w:p w14:paraId="673E8740" w14:textId="77777777" w:rsidR="000533C8" w:rsidRPr="000533C8" w:rsidRDefault="000533C8" w:rsidP="000A69BD">
            <w:pPr>
              <w:pStyle w:val="ECCTabletext"/>
              <w:jc w:val="left"/>
            </w:pPr>
            <w:r>
              <w:t>231</w:t>
            </w:r>
            <w:r w:rsidR="00CF4994">
              <w:t>.5</w:t>
            </w:r>
            <w:r w:rsidRPr="000533C8">
              <w:t xml:space="preserve"> to 250 GHz</w:t>
            </w:r>
          </w:p>
        </w:tc>
        <w:tc>
          <w:tcPr>
            <w:tcW w:w="1569" w:type="dxa"/>
          </w:tcPr>
          <w:p w14:paraId="64D79078" w14:textId="77777777" w:rsidR="000533C8" w:rsidRPr="000533C8" w:rsidRDefault="000533C8" w:rsidP="000A69BD">
            <w:pPr>
              <w:pStyle w:val="ECCTabletext"/>
              <w:jc w:val="left"/>
            </w:pPr>
            <w:r>
              <w:t>1 GHz</w:t>
            </w:r>
          </w:p>
        </w:tc>
        <w:tc>
          <w:tcPr>
            <w:tcW w:w="1513" w:type="dxa"/>
          </w:tcPr>
          <w:p w14:paraId="3CCE2CDA" w14:textId="1CEB1E6E" w:rsidR="000533C8" w:rsidRPr="000533C8" w:rsidRDefault="000533C8" w:rsidP="000A69BD">
            <w:pPr>
              <w:pStyle w:val="ECCTabletext"/>
              <w:jc w:val="left"/>
            </w:pPr>
            <w:r>
              <w:t>5</w:t>
            </w:r>
            <w:r w:rsidR="00F800A2">
              <w:t>%</w:t>
            </w:r>
          </w:p>
        </w:tc>
        <w:tc>
          <w:tcPr>
            <w:tcW w:w="1767" w:type="dxa"/>
          </w:tcPr>
          <w:p w14:paraId="4C9B7831" w14:textId="77777777" w:rsidR="000533C8" w:rsidRPr="000533C8" w:rsidRDefault="000533C8" w:rsidP="000A69BD">
            <w:pPr>
              <w:pStyle w:val="ECCTabletext"/>
              <w:jc w:val="left"/>
            </w:pPr>
            <w:r>
              <w:t>-</w:t>
            </w:r>
            <w:r w:rsidR="006C5DAB">
              <w:t>6</w:t>
            </w:r>
            <w:r>
              <w:t> dBm/MHz</w:t>
            </w:r>
          </w:p>
        </w:tc>
        <w:tc>
          <w:tcPr>
            <w:tcW w:w="1360" w:type="dxa"/>
          </w:tcPr>
          <w:p w14:paraId="035ED735" w14:textId="77777777" w:rsidR="000533C8" w:rsidRPr="000533C8" w:rsidRDefault="000533C8" w:rsidP="000A69BD">
            <w:pPr>
              <w:pStyle w:val="ECCTabletext"/>
              <w:jc w:val="left"/>
            </w:pPr>
            <w:r>
              <w:t>3</w:t>
            </w:r>
            <w:r w:rsidR="006C5DAB">
              <w:t>7</w:t>
            </w:r>
            <w:r>
              <w:t> dBm</w:t>
            </w:r>
          </w:p>
        </w:tc>
        <w:tc>
          <w:tcPr>
            <w:tcW w:w="1360" w:type="dxa"/>
          </w:tcPr>
          <w:p w14:paraId="6872B2D7" w14:textId="77777777" w:rsidR="000533C8" w:rsidRPr="000533C8" w:rsidRDefault="000533C8" w:rsidP="000A69BD">
            <w:pPr>
              <w:pStyle w:val="ECCTabletext"/>
              <w:jc w:val="left"/>
            </w:pPr>
            <w:r>
              <w:t>20 dB</w:t>
            </w:r>
          </w:p>
        </w:tc>
      </w:tr>
      <w:tr w:rsidR="00200700" w:rsidRPr="00C53FB5" w14:paraId="79F65FE5" w14:textId="77777777" w:rsidTr="00200700">
        <w:tc>
          <w:tcPr>
            <w:tcW w:w="9407" w:type="dxa"/>
            <w:gridSpan w:val="6"/>
          </w:tcPr>
          <w:p w14:paraId="2BB00081" w14:textId="77777777" w:rsidR="00200700" w:rsidRPr="00200700" w:rsidRDefault="00200700" w:rsidP="00464AE0">
            <w:pPr>
              <w:pStyle w:val="ECCTablenote"/>
            </w:pPr>
            <w:r>
              <w:t>Note 1</w:t>
            </w:r>
            <w:r w:rsidRPr="00200700">
              <w:t>: Assumed out-of-band attenuation of the LPR-signal in adjacent bands allocated to Amateur.</w:t>
            </w:r>
          </w:p>
          <w:p w14:paraId="1A102F61" w14:textId="58A1632B" w:rsidR="00200700" w:rsidRDefault="00200700" w:rsidP="00464AE0">
            <w:pPr>
              <w:pStyle w:val="ECCTablenote"/>
            </w:pPr>
            <w:r w:rsidRPr="00EF12C9">
              <w:t>Note 2: The duty cycle of 5</w:t>
            </w:r>
            <w:r w:rsidR="00F800A2">
              <w:t>%</w:t>
            </w:r>
            <w:r w:rsidRPr="00EF12C9">
              <w:t xml:space="preserve"> is already considered in this mean e.i.r.p. spectral density value. Consequently, the given mean </w:t>
            </w:r>
            <w:r w:rsidRPr="00200700">
              <w:t>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7BC9D537" w14:textId="77777777" w:rsidR="00B75905" w:rsidRDefault="00B75905" w:rsidP="00B75905">
      <w:pPr>
        <w:pStyle w:val="Heading3"/>
      </w:pPr>
      <w:bookmarkStart w:id="811" w:name="_Ref67346998"/>
      <w:bookmarkStart w:id="812" w:name="_Toc84325436"/>
      <w:bookmarkStart w:id="813" w:name="_Toc127346358"/>
      <w:r>
        <w:t>Results</w:t>
      </w:r>
      <w:bookmarkEnd w:id="811"/>
      <w:bookmarkEnd w:id="812"/>
      <w:bookmarkEnd w:id="813"/>
    </w:p>
    <w:p w14:paraId="09059718" w14:textId="67AB8A12" w:rsidR="00B75905" w:rsidRPr="00B75905" w:rsidRDefault="00BB3344" w:rsidP="00B75905">
      <w:r>
        <w:fldChar w:fldCharType="begin"/>
      </w:r>
      <w:r>
        <w:instrText xml:space="preserve"> REF _Ref67243400 \h </w:instrText>
      </w:r>
      <w:r>
        <w:fldChar w:fldCharType="separate"/>
      </w:r>
      <w:r w:rsidR="0041125F" w:rsidRPr="00477961">
        <w:t>Table </w:t>
      </w:r>
      <w:r w:rsidR="0041125F">
        <w:rPr>
          <w:noProof/>
        </w:rPr>
        <w:t>117</w:t>
      </w:r>
      <w:r>
        <w:fldChar w:fldCharType="end"/>
      </w:r>
      <w:r>
        <w:t xml:space="preserve"> </w:t>
      </w:r>
      <w:r w:rsidR="00B75905" w:rsidRPr="00B75905">
        <w:t>shows the single-entry wo</w:t>
      </w:r>
      <w:r w:rsidR="007B5AAD">
        <w:t>r</w:t>
      </w:r>
      <w:r w:rsidR="00B75905" w:rsidRPr="00B75905">
        <w:t>st-case results for LPR, e.g. the largest separation distances for the individual frequency ranges and Amateur victim receivers.</w:t>
      </w:r>
    </w:p>
    <w:p w14:paraId="36822DCA" w14:textId="42BB89BA" w:rsidR="00B75905" w:rsidRPr="00B75905" w:rsidRDefault="00BB3344" w:rsidP="00B75905">
      <w:pPr>
        <w:pStyle w:val="Caption"/>
      </w:pPr>
      <w:bookmarkStart w:id="814" w:name="_Ref67243400"/>
      <w:r w:rsidRPr="00477961">
        <w:t>Table </w:t>
      </w:r>
      <w:r>
        <w:fldChar w:fldCharType="begin"/>
      </w:r>
      <w:r>
        <w:instrText>SEQ Table \* ARABIC</w:instrText>
      </w:r>
      <w:r>
        <w:fldChar w:fldCharType="separate"/>
      </w:r>
      <w:r w:rsidR="004F49F9">
        <w:rPr>
          <w:noProof/>
        </w:rPr>
        <w:t>117</w:t>
      </w:r>
      <w:r>
        <w:fldChar w:fldCharType="end"/>
      </w:r>
      <w:bookmarkEnd w:id="814"/>
      <w:r w:rsidR="00B75905" w:rsidRPr="00B75905">
        <w:t>: Required separation distances determined in a single-entry study for level probing radar (LPR)</w:t>
      </w:r>
    </w:p>
    <w:tbl>
      <w:tblPr>
        <w:tblStyle w:val="ECCTable-redheader"/>
        <w:tblW w:w="0" w:type="auto"/>
        <w:tblInd w:w="0" w:type="dxa"/>
        <w:tblLook w:val="04A0" w:firstRow="1" w:lastRow="0" w:firstColumn="1" w:lastColumn="0" w:noHBand="0" w:noVBand="1"/>
      </w:tblPr>
      <w:tblGrid>
        <w:gridCol w:w="2122"/>
        <w:gridCol w:w="2976"/>
        <w:gridCol w:w="2977"/>
      </w:tblGrid>
      <w:tr w:rsidR="00B75905" w14:paraId="74E574FD" w14:textId="77777777" w:rsidTr="000533C8">
        <w:trPr>
          <w:cnfStyle w:val="100000000000" w:firstRow="1" w:lastRow="0" w:firstColumn="0" w:lastColumn="0" w:oddVBand="0" w:evenVBand="0" w:oddHBand="0" w:evenHBand="0" w:firstRowFirstColumn="0" w:firstRowLastColumn="0" w:lastRowFirstColumn="0" w:lastRowLastColumn="0"/>
        </w:trPr>
        <w:tc>
          <w:tcPr>
            <w:tcW w:w="2122" w:type="dxa"/>
          </w:tcPr>
          <w:p w14:paraId="3B236F75" w14:textId="77777777" w:rsidR="00B75905" w:rsidRPr="00B75905" w:rsidRDefault="00B75905" w:rsidP="00876039">
            <w:pPr>
              <w:pStyle w:val="ECCTableHeaderwhitefont"/>
            </w:pPr>
            <w:r w:rsidRPr="00B75905">
              <w:t>Investigated Frequency range</w:t>
            </w:r>
          </w:p>
        </w:tc>
        <w:tc>
          <w:tcPr>
            <w:tcW w:w="2976" w:type="dxa"/>
          </w:tcPr>
          <w:p w14:paraId="5977A382" w14:textId="77777777" w:rsidR="00B75905" w:rsidRPr="00B75905" w:rsidRDefault="00B75905" w:rsidP="000A69BD">
            <w:pPr>
              <w:pStyle w:val="ECCTableHeaderwhitefont"/>
            </w:pPr>
            <w:r w:rsidRPr="00B75905">
              <w:t>Allocated band for Amateur Service</w:t>
            </w:r>
          </w:p>
        </w:tc>
        <w:tc>
          <w:tcPr>
            <w:tcW w:w="2977" w:type="dxa"/>
          </w:tcPr>
          <w:p w14:paraId="5DC8A16B" w14:textId="77777777" w:rsidR="00B75905" w:rsidRPr="00B75905" w:rsidRDefault="00B75905" w:rsidP="000A69BD">
            <w:pPr>
              <w:pStyle w:val="ECCTableHeaderwhitefont"/>
            </w:pPr>
            <w:r w:rsidRPr="00B75905">
              <w:t>Required separation distance for all Amateur Services</w:t>
            </w:r>
          </w:p>
        </w:tc>
      </w:tr>
      <w:tr w:rsidR="00B75905" w14:paraId="71D56CDB" w14:textId="77777777" w:rsidTr="000533C8">
        <w:tc>
          <w:tcPr>
            <w:tcW w:w="2122" w:type="dxa"/>
            <w:vMerge w:val="restart"/>
          </w:tcPr>
          <w:p w14:paraId="21C5F610" w14:textId="77777777" w:rsidR="00B75905" w:rsidRPr="00B75905" w:rsidRDefault="00B75905" w:rsidP="000A69BD">
            <w:pPr>
              <w:pStyle w:val="ECCTabletext"/>
              <w:jc w:val="left"/>
            </w:pPr>
            <w:r w:rsidRPr="00C53FB5">
              <w:t xml:space="preserve">116 to </w:t>
            </w:r>
            <w:r w:rsidRPr="00B75905">
              <w:t>148</w:t>
            </w:r>
            <w:r w:rsidR="00CF4994">
              <w:t>.5</w:t>
            </w:r>
            <w:r w:rsidRPr="00B75905">
              <w:t> GHz</w:t>
            </w:r>
          </w:p>
        </w:tc>
        <w:tc>
          <w:tcPr>
            <w:tcW w:w="2976" w:type="dxa"/>
          </w:tcPr>
          <w:p w14:paraId="427D89DF" w14:textId="77777777" w:rsidR="00B75905" w:rsidRPr="00B75905" w:rsidRDefault="00B75905" w:rsidP="000A69BD">
            <w:pPr>
              <w:pStyle w:val="ECCTabletext"/>
              <w:jc w:val="left"/>
            </w:pPr>
            <w:r w:rsidRPr="00C53FB5">
              <w:t>12</w:t>
            </w:r>
            <w:r w:rsidRPr="00B75905">
              <w:t>2</w:t>
            </w:r>
            <w:r w:rsidR="00CF4994">
              <w:t>.2</w:t>
            </w:r>
            <w:r w:rsidRPr="00B75905">
              <w:t>5 to 123 GHz</w:t>
            </w:r>
            <w:r w:rsidR="000533C8">
              <w:t xml:space="preserve"> (In-band)</w:t>
            </w:r>
          </w:p>
        </w:tc>
        <w:tc>
          <w:tcPr>
            <w:tcW w:w="2977" w:type="dxa"/>
          </w:tcPr>
          <w:p w14:paraId="651F037B" w14:textId="77777777" w:rsidR="00B75905" w:rsidRPr="00B75905" w:rsidRDefault="001669D0" w:rsidP="000A69BD">
            <w:pPr>
              <w:pStyle w:val="ECCTabletext"/>
              <w:jc w:val="left"/>
            </w:pPr>
            <w:r>
              <w:t>69</w:t>
            </w:r>
            <w:r w:rsidR="00B75905">
              <w:t> m</w:t>
            </w:r>
          </w:p>
        </w:tc>
      </w:tr>
      <w:tr w:rsidR="00B75905" w14:paraId="488BF4C7" w14:textId="77777777" w:rsidTr="000533C8">
        <w:tc>
          <w:tcPr>
            <w:tcW w:w="2122" w:type="dxa"/>
            <w:vMerge/>
          </w:tcPr>
          <w:p w14:paraId="23BE1255" w14:textId="77777777" w:rsidR="00B75905" w:rsidRPr="00C53FB5" w:rsidRDefault="00B75905" w:rsidP="00B75905">
            <w:pPr>
              <w:pStyle w:val="ECCTabletext"/>
            </w:pPr>
          </w:p>
        </w:tc>
        <w:tc>
          <w:tcPr>
            <w:tcW w:w="2976" w:type="dxa"/>
          </w:tcPr>
          <w:p w14:paraId="4DD21B9F" w14:textId="77777777" w:rsidR="00B75905" w:rsidRPr="00B75905" w:rsidRDefault="00B75905" w:rsidP="000A69BD">
            <w:pPr>
              <w:pStyle w:val="ECCTabletext"/>
              <w:jc w:val="left"/>
            </w:pPr>
            <w:r w:rsidRPr="00C53FB5">
              <w:t>1</w:t>
            </w:r>
            <w:r w:rsidRPr="00B75905">
              <w:t>34 to 141 GHz</w:t>
            </w:r>
            <w:r w:rsidR="000533C8">
              <w:t xml:space="preserve"> (In-band)</w:t>
            </w:r>
          </w:p>
        </w:tc>
        <w:tc>
          <w:tcPr>
            <w:tcW w:w="2977" w:type="dxa"/>
          </w:tcPr>
          <w:p w14:paraId="107A8D50" w14:textId="77777777" w:rsidR="00B75905" w:rsidRPr="00B75905" w:rsidRDefault="001669D0" w:rsidP="000A69BD">
            <w:pPr>
              <w:pStyle w:val="ECCTabletext"/>
              <w:jc w:val="left"/>
            </w:pPr>
            <w:r>
              <w:t>61</w:t>
            </w:r>
            <w:r w:rsidR="00B75905">
              <w:t> m</w:t>
            </w:r>
          </w:p>
        </w:tc>
      </w:tr>
      <w:tr w:rsidR="00B75905" w14:paraId="6E02AFB5" w14:textId="77777777" w:rsidTr="000533C8">
        <w:tc>
          <w:tcPr>
            <w:tcW w:w="2122" w:type="dxa"/>
          </w:tcPr>
          <w:p w14:paraId="3C3A5168" w14:textId="77777777" w:rsidR="00B75905" w:rsidRPr="00B75905" w:rsidRDefault="00B75905" w:rsidP="000A69BD">
            <w:pPr>
              <w:pStyle w:val="ECCTabletext"/>
              <w:jc w:val="left"/>
            </w:pPr>
            <w:r>
              <w:t>231</w:t>
            </w:r>
            <w:r w:rsidR="00CF4994">
              <w:t>.5</w:t>
            </w:r>
            <w:r>
              <w:t xml:space="preserve"> to 250 GHz</w:t>
            </w:r>
          </w:p>
        </w:tc>
        <w:tc>
          <w:tcPr>
            <w:tcW w:w="2976" w:type="dxa"/>
          </w:tcPr>
          <w:p w14:paraId="2451D7D4" w14:textId="77777777" w:rsidR="00B75905" w:rsidRPr="00B75905" w:rsidRDefault="00B75905" w:rsidP="000A69BD">
            <w:pPr>
              <w:pStyle w:val="ECCTabletext"/>
              <w:jc w:val="left"/>
            </w:pPr>
            <w:r w:rsidRPr="00C53FB5">
              <w:t xml:space="preserve">241 to </w:t>
            </w:r>
            <w:r w:rsidRPr="00B75905">
              <w:t>250 GHz</w:t>
            </w:r>
            <w:r w:rsidR="000533C8">
              <w:t xml:space="preserve"> (In-band)</w:t>
            </w:r>
          </w:p>
        </w:tc>
        <w:tc>
          <w:tcPr>
            <w:tcW w:w="2977" w:type="dxa"/>
          </w:tcPr>
          <w:p w14:paraId="72D199B5" w14:textId="77777777" w:rsidR="00B75905" w:rsidRPr="00B75905" w:rsidRDefault="001669D0" w:rsidP="000A69BD">
            <w:pPr>
              <w:pStyle w:val="ECCTabletext"/>
              <w:jc w:val="left"/>
            </w:pPr>
            <w:r>
              <w:t>2</w:t>
            </w:r>
            <w:r w:rsidR="00B75905">
              <w:t>7 m</w:t>
            </w:r>
          </w:p>
        </w:tc>
      </w:tr>
    </w:tbl>
    <w:p w14:paraId="781BB5CD" w14:textId="1ECBE185" w:rsidR="004B230C" w:rsidRDefault="004B230C" w:rsidP="004B230C">
      <w:r>
        <w:t xml:space="preserve">The conclusions drawn from these results can be found in </w:t>
      </w:r>
      <w:r w:rsidR="009D5FA2">
        <w:t>section</w:t>
      </w:r>
      <w:r w:rsidRPr="00F31C7A">
        <w:t xml:space="preserve"> </w:t>
      </w:r>
      <w:r>
        <w:fldChar w:fldCharType="begin"/>
      </w:r>
      <w:r>
        <w:instrText xml:space="preserve"> REF _Ref67393684 \r \h </w:instrText>
      </w:r>
      <w:r>
        <w:fldChar w:fldCharType="separate"/>
      </w:r>
      <w:r w:rsidR="004F49F9">
        <w:t>8.5.5</w:t>
      </w:r>
      <w:r>
        <w:fldChar w:fldCharType="end"/>
      </w:r>
      <w:r w:rsidRPr="00F31C7A">
        <w:t>.</w:t>
      </w:r>
    </w:p>
    <w:p w14:paraId="5A1A6DD6" w14:textId="77777777" w:rsidR="002F3D79" w:rsidRPr="002F3D79" w:rsidRDefault="002F3D79" w:rsidP="002F3D79">
      <w:pPr>
        <w:pStyle w:val="Heading2"/>
      </w:pPr>
      <w:bookmarkStart w:id="815" w:name="_Toc84325437"/>
      <w:bookmarkStart w:id="816" w:name="_Toc127346359"/>
      <w:r w:rsidRPr="00B06E7F">
        <w:t>Contour determination and acquisition</w:t>
      </w:r>
      <w:r w:rsidRPr="002F3D79">
        <w:t xml:space="preserve"> (CDR)</w:t>
      </w:r>
      <w:bookmarkEnd w:id="815"/>
      <w:bookmarkEnd w:id="816"/>
    </w:p>
    <w:p w14:paraId="42F48807" w14:textId="77777777" w:rsidR="002F3D79" w:rsidRDefault="002F3D79" w:rsidP="002F3D79">
      <w:pPr>
        <w:pStyle w:val="Heading3"/>
      </w:pPr>
      <w:bookmarkStart w:id="817" w:name="_Toc84325438"/>
      <w:bookmarkStart w:id="818" w:name="_Toc127346360"/>
      <w:r w:rsidRPr="00CA4843">
        <w:t xml:space="preserve">Technical parameters </w:t>
      </w:r>
      <w:r w:rsidR="000723A1">
        <w:t xml:space="preserve">of </w:t>
      </w:r>
      <w:r>
        <w:t>CDR</w:t>
      </w:r>
      <w:bookmarkEnd w:id="817"/>
      <w:bookmarkEnd w:id="818"/>
    </w:p>
    <w:p w14:paraId="3A1353DA" w14:textId="146E9137" w:rsidR="000723A1" w:rsidRPr="000723A1" w:rsidRDefault="000723A1" w:rsidP="000723A1">
      <w:r w:rsidRPr="000723A1">
        <w:t xml:space="preserve">For contour determination radar (CDR) altogether three potential frequency bands have been defined (see </w:t>
      </w:r>
      <w:r w:rsidR="009D5FA2">
        <w:t>section</w:t>
      </w:r>
      <w:r w:rsidRPr="000723A1">
        <w:t xml:space="preserve"> </w:t>
      </w:r>
      <w:r w:rsidR="00786422">
        <w:rPr>
          <w:highlight w:val="yellow"/>
        </w:rPr>
        <w:fldChar w:fldCharType="begin"/>
      </w:r>
      <w:r w:rsidR="00786422">
        <w:instrText xml:space="preserve"> REF _Ref66452422 \r \h </w:instrText>
      </w:r>
      <w:r w:rsidR="00786422">
        <w:rPr>
          <w:highlight w:val="yellow"/>
        </w:rPr>
      </w:r>
      <w:r w:rsidR="00786422">
        <w:rPr>
          <w:highlight w:val="yellow"/>
        </w:rPr>
        <w:fldChar w:fldCharType="separate"/>
      </w:r>
      <w:r w:rsidR="004F49F9">
        <w:t>2.2.6.2</w:t>
      </w:r>
      <w:r w:rsidR="00786422">
        <w:rPr>
          <w:highlight w:val="yellow"/>
        </w:rPr>
        <w:fldChar w:fldCharType="end"/>
      </w:r>
      <w:r w:rsidRPr="000723A1">
        <w:t>). However, only for the two frequency bands 116 to 148</w:t>
      </w:r>
      <w:r w:rsidR="00CF4994">
        <w:t>.5</w:t>
      </w:r>
      <w:r w:rsidRPr="000723A1">
        <w:t> GHz and 231</w:t>
      </w:r>
      <w:r w:rsidR="00CF4994">
        <w:t>.5</w:t>
      </w:r>
      <w:r w:rsidRPr="000723A1">
        <w:t xml:space="preserve"> to 250 GHz allocations for Amateur are affected within these bands. Consequently, these two bands have been investigated in single-entry studies. In these studies the individual required interference range (</w:t>
      </w:r>
      <w:r w:rsidR="009D5FA2">
        <w:t>section</w:t>
      </w:r>
      <w:r w:rsidRPr="000723A1">
        <w:t xml:space="preserve"> </w:t>
      </w:r>
      <w:r w:rsidR="00786422">
        <w:rPr>
          <w:highlight w:val="yellow"/>
        </w:rPr>
        <w:fldChar w:fldCharType="begin"/>
      </w:r>
      <w:r w:rsidR="00786422">
        <w:instrText xml:space="preserve"> REF _Ref15293384 \r \h </w:instrText>
      </w:r>
      <w:r w:rsidR="00786422">
        <w:rPr>
          <w:highlight w:val="yellow"/>
        </w:rPr>
      </w:r>
      <w:r w:rsidR="00786422">
        <w:rPr>
          <w:highlight w:val="yellow"/>
        </w:rPr>
        <w:fldChar w:fldCharType="separate"/>
      </w:r>
      <w:r w:rsidR="004F49F9">
        <w:t>3.4.2</w:t>
      </w:r>
      <w:r w:rsidR="00786422">
        <w:rPr>
          <w:highlight w:val="yellow"/>
        </w:rPr>
        <w:fldChar w:fldCharType="end"/>
      </w:r>
      <w:r w:rsidRPr="000723A1">
        <w:t>) (also known as separation distance) is determined by means of the technical parameters (</w:t>
      </w:r>
      <w:r w:rsidR="009D5FA2">
        <w:t>section</w:t>
      </w:r>
      <w:r w:rsidRPr="000723A1">
        <w:t xml:space="preserve"> </w:t>
      </w:r>
      <w:r w:rsidR="00786422">
        <w:rPr>
          <w:highlight w:val="yellow"/>
        </w:rPr>
        <w:fldChar w:fldCharType="begin"/>
      </w:r>
      <w:r w:rsidR="00786422">
        <w:instrText xml:space="preserve"> REF _Ref66452422 \r \h </w:instrText>
      </w:r>
      <w:r w:rsidR="00786422">
        <w:rPr>
          <w:highlight w:val="yellow"/>
        </w:rPr>
      </w:r>
      <w:r w:rsidR="00786422">
        <w:rPr>
          <w:highlight w:val="yellow"/>
        </w:rPr>
        <w:fldChar w:fldCharType="separate"/>
      </w:r>
      <w:r w:rsidR="004F49F9">
        <w:t>2.2.6.2</w:t>
      </w:r>
      <w:r w:rsidR="00786422">
        <w:rPr>
          <w:highlight w:val="yellow"/>
        </w:rPr>
        <w:fldChar w:fldCharType="end"/>
      </w:r>
      <w:r w:rsidRPr="000723A1">
        <w:t>), the antenna data (</w:t>
      </w:r>
      <w:r w:rsidR="009D5FA2">
        <w:t>section</w:t>
      </w:r>
      <w:r w:rsidRPr="000723A1">
        <w:t xml:space="preserve"> </w:t>
      </w:r>
      <w:r w:rsidR="00786422">
        <w:rPr>
          <w:highlight w:val="yellow"/>
        </w:rPr>
        <w:fldChar w:fldCharType="begin"/>
      </w:r>
      <w:r w:rsidR="00786422">
        <w:instrText xml:space="preserve"> REF _Ref53992426 \r \h </w:instrText>
      </w:r>
      <w:r w:rsidR="00786422">
        <w:rPr>
          <w:highlight w:val="yellow"/>
        </w:rPr>
      </w:r>
      <w:r w:rsidR="00786422">
        <w:rPr>
          <w:highlight w:val="yellow"/>
        </w:rPr>
        <w:fldChar w:fldCharType="separate"/>
      </w:r>
      <w:r w:rsidR="004F49F9">
        <w:t>2.2.6.4</w:t>
      </w:r>
      <w:r w:rsidR="00786422">
        <w:rPr>
          <w:highlight w:val="yellow"/>
        </w:rPr>
        <w:fldChar w:fldCharType="end"/>
      </w:r>
      <w:r w:rsidRPr="000723A1">
        <w:t>), the defined interference scenarios (</w:t>
      </w:r>
      <w:r w:rsidR="009D5FA2">
        <w:t>section</w:t>
      </w:r>
      <w:r w:rsidRPr="000723A1">
        <w:t xml:space="preserve"> </w:t>
      </w:r>
      <w:r w:rsidR="00786422">
        <w:rPr>
          <w:highlight w:val="yellow"/>
        </w:rPr>
        <w:fldChar w:fldCharType="begin"/>
      </w:r>
      <w:r w:rsidR="00786422">
        <w:instrText xml:space="preserve"> REF _Ref66452431 \r \h </w:instrText>
      </w:r>
      <w:r w:rsidR="00786422">
        <w:rPr>
          <w:highlight w:val="yellow"/>
        </w:rPr>
      </w:r>
      <w:r w:rsidR="00786422">
        <w:rPr>
          <w:highlight w:val="yellow"/>
        </w:rPr>
        <w:fldChar w:fldCharType="separate"/>
      </w:r>
      <w:r w:rsidR="004F49F9">
        <w:t>2.2.6.6</w:t>
      </w:r>
      <w:r w:rsidR="00786422">
        <w:rPr>
          <w:highlight w:val="yellow"/>
        </w:rPr>
        <w:fldChar w:fldCharType="end"/>
      </w:r>
      <w:r w:rsidRPr="000723A1">
        <w:t>) and the protection requirements for Amateur Service (</w:t>
      </w:r>
      <w:r w:rsidR="009D5FA2">
        <w:t>section</w:t>
      </w:r>
      <w:r w:rsidRPr="000723A1">
        <w:t xml:space="preserve"> </w:t>
      </w:r>
      <w:r w:rsidR="00786422">
        <w:rPr>
          <w:highlight w:val="yellow"/>
        </w:rPr>
        <w:fldChar w:fldCharType="begin"/>
      </w:r>
      <w:r w:rsidR="00786422">
        <w:instrText xml:space="preserve"> REF _Ref67243606 \r \h </w:instrText>
      </w:r>
      <w:r w:rsidR="00786422">
        <w:rPr>
          <w:highlight w:val="yellow"/>
        </w:rPr>
      </w:r>
      <w:r w:rsidR="00786422">
        <w:rPr>
          <w:highlight w:val="yellow"/>
        </w:rPr>
        <w:fldChar w:fldCharType="separate"/>
      </w:r>
      <w:r w:rsidR="004F49F9">
        <w:t>3.5.5</w:t>
      </w:r>
      <w:r w:rsidR="00786422">
        <w:rPr>
          <w:highlight w:val="yellow"/>
        </w:rPr>
        <w:fldChar w:fldCharType="end"/>
      </w:r>
      <w:r w:rsidRPr="000723A1">
        <w:t xml:space="preserve">). The exact calculations can be found in an Excel-spreadsheet which is attached to this </w:t>
      </w:r>
      <w:hyperlink r:id="rId175" w:history="1">
        <w:r w:rsidR="002E1285">
          <w:rPr>
            <w:rStyle w:val="Hyperlink"/>
          </w:rPr>
          <w:t>Report</w:t>
        </w:r>
      </w:hyperlink>
      <w:r w:rsidRPr="000723A1">
        <w:t>.</w:t>
      </w:r>
    </w:p>
    <w:p w14:paraId="1284ADD6" w14:textId="248EACA9" w:rsidR="000723A1" w:rsidRPr="000723A1" w:rsidRDefault="000723A1" w:rsidP="000723A1">
      <w:r w:rsidRPr="000723A1">
        <w:t>The following technical parameters of the CDR application (</w:t>
      </w:r>
      <w:r w:rsidR="009D5FA2">
        <w:t>section</w:t>
      </w:r>
      <w:r w:rsidRPr="000723A1">
        <w:t xml:space="preserve"> </w:t>
      </w:r>
      <w:r w:rsidR="00786422">
        <w:rPr>
          <w:highlight w:val="yellow"/>
        </w:rPr>
        <w:fldChar w:fldCharType="begin"/>
      </w:r>
      <w:r w:rsidR="00786422">
        <w:instrText xml:space="preserve"> REF _Ref66452445 \r \h </w:instrText>
      </w:r>
      <w:r w:rsidR="00786422">
        <w:rPr>
          <w:highlight w:val="yellow"/>
        </w:rPr>
      </w:r>
      <w:r w:rsidR="00786422">
        <w:rPr>
          <w:highlight w:val="yellow"/>
        </w:rPr>
        <w:fldChar w:fldCharType="separate"/>
      </w:r>
      <w:r w:rsidR="004F49F9">
        <w:t>2.2.6.3</w:t>
      </w:r>
      <w:r w:rsidR="00786422">
        <w:rPr>
          <w:highlight w:val="yellow"/>
        </w:rPr>
        <w:fldChar w:fldCharType="end"/>
      </w:r>
      <w:r w:rsidRPr="000723A1">
        <w:t>) have been used in the studies in the different frequency ranges.</w:t>
      </w:r>
    </w:p>
    <w:p w14:paraId="070DA3D7" w14:textId="09BBDB2D" w:rsidR="000723A1" w:rsidRDefault="00786422" w:rsidP="000723A1">
      <w:pPr>
        <w:pStyle w:val="Caption"/>
        <w:rPr>
          <w:rStyle w:val="ECCParagraph"/>
        </w:rPr>
      </w:pPr>
      <w:r w:rsidRPr="00477961">
        <w:t>Table </w:t>
      </w:r>
      <w:r>
        <w:fldChar w:fldCharType="begin"/>
      </w:r>
      <w:r>
        <w:instrText>SEQ Table \* ARABIC</w:instrText>
      </w:r>
      <w:r>
        <w:fldChar w:fldCharType="separate"/>
      </w:r>
      <w:r w:rsidR="004F49F9">
        <w:rPr>
          <w:noProof/>
        </w:rPr>
        <w:t>118</w:t>
      </w:r>
      <w:r>
        <w:fldChar w:fldCharType="end"/>
      </w:r>
      <w:r w:rsidR="000723A1">
        <w:t>: Technical parameters of CDR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731"/>
        <w:gridCol w:w="1206"/>
        <w:gridCol w:w="1338"/>
        <w:gridCol w:w="810"/>
        <w:gridCol w:w="2132"/>
        <w:gridCol w:w="1206"/>
        <w:gridCol w:w="1353"/>
      </w:tblGrid>
      <w:tr w:rsidR="00906950" w:rsidRPr="00566944" w14:paraId="3610425F" w14:textId="77777777" w:rsidTr="00EF7281">
        <w:trPr>
          <w:cnfStyle w:val="100000000000" w:firstRow="1" w:lastRow="0" w:firstColumn="0" w:lastColumn="0" w:oddVBand="0" w:evenVBand="0" w:oddHBand="0" w:evenHBand="0" w:firstRowFirstColumn="0" w:firstRowLastColumn="0" w:lastRowFirstColumn="0" w:lastRowLastColumn="0"/>
        </w:trPr>
        <w:tc>
          <w:tcPr>
            <w:tcW w:w="1731" w:type="dxa"/>
          </w:tcPr>
          <w:p w14:paraId="31533251" w14:textId="77777777" w:rsidR="00906950" w:rsidRPr="00906950" w:rsidRDefault="00906950" w:rsidP="00876039">
            <w:pPr>
              <w:pStyle w:val="ECCTableHeaderwhitefont"/>
            </w:pPr>
            <w:r w:rsidRPr="00906950">
              <w:t>Investigated frequency range</w:t>
            </w:r>
          </w:p>
        </w:tc>
        <w:tc>
          <w:tcPr>
            <w:tcW w:w="1206" w:type="dxa"/>
          </w:tcPr>
          <w:p w14:paraId="5FBE24A4" w14:textId="77777777" w:rsidR="00906950" w:rsidRPr="00906950" w:rsidRDefault="00906950" w:rsidP="000A69BD">
            <w:pPr>
              <w:pStyle w:val="ECCTableHeaderwhitefont"/>
            </w:pPr>
            <w:r w:rsidRPr="00906950">
              <w:t>CDR-type</w:t>
            </w:r>
          </w:p>
        </w:tc>
        <w:tc>
          <w:tcPr>
            <w:tcW w:w="1338" w:type="dxa"/>
          </w:tcPr>
          <w:p w14:paraId="1C9091E7" w14:textId="77777777" w:rsidR="00906950" w:rsidRPr="00906950" w:rsidRDefault="00906950" w:rsidP="000A69BD">
            <w:pPr>
              <w:pStyle w:val="ECCTableHeaderwhitefont"/>
            </w:pPr>
            <w:r w:rsidRPr="00906950">
              <w:t>Assumed modulation bandwidth</w:t>
            </w:r>
          </w:p>
        </w:tc>
        <w:tc>
          <w:tcPr>
            <w:tcW w:w="810" w:type="dxa"/>
          </w:tcPr>
          <w:p w14:paraId="713A1B17" w14:textId="77777777" w:rsidR="00906950" w:rsidRPr="00906950" w:rsidRDefault="00906950" w:rsidP="000A69BD">
            <w:pPr>
              <w:pStyle w:val="ECCTableHeaderwhitefont"/>
            </w:pPr>
            <w:r w:rsidRPr="00906950">
              <w:t>Duty cycle</w:t>
            </w:r>
          </w:p>
        </w:tc>
        <w:tc>
          <w:tcPr>
            <w:tcW w:w="2132" w:type="dxa"/>
          </w:tcPr>
          <w:p w14:paraId="5D2E28D4" w14:textId="77777777" w:rsidR="00906950" w:rsidRPr="00906950" w:rsidRDefault="00906950" w:rsidP="000A69BD">
            <w:pPr>
              <w:pStyle w:val="ECCTableHeaderwhitefont"/>
            </w:pPr>
            <w:r w:rsidRPr="00906950">
              <w:t xml:space="preserve">Mean e.i.r.p. spectral density </w:t>
            </w:r>
            <w:r w:rsidR="00EF12C9">
              <w:t>(Note 2)</w:t>
            </w:r>
          </w:p>
        </w:tc>
        <w:tc>
          <w:tcPr>
            <w:tcW w:w="1206" w:type="dxa"/>
          </w:tcPr>
          <w:p w14:paraId="4EE1475F" w14:textId="77777777" w:rsidR="00906950" w:rsidRPr="00906950" w:rsidRDefault="00906950" w:rsidP="000A69BD">
            <w:pPr>
              <w:pStyle w:val="ECCTableHeaderwhitefont"/>
            </w:pPr>
            <w:r w:rsidRPr="00906950">
              <w:t>Peak e.i.r.p.</w:t>
            </w:r>
          </w:p>
        </w:tc>
        <w:tc>
          <w:tcPr>
            <w:tcW w:w="1353" w:type="dxa"/>
          </w:tcPr>
          <w:p w14:paraId="337BF91B" w14:textId="77777777" w:rsidR="00906950" w:rsidRPr="00906950" w:rsidRDefault="00906950" w:rsidP="000A69BD">
            <w:pPr>
              <w:pStyle w:val="ECCTableHeaderwhitefont"/>
            </w:pPr>
            <w:r w:rsidRPr="00906950">
              <w:t>OOB attenuation (Note 1)</w:t>
            </w:r>
          </w:p>
        </w:tc>
      </w:tr>
      <w:tr w:rsidR="00EF7281" w:rsidRPr="00C53FB5" w14:paraId="063F5088" w14:textId="77777777" w:rsidTr="00EF7281">
        <w:tc>
          <w:tcPr>
            <w:tcW w:w="1731" w:type="dxa"/>
            <w:vMerge w:val="restart"/>
          </w:tcPr>
          <w:p w14:paraId="28CF0DE1" w14:textId="77777777" w:rsidR="00EF7281" w:rsidRPr="00EF7281" w:rsidRDefault="00EF7281" w:rsidP="000A69BD">
            <w:pPr>
              <w:pStyle w:val="ECCTabletext"/>
              <w:jc w:val="left"/>
            </w:pPr>
            <w:r w:rsidRPr="00C53FB5">
              <w:t xml:space="preserve">116 to </w:t>
            </w:r>
            <w:r w:rsidRPr="00EF7281">
              <w:t>148</w:t>
            </w:r>
            <w:r w:rsidR="00CF4994">
              <w:t>.5</w:t>
            </w:r>
            <w:r w:rsidRPr="00EF7281">
              <w:t> GHz</w:t>
            </w:r>
          </w:p>
        </w:tc>
        <w:tc>
          <w:tcPr>
            <w:tcW w:w="1206" w:type="dxa"/>
          </w:tcPr>
          <w:p w14:paraId="2A5442A3" w14:textId="77777777" w:rsidR="00EF7281" w:rsidRPr="00EF7281" w:rsidRDefault="00EF7281" w:rsidP="000A69BD">
            <w:pPr>
              <w:pStyle w:val="ECCTabletext"/>
              <w:jc w:val="left"/>
            </w:pPr>
            <w:r>
              <w:t>DBF-CDR</w:t>
            </w:r>
          </w:p>
        </w:tc>
        <w:tc>
          <w:tcPr>
            <w:tcW w:w="1338" w:type="dxa"/>
          </w:tcPr>
          <w:p w14:paraId="7D8D2F24" w14:textId="77777777" w:rsidR="00EF7281" w:rsidRPr="00EF7281" w:rsidRDefault="00173764" w:rsidP="000A69BD">
            <w:pPr>
              <w:pStyle w:val="ECCTabletext"/>
              <w:jc w:val="left"/>
            </w:pPr>
            <w:r>
              <w:t>5</w:t>
            </w:r>
            <w:r w:rsidR="00CF4994">
              <w:t>.7</w:t>
            </w:r>
            <w:r w:rsidR="00EF7281">
              <w:t> GHz</w:t>
            </w:r>
          </w:p>
        </w:tc>
        <w:tc>
          <w:tcPr>
            <w:tcW w:w="810" w:type="dxa"/>
          </w:tcPr>
          <w:p w14:paraId="2C5686AB" w14:textId="7AB28B8D" w:rsidR="00EF7281" w:rsidRPr="00EF7281" w:rsidRDefault="00EF7281" w:rsidP="000A69BD">
            <w:pPr>
              <w:pStyle w:val="ECCTabletext"/>
              <w:jc w:val="left"/>
            </w:pPr>
            <w:r>
              <w:t>10</w:t>
            </w:r>
            <w:r w:rsidR="00F800A2">
              <w:t>%</w:t>
            </w:r>
          </w:p>
        </w:tc>
        <w:tc>
          <w:tcPr>
            <w:tcW w:w="2132" w:type="dxa"/>
          </w:tcPr>
          <w:p w14:paraId="0E791B13" w14:textId="77777777" w:rsidR="00EF7281" w:rsidRPr="00EF7281" w:rsidRDefault="00EF7281" w:rsidP="000A69BD">
            <w:pPr>
              <w:pStyle w:val="ECCTabletext"/>
              <w:jc w:val="left"/>
            </w:pPr>
            <w:r>
              <w:t>-</w:t>
            </w:r>
            <w:r w:rsidR="00173764">
              <w:t>32</w:t>
            </w:r>
            <w:r w:rsidR="00CF4994">
              <w:t>.6</w:t>
            </w:r>
            <w:r>
              <w:t> dBm/MHz</w:t>
            </w:r>
          </w:p>
        </w:tc>
        <w:tc>
          <w:tcPr>
            <w:tcW w:w="1206" w:type="dxa"/>
          </w:tcPr>
          <w:p w14:paraId="57107048" w14:textId="77777777" w:rsidR="00EF7281" w:rsidRPr="00EF7281" w:rsidRDefault="00EF7281" w:rsidP="000A69BD">
            <w:pPr>
              <w:pStyle w:val="ECCTabletext"/>
              <w:jc w:val="left"/>
            </w:pPr>
            <w:r>
              <w:t>15 dBm</w:t>
            </w:r>
          </w:p>
        </w:tc>
        <w:tc>
          <w:tcPr>
            <w:tcW w:w="1353" w:type="dxa"/>
          </w:tcPr>
          <w:p w14:paraId="2CB065D4" w14:textId="77777777" w:rsidR="00EF7281" w:rsidRPr="00EF7281" w:rsidRDefault="00EF7281" w:rsidP="000A69BD">
            <w:pPr>
              <w:pStyle w:val="ECCTabletext"/>
              <w:jc w:val="left"/>
            </w:pPr>
            <w:r>
              <w:t>20</w:t>
            </w:r>
            <w:r w:rsidRPr="00EF7281">
              <w:t> dB</w:t>
            </w:r>
          </w:p>
        </w:tc>
      </w:tr>
      <w:tr w:rsidR="00EF7281" w:rsidRPr="00C53FB5" w14:paraId="6AA3D955" w14:textId="77777777" w:rsidTr="00EF7281">
        <w:tc>
          <w:tcPr>
            <w:tcW w:w="1731" w:type="dxa"/>
            <w:vMerge/>
          </w:tcPr>
          <w:p w14:paraId="46013511" w14:textId="77777777" w:rsidR="00EF7281" w:rsidRPr="00C53FB5" w:rsidRDefault="00EF7281" w:rsidP="00EF7281">
            <w:pPr>
              <w:pStyle w:val="ECCTabletext"/>
            </w:pPr>
          </w:p>
        </w:tc>
        <w:tc>
          <w:tcPr>
            <w:tcW w:w="1206" w:type="dxa"/>
          </w:tcPr>
          <w:p w14:paraId="375DA7D7" w14:textId="77777777" w:rsidR="00EF7281" w:rsidRPr="00EF7281" w:rsidRDefault="00EF7281" w:rsidP="000A69BD">
            <w:pPr>
              <w:pStyle w:val="ECCTabletext"/>
              <w:jc w:val="left"/>
            </w:pPr>
            <w:r>
              <w:t>M-/PA-CDR</w:t>
            </w:r>
          </w:p>
        </w:tc>
        <w:tc>
          <w:tcPr>
            <w:tcW w:w="1338" w:type="dxa"/>
          </w:tcPr>
          <w:p w14:paraId="1EFCB4B4" w14:textId="77777777" w:rsidR="00EF7281" w:rsidRPr="00EF7281" w:rsidRDefault="00810653" w:rsidP="000A69BD">
            <w:pPr>
              <w:pStyle w:val="ECCTabletext"/>
              <w:jc w:val="left"/>
            </w:pPr>
            <w:r>
              <w:t>8</w:t>
            </w:r>
            <w:r w:rsidR="00EF7281">
              <w:t> GHz</w:t>
            </w:r>
          </w:p>
        </w:tc>
        <w:tc>
          <w:tcPr>
            <w:tcW w:w="810" w:type="dxa"/>
          </w:tcPr>
          <w:p w14:paraId="5FAD2FCF" w14:textId="2EA087B3" w:rsidR="00EF7281" w:rsidRPr="00EF7281" w:rsidRDefault="00EF7281" w:rsidP="000A69BD">
            <w:pPr>
              <w:pStyle w:val="ECCTabletext"/>
              <w:jc w:val="left"/>
            </w:pPr>
            <w:r>
              <w:t>10</w:t>
            </w:r>
            <w:r w:rsidR="00F800A2">
              <w:t>%</w:t>
            </w:r>
          </w:p>
        </w:tc>
        <w:tc>
          <w:tcPr>
            <w:tcW w:w="2132" w:type="dxa"/>
          </w:tcPr>
          <w:p w14:paraId="121010E9" w14:textId="77777777" w:rsidR="00EF7281" w:rsidRPr="00EF7281" w:rsidRDefault="00EF7281" w:rsidP="000A69BD">
            <w:pPr>
              <w:pStyle w:val="ECCTabletext"/>
              <w:jc w:val="left"/>
            </w:pPr>
            <w:r>
              <w:t>-</w:t>
            </w:r>
            <w:r w:rsidR="00810653">
              <w:t>12</w:t>
            </w:r>
            <w:r>
              <w:t> dBm/MHz</w:t>
            </w:r>
          </w:p>
        </w:tc>
        <w:tc>
          <w:tcPr>
            <w:tcW w:w="1206" w:type="dxa"/>
          </w:tcPr>
          <w:p w14:paraId="0D658607" w14:textId="77777777" w:rsidR="00EF7281" w:rsidRPr="00EF7281" w:rsidRDefault="00810653" w:rsidP="000A69BD">
            <w:pPr>
              <w:pStyle w:val="ECCTabletext"/>
              <w:jc w:val="left"/>
            </w:pPr>
            <w:r>
              <w:t>28</w:t>
            </w:r>
            <w:r w:rsidR="00CF4994">
              <w:t>.6</w:t>
            </w:r>
            <w:r w:rsidR="00EF7281">
              <w:t> dBm</w:t>
            </w:r>
          </w:p>
        </w:tc>
        <w:tc>
          <w:tcPr>
            <w:tcW w:w="1353" w:type="dxa"/>
          </w:tcPr>
          <w:p w14:paraId="0AD363AF" w14:textId="77777777" w:rsidR="00EF7281" w:rsidRPr="00EF7281" w:rsidRDefault="00EF7281" w:rsidP="000A69BD">
            <w:pPr>
              <w:pStyle w:val="ECCTabletext"/>
              <w:jc w:val="left"/>
            </w:pPr>
            <w:r>
              <w:t>20 dB</w:t>
            </w:r>
          </w:p>
        </w:tc>
      </w:tr>
      <w:tr w:rsidR="00EF7281" w:rsidRPr="00C53FB5" w14:paraId="0728CB84" w14:textId="77777777" w:rsidTr="00EF7281">
        <w:tc>
          <w:tcPr>
            <w:tcW w:w="1731" w:type="dxa"/>
            <w:vMerge w:val="restart"/>
          </w:tcPr>
          <w:p w14:paraId="2AD58AE4" w14:textId="77777777" w:rsidR="00EF7281" w:rsidRPr="00EF7281" w:rsidRDefault="00EF7281" w:rsidP="000A69BD">
            <w:pPr>
              <w:pStyle w:val="ECCTabletext"/>
              <w:jc w:val="left"/>
            </w:pPr>
            <w:r>
              <w:t>231</w:t>
            </w:r>
            <w:r w:rsidR="00CF4994">
              <w:t>.5</w:t>
            </w:r>
            <w:r w:rsidRPr="00EF7281">
              <w:t xml:space="preserve"> to 250 GHz</w:t>
            </w:r>
          </w:p>
        </w:tc>
        <w:tc>
          <w:tcPr>
            <w:tcW w:w="1206" w:type="dxa"/>
          </w:tcPr>
          <w:p w14:paraId="5D3E0DB7" w14:textId="77777777" w:rsidR="00EF7281" w:rsidRPr="00EF7281" w:rsidRDefault="00EF7281" w:rsidP="000A69BD">
            <w:pPr>
              <w:pStyle w:val="ECCTabletext"/>
              <w:jc w:val="left"/>
            </w:pPr>
            <w:r>
              <w:t>DBF-CDR</w:t>
            </w:r>
          </w:p>
        </w:tc>
        <w:tc>
          <w:tcPr>
            <w:tcW w:w="1338" w:type="dxa"/>
          </w:tcPr>
          <w:p w14:paraId="30A10ADC" w14:textId="77777777" w:rsidR="00EF7281" w:rsidRPr="00EF7281" w:rsidRDefault="00173764" w:rsidP="000A69BD">
            <w:pPr>
              <w:pStyle w:val="ECCTabletext"/>
              <w:jc w:val="left"/>
            </w:pPr>
            <w:r>
              <w:t>0</w:t>
            </w:r>
            <w:r w:rsidR="00CF4994">
              <w:t>.6</w:t>
            </w:r>
            <w:r>
              <w:t>3</w:t>
            </w:r>
            <w:r w:rsidR="00EF7281">
              <w:t> GHz</w:t>
            </w:r>
          </w:p>
        </w:tc>
        <w:tc>
          <w:tcPr>
            <w:tcW w:w="810" w:type="dxa"/>
          </w:tcPr>
          <w:p w14:paraId="2D2A6A8C" w14:textId="5F82B205" w:rsidR="00EF7281" w:rsidRPr="00EF7281" w:rsidRDefault="00EF7281" w:rsidP="000A69BD">
            <w:pPr>
              <w:pStyle w:val="ECCTabletext"/>
              <w:jc w:val="left"/>
            </w:pPr>
            <w:r>
              <w:t>10</w:t>
            </w:r>
            <w:r w:rsidR="00F800A2">
              <w:t>%</w:t>
            </w:r>
          </w:p>
        </w:tc>
        <w:tc>
          <w:tcPr>
            <w:tcW w:w="2132" w:type="dxa"/>
          </w:tcPr>
          <w:p w14:paraId="4F46416B" w14:textId="77777777" w:rsidR="00EF7281" w:rsidRPr="00EF7281" w:rsidRDefault="00EF7281" w:rsidP="000A69BD">
            <w:pPr>
              <w:pStyle w:val="ECCTabletext"/>
              <w:jc w:val="left"/>
            </w:pPr>
            <w:r>
              <w:t>-</w:t>
            </w:r>
            <w:r w:rsidR="00173764">
              <w:t>23</w:t>
            </w:r>
            <w:r>
              <w:t> dBm/MHz</w:t>
            </w:r>
          </w:p>
        </w:tc>
        <w:tc>
          <w:tcPr>
            <w:tcW w:w="1206" w:type="dxa"/>
          </w:tcPr>
          <w:p w14:paraId="5548876D" w14:textId="77777777" w:rsidR="00EF7281" w:rsidRPr="00EF7281" w:rsidRDefault="00EF7281" w:rsidP="000A69BD">
            <w:pPr>
              <w:pStyle w:val="ECCTabletext"/>
              <w:jc w:val="left"/>
            </w:pPr>
            <w:r>
              <w:t>15 dBm</w:t>
            </w:r>
          </w:p>
        </w:tc>
        <w:tc>
          <w:tcPr>
            <w:tcW w:w="1353" w:type="dxa"/>
          </w:tcPr>
          <w:p w14:paraId="5A804D78" w14:textId="77777777" w:rsidR="00EF7281" w:rsidRDefault="00EF7281" w:rsidP="000A69BD">
            <w:pPr>
              <w:pStyle w:val="ECCTabletext"/>
              <w:jc w:val="left"/>
            </w:pPr>
            <w:r>
              <w:t>20 dB</w:t>
            </w:r>
          </w:p>
        </w:tc>
      </w:tr>
      <w:tr w:rsidR="00EF7281" w:rsidRPr="00C53FB5" w14:paraId="62F5F55B" w14:textId="77777777" w:rsidTr="00EF7281">
        <w:tc>
          <w:tcPr>
            <w:tcW w:w="1731" w:type="dxa"/>
            <w:vMerge/>
          </w:tcPr>
          <w:p w14:paraId="43142F0A" w14:textId="77777777" w:rsidR="00EF7281" w:rsidRPr="00C53FB5" w:rsidRDefault="00EF7281" w:rsidP="00EF7281">
            <w:pPr>
              <w:pStyle w:val="ECCTabletext"/>
            </w:pPr>
          </w:p>
        </w:tc>
        <w:tc>
          <w:tcPr>
            <w:tcW w:w="1206" w:type="dxa"/>
          </w:tcPr>
          <w:p w14:paraId="785D734A" w14:textId="77777777" w:rsidR="00EF7281" w:rsidRPr="00EF7281" w:rsidRDefault="00EF7281" w:rsidP="000A69BD">
            <w:pPr>
              <w:pStyle w:val="ECCTabletext"/>
              <w:jc w:val="left"/>
            </w:pPr>
            <w:r>
              <w:t>M-/PA-CDR</w:t>
            </w:r>
          </w:p>
        </w:tc>
        <w:tc>
          <w:tcPr>
            <w:tcW w:w="1338" w:type="dxa"/>
          </w:tcPr>
          <w:p w14:paraId="341CC3DC" w14:textId="77777777" w:rsidR="00EF7281" w:rsidRPr="00EF7281" w:rsidRDefault="00810653" w:rsidP="000A69BD">
            <w:pPr>
              <w:pStyle w:val="ECCTabletext"/>
              <w:jc w:val="left"/>
            </w:pPr>
            <w:r>
              <w:t>8</w:t>
            </w:r>
            <w:r w:rsidR="00EF7281">
              <w:t> GHz</w:t>
            </w:r>
          </w:p>
        </w:tc>
        <w:tc>
          <w:tcPr>
            <w:tcW w:w="810" w:type="dxa"/>
          </w:tcPr>
          <w:p w14:paraId="4E92B101" w14:textId="33F45B69" w:rsidR="00EF7281" w:rsidRPr="00EF7281" w:rsidRDefault="00EF7281" w:rsidP="000A69BD">
            <w:pPr>
              <w:pStyle w:val="ECCTabletext"/>
              <w:jc w:val="left"/>
            </w:pPr>
            <w:r>
              <w:t>10</w:t>
            </w:r>
            <w:r w:rsidR="00F800A2">
              <w:t>%</w:t>
            </w:r>
          </w:p>
        </w:tc>
        <w:tc>
          <w:tcPr>
            <w:tcW w:w="2132" w:type="dxa"/>
          </w:tcPr>
          <w:p w14:paraId="6C9D4449" w14:textId="77777777" w:rsidR="00EF7281" w:rsidRPr="00EF7281" w:rsidRDefault="00EF7281" w:rsidP="000A69BD">
            <w:pPr>
              <w:pStyle w:val="ECCTabletext"/>
              <w:jc w:val="left"/>
            </w:pPr>
            <w:r>
              <w:t>-</w:t>
            </w:r>
            <w:r w:rsidR="00810653">
              <w:t>9</w:t>
            </w:r>
            <w:r>
              <w:t> dBm/MHz</w:t>
            </w:r>
          </w:p>
        </w:tc>
        <w:tc>
          <w:tcPr>
            <w:tcW w:w="1206" w:type="dxa"/>
          </w:tcPr>
          <w:p w14:paraId="685184F3" w14:textId="77777777" w:rsidR="00EF7281" w:rsidRPr="00EF7281" w:rsidRDefault="00810653" w:rsidP="000A69BD">
            <w:pPr>
              <w:pStyle w:val="ECCTabletext"/>
              <w:jc w:val="left"/>
            </w:pPr>
            <w:r>
              <w:t>34</w:t>
            </w:r>
            <w:r w:rsidR="00CF4994">
              <w:t>.6</w:t>
            </w:r>
            <w:r w:rsidR="00EF7281">
              <w:t> dBm</w:t>
            </w:r>
          </w:p>
        </w:tc>
        <w:tc>
          <w:tcPr>
            <w:tcW w:w="1353" w:type="dxa"/>
          </w:tcPr>
          <w:p w14:paraId="1A6655CA" w14:textId="77777777" w:rsidR="00EF7281" w:rsidRDefault="00EF7281" w:rsidP="000A69BD">
            <w:pPr>
              <w:pStyle w:val="ECCTabletext"/>
              <w:jc w:val="left"/>
            </w:pPr>
            <w:r>
              <w:t>20 dB</w:t>
            </w:r>
          </w:p>
        </w:tc>
      </w:tr>
      <w:tr w:rsidR="00200700" w:rsidRPr="00C53FB5" w14:paraId="71E9574F" w14:textId="77777777" w:rsidTr="00200700">
        <w:tc>
          <w:tcPr>
            <w:tcW w:w="9776" w:type="dxa"/>
            <w:gridSpan w:val="7"/>
          </w:tcPr>
          <w:p w14:paraId="10D28F22" w14:textId="77777777" w:rsidR="00200700" w:rsidRDefault="00200700" w:rsidP="00464AE0">
            <w:pPr>
              <w:pStyle w:val="ECCTablenote"/>
            </w:pPr>
            <w:r>
              <w:t>Note 1</w:t>
            </w:r>
            <w:r w:rsidRPr="00887B3F">
              <w:t xml:space="preserve">: Assumed out-of-band attenuation of the </w:t>
            </w:r>
            <w:r>
              <w:t>CDR</w:t>
            </w:r>
            <w:r w:rsidRPr="00887B3F">
              <w:t xml:space="preserve">-signal in adjacent bands allocated to </w:t>
            </w:r>
            <w:r>
              <w:t>Amateur</w:t>
            </w:r>
            <w:r w:rsidRPr="00887B3F">
              <w:t>.</w:t>
            </w:r>
          </w:p>
          <w:p w14:paraId="78C9D47A" w14:textId="31E7EA86" w:rsidR="00200700" w:rsidRDefault="00200700" w:rsidP="00464AE0">
            <w:pPr>
              <w:pStyle w:val="ECCTablenote"/>
            </w:pPr>
            <w:r w:rsidRPr="00EF12C9">
              <w:t xml:space="preserve">Note 2: The duty cycle of </w:t>
            </w:r>
            <w:r>
              <w:t>10</w:t>
            </w:r>
            <w:r w:rsidR="00F800A2">
              <w:t>%</w:t>
            </w:r>
            <w:r w:rsidRPr="00EF12C9">
              <w:t xml:space="preserve"> is already considered in this mean e.i.r.p. spectral density value. Consequently, the given mean e.i.r.p. spectral density is valid for averaging over the whole measurement cycle T</w:t>
            </w:r>
            <w:r w:rsidRPr="00EF12C9">
              <w:rPr>
                <w:rStyle w:val="ECCHLsubscript"/>
              </w:rPr>
              <w:t xml:space="preserve">meas_cycle </w:t>
            </w:r>
            <w:r w:rsidRPr="00EF12C9">
              <w:t>of the device including any T</w:t>
            </w:r>
            <w:r w:rsidRPr="00EF12C9">
              <w:rPr>
                <w:rStyle w:val="ECCHLsubscript"/>
              </w:rPr>
              <w:t>off</w:t>
            </w:r>
            <w:r w:rsidRPr="00EF12C9">
              <w:t xml:space="preserve"> times (see </w:t>
            </w:r>
            <w:r w:rsidRPr="00EF12C9">
              <w:fldChar w:fldCharType="begin"/>
            </w:r>
            <w:r w:rsidRPr="00EF12C9">
              <w:instrText xml:space="preserve"> REF _Ref8900572 \h </w:instrText>
            </w:r>
            <w:r w:rsidRPr="00EF12C9">
              <w:fldChar w:fldCharType="separate"/>
            </w:r>
            <w:r w:rsidR="0041125F" w:rsidRPr="006D6727">
              <w:rPr>
                <w:noProof/>
              </w:rPr>
              <w:t>Figure </w:t>
            </w:r>
            <w:r w:rsidR="0041125F">
              <w:rPr>
                <w:noProof/>
              </w:rPr>
              <w:t>36</w:t>
            </w:r>
            <w:r w:rsidRPr="00EF12C9">
              <w:fldChar w:fldCharType="end"/>
            </w:r>
            <w:r w:rsidRPr="00EF12C9">
              <w:t>).</w:t>
            </w:r>
          </w:p>
        </w:tc>
      </w:tr>
    </w:tbl>
    <w:p w14:paraId="1FC76FCE" w14:textId="77777777" w:rsidR="000723A1" w:rsidRDefault="000723A1" w:rsidP="000723A1">
      <w:pPr>
        <w:pStyle w:val="Heading3"/>
      </w:pPr>
      <w:bookmarkStart w:id="819" w:name="_Ref67346828"/>
      <w:bookmarkStart w:id="820" w:name="_Toc84325439"/>
      <w:bookmarkStart w:id="821" w:name="_Toc127346361"/>
      <w:r>
        <w:t>Results</w:t>
      </w:r>
      <w:bookmarkEnd w:id="819"/>
      <w:bookmarkEnd w:id="820"/>
      <w:bookmarkEnd w:id="821"/>
    </w:p>
    <w:p w14:paraId="41190049" w14:textId="297F3E48" w:rsidR="000723A1" w:rsidRPr="000723A1" w:rsidRDefault="00786422" w:rsidP="000723A1">
      <w:r>
        <w:fldChar w:fldCharType="begin"/>
      </w:r>
      <w:r>
        <w:instrText xml:space="preserve"> REF _Ref67243701 \h </w:instrText>
      </w:r>
      <w:r>
        <w:fldChar w:fldCharType="separate"/>
      </w:r>
      <w:r w:rsidR="0041125F" w:rsidRPr="00477961">
        <w:t>Table </w:t>
      </w:r>
      <w:r w:rsidR="0041125F">
        <w:rPr>
          <w:noProof/>
        </w:rPr>
        <w:t>119</w:t>
      </w:r>
      <w:r>
        <w:fldChar w:fldCharType="end"/>
      </w:r>
      <w:r>
        <w:t xml:space="preserve"> </w:t>
      </w:r>
      <w:r w:rsidR="000723A1" w:rsidRPr="000723A1">
        <w:t xml:space="preserve">shows the single-entry </w:t>
      </w:r>
      <w:r w:rsidR="00791D2C">
        <w:t>worst</w:t>
      </w:r>
      <w:r w:rsidR="000723A1" w:rsidRPr="000723A1">
        <w:t>-case results for digital beamforming contour determination radar (DBF-CDR), e.g. the largest separation distances for the individual frequency ranges and Amateur victim receivers.</w:t>
      </w:r>
    </w:p>
    <w:p w14:paraId="772CD12D" w14:textId="789EC972" w:rsidR="000723A1" w:rsidRPr="000723A1" w:rsidRDefault="00786422" w:rsidP="000723A1">
      <w:pPr>
        <w:pStyle w:val="Caption"/>
      </w:pPr>
      <w:bookmarkStart w:id="822" w:name="_Ref67243701"/>
      <w:r w:rsidRPr="00477961">
        <w:t>Table </w:t>
      </w:r>
      <w:r>
        <w:fldChar w:fldCharType="begin"/>
      </w:r>
      <w:r>
        <w:instrText>SEQ Table \* ARABIC</w:instrText>
      </w:r>
      <w:r>
        <w:fldChar w:fldCharType="separate"/>
      </w:r>
      <w:r w:rsidR="004F49F9">
        <w:rPr>
          <w:noProof/>
        </w:rPr>
        <w:t>119</w:t>
      </w:r>
      <w:r>
        <w:fldChar w:fldCharType="end"/>
      </w:r>
      <w:bookmarkEnd w:id="822"/>
      <w:r w:rsidR="000723A1" w:rsidRPr="000723A1">
        <w:t>: Required separation distances determined in a single-entry study for digital beamforming contour determination radar (DBF-CDR)</w:t>
      </w:r>
    </w:p>
    <w:tbl>
      <w:tblPr>
        <w:tblStyle w:val="ECCTable-redheader"/>
        <w:tblW w:w="0" w:type="auto"/>
        <w:tblInd w:w="0" w:type="dxa"/>
        <w:tblLook w:val="04A0" w:firstRow="1" w:lastRow="0" w:firstColumn="1" w:lastColumn="0" w:noHBand="0" w:noVBand="1"/>
      </w:tblPr>
      <w:tblGrid>
        <w:gridCol w:w="2570"/>
        <w:gridCol w:w="2888"/>
        <w:gridCol w:w="4171"/>
      </w:tblGrid>
      <w:tr w:rsidR="000723A1" w14:paraId="54438047" w14:textId="77777777" w:rsidTr="00A953ED">
        <w:trPr>
          <w:cnfStyle w:val="100000000000" w:firstRow="1" w:lastRow="0" w:firstColumn="0" w:lastColumn="0" w:oddVBand="0" w:evenVBand="0" w:oddHBand="0" w:evenHBand="0" w:firstRowFirstColumn="0" w:firstRowLastColumn="0" w:lastRowFirstColumn="0" w:lastRowLastColumn="0"/>
        </w:trPr>
        <w:tc>
          <w:tcPr>
            <w:tcW w:w="0" w:type="auto"/>
          </w:tcPr>
          <w:p w14:paraId="0D619154" w14:textId="77777777" w:rsidR="000723A1" w:rsidRPr="000723A1" w:rsidRDefault="000723A1" w:rsidP="00876039">
            <w:pPr>
              <w:pStyle w:val="ECCTableHeaderwhitefont"/>
            </w:pPr>
            <w:r w:rsidRPr="000723A1">
              <w:t>Investigated Frequency range</w:t>
            </w:r>
          </w:p>
        </w:tc>
        <w:tc>
          <w:tcPr>
            <w:tcW w:w="0" w:type="auto"/>
          </w:tcPr>
          <w:p w14:paraId="7310FF3B" w14:textId="77777777" w:rsidR="000723A1" w:rsidRPr="000723A1" w:rsidRDefault="000723A1" w:rsidP="000A69BD">
            <w:pPr>
              <w:pStyle w:val="ECCTableHeaderwhitefont"/>
            </w:pPr>
            <w:r w:rsidRPr="000723A1">
              <w:t>Allocated band for Amateur Service</w:t>
            </w:r>
          </w:p>
        </w:tc>
        <w:tc>
          <w:tcPr>
            <w:tcW w:w="0" w:type="auto"/>
          </w:tcPr>
          <w:p w14:paraId="6E1C71B8" w14:textId="77777777" w:rsidR="000723A1" w:rsidRPr="000723A1" w:rsidRDefault="000723A1" w:rsidP="000A69BD">
            <w:pPr>
              <w:pStyle w:val="ECCTableHeaderwhitefont"/>
            </w:pPr>
            <w:r w:rsidRPr="000723A1">
              <w:t>Required separation distance for all Amateur Services</w:t>
            </w:r>
          </w:p>
        </w:tc>
      </w:tr>
      <w:tr w:rsidR="000723A1" w14:paraId="51566851" w14:textId="77777777" w:rsidTr="00A953ED">
        <w:tc>
          <w:tcPr>
            <w:tcW w:w="0" w:type="auto"/>
            <w:vMerge w:val="restart"/>
          </w:tcPr>
          <w:p w14:paraId="3C9CF4F1" w14:textId="77777777" w:rsidR="000723A1" w:rsidRPr="000723A1" w:rsidRDefault="000723A1" w:rsidP="000A69BD">
            <w:pPr>
              <w:pStyle w:val="ECCTabletext"/>
              <w:jc w:val="left"/>
            </w:pPr>
            <w:r w:rsidRPr="00C53FB5">
              <w:t xml:space="preserve">116 to </w:t>
            </w:r>
            <w:r w:rsidRPr="000723A1">
              <w:t>148</w:t>
            </w:r>
            <w:r w:rsidR="00CF4994">
              <w:t>.5</w:t>
            </w:r>
            <w:r w:rsidRPr="000723A1">
              <w:t> GHz</w:t>
            </w:r>
          </w:p>
        </w:tc>
        <w:tc>
          <w:tcPr>
            <w:tcW w:w="0" w:type="auto"/>
          </w:tcPr>
          <w:p w14:paraId="6C6D9086" w14:textId="77777777" w:rsidR="000723A1" w:rsidRPr="000723A1" w:rsidRDefault="000723A1" w:rsidP="000A69BD">
            <w:pPr>
              <w:pStyle w:val="ECCTabletext"/>
              <w:jc w:val="left"/>
            </w:pPr>
            <w:r w:rsidRPr="00C53FB5">
              <w:t>12</w:t>
            </w:r>
            <w:r w:rsidRPr="000723A1">
              <w:t>2</w:t>
            </w:r>
            <w:r w:rsidR="00CF4994">
              <w:t>.2</w:t>
            </w:r>
            <w:r w:rsidRPr="000723A1">
              <w:t>5 to 123 GHz</w:t>
            </w:r>
            <w:r w:rsidR="007B5AAD">
              <w:t xml:space="preserve"> (In-band)</w:t>
            </w:r>
          </w:p>
        </w:tc>
        <w:tc>
          <w:tcPr>
            <w:tcW w:w="0" w:type="auto"/>
          </w:tcPr>
          <w:p w14:paraId="424E4FC1" w14:textId="77777777" w:rsidR="000723A1" w:rsidRPr="000723A1" w:rsidRDefault="00EA4FF7" w:rsidP="000A69BD">
            <w:pPr>
              <w:pStyle w:val="ECCTabletext"/>
              <w:jc w:val="left"/>
            </w:pPr>
            <w:r>
              <w:t>114</w:t>
            </w:r>
            <w:r w:rsidR="000723A1">
              <w:t> m</w:t>
            </w:r>
          </w:p>
        </w:tc>
      </w:tr>
      <w:tr w:rsidR="000723A1" w14:paraId="0B9F55EF" w14:textId="77777777" w:rsidTr="00A953ED">
        <w:tc>
          <w:tcPr>
            <w:tcW w:w="0" w:type="auto"/>
            <w:vMerge/>
          </w:tcPr>
          <w:p w14:paraId="7AECD705" w14:textId="77777777" w:rsidR="000723A1" w:rsidRPr="00C53FB5" w:rsidRDefault="000723A1" w:rsidP="000723A1">
            <w:pPr>
              <w:pStyle w:val="ECCTabletext"/>
            </w:pPr>
          </w:p>
        </w:tc>
        <w:tc>
          <w:tcPr>
            <w:tcW w:w="0" w:type="auto"/>
          </w:tcPr>
          <w:p w14:paraId="6B01D4B9" w14:textId="77777777" w:rsidR="000723A1" w:rsidRPr="000723A1" w:rsidRDefault="000723A1" w:rsidP="000A69BD">
            <w:pPr>
              <w:pStyle w:val="ECCTabletext"/>
              <w:jc w:val="left"/>
            </w:pPr>
            <w:r w:rsidRPr="00C53FB5">
              <w:t>1</w:t>
            </w:r>
            <w:r w:rsidRPr="000723A1">
              <w:t>34 to 141 GHz</w:t>
            </w:r>
            <w:r w:rsidR="007B5AAD">
              <w:t xml:space="preserve"> (In-band)</w:t>
            </w:r>
          </w:p>
        </w:tc>
        <w:tc>
          <w:tcPr>
            <w:tcW w:w="0" w:type="auto"/>
          </w:tcPr>
          <w:p w14:paraId="404AAB6D" w14:textId="77777777" w:rsidR="000723A1" w:rsidRPr="000723A1" w:rsidRDefault="00EA4FF7" w:rsidP="000A69BD">
            <w:pPr>
              <w:pStyle w:val="ECCTabletext"/>
              <w:jc w:val="left"/>
            </w:pPr>
            <w:r>
              <w:t>101</w:t>
            </w:r>
            <w:r w:rsidR="000723A1">
              <w:t> m</w:t>
            </w:r>
          </w:p>
        </w:tc>
      </w:tr>
      <w:tr w:rsidR="000723A1" w14:paraId="52C968E8" w14:textId="77777777" w:rsidTr="00A953ED">
        <w:tc>
          <w:tcPr>
            <w:tcW w:w="0" w:type="auto"/>
          </w:tcPr>
          <w:p w14:paraId="7AB0636C" w14:textId="77777777" w:rsidR="000723A1" w:rsidRPr="000723A1" w:rsidRDefault="000723A1" w:rsidP="000A69BD">
            <w:pPr>
              <w:pStyle w:val="ECCTabletext"/>
              <w:jc w:val="left"/>
            </w:pPr>
            <w:r>
              <w:t>231</w:t>
            </w:r>
            <w:r w:rsidR="00CF4994">
              <w:t>.5</w:t>
            </w:r>
            <w:r>
              <w:t xml:space="preserve"> to 250 GHz</w:t>
            </w:r>
          </w:p>
        </w:tc>
        <w:tc>
          <w:tcPr>
            <w:tcW w:w="0" w:type="auto"/>
          </w:tcPr>
          <w:p w14:paraId="5BE32FE0" w14:textId="77777777" w:rsidR="000723A1" w:rsidRPr="000723A1" w:rsidRDefault="000723A1" w:rsidP="000A69BD">
            <w:pPr>
              <w:pStyle w:val="ECCTabletext"/>
              <w:jc w:val="left"/>
            </w:pPr>
            <w:r w:rsidRPr="00C53FB5">
              <w:t xml:space="preserve">241 to </w:t>
            </w:r>
            <w:r w:rsidRPr="000723A1">
              <w:t>250 GHz</w:t>
            </w:r>
            <w:r w:rsidR="007B5AAD">
              <w:t xml:space="preserve"> (In-band)</w:t>
            </w:r>
          </w:p>
        </w:tc>
        <w:tc>
          <w:tcPr>
            <w:tcW w:w="0" w:type="auto"/>
          </w:tcPr>
          <w:p w14:paraId="35B09824" w14:textId="77777777" w:rsidR="000723A1" w:rsidRPr="000723A1" w:rsidRDefault="00EA4FF7" w:rsidP="000A69BD">
            <w:pPr>
              <w:pStyle w:val="ECCTabletext"/>
              <w:jc w:val="left"/>
            </w:pPr>
            <w:r>
              <w:t>116</w:t>
            </w:r>
            <w:r w:rsidR="000723A1">
              <w:t> m</w:t>
            </w:r>
          </w:p>
        </w:tc>
      </w:tr>
    </w:tbl>
    <w:p w14:paraId="13CA5F3B" w14:textId="7BBFD704" w:rsidR="000723A1" w:rsidRPr="000723A1" w:rsidRDefault="00786422" w:rsidP="000723A1">
      <w:r>
        <w:fldChar w:fldCharType="begin"/>
      </w:r>
      <w:r>
        <w:instrText xml:space="preserve"> REF _Ref67243759 \h </w:instrText>
      </w:r>
      <w:r>
        <w:fldChar w:fldCharType="separate"/>
      </w:r>
      <w:r w:rsidR="0041125F" w:rsidRPr="00477961">
        <w:t>Table </w:t>
      </w:r>
      <w:r w:rsidR="0041125F">
        <w:rPr>
          <w:noProof/>
        </w:rPr>
        <w:t>120</w:t>
      </w:r>
      <w:r>
        <w:fldChar w:fldCharType="end"/>
      </w:r>
      <w:r>
        <w:t xml:space="preserve"> </w:t>
      </w:r>
      <w:r w:rsidR="000723A1" w:rsidRPr="000723A1">
        <w:t>shows the single-entry wo</w:t>
      </w:r>
      <w:r w:rsidR="007B5AAD">
        <w:t>r</w:t>
      </w:r>
      <w:r w:rsidR="000723A1" w:rsidRPr="000723A1">
        <w:t>st-case results for</w:t>
      </w:r>
      <w:r w:rsidR="000723A1">
        <w:t xml:space="preserve"> mechanical- and phased-array contour determination radar (M- &amp; PA-CDR)</w:t>
      </w:r>
      <w:r w:rsidR="000723A1" w:rsidRPr="000723A1">
        <w:t>, e.g. the largest separation distances for the individual frequency ranges and Amateur victim receivers.</w:t>
      </w:r>
    </w:p>
    <w:p w14:paraId="55B410D5" w14:textId="3177D2E2" w:rsidR="000723A1" w:rsidRDefault="00786422" w:rsidP="000723A1">
      <w:pPr>
        <w:pStyle w:val="Caption"/>
      </w:pPr>
      <w:bookmarkStart w:id="823" w:name="_Ref67243759"/>
      <w:r w:rsidRPr="00477961">
        <w:t>Table </w:t>
      </w:r>
      <w:r>
        <w:fldChar w:fldCharType="begin"/>
      </w:r>
      <w:r>
        <w:instrText>SEQ Table \* ARABIC</w:instrText>
      </w:r>
      <w:r>
        <w:fldChar w:fldCharType="separate"/>
      </w:r>
      <w:r w:rsidR="004F49F9">
        <w:rPr>
          <w:noProof/>
        </w:rPr>
        <w:t>120</w:t>
      </w:r>
      <w:r>
        <w:fldChar w:fldCharType="end"/>
      </w:r>
      <w:bookmarkEnd w:id="823"/>
      <w:r w:rsidR="000723A1">
        <w:t>: Required separation distances determined in a single-entry study for mechanical- and phased-array contour determination radar (M- &amp; PA-CDR)</w:t>
      </w:r>
    </w:p>
    <w:tbl>
      <w:tblPr>
        <w:tblStyle w:val="ECCTable-redheader"/>
        <w:tblW w:w="0" w:type="auto"/>
        <w:tblInd w:w="0" w:type="dxa"/>
        <w:tblLook w:val="04A0" w:firstRow="1" w:lastRow="0" w:firstColumn="1" w:lastColumn="0" w:noHBand="0" w:noVBand="1"/>
      </w:tblPr>
      <w:tblGrid>
        <w:gridCol w:w="2570"/>
        <w:gridCol w:w="2888"/>
        <w:gridCol w:w="4171"/>
      </w:tblGrid>
      <w:tr w:rsidR="000723A1" w14:paraId="160D3850" w14:textId="77777777" w:rsidTr="00A953ED">
        <w:trPr>
          <w:cnfStyle w:val="100000000000" w:firstRow="1" w:lastRow="0" w:firstColumn="0" w:lastColumn="0" w:oddVBand="0" w:evenVBand="0" w:oddHBand="0" w:evenHBand="0" w:firstRowFirstColumn="0" w:firstRowLastColumn="0" w:lastRowFirstColumn="0" w:lastRowLastColumn="0"/>
        </w:trPr>
        <w:tc>
          <w:tcPr>
            <w:tcW w:w="0" w:type="auto"/>
          </w:tcPr>
          <w:p w14:paraId="77F69045" w14:textId="77777777" w:rsidR="000723A1" w:rsidRPr="000723A1" w:rsidRDefault="000723A1" w:rsidP="00876039">
            <w:pPr>
              <w:pStyle w:val="ECCTableHeaderwhitefont"/>
            </w:pPr>
            <w:r w:rsidRPr="000723A1">
              <w:t>Investigated Frequency range</w:t>
            </w:r>
          </w:p>
        </w:tc>
        <w:tc>
          <w:tcPr>
            <w:tcW w:w="0" w:type="auto"/>
          </w:tcPr>
          <w:p w14:paraId="49099F8D" w14:textId="77777777" w:rsidR="000723A1" w:rsidRPr="000723A1" w:rsidRDefault="000723A1" w:rsidP="000A69BD">
            <w:pPr>
              <w:pStyle w:val="ECCTableHeaderwhitefont"/>
            </w:pPr>
            <w:r w:rsidRPr="000723A1">
              <w:t>Allocated band for Amateur Service</w:t>
            </w:r>
          </w:p>
        </w:tc>
        <w:tc>
          <w:tcPr>
            <w:tcW w:w="0" w:type="auto"/>
          </w:tcPr>
          <w:p w14:paraId="113AC110" w14:textId="77777777" w:rsidR="000723A1" w:rsidRPr="000723A1" w:rsidRDefault="000723A1" w:rsidP="000A69BD">
            <w:pPr>
              <w:pStyle w:val="ECCTableHeaderwhitefont"/>
            </w:pPr>
            <w:r w:rsidRPr="000723A1">
              <w:t>Required separation distance for all Amateur Services</w:t>
            </w:r>
          </w:p>
        </w:tc>
      </w:tr>
      <w:tr w:rsidR="000723A1" w14:paraId="032C1E27" w14:textId="77777777" w:rsidTr="00A953ED">
        <w:tc>
          <w:tcPr>
            <w:tcW w:w="0" w:type="auto"/>
            <w:vMerge w:val="restart"/>
          </w:tcPr>
          <w:p w14:paraId="14362311" w14:textId="77777777" w:rsidR="000723A1" w:rsidRPr="000723A1" w:rsidRDefault="000723A1" w:rsidP="000A69BD">
            <w:pPr>
              <w:pStyle w:val="ECCTabletext"/>
              <w:jc w:val="left"/>
            </w:pPr>
            <w:r w:rsidRPr="00C53FB5">
              <w:t xml:space="preserve">116 to </w:t>
            </w:r>
            <w:r w:rsidRPr="000723A1">
              <w:t>148</w:t>
            </w:r>
            <w:r w:rsidR="00CF4994">
              <w:t>.5</w:t>
            </w:r>
            <w:r w:rsidRPr="000723A1">
              <w:t> GHz</w:t>
            </w:r>
          </w:p>
        </w:tc>
        <w:tc>
          <w:tcPr>
            <w:tcW w:w="0" w:type="auto"/>
          </w:tcPr>
          <w:p w14:paraId="7BEBFA05" w14:textId="77777777" w:rsidR="000723A1" w:rsidRPr="000723A1" w:rsidRDefault="000723A1" w:rsidP="000A69BD">
            <w:pPr>
              <w:pStyle w:val="ECCTabletext"/>
              <w:jc w:val="left"/>
            </w:pPr>
            <w:r w:rsidRPr="00C53FB5">
              <w:t>12</w:t>
            </w:r>
            <w:r w:rsidRPr="000723A1">
              <w:t>2</w:t>
            </w:r>
            <w:r w:rsidR="00CF4994">
              <w:t>.2</w:t>
            </w:r>
            <w:r w:rsidRPr="000723A1">
              <w:t>5 to 123 GHz</w:t>
            </w:r>
            <w:r w:rsidR="007B5AAD">
              <w:t xml:space="preserve"> (In-band)</w:t>
            </w:r>
          </w:p>
        </w:tc>
        <w:tc>
          <w:tcPr>
            <w:tcW w:w="0" w:type="auto"/>
          </w:tcPr>
          <w:p w14:paraId="26E39086" w14:textId="77777777" w:rsidR="000723A1" w:rsidRPr="00143648" w:rsidRDefault="00143648" w:rsidP="00143648">
            <w:r w:rsidRPr="00143648">
              <w:t>76</w:t>
            </w:r>
            <w:r w:rsidR="000723A1" w:rsidRPr="00143648">
              <w:t> m</w:t>
            </w:r>
          </w:p>
        </w:tc>
      </w:tr>
      <w:tr w:rsidR="000723A1" w14:paraId="63C1E52B" w14:textId="77777777" w:rsidTr="00A953ED">
        <w:tc>
          <w:tcPr>
            <w:tcW w:w="0" w:type="auto"/>
            <w:vMerge/>
          </w:tcPr>
          <w:p w14:paraId="4E8D7DDB" w14:textId="77777777" w:rsidR="000723A1" w:rsidRPr="00C53FB5" w:rsidRDefault="000723A1" w:rsidP="000723A1">
            <w:pPr>
              <w:pStyle w:val="ECCTabletext"/>
            </w:pPr>
          </w:p>
        </w:tc>
        <w:tc>
          <w:tcPr>
            <w:tcW w:w="0" w:type="auto"/>
          </w:tcPr>
          <w:p w14:paraId="2522238A" w14:textId="77777777" w:rsidR="000723A1" w:rsidRPr="000723A1" w:rsidRDefault="000723A1" w:rsidP="000A69BD">
            <w:pPr>
              <w:pStyle w:val="ECCTabletext"/>
              <w:jc w:val="left"/>
            </w:pPr>
            <w:r w:rsidRPr="00C53FB5">
              <w:t>1</w:t>
            </w:r>
            <w:r w:rsidRPr="000723A1">
              <w:t>34 to 141 GHz</w:t>
            </w:r>
            <w:r w:rsidR="007B5AAD">
              <w:t xml:space="preserve"> (In-band)</w:t>
            </w:r>
          </w:p>
        </w:tc>
        <w:tc>
          <w:tcPr>
            <w:tcW w:w="0" w:type="auto"/>
          </w:tcPr>
          <w:p w14:paraId="29BA1B9B" w14:textId="77777777" w:rsidR="000723A1" w:rsidRPr="00143648" w:rsidRDefault="00143648" w:rsidP="00143648">
            <w:r w:rsidRPr="00143648">
              <w:t>68</w:t>
            </w:r>
            <w:r w:rsidR="000723A1" w:rsidRPr="00143648">
              <w:t> m</w:t>
            </w:r>
          </w:p>
        </w:tc>
      </w:tr>
      <w:tr w:rsidR="000723A1" w14:paraId="4EB9C1AF" w14:textId="77777777" w:rsidTr="00A953ED">
        <w:tc>
          <w:tcPr>
            <w:tcW w:w="0" w:type="auto"/>
          </w:tcPr>
          <w:p w14:paraId="208196FD" w14:textId="77777777" w:rsidR="000723A1" w:rsidRPr="000723A1" w:rsidRDefault="000723A1" w:rsidP="000A69BD">
            <w:pPr>
              <w:pStyle w:val="ECCTabletext"/>
              <w:jc w:val="left"/>
            </w:pPr>
            <w:r>
              <w:t>231</w:t>
            </w:r>
            <w:r w:rsidR="00CF4994">
              <w:t>.5</w:t>
            </w:r>
            <w:r>
              <w:t xml:space="preserve"> to 250 GHz</w:t>
            </w:r>
          </w:p>
        </w:tc>
        <w:tc>
          <w:tcPr>
            <w:tcW w:w="0" w:type="auto"/>
          </w:tcPr>
          <w:p w14:paraId="268A1EC2" w14:textId="77777777" w:rsidR="000723A1" w:rsidRPr="000723A1" w:rsidRDefault="000723A1" w:rsidP="000A69BD">
            <w:pPr>
              <w:pStyle w:val="ECCTabletext"/>
              <w:jc w:val="left"/>
            </w:pPr>
            <w:r w:rsidRPr="00C53FB5">
              <w:t xml:space="preserve">241 to </w:t>
            </w:r>
            <w:r w:rsidRPr="000723A1">
              <w:t>250 GHz</w:t>
            </w:r>
            <w:r w:rsidR="007B5AAD">
              <w:t xml:space="preserve"> (In-band)</w:t>
            </w:r>
          </w:p>
        </w:tc>
        <w:tc>
          <w:tcPr>
            <w:tcW w:w="0" w:type="auto"/>
          </w:tcPr>
          <w:p w14:paraId="1BCAD0D2" w14:textId="77777777" w:rsidR="000723A1" w:rsidRPr="00143648" w:rsidRDefault="00143648" w:rsidP="00143648">
            <w:r w:rsidRPr="00143648">
              <w:t>53</w:t>
            </w:r>
            <w:r w:rsidR="000723A1" w:rsidRPr="00143648">
              <w:t> m</w:t>
            </w:r>
          </w:p>
        </w:tc>
      </w:tr>
    </w:tbl>
    <w:p w14:paraId="474835A8" w14:textId="6D79E09E" w:rsidR="004B230C" w:rsidRDefault="004B230C" w:rsidP="004B230C">
      <w:r>
        <w:t xml:space="preserve">The conclusions drawn from these results can be found in </w:t>
      </w:r>
      <w:r w:rsidR="009D5FA2">
        <w:t>section</w:t>
      </w:r>
      <w:r w:rsidRPr="00F31C7A">
        <w:t xml:space="preserve"> </w:t>
      </w:r>
      <w:r>
        <w:fldChar w:fldCharType="begin"/>
      </w:r>
      <w:r>
        <w:instrText xml:space="preserve"> REF _Ref67393768 \r \h </w:instrText>
      </w:r>
      <w:r>
        <w:fldChar w:fldCharType="separate"/>
      </w:r>
      <w:r w:rsidR="004F49F9">
        <w:t>8.6.5</w:t>
      </w:r>
      <w:r>
        <w:fldChar w:fldCharType="end"/>
      </w:r>
      <w:r w:rsidRPr="00F31C7A">
        <w:t>.</w:t>
      </w:r>
    </w:p>
    <w:p w14:paraId="383F5B21" w14:textId="77777777" w:rsidR="00E25E2D" w:rsidRPr="00E25E2D" w:rsidRDefault="00E25E2D" w:rsidP="00E25E2D">
      <w:pPr>
        <w:pStyle w:val="Heading2"/>
      </w:pPr>
      <w:bookmarkStart w:id="824" w:name="_Toc84325440"/>
      <w:bookmarkStart w:id="825" w:name="_Toc127346362"/>
      <w:r w:rsidRPr="00B06E7F">
        <w:t xml:space="preserve">Tank Level </w:t>
      </w:r>
      <w:r w:rsidRPr="00E25E2D">
        <w:t>Probing Radar (TLPR)</w:t>
      </w:r>
      <w:bookmarkEnd w:id="824"/>
      <w:bookmarkEnd w:id="825"/>
    </w:p>
    <w:p w14:paraId="7197C672" w14:textId="77777777" w:rsidR="00E25E2D" w:rsidRDefault="00E25E2D" w:rsidP="00E25E2D">
      <w:pPr>
        <w:pStyle w:val="Heading3"/>
      </w:pPr>
      <w:bookmarkStart w:id="826" w:name="_Toc84325441"/>
      <w:bookmarkStart w:id="827" w:name="_Toc127346363"/>
      <w:r w:rsidRPr="00CA4843">
        <w:t xml:space="preserve">Technical parameters </w:t>
      </w:r>
      <w:r>
        <w:t>of TLPR</w:t>
      </w:r>
      <w:bookmarkEnd w:id="826"/>
      <w:bookmarkEnd w:id="827"/>
    </w:p>
    <w:p w14:paraId="66A4EBDD" w14:textId="76C9C0E6" w:rsidR="00E25E2D" w:rsidRPr="00E25E2D" w:rsidRDefault="00E25E2D" w:rsidP="00E25E2D">
      <w:r w:rsidRPr="00E25E2D">
        <w:t xml:space="preserve">For TLPR altogether three potential frequency bands have been defined (see </w:t>
      </w:r>
      <w:r w:rsidR="009D5FA2">
        <w:t>section</w:t>
      </w:r>
      <w:r w:rsidRPr="00E25E2D">
        <w:t xml:space="preserve"> </w:t>
      </w:r>
      <w:r w:rsidR="00213B79">
        <w:rPr>
          <w:highlight w:val="yellow"/>
        </w:rPr>
        <w:fldChar w:fldCharType="begin"/>
      </w:r>
      <w:r w:rsidR="00213B79">
        <w:instrText xml:space="preserve"> REF _Ref66452557 \r \h </w:instrText>
      </w:r>
      <w:r w:rsidR="00213B79">
        <w:rPr>
          <w:highlight w:val="yellow"/>
        </w:rPr>
      </w:r>
      <w:r w:rsidR="00213B79">
        <w:rPr>
          <w:highlight w:val="yellow"/>
        </w:rPr>
        <w:fldChar w:fldCharType="separate"/>
      </w:r>
      <w:r w:rsidR="004F49F9">
        <w:t>2.2.7.2</w:t>
      </w:r>
      <w:r w:rsidR="00213B79">
        <w:rPr>
          <w:highlight w:val="yellow"/>
        </w:rPr>
        <w:fldChar w:fldCharType="end"/>
      </w:r>
      <w:r w:rsidRPr="00E25E2D">
        <w:t>). However, only for the two frequency bands 116 to 148</w:t>
      </w:r>
      <w:r w:rsidR="00CF4994">
        <w:t>.5</w:t>
      </w:r>
      <w:r w:rsidRPr="00E25E2D">
        <w:t> GHz and 231</w:t>
      </w:r>
      <w:r w:rsidR="00CF4994">
        <w:t>.5</w:t>
      </w:r>
      <w:r w:rsidRPr="00E25E2D">
        <w:t xml:space="preserve"> to 250 GHz allocations for Amateur Service are affected which are located within these bands (please compare the figures in </w:t>
      </w:r>
      <w:r w:rsidR="009D5FA2">
        <w:t>section</w:t>
      </w:r>
      <w:r w:rsidRPr="00E25E2D">
        <w:t xml:space="preserve"> </w:t>
      </w:r>
      <w:r w:rsidR="00213B79">
        <w:rPr>
          <w:highlight w:val="yellow"/>
        </w:rPr>
        <w:fldChar w:fldCharType="begin"/>
      </w:r>
      <w:r w:rsidR="00213B79">
        <w:instrText xml:space="preserve"> REF _Ref66361706 \r \h </w:instrText>
      </w:r>
      <w:r w:rsidR="00213B79">
        <w:rPr>
          <w:highlight w:val="yellow"/>
        </w:rPr>
      </w:r>
      <w:r w:rsidR="00213B79">
        <w:rPr>
          <w:highlight w:val="yellow"/>
        </w:rPr>
        <w:fldChar w:fldCharType="separate"/>
      </w:r>
      <w:r w:rsidR="004F49F9">
        <w:t>3.3</w:t>
      </w:r>
      <w:r w:rsidR="00213B79">
        <w:rPr>
          <w:highlight w:val="yellow"/>
        </w:rPr>
        <w:fldChar w:fldCharType="end"/>
      </w:r>
      <w:r w:rsidRPr="00E25E2D">
        <w:t>). Consequently, these two bands have been investigated in single-entry studies. In these studies the individually required separation distances (</w:t>
      </w:r>
      <w:r w:rsidR="009D5FA2">
        <w:t>section</w:t>
      </w:r>
      <w:r w:rsidRPr="00E25E2D">
        <w:t xml:space="preserve"> </w:t>
      </w:r>
      <w:r w:rsidR="00213B79">
        <w:rPr>
          <w:highlight w:val="yellow"/>
        </w:rPr>
        <w:fldChar w:fldCharType="begin"/>
      </w:r>
      <w:r w:rsidR="00213B79">
        <w:instrText xml:space="preserve"> REF _Ref15293384 \r \h </w:instrText>
      </w:r>
      <w:r w:rsidR="00213B79">
        <w:rPr>
          <w:highlight w:val="yellow"/>
        </w:rPr>
      </w:r>
      <w:r w:rsidR="00213B79">
        <w:rPr>
          <w:highlight w:val="yellow"/>
        </w:rPr>
        <w:fldChar w:fldCharType="separate"/>
      </w:r>
      <w:r w:rsidR="004F49F9">
        <w:t>3.4.2</w:t>
      </w:r>
      <w:r w:rsidR="00213B79">
        <w:rPr>
          <w:highlight w:val="yellow"/>
        </w:rPr>
        <w:fldChar w:fldCharType="end"/>
      </w:r>
      <w:r w:rsidRPr="00E25E2D">
        <w:t>) is determined by means of the technical parameters (</w:t>
      </w:r>
      <w:r w:rsidR="009D5FA2">
        <w:t>section</w:t>
      </w:r>
      <w:r w:rsidRPr="00E25E2D">
        <w:t xml:space="preserve"> </w:t>
      </w:r>
      <w:r w:rsidR="00213B79">
        <w:rPr>
          <w:highlight w:val="yellow"/>
        </w:rPr>
        <w:fldChar w:fldCharType="begin"/>
      </w:r>
      <w:r w:rsidR="00213B79">
        <w:instrText xml:space="preserve"> REF _Ref66452573 \r \h </w:instrText>
      </w:r>
      <w:r w:rsidR="00213B79">
        <w:rPr>
          <w:highlight w:val="yellow"/>
        </w:rPr>
      </w:r>
      <w:r w:rsidR="00213B79">
        <w:rPr>
          <w:highlight w:val="yellow"/>
        </w:rPr>
        <w:fldChar w:fldCharType="separate"/>
      </w:r>
      <w:r w:rsidR="004F49F9">
        <w:t>2.2.7.3</w:t>
      </w:r>
      <w:r w:rsidR="00213B79">
        <w:rPr>
          <w:highlight w:val="yellow"/>
        </w:rPr>
        <w:fldChar w:fldCharType="end"/>
      </w:r>
      <w:r w:rsidRPr="00E25E2D">
        <w:t>), the antenna data (</w:t>
      </w:r>
      <w:r w:rsidR="009D5FA2">
        <w:t>section</w:t>
      </w:r>
      <w:r w:rsidRPr="00E25E2D">
        <w:t xml:space="preserve"> </w:t>
      </w:r>
      <w:r w:rsidR="00213B79">
        <w:rPr>
          <w:highlight w:val="yellow"/>
        </w:rPr>
        <w:fldChar w:fldCharType="begin"/>
      </w:r>
      <w:r w:rsidR="00213B79">
        <w:instrText xml:space="preserve"> REF _Ref66452566 \r \h </w:instrText>
      </w:r>
      <w:r w:rsidR="00213B79">
        <w:rPr>
          <w:highlight w:val="yellow"/>
        </w:rPr>
      </w:r>
      <w:r w:rsidR="00213B79">
        <w:rPr>
          <w:highlight w:val="yellow"/>
        </w:rPr>
        <w:fldChar w:fldCharType="separate"/>
      </w:r>
      <w:r w:rsidR="004F49F9">
        <w:t>2.2.7.4</w:t>
      </w:r>
      <w:r w:rsidR="00213B79">
        <w:rPr>
          <w:highlight w:val="yellow"/>
        </w:rPr>
        <w:fldChar w:fldCharType="end"/>
      </w:r>
      <w:r w:rsidRPr="00E25E2D">
        <w:t>), the defined interference scenarios (</w:t>
      </w:r>
      <w:r w:rsidR="009D5FA2">
        <w:t>section</w:t>
      </w:r>
      <w:r w:rsidRPr="00E25E2D">
        <w:t xml:space="preserve"> </w:t>
      </w:r>
      <w:r w:rsidR="00213B79">
        <w:rPr>
          <w:highlight w:val="yellow"/>
        </w:rPr>
        <w:fldChar w:fldCharType="begin"/>
      </w:r>
      <w:r w:rsidR="00213B79">
        <w:instrText xml:space="preserve"> REF _Ref27486211 \r \h </w:instrText>
      </w:r>
      <w:r w:rsidR="00213B79">
        <w:rPr>
          <w:highlight w:val="yellow"/>
        </w:rPr>
      </w:r>
      <w:r w:rsidR="00213B79">
        <w:rPr>
          <w:highlight w:val="yellow"/>
        </w:rPr>
        <w:fldChar w:fldCharType="separate"/>
      </w:r>
      <w:r w:rsidR="004F49F9">
        <w:t>2.2.7.6</w:t>
      </w:r>
      <w:r w:rsidR="00213B79">
        <w:rPr>
          <w:highlight w:val="yellow"/>
        </w:rPr>
        <w:fldChar w:fldCharType="end"/>
      </w:r>
      <w:r w:rsidRPr="00E25E2D">
        <w:t>) and the protection requirements for Amateur Service (</w:t>
      </w:r>
      <w:r w:rsidR="009D5FA2">
        <w:t>section</w:t>
      </w:r>
      <w:r w:rsidRPr="00E25E2D">
        <w:t xml:space="preserve"> </w:t>
      </w:r>
      <w:r w:rsidR="00213B79">
        <w:rPr>
          <w:highlight w:val="yellow"/>
        </w:rPr>
        <w:fldChar w:fldCharType="begin"/>
      </w:r>
      <w:r w:rsidR="00213B79">
        <w:instrText xml:space="preserve"> REF _Ref67243991 \r \h </w:instrText>
      </w:r>
      <w:r w:rsidR="00213B79">
        <w:rPr>
          <w:highlight w:val="yellow"/>
        </w:rPr>
      </w:r>
      <w:r w:rsidR="00213B79">
        <w:rPr>
          <w:highlight w:val="yellow"/>
        </w:rPr>
        <w:fldChar w:fldCharType="separate"/>
      </w:r>
      <w:r w:rsidR="004F49F9">
        <w:t>3.5.5</w:t>
      </w:r>
      <w:r w:rsidR="00213B79">
        <w:rPr>
          <w:highlight w:val="yellow"/>
        </w:rPr>
        <w:fldChar w:fldCharType="end"/>
      </w:r>
      <w:r w:rsidRPr="00E25E2D">
        <w:t xml:space="preserve">). The exact calculations can be found in an Excel-spreadsheet which is attached to this </w:t>
      </w:r>
      <w:hyperlink r:id="rId176" w:history="1">
        <w:r w:rsidR="000839A0">
          <w:rPr>
            <w:rStyle w:val="Hyperlink"/>
          </w:rPr>
          <w:t>Report</w:t>
        </w:r>
      </w:hyperlink>
      <w:r w:rsidRPr="00E25E2D">
        <w:t>.</w:t>
      </w:r>
    </w:p>
    <w:p w14:paraId="5FF95F37" w14:textId="63064B34" w:rsidR="00E25E2D" w:rsidRPr="00E25E2D" w:rsidRDefault="00E25E2D" w:rsidP="00E25E2D">
      <w:r w:rsidRPr="00E25E2D">
        <w:t>The following technical parameters of the TLPR application (</w:t>
      </w:r>
      <w:r w:rsidR="009D5FA2">
        <w:t>section</w:t>
      </w:r>
      <w:r w:rsidRPr="00E25E2D">
        <w:t xml:space="preserve"> </w:t>
      </w:r>
      <w:r w:rsidR="00213B79">
        <w:rPr>
          <w:highlight w:val="yellow"/>
        </w:rPr>
        <w:fldChar w:fldCharType="begin"/>
      </w:r>
      <w:r w:rsidR="00213B79">
        <w:instrText xml:space="preserve"> REF _Ref66452573 \r \h </w:instrText>
      </w:r>
      <w:r w:rsidR="00213B79">
        <w:rPr>
          <w:highlight w:val="yellow"/>
        </w:rPr>
      </w:r>
      <w:r w:rsidR="00213B79">
        <w:rPr>
          <w:highlight w:val="yellow"/>
        </w:rPr>
        <w:fldChar w:fldCharType="separate"/>
      </w:r>
      <w:r w:rsidR="004F49F9">
        <w:t>2.2.7.3</w:t>
      </w:r>
      <w:r w:rsidR="00213B79">
        <w:rPr>
          <w:highlight w:val="yellow"/>
        </w:rPr>
        <w:fldChar w:fldCharType="end"/>
      </w:r>
      <w:r w:rsidRPr="00E25E2D">
        <w:t>) have been used in the studies in the different frequency ranges.</w:t>
      </w:r>
    </w:p>
    <w:p w14:paraId="4B147048" w14:textId="77777777" w:rsidR="00E363F2" w:rsidRDefault="00E363F2" w:rsidP="00E25E2D">
      <w:pPr>
        <w:pStyle w:val="Caption"/>
      </w:pPr>
    </w:p>
    <w:p w14:paraId="651C4C04" w14:textId="77777777" w:rsidR="00E363F2" w:rsidRDefault="00E363F2" w:rsidP="00E25E2D">
      <w:pPr>
        <w:pStyle w:val="Caption"/>
      </w:pPr>
    </w:p>
    <w:p w14:paraId="7B9A7772" w14:textId="77777777" w:rsidR="00E363F2" w:rsidRDefault="00E363F2" w:rsidP="00E25E2D">
      <w:pPr>
        <w:pStyle w:val="Caption"/>
      </w:pPr>
    </w:p>
    <w:p w14:paraId="42D6B8CF" w14:textId="77777777" w:rsidR="00E363F2" w:rsidRDefault="00E363F2" w:rsidP="00E25E2D">
      <w:pPr>
        <w:pStyle w:val="Caption"/>
      </w:pPr>
    </w:p>
    <w:p w14:paraId="34FD333A" w14:textId="77777777" w:rsidR="00E363F2" w:rsidRDefault="00E363F2" w:rsidP="00E25E2D">
      <w:pPr>
        <w:pStyle w:val="Caption"/>
      </w:pPr>
    </w:p>
    <w:p w14:paraId="7CC6AA54" w14:textId="013E18F3" w:rsidR="00E25E2D" w:rsidRDefault="00213B79" w:rsidP="00E25E2D">
      <w:pPr>
        <w:pStyle w:val="Caption"/>
        <w:rPr>
          <w:rStyle w:val="ECCParagraph"/>
        </w:rPr>
      </w:pPr>
      <w:r w:rsidRPr="00477961">
        <w:t>Table </w:t>
      </w:r>
      <w:r>
        <w:fldChar w:fldCharType="begin"/>
      </w:r>
      <w:r>
        <w:instrText>SEQ Table \* ARABIC</w:instrText>
      </w:r>
      <w:r>
        <w:fldChar w:fldCharType="separate"/>
      </w:r>
      <w:r w:rsidR="004F49F9">
        <w:rPr>
          <w:noProof/>
        </w:rPr>
        <w:t>121</w:t>
      </w:r>
      <w:r>
        <w:fldChar w:fldCharType="end"/>
      </w:r>
      <w:r w:rsidR="00E25E2D">
        <w:t>: Technical parameters of TLPR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906950" w:rsidRPr="00566944" w14:paraId="6BB59BFD"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6C814130" w14:textId="77777777" w:rsidR="00906950" w:rsidRPr="00906950" w:rsidRDefault="00906950" w:rsidP="00876039">
            <w:pPr>
              <w:pStyle w:val="ECCTableHeaderwhitefont"/>
            </w:pPr>
            <w:r w:rsidRPr="00906950">
              <w:t>Investigated frequency range</w:t>
            </w:r>
          </w:p>
        </w:tc>
        <w:tc>
          <w:tcPr>
            <w:tcW w:w="1569" w:type="dxa"/>
          </w:tcPr>
          <w:p w14:paraId="35AEC533" w14:textId="77777777" w:rsidR="00906950" w:rsidRPr="00906950" w:rsidRDefault="00906950" w:rsidP="00755979">
            <w:pPr>
              <w:pStyle w:val="ECCTableHeaderwhitefont"/>
            </w:pPr>
            <w:r w:rsidRPr="00906950">
              <w:t>Modulation bandwidth</w:t>
            </w:r>
          </w:p>
        </w:tc>
        <w:tc>
          <w:tcPr>
            <w:tcW w:w="1513" w:type="dxa"/>
          </w:tcPr>
          <w:p w14:paraId="0CD00BA0" w14:textId="77777777" w:rsidR="00906950" w:rsidRPr="00906950" w:rsidRDefault="00906950" w:rsidP="00755979">
            <w:pPr>
              <w:pStyle w:val="ECCTableHeaderwhitefont"/>
            </w:pPr>
            <w:r w:rsidRPr="00906950">
              <w:t>Duty cycle</w:t>
            </w:r>
          </w:p>
        </w:tc>
        <w:tc>
          <w:tcPr>
            <w:tcW w:w="1767" w:type="dxa"/>
          </w:tcPr>
          <w:p w14:paraId="245AA14A" w14:textId="77777777" w:rsidR="00906950" w:rsidRPr="00906950" w:rsidRDefault="00906950" w:rsidP="00755979">
            <w:pPr>
              <w:pStyle w:val="ECCTableHeaderwhitefont"/>
            </w:pPr>
            <w:r w:rsidRPr="00906950">
              <w:t xml:space="preserve">Mean e.i.r.p. spectral density </w:t>
            </w:r>
          </w:p>
        </w:tc>
        <w:tc>
          <w:tcPr>
            <w:tcW w:w="1437" w:type="dxa"/>
          </w:tcPr>
          <w:p w14:paraId="43EA5525" w14:textId="77777777" w:rsidR="00906950" w:rsidRPr="00906950" w:rsidRDefault="00906950" w:rsidP="00755979">
            <w:pPr>
              <w:pStyle w:val="ECCTableHeaderwhitefont"/>
            </w:pPr>
            <w:r w:rsidRPr="00906950">
              <w:t>Peak e.i.r.p.</w:t>
            </w:r>
          </w:p>
        </w:tc>
        <w:tc>
          <w:tcPr>
            <w:tcW w:w="1437" w:type="dxa"/>
          </w:tcPr>
          <w:p w14:paraId="0FD14E4D" w14:textId="77777777" w:rsidR="00906950" w:rsidRPr="00906950" w:rsidRDefault="00906950" w:rsidP="00755979">
            <w:pPr>
              <w:pStyle w:val="ECCTableHeaderwhitefont"/>
            </w:pPr>
            <w:r w:rsidRPr="00906950">
              <w:t>OOB attenuation (Note 1)</w:t>
            </w:r>
          </w:p>
        </w:tc>
      </w:tr>
      <w:tr w:rsidR="00DD51FB" w:rsidRPr="00C53FB5" w14:paraId="49D0CF93" w14:textId="77777777" w:rsidTr="00BF4052">
        <w:tc>
          <w:tcPr>
            <w:tcW w:w="1838" w:type="dxa"/>
          </w:tcPr>
          <w:p w14:paraId="312E25B5" w14:textId="77777777" w:rsidR="00DD51FB" w:rsidRPr="00DD51FB" w:rsidRDefault="00DD51FB" w:rsidP="000A69BD">
            <w:pPr>
              <w:pStyle w:val="ECCTabletext"/>
              <w:jc w:val="left"/>
            </w:pPr>
            <w:r w:rsidRPr="00C53FB5">
              <w:t xml:space="preserve">116 to </w:t>
            </w:r>
            <w:r w:rsidRPr="00DD51FB">
              <w:t>148</w:t>
            </w:r>
            <w:r w:rsidR="00CF4994">
              <w:t>.5</w:t>
            </w:r>
            <w:r w:rsidRPr="00DD51FB">
              <w:t> GHz</w:t>
            </w:r>
          </w:p>
        </w:tc>
        <w:tc>
          <w:tcPr>
            <w:tcW w:w="1569" w:type="dxa"/>
          </w:tcPr>
          <w:p w14:paraId="526960B4" w14:textId="77777777" w:rsidR="00DD51FB" w:rsidRPr="00DD51FB" w:rsidRDefault="00DD51FB" w:rsidP="000A69BD">
            <w:pPr>
              <w:pStyle w:val="ECCTabletext"/>
              <w:jc w:val="left"/>
            </w:pPr>
            <w:r w:rsidRPr="00E7470D">
              <w:t>1 GHz</w:t>
            </w:r>
          </w:p>
        </w:tc>
        <w:tc>
          <w:tcPr>
            <w:tcW w:w="1513" w:type="dxa"/>
          </w:tcPr>
          <w:p w14:paraId="2FAFABF7" w14:textId="3503B252" w:rsidR="00DD51FB" w:rsidRPr="00DD51FB" w:rsidRDefault="00880CFC" w:rsidP="000A69BD">
            <w:pPr>
              <w:pStyle w:val="ECCTabletext"/>
              <w:jc w:val="left"/>
            </w:pPr>
            <w:r>
              <w:t>100</w:t>
            </w:r>
            <w:r w:rsidR="00F800A2">
              <w:t>%</w:t>
            </w:r>
          </w:p>
        </w:tc>
        <w:tc>
          <w:tcPr>
            <w:tcW w:w="1767" w:type="dxa"/>
          </w:tcPr>
          <w:p w14:paraId="0164DCA7" w14:textId="77777777" w:rsidR="00DD51FB" w:rsidRPr="00DD51FB" w:rsidRDefault="00DD51FB" w:rsidP="000A69BD">
            <w:pPr>
              <w:pStyle w:val="ECCTabletext"/>
              <w:jc w:val="left"/>
            </w:pPr>
            <w:r w:rsidRPr="00E7470D">
              <w:t>12 dBm/MHz</w:t>
            </w:r>
          </w:p>
        </w:tc>
        <w:tc>
          <w:tcPr>
            <w:tcW w:w="1437" w:type="dxa"/>
          </w:tcPr>
          <w:p w14:paraId="1571B5CF" w14:textId="77777777" w:rsidR="00DD51FB" w:rsidRPr="00DD51FB" w:rsidRDefault="00DD51FB" w:rsidP="000A69BD">
            <w:pPr>
              <w:pStyle w:val="ECCTabletext"/>
              <w:jc w:val="left"/>
            </w:pPr>
            <w:r w:rsidRPr="00CE5E68">
              <w:t>42 dBm</w:t>
            </w:r>
          </w:p>
        </w:tc>
        <w:tc>
          <w:tcPr>
            <w:tcW w:w="1437" w:type="dxa"/>
          </w:tcPr>
          <w:p w14:paraId="46587016" w14:textId="77777777" w:rsidR="00DD51FB" w:rsidRPr="00DD51FB" w:rsidRDefault="00DD51FB" w:rsidP="000A69BD">
            <w:pPr>
              <w:pStyle w:val="ECCTabletext"/>
              <w:jc w:val="left"/>
            </w:pPr>
            <w:r>
              <w:t>20</w:t>
            </w:r>
            <w:r w:rsidRPr="00DD51FB">
              <w:t> dB</w:t>
            </w:r>
          </w:p>
        </w:tc>
      </w:tr>
      <w:tr w:rsidR="00DD51FB" w:rsidRPr="00C53FB5" w14:paraId="68672BB8" w14:textId="77777777" w:rsidTr="00BF4052">
        <w:tc>
          <w:tcPr>
            <w:tcW w:w="1838" w:type="dxa"/>
          </w:tcPr>
          <w:p w14:paraId="6AB818CF" w14:textId="77777777" w:rsidR="00DD51FB" w:rsidRPr="00DD51FB" w:rsidRDefault="00DD51FB" w:rsidP="000A69BD">
            <w:pPr>
              <w:pStyle w:val="ECCTabletext"/>
              <w:jc w:val="left"/>
            </w:pPr>
            <w:r>
              <w:t>231</w:t>
            </w:r>
            <w:r w:rsidR="00CF4994">
              <w:t>.5</w:t>
            </w:r>
            <w:r w:rsidRPr="00DD51FB">
              <w:t xml:space="preserve"> to 250 GHz</w:t>
            </w:r>
          </w:p>
        </w:tc>
        <w:tc>
          <w:tcPr>
            <w:tcW w:w="1569" w:type="dxa"/>
          </w:tcPr>
          <w:p w14:paraId="339CB84F" w14:textId="77777777" w:rsidR="00DD51FB" w:rsidRPr="00DD51FB" w:rsidRDefault="00DD51FB" w:rsidP="000A69BD">
            <w:pPr>
              <w:pStyle w:val="ECCTabletext"/>
              <w:jc w:val="left"/>
            </w:pPr>
            <w:r w:rsidRPr="00E7470D">
              <w:t>1 GHz</w:t>
            </w:r>
          </w:p>
        </w:tc>
        <w:tc>
          <w:tcPr>
            <w:tcW w:w="1513" w:type="dxa"/>
          </w:tcPr>
          <w:p w14:paraId="1E5772E3" w14:textId="69DCC0D0" w:rsidR="00DD51FB" w:rsidRPr="00DD51FB" w:rsidRDefault="00880CFC" w:rsidP="000A69BD">
            <w:pPr>
              <w:pStyle w:val="ECCTabletext"/>
              <w:jc w:val="left"/>
            </w:pPr>
            <w:r>
              <w:t>100</w:t>
            </w:r>
            <w:r w:rsidR="00F800A2">
              <w:t>%</w:t>
            </w:r>
          </w:p>
        </w:tc>
        <w:tc>
          <w:tcPr>
            <w:tcW w:w="1767" w:type="dxa"/>
          </w:tcPr>
          <w:p w14:paraId="1BDF2D2F" w14:textId="77777777" w:rsidR="00DD51FB" w:rsidRPr="00DD51FB" w:rsidRDefault="00880CFC" w:rsidP="000A69BD">
            <w:pPr>
              <w:pStyle w:val="ECCTabletext"/>
              <w:jc w:val="left"/>
            </w:pPr>
            <w:r>
              <w:t>12</w:t>
            </w:r>
            <w:r w:rsidR="00DD51FB" w:rsidRPr="00E7470D">
              <w:t> dBm/MHz</w:t>
            </w:r>
          </w:p>
        </w:tc>
        <w:tc>
          <w:tcPr>
            <w:tcW w:w="1437" w:type="dxa"/>
          </w:tcPr>
          <w:p w14:paraId="5BD518D3" w14:textId="77777777" w:rsidR="00DD51FB" w:rsidRPr="00DD51FB" w:rsidRDefault="00880CFC" w:rsidP="000A69BD">
            <w:pPr>
              <w:pStyle w:val="ECCTabletext"/>
              <w:jc w:val="left"/>
            </w:pPr>
            <w:r>
              <w:t>42</w:t>
            </w:r>
            <w:r w:rsidR="00DD51FB" w:rsidRPr="00CE5E68">
              <w:t> dBm</w:t>
            </w:r>
          </w:p>
        </w:tc>
        <w:tc>
          <w:tcPr>
            <w:tcW w:w="1437" w:type="dxa"/>
          </w:tcPr>
          <w:p w14:paraId="19262BB3" w14:textId="77777777" w:rsidR="00DD51FB" w:rsidRPr="00CE5E68" w:rsidRDefault="00DD51FB" w:rsidP="000A69BD">
            <w:pPr>
              <w:pStyle w:val="ECCTabletext"/>
              <w:jc w:val="left"/>
            </w:pPr>
            <w:r>
              <w:t>20 dB</w:t>
            </w:r>
          </w:p>
        </w:tc>
      </w:tr>
      <w:tr w:rsidR="00200700" w:rsidRPr="00C53FB5" w14:paraId="36949116" w14:textId="77777777" w:rsidTr="00200700">
        <w:tc>
          <w:tcPr>
            <w:tcW w:w="9561" w:type="dxa"/>
            <w:gridSpan w:val="6"/>
          </w:tcPr>
          <w:p w14:paraId="59052CCD" w14:textId="77777777" w:rsidR="00200700" w:rsidRDefault="00200700" w:rsidP="00464AE0">
            <w:pPr>
              <w:pStyle w:val="ECCTablenote"/>
            </w:pPr>
            <w:r>
              <w:t>Note 1</w:t>
            </w:r>
            <w:r w:rsidRPr="00200700">
              <w:t>: Assumed out-of-band attenuation of the TLPR-signal in adjacent bands allocated to Amateur.</w:t>
            </w:r>
          </w:p>
        </w:tc>
      </w:tr>
    </w:tbl>
    <w:p w14:paraId="7C8EBFF2" w14:textId="77777777" w:rsidR="00E25E2D" w:rsidRDefault="00E25E2D" w:rsidP="00E25E2D">
      <w:pPr>
        <w:pStyle w:val="Heading3"/>
      </w:pPr>
      <w:bookmarkStart w:id="828" w:name="_Ref67391173"/>
      <w:bookmarkStart w:id="829" w:name="_Toc84325442"/>
      <w:bookmarkStart w:id="830" w:name="_Toc127346364"/>
      <w:r>
        <w:t>Results</w:t>
      </w:r>
      <w:bookmarkEnd w:id="828"/>
      <w:bookmarkEnd w:id="829"/>
      <w:bookmarkEnd w:id="830"/>
    </w:p>
    <w:p w14:paraId="0B66A7A5" w14:textId="2C00ADF2" w:rsidR="00E25E2D" w:rsidRPr="00E25E2D" w:rsidRDefault="00DA4704" w:rsidP="00E25E2D">
      <w:r>
        <w:fldChar w:fldCharType="begin"/>
      </w:r>
      <w:r>
        <w:instrText xml:space="preserve"> REF _Ref67244075 \h </w:instrText>
      </w:r>
      <w:r>
        <w:fldChar w:fldCharType="separate"/>
      </w:r>
      <w:r w:rsidR="0041125F" w:rsidRPr="00477961">
        <w:t>Table </w:t>
      </w:r>
      <w:r w:rsidR="0041125F">
        <w:rPr>
          <w:noProof/>
        </w:rPr>
        <w:t>122</w:t>
      </w:r>
      <w:r>
        <w:fldChar w:fldCharType="end"/>
      </w:r>
      <w:r>
        <w:t xml:space="preserve"> </w:t>
      </w:r>
      <w:r w:rsidR="00E25E2D" w:rsidRPr="00E25E2D">
        <w:t>shows the single-entry wo</w:t>
      </w:r>
      <w:r w:rsidR="00B22022">
        <w:t>r</w:t>
      </w:r>
      <w:r w:rsidR="00E25E2D" w:rsidRPr="00E25E2D">
        <w:t>st-case results for TLPR, e.g. the largest separation distances for the individual frequency ranges and Amateur victim receivers.</w:t>
      </w:r>
    </w:p>
    <w:p w14:paraId="7C3A1AD0" w14:textId="3A3B3BBC" w:rsidR="00E25E2D" w:rsidRDefault="00DA4704" w:rsidP="00E25E2D">
      <w:pPr>
        <w:pStyle w:val="Caption"/>
      </w:pPr>
      <w:bookmarkStart w:id="831" w:name="_Ref67244075"/>
      <w:r w:rsidRPr="00477961">
        <w:t>Table </w:t>
      </w:r>
      <w:r>
        <w:fldChar w:fldCharType="begin"/>
      </w:r>
      <w:r>
        <w:instrText>SEQ Table \* ARABIC</w:instrText>
      </w:r>
      <w:r>
        <w:fldChar w:fldCharType="separate"/>
      </w:r>
      <w:r w:rsidR="004F49F9">
        <w:rPr>
          <w:noProof/>
        </w:rPr>
        <w:t>122</w:t>
      </w:r>
      <w:r>
        <w:fldChar w:fldCharType="end"/>
      </w:r>
      <w:bookmarkEnd w:id="831"/>
      <w:r w:rsidR="00E25E2D">
        <w:t>: Required separation distances determined in a single-entry study for tank level probing radar (TLPR)</w:t>
      </w:r>
    </w:p>
    <w:tbl>
      <w:tblPr>
        <w:tblStyle w:val="ECCTable-redheader"/>
        <w:tblW w:w="0" w:type="auto"/>
        <w:tblInd w:w="0" w:type="dxa"/>
        <w:tblLook w:val="04A0" w:firstRow="1" w:lastRow="0" w:firstColumn="1" w:lastColumn="0" w:noHBand="0" w:noVBand="1"/>
      </w:tblPr>
      <w:tblGrid>
        <w:gridCol w:w="2263"/>
        <w:gridCol w:w="2977"/>
        <w:gridCol w:w="2552"/>
      </w:tblGrid>
      <w:tr w:rsidR="00E25E2D" w14:paraId="671D0AA4" w14:textId="77777777" w:rsidTr="00DD51FB">
        <w:trPr>
          <w:cnfStyle w:val="100000000000" w:firstRow="1" w:lastRow="0" w:firstColumn="0" w:lastColumn="0" w:oddVBand="0" w:evenVBand="0" w:oddHBand="0" w:evenHBand="0" w:firstRowFirstColumn="0" w:firstRowLastColumn="0" w:lastRowFirstColumn="0" w:lastRowLastColumn="0"/>
        </w:trPr>
        <w:tc>
          <w:tcPr>
            <w:tcW w:w="2263" w:type="dxa"/>
          </w:tcPr>
          <w:p w14:paraId="5C238E67" w14:textId="77777777" w:rsidR="00E25E2D" w:rsidRPr="00E25E2D" w:rsidRDefault="00E25E2D" w:rsidP="00876039">
            <w:pPr>
              <w:pStyle w:val="ECCTableHeaderwhitefont"/>
            </w:pPr>
            <w:r w:rsidRPr="00E25E2D">
              <w:t>Investigated Frequency range</w:t>
            </w:r>
          </w:p>
        </w:tc>
        <w:tc>
          <w:tcPr>
            <w:tcW w:w="2977" w:type="dxa"/>
          </w:tcPr>
          <w:p w14:paraId="5B1AF489" w14:textId="77777777" w:rsidR="00E25E2D" w:rsidRPr="00E25E2D" w:rsidRDefault="00E25E2D" w:rsidP="000A69BD">
            <w:pPr>
              <w:pStyle w:val="ECCTableHeaderwhitefont"/>
            </w:pPr>
            <w:r w:rsidRPr="00E25E2D">
              <w:t>Allocated band for Amateur Service</w:t>
            </w:r>
          </w:p>
        </w:tc>
        <w:tc>
          <w:tcPr>
            <w:tcW w:w="2552" w:type="dxa"/>
          </w:tcPr>
          <w:p w14:paraId="342413EC" w14:textId="77777777" w:rsidR="00E25E2D" w:rsidRPr="00E25E2D" w:rsidRDefault="00E25E2D" w:rsidP="000A69BD">
            <w:pPr>
              <w:pStyle w:val="ECCTableHeaderwhitefont"/>
            </w:pPr>
            <w:r w:rsidRPr="00E25E2D">
              <w:t>Required separation distance for all Amateur Services</w:t>
            </w:r>
          </w:p>
        </w:tc>
      </w:tr>
      <w:tr w:rsidR="00E25E2D" w14:paraId="0727A18F" w14:textId="77777777" w:rsidTr="00DD51FB">
        <w:tc>
          <w:tcPr>
            <w:tcW w:w="2263" w:type="dxa"/>
            <w:vMerge w:val="restart"/>
          </w:tcPr>
          <w:p w14:paraId="602E2179" w14:textId="77777777" w:rsidR="00E25E2D" w:rsidRPr="00E25E2D" w:rsidRDefault="00E25E2D" w:rsidP="000A69BD">
            <w:pPr>
              <w:pStyle w:val="ECCTabletext"/>
              <w:jc w:val="left"/>
            </w:pPr>
            <w:r w:rsidRPr="00C53FB5">
              <w:t xml:space="preserve">116 to </w:t>
            </w:r>
            <w:r w:rsidRPr="00E25E2D">
              <w:t>148</w:t>
            </w:r>
            <w:r w:rsidR="00CF4994">
              <w:t>.5</w:t>
            </w:r>
            <w:r w:rsidRPr="00E25E2D">
              <w:t> GHz</w:t>
            </w:r>
          </w:p>
        </w:tc>
        <w:tc>
          <w:tcPr>
            <w:tcW w:w="2977" w:type="dxa"/>
          </w:tcPr>
          <w:p w14:paraId="64C70E60" w14:textId="77777777" w:rsidR="00E25E2D" w:rsidRPr="00E25E2D" w:rsidRDefault="00E25E2D" w:rsidP="000A69BD">
            <w:pPr>
              <w:pStyle w:val="ECCTabletext"/>
              <w:jc w:val="left"/>
            </w:pPr>
            <w:r w:rsidRPr="00C53FB5">
              <w:t>12</w:t>
            </w:r>
            <w:r w:rsidRPr="00E25E2D">
              <w:t>2</w:t>
            </w:r>
            <w:r w:rsidR="00CF4994">
              <w:t>.2</w:t>
            </w:r>
            <w:r w:rsidRPr="00E25E2D">
              <w:t>5 to 123 GHz</w:t>
            </w:r>
            <w:r w:rsidR="00DD51FB">
              <w:t xml:space="preserve"> (In-band)</w:t>
            </w:r>
          </w:p>
        </w:tc>
        <w:tc>
          <w:tcPr>
            <w:tcW w:w="2552" w:type="dxa"/>
          </w:tcPr>
          <w:p w14:paraId="437F5689" w14:textId="77777777" w:rsidR="00E25E2D" w:rsidRPr="00E25E2D" w:rsidRDefault="00AD089B" w:rsidP="000A69BD">
            <w:pPr>
              <w:pStyle w:val="ECCTabletext"/>
              <w:jc w:val="left"/>
            </w:pPr>
            <w:r>
              <w:t>31</w:t>
            </w:r>
            <w:r w:rsidR="00E25E2D">
              <w:t> m</w:t>
            </w:r>
          </w:p>
        </w:tc>
      </w:tr>
      <w:tr w:rsidR="00E25E2D" w14:paraId="76BB40A6" w14:textId="77777777" w:rsidTr="00DD51FB">
        <w:tc>
          <w:tcPr>
            <w:tcW w:w="2263" w:type="dxa"/>
            <w:vMerge/>
          </w:tcPr>
          <w:p w14:paraId="166DB1FC" w14:textId="77777777" w:rsidR="00E25E2D" w:rsidRPr="00C53FB5" w:rsidRDefault="00E25E2D" w:rsidP="00E25E2D">
            <w:pPr>
              <w:pStyle w:val="ECCTabletext"/>
            </w:pPr>
          </w:p>
        </w:tc>
        <w:tc>
          <w:tcPr>
            <w:tcW w:w="2977" w:type="dxa"/>
          </w:tcPr>
          <w:p w14:paraId="0951CB85" w14:textId="77777777" w:rsidR="00E25E2D" w:rsidRPr="00E25E2D" w:rsidRDefault="00E25E2D" w:rsidP="000A69BD">
            <w:pPr>
              <w:pStyle w:val="ECCTabletext"/>
              <w:jc w:val="left"/>
            </w:pPr>
            <w:r w:rsidRPr="00C53FB5">
              <w:t>1</w:t>
            </w:r>
            <w:r w:rsidRPr="00E25E2D">
              <w:t>34 to 141 GHz</w:t>
            </w:r>
            <w:r w:rsidR="00DD51FB">
              <w:t xml:space="preserve"> (In-band)</w:t>
            </w:r>
          </w:p>
        </w:tc>
        <w:tc>
          <w:tcPr>
            <w:tcW w:w="2552" w:type="dxa"/>
          </w:tcPr>
          <w:p w14:paraId="21F95EEC" w14:textId="77777777" w:rsidR="00E25E2D" w:rsidRPr="00E25E2D" w:rsidRDefault="00AD089B" w:rsidP="000A69BD">
            <w:pPr>
              <w:pStyle w:val="ECCTabletext"/>
              <w:jc w:val="left"/>
            </w:pPr>
            <w:r>
              <w:t>22</w:t>
            </w:r>
            <w:r w:rsidR="00E25E2D">
              <w:t> m</w:t>
            </w:r>
          </w:p>
        </w:tc>
      </w:tr>
      <w:tr w:rsidR="00E25E2D" w14:paraId="374D1C47" w14:textId="77777777" w:rsidTr="00DD51FB">
        <w:tc>
          <w:tcPr>
            <w:tcW w:w="2263" w:type="dxa"/>
          </w:tcPr>
          <w:p w14:paraId="08AC13FF" w14:textId="77777777" w:rsidR="00E25E2D" w:rsidRPr="00E25E2D" w:rsidRDefault="00E25E2D" w:rsidP="000A69BD">
            <w:pPr>
              <w:pStyle w:val="ECCTabletext"/>
              <w:jc w:val="left"/>
            </w:pPr>
            <w:r>
              <w:t>231</w:t>
            </w:r>
            <w:r w:rsidR="00CF4994">
              <w:t>.5</w:t>
            </w:r>
            <w:r>
              <w:t xml:space="preserve"> to 250 GHz</w:t>
            </w:r>
          </w:p>
        </w:tc>
        <w:tc>
          <w:tcPr>
            <w:tcW w:w="2977" w:type="dxa"/>
          </w:tcPr>
          <w:p w14:paraId="4C87E27F" w14:textId="77777777" w:rsidR="00E25E2D" w:rsidRPr="00E25E2D" w:rsidRDefault="00E25E2D" w:rsidP="000A69BD">
            <w:pPr>
              <w:pStyle w:val="ECCTabletext"/>
              <w:jc w:val="left"/>
            </w:pPr>
            <w:r w:rsidRPr="00C53FB5">
              <w:t xml:space="preserve">241 to </w:t>
            </w:r>
            <w:r w:rsidRPr="00E25E2D">
              <w:t>250 GHz</w:t>
            </w:r>
            <w:r w:rsidR="00DD51FB">
              <w:t xml:space="preserve"> (In-band)</w:t>
            </w:r>
          </w:p>
        </w:tc>
        <w:tc>
          <w:tcPr>
            <w:tcW w:w="2552" w:type="dxa"/>
          </w:tcPr>
          <w:p w14:paraId="1408F935" w14:textId="77777777" w:rsidR="00E25E2D" w:rsidRPr="00E25E2D" w:rsidRDefault="00AD089B" w:rsidP="000A69BD">
            <w:pPr>
              <w:pStyle w:val="ECCTabletext"/>
              <w:jc w:val="left"/>
            </w:pPr>
            <w:r>
              <w:t>3</w:t>
            </w:r>
            <w:r w:rsidR="00E25E2D">
              <w:t> m</w:t>
            </w:r>
          </w:p>
        </w:tc>
      </w:tr>
    </w:tbl>
    <w:p w14:paraId="2442A836" w14:textId="18FBEE3A" w:rsidR="00BE7B1A" w:rsidRDefault="00BE7B1A" w:rsidP="00BE7B1A">
      <w:r>
        <w:t xml:space="preserve">The conclusions drawn from these results can be found in </w:t>
      </w:r>
      <w:r w:rsidR="009D5FA2">
        <w:t>section</w:t>
      </w:r>
      <w:r w:rsidRPr="00F31C7A">
        <w:t xml:space="preserve"> </w:t>
      </w:r>
      <w:r>
        <w:fldChar w:fldCharType="begin"/>
      </w:r>
      <w:r>
        <w:instrText xml:space="preserve"> REF _Ref67393884 \r \h </w:instrText>
      </w:r>
      <w:r>
        <w:fldChar w:fldCharType="separate"/>
      </w:r>
      <w:r w:rsidR="004F49F9">
        <w:t>8.7.5</w:t>
      </w:r>
      <w:r>
        <w:fldChar w:fldCharType="end"/>
      </w:r>
      <w:r w:rsidRPr="00F31C7A">
        <w:t>.</w:t>
      </w:r>
    </w:p>
    <w:p w14:paraId="2C3BDFFB" w14:textId="77777777" w:rsidR="007A163F" w:rsidRPr="007A163F" w:rsidRDefault="007A163F" w:rsidP="00C53097">
      <w:pPr>
        <w:pStyle w:val="Heading2"/>
        <w:jc w:val="left"/>
      </w:pPr>
      <w:bookmarkStart w:id="832" w:name="_Toc84325443"/>
      <w:bookmarkStart w:id="833" w:name="_Toc127346365"/>
      <w:r w:rsidRPr="004F758F">
        <w:t>Radiodetermination systems for industry automation in shielded environments (RDI-S)</w:t>
      </w:r>
      <w:bookmarkEnd w:id="832"/>
      <w:bookmarkEnd w:id="833"/>
    </w:p>
    <w:p w14:paraId="100C7B26" w14:textId="77777777" w:rsidR="007A163F" w:rsidRPr="00B54505" w:rsidRDefault="007A163F" w:rsidP="007A163F">
      <w:pPr>
        <w:pStyle w:val="Heading3"/>
      </w:pPr>
      <w:bookmarkStart w:id="834" w:name="_Toc84325444"/>
      <w:bookmarkStart w:id="835" w:name="_Toc127346366"/>
      <w:r w:rsidRPr="00B54505">
        <w:t>Technical parameters of RDI-S</w:t>
      </w:r>
      <w:bookmarkEnd w:id="834"/>
      <w:bookmarkEnd w:id="835"/>
    </w:p>
    <w:p w14:paraId="49DD27E9" w14:textId="3620104E" w:rsidR="007A163F" w:rsidRPr="007A163F" w:rsidRDefault="007A163F" w:rsidP="007A163F">
      <w:r w:rsidRPr="007A163F">
        <w:t xml:space="preserve">For RDI-S the whole frequency range from 116 to 260 GHz has been defined (see </w:t>
      </w:r>
      <w:r w:rsidR="009D5FA2">
        <w:t>section</w:t>
      </w:r>
      <w:r w:rsidRPr="007A163F">
        <w:t xml:space="preserve"> </w:t>
      </w:r>
      <w:r w:rsidR="009B3413">
        <w:rPr>
          <w:highlight w:val="yellow"/>
        </w:rPr>
        <w:fldChar w:fldCharType="begin"/>
      </w:r>
      <w:r w:rsidR="009B3413">
        <w:instrText xml:space="preserve"> REF _Ref66452766 \r \h </w:instrText>
      </w:r>
      <w:r w:rsidR="009B3413">
        <w:rPr>
          <w:highlight w:val="yellow"/>
        </w:rPr>
      </w:r>
      <w:r w:rsidR="009B3413">
        <w:rPr>
          <w:highlight w:val="yellow"/>
        </w:rPr>
        <w:fldChar w:fldCharType="separate"/>
      </w:r>
      <w:r w:rsidR="004F49F9">
        <w:t>2.2.8.2</w:t>
      </w:r>
      <w:r w:rsidR="009B3413">
        <w:rPr>
          <w:highlight w:val="yellow"/>
        </w:rPr>
        <w:fldChar w:fldCharType="end"/>
      </w:r>
      <w:r w:rsidRPr="007A163F">
        <w:t xml:space="preserve">). In this band three allocations for Amateur Service are affected (see </w:t>
      </w:r>
      <w:r w:rsidR="009D5FA2">
        <w:t>section</w:t>
      </w:r>
      <w:r w:rsidRPr="007A163F">
        <w:t xml:space="preserve"> </w:t>
      </w:r>
      <w:r w:rsidR="00BF3B6D">
        <w:rPr>
          <w:highlight w:val="yellow"/>
        </w:rPr>
        <w:fldChar w:fldCharType="begin"/>
      </w:r>
      <w:r w:rsidR="00BF3B6D">
        <w:instrText xml:space="preserve"> REF _Ref66361706 \r \h </w:instrText>
      </w:r>
      <w:r w:rsidR="00BF3B6D">
        <w:rPr>
          <w:highlight w:val="yellow"/>
        </w:rPr>
      </w:r>
      <w:r w:rsidR="00BF3B6D">
        <w:rPr>
          <w:highlight w:val="yellow"/>
        </w:rPr>
        <w:fldChar w:fldCharType="separate"/>
      </w:r>
      <w:r w:rsidR="004F49F9">
        <w:t>3.3</w:t>
      </w:r>
      <w:r w:rsidR="00BF3B6D">
        <w:rPr>
          <w:highlight w:val="yellow"/>
        </w:rPr>
        <w:fldChar w:fldCharType="end"/>
      </w:r>
      <w:r w:rsidRPr="007A163F">
        <w:t>). All these identified bands have been investigated by single-entry studies. In these studies the individually required interference range (</w:t>
      </w:r>
      <w:r w:rsidR="009D5FA2">
        <w:t>section</w:t>
      </w:r>
      <w:r w:rsidRPr="007A163F">
        <w:t xml:space="preserve"> </w:t>
      </w:r>
      <w:r w:rsidR="00BF3B6D">
        <w:rPr>
          <w:highlight w:val="yellow"/>
        </w:rPr>
        <w:fldChar w:fldCharType="begin"/>
      </w:r>
      <w:r w:rsidR="00BF3B6D">
        <w:instrText xml:space="preserve"> REF _Ref15293384 \r \h </w:instrText>
      </w:r>
      <w:r w:rsidR="00BF3B6D">
        <w:rPr>
          <w:highlight w:val="yellow"/>
        </w:rPr>
      </w:r>
      <w:r w:rsidR="00BF3B6D">
        <w:rPr>
          <w:highlight w:val="yellow"/>
        </w:rPr>
        <w:fldChar w:fldCharType="separate"/>
      </w:r>
      <w:r w:rsidR="004F49F9">
        <w:t>3.4.2</w:t>
      </w:r>
      <w:r w:rsidR="00BF3B6D">
        <w:rPr>
          <w:highlight w:val="yellow"/>
        </w:rPr>
        <w:fldChar w:fldCharType="end"/>
      </w:r>
      <w:r w:rsidRPr="007A163F">
        <w:t>) is determined by means of the technical parameters (</w:t>
      </w:r>
      <w:r w:rsidR="009D5FA2">
        <w:t>section</w:t>
      </w:r>
      <w:r w:rsidRPr="007A163F">
        <w:t xml:space="preserve"> </w:t>
      </w:r>
      <w:r w:rsidR="00BF3B6D">
        <w:rPr>
          <w:highlight w:val="yellow"/>
        </w:rPr>
        <w:fldChar w:fldCharType="begin"/>
      </w:r>
      <w:r w:rsidR="00BF3B6D">
        <w:instrText xml:space="preserve"> REF _Ref66452779 \r \h </w:instrText>
      </w:r>
      <w:r w:rsidR="00BF3B6D">
        <w:rPr>
          <w:highlight w:val="yellow"/>
        </w:rPr>
      </w:r>
      <w:r w:rsidR="00BF3B6D">
        <w:rPr>
          <w:highlight w:val="yellow"/>
        </w:rPr>
        <w:fldChar w:fldCharType="separate"/>
      </w:r>
      <w:r w:rsidR="004F49F9">
        <w:t>2.2.8.3</w:t>
      </w:r>
      <w:r w:rsidR="00BF3B6D">
        <w:rPr>
          <w:highlight w:val="yellow"/>
        </w:rPr>
        <w:fldChar w:fldCharType="end"/>
      </w:r>
      <w:r w:rsidRPr="007A163F">
        <w:t>), the antenna data (</w:t>
      </w:r>
      <w:r w:rsidR="009D5FA2">
        <w:t>section</w:t>
      </w:r>
      <w:r w:rsidRPr="007A163F">
        <w:t xml:space="preserve"> </w:t>
      </w:r>
      <w:r w:rsidR="00BF3B6D">
        <w:rPr>
          <w:highlight w:val="yellow"/>
        </w:rPr>
        <w:fldChar w:fldCharType="begin"/>
      </w:r>
      <w:r w:rsidR="00BF3B6D">
        <w:instrText xml:space="preserve"> REF _Ref66452804 \r \h </w:instrText>
      </w:r>
      <w:r w:rsidR="00BF3B6D">
        <w:rPr>
          <w:highlight w:val="yellow"/>
        </w:rPr>
      </w:r>
      <w:r w:rsidR="00BF3B6D">
        <w:rPr>
          <w:highlight w:val="yellow"/>
        </w:rPr>
        <w:fldChar w:fldCharType="separate"/>
      </w:r>
      <w:r w:rsidR="004F49F9">
        <w:t>2.2.8.4</w:t>
      </w:r>
      <w:r w:rsidR="00BF3B6D">
        <w:rPr>
          <w:highlight w:val="yellow"/>
        </w:rPr>
        <w:fldChar w:fldCharType="end"/>
      </w:r>
      <w:r w:rsidRPr="007A163F">
        <w:t>), the defined interference scenarios (</w:t>
      </w:r>
      <w:r w:rsidR="009D5FA2">
        <w:t>section</w:t>
      </w:r>
      <w:r w:rsidRPr="007A163F">
        <w:t xml:space="preserve"> </w:t>
      </w:r>
      <w:r w:rsidR="00BF3B6D">
        <w:rPr>
          <w:highlight w:val="yellow"/>
        </w:rPr>
        <w:fldChar w:fldCharType="begin"/>
      </w:r>
      <w:r w:rsidR="00BF3B6D">
        <w:instrText xml:space="preserve"> REF _Ref66452787 \r \h </w:instrText>
      </w:r>
      <w:r w:rsidR="00BF3B6D">
        <w:rPr>
          <w:highlight w:val="yellow"/>
        </w:rPr>
      </w:r>
      <w:r w:rsidR="00BF3B6D">
        <w:rPr>
          <w:highlight w:val="yellow"/>
        </w:rPr>
        <w:fldChar w:fldCharType="separate"/>
      </w:r>
      <w:r w:rsidR="004F49F9">
        <w:t>2.2.8.6</w:t>
      </w:r>
      <w:r w:rsidR="00BF3B6D">
        <w:rPr>
          <w:highlight w:val="yellow"/>
        </w:rPr>
        <w:fldChar w:fldCharType="end"/>
      </w:r>
      <w:r w:rsidRPr="007A163F">
        <w:t>) and the protection requirements for Amateur Service (</w:t>
      </w:r>
      <w:r w:rsidR="009D5FA2">
        <w:t>section</w:t>
      </w:r>
      <w:r w:rsidRPr="007A163F">
        <w:t xml:space="preserve"> </w:t>
      </w:r>
      <w:r w:rsidR="00BF3B6D">
        <w:rPr>
          <w:highlight w:val="yellow"/>
        </w:rPr>
        <w:fldChar w:fldCharType="begin"/>
      </w:r>
      <w:r w:rsidR="00BF3B6D">
        <w:instrText xml:space="preserve"> REF _Ref67244597 \r \h </w:instrText>
      </w:r>
      <w:r w:rsidR="00BF3B6D">
        <w:rPr>
          <w:highlight w:val="yellow"/>
        </w:rPr>
      </w:r>
      <w:r w:rsidR="00BF3B6D">
        <w:rPr>
          <w:highlight w:val="yellow"/>
        </w:rPr>
        <w:fldChar w:fldCharType="separate"/>
      </w:r>
      <w:r w:rsidR="004F49F9">
        <w:t>3.5.5</w:t>
      </w:r>
      <w:r w:rsidR="00BF3B6D">
        <w:rPr>
          <w:highlight w:val="yellow"/>
        </w:rPr>
        <w:fldChar w:fldCharType="end"/>
      </w:r>
      <w:r w:rsidRPr="007A163F">
        <w:t xml:space="preserve">). The exact calculations can be found in an Excel-spreadsheet which is attached to this </w:t>
      </w:r>
      <w:hyperlink r:id="rId177" w:history="1">
        <w:r w:rsidR="00973423">
          <w:rPr>
            <w:rStyle w:val="Hyperlink"/>
          </w:rPr>
          <w:t>Report</w:t>
        </w:r>
      </w:hyperlink>
      <w:r w:rsidRPr="007A163F">
        <w:t>.</w:t>
      </w:r>
    </w:p>
    <w:p w14:paraId="4450FDF2" w14:textId="0E21A398" w:rsidR="007A163F" w:rsidRPr="007A163F" w:rsidRDefault="007A163F" w:rsidP="007A163F">
      <w:r w:rsidRPr="007A163F">
        <w:t>The following technical parameters of the RDI-S application (</w:t>
      </w:r>
      <w:r w:rsidR="009D5FA2">
        <w:t>section</w:t>
      </w:r>
      <w:r w:rsidRPr="007A163F">
        <w:t xml:space="preserve"> </w:t>
      </w:r>
      <w:r w:rsidR="00BF3B6D">
        <w:rPr>
          <w:highlight w:val="yellow"/>
        </w:rPr>
        <w:fldChar w:fldCharType="begin"/>
      </w:r>
      <w:r w:rsidR="00BF3B6D">
        <w:instrText xml:space="preserve"> REF _Ref66452779 \r \h </w:instrText>
      </w:r>
      <w:r w:rsidR="00BF3B6D">
        <w:rPr>
          <w:highlight w:val="yellow"/>
        </w:rPr>
      </w:r>
      <w:r w:rsidR="00BF3B6D">
        <w:rPr>
          <w:highlight w:val="yellow"/>
        </w:rPr>
        <w:fldChar w:fldCharType="separate"/>
      </w:r>
      <w:r w:rsidR="004F49F9">
        <w:t>2.2.8.3</w:t>
      </w:r>
      <w:r w:rsidR="00BF3B6D">
        <w:rPr>
          <w:highlight w:val="yellow"/>
        </w:rPr>
        <w:fldChar w:fldCharType="end"/>
      </w:r>
      <w:r w:rsidRPr="007A163F">
        <w:t>) have been used in the studies in the different frequency ranges.</w:t>
      </w:r>
    </w:p>
    <w:p w14:paraId="2CEE7E81" w14:textId="77777777" w:rsidR="00C53097" w:rsidRDefault="00C53097">
      <w:pPr>
        <w:rPr>
          <w:rFonts w:eastAsia="Times New Roman"/>
          <w:b/>
          <w:bCs/>
          <w:color w:val="D2232A"/>
          <w:szCs w:val="20"/>
          <w:lang w:val="da-DK"/>
        </w:rPr>
      </w:pPr>
      <w:r>
        <w:br w:type="page"/>
      </w:r>
    </w:p>
    <w:p w14:paraId="722B00C2" w14:textId="039BDB9F" w:rsidR="007A163F" w:rsidRPr="007A163F" w:rsidRDefault="00BF3B6D" w:rsidP="007A163F">
      <w:pPr>
        <w:pStyle w:val="Caption"/>
        <w:rPr>
          <w:rStyle w:val="ECCParagraph"/>
        </w:rPr>
      </w:pPr>
      <w:r w:rsidRPr="00477961">
        <w:t>Table </w:t>
      </w:r>
      <w:r>
        <w:fldChar w:fldCharType="begin"/>
      </w:r>
      <w:r>
        <w:instrText>SEQ Table \* ARABIC</w:instrText>
      </w:r>
      <w:r>
        <w:fldChar w:fldCharType="separate"/>
      </w:r>
      <w:r w:rsidR="004F49F9">
        <w:rPr>
          <w:noProof/>
        </w:rPr>
        <w:t>123</w:t>
      </w:r>
      <w:r>
        <w:fldChar w:fldCharType="end"/>
      </w:r>
      <w:r w:rsidR="007A163F" w:rsidRPr="007A163F">
        <w:t>: Technical parameters of RDI-S used for the conducted studies in the different frequency bands</w:t>
      </w:r>
    </w:p>
    <w:tbl>
      <w:tblPr>
        <w:tblStyle w:val="ECCTable-redheader"/>
        <w:tblW w:w="0" w:type="auto"/>
        <w:tblInd w:w="0" w:type="dxa"/>
        <w:tblLook w:val="04A0" w:firstRow="1" w:lastRow="0" w:firstColumn="1" w:lastColumn="0" w:noHBand="0" w:noVBand="1"/>
      </w:tblPr>
      <w:tblGrid>
        <w:gridCol w:w="1675"/>
        <w:gridCol w:w="1410"/>
        <w:gridCol w:w="1353"/>
        <w:gridCol w:w="1140"/>
        <w:gridCol w:w="1612"/>
        <w:gridCol w:w="1145"/>
        <w:gridCol w:w="1294"/>
      </w:tblGrid>
      <w:tr w:rsidR="00906950" w:rsidRPr="00566944" w14:paraId="626DCF31" w14:textId="77777777" w:rsidTr="00716378">
        <w:trPr>
          <w:cnfStyle w:val="100000000000" w:firstRow="1" w:lastRow="0" w:firstColumn="0" w:lastColumn="0" w:oddVBand="0" w:evenVBand="0" w:oddHBand="0" w:evenHBand="0" w:firstRowFirstColumn="0" w:firstRowLastColumn="0" w:lastRowFirstColumn="0" w:lastRowLastColumn="0"/>
        </w:trPr>
        <w:tc>
          <w:tcPr>
            <w:tcW w:w="1675" w:type="dxa"/>
          </w:tcPr>
          <w:p w14:paraId="76C8F621" w14:textId="77777777" w:rsidR="00906950" w:rsidRPr="00906950" w:rsidRDefault="00906950" w:rsidP="00876039">
            <w:pPr>
              <w:pStyle w:val="ECCTableHeaderwhitefont"/>
            </w:pPr>
            <w:r w:rsidRPr="00906950">
              <w:t>Investigated frequency range</w:t>
            </w:r>
          </w:p>
        </w:tc>
        <w:tc>
          <w:tcPr>
            <w:tcW w:w="1410" w:type="dxa"/>
          </w:tcPr>
          <w:p w14:paraId="1697404F" w14:textId="77777777" w:rsidR="00906950" w:rsidRPr="00906950" w:rsidRDefault="00906950" w:rsidP="000A69BD">
            <w:pPr>
              <w:pStyle w:val="ECCTableHeaderwhitefont"/>
            </w:pPr>
            <w:r w:rsidRPr="00906950">
              <w:t>Investigated centre frequency</w:t>
            </w:r>
          </w:p>
        </w:tc>
        <w:tc>
          <w:tcPr>
            <w:tcW w:w="1353" w:type="dxa"/>
          </w:tcPr>
          <w:p w14:paraId="438AD4F7" w14:textId="77777777" w:rsidR="00906950" w:rsidRPr="00906950" w:rsidRDefault="00906950" w:rsidP="000A69BD">
            <w:pPr>
              <w:pStyle w:val="ECCTableHeaderwhitefont"/>
            </w:pPr>
            <w:r w:rsidRPr="00906950">
              <w:t>Modulation bandwidth</w:t>
            </w:r>
          </w:p>
        </w:tc>
        <w:tc>
          <w:tcPr>
            <w:tcW w:w="1140" w:type="dxa"/>
          </w:tcPr>
          <w:p w14:paraId="4018DF66" w14:textId="77777777" w:rsidR="00906950" w:rsidRPr="00906950" w:rsidRDefault="00906950" w:rsidP="000A69BD">
            <w:pPr>
              <w:pStyle w:val="ECCTableHeaderwhitefont"/>
            </w:pPr>
            <w:r w:rsidRPr="00906950">
              <w:t>Duty cycle</w:t>
            </w:r>
          </w:p>
        </w:tc>
        <w:tc>
          <w:tcPr>
            <w:tcW w:w="1612" w:type="dxa"/>
          </w:tcPr>
          <w:p w14:paraId="153F1377" w14:textId="77777777" w:rsidR="00906950" w:rsidRPr="00906950" w:rsidRDefault="00906950" w:rsidP="000A69BD">
            <w:pPr>
              <w:pStyle w:val="ECCTableHeaderwhitefont"/>
            </w:pPr>
            <w:r w:rsidRPr="00906950">
              <w:t xml:space="preserve">Mean e.i.r.p. spectral density </w:t>
            </w:r>
          </w:p>
        </w:tc>
        <w:tc>
          <w:tcPr>
            <w:tcW w:w="1145" w:type="dxa"/>
          </w:tcPr>
          <w:p w14:paraId="2FDA73AE" w14:textId="77777777" w:rsidR="00906950" w:rsidRPr="00906950" w:rsidRDefault="00906950" w:rsidP="000A69BD">
            <w:pPr>
              <w:pStyle w:val="ECCTableHeaderwhitefont"/>
            </w:pPr>
            <w:r w:rsidRPr="00906950">
              <w:t>Peak e.i.r.p.</w:t>
            </w:r>
          </w:p>
        </w:tc>
        <w:tc>
          <w:tcPr>
            <w:tcW w:w="1294" w:type="dxa"/>
          </w:tcPr>
          <w:p w14:paraId="6A949D92" w14:textId="77777777" w:rsidR="00906950" w:rsidRPr="00906950" w:rsidRDefault="00906950" w:rsidP="000A69BD">
            <w:pPr>
              <w:pStyle w:val="ECCTableHeaderwhitefont"/>
            </w:pPr>
            <w:r w:rsidRPr="00906950">
              <w:t>OOB attenuation (Note 1)</w:t>
            </w:r>
          </w:p>
        </w:tc>
      </w:tr>
      <w:tr w:rsidR="00716378" w:rsidRPr="00C53FB5" w14:paraId="2FF5F8CF" w14:textId="77777777" w:rsidTr="00716378">
        <w:tc>
          <w:tcPr>
            <w:tcW w:w="1675" w:type="dxa"/>
          </w:tcPr>
          <w:p w14:paraId="29B26CE2" w14:textId="77777777" w:rsidR="00716378" w:rsidRPr="007A163F" w:rsidRDefault="00716378" w:rsidP="000A69BD">
            <w:pPr>
              <w:pStyle w:val="ECCTabletext"/>
              <w:jc w:val="left"/>
            </w:pPr>
            <w:r>
              <w:t>122</w:t>
            </w:r>
            <w:r w:rsidR="00CF4994">
              <w:t>.2</w:t>
            </w:r>
            <w:r>
              <w:t>5 to 123 GHz</w:t>
            </w:r>
          </w:p>
        </w:tc>
        <w:tc>
          <w:tcPr>
            <w:tcW w:w="1410" w:type="dxa"/>
          </w:tcPr>
          <w:p w14:paraId="3D07EB06" w14:textId="77777777" w:rsidR="00716378" w:rsidRPr="007A163F" w:rsidRDefault="00716378" w:rsidP="000A69BD">
            <w:pPr>
              <w:pStyle w:val="ECCTabletext"/>
              <w:jc w:val="left"/>
            </w:pPr>
            <w:r>
              <w:t>122</w:t>
            </w:r>
            <w:r w:rsidR="00CF4994">
              <w:t>.6</w:t>
            </w:r>
            <w:r>
              <w:t>25 GHz</w:t>
            </w:r>
          </w:p>
        </w:tc>
        <w:tc>
          <w:tcPr>
            <w:tcW w:w="1353" w:type="dxa"/>
            <w:shd w:val="clear" w:color="auto" w:fill="auto"/>
          </w:tcPr>
          <w:p w14:paraId="73D0259C" w14:textId="77777777" w:rsidR="00716378" w:rsidRPr="007A163F" w:rsidRDefault="00716378" w:rsidP="000A69BD">
            <w:pPr>
              <w:pStyle w:val="ECCTabletext"/>
              <w:jc w:val="left"/>
            </w:pPr>
            <w:r>
              <w:t>100</w:t>
            </w:r>
            <w:r w:rsidRPr="00EB5660">
              <w:t> GHz</w:t>
            </w:r>
          </w:p>
        </w:tc>
        <w:tc>
          <w:tcPr>
            <w:tcW w:w="1140" w:type="dxa"/>
            <w:shd w:val="clear" w:color="auto" w:fill="auto"/>
          </w:tcPr>
          <w:p w14:paraId="133FC91C" w14:textId="5EAF00D2" w:rsidR="00716378" w:rsidRPr="007A163F" w:rsidRDefault="00716378" w:rsidP="000A69BD">
            <w:pPr>
              <w:pStyle w:val="ECCTabletext"/>
              <w:jc w:val="left"/>
            </w:pPr>
            <w:r w:rsidRPr="00B9577F">
              <w:t>100</w:t>
            </w:r>
            <w:r w:rsidR="00F800A2">
              <w:t>%</w:t>
            </w:r>
          </w:p>
        </w:tc>
        <w:tc>
          <w:tcPr>
            <w:tcW w:w="1612" w:type="dxa"/>
            <w:shd w:val="clear" w:color="auto" w:fill="auto"/>
          </w:tcPr>
          <w:p w14:paraId="1112FF55" w14:textId="77777777" w:rsidR="00716378" w:rsidRPr="007A163F" w:rsidRDefault="00716378" w:rsidP="000A69BD">
            <w:pPr>
              <w:pStyle w:val="ECCTabletext"/>
              <w:jc w:val="left"/>
            </w:pPr>
            <w:r>
              <w:t>-5 dBm/MHz</w:t>
            </w:r>
          </w:p>
        </w:tc>
        <w:tc>
          <w:tcPr>
            <w:tcW w:w="1145" w:type="dxa"/>
            <w:shd w:val="clear" w:color="auto" w:fill="auto"/>
          </w:tcPr>
          <w:p w14:paraId="20DA1049" w14:textId="77777777" w:rsidR="00716378" w:rsidRPr="007A163F" w:rsidRDefault="00B25338" w:rsidP="000A69BD">
            <w:pPr>
              <w:pStyle w:val="ECCTabletext"/>
              <w:jc w:val="left"/>
            </w:pPr>
            <w:r>
              <w:t>45</w:t>
            </w:r>
            <w:r w:rsidR="00716378">
              <w:t> dBm</w:t>
            </w:r>
          </w:p>
        </w:tc>
        <w:tc>
          <w:tcPr>
            <w:tcW w:w="1294" w:type="dxa"/>
            <w:vMerge w:val="restart"/>
          </w:tcPr>
          <w:p w14:paraId="68AF8108" w14:textId="77777777" w:rsidR="00716378" w:rsidRDefault="00716378" w:rsidP="000A69BD">
            <w:pPr>
              <w:pStyle w:val="ECCTabletext"/>
              <w:jc w:val="left"/>
            </w:pPr>
            <w:r>
              <w:t>10 dB</w:t>
            </w:r>
          </w:p>
        </w:tc>
      </w:tr>
      <w:tr w:rsidR="00716378" w:rsidRPr="00C53FB5" w14:paraId="0889C4F4" w14:textId="77777777" w:rsidTr="00716378">
        <w:tc>
          <w:tcPr>
            <w:tcW w:w="1675" w:type="dxa"/>
          </w:tcPr>
          <w:p w14:paraId="0A56DC11" w14:textId="77777777" w:rsidR="00716378" w:rsidRPr="007A163F" w:rsidRDefault="00716378" w:rsidP="000A69BD">
            <w:pPr>
              <w:pStyle w:val="ECCTabletext"/>
              <w:jc w:val="left"/>
            </w:pPr>
            <w:r>
              <w:t>134 to 141 GHz</w:t>
            </w:r>
          </w:p>
        </w:tc>
        <w:tc>
          <w:tcPr>
            <w:tcW w:w="1410" w:type="dxa"/>
          </w:tcPr>
          <w:p w14:paraId="41453ADD" w14:textId="77777777" w:rsidR="00716378" w:rsidRPr="007A163F" w:rsidRDefault="00716378" w:rsidP="000A69BD">
            <w:pPr>
              <w:pStyle w:val="ECCTabletext"/>
              <w:jc w:val="left"/>
            </w:pPr>
            <w:r>
              <w:t>137</w:t>
            </w:r>
            <w:r w:rsidR="00CF4994">
              <w:t>.5</w:t>
            </w:r>
            <w:r>
              <w:t> GHz</w:t>
            </w:r>
          </w:p>
        </w:tc>
        <w:tc>
          <w:tcPr>
            <w:tcW w:w="1353" w:type="dxa"/>
            <w:shd w:val="clear" w:color="auto" w:fill="auto"/>
          </w:tcPr>
          <w:p w14:paraId="17EFFD17" w14:textId="77777777" w:rsidR="00716378" w:rsidRPr="007A163F" w:rsidRDefault="00716378" w:rsidP="000A69BD">
            <w:pPr>
              <w:pStyle w:val="ECCTabletext"/>
              <w:jc w:val="left"/>
            </w:pPr>
            <w:r>
              <w:t>100</w:t>
            </w:r>
            <w:r w:rsidRPr="00EB5660">
              <w:t> GHz</w:t>
            </w:r>
          </w:p>
        </w:tc>
        <w:tc>
          <w:tcPr>
            <w:tcW w:w="1140" w:type="dxa"/>
            <w:shd w:val="clear" w:color="auto" w:fill="auto"/>
          </w:tcPr>
          <w:p w14:paraId="6CCD15CC" w14:textId="7ABF5D84" w:rsidR="00716378" w:rsidRPr="007A163F" w:rsidRDefault="00716378" w:rsidP="000A69BD">
            <w:pPr>
              <w:pStyle w:val="ECCTabletext"/>
              <w:jc w:val="left"/>
            </w:pPr>
            <w:r w:rsidRPr="00B9577F">
              <w:t>100</w:t>
            </w:r>
            <w:r w:rsidR="00F800A2">
              <w:t>%</w:t>
            </w:r>
          </w:p>
        </w:tc>
        <w:tc>
          <w:tcPr>
            <w:tcW w:w="1612" w:type="dxa"/>
            <w:shd w:val="clear" w:color="auto" w:fill="auto"/>
          </w:tcPr>
          <w:p w14:paraId="12CA2707" w14:textId="77777777" w:rsidR="00716378" w:rsidRPr="007A163F" w:rsidRDefault="00716378" w:rsidP="000A69BD">
            <w:pPr>
              <w:pStyle w:val="ECCTabletext"/>
              <w:jc w:val="left"/>
            </w:pPr>
            <w:r>
              <w:t>10 dBm/MHz</w:t>
            </w:r>
          </w:p>
        </w:tc>
        <w:tc>
          <w:tcPr>
            <w:tcW w:w="1145" w:type="dxa"/>
            <w:shd w:val="clear" w:color="auto" w:fill="auto"/>
          </w:tcPr>
          <w:p w14:paraId="7047EB04" w14:textId="77777777" w:rsidR="00716378" w:rsidRPr="007A163F" w:rsidRDefault="00B25338" w:rsidP="000A69BD">
            <w:pPr>
              <w:pStyle w:val="ECCTabletext"/>
              <w:jc w:val="left"/>
            </w:pPr>
            <w:r>
              <w:t>60</w:t>
            </w:r>
            <w:r w:rsidR="00716378">
              <w:t> dBm</w:t>
            </w:r>
          </w:p>
        </w:tc>
        <w:tc>
          <w:tcPr>
            <w:tcW w:w="1294" w:type="dxa"/>
            <w:vMerge/>
          </w:tcPr>
          <w:p w14:paraId="120FF07E" w14:textId="77777777" w:rsidR="00716378" w:rsidRDefault="00716378" w:rsidP="007A163F">
            <w:pPr>
              <w:pStyle w:val="ECCTabletext"/>
            </w:pPr>
          </w:p>
        </w:tc>
      </w:tr>
      <w:tr w:rsidR="00716378" w:rsidRPr="00C53FB5" w14:paraId="7CEA3A7B" w14:textId="77777777" w:rsidTr="00716378">
        <w:tc>
          <w:tcPr>
            <w:tcW w:w="1675" w:type="dxa"/>
          </w:tcPr>
          <w:p w14:paraId="28557A71" w14:textId="77777777" w:rsidR="00716378" w:rsidRPr="007A163F" w:rsidRDefault="00716378" w:rsidP="000A69BD">
            <w:pPr>
              <w:pStyle w:val="ECCTabletext"/>
              <w:jc w:val="left"/>
            </w:pPr>
            <w:r>
              <w:t>241 to 250 GHz</w:t>
            </w:r>
          </w:p>
        </w:tc>
        <w:tc>
          <w:tcPr>
            <w:tcW w:w="1410" w:type="dxa"/>
          </w:tcPr>
          <w:p w14:paraId="7247048F" w14:textId="77777777" w:rsidR="00716378" w:rsidRPr="007A163F" w:rsidRDefault="00716378" w:rsidP="000A69BD">
            <w:pPr>
              <w:pStyle w:val="ECCTabletext"/>
              <w:jc w:val="left"/>
            </w:pPr>
            <w:r>
              <w:t>245</w:t>
            </w:r>
            <w:r w:rsidR="00CF4994">
              <w:t>.5</w:t>
            </w:r>
            <w:r>
              <w:t> GHz</w:t>
            </w:r>
          </w:p>
        </w:tc>
        <w:tc>
          <w:tcPr>
            <w:tcW w:w="1353" w:type="dxa"/>
            <w:shd w:val="clear" w:color="auto" w:fill="auto"/>
          </w:tcPr>
          <w:p w14:paraId="2986D50A" w14:textId="77777777" w:rsidR="00716378" w:rsidRPr="007A163F" w:rsidRDefault="00716378" w:rsidP="000A69BD">
            <w:pPr>
              <w:pStyle w:val="ECCTabletext"/>
              <w:jc w:val="left"/>
            </w:pPr>
            <w:r>
              <w:t>100</w:t>
            </w:r>
            <w:r w:rsidRPr="00EB5660">
              <w:t> GHz</w:t>
            </w:r>
          </w:p>
        </w:tc>
        <w:tc>
          <w:tcPr>
            <w:tcW w:w="1140" w:type="dxa"/>
            <w:shd w:val="clear" w:color="auto" w:fill="auto"/>
          </w:tcPr>
          <w:p w14:paraId="34A7BA79" w14:textId="1A737A01" w:rsidR="00716378" w:rsidRPr="007A163F" w:rsidRDefault="00716378" w:rsidP="000A69BD">
            <w:pPr>
              <w:pStyle w:val="ECCTabletext"/>
              <w:jc w:val="left"/>
            </w:pPr>
            <w:r w:rsidRPr="00B9577F">
              <w:t>100</w:t>
            </w:r>
            <w:r w:rsidR="00F800A2">
              <w:t>%</w:t>
            </w:r>
          </w:p>
        </w:tc>
        <w:tc>
          <w:tcPr>
            <w:tcW w:w="1612" w:type="dxa"/>
            <w:shd w:val="clear" w:color="auto" w:fill="auto"/>
          </w:tcPr>
          <w:p w14:paraId="21A985A2" w14:textId="77777777" w:rsidR="00716378" w:rsidRPr="007A163F" w:rsidRDefault="00716378" w:rsidP="000A69BD">
            <w:pPr>
              <w:pStyle w:val="ECCTabletext"/>
              <w:jc w:val="left"/>
            </w:pPr>
            <w:r>
              <w:t>-5 dBm/MHz</w:t>
            </w:r>
          </w:p>
        </w:tc>
        <w:tc>
          <w:tcPr>
            <w:tcW w:w="1145" w:type="dxa"/>
            <w:shd w:val="clear" w:color="auto" w:fill="auto"/>
          </w:tcPr>
          <w:p w14:paraId="7F784AE0" w14:textId="77777777" w:rsidR="00716378" w:rsidRPr="007A163F" w:rsidRDefault="00B25338" w:rsidP="000A69BD">
            <w:pPr>
              <w:pStyle w:val="ECCTabletext"/>
              <w:jc w:val="left"/>
            </w:pPr>
            <w:r>
              <w:t>45</w:t>
            </w:r>
            <w:r w:rsidR="00716378">
              <w:t xml:space="preserve"> dBm</w:t>
            </w:r>
          </w:p>
        </w:tc>
        <w:tc>
          <w:tcPr>
            <w:tcW w:w="1294" w:type="dxa"/>
            <w:vMerge/>
          </w:tcPr>
          <w:p w14:paraId="44DD67F7" w14:textId="77777777" w:rsidR="00716378" w:rsidRDefault="00716378" w:rsidP="007A163F">
            <w:pPr>
              <w:pStyle w:val="ECCTabletext"/>
            </w:pPr>
          </w:p>
        </w:tc>
      </w:tr>
      <w:tr w:rsidR="00200700" w:rsidRPr="00C53FB5" w14:paraId="64938E36" w14:textId="77777777" w:rsidTr="00200700">
        <w:tc>
          <w:tcPr>
            <w:tcW w:w="9629" w:type="dxa"/>
            <w:gridSpan w:val="7"/>
          </w:tcPr>
          <w:p w14:paraId="40D27306" w14:textId="77777777" w:rsidR="00200700" w:rsidRDefault="00200700" w:rsidP="00464AE0">
            <w:pPr>
              <w:pStyle w:val="ECCTablenote"/>
            </w:pPr>
            <w:r>
              <w:t>Note 1</w:t>
            </w:r>
            <w:r w:rsidRPr="00200700">
              <w:t>: Assumed out-of-band attenuation of the RDI-S-signal in adjacent bands allocated to Amateur.</w:t>
            </w:r>
          </w:p>
        </w:tc>
      </w:tr>
    </w:tbl>
    <w:p w14:paraId="0BC39014" w14:textId="77777777" w:rsidR="007A163F" w:rsidRDefault="007A163F" w:rsidP="007A163F">
      <w:pPr>
        <w:pStyle w:val="Heading3"/>
      </w:pPr>
      <w:bookmarkStart w:id="836" w:name="_Ref67331020"/>
      <w:bookmarkStart w:id="837" w:name="_Toc84325445"/>
      <w:bookmarkStart w:id="838" w:name="_Toc127346367"/>
      <w:r>
        <w:t>Results</w:t>
      </w:r>
      <w:bookmarkEnd w:id="836"/>
      <w:bookmarkEnd w:id="837"/>
      <w:bookmarkEnd w:id="838"/>
    </w:p>
    <w:p w14:paraId="687AF64D" w14:textId="329020DB" w:rsidR="007A163F" w:rsidRPr="007A163F" w:rsidRDefault="00BF3B6D" w:rsidP="007A163F">
      <w:r>
        <w:fldChar w:fldCharType="begin"/>
      </w:r>
      <w:r>
        <w:instrText xml:space="preserve"> REF _Ref67244651 \h </w:instrText>
      </w:r>
      <w:r>
        <w:fldChar w:fldCharType="separate"/>
      </w:r>
      <w:r w:rsidR="0041125F" w:rsidRPr="00477961">
        <w:t>Table </w:t>
      </w:r>
      <w:r w:rsidR="0041125F">
        <w:rPr>
          <w:noProof/>
        </w:rPr>
        <w:t>124</w:t>
      </w:r>
      <w:r>
        <w:fldChar w:fldCharType="end"/>
      </w:r>
      <w:r>
        <w:t xml:space="preserve"> </w:t>
      </w:r>
      <w:r w:rsidR="007A163F" w:rsidRPr="007A163F">
        <w:t>shows the single-entry wo</w:t>
      </w:r>
      <w:r w:rsidR="006E2E38">
        <w:t>r</w:t>
      </w:r>
      <w:r w:rsidR="007A163F" w:rsidRPr="007A163F">
        <w:t>st-case results for RDI-S, e.g. the largest separation distances for the individual frequency ranges and Amateur Service victim receivers.</w:t>
      </w:r>
    </w:p>
    <w:p w14:paraId="5047DA2A" w14:textId="7E566702" w:rsidR="007A163F" w:rsidRPr="007A163F" w:rsidRDefault="00BF3B6D" w:rsidP="007A163F">
      <w:pPr>
        <w:pStyle w:val="Caption"/>
        <w:rPr>
          <w:rStyle w:val="ECCParagraph"/>
        </w:rPr>
      </w:pPr>
      <w:bookmarkStart w:id="839" w:name="_Ref67244651"/>
      <w:r w:rsidRPr="00477961">
        <w:t>Table </w:t>
      </w:r>
      <w:r>
        <w:fldChar w:fldCharType="begin"/>
      </w:r>
      <w:r>
        <w:instrText>SEQ Table \* ARABIC</w:instrText>
      </w:r>
      <w:r>
        <w:fldChar w:fldCharType="separate"/>
      </w:r>
      <w:r w:rsidR="004F49F9">
        <w:rPr>
          <w:noProof/>
        </w:rPr>
        <w:t>124</w:t>
      </w:r>
      <w:r>
        <w:fldChar w:fldCharType="end"/>
      </w:r>
      <w:bookmarkEnd w:id="839"/>
      <w:r w:rsidR="007A163F" w:rsidRPr="007A163F">
        <w:t>: Required separation distances determined in a single-entry study for radiodetermination systems for industry automation in shielded environments (RDI-S)</w:t>
      </w:r>
    </w:p>
    <w:tbl>
      <w:tblPr>
        <w:tblStyle w:val="ECCTable-redheader"/>
        <w:tblW w:w="0" w:type="auto"/>
        <w:tblInd w:w="0" w:type="dxa"/>
        <w:tblLook w:val="04A0" w:firstRow="1" w:lastRow="0" w:firstColumn="1" w:lastColumn="0" w:noHBand="0" w:noVBand="1"/>
      </w:tblPr>
      <w:tblGrid>
        <w:gridCol w:w="1985"/>
        <w:gridCol w:w="3260"/>
        <w:gridCol w:w="2693"/>
      </w:tblGrid>
      <w:tr w:rsidR="007A163F" w14:paraId="161B642E" w14:textId="77777777" w:rsidTr="003C3D14">
        <w:trPr>
          <w:cnfStyle w:val="100000000000" w:firstRow="1" w:lastRow="0" w:firstColumn="0" w:lastColumn="0" w:oddVBand="0" w:evenVBand="0" w:oddHBand="0" w:evenHBand="0" w:firstRowFirstColumn="0" w:firstRowLastColumn="0" w:lastRowFirstColumn="0" w:lastRowLastColumn="0"/>
        </w:trPr>
        <w:tc>
          <w:tcPr>
            <w:tcW w:w="1985" w:type="dxa"/>
          </w:tcPr>
          <w:p w14:paraId="6F895033" w14:textId="77777777" w:rsidR="007A163F" w:rsidRPr="007A163F" w:rsidRDefault="007A163F" w:rsidP="00876039">
            <w:pPr>
              <w:pStyle w:val="ECCTableHeaderwhitefont"/>
            </w:pPr>
            <w:r w:rsidRPr="007A163F">
              <w:t>Investigated Frequency range</w:t>
            </w:r>
          </w:p>
        </w:tc>
        <w:tc>
          <w:tcPr>
            <w:tcW w:w="3260" w:type="dxa"/>
          </w:tcPr>
          <w:p w14:paraId="01D6B7A8" w14:textId="77777777" w:rsidR="007A163F" w:rsidRPr="007A163F" w:rsidRDefault="007A163F" w:rsidP="000A69BD">
            <w:pPr>
              <w:pStyle w:val="ECCTableHeaderwhitefont"/>
            </w:pPr>
            <w:r w:rsidRPr="007A163F">
              <w:t>Allocated band for Amateur Service</w:t>
            </w:r>
          </w:p>
        </w:tc>
        <w:tc>
          <w:tcPr>
            <w:tcW w:w="2693" w:type="dxa"/>
          </w:tcPr>
          <w:p w14:paraId="255056B7" w14:textId="77777777" w:rsidR="007A163F" w:rsidRPr="007A163F" w:rsidRDefault="007A163F" w:rsidP="000A69BD">
            <w:pPr>
              <w:pStyle w:val="ECCTableHeaderwhitefont"/>
            </w:pPr>
            <w:r w:rsidRPr="007A163F">
              <w:t>Required separation distance for all Amateur Services</w:t>
            </w:r>
          </w:p>
        </w:tc>
      </w:tr>
      <w:tr w:rsidR="007A163F" w14:paraId="7B439897" w14:textId="77777777" w:rsidTr="003C3D14">
        <w:tc>
          <w:tcPr>
            <w:tcW w:w="1985" w:type="dxa"/>
            <w:vMerge w:val="restart"/>
          </w:tcPr>
          <w:p w14:paraId="33DEFDF2" w14:textId="77777777" w:rsidR="007A163F" w:rsidRPr="007A163F" w:rsidRDefault="007A163F" w:rsidP="000A69BD">
            <w:pPr>
              <w:pStyle w:val="ECCTabletext"/>
              <w:jc w:val="left"/>
            </w:pPr>
            <w:r>
              <w:t>116 to 260 GHz</w:t>
            </w:r>
          </w:p>
        </w:tc>
        <w:tc>
          <w:tcPr>
            <w:tcW w:w="3260" w:type="dxa"/>
          </w:tcPr>
          <w:p w14:paraId="0CC10076" w14:textId="77777777" w:rsidR="007A163F" w:rsidRPr="007A163F" w:rsidRDefault="007A163F" w:rsidP="000A69BD">
            <w:pPr>
              <w:pStyle w:val="ECCTabletext"/>
              <w:jc w:val="left"/>
            </w:pPr>
            <w:r w:rsidRPr="00C53FB5">
              <w:t>12</w:t>
            </w:r>
            <w:r w:rsidRPr="007A163F">
              <w:t>2</w:t>
            </w:r>
            <w:r w:rsidR="00CF4994">
              <w:t>.2</w:t>
            </w:r>
            <w:r w:rsidRPr="007A163F">
              <w:t>5 to 123 GHz</w:t>
            </w:r>
            <w:r w:rsidR="006E2E38">
              <w:t xml:space="preserve"> (In-band)</w:t>
            </w:r>
          </w:p>
        </w:tc>
        <w:tc>
          <w:tcPr>
            <w:tcW w:w="2693" w:type="dxa"/>
          </w:tcPr>
          <w:p w14:paraId="633B76A6" w14:textId="77777777" w:rsidR="007A163F" w:rsidRPr="007A163F" w:rsidRDefault="005F7474" w:rsidP="000A69BD">
            <w:pPr>
              <w:pStyle w:val="ECCTabletext"/>
              <w:jc w:val="left"/>
            </w:pPr>
            <w:r>
              <w:t>12</w:t>
            </w:r>
            <w:r w:rsidR="007A163F">
              <w:t> m</w:t>
            </w:r>
          </w:p>
        </w:tc>
      </w:tr>
      <w:tr w:rsidR="007A163F" w14:paraId="2BA253FE" w14:textId="77777777" w:rsidTr="003C3D14">
        <w:tc>
          <w:tcPr>
            <w:tcW w:w="1985" w:type="dxa"/>
            <w:vMerge/>
          </w:tcPr>
          <w:p w14:paraId="6B41D456" w14:textId="77777777" w:rsidR="007A163F" w:rsidRPr="00C53FB5" w:rsidRDefault="007A163F" w:rsidP="007A163F">
            <w:pPr>
              <w:pStyle w:val="ECCTabletext"/>
            </w:pPr>
          </w:p>
        </w:tc>
        <w:tc>
          <w:tcPr>
            <w:tcW w:w="3260" w:type="dxa"/>
          </w:tcPr>
          <w:p w14:paraId="577BCE44" w14:textId="77777777" w:rsidR="007A163F" w:rsidRPr="007A163F" w:rsidRDefault="007A163F" w:rsidP="000A69BD">
            <w:pPr>
              <w:pStyle w:val="ECCTabletext"/>
              <w:jc w:val="left"/>
            </w:pPr>
            <w:r w:rsidRPr="00C53FB5">
              <w:t>1</w:t>
            </w:r>
            <w:r w:rsidRPr="007A163F">
              <w:t>34 to 141 GHz</w:t>
            </w:r>
            <w:r w:rsidR="006E2E38">
              <w:t xml:space="preserve"> (In-band)</w:t>
            </w:r>
          </w:p>
        </w:tc>
        <w:tc>
          <w:tcPr>
            <w:tcW w:w="2693" w:type="dxa"/>
          </w:tcPr>
          <w:p w14:paraId="43A4FD9D" w14:textId="77777777" w:rsidR="007A163F" w:rsidRPr="007A163F" w:rsidRDefault="005F7474" w:rsidP="000A69BD">
            <w:pPr>
              <w:pStyle w:val="ECCTabletext"/>
              <w:jc w:val="left"/>
            </w:pPr>
            <w:r>
              <w:t>60</w:t>
            </w:r>
            <w:r w:rsidR="007A163F">
              <w:t> m</w:t>
            </w:r>
          </w:p>
        </w:tc>
      </w:tr>
      <w:tr w:rsidR="007A163F" w14:paraId="365D5163" w14:textId="77777777" w:rsidTr="003C3D14">
        <w:tc>
          <w:tcPr>
            <w:tcW w:w="1985" w:type="dxa"/>
            <w:vMerge/>
          </w:tcPr>
          <w:p w14:paraId="0D7CF697" w14:textId="77777777" w:rsidR="007A163F" w:rsidRPr="00C53FB5" w:rsidRDefault="007A163F" w:rsidP="007A163F">
            <w:pPr>
              <w:pStyle w:val="ECCTabletext"/>
            </w:pPr>
          </w:p>
        </w:tc>
        <w:tc>
          <w:tcPr>
            <w:tcW w:w="3260" w:type="dxa"/>
          </w:tcPr>
          <w:p w14:paraId="0E0CC4FE" w14:textId="77777777" w:rsidR="007A163F" w:rsidRPr="007A163F" w:rsidRDefault="007A163F" w:rsidP="000A69BD">
            <w:pPr>
              <w:pStyle w:val="ECCTabletext"/>
              <w:jc w:val="left"/>
            </w:pPr>
            <w:r w:rsidRPr="00C53FB5">
              <w:t xml:space="preserve">241 to </w:t>
            </w:r>
            <w:r w:rsidRPr="007A163F">
              <w:t>250 GHz</w:t>
            </w:r>
            <w:r w:rsidR="006E2E38">
              <w:t xml:space="preserve"> (In-band)</w:t>
            </w:r>
          </w:p>
        </w:tc>
        <w:tc>
          <w:tcPr>
            <w:tcW w:w="2693" w:type="dxa"/>
          </w:tcPr>
          <w:p w14:paraId="1AEDF85A" w14:textId="77777777" w:rsidR="007A163F" w:rsidRPr="007A163F" w:rsidRDefault="005F7474" w:rsidP="000A69BD">
            <w:pPr>
              <w:pStyle w:val="ECCTabletext"/>
              <w:jc w:val="left"/>
            </w:pPr>
            <w:r>
              <w:t>4</w:t>
            </w:r>
            <w:r w:rsidR="007A163F">
              <w:t> m</w:t>
            </w:r>
          </w:p>
        </w:tc>
      </w:tr>
    </w:tbl>
    <w:p w14:paraId="350821C0" w14:textId="479F34D4" w:rsidR="00BE7B1A" w:rsidRDefault="00BE7B1A" w:rsidP="00BE7B1A">
      <w:bookmarkStart w:id="840" w:name="_Ref67330941"/>
      <w:r>
        <w:t xml:space="preserve">The conclusions drawn from these results can be found in </w:t>
      </w:r>
      <w:r w:rsidR="009D5FA2">
        <w:t>section</w:t>
      </w:r>
      <w:r w:rsidRPr="00F31C7A">
        <w:t xml:space="preserve"> </w:t>
      </w:r>
      <w:r>
        <w:fldChar w:fldCharType="begin"/>
      </w:r>
      <w:r>
        <w:instrText xml:space="preserve"> REF _Ref67393928 \r \h </w:instrText>
      </w:r>
      <w:r>
        <w:fldChar w:fldCharType="separate"/>
      </w:r>
      <w:r w:rsidR="004F49F9">
        <w:t>8.8.5</w:t>
      </w:r>
      <w:r>
        <w:fldChar w:fldCharType="end"/>
      </w:r>
      <w:r w:rsidRPr="00F31C7A">
        <w:t>.</w:t>
      </w:r>
    </w:p>
    <w:p w14:paraId="140393FA" w14:textId="77777777" w:rsidR="00E802DC" w:rsidRPr="009C0EF6" w:rsidRDefault="00E802DC" w:rsidP="00E802DC">
      <w:pPr>
        <w:pStyle w:val="Heading1"/>
        <w:rPr>
          <w:lang w:val="en-GB"/>
        </w:rPr>
      </w:pPr>
      <w:bookmarkStart w:id="841" w:name="_Ref67995904"/>
      <w:bookmarkStart w:id="842" w:name="_Toc84325446"/>
      <w:bookmarkStart w:id="843" w:name="_Toc127346368"/>
      <w:bookmarkEnd w:id="840"/>
      <w:r w:rsidRPr="009C0EF6">
        <w:rPr>
          <w:lang w:val="en-GB"/>
        </w:rPr>
        <w:t>Conclusions</w:t>
      </w:r>
      <w:bookmarkEnd w:id="841"/>
      <w:bookmarkEnd w:id="842"/>
      <w:bookmarkEnd w:id="843"/>
    </w:p>
    <w:p w14:paraId="68508D66" w14:textId="77777777" w:rsidR="00E802DC" w:rsidRPr="009C0EF6" w:rsidRDefault="00E802DC" w:rsidP="00E802DC">
      <w:pPr>
        <w:pStyle w:val="Heading2"/>
        <w:rPr>
          <w:lang w:val="en-GB"/>
        </w:rPr>
      </w:pPr>
      <w:bookmarkStart w:id="844" w:name="_Ref67399621"/>
      <w:bookmarkStart w:id="845" w:name="_Toc84325447"/>
      <w:bookmarkStart w:id="846" w:name="_Toc127346369"/>
      <w:r w:rsidRPr="009C0EF6">
        <w:rPr>
          <w:lang w:val="en-GB"/>
        </w:rPr>
        <w:t>Generic indoor surveillance radar</w:t>
      </w:r>
      <w:bookmarkEnd w:id="844"/>
      <w:bookmarkEnd w:id="845"/>
      <w:bookmarkEnd w:id="846"/>
    </w:p>
    <w:p w14:paraId="754D6901" w14:textId="77777777" w:rsidR="009C0EF6" w:rsidRDefault="00007398" w:rsidP="00007398">
      <w:pPr>
        <w:pStyle w:val="Heading3"/>
        <w:rPr>
          <w:rFonts w:eastAsia="Calibri"/>
        </w:rPr>
      </w:pPr>
      <w:bookmarkStart w:id="847" w:name="_Toc84325448"/>
      <w:bookmarkStart w:id="848" w:name="_Toc127346370"/>
      <w:r>
        <w:rPr>
          <w:rFonts w:eastAsia="Calibri"/>
        </w:rPr>
        <w:t>Summary</w:t>
      </w:r>
      <w:bookmarkEnd w:id="847"/>
      <w:bookmarkEnd w:id="848"/>
    </w:p>
    <w:p w14:paraId="35C23B3B" w14:textId="7B0F788A" w:rsidR="00840688" w:rsidRDefault="00840688" w:rsidP="00840688">
      <w:r>
        <w:t xml:space="preserve">For generic indoor surveillance radar the candidate frequency bands </w:t>
      </w:r>
      <w:r w:rsidRPr="00300D7E">
        <w:rPr>
          <w:rStyle w:val="ECCParagraph"/>
        </w:rPr>
        <w:t xml:space="preserve">116 to </w:t>
      </w:r>
      <w:r>
        <w:rPr>
          <w:rStyle w:val="ECCParagraph"/>
        </w:rPr>
        <w:t>130</w:t>
      </w:r>
      <w:r w:rsidRPr="00300D7E">
        <w:rPr>
          <w:rStyle w:val="ECCParagraph"/>
        </w:rPr>
        <w:t> GHz</w:t>
      </w:r>
      <w:r>
        <w:rPr>
          <w:rStyle w:val="ECCParagraph"/>
        </w:rPr>
        <w:t xml:space="preserve">, </w:t>
      </w:r>
      <w:r w:rsidRPr="00300D7E">
        <w:rPr>
          <w:rStyle w:val="ECCParagraph"/>
        </w:rPr>
        <w:t>1</w:t>
      </w:r>
      <w:r>
        <w:rPr>
          <w:rStyle w:val="ECCParagraph"/>
        </w:rPr>
        <w:t>34</w:t>
      </w:r>
      <w:r w:rsidRPr="00300D7E">
        <w:rPr>
          <w:rStyle w:val="ECCParagraph"/>
        </w:rPr>
        <w:t xml:space="preserve"> to 1</w:t>
      </w:r>
      <w:r>
        <w:rPr>
          <w:rStyle w:val="ECCParagraph"/>
        </w:rPr>
        <w:t>41</w:t>
      </w:r>
      <w:r w:rsidRPr="00300D7E">
        <w:rPr>
          <w:rStyle w:val="ECCParagraph"/>
        </w:rPr>
        <w:t> GHz</w:t>
      </w:r>
      <w:r>
        <w:rPr>
          <w:rStyle w:val="ECCParagraph"/>
        </w:rPr>
        <w:t xml:space="preserve"> and 141</w:t>
      </w:r>
      <w:r w:rsidRPr="00300D7E">
        <w:rPr>
          <w:rStyle w:val="ECCParagraph"/>
        </w:rPr>
        <w:t xml:space="preserve"> to </w:t>
      </w:r>
      <w:r>
        <w:rPr>
          <w:rStyle w:val="ECCParagraph"/>
        </w:rPr>
        <w:t>148</w:t>
      </w:r>
      <w:r w:rsidR="00CF4994">
        <w:rPr>
          <w:rStyle w:val="ECCParagraph"/>
        </w:rPr>
        <w:t>.5</w:t>
      </w:r>
      <w:r w:rsidRPr="00300D7E">
        <w:rPr>
          <w:rStyle w:val="ECCParagraph"/>
        </w:rPr>
        <w:t> GHz</w:t>
      </w:r>
      <w:r>
        <w:rPr>
          <w:rStyle w:val="ECCParagraph"/>
        </w:rPr>
        <w:t xml:space="preserve"> have been studied for both categories of such devices, </w:t>
      </w:r>
      <w:r w:rsidR="009D5FA2">
        <w:rPr>
          <w:rStyle w:val="ECCParagraph"/>
        </w:rPr>
        <w:t>hand-held</w:t>
      </w:r>
      <w:r>
        <w:rPr>
          <w:rStyle w:val="ECCParagraph"/>
        </w:rPr>
        <w:t>/mobile and fixed.</w:t>
      </w:r>
      <w:r w:rsidR="008F54DE">
        <w:rPr>
          <w:rStyle w:val="ECCParagraph"/>
        </w:rPr>
        <w:t xml:space="preserve"> </w:t>
      </w:r>
      <w:r>
        <w:t xml:space="preserve">It turned out that </w:t>
      </w:r>
      <w:r w:rsidR="008F54DE">
        <w:t>only in the bands 122</w:t>
      </w:r>
      <w:r w:rsidR="00CF4994">
        <w:t>.2</w:t>
      </w:r>
      <w:r w:rsidR="008F54DE">
        <w:t>5 to 130 GHz, 134 to 141 GHz and 141 to 148</w:t>
      </w:r>
      <w:r w:rsidR="00CF4994">
        <w:t>.5</w:t>
      </w:r>
      <w:r w:rsidR="008F54DE">
        <w:t> GHz compatibility between generic indoor surveillance radars and all investigated Radio Services can be ensured.</w:t>
      </w:r>
    </w:p>
    <w:p w14:paraId="7767279D" w14:textId="2A5AA752" w:rsidR="00BC6CF1" w:rsidRDefault="00BC6CF1" w:rsidP="00BC6CF1">
      <w:r>
        <w:t>The lower portion, 116 to 122</w:t>
      </w:r>
      <w:r w:rsidR="00CF4994">
        <w:t>.2</w:t>
      </w:r>
      <w:r>
        <w:t xml:space="preserve">5 GHz, of the whole candidate band 116 to 130 GHz has also been investigated. However, compatibility between generic indoor surveillance radar sensors and EESS (passive) cannot be ensured in this band portion assuming the power levels given in </w:t>
      </w:r>
      <w:r w:rsidR="009D5FA2">
        <w:t>section</w:t>
      </w:r>
      <w:r w:rsidR="009D3418">
        <w:t xml:space="preserve"> </w:t>
      </w:r>
      <w:r w:rsidR="000E293C">
        <w:fldChar w:fldCharType="begin"/>
      </w:r>
      <w:r w:rsidR="000E293C">
        <w:instrText xml:space="preserve"> REF _Ref67913648 \r \h </w:instrText>
      </w:r>
      <w:r w:rsidR="000E293C">
        <w:fldChar w:fldCharType="separate"/>
      </w:r>
      <w:r w:rsidR="004F49F9">
        <w:t>6.1.1</w:t>
      </w:r>
      <w:r w:rsidR="000E293C">
        <w:fldChar w:fldCharType="end"/>
      </w:r>
      <w:r w:rsidR="00C33873">
        <w:t>.</w:t>
      </w:r>
    </w:p>
    <w:p w14:paraId="4B67A26D" w14:textId="77777777" w:rsidR="00840688" w:rsidRDefault="00840688" w:rsidP="00840688">
      <w:pPr>
        <w:rPr>
          <w:rStyle w:val="ECCParagraph"/>
        </w:rPr>
      </w:pPr>
      <w:r>
        <w:rPr>
          <w:rStyle w:val="ECCParagraph"/>
        </w:rPr>
        <w:t>The following protection requirements have been assumed:</w:t>
      </w:r>
    </w:p>
    <w:p w14:paraId="61CF1B1E" w14:textId="77777777" w:rsidR="00840688" w:rsidRDefault="00840688" w:rsidP="00840688">
      <w:pPr>
        <w:pStyle w:val="ECCBulletsLv1"/>
        <w:rPr>
          <w:rStyle w:val="ECCParagraph"/>
        </w:rPr>
      </w:pPr>
      <w:r>
        <w:rPr>
          <w:rStyle w:val="ECCParagraph"/>
        </w:rPr>
        <w:t>Radio Astronomy: Separation distance smaller than 20 km</w:t>
      </w:r>
    </w:p>
    <w:p w14:paraId="615040D6" w14:textId="77777777" w:rsidR="00840688" w:rsidRDefault="00840688" w:rsidP="00840688">
      <w:pPr>
        <w:pStyle w:val="ECCBulletsLv1"/>
        <w:rPr>
          <w:rStyle w:val="ECCParagraph"/>
        </w:rPr>
      </w:pPr>
      <w:r>
        <w:rPr>
          <w:rStyle w:val="ECCParagraph"/>
        </w:rPr>
        <w:t>Fixed Service and Amateur Service: Separation distance smaller than 300 m</w:t>
      </w:r>
    </w:p>
    <w:p w14:paraId="5ED44402" w14:textId="724D720F" w:rsidR="00840688" w:rsidRDefault="00840688" w:rsidP="00840688">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1041DAA5" w14:textId="77777777" w:rsidR="009D3418" w:rsidRDefault="009D3418" w:rsidP="009D3418">
      <w:r w:rsidRPr="00BB41AD">
        <w:t xml:space="preserve">All </w:t>
      </w:r>
      <w:r>
        <w:t>fixed generic indoor surveillance radars should</w:t>
      </w:r>
      <w:r w:rsidRPr="00BB41AD">
        <w:t xml:space="preserve"> comply with the following </w:t>
      </w:r>
      <w:r>
        <w:t>(</w:t>
      </w:r>
      <w:r w:rsidRPr="00BB41AD">
        <w:t>installation</w:t>
      </w:r>
      <w:r>
        <w:t>)</w:t>
      </w:r>
      <w:r w:rsidRPr="00BB41AD">
        <w:t xml:space="preserve"> requirements:</w:t>
      </w:r>
    </w:p>
    <w:p w14:paraId="496D9E38" w14:textId="77777777" w:rsidR="009D3418" w:rsidRDefault="009D3418" w:rsidP="009D3418">
      <w:pPr>
        <w:pStyle w:val="ECCBulletsLv1"/>
      </w:pPr>
      <w:r>
        <w:t>Fixed generic indoor surveillance radars shall only be installed and operated inside buildings.</w:t>
      </w:r>
    </w:p>
    <w:p w14:paraId="0D5B9F9E" w14:textId="77777777" w:rsidR="009D3418" w:rsidRDefault="009D3418" w:rsidP="009D3418">
      <w:pPr>
        <w:pStyle w:val="ECCBulletsLv1"/>
      </w:pPr>
      <w:r>
        <w:t>Users and i</w:t>
      </w:r>
      <w:r w:rsidRPr="00E2283A">
        <w:t>nstallers have to ensure</w:t>
      </w:r>
      <w:r>
        <w:t xml:space="preserve"> </w:t>
      </w:r>
      <w:r w:rsidRPr="00E3375B">
        <w:t>that</w:t>
      </w:r>
      <w:r>
        <w:t xml:space="preserve"> fixed generic indoor surveillance radars, although installed inside a building, do not </w:t>
      </w:r>
      <w:r w:rsidRPr="00E3375B">
        <w:t xml:space="preserve">perform a function outside the building structure, such as </w:t>
      </w:r>
      <w:r>
        <w:t xml:space="preserve">for example </w:t>
      </w:r>
      <w:r w:rsidRPr="00E3375B">
        <w:t xml:space="preserve">the detection of persons outside </w:t>
      </w:r>
      <w:r>
        <w:t xml:space="preserve">the </w:t>
      </w:r>
      <w:r w:rsidRPr="00E3375B">
        <w:t>building</w:t>
      </w:r>
      <w:r>
        <w:t xml:space="preserve"> (e.g. through wall imaging).</w:t>
      </w:r>
    </w:p>
    <w:p w14:paraId="0F0718A3" w14:textId="77777777" w:rsidR="009D3418" w:rsidRDefault="009D3418" w:rsidP="009D3418">
      <w:pPr>
        <w:pStyle w:val="ECCBulletsLv1"/>
      </w:pPr>
      <w:r w:rsidRPr="00BB41AD">
        <w:t xml:space="preserve">The provider is required to inform the users and installers of </w:t>
      </w:r>
      <w:r>
        <w:t xml:space="preserve">fixed generic indoor surveillance </w:t>
      </w:r>
      <w:r w:rsidRPr="00BB41AD">
        <w:t>equipment about the installation requirements and the additional special mounting instructions</w:t>
      </w:r>
      <w:r>
        <w:t>.</w:t>
      </w:r>
    </w:p>
    <w:p w14:paraId="1E48ED73" w14:textId="77777777" w:rsidR="009D3418" w:rsidRDefault="009D3418" w:rsidP="009D3418">
      <w:r>
        <w:t>In addition, the following antenna requirement is proposed:</w:t>
      </w:r>
    </w:p>
    <w:p w14:paraId="6ECA0C26" w14:textId="77777777" w:rsidR="009D3418" w:rsidRDefault="009D3418" w:rsidP="009D3418">
      <w:pPr>
        <w:pStyle w:val="ECCBulletsLv1"/>
      </w:pPr>
      <w:r w:rsidRPr="00D827F6">
        <w:t xml:space="preserve">For </w:t>
      </w:r>
      <w:r w:rsidRPr="00F528BF">
        <w:t>fixed</w:t>
      </w:r>
      <w:r>
        <w:t xml:space="preserve"> generic</w:t>
      </w:r>
      <w:r w:rsidRPr="00F528BF">
        <w:t xml:space="preserve"> indoor surveillance radar</w:t>
      </w:r>
      <w:r>
        <w:t>s</w:t>
      </w:r>
      <w:r w:rsidRPr="00F528BF">
        <w:t xml:space="preserve">, the </w:t>
      </w:r>
      <w:r>
        <w:t>mean e.i.r.p.</w:t>
      </w:r>
      <w:r w:rsidRPr="00F528BF">
        <w:t xml:space="preserve"> above 0</w:t>
      </w:r>
      <w:r>
        <w:t>°</w:t>
      </w:r>
      <w:r w:rsidRPr="00F528BF">
        <w:t xml:space="preserve"> elevation shall be </w:t>
      </w:r>
      <w:r>
        <w:t>limited to 12 dBm (</w:t>
      </w:r>
      <w:r w:rsidRPr="00F528BF">
        <w:t>8</w:t>
      </w:r>
      <w:r>
        <w:t> </w:t>
      </w:r>
      <w:r w:rsidRPr="00F528BF">
        <w:t>dB below the max</w:t>
      </w:r>
      <w:r>
        <w:t>imum</w:t>
      </w:r>
      <w:r w:rsidRPr="00F528BF">
        <w:t xml:space="preserve"> mean e.i.r.p. of 20</w:t>
      </w:r>
      <w:r>
        <w:t> </w:t>
      </w:r>
      <w:r w:rsidRPr="00F528BF">
        <w:t>dBm</w:t>
      </w:r>
      <w:r>
        <w:t>)</w:t>
      </w:r>
      <w:r w:rsidRPr="00F528BF">
        <w:t>.</w:t>
      </w:r>
    </w:p>
    <w:p w14:paraId="5840F08F" w14:textId="77777777" w:rsidR="00007398" w:rsidRDefault="00007398" w:rsidP="00007398">
      <w:pPr>
        <w:pStyle w:val="Heading3"/>
      </w:pPr>
      <w:bookmarkStart w:id="849" w:name="_Ref67515751"/>
      <w:bookmarkStart w:id="850" w:name="_Toc84325449"/>
      <w:bookmarkStart w:id="851" w:name="_Toc127346371"/>
      <w:r>
        <w:t>Radio Astronomy</w:t>
      </w:r>
      <w:bookmarkEnd w:id="849"/>
      <w:bookmarkEnd w:id="850"/>
      <w:bookmarkEnd w:id="851"/>
    </w:p>
    <w:p w14:paraId="4E59875F" w14:textId="5DC35F37" w:rsidR="00007398" w:rsidRDefault="00007398" w:rsidP="00007398">
      <w:r w:rsidRPr="00B10E31">
        <w:t xml:space="preserve">The separation distances in the lower frequency range </w:t>
      </w:r>
      <w:r>
        <w:t>123</w:t>
      </w:r>
      <w:r w:rsidR="008A2916">
        <w:t> </w:t>
      </w:r>
      <w:r w:rsidRPr="00B10E31">
        <w:t xml:space="preserve">GHz to </w:t>
      </w:r>
      <w:r>
        <w:t>158</w:t>
      </w:r>
      <w:r w:rsidR="00CF4994">
        <w:t>.5</w:t>
      </w:r>
      <w:r w:rsidR="008A2916">
        <w:t> </w:t>
      </w:r>
      <w:r w:rsidRPr="00B10E31">
        <w:t xml:space="preserve">GHz </w:t>
      </w:r>
      <w:r>
        <w:t>obtained in the single-entry study are</w:t>
      </w:r>
      <w:r w:rsidRPr="00B10E31">
        <w:t xml:space="preserve"> </w:t>
      </w:r>
      <w:r>
        <w:t xml:space="preserve">for the fixed </w:t>
      </w:r>
      <w:r w:rsidR="00950477">
        <w:t xml:space="preserve">generic </w:t>
      </w:r>
      <w:r>
        <w:t xml:space="preserve">indoor </w:t>
      </w:r>
      <w:r w:rsidR="00950477">
        <w:t xml:space="preserve">surveillance radar </w:t>
      </w:r>
      <w:r>
        <w:t>devices 35</w:t>
      </w:r>
      <w:r w:rsidR="00CF4994">
        <w:t>.2</w:t>
      </w:r>
      <w:r w:rsidR="00950477">
        <w:t> </w:t>
      </w:r>
      <w:r>
        <w:t xml:space="preserve">km for the outdoor </w:t>
      </w:r>
      <w:r w:rsidR="00950477">
        <w:t xml:space="preserve">consideration </w:t>
      </w:r>
      <w:r w:rsidRPr="00B10E31">
        <w:t xml:space="preserve">and </w:t>
      </w:r>
      <w:r>
        <w:t>10</w:t>
      </w:r>
      <w:r w:rsidR="00CF4994">
        <w:t>.7</w:t>
      </w:r>
      <w:r w:rsidRPr="00B10E31">
        <w:t> km</w:t>
      </w:r>
      <w:r>
        <w:t xml:space="preserve"> for the indoor case. For the </w:t>
      </w:r>
      <w:r w:rsidR="009D5FA2">
        <w:t>hand-held</w:t>
      </w:r>
      <w:r>
        <w:t xml:space="preserve">/mobile </w:t>
      </w:r>
      <w:r w:rsidR="00257A86">
        <w:t xml:space="preserve">generic </w:t>
      </w:r>
      <w:r>
        <w:t xml:space="preserve">indoor </w:t>
      </w:r>
      <w:r w:rsidR="00257A86">
        <w:t xml:space="preserve">surveillance </w:t>
      </w:r>
      <w:r>
        <w:t xml:space="preserve">equipment the </w:t>
      </w:r>
      <w:r w:rsidR="00257A86">
        <w:t>separation</w:t>
      </w:r>
      <w:r>
        <w:t xml:space="preserve"> distance</w:t>
      </w:r>
      <w:r w:rsidR="00257A86">
        <w:t>s</w:t>
      </w:r>
      <w:r>
        <w:t xml:space="preserve"> </w:t>
      </w:r>
      <w:r w:rsidR="00257A86">
        <w:t>are</w:t>
      </w:r>
      <w:r>
        <w:t xml:space="preserve"> 19</w:t>
      </w:r>
      <w:r w:rsidR="00257A86">
        <w:t> </w:t>
      </w:r>
      <w:r>
        <w:t xml:space="preserve">km for the outdoor </w:t>
      </w:r>
      <w:r w:rsidR="00257A86">
        <w:t>consideration a</w:t>
      </w:r>
      <w:r>
        <w:t>nd 1</w:t>
      </w:r>
      <w:r w:rsidR="00CF4994">
        <w:t>.6</w:t>
      </w:r>
      <w:r w:rsidR="00257A86">
        <w:t> </w:t>
      </w:r>
      <w:r>
        <w:t xml:space="preserve">km for the indoor </w:t>
      </w:r>
      <w:r w:rsidR="00257A86">
        <w:t>case</w:t>
      </w:r>
      <w:r>
        <w:t>.</w:t>
      </w:r>
    </w:p>
    <w:p w14:paraId="5BAB3727" w14:textId="77777777" w:rsidR="00007398" w:rsidRPr="00B10E31" w:rsidRDefault="00007398" w:rsidP="00007398">
      <w:r>
        <w:t xml:space="preserve">Therefore, to reach compatibility for </w:t>
      </w:r>
      <w:r w:rsidR="00257A86">
        <w:t xml:space="preserve">the </w:t>
      </w:r>
      <w:r>
        <w:t xml:space="preserve">fixed indoor equipment an installation requirement </w:t>
      </w:r>
      <w:r w:rsidR="00257A86">
        <w:t>limiting the</w:t>
      </w:r>
      <w:r>
        <w:t xml:space="preserve"> related </w:t>
      </w:r>
      <w:r w:rsidR="00257A86">
        <w:t xml:space="preserve">mean e.i.r.p. to a maximal value of </w:t>
      </w:r>
      <w:r>
        <w:t>12</w:t>
      </w:r>
      <w:r w:rsidR="00257A86">
        <w:t> </w:t>
      </w:r>
      <w:r>
        <w:t xml:space="preserve">dBm </w:t>
      </w:r>
      <w:r w:rsidR="00257A86">
        <w:t xml:space="preserve">for elevation angles </w:t>
      </w:r>
      <w:r w:rsidR="00037B2E">
        <w:t xml:space="preserve">larger than </w:t>
      </w:r>
      <w:r>
        <w:t>0</w:t>
      </w:r>
      <w:r w:rsidR="00257A86">
        <w:t>°</w:t>
      </w:r>
      <w:r>
        <w:t xml:space="preserve"> could be requested.</w:t>
      </w:r>
      <w:r w:rsidR="00257A86">
        <w:t xml:space="preserve"> In</w:t>
      </w:r>
      <w:r>
        <w:t xml:space="preserve"> this case the </w:t>
      </w:r>
      <w:r w:rsidR="00417B0E">
        <w:t>separation</w:t>
      </w:r>
      <w:r>
        <w:t xml:space="preserve"> distance would </w:t>
      </w:r>
      <w:r w:rsidR="00257A86">
        <w:t xml:space="preserve">drop to </w:t>
      </w:r>
      <w:r>
        <w:t>17</w:t>
      </w:r>
      <w:r w:rsidR="00CF4994">
        <w:t>.5</w:t>
      </w:r>
      <w:r w:rsidR="00257A86">
        <w:t> </w:t>
      </w:r>
      <w:r>
        <w:t>km</w:t>
      </w:r>
      <w:r w:rsidR="00257A86">
        <w:t xml:space="preserve"> for the </w:t>
      </w:r>
      <w:r w:rsidR="007968BF">
        <w:t>outdoor consideration</w:t>
      </w:r>
      <w:r>
        <w:t>.</w:t>
      </w:r>
    </w:p>
    <w:p w14:paraId="526FC5BC" w14:textId="77777777" w:rsidR="00007398" w:rsidRDefault="00007398" w:rsidP="00007398">
      <w:r w:rsidRPr="00B10E31">
        <w:t xml:space="preserve">For the frequency bands </w:t>
      </w:r>
      <w:r w:rsidR="00B70F29">
        <w:t>76</w:t>
      </w:r>
      <w:r w:rsidR="007968BF">
        <w:t> </w:t>
      </w:r>
      <w:r w:rsidRPr="00B10E31">
        <w:t xml:space="preserve">GHz to </w:t>
      </w:r>
      <w:r>
        <w:t>116</w:t>
      </w:r>
      <w:r w:rsidRPr="00B10E31">
        <w:t xml:space="preserve"> GHz, </w:t>
      </w:r>
      <w:r>
        <w:t>148</w:t>
      </w:r>
      <w:r w:rsidR="00CF4994">
        <w:t>.5</w:t>
      </w:r>
      <w:r w:rsidRPr="00B10E31">
        <w:t xml:space="preserve"> GHz to </w:t>
      </w:r>
      <w:r>
        <w:t>151</w:t>
      </w:r>
      <w:r w:rsidR="00CF4994">
        <w:t>.5</w:t>
      </w:r>
      <w:r w:rsidRPr="00B10E31">
        <w:t xml:space="preserve"> GHz </w:t>
      </w:r>
      <w:r>
        <w:t>(adjacent frequency situation)</w:t>
      </w:r>
      <w:r w:rsidRPr="00B10E31">
        <w:t xml:space="preserve"> </w:t>
      </w:r>
      <w:r>
        <w:t xml:space="preserve">compatibility can be ensured between </w:t>
      </w:r>
      <w:r w:rsidR="00B70F29">
        <w:t xml:space="preserve">both types of </w:t>
      </w:r>
      <w:r>
        <w:t xml:space="preserve">generic indoor </w:t>
      </w:r>
      <w:r w:rsidR="00B70F29">
        <w:t xml:space="preserve">surveillance radar </w:t>
      </w:r>
      <w:r>
        <w:t>equipment and RAS</w:t>
      </w:r>
      <w:r w:rsidR="00B70F29">
        <w:t xml:space="preserve"> without the implementation of additional mitigation techniques</w:t>
      </w:r>
      <w:r>
        <w:t xml:space="preserve">. The </w:t>
      </w:r>
      <w:r w:rsidRPr="00B10E31">
        <w:t xml:space="preserve">separation distances </w:t>
      </w:r>
      <w:r w:rsidR="00B70F29">
        <w:t>obtained in the MCL calculations are all</w:t>
      </w:r>
      <w:r>
        <w:t xml:space="preserve"> below 5</w:t>
      </w:r>
      <w:r w:rsidR="00B70F29">
        <w:t> </w:t>
      </w:r>
      <w:r>
        <w:t>km.</w:t>
      </w:r>
    </w:p>
    <w:p w14:paraId="25018CB9" w14:textId="77777777" w:rsidR="00FF14DD" w:rsidRDefault="00FF14DD" w:rsidP="00FF14DD">
      <w:r w:rsidRPr="00FF14DD">
        <w:t xml:space="preserve">Operational </w:t>
      </w:r>
      <w:r>
        <w:t>solutions</w:t>
      </w:r>
      <w:r w:rsidRPr="00FF14DD">
        <w:t xml:space="preserve"> to implement these separation distances were not studied in this </w:t>
      </w:r>
      <w:r>
        <w:t>R</w:t>
      </w:r>
      <w:r w:rsidRPr="00FF14DD">
        <w:t>eport.</w:t>
      </w:r>
    </w:p>
    <w:p w14:paraId="47805D5D" w14:textId="77777777" w:rsidR="00007398" w:rsidRDefault="00007398" w:rsidP="00007398">
      <w:pPr>
        <w:pStyle w:val="Heading3"/>
      </w:pPr>
      <w:bookmarkStart w:id="852" w:name="_Ref67602866"/>
      <w:bookmarkStart w:id="853" w:name="_Toc84325450"/>
      <w:bookmarkStart w:id="854" w:name="_Toc127346372"/>
      <w:r>
        <w:t>Fixed Service</w:t>
      </w:r>
      <w:bookmarkEnd w:id="852"/>
      <w:bookmarkEnd w:id="853"/>
      <w:bookmarkEnd w:id="854"/>
    </w:p>
    <w:p w14:paraId="228A8F8E" w14:textId="7FE3504B" w:rsidR="007D633A" w:rsidRPr="00B10E31" w:rsidRDefault="007D633A" w:rsidP="007D633A">
      <w:r w:rsidRPr="00B10E31">
        <w:t xml:space="preserve">For evaluating the compatibility between </w:t>
      </w:r>
      <w:r>
        <w:t>generic indoor surveillance radar</w:t>
      </w:r>
      <w:r w:rsidRPr="00B10E31">
        <w:t xml:space="preserve"> and FS the two worst-case interference scenarios in </w:t>
      </w:r>
      <w:r>
        <w:rPr>
          <w:highlight w:val="yellow"/>
        </w:rPr>
        <w:fldChar w:fldCharType="begin"/>
      </w:r>
      <w:r>
        <w:instrText xml:space="preserve"> REF _Ref66373493 \h </w:instrText>
      </w:r>
      <w:r>
        <w:rPr>
          <w:highlight w:val="yellow"/>
        </w:rPr>
      </w:r>
      <w:r>
        <w:rPr>
          <w:highlight w:val="yellow"/>
        </w:rPr>
        <w:fldChar w:fldCharType="separate"/>
      </w:r>
      <w:r w:rsidR="0041125F" w:rsidRPr="005D24D5">
        <w:rPr>
          <w:rStyle w:val="ECCParagraph"/>
        </w:rPr>
        <w:t>Figure </w:t>
      </w:r>
      <w:r w:rsidR="0041125F">
        <w:rPr>
          <w:rStyle w:val="ECCParagraph"/>
          <w:noProof/>
        </w:rPr>
        <w:t>3</w:t>
      </w:r>
      <w:r>
        <w:rPr>
          <w:highlight w:val="yellow"/>
        </w:rPr>
        <w:fldChar w:fldCharType="end"/>
      </w:r>
      <w:r>
        <w:t xml:space="preserve"> </w:t>
      </w:r>
      <w:r w:rsidRPr="00B10E31">
        <w:t xml:space="preserve">and </w:t>
      </w:r>
      <w:r>
        <w:rPr>
          <w:highlight w:val="yellow"/>
        </w:rPr>
        <w:fldChar w:fldCharType="begin"/>
      </w:r>
      <w:r>
        <w:instrText xml:space="preserve"> REF _Ref66373544 \h </w:instrText>
      </w:r>
      <w:r>
        <w:rPr>
          <w:highlight w:val="yellow"/>
        </w:rPr>
      </w:r>
      <w:r>
        <w:rPr>
          <w:highlight w:val="yellow"/>
        </w:rPr>
        <w:fldChar w:fldCharType="separate"/>
      </w:r>
      <w:r w:rsidR="0041125F" w:rsidRPr="00484082">
        <w:rPr>
          <w:rStyle w:val="ECCParagraph"/>
          <w:lang w:val="da-DK"/>
        </w:rPr>
        <w:t>Figure </w:t>
      </w:r>
      <w:r w:rsidR="0041125F">
        <w:rPr>
          <w:rStyle w:val="ECCParagraph"/>
          <w:noProof/>
          <w:lang w:val="da-DK"/>
        </w:rPr>
        <w:t>4</w:t>
      </w:r>
      <w:r>
        <w:rPr>
          <w:highlight w:val="yellow"/>
        </w:rPr>
        <w:fldChar w:fldCharType="end"/>
      </w:r>
      <w:r>
        <w:t xml:space="preserve"> </w:t>
      </w:r>
      <w:r w:rsidRPr="00B10E31">
        <w:t xml:space="preserve">have been defined (see </w:t>
      </w:r>
      <w:r w:rsidR="009D5FA2">
        <w:t>section</w:t>
      </w:r>
      <w:r w:rsidRPr="00B10E31">
        <w:t xml:space="preserve"> </w:t>
      </w:r>
      <w:r>
        <w:rPr>
          <w:highlight w:val="yellow"/>
        </w:rPr>
        <w:fldChar w:fldCharType="begin"/>
      </w:r>
      <w:r>
        <w:instrText xml:space="preserve"> REF _Ref67603390 \r \h </w:instrText>
      </w:r>
      <w:r>
        <w:rPr>
          <w:highlight w:val="yellow"/>
        </w:rPr>
      </w:r>
      <w:r>
        <w:rPr>
          <w:highlight w:val="yellow"/>
        </w:rPr>
        <w:fldChar w:fldCharType="separate"/>
      </w:r>
      <w:r w:rsidR="004F49F9">
        <w:t>2.2.1.6</w:t>
      </w:r>
      <w:r>
        <w:rPr>
          <w:highlight w:val="yellow"/>
        </w:rPr>
        <w:fldChar w:fldCharType="end"/>
      </w:r>
      <w:r w:rsidRPr="00B10E31">
        <w:t xml:space="preserve">). In both scenarios it is valid that separation distances smaller than 300 m result in compatibility between RDI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_Ref67053219 \r \h </w:instrText>
      </w:r>
      <w:r>
        <w:rPr>
          <w:highlight w:val="yellow"/>
        </w:rPr>
      </w:r>
      <w:r>
        <w:rPr>
          <w:highlight w:val="yellow"/>
        </w:rPr>
        <w:fldChar w:fldCharType="separate"/>
      </w:r>
      <w:r w:rsidR="004F49F9">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38B1FB1A" w14:textId="475AE6DC" w:rsidR="007D633A" w:rsidRDefault="007D633A" w:rsidP="007D633A">
      <w:r>
        <w:t xml:space="preserve">For the </w:t>
      </w:r>
      <w:r w:rsidR="009D5FA2">
        <w:t>hand-held</w:t>
      </w:r>
      <w:r>
        <w:t>/mobile and fixed generic indoor surveillance equipment the largest separation distance in the in-band interference situation was determined to be 290</w:t>
      </w:r>
      <w:r w:rsidR="00D64BC6">
        <w:t> </w:t>
      </w:r>
      <w:r>
        <w:t>m. For the adjacent band situation, the separation distance was determined to be 50 m.</w:t>
      </w:r>
    </w:p>
    <w:p w14:paraId="1EFAD6FC" w14:textId="77777777" w:rsidR="00B5526C" w:rsidRDefault="007D633A" w:rsidP="00B5526C">
      <w:r>
        <w:t>If in addition the antenna pattern (8</w:t>
      </w:r>
      <w:r w:rsidR="008F0A88">
        <w:t> </w:t>
      </w:r>
      <w:r>
        <w:t xml:space="preserve">dB below </w:t>
      </w:r>
      <w:r w:rsidR="008F0A88">
        <w:t>the maximum</w:t>
      </w:r>
      <w:r>
        <w:t xml:space="preserve"> mean e.i.r.p </w:t>
      </w:r>
      <w:r w:rsidR="008F0A88">
        <w:t>above</w:t>
      </w:r>
      <w:r>
        <w:t xml:space="preserve"> </w:t>
      </w:r>
      <w:r w:rsidR="008F0A88">
        <w:t xml:space="preserve">an elevation of larger than </w:t>
      </w:r>
      <w:r>
        <w:t>0</w:t>
      </w:r>
      <w:r w:rsidR="008F0A88">
        <w:t>°</w:t>
      </w:r>
      <w:r>
        <w:t xml:space="preserve">) </w:t>
      </w:r>
      <w:r w:rsidR="008F0A88">
        <w:t>was considered for the fixed generic indoor surveillance radar a smaller separation distance and thus a lower probability of interference would result. The same would apply to both generic indoor surveillance device categories if a clutter loss was considered in the terrestrial path</w:t>
      </w:r>
      <w:r w:rsidR="00B5526C">
        <w:t>.</w:t>
      </w:r>
    </w:p>
    <w:p w14:paraId="1816406A" w14:textId="77777777" w:rsidR="00B5526C" w:rsidRDefault="00B5526C" w:rsidP="00B5526C">
      <w:r>
        <w:t xml:space="preserve">In the aggregate consideration the number of required devices in order to interfere with the FS receiver (in </w:t>
      </w:r>
      <w:r w:rsidR="00404588">
        <w:t xml:space="preserve">the </w:t>
      </w:r>
      <w:r>
        <w:t>worst-case 17</w:t>
      </w:r>
      <w:r w:rsidR="004F691F">
        <w:t xml:space="preserve"> per floor</w:t>
      </w:r>
      <w:r>
        <w:t>) would by far outnumber the expected device numbers per house (5) or per flat (3).</w:t>
      </w:r>
    </w:p>
    <w:p w14:paraId="28B1E532" w14:textId="77777777" w:rsidR="00007398" w:rsidRDefault="00007398" w:rsidP="00007398">
      <w:pPr>
        <w:pStyle w:val="Heading3"/>
      </w:pPr>
      <w:bookmarkStart w:id="855" w:name="_Ref67858645"/>
      <w:bookmarkStart w:id="856" w:name="_Toc84325451"/>
      <w:bookmarkStart w:id="857" w:name="_Toc127346373"/>
      <w:r w:rsidRPr="003E5746">
        <w:t>E</w:t>
      </w:r>
      <w:r>
        <w:t>arth Exploration Satellite Service</w:t>
      </w:r>
      <w:r w:rsidRPr="003E5746">
        <w:t xml:space="preserve"> (Passive)</w:t>
      </w:r>
      <w:bookmarkEnd w:id="855"/>
      <w:bookmarkEnd w:id="856"/>
      <w:bookmarkEnd w:id="857"/>
    </w:p>
    <w:p w14:paraId="4BB27BF7" w14:textId="265C90AD" w:rsidR="003639F0" w:rsidRDefault="003639F0" w:rsidP="00404588">
      <w:r>
        <w:t>For the single-entry consideration In all investigated frequency bands ample margins to the interference criteria can be ensured without the implementation of additional mitigation techniques (see</w:t>
      </w:r>
      <w:r w:rsidR="00986955">
        <w:t xml:space="preserve"> </w:t>
      </w:r>
      <w:r w:rsidR="00986955">
        <w:fldChar w:fldCharType="begin"/>
      </w:r>
      <w:r w:rsidR="00986955">
        <w:instrText xml:space="preserve"> REF _Ref89343644 \h </w:instrText>
      </w:r>
      <w:r w:rsidR="00986955">
        <w:fldChar w:fldCharType="separate"/>
      </w:r>
      <w:r w:rsidR="0041125F" w:rsidRPr="00477961">
        <w:t>Table </w:t>
      </w:r>
      <w:r w:rsidR="0041125F">
        <w:rPr>
          <w:noProof/>
        </w:rPr>
        <w:t>84</w:t>
      </w:r>
      <w:r w:rsidR="00986955">
        <w:fldChar w:fldCharType="end"/>
      </w:r>
      <w:r w:rsidR="005577D4">
        <w:t xml:space="preserve"> in </w:t>
      </w:r>
      <w:r w:rsidR="009D5FA2">
        <w:t>section</w:t>
      </w:r>
      <w:r w:rsidR="005577D4">
        <w:t xml:space="preserve"> </w:t>
      </w:r>
      <w:r w:rsidR="005577D4">
        <w:fldChar w:fldCharType="begin"/>
      </w:r>
      <w:r w:rsidR="005577D4">
        <w:instrText xml:space="preserve"> REF _Ref67859670 \r \h </w:instrText>
      </w:r>
      <w:r w:rsidR="005577D4">
        <w:fldChar w:fldCharType="separate"/>
      </w:r>
      <w:r w:rsidR="004F49F9">
        <w:t>6.1.2</w:t>
      </w:r>
      <w:r w:rsidR="005577D4">
        <w:fldChar w:fldCharType="end"/>
      </w:r>
      <w:r>
        <w:t>).</w:t>
      </w:r>
    </w:p>
    <w:p w14:paraId="194A938A" w14:textId="17C72061" w:rsidR="005577D4" w:rsidRDefault="005577D4" w:rsidP="00404588">
      <w:r>
        <w:t>For the aggregate scenario, h</w:t>
      </w:r>
      <w:r w:rsidR="00FF1BA3">
        <w:t xml:space="preserve">owever, </w:t>
      </w:r>
      <w:r>
        <w:t>in</w:t>
      </w:r>
      <w:r w:rsidR="003639F0">
        <w:t xml:space="preserve"> the </w:t>
      </w:r>
      <w:r w:rsidR="00404588">
        <w:t>lower portion 116 to 122</w:t>
      </w:r>
      <w:r w:rsidR="00CF4994">
        <w:t>.2</w:t>
      </w:r>
      <w:r w:rsidR="00404588">
        <w:t xml:space="preserve">5 GHz of the candidate band 116 to 130 GHz compatibility between generic indoor surveillance radar sensors and EESS (passive) </w:t>
      </w:r>
      <w:r w:rsidR="003639F0">
        <w:t xml:space="preserve">(in-band scenario) </w:t>
      </w:r>
      <w:r w:rsidR="00404588">
        <w:t xml:space="preserve">cannot be ensured assuming the </w:t>
      </w:r>
      <w:r w:rsidR="003639F0">
        <w:t xml:space="preserve">conditions shown in </w:t>
      </w:r>
      <w:r w:rsidR="003639F0">
        <w:fldChar w:fldCharType="begin"/>
      </w:r>
      <w:r w:rsidR="003639F0">
        <w:instrText xml:space="preserve"> REF _Ref67858952 \h </w:instrText>
      </w:r>
      <w:r w:rsidR="003639F0">
        <w:fldChar w:fldCharType="separate"/>
      </w:r>
      <w:r w:rsidR="0041125F" w:rsidRPr="00477961">
        <w:t>Table </w:t>
      </w:r>
      <w:r w:rsidR="0041125F">
        <w:rPr>
          <w:noProof/>
        </w:rPr>
        <w:t>83</w:t>
      </w:r>
      <w:r w:rsidR="003639F0">
        <w:fldChar w:fldCharType="end"/>
      </w:r>
      <w:r w:rsidR="003639F0">
        <w:t xml:space="preserve"> </w:t>
      </w:r>
      <w:r w:rsidR="00404588">
        <w:t>without the implementation of additional mitigation techniques.</w:t>
      </w:r>
      <w:r>
        <w:t xml:space="preserve"> In the remaining portion 122</w:t>
      </w:r>
      <w:r w:rsidR="00CF4994">
        <w:t>.2</w:t>
      </w:r>
      <w:r>
        <w:t>5 to 130 GHz of this band and in the bands 134 to 141 GHz and 141 to 148</w:t>
      </w:r>
      <w:r w:rsidR="00CF4994">
        <w:t>.5</w:t>
      </w:r>
      <w:r>
        <w:t xml:space="preserve"> GHz only an adjacent band situation occurs to EESS (passive). Under these circumstances the aggregate studies have shown that compatibility could be reached without the implementation of additional mitigation techniques. The margins in </w:t>
      </w:r>
      <w:r>
        <w:fldChar w:fldCharType="begin"/>
      </w:r>
      <w:r>
        <w:instrText xml:space="preserve"> REF _Ref67858644 \h </w:instrText>
      </w:r>
      <w:r>
        <w:fldChar w:fldCharType="separate"/>
      </w:r>
      <w:r w:rsidR="0041125F" w:rsidRPr="00477961">
        <w:t>Table </w:t>
      </w:r>
      <w:r w:rsidR="0041125F">
        <w:rPr>
          <w:noProof/>
        </w:rPr>
        <w:t>85</w:t>
      </w:r>
      <w:r>
        <w:fldChar w:fldCharType="end"/>
      </w:r>
      <w:r>
        <w:t xml:space="preserve"> are only exceeded by 0</w:t>
      </w:r>
      <w:r w:rsidR="00CF4994">
        <w:t>.9</w:t>
      </w:r>
      <w:r>
        <w:t> and 1</w:t>
      </w:r>
      <w:r w:rsidR="00CF4994">
        <w:t>.2</w:t>
      </w:r>
      <w:r>
        <w:t> dB, respectively.</w:t>
      </w:r>
    </w:p>
    <w:p w14:paraId="5D0AE2AF" w14:textId="77777777" w:rsidR="00F401A1" w:rsidRDefault="00F401A1" w:rsidP="00404588">
      <w:r>
        <w:t>It is however im</w:t>
      </w:r>
      <w:r w:rsidR="00404588">
        <w:t xml:space="preserve">portant that the </w:t>
      </w:r>
      <w:r>
        <w:t>generated interference</w:t>
      </w:r>
      <w:r w:rsidR="00404588">
        <w:t xml:space="preserve"> </w:t>
      </w:r>
      <w:r>
        <w:t>in the</w:t>
      </w:r>
      <w:r w:rsidR="00404588">
        <w:t xml:space="preserve"> out-of-band domain is </w:t>
      </w:r>
      <w:r>
        <w:t>at least</w:t>
      </w:r>
      <w:r w:rsidR="00404588">
        <w:t xml:space="preserve"> 20</w:t>
      </w:r>
      <w:r>
        <w:t> </w:t>
      </w:r>
      <w:r w:rsidR="00404588">
        <w:t xml:space="preserve">dB </w:t>
      </w:r>
      <w:r>
        <w:t>below the in-band emission. That means the maximum mean e.i.r.p and the maximum mean e.i.r.p spectral density should be reduced in adjacent bands allocated to EESS (passive) by at least 20 dB.</w:t>
      </w:r>
    </w:p>
    <w:p w14:paraId="05A72D58" w14:textId="77777777" w:rsidR="002E5986" w:rsidRDefault="00404588" w:rsidP="00404588">
      <w:r>
        <w:t xml:space="preserve">If in addition </w:t>
      </w:r>
      <w:r w:rsidR="002E5986">
        <w:t>an installation requirement limiting the related mean e.i.r.p. to a maximal value of 12 dBm for elevation angles larger than 0° for the fixed indoor equipment was applied, the margin for the aggregate interference would rise to 0</w:t>
      </w:r>
      <w:r w:rsidR="00CF4994">
        <w:t>.1</w:t>
      </w:r>
      <w:r w:rsidR="002E5986">
        <w:t> dB in the band 114</w:t>
      </w:r>
      <w:r w:rsidR="00CF4994">
        <w:t>.2</w:t>
      </w:r>
      <w:r w:rsidR="002E5986">
        <w:t>5 to 122</w:t>
      </w:r>
      <w:r w:rsidR="00CF4994">
        <w:t>.2</w:t>
      </w:r>
      <w:r w:rsidR="002E5986">
        <w:t>5 GHz.</w:t>
      </w:r>
    </w:p>
    <w:p w14:paraId="79832D4E" w14:textId="77777777" w:rsidR="00007398" w:rsidRDefault="00007398" w:rsidP="00007398">
      <w:pPr>
        <w:pStyle w:val="Heading3"/>
      </w:pPr>
      <w:bookmarkStart w:id="858" w:name="_Ref67906047"/>
      <w:bookmarkStart w:id="859" w:name="_Ref67906050"/>
      <w:bookmarkStart w:id="860" w:name="_Toc84325452"/>
      <w:bookmarkStart w:id="861" w:name="_Toc127346374"/>
      <w:r>
        <w:t>Amateur Service</w:t>
      </w:r>
      <w:bookmarkEnd w:id="858"/>
      <w:bookmarkEnd w:id="859"/>
      <w:bookmarkEnd w:id="860"/>
      <w:bookmarkEnd w:id="861"/>
    </w:p>
    <w:p w14:paraId="386E0D36" w14:textId="77777777" w:rsidR="000A1854" w:rsidRDefault="000A1854" w:rsidP="000A1854">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70FD9E77" w14:textId="104003E0" w:rsidR="000A1854" w:rsidRPr="00B10E31" w:rsidRDefault="000A1854" w:rsidP="000A1854">
      <w:r>
        <w:t xml:space="preserve">The results illustrated in </w:t>
      </w:r>
      <w:r w:rsidR="00263912">
        <w:fldChar w:fldCharType="begin"/>
      </w:r>
      <w:r w:rsidR="00263912">
        <w:instrText xml:space="preserve"> REF _Ref67905577 \h </w:instrText>
      </w:r>
      <w:r w:rsidR="00263912">
        <w:fldChar w:fldCharType="separate"/>
      </w:r>
      <w:r w:rsidR="0041125F" w:rsidRPr="00477961">
        <w:t>Table </w:t>
      </w:r>
      <w:r w:rsidR="0041125F">
        <w:rPr>
          <w:noProof/>
        </w:rPr>
        <w:t>113</w:t>
      </w:r>
      <w:r w:rsidR="00263912">
        <w:fldChar w:fldCharType="end"/>
      </w:r>
      <w:r>
        <w:t xml:space="preserve"> suggest that</w:t>
      </w:r>
      <w:r w:rsidRPr="00B10E31">
        <w:t xml:space="preserve"> compatibility between </w:t>
      </w:r>
      <w:r>
        <w:t xml:space="preserve">generic indoor surveillance radar sensors </w:t>
      </w:r>
      <w:r w:rsidR="00586BFD">
        <w:t xml:space="preserve">for both types, </w:t>
      </w:r>
      <w:r w:rsidR="009D5FA2">
        <w:t>hand-held</w:t>
      </w:r>
      <w:r>
        <w:t>/mobile and fixed</w:t>
      </w:r>
      <w:r w:rsidR="00586BFD">
        <w:t>,</w:t>
      </w:r>
      <w:r w:rsidRPr="00B10E31">
        <w:t xml:space="preserve"> and </w:t>
      </w:r>
      <w:r>
        <w:t>Amateur</w:t>
      </w:r>
      <w:r w:rsidRPr="00B10E31">
        <w:t xml:space="preserve"> can be asserted </w:t>
      </w:r>
      <w:r>
        <w:t>in</w:t>
      </w:r>
      <w:r w:rsidRPr="00B10E31">
        <w:t xml:space="preserve"> </w:t>
      </w:r>
      <w:r w:rsidR="00586BFD">
        <w:t>all</w:t>
      </w:r>
      <w:r>
        <w:t xml:space="preserve"> investigated frequency bands without the implementation of additional mitigation techniques (see </w:t>
      </w:r>
      <w:r w:rsidR="009D5FA2">
        <w:t>section</w:t>
      </w:r>
      <w:r>
        <w:t xml:space="preserve"> </w:t>
      </w:r>
      <w:r w:rsidR="00263912">
        <w:fldChar w:fldCharType="begin"/>
      </w:r>
      <w:r w:rsidR="00263912">
        <w:instrText xml:space="preserve"> REF _Ref67907174 \r \h </w:instrText>
      </w:r>
      <w:r w:rsidR="00263912">
        <w:fldChar w:fldCharType="separate"/>
      </w:r>
      <w:r w:rsidR="004F49F9">
        <w:t>7.1.1</w:t>
      </w:r>
      <w:r w:rsidR="00263912">
        <w:fldChar w:fldCharType="end"/>
      </w:r>
      <w:r>
        <w:t>).</w:t>
      </w:r>
    </w:p>
    <w:p w14:paraId="4CB530DE" w14:textId="77777777" w:rsidR="00E802DC" w:rsidRDefault="00E802DC" w:rsidP="00E802DC">
      <w:pPr>
        <w:pStyle w:val="Heading2"/>
        <w:rPr>
          <w:rStyle w:val="ECCParagraph"/>
          <w:rFonts w:eastAsia="Calibri"/>
        </w:rPr>
      </w:pPr>
      <w:bookmarkStart w:id="862" w:name="_Toc84325453"/>
      <w:bookmarkStart w:id="863" w:name="_Toc127346375"/>
      <w:r w:rsidRPr="009C0EF6">
        <w:rPr>
          <w:rStyle w:val="ECCParagraph"/>
        </w:rPr>
        <w:t xml:space="preserve">Radiodetermination systems for </w:t>
      </w:r>
      <w:r w:rsidRPr="009C0EF6">
        <w:rPr>
          <w:rStyle w:val="ECCParagraph"/>
          <w:rFonts w:eastAsia="Calibri"/>
        </w:rPr>
        <w:t>industry automation (RDI)</w:t>
      </w:r>
      <w:bookmarkEnd w:id="862"/>
      <w:bookmarkEnd w:id="863"/>
    </w:p>
    <w:p w14:paraId="5E209561" w14:textId="77777777" w:rsidR="003E5746" w:rsidRDefault="003E5746" w:rsidP="003E5746">
      <w:pPr>
        <w:pStyle w:val="Heading3"/>
        <w:rPr>
          <w:rFonts w:eastAsia="Calibri"/>
        </w:rPr>
      </w:pPr>
      <w:bookmarkStart w:id="864" w:name="_Toc84325454"/>
      <w:bookmarkStart w:id="865" w:name="_Toc127346376"/>
      <w:r>
        <w:rPr>
          <w:rFonts w:eastAsia="Calibri"/>
        </w:rPr>
        <w:t>Summary</w:t>
      </w:r>
      <w:bookmarkEnd w:id="864"/>
      <w:bookmarkEnd w:id="865"/>
    </w:p>
    <w:p w14:paraId="230F9730" w14:textId="77777777" w:rsidR="007772FC" w:rsidRDefault="00300D7E" w:rsidP="007772FC">
      <w:r>
        <w:t xml:space="preserve">For RDI the candidate frequency bands </w:t>
      </w:r>
      <w:r w:rsidRPr="00300D7E">
        <w:rPr>
          <w:rStyle w:val="ECCParagraph"/>
        </w:rPr>
        <w:t>116 to 130 GHz</w:t>
      </w:r>
      <w:r>
        <w:rPr>
          <w:rStyle w:val="ECCParagraph"/>
        </w:rPr>
        <w:t xml:space="preserve">, </w:t>
      </w:r>
      <w:r w:rsidRPr="00300D7E">
        <w:rPr>
          <w:rStyle w:val="ECCParagraph"/>
        </w:rPr>
        <w:t>134 to 141 GHz</w:t>
      </w:r>
      <w:r>
        <w:rPr>
          <w:rStyle w:val="ECCParagraph"/>
        </w:rPr>
        <w:t xml:space="preserve">, </w:t>
      </w:r>
      <w:r w:rsidRPr="00300D7E">
        <w:rPr>
          <w:rStyle w:val="ECCParagraph"/>
        </w:rPr>
        <w:t>174</w:t>
      </w:r>
      <w:r w:rsidR="00CF4994">
        <w:rPr>
          <w:rStyle w:val="ECCParagraph"/>
        </w:rPr>
        <w:t>.8</w:t>
      </w:r>
      <w:r w:rsidRPr="00300D7E">
        <w:rPr>
          <w:rStyle w:val="ECCParagraph"/>
        </w:rPr>
        <w:t xml:space="preserve"> to 182 GHz</w:t>
      </w:r>
      <w:r>
        <w:rPr>
          <w:rStyle w:val="ECCParagraph"/>
        </w:rPr>
        <w:t xml:space="preserve">, </w:t>
      </w:r>
      <w:r w:rsidRPr="00300D7E">
        <w:rPr>
          <w:rStyle w:val="ECCParagraph"/>
        </w:rPr>
        <w:t>185 to 190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w:t>
      </w:r>
      <w:r w:rsidR="007772FC">
        <w:t xml:space="preserve">It turned out that only in the upper three frequency ranges </w:t>
      </w:r>
      <w:r w:rsidR="007772FC" w:rsidRPr="00300D7E">
        <w:rPr>
          <w:rStyle w:val="ECCParagraph"/>
        </w:rPr>
        <w:t>174</w:t>
      </w:r>
      <w:r w:rsidR="00CF4994">
        <w:rPr>
          <w:rStyle w:val="ECCParagraph"/>
        </w:rPr>
        <w:t>.8</w:t>
      </w:r>
      <w:r w:rsidR="007772FC" w:rsidRPr="00300D7E">
        <w:rPr>
          <w:rStyle w:val="ECCParagraph"/>
        </w:rPr>
        <w:t xml:space="preserve"> to 182 GHz</w:t>
      </w:r>
      <w:r w:rsidR="007772FC">
        <w:rPr>
          <w:rStyle w:val="ECCParagraph"/>
        </w:rPr>
        <w:t xml:space="preserve">, </w:t>
      </w:r>
      <w:r w:rsidR="007772FC" w:rsidRPr="00300D7E">
        <w:rPr>
          <w:rStyle w:val="ECCParagraph"/>
        </w:rPr>
        <w:t>185 to 190 GHz</w:t>
      </w:r>
      <w:r w:rsidR="007772FC">
        <w:rPr>
          <w:rStyle w:val="ECCParagraph"/>
        </w:rPr>
        <w:t xml:space="preserve"> and </w:t>
      </w:r>
      <w:r w:rsidR="007772FC" w:rsidRPr="00300D7E">
        <w:rPr>
          <w:rStyle w:val="ECCParagraph"/>
        </w:rPr>
        <w:t>231</w:t>
      </w:r>
      <w:r w:rsidR="00CF4994">
        <w:rPr>
          <w:rStyle w:val="ECCParagraph"/>
        </w:rPr>
        <w:t>.5</w:t>
      </w:r>
      <w:r w:rsidR="007772FC" w:rsidRPr="00300D7E">
        <w:rPr>
          <w:rStyle w:val="ECCParagraph"/>
        </w:rPr>
        <w:t xml:space="preserve"> to 250 GHz</w:t>
      </w:r>
      <w:r w:rsidR="007772FC">
        <w:rPr>
          <w:rStyle w:val="ECCParagraph"/>
        </w:rPr>
        <w:t xml:space="preserve"> </w:t>
      </w:r>
      <w:r w:rsidR="007772FC">
        <w:t>compatibility between RDI and all investigated Radio Services can be ensured</w:t>
      </w:r>
      <w:r w:rsidR="001E2CCB">
        <w:t>.</w:t>
      </w:r>
    </w:p>
    <w:p w14:paraId="2827C3F6" w14:textId="5BF73567" w:rsidR="000E293C" w:rsidRDefault="000E293C" w:rsidP="000E293C">
      <w:r>
        <w:t xml:space="preserve">The candidate bands 116 to 130 GHz and 134 to 141 GHz have also been investigated. However, compatibility between RDI and RAS cannot be ensured in these bands assuming the power levels given in </w:t>
      </w:r>
      <w:r w:rsidR="009D5FA2">
        <w:t>section</w:t>
      </w:r>
      <w:r>
        <w:t xml:space="preserve"> </w:t>
      </w:r>
      <w:r>
        <w:fldChar w:fldCharType="begin"/>
      </w:r>
      <w:r>
        <w:instrText xml:space="preserve"> REF _Ref67388530 \r \h </w:instrText>
      </w:r>
      <w:r>
        <w:fldChar w:fldCharType="separate"/>
      </w:r>
      <w:r w:rsidR="004F49F9">
        <w:t>4.2.1</w:t>
      </w:r>
      <w:r>
        <w:fldChar w:fldCharType="end"/>
      </w:r>
      <w:r>
        <w:t xml:space="preserve"> without the implementation of additional mitigation techniques.</w:t>
      </w:r>
    </w:p>
    <w:p w14:paraId="18957EB3" w14:textId="77777777" w:rsidR="00301833" w:rsidRDefault="00301833" w:rsidP="007772FC">
      <w:pPr>
        <w:rPr>
          <w:rStyle w:val="ECCParagraph"/>
        </w:rPr>
      </w:pPr>
      <w:r>
        <w:rPr>
          <w:rStyle w:val="ECCParagraph"/>
        </w:rPr>
        <w:t>The following protection requirements have been assumed</w:t>
      </w:r>
      <w:r w:rsidR="00CA73C8">
        <w:rPr>
          <w:rStyle w:val="ECCParagraph"/>
        </w:rPr>
        <w:t>:</w:t>
      </w:r>
    </w:p>
    <w:p w14:paraId="3A2A53B2" w14:textId="77777777" w:rsidR="00301833" w:rsidRDefault="00301833" w:rsidP="00301833">
      <w:pPr>
        <w:pStyle w:val="ECCBulletsLv1"/>
        <w:rPr>
          <w:rStyle w:val="ECCParagraph"/>
        </w:rPr>
      </w:pPr>
      <w:r>
        <w:rPr>
          <w:rStyle w:val="ECCParagraph"/>
        </w:rPr>
        <w:t>Radio Astronomy: Separation distance smaller than 20 km</w:t>
      </w:r>
    </w:p>
    <w:p w14:paraId="04D9B620" w14:textId="77777777" w:rsidR="00301833" w:rsidRDefault="00301833" w:rsidP="00301833">
      <w:pPr>
        <w:pStyle w:val="ECCBulletsLv1"/>
        <w:rPr>
          <w:rStyle w:val="ECCParagraph"/>
        </w:rPr>
      </w:pPr>
      <w:r>
        <w:rPr>
          <w:rStyle w:val="ECCParagraph"/>
        </w:rPr>
        <w:t>Fixed Service and Amateur Service: Separation distance smaller than 300 m</w:t>
      </w:r>
    </w:p>
    <w:p w14:paraId="2F2C90AA" w14:textId="6BF67A6B" w:rsidR="00301833" w:rsidRPr="00300D7E" w:rsidRDefault="00301833" w:rsidP="00301833">
      <w:pPr>
        <w:pStyle w:val="ECCBulletsLv1"/>
        <w:rPr>
          <w:rStyle w:val="ECCParagraph"/>
        </w:rPr>
      </w:pPr>
      <w:r>
        <w:rPr>
          <w:rStyle w:val="ECCParagraph"/>
        </w:rPr>
        <w:t xml:space="preserve">Earth Exploration Satellite Service (passive): positive margin to the </w:t>
      </w:r>
      <w:r w:rsidR="00CD7D8D">
        <w:rPr>
          <w:rStyle w:val="ECCParagraph"/>
        </w:rPr>
        <w:t xml:space="preserve">maximum interference level in the victim receiver (see </w:t>
      </w:r>
      <w:r w:rsidR="009D5FA2">
        <w:rPr>
          <w:rStyle w:val="ECCParagraph"/>
        </w:rPr>
        <w:t>section</w:t>
      </w:r>
      <w:r w:rsidR="00CA73C8">
        <w:rPr>
          <w:rStyle w:val="ECCParagraph"/>
        </w:rPr>
        <w:t xml:space="preserve"> </w:t>
      </w:r>
      <w:r w:rsidR="00CA73C8">
        <w:rPr>
          <w:rStyle w:val="ECCParagraph"/>
        </w:rPr>
        <w:fldChar w:fldCharType="begin"/>
      </w:r>
      <w:r w:rsidR="00CA73C8">
        <w:rPr>
          <w:rStyle w:val="ECCParagraph"/>
        </w:rPr>
        <w:instrText xml:space="preserve"> REF _Ref67315830 \r \h </w:instrText>
      </w:r>
      <w:r w:rsidR="00CA73C8">
        <w:rPr>
          <w:rStyle w:val="ECCParagraph"/>
        </w:rPr>
      </w:r>
      <w:r w:rsidR="00CA73C8">
        <w:rPr>
          <w:rStyle w:val="ECCParagraph"/>
        </w:rPr>
        <w:fldChar w:fldCharType="separate"/>
      </w:r>
      <w:r w:rsidR="004F49F9">
        <w:rPr>
          <w:rStyle w:val="ECCParagraph"/>
        </w:rPr>
        <w:t>3.5.4.2</w:t>
      </w:r>
      <w:r w:rsidR="00CA73C8">
        <w:rPr>
          <w:rStyle w:val="ECCParagraph"/>
        </w:rPr>
        <w:fldChar w:fldCharType="end"/>
      </w:r>
      <w:r w:rsidR="00CA73C8">
        <w:rPr>
          <w:rStyle w:val="ECCParagraph"/>
        </w:rPr>
        <w:t>).</w:t>
      </w:r>
    </w:p>
    <w:p w14:paraId="5BB69595" w14:textId="77777777" w:rsidR="00300D7E" w:rsidRPr="00BB41AD" w:rsidRDefault="00300D7E" w:rsidP="00300D7E">
      <w:r w:rsidRPr="00BB41AD">
        <w:t xml:space="preserve">All RDI sensors </w:t>
      </w:r>
      <w:r>
        <w:t>should</w:t>
      </w:r>
      <w:r w:rsidRPr="00BB41AD">
        <w:t xml:space="preserve"> </w:t>
      </w:r>
      <w:r w:rsidR="007772FC">
        <w:t xml:space="preserve">furthermore </w:t>
      </w:r>
      <w:r w:rsidRPr="00BB41AD">
        <w:t xml:space="preserve">comply with the following </w:t>
      </w:r>
      <w:r>
        <w:t>(</w:t>
      </w:r>
      <w:r w:rsidRPr="00BB41AD">
        <w:t>installation</w:t>
      </w:r>
      <w:r>
        <w:t>)</w:t>
      </w:r>
      <w:r w:rsidRPr="00BB41AD">
        <w:t xml:space="preserve"> requirements:</w:t>
      </w:r>
    </w:p>
    <w:p w14:paraId="06956E71" w14:textId="4B731B93" w:rsidR="00300D7E" w:rsidRPr="00BB41AD" w:rsidRDefault="00300D7E" w:rsidP="00300D7E">
      <w:pPr>
        <w:pStyle w:val="ECCBulletsLv1"/>
        <w:rPr>
          <w:rStyle w:val="ECCParagraph"/>
        </w:rPr>
      </w:pPr>
      <w:r w:rsidRPr="00E2283A">
        <w:rPr>
          <w:rStyle w:val="ECCParagraph"/>
        </w:rPr>
        <w:t>The operation of RDI sensors is envisaged for industrial purposes only</w:t>
      </w:r>
      <w:r w:rsidR="00923922">
        <w:rPr>
          <w:rStyle w:val="ECCParagraph"/>
        </w:rPr>
        <w:t>;</w:t>
      </w:r>
    </w:p>
    <w:p w14:paraId="2DBA9B73" w14:textId="19F5ABAC" w:rsidR="00300D7E" w:rsidRPr="00BB41AD" w:rsidRDefault="00300D7E" w:rsidP="00300D7E">
      <w:pPr>
        <w:pStyle w:val="ECCBulletsLv1"/>
      </w:pPr>
      <w:r w:rsidRPr="00E2283A">
        <w:t>Installation and maintenance of RDI equipment shall be performed by professionally trained individuals only</w:t>
      </w:r>
      <w:r w:rsidR="00923922">
        <w:t>;</w:t>
      </w:r>
    </w:p>
    <w:p w14:paraId="6AEA5FAB" w14:textId="00C7B417" w:rsidR="00300D7E" w:rsidRPr="00BB41AD" w:rsidRDefault="00300D7E" w:rsidP="00300D7E">
      <w:pPr>
        <w:pStyle w:val="ECCBulletsLv1"/>
      </w:pPr>
      <w:r w:rsidRPr="00E2283A">
        <w:t xml:space="preserve">RDI equipment shall not be marketed to private end </w:t>
      </w:r>
      <w:r w:rsidRPr="00BB41AD">
        <w:t>customers</w:t>
      </w:r>
      <w:r w:rsidR="00923922">
        <w:t>;</w:t>
      </w:r>
    </w:p>
    <w:p w14:paraId="3C651B9B" w14:textId="0854783A" w:rsidR="00300D7E" w:rsidRPr="00BB41AD" w:rsidRDefault="00300D7E" w:rsidP="00300D7E">
      <w:pPr>
        <w:pStyle w:val="ECCBulletsLv1"/>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r w:rsidR="00923922">
        <w:t>;</w:t>
      </w:r>
    </w:p>
    <w:p w14:paraId="0DE0E626" w14:textId="2B950072" w:rsidR="00300D7E" w:rsidRPr="00BB41AD" w:rsidRDefault="00300D7E" w:rsidP="00300D7E">
      <w:pPr>
        <w:pStyle w:val="ECCBulletsLv1"/>
        <w:rPr>
          <w:rStyle w:val="ECCParagraph"/>
        </w:rPr>
      </w:pPr>
      <w:r w:rsidRPr="00E2283A">
        <w:rPr>
          <w:rStyle w:val="ECCParagraph"/>
        </w:rPr>
        <w:t>A</w:t>
      </w:r>
      <w:r w:rsidRPr="00BB41AD">
        <w:rPr>
          <w:rStyle w:val="ECCParagraph"/>
        </w:rPr>
        <w:t>ll outdoor RDI sensors under consideration shall be installed in heights from 0 m to 3 m above ground</w:t>
      </w:r>
      <w:r w:rsidR="00923922">
        <w:rPr>
          <w:rStyle w:val="ECCParagraph"/>
        </w:rPr>
        <w:t>;</w:t>
      </w:r>
    </w:p>
    <w:p w14:paraId="07E9F54F" w14:textId="1BA73F32" w:rsidR="00300D7E" w:rsidRPr="00BB41AD" w:rsidRDefault="00300D7E" w:rsidP="00300D7E">
      <w:pPr>
        <w:pStyle w:val="ECCBulletsLv1"/>
      </w:pPr>
      <w:r w:rsidRPr="00E2283A">
        <w:t xml:space="preserve">In order to protect the Radio Astronomy Service, inside a radius of </w:t>
      </w:r>
      <w:r w:rsidRPr="00BB41AD">
        <w:t>20 km around the stations of NOEMA and IRAM</w:t>
      </w:r>
      <w:r w:rsidR="00923922">
        <w:t xml:space="preserve"> </w:t>
      </w:r>
      <w:r w:rsidRPr="00BB41AD">
        <w:t xml:space="preserve">30 m, the installation and operation of RDI devices should be prohibited, unless a special authorisation has been provided by the responsible national administration. </w:t>
      </w:r>
      <w:r>
        <w:rPr>
          <w:highlight w:val="yellow"/>
        </w:rPr>
        <w:fldChar w:fldCharType="begin"/>
      </w:r>
      <w:r>
        <w:instrText xml:space="preserve"> REF _Ref66370646 \h </w:instrText>
      </w:r>
      <w:r>
        <w:rPr>
          <w:highlight w:val="yellow"/>
        </w:rPr>
      </w:r>
      <w:r>
        <w:rPr>
          <w:highlight w:val="yellow"/>
        </w:rPr>
        <w:fldChar w:fldCharType="separate"/>
      </w:r>
      <w:r w:rsidR="0041125F" w:rsidRPr="00BB41AD">
        <w:t>Table </w:t>
      </w:r>
      <w:r w:rsidR="0041125F">
        <w:rPr>
          <w:noProof/>
        </w:rPr>
        <w:t>3</w:t>
      </w:r>
      <w:r>
        <w:rPr>
          <w:highlight w:val="yellow"/>
        </w:rPr>
        <w:fldChar w:fldCharType="end"/>
      </w:r>
      <w:r>
        <w:t xml:space="preserve"> </w:t>
      </w:r>
      <w:r w:rsidRPr="00BB41AD">
        <w:t>shows the locations of the two European observatories operating in the frequency range from 116 GHz to 260 GHz</w:t>
      </w:r>
      <w:r w:rsidR="00923922">
        <w:t>;</w:t>
      </w:r>
    </w:p>
    <w:p w14:paraId="35747F56" w14:textId="77777777" w:rsidR="00300D7E" w:rsidRPr="00300D7E" w:rsidRDefault="00300D7E" w:rsidP="00300D7E">
      <w:pPr>
        <w:pStyle w:val="ECCBulletsLv1"/>
      </w:pPr>
      <w:r w:rsidRPr="00BB41AD">
        <w:t>The provider is required to inform the users and installers of RDI equipment about the installation requirements and the additional special mounting instructions.</w:t>
      </w:r>
    </w:p>
    <w:p w14:paraId="5145E374" w14:textId="77777777" w:rsidR="00300D7E" w:rsidRDefault="00300D7E" w:rsidP="00300D7E">
      <w:r>
        <w:t>In addition, the following antenna requirement is proposed:</w:t>
      </w:r>
    </w:p>
    <w:p w14:paraId="0133B17C" w14:textId="77777777" w:rsidR="00300D7E" w:rsidRPr="00300D7E" w:rsidRDefault="00300D7E" w:rsidP="00300D7E">
      <w:pPr>
        <w:pStyle w:val="ECCBulletsLv1"/>
      </w:pPr>
      <w:r w:rsidRPr="00D827F6">
        <w:t xml:space="preserve">For </w:t>
      </w:r>
      <w:r>
        <w:t xml:space="preserve">RDI </w:t>
      </w:r>
      <w:r w:rsidRPr="00D827F6">
        <w:t>devices using an antenna gain smaller than 20</w:t>
      </w:r>
      <w:r>
        <w:t> </w:t>
      </w:r>
      <w:r w:rsidRPr="00D827F6">
        <w:t>dBi, the maximum conducted peak output power shall be limited to 15</w:t>
      </w:r>
      <w:r>
        <w:t> </w:t>
      </w:r>
      <w:r w:rsidRPr="00D827F6">
        <w:t>dBm.</w:t>
      </w:r>
    </w:p>
    <w:p w14:paraId="372C9B71" w14:textId="77777777" w:rsidR="003E5746" w:rsidRDefault="003E5746" w:rsidP="003E5746">
      <w:pPr>
        <w:pStyle w:val="Heading3"/>
      </w:pPr>
      <w:bookmarkStart w:id="866" w:name="_Ref67391716"/>
      <w:bookmarkStart w:id="867" w:name="_Toc84325455"/>
      <w:bookmarkStart w:id="868" w:name="_Toc127346377"/>
      <w:r>
        <w:t>Radio Astronomy</w:t>
      </w:r>
      <w:bookmarkEnd w:id="866"/>
      <w:bookmarkEnd w:id="867"/>
      <w:bookmarkEnd w:id="868"/>
    </w:p>
    <w:p w14:paraId="45541D23" w14:textId="2510B57F" w:rsidR="003E5746" w:rsidRPr="00B10E31" w:rsidRDefault="003E5746" w:rsidP="003E5746">
      <w:r w:rsidRPr="00B10E31">
        <w:t xml:space="preserve">The required separation distances in the lower frequency ranges 116 GHz to 130 GHz and 134 GHz to 141 GHz </w:t>
      </w:r>
      <w:r>
        <w:t>obtained in the single-entry study are</w:t>
      </w:r>
      <w:r w:rsidRPr="00B10E31">
        <w:t xml:space="preserve"> </w:t>
      </w:r>
      <w:r>
        <w:t>53</w:t>
      </w:r>
      <w:r w:rsidR="00CF4994">
        <w:t>.3</w:t>
      </w:r>
      <w:r w:rsidRPr="00B10E31">
        <w:t xml:space="preserve"> km and </w:t>
      </w:r>
      <w:r>
        <w:t>63</w:t>
      </w:r>
      <w:r w:rsidR="00CF4994">
        <w:t>.0</w:t>
      </w:r>
      <w:r w:rsidRPr="00B10E31">
        <w:t> km</w:t>
      </w:r>
      <w:r>
        <w:t xml:space="preserve">, respectively. </w:t>
      </w:r>
      <w:r w:rsidRPr="00B10E31">
        <w:t>Th</w:t>
      </w:r>
      <w:r>
        <w:t>ese</w:t>
      </w:r>
      <w:r w:rsidRPr="00B10E31">
        <w:t xml:space="preserve"> </w:t>
      </w:r>
      <w:r>
        <w:t>relatively large impact ranges</w:t>
      </w:r>
      <w:r w:rsidRPr="00B10E31">
        <w:t xml:space="preserve"> increase the probability of interference to the affected </w:t>
      </w:r>
      <w:r>
        <w:t xml:space="preserve">Radio Astronomy Stations. Therefore, compatibility between RDI and RAS cannot be ensured in these bands assuming the power levels given in </w:t>
      </w:r>
      <w:r>
        <w:fldChar w:fldCharType="begin"/>
      </w:r>
      <w:r>
        <w:instrText xml:space="preserve"> REF _Ref66453563 \h </w:instrText>
      </w:r>
      <w:r>
        <w:fldChar w:fldCharType="separate"/>
      </w:r>
      <w:r w:rsidR="0041125F" w:rsidRPr="007C3BF5">
        <w:t>Table </w:t>
      </w:r>
      <w:r w:rsidR="0041125F">
        <w:rPr>
          <w:noProof/>
        </w:rPr>
        <w:t>52</w:t>
      </w:r>
      <w:r>
        <w:fldChar w:fldCharType="end"/>
      </w:r>
      <w:r>
        <w:t xml:space="preserve"> without the implementation of additional mitigation techniques</w:t>
      </w:r>
      <w:r w:rsidR="006C5A63">
        <w:t xml:space="preserve"> (see </w:t>
      </w:r>
      <w:r w:rsidR="009D5FA2">
        <w:t>section</w:t>
      </w:r>
      <w:r w:rsidR="006C5A63">
        <w:t xml:space="preserve"> </w:t>
      </w:r>
      <w:r w:rsidR="00356D18">
        <w:fldChar w:fldCharType="begin"/>
      </w:r>
      <w:r w:rsidR="00356D18">
        <w:instrText xml:space="preserve"> REF _Ref67389076 \r \h </w:instrText>
      </w:r>
      <w:r w:rsidR="00356D18">
        <w:fldChar w:fldCharType="separate"/>
      </w:r>
      <w:r w:rsidR="004F49F9">
        <w:t>4.2.1</w:t>
      </w:r>
      <w:r w:rsidR="00356D18">
        <w:fldChar w:fldCharType="end"/>
      </w:r>
      <w:r w:rsidR="006C5A63">
        <w:t>)</w:t>
      </w:r>
      <w:r>
        <w:t>.</w:t>
      </w:r>
    </w:p>
    <w:p w14:paraId="46EE99E9" w14:textId="3438F625" w:rsidR="003E5746" w:rsidRDefault="003E5746" w:rsidP="003E5746">
      <w:r w:rsidRPr="00B10E31">
        <w:t>For the frequency bands 174</w:t>
      </w:r>
      <w:r w:rsidR="00CF4994">
        <w:t>.8</w:t>
      </w:r>
      <w:r w:rsidRPr="00B10E31">
        <w:t> GHz to 182 GHz, 185 GHz to 190 GHz and 231</w:t>
      </w:r>
      <w:r w:rsidR="00CF4994">
        <w:t>.5</w:t>
      </w:r>
      <w:r w:rsidRPr="00B10E31">
        <w:t xml:space="preserve"> GHz to 250 GHz </w:t>
      </w:r>
      <w:r>
        <w:t xml:space="preserve">compatibility can be ensured between RDI and RAS when </w:t>
      </w:r>
      <w:r w:rsidRPr="00B10E31">
        <w:t xml:space="preserve">separation distances of </w:t>
      </w:r>
      <w:r>
        <w:t>15</w:t>
      </w:r>
      <w:r w:rsidR="00CF4994">
        <w:t>.3</w:t>
      </w:r>
      <w:r w:rsidRPr="00B10E31">
        <w:t xml:space="preserve"> km, </w:t>
      </w:r>
      <w:r>
        <w:t>9</w:t>
      </w:r>
      <w:r w:rsidR="00CF4994">
        <w:t>.6</w:t>
      </w:r>
      <w:r w:rsidRPr="00B10E31">
        <w:t xml:space="preserve"> km and </w:t>
      </w:r>
      <w:r>
        <w:t>19</w:t>
      </w:r>
      <w:r w:rsidR="00CF4994">
        <w:t>.9</w:t>
      </w:r>
      <w:r>
        <w:t> km, respectively, are respected</w:t>
      </w:r>
      <w:r w:rsidR="00B463DC">
        <w:t xml:space="preserve"> without the implementation of additional mitigation techniques</w:t>
      </w:r>
      <w:r w:rsidR="007750CF">
        <w:t xml:space="preserve"> (</w:t>
      </w:r>
      <w:r w:rsidR="00356D18">
        <w:t xml:space="preserve">see </w:t>
      </w:r>
      <w:r w:rsidR="009D5FA2">
        <w:t>section</w:t>
      </w:r>
      <w:r w:rsidR="00356D18">
        <w:t xml:space="preserve"> </w:t>
      </w:r>
      <w:r w:rsidR="00356D18">
        <w:fldChar w:fldCharType="begin"/>
      </w:r>
      <w:r w:rsidR="00356D18">
        <w:instrText xml:space="preserve"> REF _Ref67389176 \r \h </w:instrText>
      </w:r>
      <w:r w:rsidR="00356D18">
        <w:fldChar w:fldCharType="separate"/>
      </w:r>
      <w:r w:rsidR="004F49F9">
        <w:t>4.2.2</w:t>
      </w:r>
      <w:r w:rsidR="00356D18">
        <w:fldChar w:fldCharType="end"/>
      </w:r>
      <w:r w:rsidR="007750CF">
        <w:t>)</w:t>
      </w:r>
      <w:r w:rsidR="00B463DC">
        <w:t>.</w:t>
      </w:r>
    </w:p>
    <w:p w14:paraId="4A936373" w14:textId="77777777" w:rsidR="003E5746" w:rsidRDefault="003E5746" w:rsidP="003E5746">
      <w:pPr>
        <w:pStyle w:val="Heading3"/>
      </w:pPr>
      <w:bookmarkStart w:id="869" w:name="_Ref67392664"/>
      <w:bookmarkStart w:id="870" w:name="_Toc84325456"/>
      <w:bookmarkStart w:id="871" w:name="_Toc127346378"/>
      <w:r>
        <w:t>Fixed Service</w:t>
      </w:r>
      <w:bookmarkEnd w:id="869"/>
      <w:bookmarkEnd w:id="870"/>
      <w:bookmarkEnd w:id="871"/>
    </w:p>
    <w:p w14:paraId="135B0A85" w14:textId="5E587C1F" w:rsidR="00606612" w:rsidRPr="00B10E31" w:rsidRDefault="00606612" w:rsidP="00606612">
      <w:r w:rsidRPr="00B10E31">
        <w:t xml:space="preserve">For evaluating the compatibility between RDI and FS the two worst-case interference scenarios in </w:t>
      </w:r>
      <w:r>
        <w:rPr>
          <w:highlight w:val="yellow"/>
        </w:rPr>
        <w:fldChar w:fldCharType="begin"/>
      </w:r>
      <w:r>
        <w:instrText xml:space="preserve"> REF _Ref44337944 \h </w:instrText>
      </w:r>
      <w:r>
        <w:rPr>
          <w:highlight w:val="yellow"/>
        </w:rPr>
      </w:r>
      <w:r>
        <w:rPr>
          <w:highlight w:val="yellow"/>
        </w:rPr>
        <w:fldChar w:fldCharType="separate"/>
      </w:r>
      <w:r w:rsidR="004F49F9">
        <w:t>Figure </w:t>
      </w:r>
      <w:r w:rsidR="004F49F9">
        <w:rPr>
          <w:noProof/>
        </w:rPr>
        <w:t>12</w:t>
      </w:r>
      <w:r>
        <w:rPr>
          <w:highlight w:val="yellow"/>
        </w:rPr>
        <w:fldChar w:fldCharType="end"/>
      </w:r>
      <w:r>
        <w:t xml:space="preserve"> </w:t>
      </w:r>
      <w:r w:rsidRPr="00B10E31">
        <w:t xml:space="preserve">and </w:t>
      </w:r>
      <w:r>
        <w:rPr>
          <w:highlight w:val="yellow"/>
        </w:rPr>
        <w:fldChar w:fldCharType="begin"/>
      </w:r>
      <w:r>
        <w:instrText xml:space="preserve"> REF _Ref44338784 \h </w:instrText>
      </w:r>
      <w:r>
        <w:rPr>
          <w:highlight w:val="yellow"/>
        </w:rPr>
      </w:r>
      <w:r>
        <w:rPr>
          <w:highlight w:val="yellow"/>
        </w:rPr>
        <w:fldChar w:fldCharType="separate"/>
      </w:r>
      <w:r w:rsidR="004F49F9">
        <w:t>Figure </w:t>
      </w:r>
      <w:r w:rsidR="004F49F9">
        <w:rPr>
          <w:noProof/>
        </w:rPr>
        <w:t>13</w:t>
      </w:r>
      <w:r>
        <w:rPr>
          <w:highlight w:val="yellow"/>
        </w:rPr>
        <w:fldChar w:fldCharType="end"/>
      </w:r>
      <w:r>
        <w:t xml:space="preserve"> </w:t>
      </w:r>
      <w:r w:rsidRPr="00B10E31">
        <w:t xml:space="preserve">have been defined (see </w:t>
      </w:r>
      <w:r w:rsidR="009D5FA2">
        <w:t>section</w:t>
      </w:r>
      <w:r w:rsidRPr="00B10E31">
        <w:t xml:space="preserve"> </w:t>
      </w:r>
      <w:r>
        <w:rPr>
          <w:highlight w:val="yellow"/>
        </w:rPr>
        <w:fldChar w:fldCharType="begin"/>
      </w:r>
      <w:r>
        <w:instrText xml:space="preserve"> REF _Ref53582739 \r \h </w:instrText>
      </w:r>
      <w:r>
        <w:rPr>
          <w:highlight w:val="yellow"/>
        </w:rPr>
      </w:r>
      <w:r>
        <w:rPr>
          <w:highlight w:val="yellow"/>
        </w:rPr>
        <w:fldChar w:fldCharType="separate"/>
      </w:r>
      <w:r w:rsidR="004F49F9">
        <w:t>2.2.2.6</w:t>
      </w:r>
      <w:r>
        <w:rPr>
          <w:highlight w:val="yellow"/>
        </w:rPr>
        <w:fldChar w:fldCharType="end"/>
      </w:r>
      <w:r w:rsidRPr="00B10E31">
        <w:t xml:space="preserve">). In both scenarios it is valid that separation distances smaller than 300 m result in compatibility between RDI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_Ref67053219 \r \h </w:instrText>
      </w:r>
      <w:r>
        <w:rPr>
          <w:highlight w:val="yellow"/>
        </w:rPr>
      </w:r>
      <w:r>
        <w:rPr>
          <w:highlight w:val="yellow"/>
        </w:rPr>
        <w:fldChar w:fldCharType="separate"/>
      </w:r>
      <w:r w:rsidR="004F49F9">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26AF5EB1" w14:textId="22154FC0" w:rsidR="00606612" w:rsidRPr="00B10E31" w:rsidRDefault="00606612" w:rsidP="00606612">
      <w:r w:rsidRPr="00B10E31">
        <w:t xml:space="preserve">All calculated separation distances for RDI in </w:t>
      </w:r>
      <w:r>
        <w:rPr>
          <w:highlight w:val="yellow"/>
        </w:rPr>
        <w:fldChar w:fldCharType="begin"/>
      </w:r>
      <w:r>
        <w:instrText xml:space="preserve"> REF _Ref67053081 \h </w:instrText>
      </w:r>
      <w:r>
        <w:rPr>
          <w:highlight w:val="yellow"/>
        </w:rPr>
      </w:r>
      <w:r>
        <w:rPr>
          <w:highlight w:val="yellow"/>
        </w:rPr>
        <w:fldChar w:fldCharType="separate"/>
      </w:r>
      <w:r w:rsidR="0041125F" w:rsidRPr="008405D2">
        <w:t>Table </w:t>
      </w:r>
      <w:r w:rsidR="0041125F">
        <w:rPr>
          <w:noProof/>
        </w:rPr>
        <w:t>73</w:t>
      </w:r>
      <w:r>
        <w:rPr>
          <w:highlight w:val="yellow"/>
        </w:rPr>
        <w:fldChar w:fldCharType="end"/>
      </w:r>
      <w:r>
        <w:t xml:space="preserve"> </w:t>
      </w:r>
      <w:r w:rsidRPr="00B10E31">
        <w:t>are smaller than 300 m</w:t>
      </w:r>
      <w:r w:rsidR="00463610">
        <w:t xml:space="preserve"> (see </w:t>
      </w:r>
      <w:r w:rsidR="009D5FA2">
        <w:t>section</w:t>
      </w:r>
      <w:r w:rsidR="00463610">
        <w:t xml:space="preserve"> </w:t>
      </w:r>
      <w:r w:rsidR="00463610">
        <w:fldChar w:fldCharType="begin"/>
      </w:r>
      <w:r w:rsidR="00463610">
        <w:instrText xml:space="preserve"> REF _Ref67389572 \r \h </w:instrText>
      </w:r>
      <w:r w:rsidR="00463610">
        <w:fldChar w:fldCharType="separate"/>
      </w:r>
      <w:r w:rsidR="004F49F9">
        <w:t>5.2.2</w:t>
      </w:r>
      <w:r w:rsidR="00463610">
        <w:fldChar w:fldCharType="end"/>
      </w:r>
      <w:r w:rsidR="00463610">
        <w:t>)</w:t>
      </w:r>
      <w:r w:rsidRPr="00B10E31">
        <w:t>. Ther</w:t>
      </w:r>
      <w:r>
        <w:t>e</w:t>
      </w:r>
      <w:r w:rsidRPr="00B10E31">
        <w:t>fore, compatibility between RDI and FS can always be asserted</w:t>
      </w:r>
      <w:r>
        <w:t xml:space="preserve"> for all investigated frequency bands,</w:t>
      </w:r>
      <w:r w:rsidRPr="00B10E31">
        <w:t xml:space="preserve"> for both scenarios and both protection objectives</w:t>
      </w:r>
      <w:r w:rsidR="00FB2B66">
        <w:t xml:space="preserve"> without the implementation of additional mitigation techniques</w:t>
      </w:r>
      <w:r w:rsidRPr="00B10E31">
        <w:t>.</w:t>
      </w:r>
    </w:p>
    <w:p w14:paraId="30D085FE" w14:textId="77777777" w:rsidR="003E5746" w:rsidRDefault="003E5746" w:rsidP="003E5746">
      <w:pPr>
        <w:pStyle w:val="Heading3"/>
      </w:pPr>
      <w:bookmarkStart w:id="872" w:name="_Ref67393126"/>
      <w:bookmarkStart w:id="873" w:name="_Toc84325457"/>
      <w:bookmarkStart w:id="874" w:name="_Toc127346379"/>
      <w:r w:rsidRPr="003E5746">
        <w:t>E</w:t>
      </w:r>
      <w:r>
        <w:t>arth Exploration Satellite Service</w:t>
      </w:r>
      <w:r w:rsidRPr="003E5746">
        <w:t xml:space="preserve"> (Passive)</w:t>
      </w:r>
      <w:bookmarkEnd w:id="872"/>
      <w:bookmarkEnd w:id="873"/>
      <w:bookmarkEnd w:id="874"/>
    </w:p>
    <w:p w14:paraId="4AB12502" w14:textId="5A94A3A3" w:rsidR="00924FB5" w:rsidRPr="001C46A1" w:rsidRDefault="00924FB5" w:rsidP="009E4F24">
      <w:r>
        <w:t>For the frequency band 116 to 130 GHz the protection criterion is exceeded for the single-entry case by 0</w:t>
      </w:r>
      <w:r w:rsidR="00CF4994">
        <w:t>.8</w:t>
      </w:r>
      <w:r>
        <w:t xml:space="preserve"> dB under the assumed conditions shown in </w:t>
      </w:r>
      <w:r w:rsidR="00DB6AC4">
        <w:fldChar w:fldCharType="begin"/>
      </w:r>
      <w:r w:rsidR="00DB6AC4">
        <w:instrText xml:space="preserve"> REF _Ref67312809 \h </w:instrText>
      </w:r>
      <w:r w:rsidR="009E4F24">
        <w:instrText xml:space="preserve"> \* MERGEFORMAT </w:instrText>
      </w:r>
      <w:r w:rsidR="00DB6AC4">
        <w:fldChar w:fldCharType="separate"/>
      </w:r>
      <w:r w:rsidR="0041125F" w:rsidRPr="00477961">
        <w:t>Table </w:t>
      </w:r>
      <w:r w:rsidR="0041125F">
        <w:t>86</w:t>
      </w:r>
      <w:r w:rsidR="00DB6AC4">
        <w:fldChar w:fldCharType="end"/>
      </w:r>
      <w:r w:rsidR="00B25267">
        <w:t xml:space="preserve"> in </w:t>
      </w:r>
      <w:r w:rsidR="009D5FA2">
        <w:t>section</w:t>
      </w:r>
      <w:r w:rsidR="00B25267">
        <w:t xml:space="preserve"> </w:t>
      </w:r>
      <w:r w:rsidR="00B25267">
        <w:fldChar w:fldCharType="begin"/>
      </w:r>
      <w:r w:rsidR="00B25267">
        <w:instrText xml:space="preserve"> REF _Ref67390031 \r \h </w:instrText>
      </w:r>
      <w:r w:rsidR="009E4F24">
        <w:instrText xml:space="preserve"> \* MERGEFORMAT </w:instrText>
      </w:r>
      <w:r w:rsidR="00B25267">
        <w:fldChar w:fldCharType="separate"/>
      </w:r>
      <w:r w:rsidR="004F49F9">
        <w:t>6.2.1</w:t>
      </w:r>
      <w:r w:rsidR="00B25267">
        <w:fldChar w:fldCharType="end"/>
      </w:r>
      <w:r>
        <w:t>. However, a reduction of the mean power spectral density of at least 0</w:t>
      </w:r>
      <w:r w:rsidR="00CF4994">
        <w:t>.8</w:t>
      </w:r>
      <w:r>
        <w:t xml:space="preserve"> dB could be considered in order to ensure compatibility. In all other frequency bands and in particular for the aggregate consideration ample margins to the interference criteria can be ensured without the implementation of additional mitigation techniques (see </w:t>
      </w:r>
      <w:r>
        <w:rPr>
          <w:rFonts w:eastAsia="Times New Roman"/>
          <w:b/>
          <w:bCs/>
          <w:color w:val="D2232A"/>
          <w:szCs w:val="20"/>
          <w:lang w:val="da-DK"/>
        </w:rPr>
        <w:fldChar w:fldCharType="begin"/>
      </w:r>
      <w:r>
        <w:instrText xml:space="preserve"> REF _Ref67225557 \h </w:instrText>
      </w:r>
      <w:r w:rsidR="009E4F24">
        <w:instrText xml:space="preserve"> \* MERGEFORMAT </w:instrText>
      </w:r>
      <w:r>
        <w:rPr>
          <w:rFonts w:eastAsia="Times New Roman"/>
          <w:b/>
          <w:bCs/>
          <w:color w:val="D2232A"/>
          <w:szCs w:val="20"/>
          <w:lang w:val="da-DK"/>
        </w:rPr>
      </w:r>
      <w:r>
        <w:rPr>
          <w:rFonts w:eastAsia="Times New Roman"/>
          <w:b/>
          <w:bCs/>
          <w:color w:val="D2232A"/>
          <w:szCs w:val="20"/>
          <w:lang w:val="da-DK"/>
        </w:rPr>
        <w:fldChar w:fldCharType="separate"/>
      </w:r>
      <w:r w:rsidR="0041125F" w:rsidRPr="00477961">
        <w:t>Table </w:t>
      </w:r>
      <w:r w:rsidR="0041125F">
        <w:t>88</w:t>
      </w:r>
      <w:r>
        <w:fldChar w:fldCharType="end"/>
      </w:r>
      <w:r>
        <w:t>).</w:t>
      </w:r>
    </w:p>
    <w:p w14:paraId="08E59F5D" w14:textId="77777777" w:rsidR="003E5746" w:rsidRPr="009C0EF6" w:rsidRDefault="003E5746" w:rsidP="003E5746">
      <w:pPr>
        <w:pStyle w:val="Heading3"/>
      </w:pPr>
      <w:bookmarkStart w:id="875" w:name="_Ref67393534"/>
      <w:bookmarkStart w:id="876" w:name="_Toc84325458"/>
      <w:bookmarkStart w:id="877" w:name="_Toc127346380"/>
      <w:r>
        <w:t>Amateur Service</w:t>
      </w:r>
      <w:bookmarkEnd w:id="875"/>
      <w:bookmarkEnd w:id="876"/>
      <w:bookmarkEnd w:id="877"/>
    </w:p>
    <w:p w14:paraId="6C1F59E5" w14:textId="77777777" w:rsidR="00661120" w:rsidRDefault="00661120" w:rsidP="00661120">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09C89F5B" w14:textId="739F2C0C" w:rsidR="00661120" w:rsidRPr="00B10E31" w:rsidRDefault="00661120" w:rsidP="00661120">
      <w:r>
        <w:t xml:space="preserve">The results illustrated in </w:t>
      </w:r>
      <w:r>
        <w:fldChar w:fldCharType="begin"/>
      </w:r>
      <w:r>
        <w:instrText xml:space="preserve"> REF _Ref67243092 \h </w:instrText>
      </w:r>
      <w:r>
        <w:fldChar w:fldCharType="separate"/>
      </w:r>
      <w:r w:rsidR="0041125F" w:rsidRPr="00477961">
        <w:t>Table </w:t>
      </w:r>
      <w:r w:rsidR="0041125F">
        <w:rPr>
          <w:noProof/>
        </w:rPr>
        <w:t>115</w:t>
      </w:r>
      <w:r>
        <w:fldChar w:fldCharType="end"/>
      </w:r>
      <w:r>
        <w:t xml:space="preserve"> suggest that</w:t>
      </w:r>
      <w:r w:rsidRPr="00B10E31">
        <w:t xml:space="preserve"> compatibility between RDI and </w:t>
      </w:r>
      <w:r>
        <w:t>Amateur</w:t>
      </w:r>
      <w:r w:rsidRPr="00B10E31">
        <w:t xml:space="preserve"> can </w:t>
      </w:r>
      <w:r>
        <w:t>only</w:t>
      </w:r>
      <w:r w:rsidRPr="00B10E31">
        <w:t xml:space="preserve"> be asserted </w:t>
      </w:r>
      <w:r>
        <w:t>in</w:t>
      </w:r>
      <w:r w:rsidRPr="00B10E31">
        <w:t xml:space="preserve"> </w:t>
      </w:r>
      <w:r>
        <w:t>the investigated frequency band 231</w:t>
      </w:r>
      <w:r w:rsidR="00CF4994">
        <w:t>.5</w:t>
      </w:r>
      <w:r>
        <w:t> to 250 GHz without the implementation of additional mitigation techniques</w:t>
      </w:r>
      <w:r w:rsidR="00D77369">
        <w:t xml:space="preserve"> (see </w:t>
      </w:r>
      <w:r w:rsidR="009D5FA2">
        <w:t>section</w:t>
      </w:r>
      <w:r w:rsidR="00D77369">
        <w:t xml:space="preserve"> </w:t>
      </w:r>
      <w:r w:rsidR="00D77369">
        <w:fldChar w:fldCharType="begin"/>
      </w:r>
      <w:r w:rsidR="00D77369">
        <w:instrText xml:space="preserve"> REF _Ref67391538 \r \h </w:instrText>
      </w:r>
      <w:r w:rsidR="00D77369">
        <w:fldChar w:fldCharType="separate"/>
      </w:r>
      <w:r w:rsidR="004F49F9">
        <w:t>7.2.2</w:t>
      </w:r>
      <w:r w:rsidR="00D77369">
        <w:fldChar w:fldCharType="end"/>
      </w:r>
      <w:r w:rsidR="00D77369">
        <w:t>)</w:t>
      </w:r>
      <w:r>
        <w:t>.</w:t>
      </w:r>
    </w:p>
    <w:p w14:paraId="70960E98" w14:textId="77777777" w:rsidR="00E802DC" w:rsidRPr="009C0EF6" w:rsidRDefault="00E802DC" w:rsidP="009C0EF6">
      <w:pPr>
        <w:pStyle w:val="Heading2"/>
        <w:rPr>
          <w:rStyle w:val="ECCParagraph"/>
        </w:rPr>
      </w:pPr>
      <w:bookmarkStart w:id="878" w:name="_Toc84325459"/>
      <w:bookmarkStart w:id="879" w:name="_Toc127346381"/>
      <w:r w:rsidRPr="009C0EF6">
        <w:rPr>
          <w:rStyle w:val="ECCParagraph"/>
        </w:rPr>
        <w:t>Short</w:t>
      </w:r>
      <w:r w:rsidR="007A0A16">
        <w:rPr>
          <w:rStyle w:val="ECCParagraph"/>
        </w:rPr>
        <w:t>-</w:t>
      </w:r>
      <w:r w:rsidRPr="009C0EF6">
        <w:rPr>
          <w:rStyle w:val="ECCParagraph"/>
        </w:rPr>
        <w:t>range assist and surrounding monitoring for vehicles and autonomous systems</w:t>
      </w:r>
      <w:bookmarkEnd w:id="878"/>
      <w:bookmarkEnd w:id="879"/>
    </w:p>
    <w:p w14:paraId="47BAC153" w14:textId="77777777" w:rsidR="003E5746" w:rsidRPr="003E5746" w:rsidRDefault="003E5746" w:rsidP="003E5746">
      <w:pPr>
        <w:pStyle w:val="Heading3"/>
        <w:rPr>
          <w:rFonts w:eastAsia="Calibri"/>
        </w:rPr>
      </w:pPr>
      <w:bookmarkStart w:id="880" w:name="_Toc84325460"/>
      <w:bookmarkStart w:id="881" w:name="_Toc127346382"/>
      <w:r w:rsidRPr="003E5746">
        <w:rPr>
          <w:rFonts w:eastAsia="Calibri"/>
        </w:rPr>
        <w:t>Summary</w:t>
      </w:r>
      <w:bookmarkEnd w:id="880"/>
      <w:bookmarkEnd w:id="881"/>
    </w:p>
    <w:p w14:paraId="62975A67" w14:textId="551DB8EF" w:rsidR="00504B84" w:rsidRDefault="00504B84" w:rsidP="00504B84">
      <w:pPr>
        <w:rPr>
          <w:rStyle w:val="ECCParagraph"/>
        </w:rPr>
      </w:pPr>
      <w:r>
        <w:t>For short</w:t>
      </w:r>
      <w:r w:rsidR="007A0A16">
        <w:t>-</w:t>
      </w:r>
      <w:r>
        <w:t xml:space="preserve">range assist and surrounding monitoring for vehicles and autonomous systems the candidate frequency bands </w:t>
      </w:r>
      <w:r w:rsidRPr="00300D7E">
        <w:rPr>
          <w:rStyle w:val="ECCParagraph"/>
        </w:rPr>
        <w:t>116 to 130 GHz</w:t>
      </w:r>
      <w:r>
        <w:rPr>
          <w:rStyle w:val="ECCParagraph"/>
        </w:rPr>
        <w:t xml:space="preserve">, </w:t>
      </w:r>
      <w:r w:rsidRPr="00300D7E">
        <w:rPr>
          <w:rStyle w:val="ECCParagraph"/>
        </w:rPr>
        <w:t>134 to 141 GHz</w:t>
      </w:r>
      <w:r>
        <w:rPr>
          <w:rStyle w:val="ECCParagraph"/>
        </w:rPr>
        <w:t xml:space="preserve"> and 141 to 148</w:t>
      </w:r>
      <w:r w:rsidR="00CF4994">
        <w:rPr>
          <w:rStyle w:val="ECCParagraph"/>
        </w:rPr>
        <w:t>.5</w:t>
      </w:r>
      <w:r>
        <w:rPr>
          <w:rStyle w:val="ECCParagraph"/>
        </w:rPr>
        <w:t xml:space="preserve"> GHz have been studied. </w:t>
      </w:r>
      <w:r>
        <w:t xml:space="preserve">It turned out that in none of the </w:t>
      </w:r>
      <w:r w:rsidR="009100A5">
        <w:t>mentioned</w:t>
      </w:r>
      <w:r>
        <w:t xml:space="preserve"> frequency range</w:t>
      </w:r>
      <w:r w:rsidR="009100A5">
        <w:t>s</w:t>
      </w:r>
      <w:r>
        <w:rPr>
          <w:rStyle w:val="ECCParagraph"/>
        </w:rPr>
        <w:t xml:space="preserve"> </w:t>
      </w:r>
      <w:r>
        <w:t>compatibility between short</w:t>
      </w:r>
      <w:r w:rsidR="00857709">
        <w:t>-</w:t>
      </w:r>
      <w:r>
        <w:t xml:space="preserve">range assist and the investigated Radio Services can be ensured </w:t>
      </w:r>
      <w:r w:rsidR="00D76BF0">
        <w:t xml:space="preserve">under the technical assumptions </w:t>
      </w:r>
      <w:r w:rsidR="00B05A90">
        <w:t xml:space="preserve">used in the studies </w:t>
      </w:r>
      <w:r w:rsidR="00D76BF0">
        <w:t xml:space="preserve">(see </w:t>
      </w:r>
      <w:r w:rsidR="009D5FA2">
        <w:t>section</w:t>
      </w:r>
      <w:r w:rsidR="00D76BF0">
        <w:t xml:space="preserve"> </w:t>
      </w:r>
      <w:r w:rsidR="00D76BF0">
        <w:fldChar w:fldCharType="begin"/>
      </w:r>
      <w:r w:rsidR="00D76BF0">
        <w:instrText xml:space="preserve"> REF _Ref20313340 \r \h </w:instrText>
      </w:r>
      <w:r w:rsidR="00D76BF0">
        <w:fldChar w:fldCharType="separate"/>
      </w:r>
      <w:r w:rsidR="004F49F9">
        <w:t>2.2.3.3</w:t>
      </w:r>
      <w:r w:rsidR="00D76BF0">
        <w:fldChar w:fldCharType="end"/>
      </w:r>
      <w:r w:rsidR="001B3E0C">
        <w:t xml:space="preserve"> and </w:t>
      </w:r>
      <w:r w:rsidR="001B3E0C">
        <w:fldChar w:fldCharType="begin"/>
      </w:r>
      <w:r w:rsidR="001B3E0C">
        <w:instrText xml:space="preserve"> REF _Ref67226273 \h </w:instrText>
      </w:r>
      <w:r w:rsidR="001B3E0C">
        <w:fldChar w:fldCharType="separate"/>
      </w:r>
      <w:r w:rsidR="0041125F" w:rsidRPr="00477961">
        <w:t>Table </w:t>
      </w:r>
      <w:r w:rsidR="0041125F">
        <w:rPr>
          <w:noProof/>
        </w:rPr>
        <w:t>89</w:t>
      </w:r>
      <w:r w:rsidR="001B3E0C">
        <w:fldChar w:fldCharType="end"/>
      </w:r>
      <w:r w:rsidR="00D76BF0">
        <w:t>)</w:t>
      </w:r>
      <w:r w:rsidR="001B3E0C">
        <w:t>.</w:t>
      </w:r>
      <w:r w:rsidR="00B05A90">
        <w:t xml:space="preserve"> </w:t>
      </w:r>
    </w:p>
    <w:p w14:paraId="6E9D8B04" w14:textId="5128BD5D" w:rsidR="00431962" w:rsidRPr="00431962" w:rsidRDefault="00431962" w:rsidP="00431962">
      <w:pPr>
        <w:rPr>
          <w:rStyle w:val="ECCParagraph"/>
        </w:rPr>
      </w:pPr>
      <w:r w:rsidRPr="00431962">
        <w:rPr>
          <w:rStyle w:val="ECCParagraph"/>
        </w:rPr>
        <w:t xml:space="preserve">Further studies have been conducted which resulted in ECC Report 351 </w:t>
      </w:r>
      <w:r w:rsidR="006E572E">
        <w:rPr>
          <w:rStyle w:val="ECCParagraph"/>
        </w:rPr>
        <w:fldChar w:fldCharType="begin"/>
      </w:r>
      <w:r w:rsidR="006E572E">
        <w:rPr>
          <w:rStyle w:val="ECCParagraph"/>
        </w:rPr>
        <w:instrText xml:space="preserve"> REF ECCRep351 \w \h </w:instrText>
      </w:r>
      <w:r w:rsidR="006E572E">
        <w:rPr>
          <w:rStyle w:val="ECCParagraph"/>
        </w:rPr>
      </w:r>
      <w:r w:rsidR="006E572E">
        <w:rPr>
          <w:rStyle w:val="ECCParagraph"/>
        </w:rPr>
        <w:fldChar w:fldCharType="separate"/>
      </w:r>
      <w:r w:rsidR="004F49F9">
        <w:rPr>
          <w:rStyle w:val="ECCParagraph"/>
        </w:rPr>
        <w:t>[72]</w:t>
      </w:r>
      <w:r w:rsidR="006E572E">
        <w:rPr>
          <w:rStyle w:val="ECCParagraph"/>
        </w:rPr>
        <w:fldChar w:fldCharType="end"/>
      </w:r>
      <w:r w:rsidR="006E572E">
        <w:rPr>
          <w:rStyle w:val="ECCParagraph"/>
        </w:rPr>
        <w:t xml:space="preserve"> </w:t>
      </w:r>
      <w:r w:rsidRPr="00431962">
        <w:rPr>
          <w:rStyle w:val="ECCParagraph"/>
        </w:rPr>
        <w:t>in order to address the latest insight in the technical assumptions in bands adjacent to EESS (passive)</w:t>
      </w:r>
      <w:r w:rsidR="00D07E94">
        <w:rPr>
          <w:rStyle w:val="ECCParagraph"/>
        </w:rPr>
        <w:t xml:space="preserve"> bands</w:t>
      </w:r>
      <w:r w:rsidRPr="00431962">
        <w:rPr>
          <w:rStyle w:val="ECCParagraph"/>
        </w:rPr>
        <w:t>.</w:t>
      </w:r>
    </w:p>
    <w:p w14:paraId="637405AC" w14:textId="77777777" w:rsidR="00504B84" w:rsidRDefault="00504B84" w:rsidP="00504B84">
      <w:pPr>
        <w:rPr>
          <w:rStyle w:val="ECCParagraph"/>
        </w:rPr>
      </w:pPr>
      <w:r>
        <w:rPr>
          <w:rStyle w:val="ECCParagraph"/>
        </w:rPr>
        <w:t>The following protection requirement ha</w:t>
      </w:r>
      <w:r w:rsidR="00FB2B66">
        <w:rPr>
          <w:rStyle w:val="ECCParagraph"/>
        </w:rPr>
        <w:t>s</w:t>
      </w:r>
      <w:r>
        <w:rPr>
          <w:rStyle w:val="ECCParagraph"/>
        </w:rPr>
        <w:t xml:space="preserve"> been assumed:</w:t>
      </w:r>
    </w:p>
    <w:p w14:paraId="750A72AB" w14:textId="3B77EA1A" w:rsidR="00504B84" w:rsidRPr="00300D7E" w:rsidRDefault="00504B84" w:rsidP="00504B84">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2CDE0C7F" w14:textId="77777777" w:rsidR="003E5746" w:rsidRDefault="003E5746" w:rsidP="003E5746">
      <w:pPr>
        <w:pStyle w:val="Heading3"/>
      </w:pPr>
      <w:bookmarkStart w:id="882" w:name="_Ref67391932"/>
      <w:bookmarkStart w:id="883" w:name="_Toc84325461"/>
      <w:bookmarkStart w:id="884" w:name="_Toc127346383"/>
      <w:r>
        <w:t>Radio Astronomy</w:t>
      </w:r>
      <w:bookmarkEnd w:id="882"/>
      <w:bookmarkEnd w:id="883"/>
      <w:bookmarkEnd w:id="884"/>
    </w:p>
    <w:p w14:paraId="5D924012" w14:textId="77777777" w:rsidR="00651A0D" w:rsidRPr="00651A0D" w:rsidRDefault="00651A0D" w:rsidP="00651A0D">
      <w:bookmarkStart w:id="885" w:name="_Hlk67922332"/>
      <w:r w:rsidRPr="009166E4">
        <w:t>A single-interferer scenario compatibility study between Radio Astronomy Service and radiodetermination devices for short-range assist and surrounding monitoring for vehicles and autonomous systems has been conducted.</w:t>
      </w:r>
    </w:p>
    <w:p w14:paraId="4EB0EDDF" w14:textId="11E90915" w:rsidR="00651A0D" w:rsidRPr="009166E4" w:rsidRDefault="00651A0D" w:rsidP="00651A0D">
      <w:r w:rsidRPr="009166E4">
        <w:t>The study shows that separation distances are needed between the short-range devices and the observatories of NOEMA in France and IRAM</w:t>
      </w:r>
      <w:r w:rsidR="007A20F2">
        <w:t xml:space="preserve"> </w:t>
      </w:r>
      <w:r w:rsidRPr="009166E4">
        <w:t xml:space="preserve">30 m in Spain in order to protect the RAS. These separation distances are dependent on the frequency and on the e.i.r.p. of the interfering short-range devices. The effectual e.i.r.p. of the SRDs which has been considered for this single-interferer study was 55 dBm in a bandwidth of </w:t>
      </w:r>
      <w:r>
        <w:t>8</w:t>
      </w:r>
      <w:r w:rsidRPr="009166E4">
        <w:t> GHz.</w:t>
      </w:r>
    </w:p>
    <w:p w14:paraId="74A25D19" w14:textId="3FE2AB53" w:rsidR="00651A0D" w:rsidRPr="009166E4" w:rsidRDefault="00651A0D" w:rsidP="00651A0D">
      <w:r w:rsidRPr="009166E4">
        <w:t>The study shows that separation distances around the radioastronomy sites of NOEMA in France and IRAM</w:t>
      </w:r>
      <w:r w:rsidR="007A20F2">
        <w:t xml:space="preserve"> </w:t>
      </w:r>
      <w:r w:rsidRPr="009166E4">
        <w:t>30</w:t>
      </w:r>
      <w:r>
        <w:t> </w:t>
      </w:r>
      <w:r w:rsidRPr="009166E4">
        <w:t>m in Spain have to be respected for the emissions of the radio determination devices for short-range assist and surrounding monitoring for vehicles and autonomous systems. By considering an effectual e.i.r.p. of 55 dBm, these zones cover distances up to 270 km for the NOEMA site and up to 250 km for the IRAM</w:t>
      </w:r>
      <w:r w:rsidR="007A20F2">
        <w:t xml:space="preserve"> </w:t>
      </w:r>
      <w:r w:rsidRPr="009166E4">
        <w:t>30</w:t>
      </w:r>
      <w:r w:rsidR="007A20F2">
        <w:t xml:space="preserve"> </w:t>
      </w:r>
      <w:r w:rsidRPr="009166E4">
        <w:t xml:space="preserve">m site. The circles in </w:t>
      </w:r>
      <w:r w:rsidRPr="009166E4">
        <w:fldChar w:fldCharType="begin"/>
      </w:r>
      <w:r w:rsidRPr="009166E4">
        <w:instrText xml:space="preserve"> REF _Ref65011068 \h </w:instrText>
      </w:r>
      <w:r w:rsidRPr="009166E4">
        <w:fldChar w:fldCharType="separate"/>
      </w:r>
      <w:r w:rsidR="0041125F" w:rsidRPr="00D22BD8">
        <w:t>Figure </w:t>
      </w:r>
      <w:r w:rsidR="0041125F">
        <w:rPr>
          <w:noProof/>
        </w:rPr>
        <w:t>98</w:t>
      </w:r>
      <w:r w:rsidRPr="009166E4">
        <w:fldChar w:fldCharType="end"/>
      </w:r>
      <w:r>
        <w:t xml:space="preserve"> </w:t>
      </w:r>
      <w:r w:rsidRPr="009166E4">
        <w:t xml:space="preserve">and </w:t>
      </w:r>
      <w:r w:rsidRPr="009166E4">
        <w:fldChar w:fldCharType="begin"/>
      </w:r>
      <w:r w:rsidRPr="009166E4">
        <w:instrText xml:space="preserve"> REF _Ref65011084 \h </w:instrText>
      </w:r>
      <w:r w:rsidRPr="009166E4">
        <w:fldChar w:fldCharType="separate"/>
      </w:r>
      <w:r w:rsidR="0041125F" w:rsidRPr="00D22BD8">
        <w:t>Figure </w:t>
      </w:r>
      <w:r w:rsidR="0041125F">
        <w:rPr>
          <w:noProof/>
        </w:rPr>
        <w:t>99</w:t>
      </w:r>
      <w:r w:rsidRPr="009166E4">
        <w:fldChar w:fldCharType="end"/>
      </w:r>
      <w:r>
        <w:t xml:space="preserve"> </w:t>
      </w:r>
      <w:r w:rsidRPr="009166E4">
        <w:t>show the separation distances for the NOEMA site and the IRAM</w:t>
      </w:r>
      <w:r w:rsidR="007A20F2">
        <w:t xml:space="preserve"> </w:t>
      </w:r>
      <w:r w:rsidRPr="009166E4">
        <w:t>30</w:t>
      </w:r>
      <w:r w:rsidR="007A20F2">
        <w:t xml:space="preserve"> </w:t>
      </w:r>
      <w:r w:rsidRPr="009166E4">
        <w:t>m site, respectively</w:t>
      </w:r>
      <w:r w:rsidR="00463610">
        <w:t xml:space="preserve"> (see </w:t>
      </w:r>
      <w:r w:rsidR="009D5FA2">
        <w:t>section</w:t>
      </w:r>
      <w:r w:rsidR="00463610">
        <w:t xml:space="preserve"> </w:t>
      </w:r>
      <w:r w:rsidR="00463610">
        <w:fldChar w:fldCharType="begin"/>
      </w:r>
      <w:r w:rsidR="00463610">
        <w:instrText xml:space="preserve"> REF _Ref17906293 \r \h </w:instrText>
      </w:r>
      <w:r w:rsidR="00463610">
        <w:fldChar w:fldCharType="separate"/>
      </w:r>
      <w:r w:rsidR="004F49F9">
        <w:t>4.12</w:t>
      </w:r>
      <w:r w:rsidR="00463610">
        <w:fldChar w:fldCharType="end"/>
      </w:r>
      <w:r w:rsidR="00463610">
        <w:t>)</w:t>
      </w:r>
      <w:r w:rsidRPr="009166E4">
        <w:t>.</w:t>
      </w:r>
    </w:p>
    <w:p w14:paraId="13DA872A" w14:textId="77777777" w:rsidR="00651A0D" w:rsidRDefault="00651A0D" w:rsidP="00651A0D">
      <w:r w:rsidRPr="009166E4">
        <w:t>An implementation of an automatic system to switch-off the short-range device coupled with geo-positioning of the vehicle should be considered in order to overcome compatibility issues.</w:t>
      </w:r>
    </w:p>
    <w:p w14:paraId="41800C22" w14:textId="77777777" w:rsidR="00651A0D" w:rsidRPr="00C50D6B" w:rsidRDefault="00651A0D" w:rsidP="00651A0D">
      <w:r>
        <w:t>Interference studies considering an aggregate scenario have been invited but not performed for</w:t>
      </w:r>
      <w:r w:rsidRPr="00447AB5">
        <w:t xml:space="preserve"> short-range assist devices</w:t>
      </w:r>
      <w:r>
        <w:t xml:space="preserve">. </w:t>
      </w:r>
      <w:r w:rsidRPr="00C50D6B">
        <w:t xml:space="preserve">Therefore, no conclusion can be drawn whether </w:t>
      </w:r>
      <w:r>
        <w:t>short-range assist</w:t>
      </w:r>
      <w:r w:rsidRPr="00C50D6B">
        <w:t xml:space="preserve"> can ensure compatibility with R</w:t>
      </w:r>
      <w:r>
        <w:t>adio Astronomy Service in such an aggregate scenario</w:t>
      </w:r>
      <w:r w:rsidRPr="00C50D6B">
        <w:t>.</w:t>
      </w:r>
    </w:p>
    <w:p w14:paraId="685E3ED4" w14:textId="77777777" w:rsidR="003E5746" w:rsidRDefault="003E5746" w:rsidP="003E5746">
      <w:pPr>
        <w:pStyle w:val="Heading3"/>
      </w:pPr>
      <w:bookmarkStart w:id="886" w:name="_Ref67392766"/>
      <w:bookmarkStart w:id="887" w:name="_Toc84325462"/>
      <w:bookmarkStart w:id="888" w:name="_Toc127346384"/>
      <w:bookmarkEnd w:id="885"/>
      <w:r>
        <w:t>Fixed Service</w:t>
      </w:r>
      <w:bookmarkEnd w:id="886"/>
      <w:bookmarkEnd w:id="887"/>
      <w:bookmarkEnd w:id="888"/>
    </w:p>
    <w:p w14:paraId="029D39FD" w14:textId="77777777" w:rsidR="000C5917" w:rsidRPr="00BB0742" w:rsidRDefault="000C5917" w:rsidP="000C5917">
      <w:r w:rsidRPr="00BB0742">
        <w:t xml:space="preserve">No study has been conducted to evaluate the compatibility between </w:t>
      </w:r>
      <w:r>
        <w:t>short-range assist and surrounding monitoring for vehicles and autonomous systems</w:t>
      </w:r>
      <w:r w:rsidRPr="00BB0742">
        <w:t xml:space="preserve"> and </w:t>
      </w:r>
      <w:r>
        <w:t>Fixed Service</w:t>
      </w:r>
      <w:r w:rsidRPr="00BB0742">
        <w:t xml:space="preserve">. Therefore, no conclusion can be drawn whether </w:t>
      </w:r>
      <w:r>
        <w:t>short-range assist</w:t>
      </w:r>
      <w:r w:rsidRPr="00BB0742">
        <w:t xml:space="preserve"> can ensure compatibility with </w:t>
      </w:r>
      <w:r>
        <w:t>FS</w:t>
      </w:r>
      <w:r w:rsidRPr="00BB0742">
        <w:t>.</w:t>
      </w:r>
    </w:p>
    <w:p w14:paraId="64C652C2" w14:textId="77777777" w:rsidR="003E5746" w:rsidRDefault="003E5746" w:rsidP="003E5746">
      <w:pPr>
        <w:pStyle w:val="Heading3"/>
      </w:pPr>
      <w:bookmarkStart w:id="889" w:name="_Ref67393182"/>
      <w:bookmarkStart w:id="890" w:name="_Toc84325463"/>
      <w:bookmarkStart w:id="891" w:name="_Toc127346385"/>
      <w:r w:rsidRPr="003E5746">
        <w:t>E</w:t>
      </w:r>
      <w:r>
        <w:t>arth Exploration Satellite Service</w:t>
      </w:r>
      <w:r w:rsidRPr="003E5746">
        <w:t xml:space="preserve"> (Passive)</w:t>
      </w:r>
      <w:bookmarkEnd w:id="889"/>
      <w:bookmarkEnd w:id="890"/>
      <w:bookmarkEnd w:id="891"/>
    </w:p>
    <w:p w14:paraId="2761D0FF" w14:textId="48C63D16" w:rsidR="00504B84" w:rsidRDefault="00504B84" w:rsidP="00504B84">
      <w:pPr>
        <w:rPr>
          <w:rStyle w:val="ECCParagraph"/>
        </w:rPr>
      </w:pPr>
      <w:bookmarkStart w:id="892" w:name="_Hlk67922520"/>
      <w:r>
        <w:t xml:space="preserve">For all investigated frequency ranges, the protection criterion is exceeded for the two distinguished aggregate scenarios by large amounts, no matter if an in-band or out-of-band interference is considered. Under the assumed conditions illustrated in </w:t>
      </w:r>
      <w:r>
        <w:rPr>
          <w:rStyle w:val="ECCParagraph"/>
        </w:rPr>
        <w:fldChar w:fldCharType="begin"/>
      </w:r>
      <w:r>
        <w:instrText xml:space="preserve"> REF _Ref67226273 \h </w:instrText>
      </w:r>
      <w:r>
        <w:rPr>
          <w:rStyle w:val="ECCParagraph"/>
        </w:rPr>
      </w:r>
      <w:r>
        <w:rPr>
          <w:rStyle w:val="ECCParagraph"/>
        </w:rPr>
        <w:fldChar w:fldCharType="separate"/>
      </w:r>
      <w:r w:rsidR="0041125F" w:rsidRPr="00477961">
        <w:t>Table </w:t>
      </w:r>
      <w:r w:rsidR="0041125F">
        <w:rPr>
          <w:noProof/>
        </w:rPr>
        <w:t>89</w:t>
      </w:r>
      <w:r>
        <w:rPr>
          <w:rStyle w:val="ECCParagraph"/>
        </w:rPr>
        <w:fldChar w:fldCharType="end"/>
      </w:r>
      <w:r w:rsidR="00B25267">
        <w:rPr>
          <w:rStyle w:val="ECCParagraph"/>
        </w:rPr>
        <w:t xml:space="preserve"> in </w:t>
      </w:r>
      <w:r w:rsidR="009D5FA2">
        <w:rPr>
          <w:rStyle w:val="ECCParagraph"/>
        </w:rPr>
        <w:t>section</w:t>
      </w:r>
      <w:r w:rsidR="00B25267">
        <w:rPr>
          <w:rStyle w:val="ECCParagraph"/>
        </w:rPr>
        <w:t xml:space="preserve"> </w:t>
      </w:r>
      <w:r w:rsidR="00B25267">
        <w:rPr>
          <w:rStyle w:val="ECCParagraph"/>
        </w:rPr>
        <w:fldChar w:fldCharType="begin"/>
      </w:r>
      <w:r w:rsidR="00B25267">
        <w:rPr>
          <w:rStyle w:val="ECCParagraph"/>
        </w:rPr>
        <w:instrText xml:space="preserve"> REF _Ref67390370 \r \h </w:instrText>
      </w:r>
      <w:r w:rsidR="00B25267">
        <w:rPr>
          <w:rStyle w:val="ECCParagraph"/>
        </w:rPr>
      </w:r>
      <w:r w:rsidR="00B25267">
        <w:rPr>
          <w:rStyle w:val="ECCParagraph"/>
        </w:rPr>
        <w:fldChar w:fldCharType="separate"/>
      </w:r>
      <w:r w:rsidR="004F49F9">
        <w:rPr>
          <w:rStyle w:val="ECCParagraph"/>
        </w:rPr>
        <w:t>6.3.1</w:t>
      </w:r>
      <w:r w:rsidR="00B25267">
        <w:rPr>
          <w:rStyle w:val="ECCParagraph"/>
        </w:rPr>
        <w:fldChar w:fldCharType="end"/>
      </w:r>
      <w:r w:rsidRPr="00231C8B">
        <w:rPr>
          <w:rStyle w:val="ECCParagraph"/>
        </w:rPr>
        <w:t xml:space="preserve">, compatibility of short-range assist and surrounding monitoring for vehicles and autonomous systems cannot be ensured </w:t>
      </w:r>
      <w:r>
        <w:rPr>
          <w:rStyle w:val="ECCParagraph"/>
        </w:rPr>
        <w:t>with EESS (passive)</w:t>
      </w:r>
      <w:r w:rsidRPr="00231C8B">
        <w:rPr>
          <w:rStyle w:val="ECCParagraph"/>
        </w:rPr>
        <w:t>.</w:t>
      </w:r>
    </w:p>
    <w:p w14:paraId="6E9B7C0F" w14:textId="77777777" w:rsidR="006B0DAD" w:rsidRPr="006B0DAD" w:rsidRDefault="006B0DAD" w:rsidP="006B0DAD">
      <w:r w:rsidRPr="006B0DAD">
        <w:t>Additional calculation</w:t>
      </w:r>
      <w:r>
        <w:t>s</w:t>
      </w:r>
      <w:r w:rsidRPr="006B0DAD">
        <w:t xml:space="preserve"> with a decreased </w:t>
      </w:r>
      <w:r>
        <w:t xml:space="preserve">peak </w:t>
      </w:r>
      <w:r w:rsidRPr="006B0DAD">
        <w:t>e</w:t>
      </w:r>
      <w:r>
        <w:t>.</w:t>
      </w:r>
      <w:r w:rsidRPr="006B0DAD">
        <w:t>i</w:t>
      </w:r>
      <w:r>
        <w:t>.</w:t>
      </w:r>
      <w:r w:rsidRPr="006B0DAD">
        <w:t>r</w:t>
      </w:r>
      <w:r>
        <w:t>.</w:t>
      </w:r>
      <w:r w:rsidRPr="006B0DAD">
        <w:t>p</w:t>
      </w:r>
      <w:r>
        <w:t>.</w:t>
      </w:r>
      <w:r w:rsidRPr="006B0DAD">
        <w:t xml:space="preserve"> (40</w:t>
      </w:r>
      <w:r>
        <w:t> </w:t>
      </w:r>
      <w:r w:rsidRPr="006B0DAD">
        <w:t>dBm and 26</w:t>
      </w:r>
      <w:r>
        <w:t> </w:t>
      </w:r>
      <w:r w:rsidRPr="006B0DAD">
        <w:t>dBm instead of 47</w:t>
      </w:r>
      <w:r>
        <w:t> </w:t>
      </w:r>
      <w:r w:rsidRPr="006B0DAD">
        <w:t>dBm) have shown that the conclusions remain the same, i.e. that the EESS (passive) protection criterion is exceeded for the two distinguished aggregate scenarios by large amounts, no matter if an in-band or out-of-band interference is considered</w:t>
      </w:r>
      <w:r>
        <w:t>.</w:t>
      </w:r>
    </w:p>
    <w:p w14:paraId="5DF338D8" w14:textId="77777777" w:rsidR="003E5746" w:rsidRPr="009C0EF6" w:rsidRDefault="003E5746" w:rsidP="003E5746">
      <w:pPr>
        <w:pStyle w:val="Heading3"/>
      </w:pPr>
      <w:bookmarkStart w:id="893" w:name="_Ref67393617"/>
      <w:bookmarkStart w:id="894" w:name="_Toc84325464"/>
      <w:bookmarkStart w:id="895" w:name="_Toc127346386"/>
      <w:bookmarkEnd w:id="892"/>
      <w:r>
        <w:t>Amateur Service</w:t>
      </w:r>
      <w:bookmarkEnd w:id="893"/>
      <w:bookmarkEnd w:id="894"/>
      <w:bookmarkEnd w:id="895"/>
    </w:p>
    <w:p w14:paraId="56D897CD" w14:textId="77777777" w:rsidR="00504B84" w:rsidRPr="00BB0742" w:rsidRDefault="00504B84" w:rsidP="00504B84">
      <w:r w:rsidRPr="00BB0742">
        <w:t xml:space="preserve">No study has been conducted to evaluate the compatibility between short-range assist and surrounding monitoring for vehicles and autonomous systems and </w:t>
      </w:r>
      <w:r>
        <w:t>Amateur Service</w:t>
      </w:r>
      <w:r w:rsidRPr="00BB0742">
        <w:t>. Therefore, no conclusion can be drawn whether short-range assist can ensure compatibility with</w:t>
      </w:r>
      <w:r>
        <w:t xml:space="preserve"> Amateur</w:t>
      </w:r>
      <w:r w:rsidRPr="00BB0742">
        <w:t>.</w:t>
      </w:r>
    </w:p>
    <w:p w14:paraId="4E446B70" w14:textId="77777777" w:rsidR="009C0EF6" w:rsidRPr="009C0EF6" w:rsidRDefault="009C0EF6" w:rsidP="009C0EF6">
      <w:pPr>
        <w:pStyle w:val="Heading2"/>
        <w:rPr>
          <w:rFonts w:eastAsia="Calibri"/>
          <w:lang w:val="en-GB"/>
        </w:rPr>
      </w:pPr>
      <w:bookmarkStart w:id="896" w:name="_Toc84325465"/>
      <w:bookmarkStart w:id="897" w:name="_Toc127346387"/>
      <w:r w:rsidRPr="009C0EF6">
        <w:rPr>
          <w:lang w:val="en-GB"/>
        </w:rPr>
        <w:t xml:space="preserve">Ground Based Synthetic Aperture </w:t>
      </w:r>
      <w:r w:rsidRPr="009C0EF6">
        <w:rPr>
          <w:rFonts w:eastAsia="Calibri"/>
          <w:lang w:val="en-GB"/>
        </w:rPr>
        <w:t>R</w:t>
      </w:r>
      <w:r w:rsidRPr="009C0EF6">
        <w:rPr>
          <w:lang w:val="en-GB"/>
        </w:rPr>
        <w:t>adar</w:t>
      </w:r>
      <w:r w:rsidRPr="009C0EF6">
        <w:rPr>
          <w:rFonts w:eastAsia="Calibri"/>
          <w:lang w:val="en-GB"/>
        </w:rPr>
        <w:t xml:space="preserve"> (GBSAR)</w:t>
      </w:r>
      <w:bookmarkEnd w:id="896"/>
      <w:bookmarkEnd w:id="897"/>
    </w:p>
    <w:p w14:paraId="31DA8AF8" w14:textId="77777777" w:rsidR="003E5746" w:rsidRPr="003E5746" w:rsidRDefault="003E5746" w:rsidP="003E5746">
      <w:pPr>
        <w:pStyle w:val="Heading3"/>
        <w:rPr>
          <w:rFonts w:eastAsia="Calibri"/>
        </w:rPr>
      </w:pPr>
      <w:bookmarkStart w:id="898" w:name="_Toc84325466"/>
      <w:bookmarkStart w:id="899" w:name="_Toc127346388"/>
      <w:r w:rsidRPr="003E5746">
        <w:rPr>
          <w:rFonts w:eastAsia="Calibri"/>
        </w:rPr>
        <w:t>Summary</w:t>
      </w:r>
      <w:bookmarkEnd w:id="898"/>
      <w:bookmarkEnd w:id="899"/>
    </w:p>
    <w:p w14:paraId="2812196C" w14:textId="77777777" w:rsidR="00A90DE3" w:rsidRDefault="003A04EE" w:rsidP="003A04EE">
      <w:r>
        <w:t xml:space="preserve">For GBSAR the candidate frequency band </w:t>
      </w:r>
      <w:r w:rsidRPr="00300D7E">
        <w:rPr>
          <w:rStyle w:val="ECCParagraph"/>
        </w:rPr>
        <w:t>134 to 141 GHz</w:t>
      </w:r>
      <w:r>
        <w:rPr>
          <w:rStyle w:val="ECCParagraph"/>
        </w:rPr>
        <w:t xml:space="preserve"> has been studied </w:t>
      </w:r>
      <w:r w:rsidR="00A90DE3">
        <w:rPr>
          <w:rStyle w:val="ECCParagraph"/>
        </w:rPr>
        <w:t xml:space="preserve">only </w:t>
      </w:r>
      <w:r>
        <w:rPr>
          <w:rStyle w:val="ECCParagraph"/>
        </w:rPr>
        <w:t xml:space="preserve">for </w:t>
      </w:r>
      <w:r>
        <w:t>Earth Exploration Satellite Service</w:t>
      </w:r>
      <w:r>
        <w:rPr>
          <w:rStyle w:val="ECCParagraph"/>
        </w:rPr>
        <w:t xml:space="preserve"> (passive)</w:t>
      </w:r>
      <w:r w:rsidR="00A90DE3">
        <w:rPr>
          <w:rStyle w:val="ECCParagraph"/>
        </w:rPr>
        <w:t xml:space="preserve"> which is located adjacent to this band</w:t>
      </w:r>
      <w:r>
        <w:rPr>
          <w:rStyle w:val="ECCParagraph"/>
        </w:rPr>
        <w:t>.</w:t>
      </w:r>
      <w:r w:rsidR="00A90DE3">
        <w:rPr>
          <w:rStyle w:val="ECCParagraph"/>
        </w:rPr>
        <w:t xml:space="preserve"> </w:t>
      </w:r>
      <w:r w:rsidR="00A90DE3">
        <w:t>Compatibility can be ensured</w:t>
      </w:r>
      <w:r>
        <w:t xml:space="preserve"> if the maximum out-of-band mean e.i.r.p. spectral density </w:t>
      </w:r>
      <w:r w:rsidR="00A90DE3">
        <w:t>is</w:t>
      </w:r>
      <w:r>
        <w:t xml:space="preserve"> limited to </w:t>
      </w:r>
      <w:r>
        <w:noBreakHyphen/>
        <w:t>21</w:t>
      </w:r>
      <w:r w:rsidR="00CF4994">
        <w:t>.8</w:t>
      </w:r>
      <w:r>
        <w:t xml:space="preserve"> dBm/MHz in adjacent </w:t>
      </w:r>
      <w:r w:rsidR="0004406D">
        <w:t>EESS-</w:t>
      </w:r>
      <w:r>
        <w:t>bands</w:t>
      </w:r>
      <w:r w:rsidR="001E2CCB">
        <w:t>.</w:t>
      </w:r>
    </w:p>
    <w:p w14:paraId="59660918" w14:textId="77777777" w:rsidR="003A04EE" w:rsidRDefault="003A04EE" w:rsidP="003A04EE">
      <w:pPr>
        <w:rPr>
          <w:rStyle w:val="ECCParagraph"/>
        </w:rPr>
      </w:pPr>
      <w:r>
        <w:rPr>
          <w:rStyle w:val="ECCParagraph"/>
        </w:rPr>
        <w:t>The following protection requirement ha</w:t>
      </w:r>
      <w:r w:rsidR="00FB2B66">
        <w:rPr>
          <w:rStyle w:val="ECCParagraph"/>
        </w:rPr>
        <w:t>s</w:t>
      </w:r>
      <w:r>
        <w:rPr>
          <w:rStyle w:val="ECCParagraph"/>
        </w:rPr>
        <w:t xml:space="preserve"> been assumed:</w:t>
      </w:r>
    </w:p>
    <w:p w14:paraId="3A77B4C9" w14:textId="70979D9C" w:rsidR="003A04EE" w:rsidRDefault="003A04EE" w:rsidP="003A04EE">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1D5F5F69" w14:textId="77777777" w:rsidR="00A90DE3" w:rsidRDefault="00A90DE3" w:rsidP="00A90DE3">
      <w:pPr>
        <w:pStyle w:val="ECCBulletsLv1"/>
        <w:numPr>
          <w:ilvl w:val="0"/>
          <w:numId w:val="0"/>
        </w:numPr>
      </w:pPr>
    </w:p>
    <w:p w14:paraId="6EDBF132" w14:textId="77777777" w:rsidR="00A90DE3" w:rsidRPr="00A90DE3" w:rsidRDefault="00A90DE3" w:rsidP="00A90DE3">
      <w:pPr>
        <w:pStyle w:val="ECCBulletsLv1"/>
        <w:numPr>
          <w:ilvl w:val="0"/>
          <w:numId w:val="0"/>
        </w:numPr>
      </w:pPr>
      <w:r w:rsidRPr="00A90DE3">
        <w:t>However, studies for the other relevant Radio Services</w:t>
      </w:r>
      <w:r w:rsidR="00B463DC">
        <w:t>, like RAS, FS and Amateur,</w:t>
      </w:r>
      <w:r w:rsidRPr="00A90DE3">
        <w:t xml:space="preserve"> have not been conducted. A conclusion whether compatibility to these services can also be ensured can hence not be drawn.</w:t>
      </w:r>
    </w:p>
    <w:p w14:paraId="06C0F1E5" w14:textId="77777777" w:rsidR="003E5746" w:rsidRDefault="003E5746" w:rsidP="003E5746">
      <w:pPr>
        <w:pStyle w:val="Heading3"/>
      </w:pPr>
      <w:bookmarkStart w:id="900" w:name="_Ref67392333"/>
      <w:bookmarkStart w:id="901" w:name="_Toc84325467"/>
      <w:bookmarkStart w:id="902" w:name="_Toc127346389"/>
      <w:r>
        <w:t>Radio Astronomy</w:t>
      </w:r>
      <w:bookmarkEnd w:id="900"/>
      <w:bookmarkEnd w:id="901"/>
      <w:bookmarkEnd w:id="902"/>
    </w:p>
    <w:p w14:paraId="330C92DE" w14:textId="77777777" w:rsidR="0062479A" w:rsidRPr="0062479A" w:rsidRDefault="0062479A" w:rsidP="0062479A">
      <w:r>
        <w:t>No study has been conducted to evaluate the compatibility between GBSAR and Radio Astronomy Service. Therefore, no conclusion can be drawn whether GBSAR can ensure compatibility with RAS.</w:t>
      </w:r>
    </w:p>
    <w:p w14:paraId="046B1CBA" w14:textId="77777777" w:rsidR="003E5746" w:rsidRDefault="003E5746" w:rsidP="003E5746">
      <w:pPr>
        <w:pStyle w:val="Heading3"/>
      </w:pPr>
      <w:bookmarkStart w:id="903" w:name="_Ref67392800"/>
      <w:bookmarkStart w:id="904" w:name="_Toc84325468"/>
      <w:bookmarkStart w:id="905" w:name="_Toc127346390"/>
      <w:r>
        <w:t>Fixed Service</w:t>
      </w:r>
      <w:bookmarkEnd w:id="903"/>
      <w:bookmarkEnd w:id="904"/>
      <w:bookmarkEnd w:id="905"/>
    </w:p>
    <w:p w14:paraId="1C39C963" w14:textId="77777777" w:rsidR="00681CC5" w:rsidRPr="00F7570D" w:rsidRDefault="00681CC5" w:rsidP="00681CC5">
      <w:r>
        <w:t>No study has been conducted to evaluate the compatibility between GBSAR and Fixed Service. Therefore, no conclusion can be drawn whether GBSAR can ensure compatibility with FS.</w:t>
      </w:r>
    </w:p>
    <w:p w14:paraId="6FEFAF2F" w14:textId="77777777" w:rsidR="003E5746" w:rsidRDefault="003E5746" w:rsidP="003E5746">
      <w:pPr>
        <w:pStyle w:val="Heading3"/>
      </w:pPr>
      <w:bookmarkStart w:id="906" w:name="_Ref67393225"/>
      <w:bookmarkStart w:id="907" w:name="_Toc84325469"/>
      <w:bookmarkStart w:id="908" w:name="_Toc127346391"/>
      <w:r w:rsidRPr="003E5746">
        <w:t>E</w:t>
      </w:r>
      <w:r>
        <w:t>arth Exploration Satellite Service</w:t>
      </w:r>
      <w:r w:rsidRPr="003E5746">
        <w:t xml:space="preserve"> (Passive)</w:t>
      </w:r>
      <w:bookmarkEnd w:id="906"/>
      <w:bookmarkEnd w:id="907"/>
      <w:bookmarkEnd w:id="908"/>
    </w:p>
    <w:p w14:paraId="59207E35" w14:textId="00C7C56F" w:rsidR="00681CC5" w:rsidRPr="001C46A1" w:rsidRDefault="00681CC5" w:rsidP="00681CC5">
      <w:r>
        <w:t xml:space="preserve">For the aggregate consideration a maximum out-of-band mean power spectral density (e.i.r,p.) of </w:t>
      </w:r>
      <w:r>
        <w:noBreakHyphen/>
        <w:t>21</w:t>
      </w:r>
      <w:r w:rsidR="00CF4994">
        <w:t>.8</w:t>
      </w:r>
      <w:r>
        <w:t> dBm/MHz can be tolerated in order to establish a zero margin to the interference criterion without the implementation of additional mitigation techniques. In addition to that with this power spectral density a positive margin of 13 dB can be achieved to the interference criterion in the single-entry study</w:t>
      </w:r>
      <w:r w:rsidR="00B25267">
        <w:t xml:space="preserve"> (see </w:t>
      </w:r>
      <w:r w:rsidR="009D5FA2">
        <w:t>section</w:t>
      </w:r>
      <w:r w:rsidR="00B445C8">
        <w:t xml:space="preserve">s </w:t>
      </w:r>
      <w:r w:rsidR="00B445C8">
        <w:fldChar w:fldCharType="begin"/>
      </w:r>
      <w:r w:rsidR="00B445C8">
        <w:instrText xml:space="preserve"> REF _Ref67390539 \r \h </w:instrText>
      </w:r>
      <w:r w:rsidR="00B445C8">
        <w:fldChar w:fldCharType="separate"/>
      </w:r>
      <w:r w:rsidR="004F49F9">
        <w:t>6.4.1</w:t>
      </w:r>
      <w:r w:rsidR="00B445C8">
        <w:fldChar w:fldCharType="end"/>
      </w:r>
      <w:r w:rsidR="00B25267">
        <w:t xml:space="preserve"> </w:t>
      </w:r>
      <w:r w:rsidR="00B445C8">
        <w:t xml:space="preserve">and </w:t>
      </w:r>
      <w:r w:rsidR="00B25267">
        <w:fldChar w:fldCharType="begin"/>
      </w:r>
      <w:r w:rsidR="00B25267">
        <w:instrText xml:space="preserve"> REF _Ref67390489 \r \h </w:instrText>
      </w:r>
      <w:r w:rsidR="00B25267">
        <w:fldChar w:fldCharType="separate"/>
      </w:r>
      <w:r w:rsidR="004F49F9">
        <w:t>6.4.2</w:t>
      </w:r>
      <w:r w:rsidR="00B25267">
        <w:fldChar w:fldCharType="end"/>
      </w:r>
      <w:r w:rsidR="00B25267">
        <w:t>)</w:t>
      </w:r>
      <w:r>
        <w:t>.</w:t>
      </w:r>
    </w:p>
    <w:p w14:paraId="4E9692E4" w14:textId="77777777" w:rsidR="003E5746" w:rsidRPr="009C0EF6" w:rsidRDefault="003E5746" w:rsidP="003E5746">
      <w:pPr>
        <w:pStyle w:val="Heading3"/>
      </w:pPr>
      <w:bookmarkStart w:id="909" w:name="_Ref67393645"/>
      <w:bookmarkStart w:id="910" w:name="_Toc84325470"/>
      <w:bookmarkStart w:id="911" w:name="_Toc127346392"/>
      <w:r>
        <w:t>Amateur Service</w:t>
      </w:r>
      <w:bookmarkEnd w:id="909"/>
      <w:bookmarkEnd w:id="910"/>
      <w:bookmarkEnd w:id="911"/>
    </w:p>
    <w:p w14:paraId="018E144A" w14:textId="77777777" w:rsidR="005E6F70" w:rsidRPr="00F7570D" w:rsidRDefault="005E6F70" w:rsidP="005E6F70">
      <w:r>
        <w:t>No study has been conducted to evaluate the compatibility between GBSAR and Amateur Service. Therefore, no conclusion can be drawn whether GBSAR can ensure compatibility with Amateur.</w:t>
      </w:r>
    </w:p>
    <w:p w14:paraId="42AD1E18" w14:textId="77777777" w:rsidR="009C0EF6" w:rsidRPr="009C0EF6" w:rsidRDefault="009C0EF6" w:rsidP="009C0EF6">
      <w:pPr>
        <w:pStyle w:val="Heading2"/>
        <w:rPr>
          <w:lang w:val="en-GB"/>
        </w:rPr>
      </w:pPr>
      <w:bookmarkStart w:id="912" w:name="_Toc84325471"/>
      <w:bookmarkStart w:id="913" w:name="_Toc127346393"/>
      <w:r w:rsidRPr="009C0EF6">
        <w:rPr>
          <w:lang w:val="en-GB"/>
        </w:rPr>
        <w:t>Level probing radar (LPR)</w:t>
      </w:r>
      <w:bookmarkEnd w:id="912"/>
      <w:bookmarkEnd w:id="913"/>
    </w:p>
    <w:p w14:paraId="066855F1" w14:textId="77777777" w:rsidR="003E5746" w:rsidRPr="003E5746" w:rsidRDefault="003E5746" w:rsidP="003E5746">
      <w:pPr>
        <w:pStyle w:val="Heading3"/>
        <w:rPr>
          <w:rFonts w:eastAsia="Calibri"/>
        </w:rPr>
      </w:pPr>
      <w:bookmarkStart w:id="914" w:name="_Toc84325472"/>
      <w:bookmarkStart w:id="915" w:name="_Toc127346394"/>
      <w:r w:rsidRPr="003E5746">
        <w:rPr>
          <w:rFonts w:eastAsia="Calibri"/>
        </w:rPr>
        <w:t>Summary</w:t>
      </w:r>
      <w:bookmarkEnd w:id="914"/>
      <w:bookmarkEnd w:id="915"/>
    </w:p>
    <w:p w14:paraId="6BB5A79C" w14:textId="77777777" w:rsidR="001E2CCB" w:rsidRDefault="001E2CCB" w:rsidP="001E2CCB">
      <w:pPr>
        <w:rPr>
          <w:rStyle w:val="ECCParagraph"/>
        </w:rPr>
      </w:pPr>
      <w:r>
        <w:t xml:space="preserve">For LPR the candidate frequency bands </w:t>
      </w:r>
      <w:r w:rsidRPr="00300D7E">
        <w:rPr>
          <w:rStyle w:val="ECCParagraph"/>
        </w:rPr>
        <w:t>116 to 1</w:t>
      </w:r>
      <w:r>
        <w:rPr>
          <w:rStyle w:val="ECCParagraph"/>
        </w:rPr>
        <w:t>48</w:t>
      </w:r>
      <w:r w:rsidR="00CF4994">
        <w:rPr>
          <w:rStyle w:val="ECCParagraph"/>
        </w:rPr>
        <w:t>.5</w:t>
      </w:r>
      <w:r w:rsidRPr="00300D7E">
        <w:rPr>
          <w:rStyle w:val="ECCParagraph"/>
        </w:rPr>
        <w:t> GHz</w:t>
      </w:r>
      <w:r>
        <w:rPr>
          <w:rStyle w:val="ECCParagraph"/>
        </w:rPr>
        <w:t xml:space="preserve">, </w:t>
      </w:r>
      <w:r w:rsidRPr="00300D7E">
        <w:rPr>
          <w:rStyle w:val="ECCParagraph"/>
        </w:rPr>
        <w:t>1</w:t>
      </w:r>
      <w:r>
        <w:rPr>
          <w:rStyle w:val="ECCParagraph"/>
        </w:rPr>
        <w:t>67</w:t>
      </w:r>
      <w:r w:rsidRPr="00300D7E">
        <w:rPr>
          <w:rStyle w:val="ECCParagraph"/>
        </w:rPr>
        <w:t xml:space="preserve"> to 182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w:t>
      </w:r>
      <w:r>
        <w:t>It turned out that in all three frequency ranges compatibility between LPR and all investigated Radio Services can be ensured.</w:t>
      </w:r>
    </w:p>
    <w:p w14:paraId="32EBFA31" w14:textId="77777777" w:rsidR="00774425" w:rsidRDefault="00774425" w:rsidP="00774425">
      <w:pPr>
        <w:rPr>
          <w:rStyle w:val="ECCParagraph"/>
        </w:rPr>
      </w:pPr>
      <w:r>
        <w:rPr>
          <w:rStyle w:val="ECCParagraph"/>
        </w:rPr>
        <w:t>The following protection requirements have been assumed:</w:t>
      </w:r>
    </w:p>
    <w:p w14:paraId="21EA00A5" w14:textId="5698B77D" w:rsidR="00774425" w:rsidRDefault="00774425" w:rsidP="00774425">
      <w:pPr>
        <w:pStyle w:val="ECCBulletsLv1"/>
        <w:rPr>
          <w:rStyle w:val="ECCParagraph"/>
        </w:rPr>
      </w:pPr>
      <w:r>
        <w:rPr>
          <w:rStyle w:val="ECCParagraph"/>
        </w:rPr>
        <w:t>Radio Astronomy: Separation distance smaller than 20 km</w:t>
      </w:r>
      <w:r w:rsidR="00DE0D1F">
        <w:rPr>
          <w:rStyle w:val="ECCParagraph"/>
        </w:rPr>
        <w:t>;</w:t>
      </w:r>
    </w:p>
    <w:p w14:paraId="2927816D" w14:textId="2AF680A4" w:rsidR="00774425" w:rsidRDefault="00774425" w:rsidP="00774425">
      <w:pPr>
        <w:pStyle w:val="ECCBulletsLv1"/>
        <w:rPr>
          <w:rStyle w:val="ECCParagraph"/>
        </w:rPr>
      </w:pPr>
      <w:r>
        <w:rPr>
          <w:rStyle w:val="ECCParagraph"/>
        </w:rPr>
        <w:t>Fixed Service and Amateur Service: Separation distance smaller than 300 m</w:t>
      </w:r>
      <w:r w:rsidR="00DE0D1F">
        <w:rPr>
          <w:rStyle w:val="ECCParagraph"/>
        </w:rPr>
        <w:t>;</w:t>
      </w:r>
    </w:p>
    <w:p w14:paraId="6B9CF103" w14:textId="6112D6CB" w:rsidR="00774425" w:rsidRDefault="00774425" w:rsidP="00774425">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7ED6E5B0" w14:textId="77777777" w:rsidR="00774425" w:rsidRPr="00BB41AD" w:rsidRDefault="00774425" w:rsidP="00774425">
      <w:pPr>
        <w:rPr>
          <w:rStyle w:val="ECCParagraph"/>
        </w:rPr>
      </w:pPr>
      <w:r w:rsidRPr="00BB41AD">
        <w:rPr>
          <w:rStyle w:val="ECCParagraph"/>
        </w:rPr>
        <w:t xml:space="preserve">All level probing radars </w:t>
      </w:r>
      <w:r>
        <w:rPr>
          <w:rStyle w:val="ECCParagraph"/>
        </w:rPr>
        <w:t>should</w:t>
      </w:r>
      <w:r w:rsidRPr="00BB41AD">
        <w:rPr>
          <w:rStyle w:val="ECCParagraph"/>
        </w:rPr>
        <w:t xml:space="preserve"> </w:t>
      </w:r>
      <w:r>
        <w:rPr>
          <w:rStyle w:val="ECCParagraph"/>
        </w:rPr>
        <w:t xml:space="preserve">furthermore </w:t>
      </w:r>
      <w:r w:rsidRPr="00BB41AD">
        <w:rPr>
          <w:rStyle w:val="ECCParagraph"/>
        </w:rPr>
        <w:t xml:space="preserve">comply with the following </w:t>
      </w:r>
      <w:r>
        <w:rPr>
          <w:rStyle w:val="ECCParagraph"/>
        </w:rPr>
        <w:t>(</w:t>
      </w:r>
      <w:r w:rsidRPr="00BB41AD">
        <w:rPr>
          <w:rStyle w:val="ECCParagraph"/>
        </w:rPr>
        <w:t>installation</w:t>
      </w:r>
      <w:r>
        <w:rPr>
          <w:rStyle w:val="ECCParagraph"/>
        </w:rPr>
        <w:t>)</w:t>
      </w:r>
      <w:r w:rsidRPr="00BB41AD">
        <w:rPr>
          <w:rStyle w:val="ECCParagraph"/>
        </w:rPr>
        <w:t xml:space="preserve"> requirements:</w:t>
      </w:r>
    </w:p>
    <w:p w14:paraId="15369CD5" w14:textId="4F5D6FF9" w:rsidR="00774425" w:rsidRPr="00BB41AD" w:rsidRDefault="00774425" w:rsidP="00774425">
      <w:pPr>
        <w:pStyle w:val="ECCBulletsLv1"/>
        <w:rPr>
          <w:rStyle w:val="ECCParagraph"/>
        </w:rPr>
      </w:pPr>
      <w:r w:rsidRPr="00BB41AD">
        <w:rPr>
          <w:rStyle w:val="ECCParagraph"/>
        </w:rPr>
        <w:t>The operation of LPR sensors is envisaged for industrial purposes only</w:t>
      </w:r>
      <w:r w:rsidR="00DE0D1F">
        <w:rPr>
          <w:rStyle w:val="ECCParagraph"/>
        </w:rPr>
        <w:t>;</w:t>
      </w:r>
    </w:p>
    <w:p w14:paraId="6B2B4FA6" w14:textId="4E9D7DAC" w:rsidR="00774425" w:rsidRPr="00BB41AD" w:rsidRDefault="00774425" w:rsidP="00774425">
      <w:pPr>
        <w:pStyle w:val="ECCBulletsLv1"/>
      </w:pPr>
      <w:r w:rsidRPr="00BB41AD">
        <w:t>Installation and maintenance of LPR equipment shall be performed by professionally trained individuals only</w:t>
      </w:r>
      <w:r w:rsidR="00DE0D1F">
        <w:t>;</w:t>
      </w:r>
    </w:p>
    <w:p w14:paraId="779B7CF3" w14:textId="0AEAFDA3" w:rsidR="00774425" w:rsidRPr="00BB41AD" w:rsidRDefault="00774425" w:rsidP="00774425">
      <w:pPr>
        <w:pStyle w:val="ECCBulletsLv1"/>
      </w:pPr>
      <w:r w:rsidRPr="00BB41AD">
        <w:t>LPR equipment shall not be marketed to private end customers</w:t>
      </w:r>
      <w:r w:rsidR="00DE0D1F">
        <w:t>;</w:t>
      </w:r>
    </w:p>
    <w:p w14:paraId="23157AFA" w14:textId="74111AFF" w:rsidR="00774425" w:rsidRPr="00BB41AD" w:rsidRDefault="00774425" w:rsidP="00774425">
      <w:pPr>
        <w:pStyle w:val="ECCBulletsLv1"/>
      </w:pPr>
      <w:r w:rsidRPr="00BB41AD">
        <w:t>Level probing radars are required to be installed at a permanent fixed position pointing in a downwards direction towards the ground. The equipment shall not operate while being moved, or while inside a moving container</w:t>
      </w:r>
      <w:r w:rsidR="00DE0D1F">
        <w:t>;</w:t>
      </w:r>
    </w:p>
    <w:p w14:paraId="0A1B96AD" w14:textId="4F459F19" w:rsidR="00774425" w:rsidRPr="00BB41AD" w:rsidRDefault="00774425" w:rsidP="00774425">
      <w:pPr>
        <w:pStyle w:val="ECCBulletsLv1"/>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r w:rsidR="00DE0D1F">
        <w:t>;</w:t>
      </w:r>
    </w:p>
    <w:p w14:paraId="5F7013C2" w14:textId="07B39153" w:rsidR="00774425" w:rsidRPr="00BB41AD" w:rsidRDefault="00774425" w:rsidP="00774425">
      <w:pPr>
        <w:pStyle w:val="ECCBulletsLv1"/>
        <w:rPr>
          <w:rStyle w:val="ECCParagraph"/>
        </w:rPr>
      </w:pPr>
      <w:r w:rsidRPr="00BB41AD">
        <w:rPr>
          <w:rStyle w:val="ECCParagraph"/>
        </w:rPr>
        <w:t>In order to protect the Radio Astronomy Service, inside a radius of 13 km around the stations of NOEMA and IRAM</w:t>
      </w:r>
      <w:r w:rsidR="007A20F2">
        <w:rPr>
          <w:rStyle w:val="ECCParagraph"/>
        </w:rPr>
        <w:t xml:space="preserve"> </w:t>
      </w:r>
      <w:r w:rsidRPr="00BB41AD">
        <w:rPr>
          <w:rStyle w:val="ECCParagraph"/>
        </w:rPr>
        <w:t xml:space="preserve">30 m, the installation and operation of LPR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r w:rsidR="00DE0D1F">
        <w:rPr>
          <w:rStyle w:val="ECCParagraph"/>
        </w:rPr>
        <w:t>;</w:t>
      </w:r>
    </w:p>
    <w:p w14:paraId="69B2DA0F" w14:textId="77777777" w:rsidR="00774425" w:rsidRPr="00774425" w:rsidRDefault="00774425" w:rsidP="00774425">
      <w:pPr>
        <w:pStyle w:val="ECCBulletsLv1"/>
      </w:pPr>
      <w:r w:rsidRPr="00BB41AD">
        <w:t>The provider is required to inform the users and installers of LPR equipment about the installation requirements and the additional special mounting instructions.</w:t>
      </w:r>
    </w:p>
    <w:p w14:paraId="0D645076" w14:textId="77777777" w:rsidR="005E11EE" w:rsidRDefault="005E11EE" w:rsidP="005E11EE">
      <w:r w:rsidRPr="005E11EE">
        <w:t>In addition, the following</w:t>
      </w:r>
      <w:r>
        <w:t xml:space="preserve"> two</w:t>
      </w:r>
      <w:r w:rsidRPr="005E11EE">
        <w:t xml:space="preserve"> requirement</w:t>
      </w:r>
      <w:r>
        <w:t>s</w:t>
      </w:r>
      <w:r w:rsidRPr="005E11EE">
        <w:t xml:space="preserve"> </w:t>
      </w:r>
      <w:r>
        <w:t>are</w:t>
      </w:r>
      <w:r w:rsidRPr="005E11EE">
        <w:t xml:space="preserve"> proposed:</w:t>
      </w:r>
    </w:p>
    <w:p w14:paraId="5C6F7EA1" w14:textId="77777777" w:rsidR="005E11EE" w:rsidRPr="005E11EE" w:rsidRDefault="005E11EE" w:rsidP="005E11EE">
      <w:pPr>
        <w:pStyle w:val="ECCBulletsLv1"/>
      </w:pPr>
      <w:r w:rsidRPr="005E11EE">
        <w:t>For LPR devices, the peak e.i.r.p. for elevations above 0° shall be limited to 0</w:t>
      </w:r>
      <w:r w:rsidR="00BC08AA">
        <w:t> </w:t>
      </w:r>
      <w:r w:rsidRPr="005E11EE">
        <w:t>dBm.</w:t>
      </w:r>
    </w:p>
    <w:p w14:paraId="3C59D66F" w14:textId="77777777" w:rsidR="005E11EE" w:rsidRPr="005E11EE" w:rsidRDefault="005E11EE" w:rsidP="005E11EE">
      <w:pPr>
        <w:pStyle w:val="ECCBulletsLv1"/>
      </w:pPr>
      <w:r w:rsidRPr="005E11EE">
        <w:t>For LPR devices using an antenna gain smaller than 20 dBi, the maximum conducted peak output power shall be limited to 15 dBm.</w:t>
      </w:r>
    </w:p>
    <w:p w14:paraId="5D842209" w14:textId="77777777" w:rsidR="003E5746" w:rsidRDefault="003E5746" w:rsidP="003E5746">
      <w:pPr>
        <w:pStyle w:val="Heading3"/>
      </w:pPr>
      <w:bookmarkStart w:id="916" w:name="_Ref67392435"/>
      <w:bookmarkStart w:id="917" w:name="_Toc84325473"/>
      <w:bookmarkStart w:id="918" w:name="_Toc127346395"/>
      <w:r>
        <w:t>Radio Astronomy</w:t>
      </w:r>
      <w:bookmarkEnd w:id="916"/>
      <w:bookmarkEnd w:id="917"/>
      <w:bookmarkEnd w:id="918"/>
    </w:p>
    <w:p w14:paraId="311A9893" w14:textId="33683B86" w:rsidR="00B463DC" w:rsidRDefault="00B463DC" w:rsidP="00B463DC">
      <w:r w:rsidRPr="00B10E31">
        <w:t>For the frequency bands 116 GHz to 148</w:t>
      </w:r>
      <w:r w:rsidR="00CF4994">
        <w:t>.5</w:t>
      </w:r>
      <w:r w:rsidRPr="00B10E31">
        <w:t> GHz, 167 GHz to 182 GHz and 231</w:t>
      </w:r>
      <w:r w:rsidR="00CF4994">
        <w:t>.5</w:t>
      </w:r>
      <w:r w:rsidRPr="00B10E31">
        <w:t> GHz to 250 GHz</w:t>
      </w:r>
      <w:r>
        <w:t xml:space="preserve"> compatibility can be ensured between LPR and RAS when </w:t>
      </w:r>
      <w:r w:rsidRPr="00B10E31">
        <w:t xml:space="preserve">separation distances of </w:t>
      </w:r>
      <w:r>
        <w:t>13</w:t>
      </w:r>
      <w:r w:rsidRPr="00B10E31">
        <w:t xml:space="preserve"> km, </w:t>
      </w:r>
      <w:r>
        <w:t>10</w:t>
      </w:r>
      <w:r w:rsidRPr="00B10E31">
        <w:t xml:space="preserve"> km and </w:t>
      </w:r>
      <w:r>
        <w:t>6</w:t>
      </w:r>
      <w:r w:rsidR="00CF4994">
        <w:t>.4</w:t>
      </w:r>
      <w:r>
        <w:t> km, respectively, are respected without the implementation of additional mitigation techniques</w:t>
      </w:r>
      <w:r w:rsidR="00835835">
        <w:t xml:space="preserve"> (</w:t>
      </w:r>
      <w:r w:rsidR="000937ED">
        <w:t xml:space="preserve">see </w:t>
      </w:r>
      <w:r w:rsidR="009D5FA2">
        <w:t>section</w:t>
      </w:r>
      <w:r w:rsidR="005F560F">
        <w:t xml:space="preserve"> </w:t>
      </w:r>
      <w:r w:rsidR="005F560F">
        <w:fldChar w:fldCharType="begin"/>
      </w:r>
      <w:r w:rsidR="005F560F">
        <w:instrText xml:space="preserve"> REF _Ref67328647 \r \h </w:instrText>
      </w:r>
      <w:r w:rsidR="005F560F">
        <w:fldChar w:fldCharType="separate"/>
      </w:r>
      <w:r w:rsidR="004F49F9">
        <w:t>4.5.2</w:t>
      </w:r>
      <w:r w:rsidR="005F560F">
        <w:fldChar w:fldCharType="end"/>
      </w:r>
      <w:r w:rsidR="00835835">
        <w:t>)</w:t>
      </w:r>
      <w:r>
        <w:t>.</w:t>
      </w:r>
    </w:p>
    <w:p w14:paraId="645C090E" w14:textId="77777777" w:rsidR="003E5746" w:rsidRDefault="003E5746" w:rsidP="003E5746">
      <w:pPr>
        <w:pStyle w:val="Heading3"/>
      </w:pPr>
      <w:bookmarkStart w:id="919" w:name="_Ref67392946"/>
      <w:bookmarkStart w:id="920" w:name="_Toc84325474"/>
      <w:bookmarkStart w:id="921" w:name="_Toc127346396"/>
      <w:r>
        <w:t>Fixed Service</w:t>
      </w:r>
      <w:bookmarkEnd w:id="919"/>
      <w:bookmarkEnd w:id="920"/>
      <w:bookmarkEnd w:id="921"/>
    </w:p>
    <w:p w14:paraId="39D44D21" w14:textId="281B967C" w:rsidR="002F0F7B" w:rsidRPr="00B10E31" w:rsidRDefault="002F0F7B" w:rsidP="002F0F7B">
      <w:r w:rsidRPr="00B10E31">
        <w:t xml:space="preserve">For evaluating the compatibility between LPR and FS the two worst-case interference scenarios in </w:t>
      </w:r>
      <w:r>
        <w:rPr>
          <w:highlight w:val="yellow"/>
        </w:rPr>
        <w:fldChar w:fldCharType="begin"/>
      </w:r>
      <w:r>
        <w:instrText xml:space="preserve"> REF _Ref44407438 \h </w:instrText>
      </w:r>
      <w:r>
        <w:rPr>
          <w:highlight w:val="yellow"/>
        </w:rPr>
      </w:r>
      <w:r>
        <w:rPr>
          <w:highlight w:val="yellow"/>
        </w:rPr>
        <w:fldChar w:fldCharType="separate"/>
      </w:r>
      <w:r w:rsidR="004F49F9">
        <w:t xml:space="preserve">Figure </w:t>
      </w:r>
      <w:r w:rsidR="004F49F9">
        <w:rPr>
          <w:noProof/>
        </w:rPr>
        <w:t>38</w:t>
      </w:r>
      <w:r>
        <w:rPr>
          <w:highlight w:val="yellow"/>
        </w:rPr>
        <w:fldChar w:fldCharType="end"/>
      </w:r>
      <w:r>
        <w:t xml:space="preserve"> </w:t>
      </w:r>
      <w:r w:rsidRPr="00B10E31">
        <w:t xml:space="preserve">and </w:t>
      </w:r>
      <w:r>
        <w:rPr>
          <w:highlight w:val="yellow"/>
        </w:rPr>
        <w:fldChar w:fldCharType="begin"/>
      </w:r>
      <w:r>
        <w:instrText xml:space="preserve"> REF _Ref44407491 \h </w:instrText>
      </w:r>
      <w:r>
        <w:rPr>
          <w:highlight w:val="yellow"/>
        </w:rPr>
      </w:r>
      <w:r>
        <w:rPr>
          <w:highlight w:val="yellow"/>
        </w:rPr>
        <w:fldChar w:fldCharType="separate"/>
      </w:r>
      <w:r w:rsidR="004F49F9">
        <w:t xml:space="preserve">Figure </w:t>
      </w:r>
      <w:r w:rsidR="004F49F9">
        <w:rPr>
          <w:noProof/>
        </w:rPr>
        <w:t>39</w:t>
      </w:r>
      <w:r>
        <w:rPr>
          <w:highlight w:val="yellow"/>
        </w:rPr>
        <w:fldChar w:fldCharType="end"/>
      </w:r>
      <w:r>
        <w:t xml:space="preserve"> </w:t>
      </w:r>
      <w:r w:rsidRPr="00B10E31">
        <w:t xml:space="preserve">have been defined (see </w:t>
      </w:r>
      <w:r w:rsidR="009D5FA2">
        <w:t>section</w:t>
      </w:r>
      <w:r w:rsidRPr="00B10E31">
        <w:t xml:space="preserve"> </w:t>
      </w:r>
      <w:r>
        <w:rPr>
          <w:highlight w:val="yellow"/>
        </w:rPr>
        <w:fldChar w:fldCharType="begin"/>
      </w:r>
      <w:r>
        <w:instrText xml:space="preserve"> REF _Ref36548155 \r \h </w:instrText>
      </w:r>
      <w:r>
        <w:rPr>
          <w:highlight w:val="yellow"/>
        </w:rPr>
      </w:r>
      <w:r>
        <w:rPr>
          <w:highlight w:val="yellow"/>
        </w:rPr>
        <w:fldChar w:fldCharType="separate"/>
      </w:r>
      <w:r w:rsidR="004F49F9">
        <w:t>2.2.5.6</w:t>
      </w:r>
      <w:r>
        <w:rPr>
          <w:highlight w:val="yellow"/>
        </w:rPr>
        <w:fldChar w:fldCharType="end"/>
      </w:r>
      <w:r w:rsidRPr="00B10E31">
        <w:t xml:space="preserve">). In both scenarios it is valid that separation distances smaller than 300 m result in compatibility between LPR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_Ref67053755 \r \h </w:instrText>
      </w:r>
      <w:r>
        <w:rPr>
          <w:highlight w:val="yellow"/>
        </w:rPr>
      </w:r>
      <w:r>
        <w:rPr>
          <w:highlight w:val="yellow"/>
        </w:rPr>
        <w:fldChar w:fldCharType="separate"/>
      </w:r>
      <w:r w:rsidR="004F49F9">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209FCC2C" w14:textId="34344B0F" w:rsidR="002F0F7B" w:rsidRDefault="002F0F7B" w:rsidP="002F0F7B">
      <w:r w:rsidRPr="00B10E31">
        <w:t xml:space="preserve">All calculated separation distances for LPR in </w:t>
      </w:r>
      <w:r>
        <w:rPr>
          <w:highlight w:val="yellow"/>
        </w:rPr>
        <w:fldChar w:fldCharType="begin"/>
      </w:r>
      <w:r>
        <w:instrText xml:space="preserve"> REF _Ref67053689 \h </w:instrText>
      </w:r>
      <w:r>
        <w:rPr>
          <w:highlight w:val="yellow"/>
        </w:rPr>
      </w:r>
      <w:r>
        <w:rPr>
          <w:highlight w:val="yellow"/>
        </w:rPr>
        <w:fldChar w:fldCharType="separate"/>
      </w:r>
      <w:r w:rsidR="0041125F" w:rsidRPr="00F54F20">
        <w:t>Table </w:t>
      </w:r>
      <w:r w:rsidR="0041125F">
        <w:rPr>
          <w:noProof/>
        </w:rPr>
        <w:t>75</w:t>
      </w:r>
      <w:r>
        <w:rPr>
          <w:highlight w:val="yellow"/>
        </w:rPr>
        <w:fldChar w:fldCharType="end"/>
      </w:r>
      <w:r>
        <w:t xml:space="preserve"> </w:t>
      </w:r>
      <w:r w:rsidRPr="00B10E31">
        <w:t>are smaller than 300 m</w:t>
      </w:r>
      <w:r w:rsidR="00463610">
        <w:t xml:space="preserve"> (see </w:t>
      </w:r>
      <w:r w:rsidR="009D5FA2">
        <w:t>section</w:t>
      </w:r>
      <w:r w:rsidR="00463610">
        <w:t xml:space="preserve"> </w:t>
      </w:r>
      <w:r w:rsidR="00463610">
        <w:fldChar w:fldCharType="begin"/>
      </w:r>
      <w:r w:rsidR="00463610">
        <w:instrText xml:space="preserve"> REF _Ref67389691 \r \h </w:instrText>
      </w:r>
      <w:r w:rsidR="00463610">
        <w:fldChar w:fldCharType="separate"/>
      </w:r>
      <w:r w:rsidR="004F49F9">
        <w:t>5.5.2</w:t>
      </w:r>
      <w:r w:rsidR="00463610">
        <w:fldChar w:fldCharType="end"/>
      </w:r>
      <w:r w:rsidR="00463610">
        <w:t>)</w:t>
      </w:r>
      <w:r w:rsidRPr="00B10E31">
        <w:t>. Ther</w:t>
      </w:r>
      <w:r>
        <w:t>e</w:t>
      </w:r>
      <w:r w:rsidRPr="00B10E31">
        <w:t>fore, compatibility between LPR and FS can always be asserted for both scenarios and both investigated protection objectives</w:t>
      </w:r>
      <w:r>
        <w:t xml:space="preserve"> without the implementation of additional mitigation techniques</w:t>
      </w:r>
      <w:r w:rsidRPr="00B10E31">
        <w:t>.</w:t>
      </w:r>
    </w:p>
    <w:p w14:paraId="2D687E04" w14:textId="77777777" w:rsidR="00BD5A09" w:rsidRPr="00BD5A09" w:rsidRDefault="00BD5A09" w:rsidP="00BD5A09">
      <w:r w:rsidRPr="00BD5A09">
        <w:t xml:space="preserve">In order to </w:t>
      </w:r>
      <w:r>
        <w:t>restrict</w:t>
      </w:r>
      <w:r w:rsidRPr="00BD5A09">
        <w:t xml:space="preserve"> the interference in unwanted directions, e.g. over sidelobes of the antenna, </w:t>
      </w:r>
      <w:r>
        <w:t xml:space="preserve">a limitation of the </w:t>
      </w:r>
      <w:r w:rsidRPr="00BD5A09">
        <w:t xml:space="preserve">peak e.i.r.p. </w:t>
      </w:r>
      <w:r>
        <w:t xml:space="preserve">to 0 dBm is proposed </w:t>
      </w:r>
      <w:r w:rsidRPr="00BD5A09">
        <w:t>for elevations above 0°</w:t>
      </w:r>
      <w:r>
        <w:t>.</w:t>
      </w:r>
    </w:p>
    <w:p w14:paraId="1CB7249D" w14:textId="77777777" w:rsidR="003E5746" w:rsidRDefault="003E5746" w:rsidP="003E5746">
      <w:pPr>
        <w:pStyle w:val="Heading3"/>
      </w:pPr>
      <w:bookmarkStart w:id="922" w:name="_Ref67393265"/>
      <w:bookmarkStart w:id="923" w:name="_Toc84325475"/>
      <w:bookmarkStart w:id="924" w:name="_Toc127346397"/>
      <w:r w:rsidRPr="003E5746">
        <w:t>E</w:t>
      </w:r>
      <w:r>
        <w:t>arth Exploration Satellite Service</w:t>
      </w:r>
      <w:r w:rsidRPr="003E5746">
        <w:t xml:space="preserve"> (Passive)</w:t>
      </w:r>
      <w:bookmarkEnd w:id="922"/>
      <w:bookmarkEnd w:id="923"/>
      <w:bookmarkEnd w:id="924"/>
    </w:p>
    <w:p w14:paraId="3904679D" w14:textId="5F88EFFD" w:rsidR="002F0F7B" w:rsidRPr="004E19B2" w:rsidRDefault="00601DF6" w:rsidP="002F0F7B">
      <w:r>
        <w:t xml:space="preserve">For the frequency band 116 to 148.5 GHz under the assumed conditions illustrated in </w:t>
      </w:r>
      <w:r>
        <w:fldChar w:fldCharType="begin"/>
      </w:r>
      <w:r>
        <w:instrText xml:space="preserve"> REF _Ref67326784 \h </w:instrText>
      </w:r>
      <w:r>
        <w:fldChar w:fldCharType="separate"/>
      </w:r>
      <w:r w:rsidR="0041125F" w:rsidRPr="00477961">
        <w:t>Table </w:t>
      </w:r>
      <w:r w:rsidR="0041125F">
        <w:rPr>
          <w:noProof/>
        </w:rPr>
        <w:t>95</w:t>
      </w:r>
      <w:r>
        <w:fldChar w:fldCharType="end"/>
      </w:r>
      <w:r>
        <w:t xml:space="preserve"> </w:t>
      </w:r>
      <w:r w:rsidR="00B445C8">
        <w:t xml:space="preserve">in </w:t>
      </w:r>
      <w:r w:rsidR="009D5FA2">
        <w:t>section</w:t>
      </w:r>
      <w:r w:rsidR="00B445C8">
        <w:t xml:space="preserve"> </w:t>
      </w:r>
      <w:r w:rsidR="00B445C8">
        <w:fldChar w:fldCharType="begin"/>
      </w:r>
      <w:r w:rsidR="00B445C8">
        <w:instrText xml:space="preserve"> REF _Ref67390652 \r \h </w:instrText>
      </w:r>
      <w:r w:rsidR="00B445C8">
        <w:fldChar w:fldCharType="separate"/>
      </w:r>
      <w:r w:rsidR="004F49F9">
        <w:t>6.5.1</w:t>
      </w:r>
      <w:r w:rsidR="00B445C8">
        <w:fldChar w:fldCharType="end"/>
      </w:r>
      <w:r w:rsidR="002F0F7B">
        <w:t xml:space="preserve"> only a margin of 0</w:t>
      </w:r>
      <w:r w:rsidR="00CF4994">
        <w:t>.1</w:t>
      </w:r>
      <w:r w:rsidR="002F0F7B">
        <w:t xml:space="preserve"> dB to the protection criterion can be ensured for the single-entry case. However, for all other frequency bands and in particular for the aggregate consideration in all bands, ample margins to the interference criteria can be ensured without the implementation of additional mitigation techniques (see </w:t>
      </w:r>
      <w:r w:rsidR="009D5FA2">
        <w:t>section</w:t>
      </w:r>
      <w:r w:rsidR="00B445C8">
        <w:t xml:space="preserve"> </w:t>
      </w:r>
      <w:r w:rsidR="00B445C8">
        <w:fldChar w:fldCharType="begin"/>
      </w:r>
      <w:r w:rsidR="00B445C8">
        <w:instrText xml:space="preserve"> REF _Ref67390610 \r \h </w:instrText>
      </w:r>
      <w:r w:rsidR="00B445C8">
        <w:fldChar w:fldCharType="separate"/>
      </w:r>
      <w:r w:rsidR="004F49F9">
        <w:t>6.5.2</w:t>
      </w:r>
      <w:r w:rsidR="00B445C8">
        <w:fldChar w:fldCharType="end"/>
      </w:r>
      <w:r w:rsidR="002F0F7B">
        <w:t>).</w:t>
      </w:r>
    </w:p>
    <w:p w14:paraId="7907BDEF" w14:textId="77777777" w:rsidR="003E5746" w:rsidRPr="009C0EF6" w:rsidRDefault="003E5746" w:rsidP="003E5746">
      <w:pPr>
        <w:pStyle w:val="Heading3"/>
      </w:pPr>
      <w:bookmarkStart w:id="925" w:name="_Ref67393684"/>
      <w:bookmarkStart w:id="926" w:name="_Toc84325476"/>
      <w:bookmarkStart w:id="927" w:name="_Toc127346398"/>
      <w:r>
        <w:t>Amateur Service</w:t>
      </w:r>
      <w:bookmarkEnd w:id="925"/>
      <w:bookmarkEnd w:id="926"/>
      <w:bookmarkEnd w:id="927"/>
    </w:p>
    <w:p w14:paraId="390E7A1A" w14:textId="77777777" w:rsidR="008B7A9F" w:rsidRDefault="008B7A9F" w:rsidP="008B7A9F">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7B6F1015" w14:textId="27B96DA3" w:rsidR="008B7A9F" w:rsidRPr="00B10E31" w:rsidRDefault="00D77369" w:rsidP="008B7A9F">
      <w:r>
        <w:t xml:space="preserve">The results illustrated </w:t>
      </w:r>
      <w:r w:rsidR="008B54C1">
        <w:t xml:space="preserve">in </w:t>
      </w:r>
      <w:r>
        <w:fldChar w:fldCharType="begin"/>
      </w:r>
      <w:r>
        <w:instrText xml:space="preserve"> REF _Ref67243400 \h </w:instrText>
      </w:r>
      <w:r>
        <w:fldChar w:fldCharType="separate"/>
      </w:r>
      <w:r w:rsidR="0041125F" w:rsidRPr="00477961">
        <w:t>Table </w:t>
      </w:r>
      <w:r w:rsidR="0041125F">
        <w:rPr>
          <w:noProof/>
        </w:rPr>
        <w:t>117</w:t>
      </w:r>
      <w:r>
        <w:fldChar w:fldCharType="end"/>
      </w:r>
      <w:r>
        <w:t xml:space="preserve"> </w:t>
      </w:r>
      <w:r w:rsidR="008B7A9F">
        <w:t>suggest that</w:t>
      </w:r>
      <w:r w:rsidR="008B7A9F" w:rsidRPr="00B10E31">
        <w:t xml:space="preserve"> compatibility between </w:t>
      </w:r>
      <w:r w:rsidR="008B7A9F">
        <w:t>LPR</w:t>
      </w:r>
      <w:r w:rsidR="008B7A9F" w:rsidRPr="00B10E31">
        <w:t xml:space="preserve"> and </w:t>
      </w:r>
      <w:r w:rsidR="008B7A9F">
        <w:t>Amateur</w:t>
      </w:r>
      <w:r w:rsidR="008B7A9F" w:rsidRPr="00B10E31">
        <w:t xml:space="preserve"> can be asserted </w:t>
      </w:r>
      <w:r w:rsidR="008B7A9F">
        <w:t>in</w:t>
      </w:r>
      <w:r w:rsidR="008B7A9F" w:rsidRPr="00B10E31">
        <w:t xml:space="preserve"> </w:t>
      </w:r>
      <w:r w:rsidR="008B7A9F">
        <w:t xml:space="preserve">all investigated frequency bands </w:t>
      </w:r>
      <w:r w:rsidR="008B7A9F" w:rsidRPr="0043593A">
        <w:rPr>
          <w:rStyle w:val="ECCParagraph"/>
        </w:rPr>
        <w:t>without the implementation of additional mitigation techniques</w:t>
      </w:r>
      <w:r>
        <w:rPr>
          <w:rStyle w:val="ECCParagraph"/>
        </w:rPr>
        <w:t xml:space="preserve"> (see </w:t>
      </w:r>
      <w:r w:rsidR="009D5FA2">
        <w:t>section</w:t>
      </w:r>
      <w:r>
        <w:t xml:space="preserve"> </w:t>
      </w:r>
      <w:r>
        <w:fldChar w:fldCharType="begin"/>
      </w:r>
      <w:r>
        <w:instrText xml:space="preserve"> REF _Ref67346998 \r \h </w:instrText>
      </w:r>
      <w:r>
        <w:fldChar w:fldCharType="separate"/>
      </w:r>
      <w:r w:rsidR="004F49F9">
        <w:t>7.5.2</w:t>
      </w:r>
      <w:r>
        <w:fldChar w:fldCharType="end"/>
      </w:r>
      <w:r>
        <w:t>)</w:t>
      </w:r>
      <w:r w:rsidR="008B7A9F">
        <w:rPr>
          <w:rStyle w:val="ECCParagraph"/>
        </w:rPr>
        <w:t>.</w:t>
      </w:r>
    </w:p>
    <w:p w14:paraId="6EC8F142" w14:textId="77777777" w:rsidR="009C0EF6" w:rsidRPr="009C0EF6" w:rsidRDefault="009C0EF6" w:rsidP="009C0EF6">
      <w:pPr>
        <w:pStyle w:val="Heading2"/>
        <w:rPr>
          <w:lang w:val="en-GB"/>
        </w:rPr>
      </w:pPr>
      <w:bookmarkStart w:id="928" w:name="_Toc84325477"/>
      <w:bookmarkStart w:id="929" w:name="_Toc127346399"/>
      <w:r w:rsidRPr="009C0EF6">
        <w:rPr>
          <w:lang w:val="en-GB"/>
        </w:rPr>
        <w:t>Contour determination and acquisition (CDR)</w:t>
      </w:r>
      <w:bookmarkEnd w:id="928"/>
      <w:bookmarkEnd w:id="929"/>
    </w:p>
    <w:p w14:paraId="2DDC6617" w14:textId="77777777" w:rsidR="002E1170" w:rsidRPr="002E1170" w:rsidRDefault="002E1170" w:rsidP="002E1170">
      <w:pPr>
        <w:pStyle w:val="Heading3"/>
        <w:rPr>
          <w:rFonts w:eastAsia="Calibri"/>
        </w:rPr>
      </w:pPr>
      <w:bookmarkStart w:id="930" w:name="_Toc84325478"/>
      <w:bookmarkStart w:id="931" w:name="_Toc127346400"/>
      <w:r w:rsidRPr="002E1170">
        <w:rPr>
          <w:rFonts w:eastAsia="Calibri"/>
        </w:rPr>
        <w:t>Summary</w:t>
      </w:r>
      <w:bookmarkEnd w:id="930"/>
      <w:bookmarkEnd w:id="931"/>
    </w:p>
    <w:p w14:paraId="7B455698" w14:textId="77777777" w:rsidR="00030ACB" w:rsidRDefault="00030ACB" w:rsidP="00030ACB">
      <w:pPr>
        <w:rPr>
          <w:rStyle w:val="ECCParagraph"/>
        </w:rPr>
      </w:pPr>
      <w:r>
        <w:t xml:space="preserve">For CDR the candidate frequency bands </w:t>
      </w:r>
      <w:r w:rsidRPr="00300D7E">
        <w:rPr>
          <w:rStyle w:val="ECCParagraph"/>
        </w:rPr>
        <w:t>116 to 1</w:t>
      </w:r>
      <w:r>
        <w:rPr>
          <w:rStyle w:val="ECCParagraph"/>
        </w:rPr>
        <w:t>48</w:t>
      </w:r>
      <w:r w:rsidR="00CF4994">
        <w:rPr>
          <w:rStyle w:val="ECCParagraph"/>
        </w:rPr>
        <w:t>.5</w:t>
      </w:r>
      <w:r w:rsidRPr="00300D7E">
        <w:rPr>
          <w:rStyle w:val="ECCParagraph"/>
        </w:rPr>
        <w:t> GHz</w:t>
      </w:r>
      <w:r>
        <w:rPr>
          <w:rStyle w:val="ECCParagraph"/>
        </w:rPr>
        <w:t xml:space="preserve">, </w:t>
      </w:r>
      <w:r w:rsidRPr="00300D7E">
        <w:rPr>
          <w:rStyle w:val="ECCParagraph"/>
        </w:rPr>
        <w:t>1</w:t>
      </w:r>
      <w:r>
        <w:rPr>
          <w:rStyle w:val="ECCParagraph"/>
        </w:rPr>
        <w:t>67</w:t>
      </w:r>
      <w:r w:rsidRPr="00300D7E">
        <w:rPr>
          <w:rStyle w:val="ECCParagraph"/>
        </w:rPr>
        <w:t xml:space="preserve"> to 182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for both categories of CDR devices, DBF-CDR and M- and PA-CDR. </w:t>
      </w:r>
      <w:r>
        <w:t>It turned out that in all three frequency ranges compatibility between both CDR categories and all investigated Radio Services can be ensured.</w:t>
      </w:r>
    </w:p>
    <w:p w14:paraId="2E18080C" w14:textId="77777777" w:rsidR="00030ACB" w:rsidRDefault="00030ACB" w:rsidP="00030ACB">
      <w:pPr>
        <w:rPr>
          <w:rStyle w:val="ECCParagraph"/>
        </w:rPr>
      </w:pPr>
      <w:r>
        <w:rPr>
          <w:rStyle w:val="ECCParagraph"/>
        </w:rPr>
        <w:t>The following protection requirements have been assumed:</w:t>
      </w:r>
    </w:p>
    <w:p w14:paraId="6AF96D87" w14:textId="77777777" w:rsidR="00030ACB" w:rsidRDefault="00030ACB" w:rsidP="00030ACB">
      <w:pPr>
        <w:pStyle w:val="ECCBulletsLv1"/>
        <w:rPr>
          <w:rStyle w:val="ECCParagraph"/>
        </w:rPr>
      </w:pPr>
      <w:r>
        <w:rPr>
          <w:rStyle w:val="ECCParagraph"/>
        </w:rPr>
        <w:t>Radio Astronomy: Separation distance smaller than 20 km</w:t>
      </w:r>
    </w:p>
    <w:p w14:paraId="7DEBC495" w14:textId="77777777" w:rsidR="00030ACB" w:rsidRDefault="00030ACB" w:rsidP="00030ACB">
      <w:pPr>
        <w:pStyle w:val="ECCBulletsLv1"/>
        <w:rPr>
          <w:rStyle w:val="ECCParagraph"/>
        </w:rPr>
      </w:pPr>
      <w:r>
        <w:rPr>
          <w:rStyle w:val="ECCParagraph"/>
        </w:rPr>
        <w:t>Fixed Service and Amateur Service: Separation distance smaller than 300 m</w:t>
      </w:r>
    </w:p>
    <w:p w14:paraId="58E181BD" w14:textId="11D3D80B" w:rsidR="00030ACB" w:rsidRDefault="00030ACB" w:rsidP="00030ACB">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5E3B0201" w14:textId="77777777" w:rsidR="00030ACB" w:rsidRPr="00BB41AD" w:rsidRDefault="00030ACB" w:rsidP="00030ACB">
      <w:pPr>
        <w:rPr>
          <w:rStyle w:val="ECCParagraph"/>
        </w:rPr>
      </w:pPr>
      <w:r w:rsidRPr="00BB41AD">
        <w:rPr>
          <w:rStyle w:val="ECCParagraph"/>
        </w:rPr>
        <w:t xml:space="preserve">All </w:t>
      </w:r>
      <w:r>
        <w:t>contour determination and acquisition</w:t>
      </w:r>
      <w:r w:rsidRPr="00BB41AD">
        <w:rPr>
          <w:rStyle w:val="ECCParagraph"/>
        </w:rPr>
        <w:t xml:space="preserve"> sensors </w:t>
      </w:r>
      <w:r>
        <w:rPr>
          <w:rStyle w:val="ECCParagraph"/>
        </w:rPr>
        <w:t>should</w:t>
      </w:r>
      <w:r w:rsidRPr="00BB41AD">
        <w:rPr>
          <w:rStyle w:val="ECCParagraph"/>
        </w:rPr>
        <w:t xml:space="preserve"> </w:t>
      </w:r>
      <w:r>
        <w:rPr>
          <w:rStyle w:val="ECCParagraph"/>
        </w:rPr>
        <w:t xml:space="preserve">furthermore </w:t>
      </w:r>
      <w:r w:rsidRPr="00BB41AD">
        <w:rPr>
          <w:rStyle w:val="ECCParagraph"/>
        </w:rPr>
        <w:t xml:space="preserve">comply with the following </w:t>
      </w:r>
      <w:r>
        <w:rPr>
          <w:rStyle w:val="ECCParagraph"/>
        </w:rPr>
        <w:t>(</w:t>
      </w:r>
      <w:r w:rsidRPr="00BB41AD">
        <w:rPr>
          <w:rStyle w:val="ECCParagraph"/>
        </w:rPr>
        <w:t>installation</w:t>
      </w:r>
      <w:r>
        <w:rPr>
          <w:rStyle w:val="ECCParagraph"/>
        </w:rPr>
        <w:t>)</w:t>
      </w:r>
      <w:r w:rsidRPr="00BB41AD">
        <w:rPr>
          <w:rStyle w:val="ECCParagraph"/>
        </w:rPr>
        <w:t xml:space="preserve"> requirements:</w:t>
      </w:r>
    </w:p>
    <w:p w14:paraId="18C8D21B" w14:textId="77777777" w:rsidR="00030ACB" w:rsidRPr="00BB41AD" w:rsidRDefault="00030ACB" w:rsidP="00030ACB">
      <w:pPr>
        <w:pStyle w:val="ECCBulletsLv1"/>
        <w:rPr>
          <w:rStyle w:val="ECCParagraph"/>
        </w:rPr>
      </w:pPr>
      <w:r w:rsidRPr="00BB41AD">
        <w:rPr>
          <w:rStyle w:val="ECCParagraph"/>
        </w:rPr>
        <w:t>The operation of CDR sensors is envisaged for industrial purposes only.</w:t>
      </w:r>
    </w:p>
    <w:p w14:paraId="6B31254E" w14:textId="77777777" w:rsidR="00030ACB" w:rsidRPr="00BB41AD" w:rsidRDefault="00030ACB" w:rsidP="00030ACB">
      <w:pPr>
        <w:pStyle w:val="ECCBulletsLv1"/>
      </w:pPr>
      <w:r w:rsidRPr="00BB41AD">
        <w:t>Installation and maintenance of CDR equipment shall be performed by professionally trained individuals only.</w:t>
      </w:r>
    </w:p>
    <w:p w14:paraId="577116D3" w14:textId="77777777" w:rsidR="00030ACB" w:rsidRPr="00BB41AD" w:rsidRDefault="00030ACB" w:rsidP="00030ACB">
      <w:pPr>
        <w:pStyle w:val="ECCBulletsLv1"/>
      </w:pPr>
      <w:r w:rsidRPr="00BB41AD">
        <w:t>CDR equipment shall not be marketed to private end customers.</w:t>
      </w:r>
    </w:p>
    <w:p w14:paraId="28856F4D" w14:textId="77777777" w:rsidR="00030ACB" w:rsidRPr="00BB41AD" w:rsidRDefault="00030ACB" w:rsidP="00030ACB">
      <w:pPr>
        <w:pStyle w:val="ECCBulletsLv1"/>
      </w:pPr>
      <w:r w:rsidRPr="00BB41AD">
        <w:t>CDR equipment is required to be installed at a permanent fixed position. The equipment shall not operate while being moved.</w:t>
      </w:r>
    </w:p>
    <w:p w14:paraId="220B9DDD" w14:textId="1EC8B6B9" w:rsidR="00030ACB" w:rsidRPr="00BB41AD" w:rsidRDefault="00030ACB" w:rsidP="00030ACB">
      <w:pPr>
        <w:pStyle w:val="ECCBulletsLv1"/>
      </w:pPr>
      <w:r w:rsidRPr="001B2D17">
        <w:t>Installers have to ensure that there are no unwanted obstacles in the main beam of the antenna in order to mini</w:t>
      </w:r>
      <w:r w:rsidR="001D7996">
        <w:t>mise</w:t>
      </w:r>
      <w:r w:rsidRPr="001B2D17">
        <w:t xml:space="preserve"> unintentional reflections and scattering.</w:t>
      </w:r>
    </w:p>
    <w:p w14:paraId="32B3E64D" w14:textId="6EB8AD3E" w:rsidR="00030ACB" w:rsidRPr="00BB41AD" w:rsidRDefault="00030ACB" w:rsidP="00030ACB">
      <w:pPr>
        <w:pStyle w:val="ECCBulletsLv1"/>
        <w:rPr>
          <w:rStyle w:val="ECCParagraph"/>
        </w:rPr>
      </w:pPr>
      <w:r w:rsidRPr="00BB41AD">
        <w:rPr>
          <w:rStyle w:val="ECCParagraph"/>
        </w:rPr>
        <w:t>In order to protect the Radio Astronomy Service, inside a radius of 20 km around the stations of NOEMA and IRAM</w:t>
      </w:r>
      <w:r w:rsidR="007A20F2">
        <w:rPr>
          <w:rStyle w:val="ECCParagraph"/>
        </w:rPr>
        <w:t xml:space="preserve"> </w:t>
      </w:r>
      <w:r w:rsidRPr="00BB41AD">
        <w:rPr>
          <w:rStyle w:val="ECCParagraph"/>
        </w:rPr>
        <w:t xml:space="preserve">30 m, the installation and operation of CDR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p>
    <w:p w14:paraId="3A96E899" w14:textId="77777777" w:rsidR="00030ACB" w:rsidRPr="00030ACB" w:rsidRDefault="00030ACB" w:rsidP="00030ACB">
      <w:pPr>
        <w:pStyle w:val="ECCBulletsLv1"/>
      </w:pPr>
      <w:r w:rsidRPr="00BB41AD">
        <w:t>The provider is required to inform the users and installers of CDR equipment about the installation requirements and the additional special mounting instructions.</w:t>
      </w:r>
    </w:p>
    <w:p w14:paraId="4A65FA24" w14:textId="77777777" w:rsidR="00030ACB" w:rsidRPr="00654096" w:rsidRDefault="00030ACB" w:rsidP="00030ACB">
      <w:r w:rsidRPr="00654096">
        <w:t>In addition, the following antenna requirement is proposed:</w:t>
      </w:r>
    </w:p>
    <w:p w14:paraId="453A18A3" w14:textId="77777777" w:rsidR="00030ACB" w:rsidRPr="00654096" w:rsidRDefault="00030ACB" w:rsidP="00030ACB">
      <w:pPr>
        <w:pStyle w:val="ECCBulletsLv1"/>
      </w:pPr>
      <w:r w:rsidRPr="00654096">
        <w:t xml:space="preserve">For </w:t>
      </w:r>
      <w:r>
        <w:t>CDR</w:t>
      </w:r>
      <w:r w:rsidRPr="00654096">
        <w:t xml:space="preserve"> devices using an antenna gain smaller than 20 dBi, the maximum conducted peak output power shall be limited to 15 dBm.</w:t>
      </w:r>
    </w:p>
    <w:p w14:paraId="60CFEBB8" w14:textId="77777777" w:rsidR="00030ACB" w:rsidRPr="001B2D17" w:rsidRDefault="00030ACB" w:rsidP="00030ACB">
      <w:r w:rsidRPr="001B2D17">
        <w:t xml:space="preserve">In addition to the installation </w:t>
      </w:r>
      <w:r>
        <w:t xml:space="preserve">and antenna </w:t>
      </w:r>
      <w:r w:rsidRPr="001B2D17">
        <w:t xml:space="preserve">requirements </w:t>
      </w:r>
      <w:r w:rsidR="00A011FC">
        <w:t>above</w:t>
      </w:r>
      <w:r>
        <w:t>,</w:t>
      </w:r>
      <w:r w:rsidRPr="001B2D17">
        <w:t xml:space="preserve"> </w:t>
      </w:r>
      <w:r>
        <w:t xml:space="preserve">applicable to all CDRs, </w:t>
      </w:r>
      <w:r w:rsidRPr="001B2D17">
        <w:t xml:space="preserve">the following condition </w:t>
      </w:r>
      <w:r>
        <w:t>is proposed to</w:t>
      </w:r>
      <w:r w:rsidRPr="001B2D17">
        <w:t xml:space="preserve"> be met </w:t>
      </w:r>
      <w:r>
        <w:t xml:space="preserve">only </w:t>
      </w:r>
      <w:r w:rsidRPr="001B2D17">
        <w:t>for the subclass of DBF-CDR</w:t>
      </w:r>
      <w:r w:rsidR="00A011FC">
        <w:t>:</w:t>
      </w:r>
    </w:p>
    <w:p w14:paraId="2392EF20" w14:textId="77777777" w:rsidR="00030ACB" w:rsidRPr="00BB41AD" w:rsidRDefault="00030ACB" w:rsidP="00030ACB">
      <w:pPr>
        <w:pStyle w:val="ECCBulletsLv1"/>
      </w:pPr>
      <w:r w:rsidRPr="00BB41AD">
        <w:t>DBF-CDRs are required to be pointing vertically downwards towards the ground.</w:t>
      </w:r>
    </w:p>
    <w:p w14:paraId="56EC6D13" w14:textId="5414781F" w:rsidR="00A011FC" w:rsidRDefault="00A011FC" w:rsidP="00A011FC">
      <w:r w:rsidRPr="001B2D17">
        <w:t xml:space="preserve">In addition to the installation </w:t>
      </w:r>
      <w:r>
        <w:t xml:space="preserve">and antenna </w:t>
      </w:r>
      <w:r w:rsidRPr="001B2D17">
        <w:t xml:space="preserve">requirements </w:t>
      </w:r>
      <w:r>
        <w:t>above,</w:t>
      </w:r>
      <w:r w:rsidRPr="001B2D17">
        <w:t xml:space="preserve"> </w:t>
      </w:r>
      <w:r>
        <w:t xml:space="preserve">applicable to all CDRs, </w:t>
      </w:r>
      <w:r w:rsidRPr="001B2D17">
        <w:t>the following condition</w:t>
      </w:r>
      <w:r>
        <w:t>s</w:t>
      </w:r>
      <w:r w:rsidRPr="001B2D17">
        <w:t xml:space="preserve"> </w:t>
      </w:r>
      <w:r>
        <w:t xml:space="preserve">are proposed to </w:t>
      </w:r>
      <w:r w:rsidRPr="001B2D17">
        <w:t xml:space="preserve">be met </w:t>
      </w:r>
      <w:r>
        <w:t xml:space="preserve">only </w:t>
      </w:r>
      <w:r w:rsidRPr="001B2D17">
        <w:t xml:space="preserve">for the subclass of </w:t>
      </w:r>
      <w:r w:rsidR="00F800A2">
        <w:t>M-CDRs and PA-CDRs</w:t>
      </w:r>
      <w:r>
        <w:t>:</w:t>
      </w:r>
    </w:p>
    <w:p w14:paraId="4721528F" w14:textId="30510CC3" w:rsidR="00A011FC" w:rsidRDefault="00F800A2" w:rsidP="00A011FC">
      <w:pPr>
        <w:pStyle w:val="ECCBulletsLv1"/>
        <w:rPr>
          <w:rStyle w:val="ECCParagraph"/>
        </w:rPr>
      </w:pPr>
      <w:r>
        <w:rPr>
          <w:rStyle w:val="ECCParagraph"/>
        </w:rPr>
        <w:t>M-CDRs and PA-CDRs</w:t>
      </w:r>
      <w:r w:rsidR="00A011FC" w:rsidRPr="00BB41AD">
        <w:rPr>
          <w:rStyle w:val="ECCParagraph"/>
        </w:rPr>
        <w:t xml:space="preserve"> shall have a permanent spatially scanning behaviour of the antenna main beam direction at any time during operation</w:t>
      </w:r>
      <w:r w:rsidR="00A011FC">
        <w:rPr>
          <w:rStyle w:val="ECCParagraph"/>
        </w:rPr>
        <w:t>.</w:t>
      </w:r>
    </w:p>
    <w:p w14:paraId="64691DED" w14:textId="77777777" w:rsidR="00A011FC" w:rsidRDefault="00A011FC" w:rsidP="00A011FC">
      <w:pPr>
        <w:pStyle w:val="ECCBulletsLv1"/>
        <w:rPr>
          <w:rStyle w:val="ECCParagraph"/>
        </w:rPr>
      </w:pPr>
      <w:r w:rsidRPr="00BB41AD">
        <w:rPr>
          <w:rStyle w:val="ECCParagraph"/>
        </w:rPr>
        <w:t>The maximum tilting angle of the antenna main beam direction in relation to the vertical axis towards the ground shall never exceed 60°.</w:t>
      </w:r>
    </w:p>
    <w:p w14:paraId="2FADEF1B" w14:textId="77777777" w:rsidR="00D71CFA" w:rsidRPr="00D71CFA" w:rsidRDefault="004D2163" w:rsidP="00D71CFA">
      <w:pPr>
        <w:pStyle w:val="ECCBulletsLv1"/>
      </w:pPr>
      <w:r>
        <w:t>T</w:t>
      </w:r>
      <w:r w:rsidR="00D71CFA" w:rsidRPr="00D71CFA">
        <w:t>he peak e.i.r.p. for elevations above 0° shall be limited to 0</w:t>
      </w:r>
      <w:r>
        <w:t> </w:t>
      </w:r>
      <w:r w:rsidR="00D71CFA" w:rsidRPr="00D71CFA">
        <w:t>dBm.</w:t>
      </w:r>
    </w:p>
    <w:p w14:paraId="3EBAA8C3" w14:textId="77777777" w:rsidR="002E1170" w:rsidRDefault="002E1170" w:rsidP="002E1170">
      <w:pPr>
        <w:pStyle w:val="Heading3"/>
      </w:pPr>
      <w:bookmarkStart w:id="932" w:name="_Ref67392489"/>
      <w:bookmarkStart w:id="933" w:name="_Toc84325479"/>
      <w:bookmarkStart w:id="934" w:name="_Toc127346401"/>
      <w:r>
        <w:t>Radio Astronomy</w:t>
      </w:r>
      <w:bookmarkEnd w:id="932"/>
      <w:bookmarkEnd w:id="933"/>
      <w:bookmarkEnd w:id="934"/>
    </w:p>
    <w:p w14:paraId="19E92565" w14:textId="5F3EF3FC" w:rsidR="00806F39" w:rsidRPr="0043593A" w:rsidRDefault="00806F39" w:rsidP="00806F39">
      <w:pPr>
        <w:rPr>
          <w:rStyle w:val="ECCParagraph"/>
        </w:rPr>
      </w:pPr>
      <w:r w:rsidRPr="0043593A">
        <w:rPr>
          <w:rStyle w:val="ECCParagraph"/>
        </w:rPr>
        <w:t>For the frequency bands 116 GHz to 148</w:t>
      </w:r>
      <w:r w:rsidR="00CF4994">
        <w:rPr>
          <w:rStyle w:val="ECCParagraph"/>
        </w:rPr>
        <w:t>.5</w:t>
      </w:r>
      <w:r w:rsidRPr="0043593A">
        <w:rPr>
          <w:rStyle w:val="ECCParagraph"/>
        </w:rPr>
        <w:t> GHz, 167 GHz to 182 GHz and 231</w:t>
      </w:r>
      <w:r w:rsidR="00CF4994">
        <w:rPr>
          <w:rStyle w:val="ECCParagraph"/>
        </w:rPr>
        <w:t>.5</w:t>
      </w:r>
      <w:r w:rsidRPr="0043593A">
        <w:rPr>
          <w:rStyle w:val="ECCParagraph"/>
        </w:rPr>
        <w:t> GHz to 250 GHz compatibility can be ensured between both CDR systems and RAS when separation distances of 19</w:t>
      </w:r>
      <w:r w:rsidR="00CF4994">
        <w:rPr>
          <w:rStyle w:val="ECCParagraph"/>
        </w:rPr>
        <w:t>.9</w:t>
      </w:r>
      <w:r w:rsidRPr="0043593A">
        <w:rPr>
          <w:rStyle w:val="ECCParagraph"/>
        </w:rPr>
        <w:t> km, 18</w:t>
      </w:r>
      <w:r w:rsidR="00CF4994">
        <w:rPr>
          <w:rStyle w:val="ECCParagraph"/>
        </w:rPr>
        <w:t>.3</w:t>
      </w:r>
      <w:r w:rsidRPr="0043593A">
        <w:rPr>
          <w:rStyle w:val="ECCParagraph"/>
        </w:rPr>
        <w:t> km and 19</w:t>
      </w:r>
      <w:r w:rsidR="00CF4994">
        <w:rPr>
          <w:rStyle w:val="ECCParagraph"/>
        </w:rPr>
        <w:t>.3</w:t>
      </w:r>
      <w:r w:rsidRPr="0043593A">
        <w:rPr>
          <w:rStyle w:val="ECCParagraph"/>
        </w:rPr>
        <w:t> km, respectively, are respected without the implementation of additional mitigation techniques</w:t>
      </w:r>
      <w:r>
        <w:rPr>
          <w:rStyle w:val="ECCParagraph"/>
        </w:rPr>
        <w:t xml:space="preserve"> (</w:t>
      </w:r>
      <w:r>
        <w:t xml:space="preserve">see </w:t>
      </w:r>
      <w:r w:rsidR="009D5FA2">
        <w:t>section</w:t>
      </w:r>
      <w:r>
        <w:t xml:space="preserve"> </w:t>
      </w:r>
      <w:r>
        <w:fldChar w:fldCharType="begin"/>
      </w:r>
      <w:r>
        <w:instrText xml:space="preserve"> REF _Ref67346187 \r \h </w:instrText>
      </w:r>
      <w:r>
        <w:fldChar w:fldCharType="separate"/>
      </w:r>
      <w:r w:rsidR="004F49F9">
        <w:t>4.6.2</w:t>
      </w:r>
      <w:r>
        <w:fldChar w:fldCharType="end"/>
      </w:r>
      <w:r>
        <w:rPr>
          <w:rStyle w:val="ECCParagraph"/>
        </w:rPr>
        <w:t>).</w:t>
      </w:r>
    </w:p>
    <w:p w14:paraId="204C6464" w14:textId="77777777" w:rsidR="002E1170" w:rsidRDefault="002E1170" w:rsidP="002E1170">
      <w:pPr>
        <w:pStyle w:val="Heading3"/>
      </w:pPr>
      <w:bookmarkStart w:id="935" w:name="_Ref67393008"/>
      <w:bookmarkStart w:id="936" w:name="_Toc84325480"/>
      <w:bookmarkStart w:id="937" w:name="_Toc127346402"/>
      <w:r>
        <w:t>Fixed Service</w:t>
      </w:r>
      <w:bookmarkEnd w:id="935"/>
      <w:bookmarkEnd w:id="936"/>
      <w:bookmarkEnd w:id="937"/>
    </w:p>
    <w:p w14:paraId="2DB41BDB" w14:textId="19FD8D99" w:rsidR="00C520C7" w:rsidRPr="00B10E31" w:rsidRDefault="00C520C7" w:rsidP="00C520C7">
      <w:r w:rsidRPr="00B10E31">
        <w:t xml:space="preserve">For evaluating the compatibility between DBF-CDR and FS the same two worst-case interference scenarios as for LPR (see </w:t>
      </w:r>
      <w:r>
        <w:rPr>
          <w:highlight w:val="yellow"/>
        </w:rPr>
        <w:fldChar w:fldCharType="begin"/>
      </w:r>
      <w:r>
        <w:instrText xml:space="preserve"> REF _Ref44407438 \h </w:instrText>
      </w:r>
      <w:r>
        <w:rPr>
          <w:highlight w:val="yellow"/>
        </w:rPr>
      </w:r>
      <w:r>
        <w:rPr>
          <w:highlight w:val="yellow"/>
        </w:rPr>
        <w:fldChar w:fldCharType="separate"/>
      </w:r>
      <w:r w:rsidR="004F49F9">
        <w:t xml:space="preserve">Figure </w:t>
      </w:r>
      <w:r w:rsidR="004F49F9">
        <w:rPr>
          <w:noProof/>
        </w:rPr>
        <w:t>38</w:t>
      </w:r>
      <w:r>
        <w:rPr>
          <w:highlight w:val="yellow"/>
        </w:rPr>
        <w:fldChar w:fldCharType="end"/>
      </w:r>
      <w:r>
        <w:t xml:space="preserve"> </w:t>
      </w:r>
      <w:r w:rsidRPr="00B10E31">
        <w:t xml:space="preserve">and </w:t>
      </w:r>
      <w:r>
        <w:rPr>
          <w:highlight w:val="yellow"/>
        </w:rPr>
        <w:fldChar w:fldCharType="begin"/>
      </w:r>
      <w:r>
        <w:instrText xml:space="preserve"> REF _Ref44407491 \h </w:instrText>
      </w:r>
      <w:r>
        <w:rPr>
          <w:highlight w:val="yellow"/>
        </w:rPr>
      </w:r>
      <w:r>
        <w:rPr>
          <w:highlight w:val="yellow"/>
        </w:rPr>
        <w:fldChar w:fldCharType="separate"/>
      </w:r>
      <w:r w:rsidR="004F49F9">
        <w:t xml:space="preserve">Figure </w:t>
      </w:r>
      <w:r w:rsidR="004F49F9">
        <w:rPr>
          <w:noProof/>
        </w:rPr>
        <w:t>39</w:t>
      </w:r>
      <w:r>
        <w:rPr>
          <w:highlight w:val="yellow"/>
        </w:rPr>
        <w:fldChar w:fldCharType="end"/>
      </w:r>
      <w:r w:rsidRPr="00B10E31">
        <w:t xml:space="preserve">) have been used (see </w:t>
      </w:r>
      <w:r w:rsidR="009D5FA2">
        <w:t>section</w:t>
      </w:r>
      <w:r w:rsidRPr="00B10E31">
        <w:t xml:space="preserve"> </w:t>
      </w:r>
      <w:r w:rsidRPr="00C50600">
        <w:rPr>
          <w:highlight w:val="yellow"/>
        </w:rPr>
        <w:fldChar w:fldCharType="begin"/>
      </w:r>
      <w:r w:rsidRPr="00C50600">
        <w:instrText xml:space="preserve"> REF _Ref36548155 \r \h </w:instrText>
      </w:r>
      <w:r w:rsidRPr="00C50600">
        <w:rPr>
          <w:highlight w:val="yellow"/>
        </w:rPr>
      </w:r>
      <w:r w:rsidRPr="00C50600">
        <w:rPr>
          <w:highlight w:val="yellow"/>
        </w:rPr>
        <w:fldChar w:fldCharType="separate"/>
      </w:r>
      <w:r w:rsidR="004F49F9">
        <w:t>2.2.5.6</w:t>
      </w:r>
      <w:r w:rsidRPr="00C50600">
        <w:rPr>
          <w:highlight w:val="yellow"/>
        </w:rPr>
        <w:fldChar w:fldCharType="end"/>
      </w:r>
      <w:r w:rsidRPr="00B10E31">
        <w:t xml:space="preserve">). In both scenarios it is valid that separation distances smaller than 300 m result in compatibility between DBF-CDR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_Ref67056757 \r \h </w:instrText>
      </w:r>
      <w:r>
        <w:rPr>
          <w:highlight w:val="yellow"/>
        </w:rPr>
      </w:r>
      <w:r>
        <w:rPr>
          <w:highlight w:val="yellow"/>
        </w:rPr>
        <w:fldChar w:fldCharType="separate"/>
      </w:r>
      <w:r w:rsidR="004F49F9">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719D7DFE" w14:textId="01D710A6" w:rsidR="00C520C7" w:rsidRPr="00B10E31" w:rsidRDefault="00C520C7" w:rsidP="00C520C7">
      <w:r w:rsidRPr="00B10E31">
        <w:t xml:space="preserve">All calculated separation distances for DBF-CDR in </w:t>
      </w:r>
      <w:r>
        <w:rPr>
          <w:highlight w:val="yellow"/>
        </w:rPr>
        <w:fldChar w:fldCharType="begin"/>
      </w:r>
      <w:r>
        <w:instrText xml:space="preserve"> REF _Ref67056578 \h </w:instrText>
      </w:r>
      <w:r>
        <w:rPr>
          <w:highlight w:val="yellow"/>
        </w:rPr>
      </w:r>
      <w:r>
        <w:rPr>
          <w:highlight w:val="yellow"/>
        </w:rPr>
        <w:fldChar w:fldCharType="separate"/>
      </w:r>
      <w:r w:rsidR="0041125F" w:rsidRPr="00C50600">
        <w:t>Table </w:t>
      </w:r>
      <w:r w:rsidR="0041125F">
        <w:rPr>
          <w:noProof/>
        </w:rPr>
        <w:t>77</w:t>
      </w:r>
      <w:r>
        <w:rPr>
          <w:highlight w:val="yellow"/>
        </w:rPr>
        <w:fldChar w:fldCharType="end"/>
      </w:r>
      <w:r>
        <w:t xml:space="preserve"> </w:t>
      </w:r>
      <w:r w:rsidRPr="00B10E31">
        <w:t>are smaller than 300 m</w:t>
      </w:r>
      <w:r>
        <w:t xml:space="preserve"> (see </w:t>
      </w:r>
      <w:r w:rsidR="009D5FA2">
        <w:t>section</w:t>
      </w:r>
      <w:r>
        <w:t xml:space="preserve"> </w:t>
      </w:r>
      <w:r>
        <w:fldChar w:fldCharType="begin"/>
      </w:r>
      <w:r>
        <w:instrText xml:space="preserve"> REF _Ref67387057 \r \h </w:instrText>
      </w:r>
      <w:r>
        <w:fldChar w:fldCharType="separate"/>
      </w:r>
      <w:r w:rsidR="004F49F9">
        <w:t>5.6.2</w:t>
      </w:r>
      <w:r>
        <w:fldChar w:fldCharType="end"/>
      </w:r>
      <w:r>
        <w:t>)</w:t>
      </w:r>
      <w:r w:rsidRPr="00B10E31">
        <w:t>. Ther</w:t>
      </w:r>
      <w:r>
        <w:t>e</w:t>
      </w:r>
      <w:r w:rsidRPr="00B10E31">
        <w:t>fore, compatibility between DBF-CDR and FS can always be asserted for both scenarios and both investigated protection objectives</w:t>
      </w:r>
      <w:r>
        <w:t xml:space="preserve"> </w:t>
      </w:r>
      <w:r w:rsidRPr="0043593A">
        <w:rPr>
          <w:rStyle w:val="ECCParagraph"/>
        </w:rPr>
        <w:t>without the implementation of additional mitigation techniques</w:t>
      </w:r>
      <w:r w:rsidRPr="00B10E31">
        <w:t>.</w:t>
      </w:r>
    </w:p>
    <w:p w14:paraId="41F76685" w14:textId="33AB388B" w:rsidR="00C520C7" w:rsidRPr="00B10E31" w:rsidRDefault="00C520C7" w:rsidP="00C520C7">
      <w:r w:rsidRPr="00B10E31">
        <w:t xml:space="preserve">For evaluating the compatibility between </w:t>
      </w:r>
      <w:r>
        <w:t>M- and PA-CDR</w:t>
      </w:r>
      <w:r w:rsidRPr="00B10E31">
        <w:t xml:space="preserve"> and FS the </w:t>
      </w:r>
      <w:r>
        <w:t>four</w:t>
      </w:r>
      <w:r w:rsidRPr="00B10E31">
        <w:t xml:space="preserve"> </w:t>
      </w:r>
      <w:r>
        <w:t xml:space="preserve">different </w:t>
      </w:r>
      <w:r w:rsidRPr="00B10E31">
        <w:t xml:space="preserve">worst-case interference scenarios in </w:t>
      </w:r>
      <w:r w:rsidRPr="006446EE">
        <w:rPr>
          <w:highlight w:val="yellow"/>
        </w:rPr>
        <w:fldChar w:fldCharType="begin"/>
      </w:r>
      <w:r w:rsidRPr="00860518">
        <w:instrText xml:space="preserve"> REF _Ref51920880 \h </w:instrText>
      </w:r>
      <w:r>
        <w:rPr>
          <w:highlight w:val="yellow"/>
        </w:rPr>
        <w:instrText xml:space="preserve"> \* MERGEFORMAT </w:instrText>
      </w:r>
      <w:r w:rsidRPr="006446EE">
        <w:rPr>
          <w:highlight w:val="yellow"/>
        </w:rPr>
      </w:r>
      <w:r w:rsidRPr="006446EE">
        <w:rPr>
          <w:highlight w:val="yellow"/>
        </w:rPr>
        <w:fldChar w:fldCharType="separate"/>
      </w:r>
      <w:r w:rsidR="004F49F9">
        <w:t>Figure 44</w:t>
      </w:r>
      <w:r w:rsidRPr="006446EE">
        <w:rPr>
          <w:highlight w:val="yellow"/>
        </w:rPr>
        <w:fldChar w:fldCharType="end"/>
      </w:r>
      <w:r w:rsidRPr="006446EE">
        <w:t xml:space="preserve"> to </w:t>
      </w:r>
      <w:r w:rsidRPr="00860518">
        <w:rPr>
          <w:highlight w:val="yellow"/>
        </w:rPr>
        <w:fldChar w:fldCharType="begin"/>
      </w:r>
      <w:r w:rsidRPr="00860518">
        <w:instrText xml:space="preserve"> REF _Ref51920958 \h </w:instrText>
      </w:r>
      <w:r w:rsidRPr="00860518">
        <w:rPr>
          <w:highlight w:val="yellow"/>
        </w:rPr>
        <w:instrText xml:space="preserve"> \* MERGEFORMAT </w:instrText>
      </w:r>
      <w:r w:rsidRPr="00860518">
        <w:rPr>
          <w:highlight w:val="yellow"/>
        </w:rPr>
      </w:r>
      <w:r w:rsidRPr="00860518">
        <w:rPr>
          <w:highlight w:val="yellow"/>
        </w:rPr>
        <w:fldChar w:fldCharType="separate"/>
      </w:r>
      <w:r w:rsidR="004F49F9">
        <w:t>Figure 47</w:t>
      </w:r>
      <w:r w:rsidRPr="00860518">
        <w:rPr>
          <w:highlight w:val="yellow"/>
        </w:rPr>
        <w:fldChar w:fldCharType="end"/>
      </w:r>
      <w:r w:rsidRPr="00860518">
        <w:t xml:space="preserve"> </w:t>
      </w:r>
      <w:r w:rsidRPr="006446EE">
        <w:t>have</w:t>
      </w:r>
      <w:r w:rsidRPr="00B10E31">
        <w:t xml:space="preserve"> been defined (see </w:t>
      </w:r>
      <w:r w:rsidR="009D5FA2">
        <w:t>section</w:t>
      </w:r>
      <w:r w:rsidRPr="00B10E31">
        <w:t xml:space="preserve"> </w:t>
      </w:r>
      <w:r>
        <w:rPr>
          <w:highlight w:val="yellow"/>
        </w:rPr>
        <w:fldChar w:fldCharType="begin"/>
      </w:r>
      <w:r>
        <w:instrText xml:space="preserve"> REF _Ref66452431 \r \h </w:instrText>
      </w:r>
      <w:r>
        <w:rPr>
          <w:highlight w:val="yellow"/>
        </w:rPr>
      </w:r>
      <w:r>
        <w:rPr>
          <w:highlight w:val="yellow"/>
        </w:rPr>
        <w:fldChar w:fldCharType="separate"/>
      </w:r>
      <w:r w:rsidR="004F49F9">
        <w:t>2.2.6.6</w:t>
      </w:r>
      <w:r>
        <w:rPr>
          <w:highlight w:val="yellow"/>
        </w:rPr>
        <w:fldChar w:fldCharType="end"/>
      </w:r>
      <w:r w:rsidRPr="00B10E31">
        <w:t xml:space="preserve">). In </w:t>
      </w:r>
      <w:r>
        <w:t>all</w:t>
      </w:r>
      <w:r w:rsidRPr="00B10E31">
        <w:t xml:space="preserve"> scenarios it is valid that separation distances smaller than 300 m result in compatibility between </w:t>
      </w:r>
      <w:r>
        <w:t>M- and PA-CDR</w:t>
      </w:r>
      <w:r w:rsidRPr="00B10E31">
        <w:t xml:space="preserve">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_Ref67057023 \r \h </w:instrText>
      </w:r>
      <w:r>
        <w:rPr>
          <w:highlight w:val="yellow"/>
        </w:rPr>
      </w:r>
      <w:r>
        <w:rPr>
          <w:highlight w:val="yellow"/>
        </w:rPr>
        <w:fldChar w:fldCharType="separate"/>
      </w:r>
      <w:r w:rsidR="004F49F9">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p>
    <w:p w14:paraId="4B24CFDC" w14:textId="349F3DB6" w:rsidR="00C520C7" w:rsidRDefault="00C520C7" w:rsidP="00C520C7">
      <w:r w:rsidRPr="00B10E31">
        <w:t xml:space="preserve">All calculated separation distances for </w:t>
      </w:r>
      <w:r>
        <w:t>M- and PA-CDR for the long-term interference criterion</w:t>
      </w:r>
      <w:r w:rsidRPr="00B10E31">
        <w:t xml:space="preserve"> in </w:t>
      </w:r>
      <w:r w:rsidR="00D67C69">
        <w:fldChar w:fldCharType="begin"/>
      </w:r>
      <w:r w:rsidR="00D67C69">
        <w:instrText xml:space="preserve"> REF _Ref89346753 \h </w:instrText>
      </w:r>
      <w:r w:rsidR="00D67C69">
        <w:fldChar w:fldCharType="separate"/>
      </w:r>
      <w:r w:rsidR="0041125F" w:rsidRPr="00C50600">
        <w:t>Table </w:t>
      </w:r>
      <w:r w:rsidR="0041125F">
        <w:rPr>
          <w:noProof/>
        </w:rPr>
        <w:t>78</w:t>
      </w:r>
      <w:r w:rsidR="00D67C69">
        <w:fldChar w:fldCharType="end"/>
      </w:r>
      <w:r>
        <w:t xml:space="preserve"> </w:t>
      </w:r>
      <w:r w:rsidRPr="00B10E31">
        <w:t>are smaller than</w:t>
      </w:r>
      <w:r>
        <w:t xml:space="preserve"> 300 m (see </w:t>
      </w:r>
      <w:r w:rsidR="009D5FA2">
        <w:t>section</w:t>
      </w:r>
      <w:r>
        <w:t xml:space="preserve"> </w:t>
      </w:r>
      <w:r>
        <w:fldChar w:fldCharType="begin"/>
      </w:r>
      <w:r>
        <w:instrText xml:space="preserve"> REF _Ref67387092 \r \h </w:instrText>
      </w:r>
      <w:r>
        <w:fldChar w:fldCharType="separate"/>
      </w:r>
      <w:r w:rsidR="004F49F9">
        <w:t>5.6.2</w:t>
      </w:r>
      <w:r>
        <w:fldChar w:fldCharType="end"/>
      </w:r>
      <w:r>
        <w:t>)</w:t>
      </w:r>
      <w:r w:rsidRPr="00B10E31">
        <w:t>. Ther</w:t>
      </w:r>
      <w:r>
        <w:t>e</w:t>
      </w:r>
      <w:r w:rsidRPr="00B10E31">
        <w:t xml:space="preserve">fore, compatibility between </w:t>
      </w:r>
      <w:r>
        <w:t>M- and PA-CDR</w:t>
      </w:r>
      <w:r w:rsidRPr="00B10E31">
        <w:t xml:space="preserve"> and FS can always be asserted for </w:t>
      </w:r>
      <w:r>
        <w:t>all four</w:t>
      </w:r>
      <w:r w:rsidRPr="00B10E31">
        <w:t xml:space="preserve"> scenarios and </w:t>
      </w:r>
      <w:r>
        <w:t xml:space="preserve">the long-term interference criterion </w:t>
      </w:r>
      <w:r w:rsidRPr="0043593A">
        <w:rPr>
          <w:rStyle w:val="ECCParagraph"/>
        </w:rPr>
        <w:t>without the implementation of additional mitigation techniques</w:t>
      </w:r>
      <w:r w:rsidRPr="00B10E31">
        <w:t>.</w:t>
      </w:r>
    </w:p>
    <w:p w14:paraId="5E471911" w14:textId="2BE9482D" w:rsidR="00C520C7" w:rsidRDefault="00C520C7" w:rsidP="00C520C7">
      <w:r>
        <w:t xml:space="preserve">For the peak power objective, however, for scenario 3 </w:t>
      </w:r>
      <w:r w:rsidRPr="00860518">
        <w:t xml:space="preserve">in </w:t>
      </w:r>
      <w:r w:rsidRPr="00860518">
        <w:fldChar w:fldCharType="begin"/>
      </w:r>
      <w:r w:rsidRPr="00860518">
        <w:instrText xml:space="preserve"> REF _Ref51920924 \h </w:instrText>
      </w:r>
      <w:r>
        <w:instrText xml:space="preserve"> \* MERGEFORMAT </w:instrText>
      </w:r>
      <w:r w:rsidRPr="00860518">
        <w:fldChar w:fldCharType="separate"/>
      </w:r>
      <w:r w:rsidR="004F49F9">
        <w:t>Figure 46</w:t>
      </w:r>
      <w:r w:rsidRPr="00860518">
        <w:fldChar w:fldCharType="end"/>
      </w:r>
      <w:r w:rsidRPr="00860518">
        <w:t>, separation</w:t>
      </w:r>
      <w:r>
        <w:t xml:space="preserve"> distances larger than 300 m result for both evaluated frequency ranges (</w:t>
      </w:r>
      <w:r w:rsidRPr="00C520C7">
        <w:t xml:space="preserve">see </w:t>
      </w:r>
      <w:r w:rsidR="00D67C69">
        <w:fldChar w:fldCharType="begin"/>
      </w:r>
      <w:r w:rsidR="00D67C69">
        <w:instrText xml:space="preserve"> REF _Ref89346753 \h </w:instrText>
      </w:r>
      <w:r w:rsidR="00D67C69">
        <w:fldChar w:fldCharType="separate"/>
      </w:r>
      <w:r w:rsidR="0041125F" w:rsidRPr="00C50600">
        <w:t>Table </w:t>
      </w:r>
      <w:r w:rsidR="0041125F">
        <w:rPr>
          <w:noProof/>
        </w:rPr>
        <w:t>78</w:t>
      </w:r>
      <w:r w:rsidR="00D67C69">
        <w:fldChar w:fldCharType="end"/>
      </w:r>
      <w:r w:rsidR="00D67C69">
        <w:t xml:space="preserve"> </w:t>
      </w:r>
      <w:r w:rsidRPr="00C520C7">
        <w:t xml:space="preserve">in </w:t>
      </w:r>
      <w:r w:rsidR="009D5FA2">
        <w:t>section</w:t>
      </w:r>
      <w:r w:rsidRPr="00C520C7">
        <w:t xml:space="preserve"> </w:t>
      </w:r>
      <w:r w:rsidRPr="00C520C7">
        <w:fldChar w:fldCharType="begin"/>
      </w:r>
      <w:r w:rsidRPr="00C520C7">
        <w:instrText xml:space="preserve"> REF _Ref67387092 \r \h  \* MERGEFORMAT </w:instrText>
      </w:r>
      <w:r w:rsidRPr="00C520C7">
        <w:fldChar w:fldCharType="separate"/>
      </w:r>
      <w:r w:rsidR="004F49F9">
        <w:t>5.6.2</w:t>
      </w:r>
      <w:r w:rsidRPr="00C520C7">
        <w:fldChar w:fldCharType="end"/>
      </w:r>
      <w:r>
        <w:t>). In this scenario a separation distance of 1</w:t>
      </w:r>
      <w:r w:rsidR="00CF4994">
        <w:t>.0</w:t>
      </w:r>
      <w:r>
        <w:t xml:space="preserve">5 km is required. Consequently, the </w:t>
      </w:r>
      <w:r w:rsidRPr="00B10E31">
        <w:t xml:space="preserve">protection requirements identified in </w:t>
      </w:r>
      <w:r w:rsidR="009D5FA2">
        <w:t>section</w:t>
      </w:r>
      <w:r w:rsidRPr="00B10E31">
        <w:t xml:space="preserve"> </w:t>
      </w:r>
      <w:r>
        <w:rPr>
          <w:highlight w:val="yellow"/>
        </w:rPr>
        <w:fldChar w:fldCharType="begin"/>
      </w:r>
      <w:r>
        <w:instrText xml:space="preserve"> REF _Ref67057249 \r \h </w:instrText>
      </w:r>
      <w:r>
        <w:rPr>
          <w:highlight w:val="yellow"/>
        </w:rPr>
      </w:r>
      <w:r>
        <w:rPr>
          <w:highlight w:val="yellow"/>
        </w:rPr>
        <w:fldChar w:fldCharType="separate"/>
      </w:r>
      <w:r w:rsidR="004F49F9">
        <w:t>3.5.3</w:t>
      </w:r>
      <w:r>
        <w:rPr>
          <w:highlight w:val="yellow"/>
        </w:rPr>
        <w:fldChar w:fldCharType="end"/>
      </w:r>
      <w:r>
        <w:t xml:space="preserve"> are not fulfilled.</w:t>
      </w:r>
    </w:p>
    <w:p w14:paraId="68997B76" w14:textId="7BE22077" w:rsidR="00C520C7" w:rsidRDefault="00C520C7" w:rsidP="00C520C7">
      <w:r>
        <w:t xml:space="preserve">In order to eliminate this incompatibility in the peak power objective, the occurrence of scenario 3 must be prevented. This could be accomplished by the limitation of the maximum tilting angle of the M- and PA-CDR main beam direction to angles in the range smaller than </w:t>
      </w:r>
      <w:r w:rsidRPr="00E35D3D">
        <w:t>60°</w:t>
      </w:r>
      <w:r>
        <w:t xml:space="preserve"> in relation to the vertical downward direction towards the ground. Such a measure is suggested and would eliminate the critical scenario 3, defined in </w:t>
      </w:r>
      <w:r w:rsidRPr="00860518">
        <w:fldChar w:fldCharType="begin"/>
      </w:r>
      <w:r w:rsidRPr="00860518">
        <w:instrText xml:space="preserve"> REF _Ref51920924 \h  \* MERGEFORMAT </w:instrText>
      </w:r>
      <w:r w:rsidRPr="00860518">
        <w:fldChar w:fldCharType="separate"/>
      </w:r>
      <w:r w:rsidR="004F49F9">
        <w:t>Figure 46</w:t>
      </w:r>
      <w:r w:rsidRPr="00860518">
        <w:fldChar w:fldCharType="end"/>
      </w:r>
      <w:r w:rsidRPr="00860518">
        <w:t>,</w:t>
      </w:r>
      <w:r w:rsidRPr="000F6B70">
        <w:rPr>
          <w:rStyle w:val="ECCParagraph"/>
        </w:rPr>
        <w:t xml:space="preserve"> </w:t>
      </w:r>
      <w:r>
        <w:rPr>
          <w:rStyle w:val="ECCParagraph"/>
        </w:rPr>
        <w:t xml:space="preserve">"CDR main beam direction in horizontal direction" </w:t>
      </w:r>
      <w:r w:rsidRPr="000F6B70">
        <w:rPr>
          <w:rStyle w:val="ECCParagraph"/>
        </w:rPr>
        <w:t>completely</w:t>
      </w:r>
      <w:r>
        <w:t>.</w:t>
      </w:r>
    </w:p>
    <w:p w14:paraId="63225959" w14:textId="77777777" w:rsidR="00BD5A09" w:rsidRPr="00BD5A09" w:rsidRDefault="00BD5A09" w:rsidP="00BD5A09">
      <w:r w:rsidRPr="00BD5A09">
        <w:t xml:space="preserve">In order to </w:t>
      </w:r>
      <w:r>
        <w:t xml:space="preserve">further </w:t>
      </w:r>
      <w:r w:rsidRPr="00BD5A09">
        <w:t xml:space="preserve">restrict the interference in unwanted directions, e.g. over sidelobes of the antenna, a limitation of the peak e.i.r.p. to 0 dBm </w:t>
      </w:r>
      <w:r w:rsidR="009E00E9">
        <w:t xml:space="preserve">for </w:t>
      </w:r>
      <w:r w:rsidR="009E00E9" w:rsidRPr="009E00E9">
        <w:t>M- and PA-CDR</w:t>
      </w:r>
      <w:r w:rsidR="009E00E9">
        <w:t xml:space="preserve"> equipment</w:t>
      </w:r>
      <w:r w:rsidR="009E00E9" w:rsidRPr="009E00E9">
        <w:t xml:space="preserve"> </w:t>
      </w:r>
      <w:r w:rsidRPr="00BD5A09">
        <w:t>is proposed for elevations above 0°.</w:t>
      </w:r>
    </w:p>
    <w:p w14:paraId="37CA925C" w14:textId="77777777" w:rsidR="002E1170" w:rsidRDefault="002E1170" w:rsidP="002E1170">
      <w:pPr>
        <w:pStyle w:val="Heading3"/>
      </w:pPr>
      <w:bookmarkStart w:id="938" w:name="_Ref67393356"/>
      <w:bookmarkStart w:id="939" w:name="_Toc84325481"/>
      <w:bookmarkStart w:id="940" w:name="_Toc127346403"/>
      <w:r w:rsidRPr="003E5746">
        <w:t>E</w:t>
      </w:r>
      <w:r>
        <w:t>arth Exploration Satellite Service</w:t>
      </w:r>
      <w:r w:rsidRPr="003E5746">
        <w:t xml:space="preserve"> (Passive)</w:t>
      </w:r>
      <w:bookmarkEnd w:id="938"/>
      <w:bookmarkEnd w:id="939"/>
      <w:bookmarkEnd w:id="940"/>
    </w:p>
    <w:p w14:paraId="715DA3E4" w14:textId="1EDD97DD" w:rsidR="00806F39" w:rsidRDefault="00806F39" w:rsidP="00806F39">
      <w:r>
        <w:t xml:space="preserve">For all investigated frequency bands </w:t>
      </w:r>
      <w:r w:rsidR="00B445C8">
        <w:t xml:space="preserve">and </w:t>
      </w:r>
      <w:r w:rsidR="00B445C8">
        <w:rPr>
          <w:rStyle w:val="ECCParagraph"/>
        </w:rPr>
        <w:t xml:space="preserve">both CDR categories, </w:t>
      </w:r>
      <w:r w:rsidR="00B445C8">
        <w:t>in</w:t>
      </w:r>
      <w:r>
        <w:t xml:space="preserve"> the single-entry and in particular </w:t>
      </w:r>
      <w:r w:rsidR="00B445C8">
        <w:t>in</w:t>
      </w:r>
      <w:r>
        <w:t xml:space="preserve"> the aggregate consideration, ample margins to the interference criteria can be ensured without the implementation of additional mitigation techniques (see </w:t>
      </w:r>
      <w:r w:rsidR="009D5FA2">
        <w:t>section</w:t>
      </w:r>
      <w:r>
        <w:t xml:space="preserve"> </w:t>
      </w:r>
      <w:r>
        <w:fldChar w:fldCharType="begin"/>
      </w:r>
      <w:r>
        <w:instrText xml:space="preserve"> REF _Ref67346417 \r \h </w:instrText>
      </w:r>
      <w:r>
        <w:fldChar w:fldCharType="separate"/>
      </w:r>
      <w:r w:rsidR="004F49F9">
        <w:t>6.6.2</w:t>
      </w:r>
      <w:r>
        <w:fldChar w:fldCharType="end"/>
      </w:r>
      <w:r>
        <w:t>).</w:t>
      </w:r>
    </w:p>
    <w:p w14:paraId="3065652E" w14:textId="77777777" w:rsidR="002E1170" w:rsidRPr="009C0EF6" w:rsidRDefault="002E1170" w:rsidP="002E1170">
      <w:pPr>
        <w:pStyle w:val="Heading3"/>
      </w:pPr>
      <w:bookmarkStart w:id="941" w:name="_Ref67393768"/>
      <w:bookmarkStart w:id="942" w:name="_Toc84325482"/>
      <w:bookmarkStart w:id="943" w:name="_Toc127346404"/>
      <w:r>
        <w:t>Amateur Service</w:t>
      </w:r>
      <w:bookmarkEnd w:id="941"/>
      <w:bookmarkEnd w:id="942"/>
      <w:bookmarkEnd w:id="943"/>
    </w:p>
    <w:p w14:paraId="3CE75939" w14:textId="77777777" w:rsidR="00806F39" w:rsidRDefault="00806F39" w:rsidP="00806F39">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1256AC70" w14:textId="39FC386F" w:rsidR="00806F39" w:rsidRPr="002B7532" w:rsidRDefault="0090239E" w:rsidP="00806F39">
      <w:r>
        <w:t xml:space="preserve">The results </w:t>
      </w:r>
      <w:r w:rsidR="00D77369">
        <w:t>illustrated</w:t>
      </w:r>
      <w:r w:rsidR="00870352">
        <w:t xml:space="preserve"> </w:t>
      </w:r>
      <w:r>
        <w:t xml:space="preserve">in </w:t>
      </w:r>
      <w:r w:rsidR="00D77369">
        <w:fldChar w:fldCharType="begin"/>
      </w:r>
      <w:r w:rsidR="00D77369">
        <w:instrText xml:space="preserve"> REF _Ref67243701 \h </w:instrText>
      </w:r>
      <w:r w:rsidR="00D77369">
        <w:fldChar w:fldCharType="separate"/>
      </w:r>
      <w:r w:rsidR="0041125F" w:rsidRPr="00477961">
        <w:t>Table </w:t>
      </w:r>
      <w:r w:rsidR="0041125F">
        <w:rPr>
          <w:noProof/>
        </w:rPr>
        <w:t>119</w:t>
      </w:r>
      <w:r w:rsidR="00D77369">
        <w:fldChar w:fldCharType="end"/>
      </w:r>
      <w:r w:rsidR="00D77369">
        <w:t xml:space="preserve"> and </w:t>
      </w:r>
      <w:r w:rsidR="00D77369">
        <w:fldChar w:fldCharType="begin"/>
      </w:r>
      <w:r w:rsidR="00D77369">
        <w:instrText xml:space="preserve"> REF _Ref67243759 \h </w:instrText>
      </w:r>
      <w:r w:rsidR="00D77369">
        <w:fldChar w:fldCharType="separate"/>
      </w:r>
      <w:r w:rsidR="0041125F" w:rsidRPr="00477961">
        <w:t>Table </w:t>
      </w:r>
      <w:r w:rsidR="0041125F">
        <w:rPr>
          <w:noProof/>
        </w:rPr>
        <w:t>120</w:t>
      </w:r>
      <w:r w:rsidR="00D77369">
        <w:fldChar w:fldCharType="end"/>
      </w:r>
      <w:r>
        <w:t xml:space="preserve"> suggest </w:t>
      </w:r>
      <w:r w:rsidR="00870352">
        <w:t xml:space="preserve">that </w:t>
      </w:r>
      <w:r w:rsidR="00806F39" w:rsidRPr="00B10E31">
        <w:t xml:space="preserve">compatibility between </w:t>
      </w:r>
      <w:r w:rsidR="00806F39">
        <w:t>both CDR systems</w:t>
      </w:r>
      <w:r w:rsidR="00806F39" w:rsidRPr="00B10E31">
        <w:t xml:space="preserve"> and </w:t>
      </w:r>
      <w:r w:rsidR="00806F39">
        <w:t>Amateur</w:t>
      </w:r>
      <w:r w:rsidR="00806F39" w:rsidRPr="00B10E31">
        <w:t xml:space="preserve"> can be asserted </w:t>
      </w:r>
      <w:r w:rsidR="00806F39">
        <w:t>in</w:t>
      </w:r>
      <w:r w:rsidR="00806F39" w:rsidRPr="00B10E31">
        <w:t xml:space="preserve"> </w:t>
      </w:r>
      <w:r w:rsidR="00806F39">
        <w:t xml:space="preserve">all investigated frequency bands </w:t>
      </w:r>
      <w:r w:rsidR="00806F39" w:rsidRPr="0043593A">
        <w:rPr>
          <w:rStyle w:val="ECCParagraph"/>
        </w:rPr>
        <w:t>without the implementation of additional mitigation techniques</w:t>
      </w:r>
      <w:r w:rsidR="00D77369">
        <w:rPr>
          <w:rStyle w:val="ECCParagraph"/>
        </w:rPr>
        <w:t xml:space="preserve"> (see </w:t>
      </w:r>
      <w:r w:rsidR="009D5FA2">
        <w:rPr>
          <w:rStyle w:val="ECCParagraph"/>
        </w:rPr>
        <w:t>section</w:t>
      </w:r>
      <w:r w:rsidR="00D77369">
        <w:rPr>
          <w:rStyle w:val="ECCParagraph"/>
        </w:rPr>
        <w:t xml:space="preserve"> </w:t>
      </w:r>
      <w:r w:rsidR="00D77369">
        <w:fldChar w:fldCharType="begin"/>
      </w:r>
      <w:r w:rsidR="00D77369">
        <w:instrText xml:space="preserve"> REF _Ref67346828 \r \h </w:instrText>
      </w:r>
      <w:r w:rsidR="00D77369">
        <w:fldChar w:fldCharType="separate"/>
      </w:r>
      <w:r w:rsidR="004F49F9">
        <w:t>7.6.2</w:t>
      </w:r>
      <w:r w:rsidR="00D77369">
        <w:fldChar w:fldCharType="end"/>
      </w:r>
      <w:r w:rsidR="00D77369">
        <w:t>)</w:t>
      </w:r>
      <w:r w:rsidR="00806F39">
        <w:rPr>
          <w:rStyle w:val="ECCParagraph"/>
        </w:rPr>
        <w:t>.</w:t>
      </w:r>
    </w:p>
    <w:p w14:paraId="2221F82A" w14:textId="77777777" w:rsidR="009C0EF6" w:rsidRPr="009C0EF6" w:rsidRDefault="009C0EF6" w:rsidP="009C0EF6">
      <w:pPr>
        <w:pStyle w:val="Heading2"/>
        <w:rPr>
          <w:lang w:val="en-GB"/>
        </w:rPr>
      </w:pPr>
      <w:bookmarkStart w:id="944" w:name="_Toc84325483"/>
      <w:bookmarkStart w:id="945" w:name="_Toc127346405"/>
      <w:r w:rsidRPr="009C0EF6">
        <w:rPr>
          <w:lang w:val="en-GB"/>
        </w:rPr>
        <w:t>Tank level probing radar (TLPR)</w:t>
      </w:r>
      <w:bookmarkEnd w:id="944"/>
      <w:bookmarkEnd w:id="945"/>
    </w:p>
    <w:p w14:paraId="0C3A34EF" w14:textId="77777777" w:rsidR="003E5746" w:rsidRPr="003E5746" w:rsidRDefault="003E5746" w:rsidP="003E5746">
      <w:pPr>
        <w:pStyle w:val="Heading3"/>
        <w:rPr>
          <w:rFonts w:eastAsia="Calibri"/>
        </w:rPr>
      </w:pPr>
      <w:bookmarkStart w:id="946" w:name="_Toc84325484"/>
      <w:bookmarkStart w:id="947" w:name="_Toc127346406"/>
      <w:r w:rsidRPr="003E5746">
        <w:rPr>
          <w:rFonts w:eastAsia="Calibri"/>
        </w:rPr>
        <w:t>Summary</w:t>
      </w:r>
      <w:bookmarkEnd w:id="946"/>
      <w:bookmarkEnd w:id="947"/>
    </w:p>
    <w:p w14:paraId="300D67DA" w14:textId="77777777" w:rsidR="007E118C" w:rsidRDefault="007E118C" w:rsidP="007E118C">
      <w:pPr>
        <w:rPr>
          <w:rStyle w:val="ECCParagraph"/>
        </w:rPr>
      </w:pPr>
      <w:r>
        <w:t xml:space="preserve">For TLPR the candidate frequency bands </w:t>
      </w:r>
      <w:r w:rsidRPr="00300D7E">
        <w:rPr>
          <w:rStyle w:val="ECCParagraph"/>
        </w:rPr>
        <w:t>116 to 1</w:t>
      </w:r>
      <w:r>
        <w:rPr>
          <w:rStyle w:val="ECCParagraph"/>
        </w:rPr>
        <w:t>48</w:t>
      </w:r>
      <w:r w:rsidR="00CF4994">
        <w:rPr>
          <w:rStyle w:val="ECCParagraph"/>
        </w:rPr>
        <w:t>.5</w:t>
      </w:r>
      <w:r w:rsidRPr="00300D7E">
        <w:rPr>
          <w:rStyle w:val="ECCParagraph"/>
        </w:rPr>
        <w:t> GHz</w:t>
      </w:r>
      <w:r>
        <w:rPr>
          <w:rStyle w:val="ECCParagraph"/>
        </w:rPr>
        <w:t xml:space="preserve">, </w:t>
      </w:r>
      <w:r w:rsidRPr="00300D7E">
        <w:rPr>
          <w:rStyle w:val="ECCParagraph"/>
        </w:rPr>
        <w:t>1</w:t>
      </w:r>
      <w:r>
        <w:rPr>
          <w:rStyle w:val="ECCParagraph"/>
        </w:rPr>
        <w:t>67</w:t>
      </w:r>
      <w:r w:rsidRPr="00300D7E">
        <w:rPr>
          <w:rStyle w:val="ECCParagraph"/>
        </w:rPr>
        <w:t xml:space="preserve"> to 182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w:t>
      </w:r>
      <w:r>
        <w:t xml:space="preserve">It turned out that in all three frequency ranges compatibility between </w:t>
      </w:r>
      <w:r w:rsidR="005E689E">
        <w:t>T</w:t>
      </w:r>
      <w:r>
        <w:t>LPR and all investigated Radio Services can be ensured.</w:t>
      </w:r>
    </w:p>
    <w:p w14:paraId="0D55E46D" w14:textId="77777777" w:rsidR="007E118C" w:rsidRDefault="007E118C" w:rsidP="007E118C">
      <w:pPr>
        <w:rPr>
          <w:rStyle w:val="ECCParagraph"/>
        </w:rPr>
      </w:pPr>
      <w:r>
        <w:rPr>
          <w:rStyle w:val="ECCParagraph"/>
        </w:rPr>
        <w:t>The following protection requirements have been assumed:</w:t>
      </w:r>
    </w:p>
    <w:p w14:paraId="3328CEFD" w14:textId="77777777" w:rsidR="007E118C" w:rsidRDefault="007E118C" w:rsidP="007E118C">
      <w:pPr>
        <w:pStyle w:val="ECCBulletsLv1"/>
        <w:rPr>
          <w:rStyle w:val="ECCParagraph"/>
        </w:rPr>
      </w:pPr>
      <w:r>
        <w:rPr>
          <w:rStyle w:val="ECCParagraph"/>
        </w:rPr>
        <w:t>Radio Astronomy: Separation distance smaller than 20 km</w:t>
      </w:r>
    </w:p>
    <w:p w14:paraId="3F998BE3" w14:textId="77777777" w:rsidR="007E118C" w:rsidRDefault="007E118C" w:rsidP="007E118C">
      <w:pPr>
        <w:pStyle w:val="ECCBulletsLv1"/>
        <w:rPr>
          <w:rStyle w:val="ECCParagraph"/>
        </w:rPr>
      </w:pPr>
      <w:r>
        <w:rPr>
          <w:rStyle w:val="ECCParagraph"/>
        </w:rPr>
        <w:t>Fixed Service and Amateur Service: Separation distance smaller than 300 m</w:t>
      </w:r>
    </w:p>
    <w:p w14:paraId="0098645A" w14:textId="7CE4845F" w:rsidR="007E118C" w:rsidRDefault="007E118C" w:rsidP="007E118C">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714E7ED9" w14:textId="77777777" w:rsidR="005E689E" w:rsidRPr="005E689E" w:rsidRDefault="005E689E" w:rsidP="005E689E">
      <w:pPr>
        <w:rPr>
          <w:rStyle w:val="ECCParagraph"/>
        </w:rPr>
      </w:pPr>
      <w:r w:rsidRPr="005E689E">
        <w:rPr>
          <w:rStyle w:val="ECCParagraph"/>
        </w:rPr>
        <w:t xml:space="preserve">All </w:t>
      </w:r>
      <w:r>
        <w:rPr>
          <w:rStyle w:val="ECCParagraph"/>
        </w:rPr>
        <w:t xml:space="preserve">tank </w:t>
      </w:r>
      <w:r w:rsidRPr="005E689E">
        <w:rPr>
          <w:rStyle w:val="ECCParagraph"/>
        </w:rPr>
        <w:t>level probing radars should furthermore comply with the following (installation) requirements:</w:t>
      </w:r>
    </w:p>
    <w:p w14:paraId="6B6546D6" w14:textId="77777777" w:rsidR="005E689E" w:rsidRPr="00BB41AD" w:rsidRDefault="005E689E" w:rsidP="005E689E">
      <w:pPr>
        <w:pStyle w:val="ECCBulletsLv1"/>
      </w:pPr>
      <w:r w:rsidRPr="00B70EEC">
        <w:t>The operation of TLPR sensors is envisaged for industrial purposes only.</w:t>
      </w:r>
    </w:p>
    <w:p w14:paraId="275B7CCD" w14:textId="77777777" w:rsidR="005E689E" w:rsidRPr="00BB41AD" w:rsidRDefault="005E689E" w:rsidP="005E689E">
      <w:pPr>
        <w:pStyle w:val="ECCBulletsLv1"/>
      </w:pPr>
      <w:r w:rsidRPr="00B70EEC">
        <w:t>Installation and maintenance of TLPR equipment shall be performed by professionally trained individuals only.</w:t>
      </w:r>
    </w:p>
    <w:p w14:paraId="7BCF7E17" w14:textId="77777777" w:rsidR="005E689E" w:rsidRPr="00BB41AD" w:rsidRDefault="005E689E" w:rsidP="005E689E">
      <w:pPr>
        <w:pStyle w:val="ECCBulletsLv1"/>
      </w:pPr>
      <w:r w:rsidRPr="00B70EEC">
        <w:t xml:space="preserve">TLPR equipment shall not be marketed to private end </w:t>
      </w:r>
      <w:r w:rsidRPr="00BB41AD">
        <w:t>customers.</w:t>
      </w:r>
    </w:p>
    <w:p w14:paraId="62252C58" w14:textId="77777777" w:rsidR="005E689E" w:rsidRPr="00BB41AD" w:rsidRDefault="005E689E" w:rsidP="005E689E">
      <w:pPr>
        <w:pStyle w:val="ECCBulletsLv1"/>
      </w:pPr>
      <w:r w:rsidRPr="00B70EEC">
        <w:t xml:space="preserve">TLPRs </w:t>
      </w:r>
      <w:r w:rsidRPr="00BB41AD">
        <w:t>shall be installed at a permanent fixed position at a closed metallic tank or concrete tank, or a similar enclosure structure made of comparable attenuating material.</w:t>
      </w:r>
    </w:p>
    <w:p w14:paraId="47230CB3" w14:textId="77777777" w:rsidR="005E689E" w:rsidRPr="00BB41AD" w:rsidRDefault="005E689E" w:rsidP="005E689E">
      <w:pPr>
        <w:pStyle w:val="ECCBulletsLv1"/>
      </w:pPr>
      <w:r w:rsidRPr="00B70EEC">
        <w:t>Flanges and attachments of the TLPR equipment shall provide the necessary microwave sealing by design.</w:t>
      </w:r>
    </w:p>
    <w:p w14:paraId="26AB1BFA" w14:textId="77777777" w:rsidR="005E689E" w:rsidRPr="00BB41AD" w:rsidRDefault="005E689E" w:rsidP="005E689E">
      <w:pPr>
        <w:pStyle w:val="ECCBulletsLv1"/>
      </w:pPr>
      <w:r w:rsidRPr="00B70EEC">
        <w:t xml:space="preserve">Sight glasses shall be coated with a microwave-proof coating when necessary (i.e. electrically conductive </w:t>
      </w:r>
      <w:r w:rsidRPr="00BB41AD">
        <w:t>or microwave absorbing coating).</w:t>
      </w:r>
    </w:p>
    <w:p w14:paraId="0D5CFD58" w14:textId="77777777" w:rsidR="005E689E" w:rsidRPr="00BB41AD" w:rsidRDefault="005E689E" w:rsidP="005E689E">
      <w:pPr>
        <w:pStyle w:val="ECCBulletsLv1"/>
      </w:pPr>
      <w:r w:rsidRPr="00B70EEC">
        <w:t xml:space="preserve">Manholes or connection flanges </w:t>
      </w:r>
      <w:r w:rsidRPr="00BB41AD">
        <w:t>attached to the tank shall be closed while the TLPR equipment is in operation to ensure a low-level leakage of the signal into the free space outside the tank.</w:t>
      </w:r>
    </w:p>
    <w:p w14:paraId="436FE34C" w14:textId="77777777" w:rsidR="005E689E" w:rsidRPr="005E689E" w:rsidRDefault="005E689E" w:rsidP="005E689E">
      <w:pPr>
        <w:pStyle w:val="ECCBulletsLv1"/>
      </w:pPr>
      <w:r w:rsidRPr="00BB41AD">
        <w:t>The provider is required to inform the users and installers of TLPR equipment about the installation requirements and the additional special mounting instructions.</w:t>
      </w:r>
    </w:p>
    <w:p w14:paraId="366FBBA4" w14:textId="77777777" w:rsidR="005E689E" w:rsidRPr="00654096" w:rsidRDefault="005E689E" w:rsidP="005E689E">
      <w:r w:rsidRPr="00654096">
        <w:t>In addition, the following antenna requirement is proposed:</w:t>
      </w:r>
    </w:p>
    <w:p w14:paraId="777E6508" w14:textId="77777777" w:rsidR="005E689E" w:rsidRPr="00654096" w:rsidRDefault="005E689E" w:rsidP="005E689E">
      <w:pPr>
        <w:pStyle w:val="ECCBulletsLv1"/>
      </w:pPr>
      <w:r w:rsidRPr="00654096">
        <w:t xml:space="preserve">For </w:t>
      </w:r>
      <w:r>
        <w:t>TLPR</w:t>
      </w:r>
      <w:r w:rsidRPr="00654096">
        <w:t xml:space="preserve"> devices using an antenna gain smaller than 20 dBi, the maximum conducted peak output power shall be limited to 15 dBm.</w:t>
      </w:r>
    </w:p>
    <w:p w14:paraId="46F6D7AC" w14:textId="77777777" w:rsidR="003E5746" w:rsidRDefault="003E5746" w:rsidP="003E5746">
      <w:pPr>
        <w:pStyle w:val="Heading3"/>
      </w:pPr>
      <w:bookmarkStart w:id="948" w:name="_Ref67392528"/>
      <w:bookmarkStart w:id="949" w:name="_Toc84325485"/>
      <w:bookmarkStart w:id="950" w:name="_Toc127346407"/>
      <w:r>
        <w:t>Radio Astronomy</w:t>
      </w:r>
      <w:bookmarkEnd w:id="948"/>
      <w:bookmarkEnd w:id="949"/>
      <w:bookmarkEnd w:id="950"/>
    </w:p>
    <w:p w14:paraId="06BCAD64" w14:textId="3D790963" w:rsidR="002905F5" w:rsidRPr="00B10E31" w:rsidRDefault="002905F5" w:rsidP="002905F5">
      <w:r w:rsidRPr="00B10E31">
        <w:t xml:space="preserve">For </w:t>
      </w:r>
      <w:r>
        <w:t>the</w:t>
      </w:r>
      <w:r w:rsidRPr="00B10E31">
        <w:t xml:space="preserve"> frequency bands 116 GHz to 148</w:t>
      </w:r>
      <w:r w:rsidR="00CF4994">
        <w:t>.5</w:t>
      </w:r>
      <w:r w:rsidRPr="00B10E31">
        <w:t> GHz, 167 GHz to 182 GHz and 231</w:t>
      </w:r>
      <w:r w:rsidR="00CF4994">
        <w:t>.5</w:t>
      </w:r>
      <w:r w:rsidRPr="00B10E31">
        <w:t> GHz to 250</w:t>
      </w:r>
      <w:r w:rsidR="008E15C3">
        <w:t> </w:t>
      </w:r>
      <w:r w:rsidRPr="00B10E31">
        <w:t>GHz</w:t>
      </w:r>
      <w:r>
        <w:t xml:space="preserve"> compatibility can be ensured between TLPR and RAS when </w:t>
      </w:r>
      <w:r w:rsidRPr="00B10E31">
        <w:t xml:space="preserve">separation distances of </w:t>
      </w:r>
      <w:r>
        <w:t>5</w:t>
      </w:r>
      <w:r w:rsidR="00CF4994">
        <w:t>.3</w:t>
      </w:r>
      <w:r w:rsidRPr="00B10E31">
        <w:t xml:space="preserve"> km, </w:t>
      </w:r>
      <w:r>
        <w:t>2</w:t>
      </w:r>
      <w:r w:rsidR="00CF4994">
        <w:t>.7</w:t>
      </w:r>
      <w:r w:rsidRPr="00B10E31">
        <w:t xml:space="preserve"> km and </w:t>
      </w:r>
      <w:r>
        <w:t>1 km, respectively, are respected without the implementation of additional mitigation techniques</w:t>
      </w:r>
      <w:r w:rsidR="00835835">
        <w:t xml:space="preserve"> (</w:t>
      </w:r>
      <w:r w:rsidR="005F560F">
        <w:t xml:space="preserve">see </w:t>
      </w:r>
      <w:r w:rsidR="009D5FA2">
        <w:t>section</w:t>
      </w:r>
      <w:r w:rsidR="005F560F">
        <w:t xml:space="preserve"> </w:t>
      </w:r>
      <w:r w:rsidR="005F560F">
        <w:fldChar w:fldCharType="begin"/>
      </w:r>
      <w:r w:rsidR="005F560F">
        <w:instrText xml:space="preserve"> REF _Ref67328908 \r \h </w:instrText>
      </w:r>
      <w:r w:rsidR="005F560F">
        <w:fldChar w:fldCharType="separate"/>
      </w:r>
      <w:r w:rsidR="004F49F9">
        <w:t>4.7.2</w:t>
      </w:r>
      <w:r w:rsidR="005F560F">
        <w:fldChar w:fldCharType="end"/>
      </w:r>
      <w:r w:rsidR="00835835">
        <w:t>)</w:t>
      </w:r>
      <w:r>
        <w:t xml:space="preserve">. </w:t>
      </w:r>
      <w:r w:rsidRPr="00B10E31">
        <w:t>Industrial areas where TLPR sensors are usually installed and operated are not located in such close proximity to radio astronomy stations. Therefore, the implementation of spe</w:t>
      </w:r>
      <w:r>
        <w:t>c</w:t>
      </w:r>
      <w:r w:rsidRPr="00B10E31">
        <w:t xml:space="preserve">ific </w:t>
      </w:r>
      <w:r>
        <w:t>exclusion zones around radio astronomy stations</w:t>
      </w:r>
      <w:r w:rsidRPr="00B10E31">
        <w:t xml:space="preserve"> is not </w:t>
      </w:r>
      <w:r>
        <w:t>suggested</w:t>
      </w:r>
      <w:r w:rsidRPr="00B10E31">
        <w:t>.</w:t>
      </w:r>
    </w:p>
    <w:p w14:paraId="0F5488E2" w14:textId="77777777" w:rsidR="003E5746" w:rsidRDefault="003E5746" w:rsidP="003E5746">
      <w:pPr>
        <w:pStyle w:val="Heading3"/>
      </w:pPr>
      <w:bookmarkStart w:id="951" w:name="_Ref67393051"/>
      <w:bookmarkStart w:id="952" w:name="_Toc84325486"/>
      <w:bookmarkStart w:id="953" w:name="_Toc127346408"/>
      <w:r>
        <w:t>Fixed Service</w:t>
      </w:r>
      <w:bookmarkEnd w:id="951"/>
      <w:bookmarkEnd w:id="952"/>
      <w:bookmarkEnd w:id="953"/>
    </w:p>
    <w:p w14:paraId="3913F861" w14:textId="32185581" w:rsidR="00CC1F01" w:rsidRPr="00B10E31" w:rsidRDefault="00CC1F01" w:rsidP="00CC1F01">
      <w:r w:rsidRPr="00B10E31">
        <w:t xml:space="preserve">For evaluating the compatibility between TLPR and FS the two worst-case interference scenarios in </w:t>
      </w:r>
      <w:r>
        <w:rPr>
          <w:highlight w:val="yellow"/>
        </w:rPr>
        <w:fldChar w:fldCharType="begin"/>
      </w:r>
      <w:r>
        <w:instrText xml:space="preserve"> REF _Ref51762001 \h </w:instrText>
      </w:r>
      <w:r>
        <w:rPr>
          <w:highlight w:val="yellow"/>
        </w:rPr>
      </w:r>
      <w:r>
        <w:rPr>
          <w:highlight w:val="yellow"/>
        </w:rPr>
        <w:fldChar w:fldCharType="separate"/>
      </w:r>
      <w:r w:rsidR="004F49F9">
        <w:t>Figure </w:t>
      </w:r>
      <w:r w:rsidR="004F49F9">
        <w:rPr>
          <w:noProof/>
        </w:rPr>
        <w:t>53</w:t>
      </w:r>
      <w:r>
        <w:rPr>
          <w:highlight w:val="yellow"/>
        </w:rPr>
        <w:fldChar w:fldCharType="end"/>
      </w:r>
      <w:r>
        <w:t xml:space="preserve"> </w:t>
      </w:r>
      <w:r w:rsidRPr="00B10E31">
        <w:t xml:space="preserve">and </w:t>
      </w:r>
      <w:r>
        <w:rPr>
          <w:highlight w:val="yellow"/>
        </w:rPr>
        <w:fldChar w:fldCharType="begin"/>
      </w:r>
      <w:r>
        <w:instrText xml:space="preserve"> REF _Ref51762011 \h </w:instrText>
      </w:r>
      <w:r>
        <w:rPr>
          <w:highlight w:val="yellow"/>
        </w:rPr>
      </w:r>
      <w:r>
        <w:rPr>
          <w:highlight w:val="yellow"/>
        </w:rPr>
        <w:fldChar w:fldCharType="separate"/>
      </w:r>
      <w:r w:rsidR="004F49F9">
        <w:t>Figure </w:t>
      </w:r>
      <w:r w:rsidR="004F49F9">
        <w:rPr>
          <w:noProof/>
        </w:rPr>
        <w:t>54</w:t>
      </w:r>
      <w:r>
        <w:rPr>
          <w:highlight w:val="yellow"/>
        </w:rPr>
        <w:fldChar w:fldCharType="end"/>
      </w:r>
      <w:r>
        <w:t xml:space="preserve"> </w:t>
      </w:r>
      <w:r w:rsidRPr="00B10E31">
        <w:t xml:space="preserve">have been defined (see </w:t>
      </w:r>
      <w:r w:rsidR="009D5FA2">
        <w:t>section</w:t>
      </w:r>
      <w:r w:rsidRPr="00B10E31">
        <w:t xml:space="preserve"> </w:t>
      </w:r>
      <w:r w:rsidRPr="002B1BDF">
        <w:rPr>
          <w:highlight w:val="yellow"/>
        </w:rPr>
        <w:fldChar w:fldCharType="begin"/>
      </w:r>
      <w:r w:rsidRPr="002B1BDF">
        <w:instrText xml:space="preserve"> REF _Ref27486211 \r \h </w:instrText>
      </w:r>
      <w:r w:rsidRPr="002B1BDF">
        <w:rPr>
          <w:highlight w:val="yellow"/>
        </w:rPr>
      </w:r>
      <w:r w:rsidRPr="002B1BDF">
        <w:rPr>
          <w:highlight w:val="yellow"/>
        </w:rPr>
        <w:fldChar w:fldCharType="separate"/>
      </w:r>
      <w:r w:rsidR="004F49F9">
        <w:t>2.2.7.6</w:t>
      </w:r>
      <w:r w:rsidRPr="002B1BDF">
        <w:rPr>
          <w:highlight w:val="yellow"/>
        </w:rPr>
        <w:fldChar w:fldCharType="end"/>
      </w:r>
      <w:r w:rsidRPr="00B10E31">
        <w:t xml:space="preserve">). In both scenarios it is valid that separation distances smaller than 300 m result in compatibility between TLPR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_Ref67057737 \r \h </w:instrText>
      </w:r>
      <w:r>
        <w:rPr>
          <w:highlight w:val="yellow"/>
        </w:rPr>
      </w:r>
      <w:r>
        <w:rPr>
          <w:highlight w:val="yellow"/>
        </w:rPr>
        <w:fldChar w:fldCharType="separate"/>
      </w:r>
      <w:r w:rsidR="004F49F9">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4E2C7682" w14:textId="3E3C70AA" w:rsidR="00CC1F01" w:rsidRPr="00B10E31" w:rsidRDefault="00CC1F01" w:rsidP="00CC1F01">
      <w:r w:rsidRPr="00B10E31">
        <w:t xml:space="preserve">All calculated separation distances for TLPR in </w:t>
      </w:r>
      <w:r>
        <w:rPr>
          <w:highlight w:val="yellow"/>
        </w:rPr>
        <w:fldChar w:fldCharType="begin"/>
      </w:r>
      <w:r>
        <w:instrText xml:space="preserve"> REF _Ref67057674 \h </w:instrText>
      </w:r>
      <w:r>
        <w:rPr>
          <w:highlight w:val="yellow"/>
        </w:rPr>
      </w:r>
      <w:r>
        <w:rPr>
          <w:highlight w:val="yellow"/>
        </w:rPr>
        <w:fldChar w:fldCharType="separate"/>
      </w:r>
      <w:r w:rsidR="0041125F" w:rsidRPr="002205D8">
        <w:t>Table </w:t>
      </w:r>
      <w:r w:rsidR="0041125F">
        <w:rPr>
          <w:noProof/>
        </w:rPr>
        <w:t>80</w:t>
      </w:r>
      <w:r>
        <w:rPr>
          <w:highlight w:val="yellow"/>
        </w:rPr>
        <w:fldChar w:fldCharType="end"/>
      </w:r>
      <w:r>
        <w:t xml:space="preserve"> </w:t>
      </w:r>
      <w:r w:rsidRPr="00B10E31">
        <w:t>are smaller than 300 m</w:t>
      </w:r>
      <w:r w:rsidR="00463610">
        <w:t xml:space="preserve"> (see </w:t>
      </w:r>
      <w:r w:rsidR="009D5FA2">
        <w:t>section</w:t>
      </w:r>
      <w:r w:rsidR="00463610">
        <w:t xml:space="preserve"> </w:t>
      </w:r>
      <w:r w:rsidR="00463610">
        <w:fldChar w:fldCharType="begin"/>
      </w:r>
      <w:r w:rsidR="00463610">
        <w:instrText xml:space="preserve"> REF _Ref67389860 \r \h </w:instrText>
      </w:r>
      <w:r w:rsidR="00463610">
        <w:fldChar w:fldCharType="separate"/>
      </w:r>
      <w:r w:rsidR="004F49F9">
        <w:t>5.7.2</w:t>
      </w:r>
      <w:r w:rsidR="00463610">
        <w:fldChar w:fldCharType="end"/>
      </w:r>
      <w:r w:rsidR="00463610">
        <w:t>)</w:t>
      </w:r>
      <w:r w:rsidRPr="00B10E31">
        <w:t>. Ther</w:t>
      </w:r>
      <w:r>
        <w:t>e</w:t>
      </w:r>
      <w:r w:rsidRPr="00B10E31">
        <w:t>fore, compatibility between TLPR and FS can always be asserted for both scenarios and both investigated protection objectives</w:t>
      </w:r>
      <w:r>
        <w:t xml:space="preserve"> without the implementation of additional mitigation techniques</w:t>
      </w:r>
      <w:r w:rsidRPr="00B10E31">
        <w:t>.</w:t>
      </w:r>
    </w:p>
    <w:p w14:paraId="1ACB27D4" w14:textId="77777777" w:rsidR="003E5746" w:rsidRDefault="003E5746" w:rsidP="003E5746">
      <w:pPr>
        <w:pStyle w:val="Heading3"/>
      </w:pPr>
      <w:bookmarkStart w:id="954" w:name="_Ref67393399"/>
      <w:bookmarkStart w:id="955" w:name="_Toc84325487"/>
      <w:bookmarkStart w:id="956" w:name="_Toc127346409"/>
      <w:r w:rsidRPr="003E5746">
        <w:t>E</w:t>
      </w:r>
      <w:r>
        <w:t>arth Exploration Satellite Service</w:t>
      </w:r>
      <w:r w:rsidRPr="003E5746">
        <w:t xml:space="preserve"> (Passive)</w:t>
      </w:r>
      <w:bookmarkEnd w:id="954"/>
      <w:bookmarkEnd w:id="955"/>
      <w:bookmarkEnd w:id="956"/>
    </w:p>
    <w:p w14:paraId="7EC3B83E" w14:textId="20B0F91C" w:rsidR="0065225C" w:rsidRPr="002B7532" w:rsidRDefault="0065225C" w:rsidP="0065225C">
      <w:r>
        <w:t xml:space="preserve">For all investigated frequency bands in particular for the aggregate consideration ample margins to the interference criteria can be ensured </w:t>
      </w:r>
      <w:r w:rsidRPr="0043593A">
        <w:rPr>
          <w:rStyle w:val="ECCParagraph"/>
        </w:rPr>
        <w:t>without the implementation of additional mitigation techniques</w:t>
      </w:r>
      <w:r>
        <w:t xml:space="preserve"> (see </w:t>
      </w:r>
      <w:r w:rsidR="009D5FA2">
        <w:t>section</w:t>
      </w:r>
      <w:r w:rsidR="00B445C8">
        <w:t xml:space="preserve"> </w:t>
      </w:r>
      <w:r w:rsidR="00B445C8">
        <w:fldChar w:fldCharType="begin"/>
      </w:r>
      <w:r w:rsidR="00B445C8">
        <w:instrText xml:space="preserve"> REF _Ref67391038 \r \h </w:instrText>
      </w:r>
      <w:r w:rsidR="00B445C8">
        <w:fldChar w:fldCharType="separate"/>
      </w:r>
      <w:r w:rsidR="004F49F9">
        <w:t>6.7.2</w:t>
      </w:r>
      <w:r w:rsidR="00B445C8">
        <w:fldChar w:fldCharType="end"/>
      </w:r>
      <w:r>
        <w:t>).</w:t>
      </w:r>
    </w:p>
    <w:p w14:paraId="3580269F" w14:textId="77777777" w:rsidR="003E5746" w:rsidRPr="009C0EF6" w:rsidRDefault="003E5746" w:rsidP="003E5746">
      <w:pPr>
        <w:pStyle w:val="Heading3"/>
      </w:pPr>
      <w:bookmarkStart w:id="957" w:name="_Ref67393884"/>
      <w:bookmarkStart w:id="958" w:name="_Toc84325488"/>
      <w:bookmarkStart w:id="959" w:name="_Toc127346410"/>
      <w:r>
        <w:t>Amateur Service</w:t>
      </w:r>
      <w:bookmarkEnd w:id="957"/>
      <w:bookmarkEnd w:id="958"/>
      <w:bookmarkEnd w:id="959"/>
    </w:p>
    <w:p w14:paraId="10568498" w14:textId="77777777" w:rsidR="0065225C" w:rsidRDefault="0065225C" w:rsidP="0065225C">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62298519" w14:textId="0F7DF2C1" w:rsidR="0065225C" w:rsidRPr="00B10E31" w:rsidRDefault="0065225C" w:rsidP="0065225C">
      <w:r>
        <w:t xml:space="preserve">The results illustrated in </w:t>
      </w:r>
      <w:r>
        <w:fldChar w:fldCharType="begin"/>
      </w:r>
      <w:r>
        <w:instrText xml:space="preserve"> REF _Ref67244075 \h </w:instrText>
      </w:r>
      <w:r>
        <w:fldChar w:fldCharType="separate"/>
      </w:r>
      <w:r w:rsidR="0041125F" w:rsidRPr="00477961">
        <w:t>Table </w:t>
      </w:r>
      <w:r w:rsidR="0041125F">
        <w:rPr>
          <w:noProof/>
        </w:rPr>
        <w:t>122</w:t>
      </w:r>
      <w:r>
        <w:fldChar w:fldCharType="end"/>
      </w:r>
      <w:r>
        <w:t xml:space="preserve"> suggest that</w:t>
      </w:r>
      <w:r w:rsidRPr="00B10E31">
        <w:t xml:space="preserve"> compatibility between </w:t>
      </w:r>
      <w:r>
        <w:t>TLPR</w:t>
      </w:r>
      <w:r w:rsidRPr="00B10E31">
        <w:t xml:space="preserve"> and </w:t>
      </w:r>
      <w:r>
        <w:t>Amateur</w:t>
      </w:r>
      <w:r w:rsidRPr="00B10E31">
        <w:t xml:space="preserve"> can be asserted </w:t>
      </w:r>
      <w:r>
        <w:t>in</w:t>
      </w:r>
      <w:r w:rsidRPr="00B10E31">
        <w:t xml:space="preserve"> </w:t>
      </w:r>
      <w:r>
        <w:t xml:space="preserve">all investigated frequency bands </w:t>
      </w:r>
      <w:r w:rsidRPr="0043593A">
        <w:rPr>
          <w:rStyle w:val="ECCParagraph"/>
        </w:rPr>
        <w:t>without the implementation of additional mitigation techniques</w:t>
      </w:r>
      <w:r w:rsidR="00D77369">
        <w:rPr>
          <w:rStyle w:val="ECCParagraph"/>
        </w:rPr>
        <w:t xml:space="preserve"> (see </w:t>
      </w:r>
      <w:r w:rsidR="009D5FA2">
        <w:rPr>
          <w:rStyle w:val="ECCParagraph"/>
        </w:rPr>
        <w:t>section</w:t>
      </w:r>
      <w:r w:rsidR="00D77369">
        <w:rPr>
          <w:rStyle w:val="ECCParagraph"/>
        </w:rPr>
        <w:t xml:space="preserve"> </w:t>
      </w:r>
      <w:r w:rsidR="00D77369">
        <w:rPr>
          <w:rStyle w:val="ECCParagraph"/>
        </w:rPr>
        <w:fldChar w:fldCharType="begin"/>
      </w:r>
      <w:r w:rsidR="00D77369">
        <w:rPr>
          <w:rStyle w:val="ECCParagraph"/>
        </w:rPr>
        <w:instrText xml:space="preserve"> REF _Ref67391173 \r \h </w:instrText>
      </w:r>
      <w:r w:rsidR="00D77369">
        <w:rPr>
          <w:rStyle w:val="ECCParagraph"/>
        </w:rPr>
      </w:r>
      <w:r w:rsidR="00D77369">
        <w:rPr>
          <w:rStyle w:val="ECCParagraph"/>
        </w:rPr>
        <w:fldChar w:fldCharType="separate"/>
      </w:r>
      <w:r w:rsidR="004F49F9">
        <w:rPr>
          <w:rStyle w:val="ECCParagraph"/>
        </w:rPr>
        <w:t>7.7.2</w:t>
      </w:r>
      <w:r w:rsidR="00D77369">
        <w:rPr>
          <w:rStyle w:val="ECCParagraph"/>
        </w:rPr>
        <w:fldChar w:fldCharType="end"/>
      </w:r>
      <w:r w:rsidR="00D77369">
        <w:rPr>
          <w:rStyle w:val="ECCParagraph"/>
        </w:rPr>
        <w:t>)</w:t>
      </w:r>
      <w:r>
        <w:rPr>
          <w:rStyle w:val="ECCParagraph"/>
        </w:rPr>
        <w:t>.</w:t>
      </w:r>
    </w:p>
    <w:p w14:paraId="6DE3EDAA" w14:textId="77777777" w:rsidR="009C0EF6" w:rsidRPr="009C0EF6" w:rsidRDefault="009C0EF6" w:rsidP="009C0EF6">
      <w:pPr>
        <w:pStyle w:val="Heading2"/>
        <w:rPr>
          <w:lang w:val="en-GB"/>
        </w:rPr>
      </w:pPr>
      <w:bookmarkStart w:id="960" w:name="_Ref67399639"/>
      <w:bookmarkStart w:id="961" w:name="_Toc84325489"/>
      <w:bookmarkStart w:id="962" w:name="_Toc127346411"/>
      <w:r w:rsidRPr="009C0EF6">
        <w:rPr>
          <w:lang w:val="en-GB"/>
        </w:rPr>
        <w:t>Radiodetermination systems for industry automation in shielded environments (RDI-S)</w:t>
      </w:r>
      <w:bookmarkEnd w:id="960"/>
      <w:bookmarkEnd w:id="961"/>
      <w:bookmarkEnd w:id="962"/>
    </w:p>
    <w:p w14:paraId="5C218DF0" w14:textId="77777777" w:rsidR="003E5746" w:rsidRPr="003E5746" w:rsidRDefault="003E5746" w:rsidP="003E5746">
      <w:pPr>
        <w:pStyle w:val="Heading3"/>
        <w:rPr>
          <w:rFonts w:eastAsia="Calibri"/>
        </w:rPr>
      </w:pPr>
      <w:bookmarkStart w:id="963" w:name="_Toc84325490"/>
      <w:bookmarkStart w:id="964" w:name="_Toc127346412"/>
      <w:r w:rsidRPr="003E5746">
        <w:rPr>
          <w:rFonts w:eastAsia="Calibri"/>
        </w:rPr>
        <w:t>Summary</w:t>
      </w:r>
      <w:bookmarkEnd w:id="963"/>
      <w:bookmarkEnd w:id="964"/>
    </w:p>
    <w:p w14:paraId="0E4F21B5" w14:textId="77777777" w:rsidR="00891ED3" w:rsidRDefault="00891ED3" w:rsidP="00891ED3">
      <w:pPr>
        <w:rPr>
          <w:rStyle w:val="ECCParagraph"/>
        </w:rPr>
      </w:pPr>
      <w:r>
        <w:t xml:space="preserve">For RDI-S the candidate frequency band </w:t>
      </w:r>
      <w:r w:rsidRPr="00300D7E">
        <w:rPr>
          <w:rStyle w:val="ECCParagraph"/>
        </w:rPr>
        <w:t xml:space="preserve">116 to </w:t>
      </w:r>
      <w:r>
        <w:rPr>
          <w:rStyle w:val="ECCParagraph"/>
        </w:rPr>
        <w:t xml:space="preserve">260 GHz has been studied. </w:t>
      </w:r>
      <w:r>
        <w:t>It turned out that in the whole frequency range compatibility between RDI-S and all investigated Radio Services can be ensured.</w:t>
      </w:r>
    </w:p>
    <w:p w14:paraId="0CCCD75A" w14:textId="77777777" w:rsidR="00891ED3" w:rsidRDefault="00891ED3" w:rsidP="00891ED3">
      <w:pPr>
        <w:rPr>
          <w:rStyle w:val="ECCParagraph"/>
        </w:rPr>
      </w:pPr>
      <w:r>
        <w:rPr>
          <w:rStyle w:val="ECCParagraph"/>
        </w:rPr>
        <w:t>The following protection requirements have been assumed:</w:t>
      </w:r>
    </w:p>
    <w:p w14:paraId="296E4CD2" w14:textId="1DD42E90" w:rsidR="00891ED3" w:rsidRDefault="00891ED3" w:rsidP="00891ED3">
      <w:pPr>
        <w:pStyle w:val="ECCBulletsLv1"/>
        <w:rPr>
          <w:rStyle w:val="ECCParagraph"/>
        </w:rPr>
      </w:pPr>
      <w:r>
        <w:rPr>
          <w:rStyle w:val="ECCParagraph"/>
        </w:rPr>
        <w:t>Radio Astronomy: Separation distance smaller than 20 km</w:t>
      </w:r>
      <w:r w:rsidR="005813BA">
        <w:rPr>
          <w:rStyle w:val="ECCParagraph"/>
        </w:rPr>
        <w:t>;</w:t>
      </w:r>
    </w:p>
    <w:p w14:paraId="0785E5D1" w14:textId="6BE7011E" w:rsidR="00891ED3" w:rsidRDefault="00891ED3" w:rsidP="00891ED3">
      <w:pPr>
        <w:pStyle w:val="ECCBulletsLv1"/>
        <w:rPr>
          <w:rStyle w:val="ECCParagraph"/>
        </w:rPr>
      </w:pPr>
      <w:r>
        <w:rPr>
          <w:rStyle w:val="ECCParagraph"/>
        </w:rPr>
        <w:t>Fixed Service and Amateur Service: Separation distance smaller than 300 m</w:t>
      </w:r>
      <w:r w:rsidR="005813BA">
        <w:rPr>
          <w:rStyle w:val="ECCParagraph"/>
        </w:rPr>
        <w:t>;</w:t>
      </w:r>
    </w:p>
    <w:p w14:paraId="36CE2804" w14:textId="46E0AC9C" w:rsidR="00891ED3" w:rsidRDefault="00891ED3" w:rsidP="00891ED3">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F49F9">
        <w:rPr>
          <w:rStyle w:val="ECCParagraph"/>
        </w:rPr>
        <w:t>3.5.4.2</w:t>
      </w:r>
      <w:r>
        <w:rPr>
          <w:rStyle w:val="ECCParagraph"/>
        </w:rPr>
        <w:fldChar w:fldCharType="end"/>
      </w:r>
      <w:r>
        <w:rPr>
          <w:rStyle w:val="ECCParagraph"/>
        </w:rPr>
        <w:t>).</w:t>
      </w:r>
    </w:p>
    <w:p w14:paraId="1DE1F7EC" w14:textId="77777777" w:rsidR="00573B3D" w:rsidRPr="00BB41AD" w:rsidRDefault="00573B3D" w:rsidP="00573B3D">
      <w:pPr>
        <w:rPr>
          <w:rStyle w:val="ECCParagraph"/>
        </w:rPr>
      </w:pPr>
      <w:r w:rsidRPr="00BB41AD">
        <w:t xml:space="preserve">All RDI-S sensors </w:t>
      </w:r>
      <w:r>
        <w:t>should furthermore comply</w:t>
      </w:r>
      <w:r w:rsidRPr="00BB41AD">
        <w:t xml:space="preserve"> with the following </w:t>
      </w:r>
      <w:r>
        <w:t>(</w:t>
      </w:r>
      <w:r w:rsidRPr="00BB41AD">
        <w:t>installation</w:t>
      </w:r>
      <w:r>
        <w:t>)</w:t>
      </w:r>
      <w:r w:rsidRPr="00BB41AD">
        <w:t xml:space="preserve"> requirements:</w:t>
      </w:r>
    </w:p>
    <w:p w14:paraId="00F0E3BE" w14:textId="5EF77998" w:rsidR="00573B3D" w:rsidRPr="00BB41AD" w:rsidRDefault="00573B3D" w:rsidP="00573B3D">
      <w:pPr>
        <w:pStyle w:val="ECCBulletsLv1"/>
        <w:rPr>
          <w:rStyle w:val="ECCParagraph"/>
        </w:rPr>
      </w:pPr>
      <w:r w:rsidRPr="00E2283A">
        <w:rPr>
          <w:rStyle w:val="ECCParagraph"/>
        </w:rPr>
        <w:t>The operation of RDI</w:t>
      </w:r>
      <w:r>
        <w:rPr>
          <w:rStyle w:val="ECCParagraph"/>
        </w:rPr>
        <w:t>-S</w:t>
      </w:r>
      <w:r w:rsidRPr="00E2283A">
        <w:rPr>
          <w:rStyle w:val="ECCParagraph"/>
        </w:rPr>
        <w:t xml:space="preserve"> sensors is envisaged for industrial purposes only</w:t>
      </w:r>
      <w:r w:rsidR="005813BA">
        <w:rPr>
          <w:rStyle w:val="ECCParagraph"/>
        </w:rPr>
        <w:t>;</w:t>
      </w:r>
    </w:p>
    <w:p w14:paraId="345D9CAF" w14:textId="570096CE" w:rsidR="00573B3D" w:rsidRPr="00BB41AD" w:rsidRDefault="00573B3D" w:rsidP="00573B3D">
      <w:pPr>
        <w:pStyle w:val="ECCBulletsLv1"/>
        <w:rPr>
          <w:rStyle w:val="ECCParagraph"/>
        </w:rPr>
      </w:pPr>
      <w:r w:rsidRPr="00BB41AD">
        <w:rPr>
          <w:rStyle w:val="ECCParagraph"/>
        </w:rPr>
        <w:t>Installation and maintenance of RDI-S equipment shall be performed by professionally trained individuals only</w:t>
      </w:r>
      <w:r w:rsidR="005813BA">
        <w:rPr>
          <w:rStyle w:val="ECCParagraph"/>
        </w:rPr>
        <w:t>;</w:t>
      </w:r>
    </w:p>
    <w:p w14:paraId="0650A2F2" w14:textId="4CA64DD4" w:rsidR="00573B3D" w:rsidRPr="00BB41AD" w:rsidRDefault="00573B3D" w:rsidP="00573B3D">
      <w:pPr>
        <w:pStyle w:val="ECCBulletsLv1"/>
        <w:rPr>
          <w:rStyle w:val="ECCParagraph"/>
        </w:rPr>
      </w:pPr>
      <w:r w:rsidRPr="00BB41AD">
        <w:rPr>
          <w:rStyle w:val="ECCParagraph"/>
        </w:rPr>
        <w:t>RDI-S equipment shall not be marketed to private end customers</w:t>
      </w:r>
      <w:r w:rsidR="005813BA">
        <w:rPr>
          <w:rStyle w:val="ECCParagraph"/>
        </w:rPr>
        <w:t>;</w:t>
      </w:r>
    </w:p>
    <w:p w14:paraId="5E87D3D3" w14:textId="2304948F" w:rsidR="00573B3D" w:rsidRPr="00BB41AD" w:rsidRDefault="00573B3D" w:rsidP="00573B3D">
      <w:pPr>
        <w:pStyle w:val="ECCBulletsLv1"/>
        <w:rPr>
          <w:rStyle w:val="ECCParagraph"/>
        </w:rPr>
      </w:pPr>
      <w:r w:rsidRPr="00BB41AD">
        <w:rPr>
          <w:rStyle w:val="ECCParagraph"/>
        </w:rPr>
        <w:t>Installers have to ensure that the device main beam is not pointing towards windows or other weak shielded parts of the shield</w:t>
      </w:r>
      <w:r>
        <w:rPr>
          <w:rStyle w:val="ECCParagraph"/>
        </w:rPr>
        <w:t>ed</w:t>
      </w:r>
      <w:r w:rsidRPr="00BB41AD">
        <w:rPr>
          <w:rStyle w:val="ECCParagraph"/>
        </w:rPr>
        <w:t xml:space="preserve"> environment. The direction of main radiation shall be indicated on the device</w:t>
      </w:r>
      <w:r w:rsidR="005813BA">
        <w:rPr>
          <w:rStyle w:val="ECCParagraph"/>
        </w:rPr>
        <w:t>;</w:t>
      </w:r>
    </w:p>
    <w:p w14:paraId="1BD626CD" w14:textId="01C403ED" w:rsidR="00573B3D" w:rsidRPr="00BB41AD" w:rsidRDefault="00573B3D" w:rsidP="00573B3D">
      <w:pPr>
        <w:pStyle w:val="ECCBulletsLv1"/>
        <w:rPr>
          <w:rStyle w:val="ECCParagraph"/>
        </w:rPr>
      </w:pPr>
      <w:r w:rsidRPr="00BB41AD">
        <w:rPr>
          <w:rStyle w:val="ECCParagraph"/>
        </w:rPr>
        <w:t>Installers have to ensure that there are no unwanted obstacles in the main beam of the antenna in order to mini</w:t>
      </w:r>
      <w:r w:rsidR="001D7996">
        <w:rPr>
          <w:rStyle w:val="ECCParagraph"/>
        </w:rPr>
        <w:t>mise</w:t>
      </w:r>
      <w:r w:rsidRPr="00BB41AD">
        <w:rPr>
          <w:rStyle w:val="ECCParagraph"/>
        </w:rPr>
        <w:t xml:space="preserve"> unintentional reflections and scattering</w:t>
      </w:r>
      <w:r w:rsidR="005813BA">
        <w:rPr>
          <w:rStyle w:val="ECCParagraph"/>
        </w:rPr>
        <w:t>;</w:t>
      </w:r>
    </w:p>
    <w:p w14:paraId="7ECBDC69" w14:textId="57D743A2" w:rsidR="00B7115C" w:rsidRPr="00BB41AD" w:rsidRDefault="00B7115C" w:rsidP="00573B3D">
      <w:pPr>
        <w:pStyle w:val="ECCBulletsLv1"/>
      </w:pPr>
      <w:r w:rsidRPr="00B7115C">
        <w:t>For RDI-S, the 10 dB contiguous bandwidth shall be equal to or higher than 35 GHz</w:t>
      </w:r>
      <w:r w:rsidR="005813BA">
        <w:t>;</w:t>
      </w:r>
    </w:p>
    <w:p w14:paraId="3B081114" w14:textId="784A81F4" w:rsidR="00573B3D" w:rsidRPr="00BB41AD" w:rsidRDefault="00573B3D" w:rsidP="00573B3D">
      <w:pPr>
        <w:pStyle w:val="ECCBulletsLv1"/>
      </w:pPr>
      <w:r w:rsidRPr="00AE08D2">
        <w:t xml:space="preserve">Slow sweeping RDI-S devices with sweep slopes </w:t>
      </w:r>
      <w:r w:rsidRPr="00BB41AD">
        <w:t xml:space="preserve">smaller than 2.5 GHz/ms shall notch out the </w:t>
      </w:r>
      <w:r>
        <w:t>ITU-</w:t>
      </w:r>
      <w:r w:rsidRPr="00BB41AD">
        <w:t>RR FN 5.340 bands by at least 10 dB reduction in mean and peak power</w:t>
      </w:r>
      <w:r w:rsidR="005813BA">
        <w:t>;</w:t>
      </w:r>
    </w:p>
    <w:p w14:paraId="3F8409C7" w14:textId="01E6DD78" w:rsidR="00573B3D" w:rsidRPr="00BB41AD" w:rsidRDefault="00573B3D" w:rsidP="00573B3D">
      <w:pPr>
        <w:pStyle w:val="ECCBulletsLv1"/>
        <w:rPr>
          <w:rStyle w:val="ECCParagraph"/>
        </w:rPr>
      </w:pPr>
      <w:r w:rsidRPr="00BB41AD">
        <w:rPr>
          <w:rStyle w:val="ECCParagraph"/>
        </w:rPr>
        <w:t xml:space="preserve">In order to protect the Radio Astronomy Service, inside a radius of </w:t>
      </w:r>
      <w:r w:rsidRPr="00F0431B">
        <w:t>13</w:t>
      </w:r>
      <w:r w:rsidR="00CF4994">
        <w:t>.2</w:t>
      </w:r>
      <w:r w:rsidRPr="00F0431B">
        <w:t> km</w:t>
      </w:r>
      <w:r w:rsidRPr="00BB41AD">
        <w:rPr>
          <w:rStyle w:val="ECCParagraph"/>
        </w:rPr>
        <w:t xml:space="preserve"> around the stations of NOEMA and IRAM</w:t>
      </w:r>
      <w:r w:rsidR="007A20F2">
        <w:rPr>
          <w:rStyle w:val="ECCParagraph"/>
        </w:rPr>
        <w:t xml:space="preserve"> </w:t>
      </w:r>
      <w:r w:rsidRPr="00BB41AD">
        <w:rPr>
          <w:rStyle w:val="ECCParagraph"/>
        </w:rPr>
        <w:t>30</w:t>
      </w:r>
      <w:r w:rsidR="007A20F2">
        <w:rPr>
          <w:rStyle w:val="ECCParagraph"/>
        </w:rPr>
        <w:t xml:space="preserve"> </w:t>
      </w:r>
      <w:r w:rsidRPr="00BB41AD">
        <w:rPr>
          <w:rStyle w:val="ECCParagraph"/>
        </w:rPr>
        <w:t xml:space="preserve">m the installation and operation of RDI-S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r w:rsidR="005813BA">
        <w:rPr>
          <w:rStyle w:val="ECCParagraph"/>
        </w:rPr>
        <w:t>;</w:t>
      </w:r>
    </w:p>
    <w:p w14:paraId="4777F09B" w14:textId="77777777" w:rsidR="00573B3D" w:rsidRPr="00573B3D" w:rsidRDefault="00573B3D" w:rsidP="00573B3D">
      <w:pPr>
        <w:pStyle w:val="ECCBulletsLv1"/>
      </w:pPr>
      <w:r w:rsidRPr="00BB41AD">
        <w:t>The provider is required to inform the users and installers of RDI-S equipment about the installation requirements and the additional special mounting instructions.</w:t>
      </w:r>
    </w:p>
    <w:p w14:paraId="5F5657ED" w14:textId="77777777" w:rsidR="00573B3D" w:rsidRPr="00E83DFA" w:rsidRDefault="00573B3D" w:rsidP="00573B3D">
      <w:r w:rsidRPr="00E83DFA">
        <w:t>In addition, the following antenna requirement is proposed:</w:t>
      </w:r>
    </w:p>
    <w:p w14:paraId="0E781556" w14:textId="77777777" w:rsidR="00573B3D" w:rsidRPr="00E83DFA" w:rsidRDefault="00573B3D" w:rsidP="00573B3D">
      <w:pPr>
        <w:pStyle w:val="ECCBulletsLv1"/>
      </w:pPr>
      <w:r w:rsidRPr="00E83DFA">
        <w:t xml:space="preserve">For </w:t>
      </w:r>
      <w:r>
        <w:t>RDI-S</w:t>
      </w:r>
      <w:r w:rsidRPr="00E83DFA">
        <w:t xml:space="preserve"> devices using an antenna gain smaller than 20 dBi, the maximum conducted peak output power shall be limited to 15 dBm.</w:t>
      </w:r>
    </w:p>
    <w:p w14:paraId="2FD74FD9" w14:textId="77777777" w:rsidR="003E5746" w:rsidRDefault="003E5746" w:rsidP="003E5746">
      <w:pPr>
        <w:pStyle w:val="Heading3"/>
      </w:pPr>
      <w:bookmarkStart w:id="965" w:name="_Ref67392580"/>
      <w:bookmarkStart w:id="966" w:name="_Toc84325491"/>
      <w:bookmarkStart w:id="967" w:name="_Toc127346413"/>
      <w:r>
        <w:t>Radio Astronomy</w:t>
      </w:r>
      <w:bookmarkEnd w:id="965"/>
      <w:bookmarkEnd w:id="966"/>
      <w:bookmarkEnd w:id="967"/>
    </w:p>
    <w:p w14:paraId="721EF5DF" w14:textId="1D263390" w:rsidR="00F576D4" w:rsidRDefault="00F576D4" w:rsidP="00F576D4">
      <w:r w:rsidRPr="00B10E31">
        <w:t xml:space="preserve">For the </w:t>
      </w:r>
      <w:r>
        <w:t>whole investigated frequency band</w:t>
      </w:r>
      <w:r w:rsidRPr="00B10E31">
        <w:t xml:space="preserve"> </w:t>
      </w:r>
      <w:r>
        <w:t>116</w:t>
      </w:r>
      <w:r w:rsidRPr="00B10E31">
        <w:t> GHz to 2</w:t>
      </w:r>
      <w:r>
        <w:t>60 </w:t>
      </w:r>
      <w:r w:rsidRPr="00B10E31">
        <w:t>GHz</w:t>
      </w:r>
      <w:r>
        <w:t xml:space="preserve"> compatibility can be ensured between RDI-S and RAS when a </w:t>
      </w:r>
      <w:r w:rsidRPr="00B10E31">
        <w:t xml:space="preserve">separation distance of </w:t>
      </w:r>
      <w:r>
        <w:t>13</w:t>
      </w:r>
      <w:r w:rsidR="00CF4994">
        <w:t>.2</w:t>
      </w:r>
      <w:r w:rsidRPr="00B10E31">
        <w:t> km</w:t>
      </w:r>
      <w:r>
        <w:t xml:space="preserve"> is respected without the implementation of additional mitigation techniques (see </w:t>
      </w:r>
      <w:r w:rsidR="009D5FA2">
        <w:t>section</w:t>
      </w:r>
      <w:r>
        <w:t xml:space="preserve"> </w:t>
      </w:r>
      <w:r>
        <w:fldChar w:fldCharType="begin"/>
      </w:r>
      <w:r>
        <w:instrText xml:space="preserve"> REF _Ref67330081 \r \h </w:instrText>
      </w:r>
      <w:r>
        <w:fldChar w:fldCharType="separate"/>
      </w:r>
      <w:r w:rsidR="004F49F9">
        <w:t>4.8.2</w:t>
      </w:r>
      <w:r>
        <w:fldChar w:fldCharType="end"/>
      </w:r>
      <w:r>
        <w:t>).</w:t>
      </w:r>
    </w:p>
    <w:p w14:paraId="28CB5523" w14:textId="77777777" w:rsidR="003E5746" w:rsidRDefault="003E5746" w:rsidP="003E5746">
      <w:pPr>
        <w:pStyle w:val="Heading3"/>
      </w:pPr>
      <w:bookmarkStart w:id="968" w:name="_Ref67393077"/>
      <w:bookmarkStart w:id="969" w:name="_Toc84325492"/>
      <w:bookmarkStart w:id="970" w:name="_Toc127346414"/>
      <w:r>
        <w:t>Fixed Service</w:t>
      </w:r>
      <w:bookmarkEnd w:id="968"/>
      <w:bookmarkEnd w:id="969"/>
      <w:bookmarkEnd w:id="970"/>
    </w:p>
    <w:p w14:paraId="1B8DF390" w14:textId="6361CCDF" w:rsidR="00F576D4" w:rsidRPr="00591E62" w:rsidRDefault="00F576D4" w:rsidP="00F576D4">
      <w:r w:rsidRPr="00591E62">
        <w:t xml:space="preserve">For evaluating the compatibility between RDI-S and FS the two worst-case interference scenarios in </w:t>
      </w:r>
      <w:r>
        <w:rPr>
          <w:highlight w:val="yellow"/>
        </w:rPr>
        <w:fldChar w:fldCharType="begin"/>
      </w:r>
      <w:r>
        <w:instrText xml:space="preserve"> REF _Ref51771425 \h </w:instrText>
      </w:r>
      <w:r>
        <w:rPr>
          <w:highlight w:val="yellow"/>
        </w:rPr>
      </w:r>
      <w:r>
        <w:rPr>
          <w:highlight w:val="yellow"/>
        </w:rPr>
        <w:fldChar w:fldCharType="separate"/>
      </w:r>
      <w:r w:rsidR="004F49F9">
        <w:t>Figure </w:t>
      </w:r>
      <w:r w:rsidR="004F49F9">
        <w:rPr>
          <w:noProof/>
        </w:rPr>
        <w:t>60</w:t>
      </w:r>
      <w:r>
        <w:rPr>
          <w:highlight w:val="yellow"/>
        </w:rPr>
        <w:fldChar w:fldCharType="end"/>
      </w:r>
      <w:r>
        <w:t xml:space="preserve"> </w:t>
      </w:r>
      <w:r w:rsidRPr="00591E62">
        <w:t xml:space="preserve">and </w:t>
      </w:r>
      <w:r>
        <w:rPr>
          <w:highlight w:val="yellow"/>
        </w:rPr>
        <w:fldChar w:fldCharType="begin"/>
      </w:r>
      <w:r>
        <w:instrText xml:space="preserve"> REF _Ref51772643 \h </w:instrText>
      </w:r>
      <w:r>
        <w:rPr>
          <w:highlight w:val="yellow"/>
        </w:rPr>
      </w:r>
      <w:r>
        <w:rPr>
          <w:highlight w:val="yellow"/>
        </w:rPr>
        <w:fldChar w:fldCharType="separate"/>
      </w:r>
      <w:r w:rsidR="004F49F9">
        <w:t>Figure </w:t>
      </w:r>
      <w:r w:rsidR="004F49F9">
        <w:rPr>
          <w:noProof/>
        </w:rPr>
        <w:t>61</w:t>
      </w:r>
      <w:r>
        <w:rPr>
          <w:highlight w:val="yellow"/>
        </w:rPr>
        <w:fldChar w:fldCharType="end"/>
      </w:r>
      <w:r>
        <w:t xml:space="preserve"> </w:t>
      </w:r>
      <w:r w:rsidRPr="00591E62">
        <w:t xml:space="preserve">have been defined (see </w:t>
      </w:r>
      <w:r w:rsidR="009D5FA2">
        <w:t>section</w:t>
      </w:r>
      <w:r w:rsidRPr="00591E62">
        <w:t xml:space="preserve"> </w:t>
      </w:r>
      <w:r>
        <w:rPr>
          <w:highlight w:val="yellow"/>
        </w:rPr>
        <w:fldChar w:fldCharType="begin"/>
      </w:r>
      <w:r>
        <w:instrText xml:space="preserve"> REF _Ref66452787 \r \h </w:instrText>
      </w:r>
      <w:r>
        <w:rPr>
          <w:highlight w:val="yellow"/>
        </w:rPr>
      </w:r>
      <w:r>
        <w:rPr>
          <w:highlight w:val="yellow"/>
        </w:rPr>
        <w:fldChar w:fldCharType="separate"/>
      </w:r>
      <w:r w:rsidR="004F49F9">
        <w:t>2.2.8.6</w:t>
      </w:r>
      <w:r>
        <w:rPr>
          <w:highlight w:val="yellow"/>
        </w:rPr>
        <w:fldChar w:fldCharType="end"/>
      </w:r>
      <w:r>
        <w:t xml:space="preserve">). </w:t>
      </w:r>
      <w:r w:rsidRPr="00591E62">
        <w:t xml:space="preserve">In both scenarios it is valid that separation distances smaller than 300 m result in compatibility between RDI-S and FS such that a coexistence of both systems is always given. Separation distances larger than 300 m in contrast produce interference to the FS receiver such that the protection requirements identified in </w:t>
      </w:r>
      <w:r w:rsidR="009D5FA2">
        <w:t>section</w:t>
      </w:r>
      <w:r w:rsidRPr="00591E62">
        <w:t xml:space="preserve"> </w:t>
      </w:r>
      <w:r>
        <w:rPr>
          <w:highlight w:val="yellow"/>
        </w:rPr>
        <w:fldChar w:fldCharType="begin"/>
      </w:r>
      <w:r>
        <w:instrText xml:space="preserve"> REF _Ref67058296 \r \h </w:instrText>
      </w:r>
      <w:r>
        <w:rPr>
          <w:highlight w:val="yellow"/>
        </w:rPr>
      </w:r>
      <w:r>
        <w:rPr>
          <w:highlight w:val="yellow"/>
        </w:rPr>
        <w:fldChar w:fldCharType="separate"/>
      </w:r>
      <w:r w:rsidR="004F49F9">
        <w:t>3.5.3</w:t>
      </w:r>
      <w:r>
        <w:rPr>
          <w:highlight w:val="yellow"/>
        </w:rPr>
        <w:fldChar w:fldCharType="end"/>
      </w:r>
      <w:r>
        <w:t xml:space="preserve"> </w:t>
      </w:r>
      <w:r w:rsidRPr="00591E62">
        <w:t xml:space="preserve">are </w:t>
      </w:r>
      <w:r>
        <w:t>not fulfilled</w:t>
      </w:r>
      <w:r w:rsidRPr="00591E62">
        <w:t>. In this case the coexistence of both systems is not possible in the respective scenario</w:t>
      </w:r>
      <w:r>
        <w:t xml:space="preserve"> without further protection measures</w:t>
      </w:r>
      <w:r w:rsidRPr="00591E62">
        <w:t>.</w:t>
      </w:r>
    </w:p>
    <w:p w14:paraId="2FC5989B" w14:textId="07A3EF10" w:rsidR="00F576D4" w:rsidRPr="00591E62" w:rsidRDefault="00F576D4" w:rsidP="00F576D4">
      <w:r w:rsidRPr="00591E62">
        <w:t xml:space="preserve">All calculated separation distances for RDI-S in </w:t>
      </w:r>
      <w:r>
        <w:rPr>
          <w:highlight w:val="yellow"/>
        </w:rPr>
        <w:fldChar w:fldCharType="begin"/>
      </w:r>
      <w:r>
        <w:instrText xml:space="preserve"> REF _Ref67058152 \h </w:instrText>
      </w:r>
      <w:r>
        <w:rPr>
          <w:highlight w:val="yellow"/>
        </w:rPr>
      </w:r>
      <w:r>
        <w:rPr>
          <w:highlight w:val="yellow"/>
        </w:rPr>
        <w:fldChar w:fldCharType="separate"/>
      </w:r>
      <w:r w:rsidR="0041125F" w:rsidRPr="00477961">
        <w:t>Table </w:t>
      </w:r>
      <w:r w:rsidR="0041125F">
        <w:rPr>
          <w:noProof/>
        </w:rPr>
        <w:t>82</w:t>
      </w:r>
      <w:r>
        <w:rPr>
          <w:highlight w:val="yellow"/>
        </w:rPr>
        <w:fldChar w:fldCharType="end"/>
      </w:r>
      <w:r>
        <w:t xml:space="preserve"> </w:t>
      </w:r>
      <w:r w:rsidRPr="00591E62">
        <w:t>are smaller than 300 m</w:t>
      </w:r>
      <w:r w:rsidR="008464A0">
        <w:t xml:space="preserve"> (see </w:t>
      </w:r>
      <w:r w:rsidR="009D5FA2">
        <w:t>section</w:t>
      </w:r>
      <w:r w:rsidR="008464A0">
        <w:t xml:space="preserve"> </w:t>
      </w:r>
      <w:r w:rsidR="00936702">
        <w:fldChar w:fldCharType="begin"/>
      </w:r>
      <w:r w:rsidR="00936702">
        <w:instrText xml:space="preserve"> REF _Ref67330794 \r \h </w:instrText>
      </w:r>
      <w:r w:rsidR="00936702">
        <w:fldChar w:fldCharType="separate"/>
      </w:r>
      <w:r w:rsidR="004F49F9">
        <w:t>5.8.2</w:t>
      </w:r>
      <w:r w:rsidR="00936702">
        <w:fldChar w:fldCharType="end"/>
      </w:r>
      <w:r w:rsidR="008464A0">
        <w:t>)</w:t>
      </w:r>
      <w:r w:rsidRPr="00591E62">
        <w:t>. Ther</w:t>
      </w:r>
      <w:r>
        <w:t>e</w:t>
      </w:r>
      <w:r w:rsidRPr="00591E62">
        <w:t>fore, compatibility between RDI-S and FS can always be asserted for both scenarios and both investigated protection objectives</w:t>
      </w:r>
      <w:r>
        <w:t xml:space="preserve"> without the implementation of additional mitigation techniques.</w:t>
      </w:r>
    </w:p>
    <w:p w14:paraId="4A7C3C1D" w14:textId="77777777" w:rsidR="003E5746" w:rsidRDefault="003E5746" w:rsidP="003E5746">
      <w:pPr>
        <w:pStyle w:val="Heading3"/>
      </w:pPr>
      <w:bookmarkStart w:id="971" w:name="_Ref67393472"/>
      <w:bookmarkStart w:id="972" w:name="_Toc84325493"/>
      <w:bookmarkStart w:id="973" w:name="_Toc127346415"/>
      <w:r w:rsidRPr="003E5746">
        <w:t>E</w:t>
      </w:r>
      <w:r>
        <w:t>arth Exploration Satellite Service</w:t>
      </w:r>
      <w:r w:rsidRPr="003E5746">
        <w:t xml:space="preserve"> (Passive)</w:t>
      </w:r>
      <w:bookmarkEnd w:id="971"/>
      <w:bookmarkEnd w:id="972"/>
      <w:bookmarkEnd w:id="973"/>
    </w:p>
    <w:p w14:paraId="1B1AFB28" w14:textId="0C5564CA" w:rsidR="003E5746" w:rsidRPr="003E5746" w:rsidRDefault="008464A0" w:rsidP="003E5746">
      <w:r w:rsidRPr="00B10E31">
        <w:t xml:space="preserve">For the </w:t>
      </w:r>
      <w:r>
        <w:t>whole investigated frequency band</w:t>
      </w:r>
      <w:r w:rsidRPr="00B10E31">
        <w:t xml:space="preserve"> </w:t>
      </w:r>
      <w:r>
        <w:t>116</w:t>
      </w:r>
      <w:r w:rsidRPr="00B10E31">
        <w:t> GHz to 2</w:t>
      </w:r>
      <w:r>
        <w:t>60 </w:t>
      </w:r>
      <w:r w:rsidRPr="00B10E31">
        <w:t>GHz</w:t>
      </w:r>
      <w:r>
        <w:t xml:space="preserve"> </w:t>
      </w:r>
      <w:r w:rsidR="00B445C8">
        <w:t xml:space="preserve">and </w:t>
      </w:r>
      <w:r>
        <w:t xml:space="preserve">for both, the single-entry and the aggregate consideration, ample margins to the interference criteria and therefore compatibility can be ensured </w:t>
      </w:r>
      <w:r w:rsidRPr="0043593A">
        <w:rPr>
          <w:rStyle w:val="ECCParagraph"/>
        </w:rPr>
        <w:t>without the implementation of additional mitigation techniques</w:t>
      </w:r>
      <w:r>
        <w:t xml:space="preserve"> (see </w:t>
      </w:r>
      <w:r w:rsidR="009D5FA2">
        <w:t>section</w:t>
      </w:r>
      <w:r>
        <w:t xml:space="preserve"> </w:t>
      </w:r>
      <w:r>
        <w:fldChar w:fldCharType="begin"/>
      </w:r>
      <w:r>
        <w:instrText xml:space="preserve"> REF _Ref67330660 \r \h </w:instrText>
      </w:r>
      <w:r>
        <w:fldChar w:fldCharType="separate"/>
      </w:r>
      <w:r w:rsidR="004F49F9">
        <w:t>6.8.2</w:t>
      </w:r>
      <w:r>
        <w:fldChar w:fldCharType="end"/>
      </w:r>
      <w:r>
        <w:t>).</w:t>
      </w:r>
    </w:p>
    <w:p w14:paraId="7521E01B" w14:textId="77777777" w:rsidR="003E5746" w:rsidRPr="009C0EF6" w:rsidRDefault="003E5746" w:rsidP="003E5746">
      <w:pPr>
        <w:pStyle w:val="Heading3"/>
      </w:pPr>
      <w:bookmarkStart w:id="974" w:name="_Ref67393928"/>
      <w:bookmarkStart w:id="975" w:name="_Toc84325494"/>
      <w:bookmarkStart w:id="976" w:name="_Toc127346416"/>
      <w:r>
        <w:t>Amateur Service</w:t>
      </w:r>
      <w:bookmarkEnd w:id="974"/>
      <w:bookmarkEnd w:id="975"/>
      <w:bookmarkEnd w:id="976"/>
    </w:p>
    <w:p w14:paraId="2F9F5CF4" w14:textId="77777777" w:rsidR="003E7792" w:rsidRDefault="003E7792" w:rsidP="003E7792">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0FBDBAE9" w14:textId="60991D84" w:rsidR="009C0EF6" w:rsidRDefault="003E7792" w:rsidP="009C0EF6">
      <w:pPr>
        <w:rPr>
          <w:rStyle w:val="ECCParagraph"/>
        </w:rPr>
      </w:pPr>
      <w:r>
        <w:t xml:space="preserve">The results illustrated in </w:t>
      </w:r>
      <w:r>
        <w:fldChar w:fldCharType="begin"/>
      </w:r>
      <w:r>
        <w:instrText xml:space="preserve"> REF _Ref67244651 \h </w:instrText>
      </w:r>
      <w:r>
        <w:fldChar w:fldCharType="separate"/>
      </w:r>
      <w:r w:rsidR="0041125F" w:rsidRPr="00477961">
        <w:t>Table </w:t>
      </w:r>
      <w:r w:rsidR="0041125F">
        <w:rPr>
          <w:noProof/>
        </w:rPr>
        <w:t>124</w:t>
      </w:r>
      <w:r>
        <w:fldChar w:fldCharType="end"/>
      </w:r>
      <w:r>
        <w:t xml:space="preserve"> suggest, that</w:t>
      </w:r>
      <w:r w:rsidRPr="00B10E31">
        <w:t xml:space="preserve"> compatibility between </w:t>
      </w:r>
      <w:r>
        <w:t>RDI-S</w:t>
      </w:r>
      <w:r w:rsidRPr="00B10E31">
        <w:t xml:space="preserve"> and </w:t>
      </w:r>
      <w:r>
        <w:t>Amateur</w:t>
      </w:r>
      <w:r w:rsidRPr="00B10E31">
        <w:t xml:space="preserve"> can be asserted </w:t>
      </w:r>
      <w:r>
        <w:t>in</w:t>
      </w:r>
      <w:r w:rsidRPr="00B10E31">
        <w:t xml:space="preserve"> </w:t>
      </w:r>
      <w:r>
        <w:t xml:space="preserve">the whole investigated frequency band </w:t>
      </w:r>
      <w:r w:rsidRPr="0043593A">
        <w:rPr>
          <w:rStyle w:val="ECCParagraph"/>
        </w:rPr>
        <w:t>without the implementation of additional mitigation techniques</w:t>
      </w:r>
      <w:r>
        <w:rPr>
          <w:rStyle w:val="ECCParagraph"/>
        </w:rPr>
        <w:t xml:space="preserve">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_Ref67331020 \r \h </w:instrText>
      </w:r>
      <w:r>
        <w:rPr>
          <w:rStyle w:val="ECCParagraph"/>
        </w:rPr>
      </w:r>
      <w:r>
        <w:rPr>
          <w:rStyle w:val="ECCParagraph"/>
        </w:rPr>
        <w:fldChar w:fldCharType="separate"/>
      </w:r>
      <w:r w:rsidR="004F49F9">
        <w:rPr>
          <w:rStyle w:val="ECCParagraph"/>
        </w:rPr>
        <w:t>7.8.2</w:t>
      </w:r>
      <w:r>
        <w:rPr>
          <w:rStyle w:val="ECCParagraph"/>
        </w:rPr>
        <w:fldChar w:fldCharType="end"/>
      </w:r>
      <w:r>
        <w:rPr>
          <w:rStyle w:val="ECCParagraph"/>
        </w:rPr>
        <w:t>).</w:t>
      </w:r>
    </w:p>
    <w:p w14:paraId="7CB82DF2" w14:textId="77777777" w:rsidR="00A07295" w:rsidRDefault="00A07295" w:rsidP="00A07295">
      <w:pPr>
        <w:pStyle w:val="Heading2"/>
      </w:pPr>
      <w:bookmarkStart w:id="977" w:name="_Ref67996394"/>
      <w:bookmarkStart w:id="978" w:name="_Toc84325495"/>
      <w:bookmarkStart w:id="979" w:name="_Toc127346417"/>
      <w:r>
        <w:t xml:space="preserve">Graphical illustration of the </w:t>
      </w:r>
      <w:r w:rsidR="00BE7B1A">
        <w:t xml:space="preserve">resulting </w:t>
      </w:r>
      <w:r w:rsidR="000F74A5">
        <w:t>c</w:t>
      </w:r>
      <w:r w:rsidR="00182755">
        <w:t>ompatibility</w:t>
      </w:r>
      <w:r w:rsidR="00BE7B1A">
        <w:t xml:space="preserve"> situation</w:t>
      </w:r>
      <w:bookmarkEnd w:id="977"/>
      <w:bookmarkEnd w:id="978"/>
      <w:bookmarkEnd w:id="979"/>
    </w:p>
    <w:p w14:paraId="40C78AAF" w14:textId="35B57C63" w:rsidR="00CF180D" w:rsidRDefault="00236279" w:rsidP="00182755">
      <w:r>
        <w:fldChar w:fldCharType="begin"/>
      </w:r>
      <w:r>
        <w:instrText xml:space="preserve"> REF _Ref67399533 \h </w:instrText>
      </w:r>
      <w:r>
        <w:fldChar w:fldCharType="separate"/>
      </w:r>
      <w:r w:rsidR="0041125F" w:rsidRPr="00236279">
        <w:t>Figure </w:t>
      </w:r>
      <w:r w:rsidR="0041125F">
        <w:rPr>
          <w:noProof/>
        </w:rPr>
        <w:t>100</w:t>
      </w:r>
      <w:r>
        <w:fldChar w:fldCharType="end"/>
      </w:r>
      <w:r>
        <w:t xml:space="preserve"> </w:t>
      </w:r>
      <w:r w:rsidR="00BE7B1A">
        <w:t xml:space="preserve">shows the graphical representation of the </w:t>
      </w:r>
      <w:r>
        <w:t xml:space="preserve">compatibility situation </w:t>
      </w:r>
      <w:r w:rsidR="00CF180D">
        <w:t>between the investigated UWB-applications</w:t>
      </w:r>
      <w:r w:rsidR="003B0FDF">
        <w:t>:</w:t>
      </w:r>
    </w:p>
    <w:p w14:paraId="42203976" w14:textId="21352976" w:rsidR="00CF180D" w:rsidRDefault="00CF180D" w:rsidP="00CF180D">
      <w:pPr>
        <w:pStyle w:val="ECCBulletsLv1"/>
      </w:pPr>
      <w:r>
        <w:t>Generic indoor surveillance radar</w:t>
      </w:r>
      <w:r w:rsidR="003B0FDF">
        <w:t>;</w:t>
      </w:r>
    </w:p>
    <w:p w14:paraId="69492E32" w14:textId="0F846A43" w:rsidR="00CF180D" w:rsidRDefault="00CF180D" w:rsidP="00CF180D">
      <w:pPr>
        <w:pStyle w:val="ECCBulletsLv1"/>
      </w:pPr>
      <w:r w:rsidRPr="00CF180D">
        <w:t>Radiodetermination systems for industry automation</w:t>
      </w:r>
      <w:r>
        <w:t xml:space="preserve"> (RDI)</w:t>
      </w:r>
      <w:r w:rsidR="003B0FDF">
        <w:t>;</w:t>
      </w:r>
    </w:p>
    <w:p w14:paraId="377E1532" w14:textId="65ED505F" w:rsidR="00CF180D" w:rsidRDefault="00CF180D" w:rsidP="00CF180D">
      <w:pPr>
        <w:pStyle w:val="ECCBulletsLv1"/>
        <w:rPr>
          <w:rStyle w:val="ECCParagraph"/>
        </w:rPr>
      </w:pPr>
      <w:r>
        <w:rPr>
          <w:rStyle w:val="ECCParagraph"/>
        </w:rPr>
        <w:t>Short-range</w:t>
      </w:r>
      <w:r w:rsidRPr="00E52D95">
        <w:rPr>
          <w:rStyle w:val="ECCParagraph"/>
        </w:rPr>
        <w:t xml:space="preserve"> assist and </w:t>
      </w:r>
      <w:r>
        <w:rPr>
          <w:rStyle w:val="ECCParagraph"/>
        </w:rPr>
        <w:t>surrounding</w:t>
      </w:r>
      <w:r w:rsidRPr="00E52D95">
        <w:rPr>
          <w:rStyle w:val="ECCParagraph"/>
        </w:rPr>
        <w:t xml:space="preserve"> monitoring for vehicles and autonomous systems</w:t>
      </w:r>
      <w:r w:rsidR="003B0FDF">
        <w:rPr>
          <w:rStyle w:val="ECCParagraph"/>
        </w:rPr>
        <w:t>;</w:t>
      </w:r>
    </w:p>
    <w:p w14:paraId="7B00019E" w14:textId="5C314A04" w:rsidR="00CF180D" w:rsidRDefault="00CF180D" w:rsidP="00CF180D">
      <w:pPr>
        <w:pStyle w:val="ECCBulletsLv1"/>
        <w:rPr>
          <w:rStyle w:val="ECCParagraph"/>
        </w:rPr>
      </w:pPr>
      <w:r>
        <w:rPr>
          <w:rStyle w:val="ECCParagraph"/>
        </w:rPr>
        <w:t>Level probing radar (LPR)</w:t>
      </w:r>
      <w:r w:rsidR="003B0FDF">
        <w:rPr>
          <w:rStyle w:val="ECCParagraph"/>
        </w:rPr>
        <w:t>;</w:t>
      </w:r>
    </w:p>
    <w:p w14:paraId="4A4AFE2A" w14:textId="69F15ECE" w:rsidR="00CF180D" w:rsidRDefault="00CF180D" w:rsidP="00CF180D">
      <w:pPr>
        <w:pStyle w:val="ECCBulletsLv1"/>
      </w:pPr>
      <w:r w:rsidRPr="00CF180D">
        <w:rPr>
          <w:rStyle w:val="ECCParagraph"/>
        </w:rPr>
        <w:t xml:space="preserve">Contour determination and </w:t>
      </w:r>
      <w:r w:rsidRPr="00CF180D">
        <w:t>acquisition</w:t>
      </w:r>
      <w:r>
        <w:t xml:space="preserve"> radar (CDR)</w:t>
      </w:r>
      <w:r w:rsidR="003B0FDF">
        <w:t>;</w:t>
      </w:r>
    </w:p>
    <w:p w14:paraId="3A055D29" w14:textId="6BCEFF7E" w:rsidR="00CF180D" w:rsidRDefault="00CF180D" w:rsidP="00CF180D">
      <w:pPr>
        <w:pStyle w:val="ECCBulletsLv1"/>
        <w:rPr>
          <w:rStyle w:val="ECCParagraph"/>
        </w:rPr>
      </w:pPr>
      <w:r>
        <w:rPr>
          <w:rStyle w:val="ECCParagraph"/>
        </w:rPr>
        <w:t>Tank Level probing radar (TLPR)</w:t>
      </w:r>
      <w:r w:rsidR="003B0FDF">
        <w:rPr>
          <w:rStyle w:val="ECCParagraph"/>
        </w:rPr>
        <w:t>;</w:t>
      </w:r>
    </w:p>
    <w:p w14:paraId="7AD3C7CE" w14:textId="2D5B6382" w:rsidR="00CF180D" w:rsidRDefault="00CF180D" w:rsidP="00CF180D">
      <w:pPr>
        <w:pStyle w:val="ECCBulletsLv1"/>
      </w:pPr>
      <w:r w:rsidRPr="00CF180D">
        <w:t>Radiodetermination systems for industry automation</w:t>
      </w:r>
      <w:r>
        <w:t xml:space="preserve"> in shielded environments (RDI-S)</w:t>
      </w:r>
      <w:r w:rsidR="003B0FDF">
        <w:t>.</w:t>
      </w:r>
    </w:p>
    <w:p w14:paraId="29A528D7" w14:textId="77777777" w:rsidR="00CF180D" w:rsidRDefault="00CF180D" w:rsidP="00CF180D">
      <w:r>
        <w:t>and the considered victim Radio Services</w:t>
      </w:r>
    </w:p>
    <w:p w14:paraId="401C9573" w14:textId="7F2C6BDF" w:rsidR="00CF180D" w:rsidRPr="00CF180D" w:rsidRDefault="00CF180D" w:rsidP="00CF180D">
      <w:pPr>
        <w:pStyle w:val="ECCBulletsLv1"/>
      </w:pPr>
      <w:r w:rsidRPr="00CF180D">
        <w:t xml:space="preserve">Radio </w:t>
      </w:r>
      <w:r>
        <w:t>A</w:t>
      </w:r>
      <w:r w:rsidRPr="00CF180D">
        <w:t xml:space="preserve">stronomy </w:t>
      </w:r>
      <w:r>
        <w:t>S</w:t>
      </w:r>
      <w:r w:rsidRPr="00CF180D">
        <w:t>ervice (RAS)</w:t>
      </w:r>
      <w:r w:rsidR="00FB4A3D">
        <w:t>;</w:t>
      </w:r>
    </w:p>
    <w:p w14:paraId="239E3259" w14:textId="663347D0" w:rsidR="00CF180D" w:rsidRPr="00CF180D" w:rsidRDefault="00CF180D" w:rsidP="00CF180D">
      <w:pPr>
        <w:pStyle w:val="ECCBulletsLv1"/>
      </w:pPr>
      <w:r w:rsidRPr="00CF180D">
        <w:t xml:space="preserve">Fixed </w:t>
      </w:r>
      <w:r>
        <w:t>S</w:t>
      </w:r>
      <w:r w:rsidRPr="00CF180D">
        <w:t>ervice (FS)</w:t>
      </w:r>
      <w:r w:rsidR="00FB4A3D">
        <w:t>;</w:t>
      </w:r>
    </w:p>
    <w:p w14:paraId="06FE4472" w14:textId="5856F5DD" w:rsidR="00CF180D" w:rsidRPr="00CF180D" w:rsidRDefault="00CF180D" w:rsidP="00CF180D">
      <w:pPr>
        <w:pStyle w:val="ECCBulletsLv1"/>
      </w:pPr>
      <w:r w:rsidRPr="00CF180D">
        <w:t xml:space="preserve">Earth </w:t>
      </w:r>
      <w:r>
        <w:t>E</w:t>
      </w:r>
      <w:r w:rsidRPr="00CF180D">
        <w:t xml:space="preserve">xploration </w:t>
      </w:r>
      <w:r>
        <w:t>S</w:t>
      </w:r>
      <w:r w:rsidRPr="00CF180D">
        <w:t xml:space="preserve">atellite </w:t>
      </w:r>
      <w:r>
        <w:t>S</w:t>
      </w:r>
      <w:r w:rsidRPr="00CF180D">
        <w:t>ervice (EESS)</w:t>
      </w:r>
      <w:r w:rsidR="00FB4A3D">
        <w:t>;</w:t>
      </w:r>
      <w:r>
        <w:t xml:space="preserve"> </w:t>
      </w:r>
    </w:p>
    <w:p w14:paraId="63948129" w14:textId="4275B667" w:rsidR="00CF180D" w:rsidRPr="00CF180D" w:rsidRDefault="00CF180D" w:rsidP="00CF180D">
      <w:pPr>
        <w:pStyle w:val="ECCBulletsLv1"/>
      </w:pPr>
      <w:r w:rsidRPr="00CF180D">
        <w:t xml:space="preserve">Amateur </w:t>
      </w:r>
      <w:r>
        <w:t>S</w:t>
      </w:r>
      <w:r w:rsidRPr="00CF180D">
        <w:t>ervice</w:t>
      </w:r>
      <w:r w:rsidR="00FB4A3D">
        <w:t>.</w:t>
      </w:r>
    </w:p>
    <w:p w14:paraId="532BE121" w14:textId="29A03003" w:rsidR="0077671C" w:rsidRDefault="00236279" w:rsidP="00182755">
      <w:r>
        <w:t xml:space="preserve">obtained in </w:t>
      </w:r>
      <w:r w:rsidR="00CF180D">
        <w:t>various</w:t>
      </w:r>
      <w:r>
        <w:t xml:space="preserve"> conducted studies </w:t>
      </w:r>
      <w:r w:rsidR="00CF180D">
        <w:t>as</w:t>
      </w:r>
      <w:r>
        <w:t xml:space="preserve"> outlined in </w:t>
      </w:r>
      <w:r w:rsidR="00DA3555">
        <w:t>section</w:t>
      </w:r>
      <w:r>
        <w:t xml:space="preserve">s </w:t>
      </w:r>
      <w:r>
        <w:fldChar w:fldCharType="begin"/>
      </w:r>
      <w:r>
        <w:instrText xml:space="preserve"> REF _Ref67399621 \r \h </w:instrText>
      </w:r>
      <w:r>
        <w:fldChar w:fldCharType="separate"/>
      </w:r>
      <w:r w:rsidR="004F49F9">
        <w:t>8.1</w:t>
      </w:r>
      <w:r>
        <w:fldChar w:fldCharType="end"/>
      </w:r>
      <w:r>
        <w:t xml:space="preserve"> to </w:t>
      </w:r>
      <w:r>
        <w:fldChar w:fldCharType="begin"/>
      </w:r>
      <w:r>
        <w:instrText xml:space="preserve"> REF _Ref67399639 \r \h </w:instrText>
      </w:r>
      <w:r>
        <w:fldChar w:fldCharType="separate"/>
      </w:r>
      <w:r w:rsidR="004F49F9">
        <w:t>8.8</w:t>
      </w:r>
      <w:r>
        <w:fldChar w:fldCharType="end"/>
      </w:r>
      <w:r>
        <w:t>.</w:t>
      </w:r>
      <w:r w:rsidR="00CF180D">
        <w:t xml:space="preserve"> The green marked frequency bands indicate that compatibility can be ensured under the </w:t>
      </w:r>
      <w:r w:rsidR="00D91275">
        <w:t xml:space="preserve">technical conditions in </w:t>
      </w:r>
      <w:r w:rsidR="00DA3555">
        <w:t>section</w:t>
      </w:r>
      <w:r w:rsidR="00D91275">
        <w:t xml:space="preserve">s </w:t>
      </w:r>
      <w:r w:rsidR="00D91275">
        <w:fldChar w:fldCharType="begin"/>
      </w:r>
      <w:r w:rsidR="00D91275">
        <w:instrText xml:space="preserve"> REF _Ref66370562 \r \h </w:instrText>
      </w:r>
      <w:r w:rsidR="00D91275">
        <w:fldChar w:fldCharType="separate"/>
      </w:r>
      <w:r w:rsidR="004F49F9">
        <w:t>4</w:t>
      </w:r>
      <w:r w:rsidR="00D91275">
        <w:fldChar w:fldCharType="end"/>
      </w:r>
      <w:r w:rsidR="00D91275">
        <w:t xml:space="preserve"> to </w:t>
      </w:r>
      <w:r w:rsidR="00D91275">
        <w:fldChar w:fldCharType="begin"/>
      </w:r>
      <w:r w:rsidR="00D91275">
        <w:instrText xml:space="preserve"> REF _Ref66370564 \r \h </w:instrText>
      </w:r>
      <w:r w:rsidR="00D91275">
        <w:fldChar w:fldCharType="separate"/>
      </w:r>
      <w:r w:rsidR="004F49F9">
        <w:t>0</w:t>
      </w:r>
      <w:r w:rsidR="00D91275">
        <w:fldChar w:fldCharType="end"/>
      </w:r>
      <w:r w:rsidR="00D91275">
        <w:t xml:space="preserve"> without the implementation of additional mitigation measures.</w:t>
      </w:r>
      <w:r w:rsidR="00CF180D">
        <w:t xml:space="preserve"> </w:t>
      </w:r>
    </w:p>
    <w:p w14:paraId="556883A8" w14:textId="77777777" w:rsidR="00BE7B1A" w:rsidRPr="00236279" w:rsidRDefault="004D241F" w:rsidP="00236279">
      <w:pPr>
        <w:pStyle w:val="ECCFiguregraphcentered"/>
      </w:pPr>
      <w:r w:rsidRPr="004D241F">
        <w:drawing>
          <wp:inline distT="0" distB="0" distL="0" distR="0" wp14:anchorId="319C5557" wp14:editId="5582BCBA">
            <wp:extent cx="6120765" cy="63157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6315710"/>
                    </a:xfrm>
                    <a:prstGeom prst="rect">
                      <a:avLst/>
                    </a:prstGeom>
                    <a:noFill/>
                    <a:ln>
                      <a:noFill/>
                    </a:ln>
                  </pic:spPr>
                </pic:pic>
              </a:graphicData>
            </a:graphic>
          </wp:inline>
        </w:drawing>
      </w:r>
    </w:p>
    <w:p w14:paraId="258FA79D" w14:textId="71BBBBAC" w:rsidR="00BE7B1A" w:rsidRPr="00200700" w:rsidRDefault="00236279" w:rsidP="00200700">
      <w:pPr>
        <w:pStyle w:val="Caption"/>
      </w:pPr>
      <w:bookmarkStart w:id="980" w:name="_Ref67399533"/>
      <w:r w:rsidRPr="00236279">
        <w:t>Figure </w:t>
      </w:r>
      <w:r>
        <w:fldChar w:fldCharType="begin"/>
      </w:r>
      <w:r>
        <w:instrText>SEQ Figure \* ARABIC</w:instrText>
      </w:r>
      <w:r>
        <w:fldChar w:fldCharType="separate"/>
      </w:r>
      <w:r w:rsidR="004F49F9">
        <w:rPr>
          <w:noProof/>
        </w:rPr>
        <w:t>100</w:t>
      </w:r>
      <w:r>
        <w:fldChar w:fldCharType="end"/>
      </w:r>
      <w:bookmarkEnd w:id="980"/>
      <w:r w:rsidRPr="00236279">
        <w:t xml:space="preserve">: </w:t>
      </w:r>
      <w:r w:rsidR="00CF180D">
        <w:t>Compatibility situation between the investigated UWB-applications and all considered Radio Services</w:t>
      </w:r>
    </w:p>
    <w:p w14:paraId="131DF4E0" w14:textId="77777777" w:rsidR="008A54FC" w:rsidRPr="006D6727" w:rsidRDefault="009A66F5" w:rsidP="008B676B">
      <w:pPr>
        <w:pStyle w:val="ECCAnnexheading1"/>
        <w:rPr>
          <w:noProof/>
          <w:lang w:val="en-GB"/>
        </w:rPr>
      </w:pPr>
      <w:bookmarkStart w:id="981" w:name="_Ref20209940"/>
      <w:bookmarkStart w:id="982" w:name="_Toc127346418"/>
      <w:bookmarkEnd w:id="495"/>
      <w:bookmarkEnd w:id="496"/>
      <w:bookmarkEnd w:id="497"/>
      <w:r w:rsidRPr="006D6727">
        <w:rPr>
          <w:noProof/>
          <w:lang w:val="en-GB"/>
        </w:rPr>
        <w:t xml:space="preserve">Building Entry Loss (BEL) </w:t>
      </w:r>
      <w:r w:rsidR="008B676B" w:rsidRPr="006D6727">
        <w:rPr>
          <w:rStyle w:val="ECCHLmagenta"/>
          <w:noProof/>
          <w:color w:val="D2232A"/>
          <w:shd w:val="clear" w:color="auto" w:fill="auto"/>
        </w:rPr>
        <w:t>Model Extension</w:t>
      </w:r>
      <w:bookmarkEnd w:id="981"/>
      <w:bookmarkEnd w:id="982"/>
    </w:p>
    <w:p w14:paraId="7F47E9BF" w14:textId="77777777" w:rsidR="00966560" w:rsidRPr="006D6727" w:rsidRDefault="009A66F5" w:rsidP="00FA6458">
      <w:pPr>
        <w:pStyle w:val="ECCAnnexheading2"/>
        <w:rPr>
          <w:noProof/>
        </w:rPr>
      </w:pPr>
      <w:bookmarkStart w:id="983" w:name="_Toc380059619"/>
      <w:bookmarkStart w:id="984" w:name="_Toc380059761"/>
      <w:r w:rsidRPr="006D6727">
        <w:rPr>
          <w:noProof/>
        </w:rPr>
        <w:t>Introduction</w:t>
      </w:r>
    </w:p>
    <w:p w14:paraId="04DF4352" w14:textId="2635F0AB" w:rsidR="009A66F5" w:rsidRPr="006D6727" w:rsidRDefault="009A66F5" w:rsidP="009A66F5">
      <w:pPr>
        <w:rPr>
          <w:noProof/>
        </w:rPr>
      </w:pPr>
      <w:r w:rsidRPr="006D6727">
        <w:rPr>
          <w:noProof/>
        </w:rPr>
        <w:t>For the MCL calculations and SEAMCAT simulations in this report adequate building entry loss (BEL) values in the frequency range from 116</w:t>
      </w:r>
      <w:r w:rsidR="00BB5F41" w:rsidRPr="006D6727">
        <w:rPr>
          <w:noProof/>
        </w:rPr>
        <w:t> </w:t>
      </w:r>
      <w:r w:rsidRPr="006D6727">
        <w:rPr>
          <w:noProof/>
        </w:rPr>
        <w:t>GHz to 260</w:t>
      </w:r>
      <w:r w:rsidR="00BB5F41" w:rsidRPr="006D6727">
        <w:rPr>
          <w:noProof/>
        </w:rPr>
        <w:t> </w:t>
      </w:r>
      <w:r w:rsidRPr="006D6727">
        <w:rPr>
          <w:noProof/>
        </w:rPr>
        <w:t>GHz are needed to estimate the indoor to outdoor attenuation and thus the shielding effects of buildings. This annex contains an implementation of</w:t>
      </w:r>
      <w:r w:rsidRPr="006D6727">
        <w:rPr>
          <w:rStyle w:val="ECCParagraph"/>
          <w:noProof/>
        </w:rPr>
        <w:t xml:space="preserve"> Recommendation</w:t>
      </w:r>
      <w:r w:rsidR="00AF18DB" w:rsidRPr="006D6727">
        <w:rPr>
          <w:rStyle w:val="ECCParagraph"/>
          <w:noProof/>
        </w:rPr>
        <w:t xml:space="preserve"> ITU-R </w:t>
      </w:r>
      <w:r w:rsidRPr="006D6727">
        <w:rPr>
          <w:rStyle w:val="ECCParagraph"/>
          <w:noProof/>
        </w:rPr>
        <w:t>P</w:t>
      </w:r>
      <w:r w:rsidR="00AF18DB" w:rsidRPr="006D6727">
        <w:rPr>
          <w:rStyle w:val="ECCParagraph"/>
          <w:noProof/>
        </w:rPr>
        <w:t>.</w:t>
      </w:r>
      <w:r w:rsidRPr="006D6727">
        <w:rPr>
          <w:rStyle w:val="ECCParagraph"/>
          <w:noProof/>
        </w:rPr>
        <w:t>2109-</w:t>
      </w:r>
      <w:r w:rsidR="009D12EB">
        <w:rPr>
          <w:rStyle w:val="ECCParagraph"/>
        </w:rPr>
        <w:t>1</w:t>
      </w:r>
      <w:r w:rsidRPr="006D6727">
        <w:rPr>
          <w:rStyle w:val="ECCParagraph"/>
          <w:noProof/>
        </w:rPr>
        <w:t xml:space="preserve"> </w:t>
      </w:r>
      <w:r w:rsidR="003465C8" w:rsidRPr="006D6727">
        <w:rPr>
          <w:rStyle w:val="ECCParagraph"/>
          <w:noProof/>
        </w:rPr>
        <w:fldChar w:fldCharType="begin"/>
      </w:r>
      <w:r w:rsidR="003465C8" w:rsidRPr="006D6727">
        <w:rPr>
          <w:rStyle w:val="ECCParagraph"/>
          <w:noProof/>
        </w:rPr>
        <w:instrText xml:space="preserve"> REF  ITU_R_P_2109_0 \h \w  \* MERGEFORMAT </w:instrText>
      </w:r>
      <w:r w:rsidR="003465C8" w:rsidRPr="006D6727">
        <w:rPr>
          <w:rStyle w:val="ECCParagraph"/>
          <w:noProof/>
        </w:rPr>
      </w:r>
      <w:r w:rsidR="003465C8" w:rsidRPr="006D6727">
        <w:rPr>
          <w:rStyle w:val="ECCParagraph"/>
          <w:noProof/>
        </w:rPr>
        <w:fldChar w:fldCharType="separate"/>
      </w:r>
      <w:r w:rsidR="004F49F9">
        <w:rPr>
          <w:rStyle w:val="ECCParagraph"/>
          <w:noProof/>
        </w:rPr>
        <w:t>[23]</w:t>
      </w:r>
      <w:r w:rsidR="003465C8" w:rsidRPr="006D6727">
        <w:rPr>
          <w:rStyle w:val="ECCParagraph"/>
          <w:noProof/>
        </w:rPr>
        <w:fldChar w:fldCharType="end"/>
      </w:r>
      <w:r w:rsidR="001D1C03" w:rsidRPr="006D6727">
        <w:rPr>
          <w:rStyle w:val="ECCParagraph"/>
          <w:noProof/>
        </w:rPr>
        <w:t xml:space="preserve"> </w:t>
      </w:r>
      <w:r w:rsidRPr="006D6727">
        <w:rPr>
          <w:rStyle w:val="ECCParagraph"/>
          <w:noProof/>
        </w:rPr>
        <w:t>BEL</w:t>
      </w:r>
      <w:r w:rsidRPr="006D6727">
        <w:rPr>
          <w:noProof/>
        </w:rPr>
        <w:t xml:space="preserve"> model and extends the model from 100</w:t>
      </w:r>
      <w:r w:rsidR="005F1D38" w:rsidRPr="006D6727">
        <w:rPr>
          <w:noProof/>
        </w:rPr>
        <w:t> </w:t>
      </w:r>
      <w:r w:rsidRPr="006D6727">
        <w:rPr>
          <w:noProof/>
        </w:rPr>
        <w:t>GHz to up to 300</w:t>
      </w:r>
      <w:r w:rsidR="00BB5F41" w:rsidRPr="006D6727">
        <w:rPr>
          <w:noProof/>
        </w:rPr>
        <w:t> </w:t>
      </w:r>
      <w:r w:rsidRPr="006D6727">
        <w:rPr>
          <w:noProof/>
        </w:rPr>
        <w:t>GHz.</w:t>
      </w:r>
    </w:p>
    <w:p w14:paraId="042648E1" w14:textId="77777777" w:rsidR="009A66F5" w:rsidRPr="006D6727" w:rsidRDefault="009A66F5" w:rsidP="009A66F5">
      <w:pPr>
        <w:rPr>
          <w:noProof/>
        </w:rPr>
      </w:pPr>
      <w:r w:rsidRPr="006D6727">
        <w:rPr>
          <w:noProof/>
        </w:rPr>
        <w:t>In the absence of any study in the frequencies greater than 100</w:t>
      </w:r>
      <w:r w:rsidR="00BB5F41" w:rsidRPr="006D6727">
        <w:rPr>
          <w:noProof/>
        </w:rPr>
        <w:t> </w:t>
      </w:r>
      <w:r w:rsidRPr="006D6727">
        <w:rPr>
          <w:noProof/>
        </w:rPr>
        <w:t>GHz and as there is at this time no other more sophisticated and more accurate approach to calculate the BEL at the higher frequencies it seems to be reasonable to extrapolate the existing ITU-R model from 100</w:t>
      </w:r>
      <w:r w:rsidR="00BB5F41" w:rsidRPr="006D6727">
        <w:rPr>
          <w:noProof/>
        </w:rPr>
        <w:t> </w:t>
      </w:r>
      <w:r w:rsidRPr="006D6727">
        <w:rPr>
          <w:noProof/>
        </w:rPr>
        <w:t>GHz to 300</w:t>
      </w:r>
      <w:r w:rsidR="00BB5F41" w:rsidRPr="006D6727">
        <w:rPr>
          <w:noProof/>
        </w:rPr>
        <w:t> </w:t>
      </w:r>
      <w:r w:rsidRPr="006D6727">
        <w:rPr>
          <w:noProof/>
        </w:rPr>
        <w:t>GHz</w:t>
      </w:r>
    </w:p>
    <w:p w14:paraId="4BC69A08" w14:textId="2DE02DB9" w:rsidR="009A66F5" w:rsidRPr="006D6727" w:rsidRDefault="00114F7A" w:rsidP="00FA6458">
      <w:pPr>
        <w:pStyle w:val="ECCAnnexheading2"/>
        <w:rPr>
          <w:noProof/>
        </w:rPr>
      </w:pPr>
      <w:r w:rsidRPr="006D6727">
        <w:rPr>
          <w:noProof/>
        </w:rPr>
        <w:t xml:space="preserve">Recommendation </w:t>
      </w:r>
      <w:r w:rsidR="009A66F5" w:rsidRPr="006D6727">
        <w:rPr>
          <w:noProof/>
        </w:rPr>
        <w:t>ITU-R P 2109-</w:t>
      </w:r>
      <w:r w:rsidR="009D12EB">
        <w:t>1</w:t>
      </w:r>
      <w:r w:rsidRPr="006D6727">
        <w:rPr>
          <w:rStyle w:val="ECCParagraph"/>
          <w:noProof/>
        </w:rPr>
        <w:t xml:space="preserve"> </w:t>
      </w:r>
      <w:r w:rsidR="009A66F5" w:rsidRPr="006D6727">
        <w:rPr>
          <w:noProof/>
        </w:rPr>
        <w:t>BEL Model Extension</w:t>
      </w:r>
    </w:p>
    <w:p w14:paraId="1D100AE3" w14:textId="100FE687" w:rsidR="009A66F5" w:rsidRPr="006D6727" w:rsidRDefault="009A66F5" w:rsidP="009A66F5">
      <w:pPr>
        <w:rPr>
          <w:rStyle w:val="ECCParagraph"/>
          <w:noProof/>
        </w:rPr>
      </w:pPr>
      <w:r w:rsidRPr="006D6727">
        <w:rPr>
          <w:noProof/>
        </w:rPr>
        <w:t xml:space="preserve">In </w:t>
      </w:r>
      <w:r w:rsidR="00441195">
        <w:rPr>
          <w:noProof/>
        </w:rPr>
        <w:t xml:space="preserve">Recommendation </w:t>
      </w:r>
      <w:r w:rsidRPr="006D6727">
        <w:rPr>
          <w:noProof/>
        </w:rPr>
        <w:t>ITU-R P</w:t>
      </w:r>
      <w:r w:rsidR="00BB5F41" w:rsidRPr="006D6727">
        <w:rPr>
          <w:noProof/>
        </w:rPr>
        <w:t>.</w:t>
      </w:r>
      <w:r w:rsidRPr="006D6727">
        <w:rPr>
          <w:noProof/>
        </w:rPr>
        <w:t>2109-</w:t>
      </w:r>
      <w:r w:rsidR="009D12EB">
        <w:t>1</w:t>
      </w:r>
      <w:r w:rsidRPr="006D6727">
        <w:rPr>
          <w:noProof/>
        </w:rPr>
        <w:t xml:space="preserve"> </w:t>
      </w:r>
      <w:r w:rsidR="00BE752A" w:rsidRPr="006D6727">
        <w:rPr>
          <w:rStyle w:val="ECCParagraph"/>
          <w:noProof/>
        </w:rPr>
        <w:fldChar w:fldCharType="begin"/>
      </w:r>
      <w:r w:rsidR="00BE752A" w:rsidRPr="006D6727">
        <w:rPr>
          <w:rStyle w:val="ECCParagraph"/>
          <w:noProof/>
        </w:rPr>
        <w:instrText xml:space="preserve"> REF  ITU_R_P_2109_0 \h \w  \* MERGEFORMAT </w:instrText>
      </w:r>
      <w:r w:rsidR="00BE752A" w:rsidRPr="006D6727">
        <w:rPr>
          <w:rStyle w:val="ECCParagraph"/>
          <w:noProof/>
        </w:rPr>
      </w:r>
      <w:r w:rsidR="00BE752A" w:rsidRPr="006D6727">
        <w:rPr>
          <w:rStyle w:val="ECCParagraph"/>
          <w:noProof/>
        </w:rPr>
        <w:fldChar w:fldCharType="separate"/>
      </w:r>
      <w:r w:rsidR="004F49F9">
        <w:rPr>
          <w:rStyle w:val="ECCParagraph"/>
          <w:noProof/>
        </w:rPr>
        <w:t>[23]</w:t>
      </w:r>
      <w:r w:rsidR="00BE752A" w:rsidRPr="006D6727">
        <w:rPr>
          <w:rStyle w:val="ECCParagraph"/>
          <w:noProof/>
        </w:rPr>
        <w:fldChar w:fldCharType="end"/>
      </w:r>
      <w:r w:rsidR="00441195">
        <w:rPr>
          <w:rStyle w:val="ECCParagraph"/>
          <w:noProof/>
        </w:rPr>
        <w:t>,</w:t>
      </w:r>
      <w:r w:rsidR="00BE752A" w:rsidRPr="006D6727">
        <w:rPr>
          <w:rStyle w:val="ECCParagraph"/>
          <w:noProof/>
        </w:rPr>
        <w:t xml:space="preserve"> </w:t>
      </w:r>
      <w:r w:rsidRPr="006D6727">
        <w:rPr>
          <w:noProof/>
        </w:rPr>
        <w:t>the BEL model gives predictions for two building cases “</w:t>
      </w:r>
      <w:r w:rsidR="00C54DD6" w:rsidRPr="006D6727">
        <w:rPr>
          <w:noProof/>
        </w:rPr>
        <w:t>t</w:t>
      </w:r>
      <w:r w:rsidRPr="006D6727">
        <w:rPr>
          <w:noProof/>
        </w:rPr>
        <w:t>raditional” and “</w:t>
      </w:r>
      <w:r w:rsidR="00C54DD6" w:rsidRPr="006D6727">
        <w:rPr>
          <w:noProof/>
        </w:rPr>
        <w:t>t</w:t>
      </w:r>
      <w:r w:rsidRPr="006D6727">
        <w:rPr>
          <w:noProof/>
        </w:rPr>
        <w:t xml:space="preserve">hermally </w:t>
      </w:r>
      <w:r w:rsidR="00C54DD6" w:rsidRPr="006D6727">
        <w:rPr>
          <w:noProof/>
        </w:rPr>
        <w:t>e</w:t>
      </w:r>
      <w:r w:rsidRPr="006D6727">
        <w:rPr>
          <w:noProof/>
        </w:rPr>
        <w:t>fficient”, but the original model does not converge for frequencies &gt;175</w:t>
      </w:r>
      <w:r w:rsidR="00BB5F41" w:rsidRPr="006D6727">
        <w:rPr>
          <w:noProof/>
        </w:rPr>
        <w:t> </w:t>
      </w:r>
      <w:r w:rsidRPr="006D6727">
        <w:rPr>
          <w:noProof/>
        </w:rPr>
        <w:t xml:space="preserve">GHz because the </w:t>
      </w:r>
      <m:oMath>
        <m:sSub>
          <m:sSubPr>
            <m:ctrlPr>
              <w:rPr>
                <w:rFonts w:ascii="Cambria Math" w:hAnsi="Cambria Math"/>
                <w:noProof/>
              </w:rPr>
            </m:ctrlPr>
          </m:sSubPr>
          <m:e>
            <m:r>
              <w:rPr>
                <w:rFonts w:ascii="Cambria Math" w:hAnsi="Cambria Math"/>
                <w:noProof/>
              </w:rPr>
              <m:t>σ</m:t>
            </m:r>
          </m:e>
          <m:sub>
            <m:r>
              <w:rPr>
                <w:rFonts w:ascii="Cambria Math" w:hAnsi="Cambria Math"/>
                <w:noProof/>
              </w:rPr>
              <m:t>2</m:t>
            </m:r>
          </m:sub>
        </m:sSub>
      </m:oMath>
      <w:r w:rsidRPr="006D6727">
        <w:rPr>
          <w:noProof/>
        </w:rPr>
        <w:t xml:space="preserve"> parameter gets negative for the </w:t>
      </w:r>
      <w:r w:rsidR="00C54DD6" w:rsidRPr="006D6727">
        <w:rPr>
          <w:noProof/>
        </w:rPr>
        <w:t>t</w:t>
      </w:r>
      <w:r w:rsidRPr="006D6727">
        <w:rPr>
          <w:noProof/>
        </w:rPr>
        <w:t xml:space="preserve">raditional </w:t>
      </w:r>
      <w:r w:rsidR="003F66B4" w:rsidRPr="006D6727">
        <w:rPr>
          <w:noProof/>
        </w:rPr>
        <w:t>b</w:t>
      </w:r>
      <w:r w:rsidRPr="006D6727">
        <w:rPr>
          <w:noProof/>
        </w:rPr>
        <w:t>uilding parameter set. A slight modification to the model parameters (</w:t>
      </w:r>
      <m:oMath>
        <m:r>
          <w:rPr>
            <w:rFonts w:ascii="Cambria Math" w:hAnsi="Cambria Math"/>
            <w:noProof/>
          </w:rPr>
          <m:t>z=-1.8</m:t>
        </m:r>
      </m:oMath>
      <w:r w:rsidRPr="006D6727">
        <w:rPr>
          <w:noProof/>
        </w:rPr>
        <w:t xml:space="preserve"> instead of </w:t>
      </w:r>
      <m:oMath>
        <m:r>
          <w:rPr>
            <w:rFonts w:ascii="Cambria Math" w:hAnsi="Cambria Math"/>
            <w:noProof/>
          </w:rPr>
          <m:t>z=-2.1</m:t>
        </m:r>
      </m:oMath>
      <w:r w:rsidRPr="006D6727">
        <w:rPr>
          <w:noProof/>
        </w:rPr>
        <w:t xml:space="preserve"> for the traditional building parameters) helps to extend the model to up to 300</w:t>
      </w:r>
      <w:r w:rsidR="00BB5F41" w:rsidRPr="006D6727">
        <w:rPr>
          <w:noProof/>
        </w:rPr>
        <w:t> </w:t>
      </w:r>
      <w:r w:rsidRPr="006D6727">
        <w:rPr>
          <w:noProof/>
        </w:rPr>
        <w:t>GHz.</w:t>
      </w:r>
    </w:p>
    <w:p w14:paraId="0B7E621C" w14:textId="77777777" w:rsidR="009A66F5" w:rsidRPr="006D6727" w:rsidRDefault="009A66F5" w:rsidP="00FA6458">
      <w:pPr>
        <w:pStyle w:val="ECCAnnexheading2"/>
        <w:rPr>
          <w:noProof/>
        </w:rPr>
      </w:pPr>
      <w:r w:rsidRPr="006D6727">
        <w:rPr>
          <w:noProof/>
        </w:rPr>
        <w:t>Extended Model vs. Original Model Verification</w:t>
      </w:r>
    </w:p>
    <w:p w14:paraId="0A869621" w14:textId="165BD198" w:rsidR="009A66F5" w:rsidRPr="006D6727" w:rsidRDefault="009A66F5" w:rsidP="009A66F5">
      <w:pPr>
        <w:rPr>
          <w:noProof/>
        </w:rPr>
      </w:pPr>
      <w:r w:rsidRPr="006D6727">
        <w:rPr>
          <w:noProof/>
        </w:rPr>
        <w:t>To compare the extended model with the</w:t>
      </w:r>
      <m:oMath>
        <m:r>
          <w:rPr>
            <w:rFonts w:ascii="Cambria Math" w:hAnsi="Cambria Math"/>
            <w:noProof/>
          </w:rPr>
          <m:t xml:space="preserve"> z=-1.8</m:t>
        </m:r>
      </m:oMath>
      <w:r w:rsidRPr="006D6727">
        <w:rPr>
          <w:noProof/>
        </w:rPr>
        <w:t xml:space="preserve"> modification in </w:t>
      </w:r>
      <w:r w:rsidR="009376F5" w:rsidRPr="006D6727">
        <w:rPr>
          <w:rStyle w:val="ECCHLyellow"/>
          <w:noProof/>
        </w:rPr>
        <w:fldChar w:fldCharType="begin"/>
      </w:r>
      <w:r w:rsidR="009376F5" w:rsidRPr="006D6727">
        <w:rPr>
          <w:noProof/>
        </w:rPr>
        <w:instrText xml:space="preserve"> REF _Ref15648444 \h </w:instrText>
      </w:r>
      <w:r w:rsidR="009376F5" w:rsidRPr="006D6727">
        <w:rPr>
          <w:rStyle w:val="ECCHLyellow"/>
          <w:noProof/>
        </w:rPr>
      </w:r>
      <w:r w:rsidR="009376F5" w:rsidRPr="006D6727">
        <w:rPr>
          <w:rStyle w:val="ECCHLyellow"/>
          <w:noProof/>
        </w:rPr>
        <w:fldChar w:fldCharType="separate"/>
      </w:r>
      <w:r w:rsidR="0041125F" w:rsidRPr="006D6727">
        <w:rPr>
          <w:noProof/>
        </w:rPr>
        <w:t>Figure</w:t>
      </w:r>
      <w:r w:rsidR="0041125F">
        <w:t> </w:t>
      </w:r>
      <w:r w:rsidR="0041125F">
        <w:rPr>
          <w:noProof/>
        </w:rPr>
        <w:t>101</w:t>
      </w:r>
      <w:r w:rsidR="009376F5" w:rsidRPr="006D6727">
        <w:rPr>
          <w:rStyle w:val="ECCHLyellow"/>
          <w:noProof/>
        </w:rPr>
        <w:fldChar w:fldCharType="end"/>
      </w:r>
      <w:r w:rsidRPr="006D6727">
        <w:rPr>
          <w:noProof/>
        </w:rPr>
        <w:t xml:space="preserve"> and </w:t>
      </w:r>
      <w:r w:rsidR="009376F5" w:rsidRPr="006D6727">
        <w:rPr>
          <w:rStyle w:val="ECCHLyellow"/>
          <w:noProof/>
        </w:rPr>
        <w:fldChar w:fldCharType="begin"/>
      </w:r>
      <w:r w:rsidR="009376F5" w:rsidRPr="006D6727">
        <w:rPr>
          <w:noProof/>
        </w:rPr>
        <w:instrText xml:space="preserve"> REF _Ref15648461 \h </w:instrText>
      </w:r>
      <w:r w:rsidR="009376F5" w:rsidRPr="006D6727">
        <w:rPr>
          <w:rStyle w:val="ECCHLyellow"/>
          <w:noProof/>
        </w:rPr>
      </w:r>
      <w:r w:rsidR="009376F5" w:rsidRPr="006D6727">
        <w:rPr>
          <w:rStyle w:val="ECCHLyellow"/>
          <w:noProof/>
        </w:rPr>
        <w:fldChar w:fldCharType="separate"/>
      </w:r>
      <w:r w:rsidR="0041125F" w:rsidRPr="006D6727">
        <w:rPr>
          <w:noProof/>
        </w:rPr>
        <w:t>Figure</w:t>
      </w:r>
      <w:r w:rsidR="0041125F">
        <w:t> </w:t>
      </w:r>
      <w:r w:rsidR="0041125F">
        <w:rPr>
          <w:noProof/>
        </w:rPr>
        <w:t>102</w:t>
      </w:r>
      <w:r w:rsidR="009376F5" w:rsidRPr="006D6727">
        <w:rPr>
          <w:rStyle w:val="ECCHLyellow"/>
          <w:noProof/>
        </w:rPr>
        <w:fldChar w:fldCharType="end"/>
      </w:r>
      <w:r w:rsidRPr="006D6727">
        <w:rPr>
          <w:noProof/>
        </w:rPr>
        <w:t xml:space="preserve"> the resulting BEL for different probabilities at 100</w:t>
      </w:r>
      <w:r w:rsidR="00BB5F41" w:rsidRPr="006D6727">
        <w:rPr>
          <w:noProof/>
        </w:rPr>
        <w:t> </w:t>
      </w:r>
      <w:r w:rsidRPr="006D6727">
        <w:rPr>
          <w:noProof/>
        </w:rPr>
        <w:t xml:space="preserve">GHz and an elevation angle of 0° and 90° of the original and extended </w:t>
      </w:r>
      <w:r w:rsidR="00E27132" w:rsidRPr="006D6727">
        <w:rPr>
          <w:noProof/>
        </w:rPr>
        <w:t>models</w:t>
      </w:r>
      <w:r w:rsidRPr="006D6727">
        <w:rPr>
          <w:noProof/>
        </w:rPr>
        <w:t xml:space="preserve"> are plotted against each other. The </w:t>
      </w:r>
      <w:r w:rsidR="00C54DD6" w:rsidRPr="006D6727">
        <w:rPr>
          <w:noProof/>
        </w:rPr>
        <w:t>"e</w:t>
      </w:r>
      <w:r w:rsidRPr="006D6727">
        <w:rPr>
          <w:noProof/>
        </w:rPr>
        <w:t>fficient</w:t>
      </w:r>
      <w:r w:rsidR="00C54DD6" w:rsidRPr="006D6727">
        <w:rPr>
          <w:noProof/>
        </w:rPr>
        <w:t>"</w:t>
      </w:r>
      <w:r w:rsidRPr="006D6727">
        <w:rPr>
          <w:noProof/>
        </w:rPr>
        <w:t xml:space="preserve"> model curve is identical at 100</w:t>
      </w:r>
      <w:r w:rsidR="00BB5F41" w:rsidRPr="006D6727">
        <w:rPr>
          <w:noProof/>
        </w:rPr>
        <w:t> </w:t>
      </w:r>
      <w:r w:rsidRPr="006D6727">
        <w:rPr>
          <w:noProof/>
        </w:rPr>
        <w:t xml:space="preserve">GHz, because no changes were made to the model. The </w:t>
      </w:r>
      <m:oMath>
        <m:r>
          <w:rPr>
            <w:rFonts w:ascii="Cambria Math" w:hAnsi="Cambria Math"/>
            <w:noProof/>
          </w:rPr>
          <m:t>z</m:t>
        </m:r>
      </m:oMath>
      <w:r w:rsidRPr="006D6727">
        <w:rPr>
          <w:noProof/>
        </w:rPr>
        <w:t xml:space="preserve"> parameter adjustment in the </w:t>
      </w:r>
      <w:r w:rsidR="00C54DD6" w:rsidRPr="006D6727">
        <w:rPr>
          <w:noProof/>
        </w:rPr>
        <w:t>"t</w:t>
      </w:r>
      <w:r w:rsidRPr="006D6727">
        <w:rPr>
          <w:noProof/>
        </w:rPr>
        <w:t>raditiona</w:t>
      </w:r>
      <w:r w:rsidR="00C54DD6" w:rsidRPr="006D6727">
        <w:rPr>
          <w:noProof/>
        </w:rPr>
        <w:t>"</w:t>
      </w:r>
      <w:r w:rsidRPr="006D6727">
        <w:rPr>
          <w:noProof/>
        </w:rPr>
        <w:t>l model results in a very small deviation of the model at low probabilities for 0° elevation (see circle marker), other regions of the curve do not change. With the extended model the resulting BEL losses are even more conservative compared to the original model.</w:t>
      </w:r>
    </w:p>
    <w:p w14:paraId="683A2E2D" w14:textId="77777777" w:rsidR="009A66F5" w:rsidRPr="006D6727" w:rsidRDefault="009A66F5" w:rsidP="009A66F5">
      <w:pPr>
        <w:pStyle w:val="ECCFiguregraphcentered"/>
        <w:rPr>
          <w:lang w:val="en-GB"/>
        </w:rPr>
      </w:pPr>
      <w:r w:rsidRPr="006D6727">
        <mc:AlternateContent>
          <mc:Choice Requires="wps">
            <w:drawing>
              <wp:anchor distT="0" distB="0" distL="114300" distR="114300" simplePos="0" relativeHeight="251673600" behindDoc="0" locked="0" layoutInCell="1" allowOverlap="1" wp14:anchorId="138F0869" wp14:editId="714259A4">
                <wp:simplePos x="0" y="0"/>
                <wp:positionH relativeFrom="column">
                  <wp:posOffset>314960</wp:posOffset>
                </wp:positionH>
                <wp:positionV relativeFrom="paragraph">
                  <wp:posOffset>3131820</wp:posOffset>
                </wp:positionV>
                <wp:extent cx="787400" cy="787400"/>
                <wp:effectExtent l="57150" t="19050" r="69850" b="88900"/>
                <wp:wrapNone/>
                <wp:docPr id="60" name="Ellipse 6"/>
                <wp:cNvGraphicFramePr/>
                <a:graphic xmlns:a="http://schemas.openxmlformats.org/drawingml/2006/main">
                  <a:graphicData uri="http://schemas.microsoft.com/office/word/2010/wordprocessingShape">
                    <wps:wsp>
                      <wps:cNvSpPr/>
                      <wps:spPr>
                        <a:xfrm>
                          <a:off x="0" y="0"/>
                          <a:ext cx="787400" cy="7874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8FD87A" id="Ellipse 6" o:spid="_x0000_s1026" style="position:absolute;margin-left:24.8pt;margin-top:246.6pt;width:62pt;height:6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" filled="f" strokecolor="red">
                <v:shadow on="t" color="black" opacity="22937f" origin=",.5" offset="0,.63889mm"/>
              </v:oval>
            </w:pict>
          </mc:Fallback>
        </mc:AlternateContent>
      </w:r>
      <w:r w:rsidRPr="006D6727">
        <w:drawing>
          <wp:inline distT="0" distB="0" distL="0" distR="0" wp14:anchorId="1975DCF2" wp14:editId="59A9E6D6">
            <wp:extent cx="5262299" cy="3438289"/>
            <wp:effectExtent l="0" t="0" r="0" b="0"/>
            <wp:docPr id="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5276424" cy="3447518"/>
                    </a:xfrm>
                    <a:prstGeom prst="rect">
                      <a:avLst/>
                    </a:prstGeom>
                    <a:ln>
                      <a:noFill/>
                    </a:ln>
                    <a:extLst>
                      <a:ext uri="{53640926-AAD7-44D8-BBD7-CCE9431645EC}">
                        <a14:shadowObscured xmlns:a14="http://schemas.microsoft.com/office/drawing/2010/main"/>
                      </a:ext>
                    </a:extLst>
                  </pic:spPr>
                </pic:pic>
              </a:graphicData>
            </a:graphic>
          </wp:inline>
        </w:drawing>
      </w:r>
    </w:p>
    <w:p w14:paraId="1B0A6B69" w14:textId="5089240A" w:rsidR="009A66F5" w:rsidRPr="006D6727" w:rsidRDefault="00BB5F41" w:rsidP="009A66F5">
      <w:pPr>
        <w:pStyle w:val="Caption"/>
        <w:rPr>
          <w:noProof/>
          <w:lang w:val="en-GB"/>
        </w:rPr>
      </w:pPr>
      <w:bookmarkStart w:id="985" w:name="_Ref15648444"/>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101</w:t>
      </w:r>
      <w:r w:rsidR="00616942" w:rsidRPr="006D6727">
        <w:rPr>
          <w:noProof/>
          <w:lang w:val="en-GB"/>
        </w:rPr>
        <w:fldChar w:fldCharType="end"/>
      </w:r>
      <w:bookmarkEnd w:id="985"/>
      <w:r w:rsidRPr="006D6727">
        <w:rPr>
          <w:noProof/>
          <w:lang w:val="en-GB"/>
        </w:rPr>
        <w:t xml:space="preserve">: </w:t>
      </w:r>
      <w:r w:rsidR="009A66F5" w:rsidRPr="006D6727">
        <w:rPr>
          <w:noProof/>
          <w:lang w:val="en-GB"/>
        </w:rPr>
        <w:t>Comparison of original and extended model at 100</w:t>
      </w:r>
      <w:r w:rsidR="009376F5" w:rsidRPr="006D6727">
        <w:rPr>
          <w:noProof/>
          <w:lang w:val="en-GB"/>
        </w:rPr>
        <w:t> </w:t>
      </w:r>
      <w:r w:rsidR="009A66F5" w:rsidRPr="006D6727">
        <w:rPr>
          <w:noProof/>
          <w:lang w:val="en-GB"/>
        </w:rPr>
        <w:t>GHz and 0° elevation</w:t>
      </w:r>
    </w:p>
    <w:p w14:paraId="79C766AB" w14:textId="77777777" w:rsidR="009A66F5" w:rsidRPr="006D6727" w:rsidRDefault="009A66F5" w:rsidP="009A66F5">
      <w:pPr>
        <w:pStyle w:val="ECCFiguregraphcentered"/>
        <w:rPr>
          <w:lang w:val="en-GB"/>
        </w:rPr>
      </w:pPr>
      <w:r w:rsidRPr="006D6727">
        <w:drawing>
          <wp:inline distT="0" distB="0" distL="0" distR="0" wp14:anchorId="66097F0D" wp14:editId="155BF15D">
            <wp:extent cx="6026149" cy="3918446"/>
            <wp:effectExtent l="0" t="0" r="0" b="6350"/>
            <wp:docPr id="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screen">
                      <a:extLst>
                        <a:ext uri="{28A0092B-C50C-407E-A947-70E740481C1C}">
                          <a14:useLocalDpi xmlns:a14="http://schemas.microsoft.com/office/drawing/2010/main"/>
                        </a:ext>
                      </a:extLst>
                    </a:blip>
                    <a:srcRect/>
                    <a:stretch/>
                  </pic:blipFill>
                  <pic:spPr bwMode="auto">
                    <a:xfrm>
                      <a:off x="0" y="0"/>
                      <a:ext cx="6037935" cy="3926110"/>
                    </a:xfrm>
                    <a:prstGeom prst="rect">
                      <a:avLst/>
                    </a:prstGeom>
                    <a:ln>
                      <a:noFill/>
                    </a:ln>
                    <a:extLst>
                      <a:ext uri="{53640926-AAD7-44D8-BBD7-CCE9431645EC}">
                        <a14:shadowObscured xmlns:a14="http://schemas.microsoft.com/office/drawing/2010/main"/>
                      </a:ext>
                    </a:extLst>
                  </pic:spPr>
                </pic:pic>
              </a:graphicData>
            </a:graphic>
          </wp:inline>
        </w:drawing>
      </w:r>
    </w:p>
    <w:p w14:paraId="71BAB1EB" w14:textId="6B6BE702" w:rsidR="009A66F5" w:rsidRPr="006D6727" w:rsidRDefault="00BB5F41" w:rsidP="009A66F5">
      <w:pPr>
        <w:pStyle w:val="Caption"/>
        <w:rPr>
          <w:noProof/>
          <w:lang w:val="en-GB"/>
        </w:rPr>
      </w:pPr>
      <w:bookmarkStart w:id="986" w:name="_Ref15648461"/>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102</w:t>
      </w:r>
      <w:r w:rsidR="00616942" w:rsidRPr="006D6727">
        <w:rPr>
          <w:noProof/>
          <w:lang w:val="en-GB"/>
        </w:rPr>
        <w:fldChar w:fldCharType="end"/>
      </w:r>
      <w:bookmarkEnd w:id="986"/>
      <w:r w:rsidR="009A66F5" w:rsidRPr="006D6727">
        <w:rPr>
          <w:noProof/>
          <w:lang w:val="en-GB"/>
        </w:rPr>
        <w:t>: Comparison of original and extended model at 100</w:t>
      </w:r>
      <w:r w:rsidR="009376F5" w:rsidRPr="006D6727">
        <w:rPr>
          <w:noProof/>
          <w:lang w:val="en-GB"/>
        </w:rPr>
        <w:t> </w:t>
      </w:r>
      <w:r w:rsidR="009A66F5" w:rsidRPr="006D6727">
        <w:rPr>
          <w:noProof/>
          <w:lang w:val="en-GB"/>
        </w:rPr>
        <w:t>GHz and 90° elevation</w:t>
      </w:r>
    </w:p>
    <w:p w14:paraId="224871B2" w14:textId="77777777" w:rsidR="009A66F5" w:rsidRPr="006D6727" w:rsidRDefault="009A66F5" w:rsidP="00FA6458">
      <w:pPr>
        <w:pStyle w:val="ECCAnnexheading2"/>
        <w:rPr>
          <w:noProof/>
        </w:rPr>
      </w:pPr>
      <w:r w:rsidRPr="006D6727">
        <w:rPr>
          <w:noProof/>
        </w:rPr>
        <w:t>Extended Model Results for 116</w:t>
      </w:r>
      <w:r w:rsidR="009376F5" w:rsidRPr="006D6727">
        <w:rPr>
          <w:noProof/>
        </w:rPr>
        <w:t> </w:t>
      </w:r>
      <w:r w:rsidRPr="006D6727">
        <w:rPr>
          <w:noProof/>
        </w:rPr>
        <w:t>GHz to 300</w:t>
      </w:r>
      <w:r w:rsidR="009376F5" w:rsidRPr="006D6727">
        <w:rPr>
          <w:noProof/>
        </w:rPr>
        <w:t> </w:t>
      </w:r>
      <w:r w:rsidRPr="006D6727">
        <w:rPr>
          <w:noProof/>
        </w:rPr>
        <w:t>GHz</w:t>
      </w:r>
    </w:p>
    <w:p w14:paraId="503E6DBD" w14:textId="4B913BE3" w:rsidR="009A66F5" w:rsidRPr="006D6727" w:rsidRDefault="009A66F5" w:rsidP="009A66F5">
      <w:pPr>
        <w:rPr>
          <w:noProof/>
        </w:rPr>
      </w:pPr>
      <w:r w:rsidRPr="006D6727">
        <w:rPr>
          <w:noProof/>
        </w:rPr>
        <w:t xml:space="preserve">In </w:t>
      </w:r>
      <w:r w:rsidR="004A0E79" w:rsidRPr="006D6727">
        <w:rPr>
          <w:noProof/>
        </w:rPr>
        <w:fldChar w:fldCharType="begin"/>
      </w:r>
      <w:r w:rsidR="004A0E79" w:rsidRPr="006D6727">
        <w:rPr>
          <w:noProof/>
        </w:rPr>
        <w:instrText xml:space="preserve"> REF _Ref15648718 \h </w:instrText>
      </w:r>
      <w:r w:rsidR="004A0E79" w:rsidRPr="006D6727">
        <w:rPr>
          <w:noProof/>
        </w:rPr>
      </w:r>
      <w:r w:rsidR="004A0E79" w:rsidRPr="006D6727">
        <w:rPr>
          <w:noProof/>
        </w:rPr>
        <w:fldChar w:fldCharType="separate"/>
      </w:r>
      <w:r w:rsidR="0041125F" w:rsidRPr="006D6727">
        <w:rPr>
          <w:noProof/>
        </w:rPr>
        <w:t>Figure</w:t>
      </w:r>
      <w:r w:rsidR="0041125F">
        <w:t> </w:t>
      </w:r>
      <w:r w:rsidR="0041125F">
        <w:rPr>
          <w:noProof/>
        </w:rPr>
        <w:t>103</w:t>
      </w:r>
      <w:r w:rsidR="004A0E79" w:rsidRPr="006D6727">
        <w:rPr>
          <w:noProof/>
        </w:rPr>
        <w:fldChar w:fldCharType="end"/>
      </w:r>
      <w:r w:rsidR="004A0E79" w:rsidRPr="006D6727">
        <w:rPr>
          <w:noProof/>
        </w:rPr>
        <w:t xml:space="preserve"> </w:t>
      </w:r>
      <w:r w:rsidRPr="006D6727">
        <w:rPr>
          <w:noProof/>
        </w:rPr>
        <w:t xml:space="preserve">and </w:t>
      </w:r>
      <w:r w:rsidR="004A0E79" w:rsidRPr="006D6727">
        <w:rPr>
          <w:noProof/>
          <w:highlight w:val="yellow"/>
        </w:rPr>
        <w:fldChar w:fldCharType="begin"/>
      </w:r>
      <w:r w:rsidR="004A0E79" w:rsidRPr="006D6727">
        <w:rPr>
          <w:noProof/>
        </w:rPr>
        <w:instrText xml:space="preserve"> REF _Ref15648726 \h </w:instrText>
      </w:r>
      <w:r w:rsidR="004A0E79" w:rsidRPr="006D6727">
        <w:rPr>
          <w:noProof/>
          <w:highlight w:val="yellow"/>
        </w:rPr>
      </w:r>
      <w:r w:rsidR="004A0E79" w:rsidRPr="006D6727">
        <w:rPr>
          <w:noProof/>
          <w:highlight w:val="yellow"/>
        </w:rPr>
        <w:fldChar w:fldCharType="separate"/>
      </w:r>
      <w:r w:rsidR="0041125F" w:rsidRPr="006D6727">
        <w:rPr>
          <w:noProof/>
        </w:rPr>
        <w:t>Figure</w:t>
      </w:r>
      <w:r w:rsidR="0041125F">
        <w:t> </w:t>
      </w:r>
      <w:r w:rsidR="0041125F">
        <w:rPr>
          <w:noProof/>
        </w:rPr>
        <w:t>104</w:t>
      </w:r>
      <w:r w:rsidR="004A0E79" w:rsidRPr="006D6727">
        <w:rPr>
          <w:noProof/>
          <w:highlight w:val="yellow"/>
        </w:rPr>
        <w:fldChar w:fldCharType="end"/>
      </w:r>
      <w:r w:rsidR="00441195">
        <w:rPr>
          <w:noProof/>
        </w:rPr>
        <w:t>,</w:t>
      </w:r>
      <w:r w:rsidRPr="006D6727">
        <w:rPr>
          <w:noProof/>
        </w:rPr>
        <w:t xml:space="preserve"> the BEL at 100</w:t>
      </w:r>
      <w:r w:rsidR="004A0E79" w:rsidRPr="006D6727">
        <w:rPr>
          <w:noProof/>
        </w:rPr>
        <w:t> </w:t>
      </w:r>
      <w:r w:rsidRPr="006D6727">
        <w:rPr>
          <w:noProof/>
        </w:rPr>
        <w:t>GHz, 116</w:t>
      </w:r>
      <w:r w:rsidR="0012306F">
        <w:t> </w:t>
      </w:r>
      <w:r w:rsidRPr="006D6727">
        <w:rPr>
          <w:noProof/>
        </w:rPr>
        <w:t>GHz and 260</w:t>
      </w:r>
      <w:r w:rsidR="004A0E79" w:rsidRPr="006D6727">
        <w:rPr>
          <w:noProof/>
        </w:rPr>
        <w:t> </w:t>
      </w:r>
      <w:r w:rsidRPr="006D6727">
        <w:rPr>
          <w:noProof/>
        </w:rPr>
        <w:t>GHz for 0° and 90° elevation and different probabilities with the extended model are shown.</w:t>
      </w:r>
    </w:p>
    <w:p w14:paraId="0604CEB8" w14:textId="3B67EF28" w:rsidR="009A66F5" w:rsidRPr="006D6727" w:rsidRDefault="004A0E79" w:rsidP="009A66F5">
      <w:pPr>
        <w:rPr>
          <w:noProof/>
        </w:rPr>
      </w:pPr>
      <w:r w:rsidRPr="006D6727">
        <w:rPr>
          <w:noProof/>
        </w:rPr>
        <w:fldChar w:fldCharType="begin"/>
      </w:r>
      <w:r w:rsidRPr="006D6727">
        <w:rPr>
          <w:noProof/>
        </w:rPr>
        <w:instrText xml:space="preserve"> REF _Ref15648778 \h </w:instrText>
      </w:r>
      <w:r w:rsidRPr="006D6727">
        <w:rPr>
          <w:noProof/>
        </w:rPr>
      </w:r>
      <w:r w:rsidRPr="006D6727">
        <w:rPr>
          <w:noProof/>
        </w:rPr>
        <w:fldChar w:fldCharType="separate"/>
      </w:r>
      <w:r w:rsidR="0041125F" w:rsidRPr="006D6727">
        <w:rPr>
          <w:noProof/>
        </w:rPr>
        <w:t>Figure</w:t>
      </w:r>
      <w:r w:rsidR="0041125F">
        <w:t> </w:t>
      </w:r>
      <w:r w:rsidR="0041125F">
        <w:rPr>
          <w:noProof/>
        </w:rPr>
        <w:t>105</w:t>
      </w:r>
      <w:r w:rsidRPr="006D6727">
        <w:rPr>
          <w:noProof/>
        </w:rPr>
        <w:fldChar w:fldCharType="end"/>
      </w:r>
      <w:r w:rsidRPr="006D6727">
        <w:rPr>
          <w:noProof/>
        </w:rPr>
        <w:t xml:space="preserve"> </w:t>
      </w:r>
      <w:r w:rsidR="009A66F5" w:rsidRPr="006D6727">
        <w:rPr>
          <w:noProof/>
        </w:rPr>
        <w:t xml:space="preserve">and </w:t>
      </w:r>
      <w:r w:rsidRPr="006D6727">
        <w:rPr>
          <w:noProof/>
          <w:highlight w:val="yellow"/>
        </w:rPr>
        <w:fldChar w:fldCharType="begin"/>
      </w:r>
      <w:r w:rsidRPr="006D6727">
        <w:rPr>
          <w:noProof/>
        </w:rPr>
        <w:instrText xml:space="preserve"> REF _Ref15648785 \h </w:instrText>
      </w:r>
      <w:r w:rsidRPr="006D6727">
        <w:rPr>
          <w:noProof/>
          <w:highlight w:val="yellow"/>
        </w:rPr>
      </w:r>
      <w:r w:rsidRPr="006D6727">
        <w:rPr>
          <w:noProof/>
          <w:highlight w:val="yellow"/>
        </w:rPr>
        <w:fldChar w:fldCharType="separate"/>
      </w:r>
      <w:r w:rsidR="0041125F" w:rsidRPr="006D6727">
        <w:rPr>
          <w:noProof/>
        </w:rPr>
        <w:t>Figure</w:t>
      </w:r>
      <w:r w:rsidR="0041125F">
        <w:t> </w:t>
      </w:r>
      <w:r w:rsidR="0041125F">
        <w:rPr>
          <w:noProof/>
        </w:rPr>
        <w:t>106</w:t>
      </w:r>
      <w:r w:rsidRPr="006D6727">
        <w:rPr>
          <w:noProof/>
          <w:highlight w:val="yellow"/>
        </w:rPr>
        <w:fldChar w:fldCharType="end"/>
      </w:r>
      <w:r w:rsidR="009A66F5" w:rsidRPr="006D6727">
        <w:rPr>
          <w:noProof/>
        </w:rPr>
        <w:t xml:space="preserve"> show the BEL in the extended frequency range from 100</w:t>
      </w:r>
      <w:r w:rsidRPr="006D6727">
        <w:rPr>
          <w:noProof/>
        </w:rPr>
        <w:t> </w:t>
      </w:r>
      <w:r w:rsidR="009A66F5" w:rsidRPr="006D6727">
        <w:rPr>
          <w:noProof/>
        </w:rPr>
        <w:t>GHz to 300</w:t>
      </w:r>
      <w:r w:rsidRPr="006D6727">
        <w:rPr>
          <w:noProof/>
        </w:rPr>
        <w:t> </w:t>
      </w:r>
      <w:r w:rsidR="009A66F5" w:rsidRPr="006D6727">
        <w:rPr>
          <w:noProof/>
        </w:rPr>
        <w:t>GHz for the probability of P= 0</w:t>
      </w:r>
      <w:r w:rsidR="00CF4994">
        <w:rPr>
          <w:noProof/>
        </w:rPr>
        <w:t>.5</w:t>
      </w:r>
      <w:r w:rsidR="009A66F5" w:rsidRPr="006D6727">
        <w:rPr>
          <w:noProof/>
        </w:rPr>
        <w:t xml:space="preserve"> and an elevation of 0° in comparison to the BEL values below 100</w:t>
      </w:r>
      <w:r w:rsidRPr="006D6727">
        <w:rPr>
          <w:noProof/>
        </w:rPr>
        <w:t> </w:t>
      </w:r>
      <w:r w:rsidR="009A66F5" w:rsidRPr="006D6727">
        <w:rPr>
          <w:noProof/>
        </w:rPr>
        <w:t>GHz.</w:t>
      </w:r>
    </w:p>
    <w:p w14:paraId="017B2145" w14:textId="77777777" w:rsidR="009A66F5" w:rsidRPr="006D6727" w:rsidRDefault="009A66F5" w:rsidP="009A66F5">
      <w:pPr>
        <w:rPr>
          <w:noProof/>
        </w:rPr>
      </w:pPr>
      <w:r w:rsidRPr="006D6727">
        <w:rPr>
          <w:noProof/>
        </w:rPr>
        <w:t>All in all</w:t>
      </w:r>
      <w:r w:rsidR="004A0E79" w:rsidRPr="006D6727">
        <w:rPr>
          <w:noProof/>
        </w:rPr>
        <w:t>,</w:t>
      </w:r>
      <w:r w:rsidRPr="006D6727">
        <w:rPr>
          <w:noProof/>
        </w:rPr>
        <w:t xml:space="preserve"> the extended model seems to work </w:t>
      </w:r>
      <w:r w:rsidR="0090688F" w:rsidRPr="006D6727">
        <w:rPr>
          <w:noProof/>
        </w:rPr>
        <w:t>properly,</w:t>
      </w:r>
      <w:r w:rsidRPr="006D6727">
        <w:rPr>
          <w:noProof/>
        </w:rPr>
        <w:t xml:space="preserve"> and the resulting BEL behaves like expected in the higher frequency ranges. The BEL model accuracy is limited even for the lower frequencies below 100</w:t>
      </w:r>
      <w:r w:rsidR="004A0E79" w:rsidRPr="006D6727">
        <w:rPr>
          <w:noProof/>
        </w:rPr>
        <w:t> </w:t>
      </w:r>
      <w:r w:rsidR="0090688F" w:rsidRPr="006D6727">
        <w:rPr>
          <w:noProof/>
        </w:rPr>
        <w:t>GHz but</w:t>
      </w:r>
      <w:r w:rsidRPr="006D6727">
        <w:rPr>
          <w:noProof/>
        </w:rPr>
        <w:t xml:space="preserve"> seems to be feasible to be used as a base for the MCL calculations in this report as there is no more accurate alternative.</w:t>
      </w:r>
    </w:p>
    <w:p w14:paraId="6BB7FEEC" w14:textId="77777777" w:rsidR="009A66F5" w:rsidRPr="006D6727" w:rsidRDefault="009A66F5" w:rsidP="009A66F5">
      <w:pPr>
        <w:pStyle w:val="ECCFiguregraphcentered"/>
        <w:rPr>
          <w:lang w:val="en-GB"/>
        </w:rPr>
      </w:pPr>
      <w:r w:rsidRPr="006D6727">
        <w:drawing>
          <wp:inline distT="0" distB="0" distL="0" distR="0" wp14:anchorId="034735E2" wp14:editId="5DEAE250">
            <wp:extent cx="6088939" cy="396240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screen">
                      <a:extLst>
                        <a:ext uri="{28A0092B-C50C-407E-A947-70E740481C1C}">
                          <a14:useLocalDpi xmlns:a14="http://schemas.microsoft.com/office/drawing/2010/main"/>
                        </a:ext>
                      </a:extLst>
                    </a:blip>
                    <a:srcRect/>
                    <a:stretch/>
                  </pic:blipFill>
                  <pic:spPr bwMode="auto">
                    <a:xfrm>
                      <a:off x="0" y="0"/>
                      <a:ext cx="6102835" cy="3971443"/>
                    </a:xfrm>
                    <a:prstGeom prst="rect">
                      <a:avLst/>
                    </a:prstGeom>
                    <a:ln>
                      <a:noFill/>
                    </a:ln>
                    <a:extLst>
                      <a:ext uri="{53640926-AAD7-44D8-BBD7-CCE9431645EC}">
                        <a14:shadowObscured xmlns:a14="http://schemas.microsoft.com/office/drawing/2010/main"/>
                      </a:ext>
                    </a:extLst>
                  </pic:spPr>
                </pic:pic>
              </a:graphicData>
            </a:graphic>
          </wp:inline>
        </w:drawing>
      </w:r>
    </w:p>
    <w:p w14:paraId="0CBBA00C" w14:textId="37F66E07" w:rsidR="009A66F5" w:rsidRPr="006D6727" w:rsidRDefault="00BB5F41" w:rsidP="009A66F5">
      <w:pPr>
        <w:pStyle w:val="Caption"/>
        <w:rPr>
          <w:noProof/>
          <w:lang w:val="en-GB"/>
        </w:rPr>
      </w:pPr>
      <w:bookmarkStart w:id="987" w:name="_Ref15648718"/>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103</w:t>
      </w:r>
      <w:r w:rsidR="00616942" w:rsidRPr="006D6727">
        <w:rPr>
          <w:noProof/>
          <w:lang w:val="en-GB"/>
        </w:rPr>
        <w:fldChar w:fldCharType="end"/>
      </w:r>
      <w:bookmarkEnd w:id="987"/>
      <w:r w:rsidR="009A66F5" w:rsidRPr="006D6727">
        <w:rPr>
          <w:noProof/>
          <w:lang w:val="en-GB"/>
        </w:rPr>
        <w:t>: Extended model BEL at 100, 116 and 260</w:t>
      </w:r>
      <w:r w:rsidR="00F70D0F" w:rsidRPr="006D6727">
        <w:rPr>
          <w:noProof/>
          <w:lang w:val="en-GB"/>
        </w:rPr>
        <w:t> </w:t>
      </w:r>
      <w:r w:rsidR="009A66F5" w:rsidRPr="006D6727">
        <w:rPr>
          <w:noProof/>
          <w:lang w:val="en-GB"/>
        </w:rPr>
        <w:t>GHz and 0° elevation</w:t>
      </w:r>
    </w:p>
    <w:p w14:paraId="14F79233" w14:textId="77777777" w:rsidR="009A66F5" w:rsidRPr="006D6727" w:rsidRDefault="009A66F5" w:rsidP="009A66F5">
      <w:pPr>
        <w:pStyle w:val="ECCFiguregraphcentered"/>
        <w:rPr>
          <w:lang w:val="en-GB"/>
        </w:rPr>
      </w:pPr>
      <w:r w:rsidRPr="006D6727">
        <w:drawing>
          <wp:inline distT="0" distB="0" distL="0" distR="0" wp14:anchorId="16F8EE49" wp14:editId="66DA1B1E">
            <wp:extent cx="6032500" cy="3917014"/>
            <wp:effectExtent l="0" t="0" r="6350" b="7620"/>
            <wp:docPr id="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screen">
                      <a:extLst>
                        <a:ext uri="{28A0092B-C50C-407E-A947-70E740481C1C}">
                          <a14:useLocalDpi xmlns:a14="http://schemas.microsoft.com/office/drawing/2010/main"/>
                        </a:ext>
                      </a:extLst>
                    </a:blip>
                    <a:srcRect/>
                    <a:stretch/>
                  </pic:blipFill>
                  <pic:spPr bwMode="auto">
                    <a:xfrm>
                      <a:off x="0" y="0"/>
                      <a:ext cx="6040153" cy="3921983"/>
                    </a:xfrm>
                    <a:prstGeom prst="rect">
                      <a:avLst/>
                    </a:prstGeom>
                    <a:ln>
                      <a:noFill/>
                    </a:ln>
                    <a:extLst>
                      <a:ext uri="{53640926-AAD7-44D8-BBD7-CCE9431645EC}">
                        <a14:shadowObscured xmlns:a14="http://schemas.microsoft.com/office/drawing/2010/main"/>
                      </a:ext>
                    </a:extLst>
                  </pic:spPr>
                </pic:pic>
              </a:graphicData>
            </a:graphic>
          </wp:inline>
        </w:drawing>
      </w:r>
    </w:p>
    <w:p w14:paraId="78B07DF3" w14:textId="5C37003E" w:rsidR="009A66F5" w:rsidRPr="006D6727" w:rsidRDefault="00BB5F41" w:rsidP="009A66F5">
      <w:pPr>
        <w:pStyle w:val="Caption"/>
        <w:rPr>
          <w:noProof/>
          <w:lang w:val="en-GB"/>
        </w:rPr>
      </w:pPr>
      <w:bookmarkStart w:id="988" w:name="_Ref15648726"/>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104</w:t>
      </w:r>
      <w:r w:rsidR="00616942" w:rsidRPr="006D6727">
        <w:rPr>
          <w:noProof/>
          <w:lang w:val="en-GB"/>
        </w:rPr>
        <w:fldChar w:fldCharType="end"/>
      </w:r>
      <w:bookmarkEnd w:id="988"/>
      <w:r w:rsidR="009A66F5" w:rsidRPr="006D6727">
        <w:rPr>
          <w:noProof/>
          <w:lang w:val="en-GB"/>
        </w:rPr>
        <w:t>: Extended model BEL at 100, 116 and 260</w:t>
      </w:r>
      <w:r w:rsidR="004727C3" w:rsidRPr="006D6727">
        <w:rPr>
          <w:noProof/>
          <w:lang w:val="en-GB"/>
        </w:rPr>
        <w:t> </w:t>
      </w:r>
      <w:r w:rsidR="009A66F5" w:rsidRPr="006D6727">
        <w:rPr>
          <w:noProof/>
          <w:lang w:val="en-GB"/>
        </w:rPr>
        <w:t>GHz and 90° elevation</w:t>
      </w:r>
    </w:p>
    <w:p w14:paraId="25DCC1CC" w14:textId="77777777" w:rsidR="009A66F5" w:rsidRPr="006D6727" w:rsidRDefault="009A66F5" w:rsidP="009A66F5">
      <w:pPr>
        <w:rPr>
          <w:rStyle w:val="ECCParagraph"/>
          <w:noProof/>
        </w:rPr>
      </w:pPr>
    </w:p>
    <w:p w14:paraId="210385F4" w14:textId="77777777" w:rsidR="009A66F5" w:rsidRPr="006D6727" w:rsidRDefault="009A66F5" w:rsidP="009A66F5">
      <w:pPr>
        <w:pStyle w:val="ECCFiguregraphcentered"/>
        <w:rPr>
          <w:lang w:val="en-GB"/>
        </w:rPr>
      </w:pPr>
      <w:r w:rsidRPr="006D6727">
        <w:drawing>
          <wp:inline distT="0" distB="0" distL="0" distR="0" wp14:anchorId="584F3B5E" wp14:editId="72A56D72">
            <wp:extent cx="6091755" cy="3930650"/>
            <wp:effectExtent l="0" t="0" r="4445" b="0"/>
            <wp:docPr id="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screen">
                      <a:extLst>
                        <a:ext uri="{28A0092B-C50C-407E-A947-70E740481C1C}">
                          <a14:useLocalDpi xmlns:a14="http://schemas.microsoft.com/office/drawing/2010/main"/>
                        </a:ext>
                      </a:extLst>
                    </a:blip>
                    <a:srcRect/>
                    <a:stretch/>
                  </pic:blipFill>
                  <pic:spPr bwMode="auto">
                    <a:xfrm>
                      <a:off x="0" y="0"/>
                      <a:ext cx="6099187" cy="3935446"/>
                    </a:xfrm>
                    <a:prstGeom prst="rect">
                      <a:avLst/>
                    </a:prstGeom>
                    <a:ln>
                      <a:noFill/>
                    </a:ln>
                    <a:extLst>
                      <a:ext uri="{53640926-AAD7-44D8-BBD7-CCE9431645EC}">
                        <a14:shadowObscured xmlns:a14="http://schemas.microsoft.com/office/drawing/2010/main"/>
                      </a:ext>
                    </a:extLst>
                  </pic:spPr>
                </pic:pic>
              </a:graphicData>
            </a:graphic>
          </wp:inline>
        </w:drawing>
      </w:r>
    </w:p>
    <w:p w14:paraId="1F36A920" w14:textId="249CA7DB" w:rsidR="009A66F5" w:rsidRPr="006D6727" w:rsidRDefault="00BB5F41" w:rsidP="009A66F5">
      <w:pPr>
        <w:pStyle w:val="Caption"/>
        <w:rPr>
          <w:noProof/>
          <w:lang w:val="en-GB"/>
        </w:rPr>
      </w:pPr>
      <w:bookmarkStart w:id="989" w:name="_Ref15648778"/>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105</w:t>
      </w:r>
      <w:r w:rsidR="00616942" w:rsidRPr="006D6727">
        <w:rPr>
          <w:noProof/>
          <w:lang w:val="en-GB"/>
        </w:rPr>
        <w:fldChar w:fldCharType="end"/>
      </w:r>
      <w:bookmarkEnd w:id="989"/>
      <w:r w:rsidR="009A66F5" w:rsidRPr="006D6727">
        <w:rPr>
          <w:noProof/>
          <w:lang w:val="en-GB"/>
        </w:rPr>
        <w:t>: BEL over frequency extrapolated for 100</w:t>
      </w:r>
      <w:r w:rsidR="004A0E79" w:rsidRPr="006D6727">
        <w:rPr>
          <w:noProof/>
          <w:lang w:val="en-GB"/>
        </w:rPr>
        <w:t> </w:t>
      </w:r>
      <w:r w:rsidR="009A66F5" w:rsidRPr="006D6727">
        <w:rPr>
          <w:noProof/>
          <w:lang w:val="en-GB"/>
        </w:rPr>
        <w:t>GHz to 300</w:t>
      </w:r>
      <w:r w:rsidR="004A0E79" w:rsidRPr="006D6727">
        <w:rPr>
          <w:noProof/>
          <w:lang w:val="en-GB"/>
        </w:rPr>
        <w:t> </w:t>
      </w:r>
      <w:r w:rsidR="009A66F5" w:rsidRPr="006D6727">
        <w:rPr>
          <w:noProof/>
          <w:lang w:val="en-GB"/>
        </w:rPr>
        <w:t>GHz and P=0</w:t>
      </w:r>
      <w:r w:rsidR="00CF4994">
        <w:rPr>
          <w:noProof/>
          <w:lang w:val="en-GB"/>
        </w:rPr>
        <w:t>.5</w:t>
      </w:r>
    </w:p>
    <w:p w14:paraId="0F02EF0B" w14:textId="77777777" w:rsidR="009A66F5" w:rsidRPr="006D6727" w:rsidRDefault="009A66F5" w:rsidP="009A66F5">
      <w:pPr>
        <w:pStyle w:val="ECCFiguregraphcentered"/>
        <w:rPr>
          <w:lang w:val="en-GB"/>
        </w:rPr>
      </w:pPr>
      <w:r w:rsidRPr="006D6727">
        <w:drawing>
          <wp:inline distT="0" distB="0" distL="0" distR="0" wp14:anchorId="4F64A89F" wp14:editId="63A5BF7D">
            <wp:extent cx="5848350" cy="3870685"/>
            <wp:effectExtent l="0" t="0" r="0" b="0"/>
            <wp:docPr id="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5860427" cy="3878678"/>
                    </a:xfrm>
                    <a:prstGeom prst="rect">
                      <a:avLst/>
                    </a:prstGeom>
                    <a:ln>
                      <a:noFill/>
                    </a:ln>
                    <a:extLst>
                      <a:ext uri="{53640926-AAD7-44D8-BBD7-CCE9431645EC}">
                        <a14:shadowObscured xmlns:a14="http://schemas.microsoft.com/office/drawing/2010/main"/>
                      </a:ext>
                    </a:extLst>
                  </pic:spPr>
                </pic:pic>
              </a:graphicData>
            </a:graphic>
          </wp:inline>
        </w:drawing>
      </w:r>
    </w:p>
    <w:p w14:paraId="7E99383B" w14:textId="0A277EFD" w:rsidR="009A66F5" w:rsidRPr="006D6727" w:rsidRDefault="00BB5F41" w:rsidP="009A66F5">
      <w:pPr>
        <w:pStyle w:val="Caption"/>
        <w:rPr>
          <w:noProof/>
          <w:lang w:val="en-GB"/>
        </w:rPr>
      </w:pPr>
      <w:bookmarkStart w:id="990" w:name="_Ref15648785"/>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106</w:t>
      </w:r>
      <w:r w:rsidR="00616942" w:rsidRPr="006D6727">
        <w:rPr>
          <w:noProof/>
          <w:lang w:val="en-GB"/>
        </w:rPr>
        <w:fldChar w:fldCharType="end"/>
      </w:r>
      <w:bookmarkEnd w:id="990"/>
      <w:r w:rsidR="009A66F5" w:rsidRPr="006D6727">
        <w:rPr>
          <w:noProof/>
          <w:lang w:val="en-GB"/>
        </w:rPr>
        <w:t>: BEL over frequency extrapolated for 100</w:t>
      </w:r>
      <w:r w:rsidR="004A0E79" w:rsidRPr="006D6727">
        <w:rPr>
          <w:noProof/>
          <w:lang w:val="en-GB"/>
        </w:rPr>
        <w:t> </w:t>
      </w:r>
      <w:r w:rsidR="009A66F5" w:rsidRPr="006D6727">
        <w:rPr>
          <w:noProof/>
          <w:lang w:val="en-GB"/>
        </w:rPr>
        <w:t>GHz to 300</w:t>
      </w:r>
      <w:r w:rsidR="004A0E79" w:rsidRPr="006D6727">
        <w:rPr>
          <w:noProof/>
          <w:lang w:val="en-GB"/>
        </w:rPr>
        <w:t> </w:t>
      </w:r>
      <w:r w:rsidR="009A66F5" w:rsidRPr="006D6727">
        <w:rPr>
          <w:noProof/>
          <w:lang w:val="en-GB"/>
        </w:rPr>
        <w:t>GHz and P=0</w:t>
      </w:r>
      <w:r w:rsidR="00CF4994">
        <w:rPr>
          <w:noProof/>
          <w:lang w:val="en-GB"/>
        </w:rPr>
        <w:t>.5</w:t>
      </w:r>
      <w:r w:rsidR="009A66F5" w:rsidRPr="006D6727">
        <w:rPr>
          <w:noProof/>
          <w:lang w:val="en-GB"/>
        </w:rPr>
        <w:t xml:space="preserve"> (log x-axis)</w:t>
      </w:r>
    </w:p>
    <w:p w14:paraId="570F3B53" w14:textId="77777777" w:rsidR="008C1756" w:rsidRPr="006D6727" w:rsidRDefault="008C1756" w:rsidP="008C1756">
      <w:pPr>
        <w:pStyle w:val="ECCAnnexheading1"/>
        <w:rPr>
          <w:noProof/>
          <w:lang w:val="en-GB"/>
        </w:rPr>
      </w:pPr>
      <w:bookmarkStart w:id="991" w:name="_Ref36130414"/>
      <w:bookmarkStart w:id="992" w:name="_Ref36130458"/>
      <w:bookmarkStart w:id="993" w:name="_Toc127346419"/>
      <w:r w:rsidRPr="006D6727">
        <w:rPr>
          <w:noProof/>
          <w:lang w:val="en-GB"/>
        </w:rPr>
        <w:t xml:space="preserve">Material Measurements </w:t>
      </w:r>
      <w:r w:rsidR="008B676B" w:rsidRPr="006D6727">
        <w:rPr>
          <w:noProof/>
          <w:lang w:val="en-GB"/>
        </w:rPr>
        <w:t xml:space="preserve">for Building Entry Loss (BEL) </w:t>
      </w:r>
      <w:r w:rsidR="00F31513" w:rsidRPr="006D6727">
        <w:rPr>
          <w:noProof/>
          <w:lang w:val="en-GB"/>
        </w:rPr>
        <w:t xml:space="preserve">Model </w:t>
      </w:r>
      <w:r w:rsidR="008B676B" w:rsidRPr="006D6727">
        <w:rPr>
          <w:noProof/>
          <w:lang w:val="en-GB"/>
        </w:rPr>
        <w:t>Extension</w:t>
      </w:r>
      <w:bookmarkEnd w:id="991"/>
      <w:bookmarkEnd w:id="992"/>
      <w:bookmarkEnd w:id="993"/>
    </w:p>
    <w:p w14:paraId="7E63BDC9" w14:textId="77777777" w:rsidR="00E30A04" w:rsidRPr="006D6727" w:rsidRDefault="00E30A04" w:rsidP="00FA6458">
      <w:pPr>
        <w:pStyle w:val="ECCAnnexheading2"/>
        <w:rPr>
          <w:noProof/>
        </w:rPr>
      </w:pPr>
      <w:r w:rsidRPr="006D6727">
        <w:rPr>
          <w:noProof/>
        </w:rPr>
        <w:t>Introduction</w:t>
      </w:r>
    </w:p>
    <w:p w14:paraId="5374B1AB" w14:textId="02897FEA" w:rsidR="008C1756" w:rsidRPr="006D6727" w:rsidRDefault="00E30A04" w:rsidP="00A2099D">
      <w:pPr>
        <w:rPr>
          <w:rStyle w:val="ECCParagraph"/>
          <w:noProof/>
        </w:rPr>
      </w:pPr>
      <w:r w:rsidRPr="006D6727">
        <w:rPr>
          <w:rStyle w:val="ECCParagraph"/>
          <w:noProof/>
        </w:rPr>
        <w:t xml:space="preserve">Building entry loss (BEL) values are needed for the studies to examine the impact of </w:t>
      </w:r>
      <w:r w:rsidR="0090688F" w:rsidRPr="006D6727">
        <w:rPr>
          <w:rStyle w:val="ECCParagraph"/>
          <w:noProof/>
        </w:rPr>
        <w:t xml:space="preserve">radiodetermination sensors for </w:t>
      </w:r>
      <w:r w:rsidRPr="006D6727">
        <w:rPr>
          <w:rStyle w:val="ECCParagraph"/>
          <w:noProof/>
        </w:rPr>
        <w:t>industry automation (</w:t>
      </w:r>
      <w:r w:rsidR="009F293C" w:rsidRPr="006D6727">
        <w:rPr>
          <w:rStyle w:val="ECCParagraph"/>
          <w:noProof/>
        </w:rPr>
        <w:t>t</w:t>
      </w:r>
      <w:r w:rsidRPr="006D6727">
        <w:rPr>
          <w:rStyle w:val="ECCParagraph"/>
          <w:noProof/>
        </w:rPr>
        <w:t xml:space="preserve">ype C application) on the radiocommunication services. In this section measurement results of different types of typical building material are provided </w:t>
      </w:r>
      <w:r w:rsidR="0090688F" w:rsidRPr="006D6727">
        <w:rPr>
          <w:rStyle w:val="ECCParagraph"/>
          <w:noProof/>
        </w:rPr>
        <w:t>in order to verify</w:t>
      </w:r>
      <w:r w:rsidRPr="006D6727">
        <w:rPr>
          <w:rStyle w:val="ECCParagraph"/>
          <w:noProof/>
        </w:rPr>
        <w:t xml:space="preserve"> the proposed BEL model frequency range extension</w:t>
      </w:r>
      <w:r w:rsidR="0090688F" w:rsidRPr="006D6727">
        <w:rPr>
          <w:rStyle w:val="ECCParagraph"/>
          <w:noProof/>
        </w:rPr>
        <w:t xml:space="preserve"> (refer to </w:t>
      </w:r>
      <w:r w:rsidR="0090688F" w:rsidRPr="006D6727">
        <w:rPr>
          <w:rStyle w:val="ECCParagraph"/>
          <w:noProof/>
        </w:rPr>
        <w:fldChar w:fldCharType="begin"/>
      </w:r>
      <w:r w:rsidR="0090688F" w:rsidRPr="006D6727">
        <w:rPr>
          <w:rStyle w:val="ECCParagraph"/>
          <w:noProof/>
        </w:rPr>
        <w:instrText xml:space="preserve"> REF _Ref20209940 \n \h </w:instrText>
      </w:r>
      <w:r w:rsidR="0090688F" w:rsidRPr="006D6727">
        <w:rPr>
          <w:rStyle w:val="ECCParagraph"/>
          <w:noProof/>
        </w:rPr>
      </w:r>
      <w:r w:rsidR="0090688F" w:rsidRPr="006D6727">
        <w:rPr>
          <w:rStyle w:val="ECCParagraph"/>
          <w:noProof/>
        </w:rPr>
        <w:fldChar w:fldCharType="separate"/>
      </w:r>
      <w:r w:rsidR="0041125F">
        <w:rPr>
          <w:rStyle w:val="ECCParagraph"/>
          <w:noProof/>
        </w:rPr>
        <w:t>A</w:t>
      </w:r>
      <w:r w:rsidR="008C0C50">
        <w:rPr>
          <w:rStyle w:val="ECCParagraph"/>
          <w:noProof/>
        </w:rPr>
        <w:t>nnex</w:t>
      </w:r>
      <w:r w:rsidR="0041125F">
        <w:rPr>
          <w:rStyle w:val="ECCParagraph"/>
          <w:noProof/>
        </w:rPr>
        <w:t xml:space="preserve"> 1</w:t>
      </w:r>
      <w:r w:rsidR="0090688F" w:rsidRPr="006D6727">
        <w:rPr>
          <w:rStyle w:val="ECCParagraph"/>
          <w:noProof/>
        </w:rPr>
        <w:fldChar w:fldCharType="end"/>
      </w:r>
      <w:r w:rsidR="0090688F" w:rsidRPr="006D6727">
        <w:rPr>
          <w:rStyle w:val="ECCParagraph"/>
          <w:noProof/>
        </w:rPr>
        <w:t>)</w:t>
      </w:r>
      <w:r w:rsidRPr="006D6727">
        <w:rPr>
          <w:rStyle w:val="ECCParagraph"/>
          <w:noProof/>
        </w:rPr>
        <w:t>.</w:t>
      </w:r>
    </w:p>
    <w:p w14:paraId="3ED0CB75" w14:textId="77777777" w:rsidR="00EF5973" w:rsidRPr="006D6727" w:rsidRDefault="00EF5973" w:rsidP="00FA6458">
      <w:pPr>
        <w:pStyle w:val="ECCAnnexheading2"/>
        <w:rPr>
          <w:noProof/>
        </w:rPr>
      </w:pPr>
      <w:bookmarkStart w:id="994" w:name="_Toc15903686"/>
      <w:r w:rsidRPr="006D6727">
        <w:rPr>
          <w:noProof/>
        </w:rPr>
        <w:t>Measurement setup</w:t>
      </w:r>
      <w:bookmarkEnd w:id="994"/>
    </w:p>
    <w:p w14:paraId="6B1A1547" w14:textId="2923FECC" w:rsidR="00EF5973" w:rsidRPr="006D6727" w:rsidRDefault="00EF5973" w:rsidP="00EF5973">
      <w:pPr>
        <w:rPr>
          <w:noProof/>
        </w:rPr>
      </w:pPr>
      <w:r w:rsidRPr="006D6727">
        <w:rPr>
          <w:noProof/>
        </w:rPr>
        <w:t xml:space="preserve">In order to evaluate the frequency dependent attenuation of the materials a simple measurement setup with a custom programmable radar sensor as signal source and a </w:t>
      </w:r>
      <w:r w:rsidRPr="00D67C69">
        <w:rPr>
          <w:noProof/>
        </w:rPr>
        <w:t>R&amp;S FSEK30</w:t>
      </w:r>
      <w:r w:rsidRPr="006D6727">
        <w:rPr>
          <w:noProof/>
        </w:rPr>
        <w:t xml:space="preserve"> spectrum analyser was used. This setup allows measurements with a dynamic range of around 60 dB.</w:t>
      </w:r>
      <w:r w:rsidR="00073DEC" w:rsidRPr="006D6727">
        <w:rPr>
          <w:noProof/>
        </w:rPr>
        <w:t xml:space="preserve"> </w:t>
      </w:r>
      <w:r w:rsidRPr="006D6727">
        <w:rPr>
          <w:noProof/>
        </w:rPr>
        <w:t>The dynamic range is limited by the sweep time of the spectrum analyser and the missing frequency synchroni</w:t>
      </w:r>
      <w:r w:rsidR="00EF3E55">
        <w:rPr>
          <w:noProof/>
        </w:rPr>
        <w:t>s</w:t>
      </w:r>
      <w:r w:rsidRPr="006D6727">
        <w:rPr>
          <w:noProof/>
        </w:rPr>
        <w:t>ation between the FSEK30 and the radar sensor</w:t>
      </w:r>
      <w:r w:rsidR="00073DEC" w:rsidRPr="006D6727">
        <w:rPr>
          <w:noProof/>
        </w:rPr>
        <w:t xml:space="preserve"> itself</w:t>
      </w:r>
      <w:r w:rsidRPr="006D6727">
        <w:rPr>
          <w:noProof/>
        </w:rPr>
        <w:t xml:space="preserve">. For a larger dynamic </w:t>
      </w:r>
      <w:r w:rsidR="006F7C64" w:rsidRPr="006D6727">
        <w:rPr>
          <w:noProof/>
        </w:rPr>
        <w:t>range,</w:t>
      </w:r>
      <w:r w:rsidRPr="006D6727">
        <w:rPr>
          <w:noProof/>
        </w:rPr>
        <w:t xml:space="preserve"> a network </w:t>
      </w:r>
      <w:r w:rsidR="0040715F" w:rsidRPr="006D6727">
        <w:rPr>
          <w:noProof/>
        </w:rPr>
        <w:t>analyser-based</w:t>
      </w:r>
      <w:r w:rsidRPr="006D6727">
        <w:rPr>
          <w:noProof/>
        </w:rPr>
        <w:t xml:space="preserve"> measurement setup might be a better choice, but unfortunately was not available </w:t>
      </w:r>
      <w:r w:rsidR="00073DEC" w:rsidRPr="006D6727">
        <w:rPr>
          <w:noProof/>
        </w:rPr>
        <w:t xml:space="preserve">at the time </w:t>
      </w:r>
      <w:r w:rsidRPr="006D6727">
        <w:rPr>
          <w:noProof/>
        </w:rPr>
        <w:t>the measurements</w:t>
      </w:r>
      <w:r w:rsidR="00073DEC" w:rsidRPr="006D6727">
        <w:rPr>
          <w:noProof/>
        </w:rPr>
        <w:t xml:space="preserve"> have been conducted</w:t>
      </w:r>
      <w:r w:rsidRPr="006D6727">
        <w:rPr>
          <w:noProof/>
        </w:rPr>
        <w:t>.</w:t>
      </w:r>
    </w:p>
    <w:p w14:paraId="62AF3376" w14:textId="77777777" w:rsidR="00EF5973" w:rsidRPr="006D6727" w:rsidRDefault="00EF5973" w:rsidP="00EF5973">
      <w:pPr>
        <w:rPr>
          <w:noProof/>
        </w:rPr>
      </w:pPr>
      <w:r w:rsidRPr="006D6727">
        <w:rPr>
          <w:noProof/>
        </w:rPr>
        <w:t>The transmitted power is measured in 1</w:t>
      </w:r>
      <w:r w:rsidR="00073DEC" w:rsidRPr="006D6727">
        <w:rPr>
          <w:noProof/>
        </w:rPr>
        <w:t> </w:t>
      </w:r>
      <w:r w:rsidRPr="006D6727">
        <w:rPr>
          <w:noProof/>
        </w:rPr>
        <w:t>GHz step width</w:t>
      </w:r>
      <w:r w:rsidR="00073DEC" w:rsidRPr="006D6727">
        <w:rPr>
          <w:noProof/>
        </w:rPr>
        <w:t>s</w:t>
      </w:r>
      <w:r w:rsidRPr="006D6727">
        <w:rPr>
          <w:noProof/>
        </w:rPr>
        <w:t xml:space="preserve"> with 56 steps in the frequency range from 120</w:t>
      </w:r>
      <w:r w:rsidR="006F7C64" w:rsidRPr="006D6727">
        <w:rPr>
          <w:noProof/>
        </w:rPr>
        <w:t> GHz</w:t>
      </w:r>
      <w:r w:rsidRPr="006D6727">
        <w:rPr>
          <w:noProof/>
        </w:rPr>
        <w:t xml:space="preserve"> to 175</w:t>
      </w:r>
      <w:r w:rsidR="006F7C64" w:rsidRPr="006D6727">
        <w:rPr>
          <w:noProof/>
        </w:rPr>
        <w:t> </w:t>
      </w:r>
      <w:r w:rsidRPr="006D6727">
        <w:rPr>
          <w:noProof/>
        </w:rPr>
        <w:t xml:space="preserve">GHz to provide smooth measurement curves. The attenuation measurements are calibrated to a reference transmission measurement with no object in </w:t>
      </w:r>
      <w:r w:rsidR="00073DEC" w:rsidRPr="006D6727">
        <w:rPr>
          <w:rStyle w:val="ECCParagraph"/>
          <w:noProof/>
        </w:rPr>
        <w:t>direct line of sight</w:t>
      </w:r>
      <w:r w:rsidR="00073DEC" w:rsidRPr="006D6727">
        <w:rPr>
          <w:noProof/>
        </w:rPr>
        <w:t xml:space="preserve"> between Tx- and Rx-antenna</w:t>
      </w:r>
      <w:r w:rsidRPr="006D6727">
        <w:rPr>
          <w:noProof/>
        </w:rPr>
        <w:t xml:space="preserve">. All measurements are referenced to this </w:t>
      </w:r>
      <w:r w:rsidR="006F7C64" w:rsidRPr="006D6727">
        <w:rPr>
          <w:noProof/>
        </w:rPr>
        <w:t>scenario</w:t>
      </w:r>
      <w:r w:rsidRPr="006D6727">
        <w:rPr>
          <w:noProof/>
        </w:rPr>
        <w:t xml:space="preserve">. </w:t>
      </w:r>
      <w:r w:rsidR="006F7C64" w:rsidRPr="006D6727">
        <w:rPr>
          <w:noProof/>
        </w:rPr>
        <w:t>In order to</w:t>
      </w:r>
      <w:r w:rsidRPr="006D6727">
        <w:rPr>
          <w:noProof/>
        </w:rPr>
        <w:t xml:space="preserve"> show the achieved maximum dynamic range a reference measurement with full shielding </w:t>
      </w:r>
      <w:r w:rsidR="008B7983" w:rsidRPr="006D6727">
        <w:rPr>
          <w:noProof/>
        </w:rPr>
        <w:t>by means of</w:t>
      </w:r>
      <w:r w:rsidR="006F7C64" w:rsidRPr="006D6727">
        <w:rPr>
          <w:noProof/>
        </w:rPr>
        <w:t xml:space="preserve"> a </w:t>
      </w:r>
      <w:r w:rsidRPr="006D6727">
        <w:rPr>
          <w:noProof/>
        </w:rPr>
        <w:t>metal plate is provided.</w:t>
      </w:r>
    </w:p>
    <w:p w14:paraId="76561AA5" w14:textId="19B63D69" w:rsidR="0022206F" w:rsidRPr="006D6727" w:rsidRDefault="0022206F" w:rsidP="0022206F">
      <w:pPr>
        <w:pStyle w:val="Caption"/>
        <w:rPr>
          <w:noProof/>
          <w:lang w:val="en-GB"/>
        </w:rPr>
      </w:pPr>
      <w:bookmarkStart w:id="995" w:name="_Ref20148645"/>
      <w:r w:rsidRPr="006D6727">
        <w:rPr>
          <w:noProof/>
          <w:lang w:val="en-GB"/>
        </w:rPr>
        <w:t>Table</w:t>
      </w:r>
      <w:r w:rsidR="000C0FB3">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125</w:t>
      </w:r>
      <w:r w:rsidR="00616942" w:rsidRPr="006D6727">
        <w:rPr>
          <w:noProof/>
          <w:lang w:val="en-GB"/>
        </w:rPr>
        <w:fldChar w:fldCharType="end"/>
      </w:r>
      <w:bookmarkEnd w:id="995"/>
      <w:r w:rsidRPr="006D6727">
        <w:rPr>
          <w:noProof/>
          <w:lang w:val="en-GB"/>
        </w:rPr>
        <w:t>: Overview of the used measurement equipment</w:t>
      </w:r>
    </w:p>
    <w:tbl>
      <w:tblPr>
        <w:tblStyle w:val="ECCTable-redheader"/>
        <w:tblW w:w="9493" w:type="dxa"/>
        <w:tblInd w:w="0" w:type="dxa"/>
        <w:tblLayout w:type="fixed"/>
        <w:tblLook w:val="04A0" w:firstRow="1" w:lastRow="0" w:firstColumn="1" w:lastColumn="0" w:noHBand="0" w:noVBand="1"/>
      </w:tblPr>
      <w:tblGrid>
        <w:gridCol w:w="1435"/>
        <w:gridCol w:w="8058"/>
      </w:tblGrid>
      <w:tr w:rsidR="00EF5973" w:rsidRPr="006D6727" w14:paraId="31D5AFBE" w14:textId="77777777" w:rsidTr="00415D60">
        <w:trPr>
          <w:cnfStyle w:val="100000000000" w:firstRow="1" w:lastRow="0" w:firstColumn="0" w:lastColumn="0" w:oddVBand="0" w:evenVBand="0" w:oddHBand="0" w:evenHBand="0" w:firstRowFirstColumn="0" w:firstRowLastColumn="0" w:lastRowFirstColumn="0" w:lastRowLastColumn="0"/>
          <w:trHeight w:val="135"/>
        </w:trPr>
        <w:tc>
          <w:tcPr>
            <w:tcW w:w="1435" w:type="dxa"/>
            <w:hideMark/>
          </w:tcPr>
          <w:p w14:paraId="6049118B" w14:textId="77777777" w:rsidR="00EF5973" w:rsidRPr="006D6727" w:rsidRDefault="00EF5973" w:rsidP="00EF5973">
            <w:pPr>
              <w:rPr>
                <w:noProof/>
              </w:rPr>
            </w:pPr>
            <w:r w:rsidRPr="006D6727">
              <w:rPr>
                <w:noProof/>
              </w:rPr>
              <w:t>Type</w:t>
            </w:r>
          </w:p>
        </w:tc>
        <w:tc>
          <w:tcPr>
            <w:tcW w:w="8058" w:type="dxa"/>
            <w:hideMark/>
          </w:tcPr>
          <w:p w14:paraId="6E32E705" w14:textId="77777777" w:rsidR="00EF5973" w:rsidRPr="006D6727" w:rsidRDefault="00EF5973" w:rsidP="00EF5973">
            <w:pPr>
              <w:rPr>
                <w:noProof/>
              </w:rPr>
            </w:pPr>
            <w:r w:rsidRPr="006D6727">
              <w:rPr>
                <w:noProof/>
              </w:rPr>
              <w:t>Model</w:t>
            </w:r>
          </w:p>
        </w:tc>
      </w:tr>
      <w:tr w:rsidR="00EF5973" w:rsidRPr="006D6727" w14:paraId="2721EE43" w14:textId="77777777" w:rsidTr="00415D60">
        <w:trPr>
          <w:trHeight w:val="208"/>
        </w:trPr>
        <w:tc>
          <w:tcPr>
            <w:tcW w:w="1435" w:type="dxa"/>
            <w:hideMark/>
          </w:tcPr>
          <w:p w14:paraId="6DC3C87D" w14:textId="77777777" w:rsidR="00EF5973" w:rsidRPr="006D6727" w:rsidRDefault="00EF5973" w:rsidP="00EF5973">
            <w:pPr>
              <w:rPr>
                <w:noProof/>
              </w:rPr>
            </w:pPr>
            <w:r w:rsidRPr="006D6727">
              <w:rPr>
                <w:noProof/>
              </w:rPr>
              <w:t>Transmitter</w:t>
            </w:r>
          </w:p>
        </w:tc>
        <w:tc>
          <w:tcPr>
            <w:tcW w:w="8058" w:type="dxa"/>
            <w:hideMark/>
          </w:tcPr>
          <w:p w14:paraId="0AEF53A8" w14:textId="77777777" w:rsidR="00EF5973" w:rsidRPr="006D6727" w:rsidRDefault="00EF5973" w:rsidP="00415D60">
            <w:pPr>
              <w:jc w:val="left"/>
              <w:rPr>
                <w:noProof/>
              </w:rPr>
            </w:pPr>
            <w:r w:rsidRPr="006D6727">
              <w:rPr>
                <w:noProof/>
              </w:rPr>
              <w:t>Custom USB D-Band FMCW radar configured in programmable frequency CW-mode.</w:t>
            </w:r>
          </w:p>
          <w:p w14:paraId="1A690B68" w14:textId="77777777" w:rsidR="00EF5973" w:rsidRPr="006D6727" w:rsidRDefault="00EF5973" w:rsidP="00EF5973">
            <w:pPr>
              <w:rPr>
                <w:noProof/>
              </w:rPr>
            </w:pPr>
            <w:r w:rsidRPr="006D6727">
              <w:rPr>
                <w:noProof/>
              </w:rPr>
              <w:t>Connector: WM-1651 (WR-06) waveguide compatible to standard UG387 flange.</w:t>
            </w:r>
          </w:p>
          <w:p w14:paraId="4AE7512C" w14:textId="77777777" w:rsidR="00EF5973" w:rsidRPr="006D6727" w:rsidRDefault="00EF5973" w:rsidP="00EF5973">
            <w:pPr>
              <w:rPr>
                <w:noProof/>
              </w:rPr>
            </w:pPr>
            <w:r w:rsidRPr="006D6727">
              <w:rPr>
                <w:noProof/>
              </w:rPr>
              <w:t>Frequency range: 120</w:t>
            </w:r>
            <w:r w:rsidR="008B7983" w:rsidRPr="006D6727">
              <w:rPr>
                <w:noProof/>
              </w:rPr>
              <w:t xml:space="preserve"> GHz to </w:t>
            </w:r>
            <w:r w:rsidRPr="006D6727">
              <w:rPr>
                <w:noProof/>
              </w:rPr>
              <w:t>175</w:t>
            </w:r>
            <w:r w:rsidR="008B7983" w:rsidRPr="006D6727">
              <w:rPr>
                <w:noProof/>
              </w:rPr>
              <w:t> </w:t>
            </w:r>
            <w:r w:rsidRPr="006D6727">
              <w:rPr>
                <w:noProof/>
              </w:rPr>
              <w:t>GHz</w:t>
            </w:r>
          </w:p>
        </w:tc>
      </w:tr>
      <w:tr w:rsidR="00EF5973" w:rsidRPr="006D6727" w14:paraId="433CF77E" w14:textId="77777777" w:rsidTr="00415D60">
        <w:trPr>
          <w:trHeight w:val="254"/>
        </w:trPr>
        <w:tc>
          <w:tcPr>
            <w:tcW w:w="1435" w:type="dxa"/>
            <w:hideMark/>
          </w:tcPr>
          <w:p w14:paraId="5BBE3BAF" w14:textId="77777777" w:rsidR="00EF5973" w:rsidRPr="006D6727" w:rsidRDefault="00EF5973" w:rsidP="00EF5973">
            <w:pPr>
              <w:rPr>
                <w:noProof/>
              </w:rPr>
            </w:pPr>
            <w:r w:rsidRPr="006D6727">
              <w:rPr>
                <w:noProof/>
              </w:rPr>
              <w:t>Receiver</w:t>
            </w:r>
          </w:p>
        </w:tc>
        <w:tc>
          <w:tcPr>
            <w:tcW w:w="8058" w:type="dxa"/>
            <w:hideMark/>
          </w:tcPr>
          <w:p w14:paraId="2C047D05" w14:textId="77777777" w:rsidR="00EF5973" w:rsidRPr="006D6727" w:rsidRDefault="00EF5973" w:rsidP="00415D60">
            <w:pPr>
              <w:jc w:val="left"/>
              <w:rPr>
                <w:noProof/>
              </w:rPr>
            </w:pPr>
            <w:r w:rsidRPr="006D6727">
              <w:rPr>
                <w:noProof/>
              </w:rPr>
              <w:t>Rohde &amp; Schwarz FSEK30 with external Radiometer Physics SAM-170 harmonic mixer</w:t>
            </w:r>
          </w:p>
        </w:tc>
      </w:tr>
      <w:tr w:rsidR="00EF5973" w:rsidRPr="006D6727" w14:paraId="1E97B7E0" w14:textId="77777777" w:rsidTr="00415D60">
        <w:trPr>
          <w:trHeight w:val="201"/>
        </w:trPr>
        <w:tc>
          <w:tcPr>
            <w:tcW w:w="1435" w:type="dxa"/>
            <w:hideMark/>
          </w:tcPr>
          <w:p w14:paraId="14EF6BFA" w14:textId="77777777" w:rsidR="00EF5973" w:rsidRPr="006D6727" w:rsidRDefault="00EF5973" w:rsidP="00EF5973">
            <w:pPr>
              <w:rPr>
                <w:noProof/>
              </w:rPr>
            </w:pPr>
            <w:r w:rsidRPr="006D6727">
              <w:rPr>
                <w:noProof/>
              </w:rPr>
              <w:t>Antenna</w:t>
            </w:r>
          </w:p>
          <w:p w14:paraId="400E0912" w14:textId="77777777" w:rsidR="00EF5973" w:rsidRPr="006D6727" w:rsidRDefault="00EF5973" w:rsidP="00EF5973">
            <w:pPr>
              <w:rPr>
                <w:noProof/>
              </w:rPr>
            </w:pPr>
            <w:r w:rsidRPr="006D6727">
              <w:rPr>
                <w:noProof/>
              </w:rPr>
              <w:t>(T</w:t>
            </w:r>
            <w:r w:rsidR="0022206F" w:rsidRPr="006D6727">
              <w:rPr>
                <w:noProof/>
              </w:rPr>
              <w:t>x</w:t>
            </w:r>
            <w:r w:rsidRPr="006D6727">
              <w:rPr>
                <w:noProof/>
              </w:rPr>
              <w:t xml:space="preserve"> &amp; R</w:t>
            </w:r>
            <w:r w:rsidR="0022206F" w:rsidRPr="006D6727">
              <w:rPr>
                <w:noProof/>
              </w:rPr>
              <w:t>x</w:t>
            </w:r>
            <w:r w:rsidRPr="006D6727">
              <w:rPr>
                <w:noProof/>
              </w:rPr>
              <w:t>)</w:t>
            </w:r>
          </w:p>
        </w:tc>
        <w:tc>
          <w:tcPr>
            <w:tcW w:w="8058" w:type="dxa"/>
            <w:hideMark/>
          </w:tcPr>
          <w:p w14:paraId="757EDAAB" w14:textId="77777777" w:rsidR="00EF5973" w:rsidRPr="006D6727" w:rsidRDefault="00EF5973" w:rsidP="00EF5973">
            <w:pPr>
              <w:rPr>
                <w:noProof/>
              </w:rPr>
            </w:pPr>
            <w:r w:rsidRPr="006D6727">
              <w:rPr>
                <w:noProof/>
              </w:rPr>
              <w:t>MI-WAVE 261D-24/387 standard gain horn with 24</w:t>
            </w:r>
            <w:r w:rsidR="0022206F" w:rsidRPr="006D6727">
              <w:rPr>
                <w:noProof/>
              </w:rPr>
              <w:t> </w:t>
            </w:r>
            <w:r w:rsidRPr="006D6727">
              <w:rPr>
                <w:noProof/>
              </w:rPr>
              <w:t>dBi gain</w:t>
            </w:r>
          </w:p>
        </w:tc>
      </w:tr>
    </w:tbl>
    <w:p w14:paraId="3D75D9A0" w14:textId="6BABCF35" w:rsidR="00EF5973" w:rsidRPr="006D6727" w:rsidRDefault="00EF5973" w:rsidP="00EF5973">
      <w:pPr>
        <w:rPr>
          <w:noProof/>
        </w:rPr>
      </w:pPr>
      <w:r w:rsidRPr="006D6727">
        <w:rPr>
          <w:noProof/>
        </w:rPr>
        <w:t xml:space="preserve">In </w:t>
      </w:r>
      <w:r w:rsidR="00F05581" w:rsidRPr="006D6727">
        <w:rPr>
          <w:noProof/>
        </w:rPr>
        <w:fldChar w:fldCharType="begin"/>
      </w:r>
      <w:r w:rsidR="00F05581" w:rsidRPr="006D6727">
        <w:rPr>
          <w:noProof/>
        </w:rPr>
        <w:instrText xml:space="preserve"> REF _Ref20148645 \h </w:instrText>
      </w:r>
      <w:r w:rsidR="00F05581" w:rsidRPr="006D6727">
        <w:rPr>
          <w:noProof/>
        </w:rPr>
      </w:r>
      <w:r w:rsidR="00F05581" w:rsidRPr="006D6727">
        <w:rPr>
          <w:noProof/>
        </w:rPr>
        <w:fldChar w:fldCharType="separate"/>
      </w:r>
      <w:r w:rsidR="0041125F" w:rsidRPr="006D6727">
        <w:rPr>
          <w:noProof/>
        </w:rPr>
        <w:t>Table</w:t>
      </w:r>
      <w:r w:rsidR="0041125F">
        <w:t> </w:t>
      </w:r>
      <w:r w:rsidR="0041125F">
        <w:rPr>
          <w:noProof/>
        </w:rPr>
        <w:t>125</w:t>
      </w:r>
      <w:r w:rsidR="00F05581" w:rsidRPr="006D6727">
        <w:rPr>
          <w:noProof/>
        </w:rPr>
        <w:fldChar w:fldCharType="end"/>
      </w:r>
      <w:r w:rsidR="00EF3E55">
        <w:rPr>
          <w:noProof/>
        </w:rPr>
        <w:t>,</w:t>
      </w:r>
      <w:r w:rsidRPr="006D6727">
        <w:rPr>
          <w:noProof/>
        </w:rPr>
        <w:t xml:space="preserve"> a short overview of the used measurement equipment is </w:t>
      </w:r>
      <w:r w:rsidR="00F05581" w:rsidRPr="006D6727">
        <w:rPr>
          <w:noProof/>
        </w:rPr>
        <w:t>given,</w:t>
      </w:r>
      <w:r w:rsidRPr="006D6727">
        <w:rPr>
          <w:noProof/>
        </w:rPr>
        <w:t xml:space="preserve"> and </w:t>
      </w:r>
      <w:r w:rsidR="00F05581" w:rsidRPr="006D6727">
        <w:rPr>
          <w:noProof/>
        </w:rPr>
        <w:fldChar w:fldCharType="begin"/>
      </w:r>
      <w:r w:rsidR="00F05581" w:rsidRPr="006D6727">
        <w:rPr>
          <w:noProof/>
        </w:rPr>
        <w:instrText xml:space="preserve"> REF _Ref20148835 \h </w:instrText>
      </w:r>
      <w:r w:rsidR="00F05581" w:rsidRPr="006D6727">
        <w:rPr>
          <w:noProof/>
        </w:rPr>
      </w:r>
      <w:r w:rsidR="00F05581" w:rsidRPr="006D6727">
        <w:rPr>
          <w:noProof/>
        </w:rPr>
        <w:fldChar w:fldCharType="separate"/>
      </w:r>
      <w:r w:rsidR="0041125F" w:rsidRPr="006D6727">
        <w:rPr>
          <w:noProof/>
        </w:rPr>
        <w:t>Figure</w:t>
      </w:r>
      <w:r w:rsidR="0041125F">
        <w:t> </w:t>
      </w:r>
      <w:r w:rsidR="0041125F">
        <w:rPr>
          <w:noProof/>
        </w:rPr>
        <w:t>107</w:t>
      </w:r>
      <w:r w:rsidR="00F05581" w:rsidRPr="006D6727">
        <w:rPr>
          <w:noProof/>
        </w:rPr>
        <w:fldChar w:fldCharType="end"/>
      </w:r>
      <w:r w:rsidR="00F05581" w:rsidRPr="006D6727">
        <w:rPr>
          <w:noProof/>
        </w:rPr>
        <w:t xml:space="preserve"> </w:t>
      </w:r>
      <w:r w:rsidRPr="006D6727">
        <w:rPr>
          <w:noProof/>
        </w:rPr>
        <w:t xml:space="preserve">shows a photograph of the measurement setup. A custom Python script is used to control the FSEK via SCPI language and program the radar transmitter device to step to the different frequency points and record the </w:t>
      </w:r>
      <w:r w:rsidR="00CA3DAA" w:rsidRPr="006D6727">
        <w:rPr>
          <w:noProof/>
        </w:rPr>
        <w:t>received</w:t>
      </w:r>
      <w:r w:rsidRPr="006D6727">
        <w:rPr>
          <w:noProof/>
        </w:rPr>
        <w:t xml:space="preserve"> power.</w:t>
      </w:r>
    </w:p>
    <w:p w14:paraId="6D2AB360" w14:textId="77777777" w:rsidR="00EF5973" w:rsidRPr="006D6727" w:rsidRDefault="00CA3DAA" w:rsidP="00EF5973">
      <w:pPr>
        <w:pStyle w:val="ECCFiguregraphcentered"/>
        <w:rPr>
          <w:lang w:val="en-GB"/>
        </w:rPr>
      </w:pPr>
      <w:r w:rsidRPr="006D6727">
        <w:drawing>
          <wp:inline distT="0" distB="0" distL="0" distR="0" wp14:anchorId="68B0158B" wp14:editId="667ECFA5">
            <wp:extent cx="2673752" cy="2407459"/>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2715022" cy="2444619"/>
                    </a:xfrm>
                    <a:prstGeom prst="rect">
                      <a:avLst/>
                    </a:prstGeom>
                  </pic:spPr>
                </pic:pic>
              </a:graphicData>
            </a:graphic>
          </wp:inline>
        </w:drawing>
      </w:r>
    </w:p>
    <w:p w14:paraId="1A306B6E" w14:textId="7F82E658" w:rsidR="00EF5973" w:rsidRPr="006D6727" w:rsidRDefault="00F05581" w:rsidP="00EF5973">
      <w:pPr>
        <w:pStyle w:val="Caption"/>
        <w:rPr>
          <w:noProof/>
          <w:lang w:val="en-GB"/>
        </w:rPr>
      </w:pPr>
      <w:bookmarkStart w:id="996" w:name="_Ref20148835"/>
      <w:r w:rsidRPr="006D6727">
        <w:rPr>
          <w:noProof/>
          <w:lang w:val="en-GB"/>
        </w:rPr>
        <w:t>Figure</w:t>
      </w:r>
      <w:r w:rsidR="000C0FB3">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107</w:t>
      </w:r>
      <w:r w:rsidRPr="006D6727">
        <w:rPr>
          <w:noProof/>
          <w:lang w:val="en-GB"/>
        </w:rPr>
        <w:fldChar w:fldCharType="end"/>
      </w:r>
      <w:bookmarkEnd w:id="996"/>
      <w:r w:rsidR="00EF5973" w:rsidRPr="006D6727">
        <w:rPr>
          <w:noProof/>
          <w:lang w:val="en-GB"/>
        </w:rPr>
        <w:t>: Photograph of the measurement setup with a 300x300</w:t>
      </w:r>
      <w:r w:rsidRPr="006D6727">
        <w:rPr>
          <w:noProof/>
          <w:lang w:val="en-GB"/>
        </w:rPr>
        <w:t> </w:t>
      </w:r>
      <w:r w:rsidR="00EF5973" w:rsidRPr="006D6727">
        <w:rPr>
          <w:noProof/>
          <w:lang w:val="en-GB"/>
        </w:rPr>
        <w:t>mm glass sample</w:t>
      </w:r>
      <w:bookmarkStart w:id="997" w:name="_Hlk20205891"/>
    </w:p>
    <w:bookmarkEnd w:id="997"/>
    <w:p w14:paraId="4E9610AF" w14:textId="77777777" w:rsidR="001349A1" w:rsidRPr="006D6727" w:rsidRDefault="001349A1" w:rsidP="00FA6458">
      <w:pPr>
        <w:pStyle w:val="ECCAnnexheading2"/>
        <w:rPr>
          <w:noProof/>
        </w:rPr>
      </w:pPr>
      <w:r w:rsidRPr="006D6727">
        <w:rPr>
          <w:noProof/>
        </w:rPr>
        <w:t>Building materials</w:t>
      </w:r>
    </w:p>
    <w:p w14:paraId="6E0AEC7A" w14:textId="77777777" w:rsidR="001349A1" w:rsidRPr="006D6727" w:rsidRDefault="001349A1" w:rsidP="001349A1">
      <w:pPr>
        <w:rPr>
          <w:noProof/>
        </w:rPr>
      </w:pPr>
      <w:r w:rsidRPr="006D6727">
        <w:rPr>
          <w:noProof/>
        </w:rPr>
        <w:t>In order to verify the proposed BEL model extension with real material measurements a variety of typical building material has been selected. Different wooden material samples have been chosen to have a starting point for the BEL values for wooden houses (</w:t>
      </w:r>
      <w:r w:rsidR="00C54DD6" w:rsidRPr="006D6727">
        <w:rPr>
          <w:noProof/>
        </w:rPr>
        <w:t>"</w:t>
      </w:r>
      <w:r w:rsidRPr="006D6727">
        <w:rPr>
          <w:noProof/>
        </w:rPr>
        <w:t>traditional</w:t>
      </w:r>
      <w:r w:rsidR="00C54DD6" w:rsidRPr="006D6727">
        <w:rPr>
          <w:noProof/>
        </w:rPr>
        <w:t>"</w:t>
      </w:r>
      <w:r w:rsidRPr="006D6727">
        <w:rPr>
          <w:noProof/>
        </w:rPr>
        <w:t xml:space="preserve"> BEL model). As the windows </w:t>
      </w:r>
      <w:r w:rsidR="00B9271C" w:rsidRPr="006D6727">
        <w:rPr>
          <w:noProof/>
        </w:rPr>
        <w:t>are</w:t>
      </w:r>
      <w:r w:rsidRPr="006D6727">
        <w:rPr>
          <w:noProof/>
        </w:rPr>
        <w:t xml:space="preserve"> the most critical building structure</w:t>
      </w:r>
      <w:r w:rsidR="00B9271C" w:rsidRPr="006D6727">
        <w:rPr>
          <w:noProof/>
        </w:rPr>
        <w:t>s</w:t>
      </w:r>
      <w:r w:rsidRPr="006D6727">
        <w:rPr>
          <w:noProof/>
        </w:rPr>
        <w:t xml:space="preserve"> for modern energy efficient buildings (“efficient” BEL model) in terms of </w:t>
      </w:r>
      <w:r w:rsidR="00B9271C" w:rsidRPr="006D6727">
        <w:rPr>
          <w:noProof/>
        </w:rPr>
        <w:t xml:space="preserve">signal </w:t>
      </w:r>
      <w:r w:rsidRPr="006D6727">
        <w:rPr>
          <w:noProof/>
        </w:rPr>
        <w:t>attenuation, measurements of typical 2-layer and 3-layer window material are provided. In addition, also measurements of typical wall materials for modern standard buildings have been conducted.</w:t>
      </w:r>
    </w:p>
    <w:p w14:paraId="341EFB88" w14:textId="3C9030EB" w:rsidR="001349A1" w:rsidRPr="006D6727" w:rsidRDefault="001349A1" w:rsidP="001349A1">
      <w:pPr>
        <w:rPr>
          <w:noProof/>
        </w:rPr>
      </w:pPr>
      <w:r w:rsidRPr="006D6727">
        <w:rPr>
          <w:noProof/>
        </w:rPr>
        <w:t xml:space="preserve">In </w:t>
      </w:r>
      <w:r w:rsidR="00B9271C" w:rsidRPr="006D6727">
        <w:rPr>
          <w:noProof/>
        </w:rPr>
        <w:fldChar w:fldCharType="begin"/>
      </w:r>
      <w:r w:rsidR="00B9271C" w:rsidRPr="006D6727">
        <w:rPr>
          <w:noProof/>
        </w:rPr>
        <w:instrText xml:space="preserve"> REF _Ref20149539 \h </w:instrText>
      </w:r>
      <w:r w:rsidR="00B9271C" w:rsidRPr="006D6727">
        <w:rPr>
          <w:noProof/>
        </w:rPr>
      </w:r>
      <w:r w:rsidR="00B9271C" w:rsidRPr="006D6727">
        <w:rPr>
          <w:noProof/>
        </w:rPr>
        <w:fldChar w:fldCharType="separate"/>
      </w:r>
      <w:r w:rsidR="0041125F" w:rsidRPr="006D6727">
        <w:rPr>
          <w:noProof/>
        </w:rPr>
        <w:t>Table</w:t>
      </w:r>
      <w:r w:rsidR="0041125F">
        <w:t> </w:t>
      </w:r>
      <w:r w:rsidR="0041125F">
        <w:rPr>
          <w:noProof/>
        </w:rPr>
        <w:t>126</w:t>
      </w:r>
      <w:r w:rsidR="00B9271C" w:rsidRPr="006D6727">
        <w:rPr>
          <w:noProof/>
        </w:rPr>
        <w:fldChar w:fldCharType="end"/>
      </w:r>
      <w:r w:rsidR="00B9271C" w:rsidRPr="006D6727">
        <w:rPr>
          <w:noProof/>
        </w:rPr>
        <w:t xml:space="preserve"> </w:t>
      </w:r>
      <w:r w:rsidRPr="006D6727">
        <w:rPr>
          <w:noProof/>
        </w:rPr>
        <w:t>all measured materials are listed, a photograph is provided and the measured attenuation at 120</w:t>
      </w:r>
      <w:r w:rsidR="00B9271C" w:rsidRPr="006D6727">
        <w:rPr>
          <w:noProof/>
        </w:rPr>
        <w:t> </w:t>
      </w:r>
      <w:r w:rsidRPr="006D6727">
        <w:rPr>
          <w:noProof/>
        </w:rPr>
        <w:t xml:space="preserve">GHz is given. </w:t>
      </w:r>
      <w:r w:rsidR="001863BB" w:rsidRPr="006D6727">
        <w:rPr>
          <w:noProof/>
        </w:rPr>
        <w:fldChar w:fldCharType="begin"/>
      </w:r>
      <w:r w:rsidR="001863BB" w:rsidRPr="006D6727">
        <w:rPr>
          <w:noProof/>
        </w:rPr>
        <w:instrText xml:space="preserve"> REF _Ref20152171 \h </w:instrText>
      </w:r>
      <w:r w:rsidR="001863BB" w:rsidRPr="006D6727">
        <w:rPr>
          <w:noProof/>
        </w:rPr>
      </w:r>
      <w:r w:rsidR="001863BB" w:rsidRPr="006D6727">
        <w:rPr>
          <w:noProof/>
        </w:rPr>
        <w:fldChar w:fldCharType="separate"/>
      </w:r>
      <w:r w:rsidR="0041125F" w:rsidRPr="006D6727">
        <w:rPr>
          <w:noProof/>
        </w:rPr>
        <w:t>Figure</w:t>
      </w:r>
      <w:r w:rsidR="0041125F">
        <w:t> </w:t>
      </w:r>
      <w:r w:rsidR="0041125F">
        <w:rPr>
          <w:noProof/>
        </w:rPr>
        <w:t>108</w:t>
      </w:r>
      <w:r w:rsidR="001863BB" w:rsidRPr="006D6727">
        <w:rPr>
          <w:noProof/>
        </w:rPr>
        <w:fldChar w:fldCharType="end"/>
      </w:r>
      <w:r w:rsidR="001863BB" w:rsidRPr="006D6727">
        <w:rPr>
          <w:noProof/>
        </w:rPr>
        <w:t xml:space="preserve"> </w:t>
      </w:r>
      <w:r w:rsidRPr="006D6727">
        <w:rPr>
          <w:noProof/>
        </w:rPr>
        <w:t xml:space="preserve">shows the measurement results for the different </w:t>
      </w:r>
      <w:r w:rsidR="00B9271C" w:rsidRPr="006D6727">
        <w:rPr>
          <w:noProof/>
        </w:rPr>
        <w:t xml:space="preserve">building </w:t>
      </w:r>
      <w:r w:rsidRPr="006D6727">
        <w:rPr>
          <w:noProof/>
        </w:rPr>
        <w:t>materials.</w:t>
      </w:r>
    </w:p>
    <w:p w14:paraId="23A469F3" w14:textId="2A65B1F0" w:rsidR="00B9271C" w:rsidRPr="006D6727" w:rsidRDefault="00B9271C" w:rsidP="00B9271C">
      <w:pPr>
        <w:pStyle w:val="Caption"/>
        <w:rPr>
          <w:noProof/>
          <w:lang w:val="en-GB"/>
        </w:rPr>
      </w:pPr>
      <w:bookmarkStart w:id="998" w:name="_Ref20149539"/>
      <w:r w:rsidRPr="006D6727">
        <w:rPr>
          <w:noProof/>
          <w:lang w:val="en-GB"/>
        </w:rPr>
        <w:t>Table</w:t>
      </w:r>
      <w:r w:rsidR="000C0FB3">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126</w:t>
      </w:r>
      <w:r w:rsidR="00616942" w:rsidRPr="006D6727">
        <w:rPr>
          <w:noProof/>
          <w:lang w:val="en-GB"/>
        </w:rPr>
        <w:fldChar w:fldCharType="end"/>
      </w:r>
      <w:bookmarkEnd w:id="998"/>
      <w:r w:rsidRPr="006D6727">
        <w:rPr>
          <w:noProof/>
          <w:lang w:val="en-GB"/>
        </w:rPr>
        <w:t>: Overview of the measured building materials</w:t>
      </w:r>
    </w:p>
    <w:tbl>
      <w:tblPr>
        <w:tblStyle w:val="ECCTable-redheader"/>
        <w:tblW w:w="9629" w:type="dxa"/>
        <w:tblInd w:w="0" w:type="dxa"/>
        <w:tblLayout w:type="fixed"/>
        <w:tblLook w:val="04A0" w:firstRow="1" w:lastRow="0" w:firstColumn="1" w:lastColumn="0" w:noHBand="0" w:noVBand="1"/>
      </w:tblPr>
      <w:tblGrid>
        <w:gridCol w:w="1271"/>
        <w:gridCol w:w="1418"/>
        <w:gridCol w:w="3985"/>
        <w:gridCol w:w="2955"/>
      </w:tblGrid>
      <w:tr w:rsidR="001349A1" w:rsidRPr="006D6727" w14:paraId="293231BF" w14:textId="77777777" w:rsidTr="00B9271C">
        <w:trPr>
          <w:cnfStyle w:val="100000000000" w:firstRow="1" w:lastRow="0" w:firstColumn="0" w:lastColumn="0" w:oddVBand="0" w:evenVBand="0" w:oddHBand="0" w:evenHBand="0" w:firstRowFirstColumn="0" w:firstRowLastColumn="0" w:lastRowFirstColumn="0" w:lastRowLastColumn="0"/>
          <w:trHeight w:val="135"/>
        </w:trPr>
        <w:tc>
          <w:tcPr>
            <w:tcW w:w="1271" w:type="dxa"/>
            <w:hideMark/>
          </w:tcPr>
          <w:p w14:paraId="75814513" w14:textId="77777777" w:rsidR="001349A1" w:rsidRPr="006D6727" w:rsidRDefault="00B9271C" w:rsidP="001349A1">
            <w:pPr>
              <w:rPr>
                <w:noProof/>
              </w:rPr>
            </w:pPr>
            <w:r w:rsidRPr="006D6727">
              <w:rPr>
                <w:noProof/>
              </w:rPr>
              <w:t>Material t</w:t>
            </w:r>
            <w:r w:rsidR="001349A1" w:rsidRPr="006D6727">
              <w:rPr>
                <w:noProof/>
              </w:rPr>
              <w:t>ype</w:t>
            </w:r>
          </w:p>
        </w:tc>
        <w:tc>
          <w:tcPr>
            <w:tcW w:w="1418" w:type="dxa"/>
          </w:tcPr>
          <w:p w14:paraId="7B43D3C6" w14:textId="77777777" w:rsidR="001349A1" w:rsidRPr="006D6727" w:rsidRDefault="001349A1" w:rsidP="001349A1">
            <w:pPr>
              <w:rPr>
                <w:noProof/>
              </w:rPr>
            </w:pPr>
            <w:r w:rsidRPr="006D6727">
              <w:rPr>
                <w:noProof/>
              </w:rPr>
              <w:t>Attenuation</w:t>
            </w:r>
          </w:p>
          <w:p w14:paraId="74204617" w14:textId="77777777" w:rsidR="001349A1" w:rsidRPr="006D6727" w:rsidRDefault="00B9271C" w:rsidP="001349A1">
            <w:pPr>
              <w:rPr>
                <w:noProof/>
              </w:rPr>
            </w:pPr>
            <w:r w:rsidRPr="006D6727">
              <w:rPr>
                <w:noProof/>
              </w:rPr>
              <w:t>a</w:t>
            </w:r>
            <w:r w:rsidR="001349A1" w:rsidRPr="006D6727">
              <w:rPr>
                <w:noProof/>
              </w:rPr>
              <w:t>t 120</w:t>
            </w:r>
            <w:r w:rsidRPr="006D6727">
              <w:rPr>
                <w:noProof/>
              </w:rPr>
              <w:t> </w:t>
            </w:r>
            <w:r w:rsidR="001349A1" w:rsidRPr="006D6727">
              <w:rPr>
                <w:noProof/>
              </w:rPr>
              <w:t>GHz</w:t>
            </w:r>
          </w:p>
        </w:tc>
        <w:tc>
          <w:tcPr>
            <w:tcW w:w="3985" w:type="dxa"/>
            <w:hideMark/>
          </w:tcPr>
          <w:p w14:paraId="152DE79B" w14:textId="77777777" w:rsidR="001349A1" w:rsidRPr="006D6727" w:rsidRDefault="001349A1" w:rsidP="001349A1">
            <w:pPr>
              <w:rPr>
                <w:noProof/>
              </w:rPr>
            </w:pPr>
            <w:r w:rsidRPr="006D6727">
              <w:rPr>
                <w:noProof/>
              </w:rPr>
              <w:t>Details</w:t>
            </w:r>
          </w:p>
        </w:tc>
        <w:tc>
          <w:tcPr>
            <w:tcW w:w="2955" w:type="dxa"/>
          </w:tcPr>
          <w:p w14:paraId="1D1AD38B" w14:textId="77777777" w:rsidR="001349A1" w:rsidRPr="006D6727" w:rsidRDefault="001349A1" w:rsidP="001349A1">
            <w:pPr>
              <w:rPr>
                <w:noProof/>
              </w:rPr>
            </w:pPr>
            <w:r w:rsidRPr="006D6727">
              <w:rPr>
                <w:noProof/>
              </w:rPr>
              <w:t>Photograph</w:t>
            </w:r>
          </w:p>
        </w:tc>
      </w:tr>
      <w:tr w:rsidR="001349A1" w:rsidRPr="006D6727" w14:paraId="7855F90F" w14:textId="77777777" w:rsidTr="00B9271C">
        <w:trPr>
          <w:trHeight w:val="208"/>
        </w:trPr>
        <w:tc>
          <w:tcPr>
            <w:tcW w:w="1271" w:type="dxa"/>
            <w:hideMark/>
          </w:tcPr>
          <w:p w14:paraId="05AB3359" w14:textId="77777777" w:rsidR="001349A1" w:rsidRPr="006D6727" w:rsidRDefault="001349A1" w:rsidP="000A69BD">
            <w:pPr>
              <w:pStyle w:val="ECCTabletext"/>
              <w:jc w:val="left"/>
              <w:rPr>
                <w:noProof/>
              </w:rPr>
            </w:pPr>
            <w:r w:rsidRPr="006D6727">
              <w:rPr>
                <w:noProof/>
              </w:rPr>
              <w:t>Wooden</w:t>
            </w:r>
          </w:p>
        </w:tc>
        <w:tc>
          <w:tcPr>
            <w:tcW w:w="1418" w:type="dxa"/>
          </w:tcPr>
          <w:p w14:paraId="13DD9156" w14:textId="77777777" w:rsidR="001349A1" w:rsidRPr="006D6727" w:rsidRDefault="001349A1" w:rsidP="000A69BD">
            <w:pPr>
              <w:pStyle w:val="ECCTabletext"/>
              <w:jc w:val="left"/>
              <w:rPr>
                <w:noProof/>
              </w:rPr>
            </w:pPr>
            <w:r w:rsidRPr="006D6727">
              <w:rPr>
                <w:noProof/>
              </w:rPr>
              <w:t>13</w:t>
            </w:r>
            <w:r w:rsidR="00255FFA" w:rsidRPr="006D6727">
              <w:rPr>
                <w:noProof/>
              </w:rPr>
              <w:t> </w:t>
            </w:r>
            <w:r w:rsidRPr="006D6727">
              <w:rPr>
                <w:noProof/>
              </w:rPr>
              <w:t>dB</w:t>
            </w:r>
          </w:p>
        </w:tc>
        <w:tc>
          <w:tcPr>
            <w:tcW w:w="3985" w:type="dxa"/>
            <w:hideMark/>
          </w:tcPr>
          <w:p w14:paraId="361D45F7" w14:textId="77777777" w:rsidR="001349A1" w:rsidRPr="006D6727" w:rsidRDefault="001349A1" w:rsidP="000A69BD">
            <w:pPr>
              <w:pStyle w:val="ECCTabletext"/>
              <w:jc w:val="left"/>
              <w:rPr>
                <w:noProof/>
              </w:rPr>
            </w:pPr>
            <w:r w:rsidRPr="006D6727">
              <w:rPr>
                <w:noProof/>
              </w:rPr>
              <w:t>Medium-density fibreboard (MDF) with a thickness of 18</w:t>
            </w:r>
            <w:r w:rsidR="00255FFA" w:rsidRPr="006D6727">
              <w:rPr>
                <w:noProof/>
              </w:rPr>
              <w:t> </w:t>
            </w:r>
            <w:r w:rsidRPr="006D6727">
              <w:rPr>
                <w:noProof/>
              </w:rPr>
              <w:t>mm</w:t>
            </w:r>
          </w:p>
        </w:tc>
        <w:tc>
          <w:tcPr>
            <w:tcW w:w="2955" w:type="dxa"/>
          </w:tcPr>
          <w:p w14:paraId="1C11F7A3" w14:textId="77777777" w:rsidR="001349A1" w:rsidRPr="006D6727" w:rsidRDefault="001349A1" w:rsidP="001349A1">
            <w:pPr>
              <w:rPr>
                <w:noProof/>
              </w:rPr>
            </w:pPr>
            <w:r w:rsidRPr="006D6727">
              <w:rPr>
                <w:noProof/>
                <w:lang w:val="de-DE"/>
              </w:rPr>
              <w:drawing>
                <wp:inline distT="0" distB="0" distL="0" distR="0" wp14:anchorId="5791725F" wp14:editId="01DD9423">
                  <wp:extent cx="1726565" cy="636270"/>
                  <wp:effectExtent l="0" t="0" r="6985" b="0"/>
                  <wp:docPr id="89" name="Picture 89"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19-09-09 0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26565" cy="636270"/>
                          </a:xfrm>
                          <a:prstGeom prst="rect">
                            <a:avLst/>
                          </a:prstGeom>
                          <a:noFill/>
                          <a:ln>
                            <a:noFill/>
                          </a:ln>
                        </pic:spPr>
                      </pic:pic>
                    </a:graphicData>
                  </a:graphic>
                </wp:inline>
              </w:drawing>
            </w:r>
          </w:p>
        </w:tc>
      </w:tr>
      <w:tr w:rsidR="001349A1" w:rsidRPr="006D6727" w14:paraId="78B12756" w14:textId="77777777" w:rsidTr="00B9271C">
        <w:trPr>
          <w:trHeight w:val="254"/>
        </w:trPr>
        <w:tc>
          <w:tcPr>
            <w:tcW w:w="1271" w:type="dxa"/>
            <w:hideMark/>
          </w:tcPr>
          <w:p w14:paraId="1540B448" w14:textId="77777777" w:rsidR="001349A1" w:rsidRPr="006D6727" w:rsidRDefault="001349A1" w:rsidP="000A69BD">
            <w:pPr>
              <w:pStyle w:val="ECCTabletext"/>
              <w:jc w:val="left"/>
              <w:rPr>
                <w:noProof/>
              </w:rPr>
            </w:pPr>
            <w:r w:rsidRPr="006D6727">
              <w:rPr>
                <w:noProof/>
              </w:rPr>
              <w:t>Wooden</w:t>
            </w:r>
          </w:p>
        </w:tc>
        <w:tc>
          <w:tcPr>
            <w:tcW w:w="1418" w:type="dxa"/>
          </w:tcPr>
          <w:p w14:paraId="6E50DD22" w14:textId="77777777" w:rsidR="001349A1" w:rsidRPr="006D6727" w:rsidRDefault="001349A1" w:rsidP="000A69BD">
            <w:pPr>
              <w:pStyle w:val="ECCTabletext"/>
              <w:jc w:val="left"/>
              <w:rPr>
                <w:noProof/>
              </w:rPr>
            </w:pPr>
            <w:r w:rsidRPr="006D6727">
              <w:rPr>
                <w:noProof/>
              </w:rPr>
              <w:t>36</w:t>
            </w:r>
            <w:r w:rsidR="00255FFA" w:rsidRPr="006D6727">
              <w:rPr>
                <w:noProof/>
              </w:rPr>
              <w:t> </w:t>
            </w:r>
            <w:r w:rsidRPr="006D6727">
              <w:rPr>
                <w:noProof/>
              </w:rPr>
              <w:t>dB</w:t>
            </w:r>
          </w:p>
        </w:tc>
        <w:tc>
          <w:tcPr>
            <w:tcW w:w="3985" w:type="dxa"/>
            <w:hideMark/>
          </w:tcPr>
          <w:p w14:paraId="2F405D49" w14:textId="77777777" w:rsidR="001349A1" w:rsidRPr="006D6727" w:rsidRDefault="001349A1" w:rsidP="000A69BD">
            <w:pPr>
              <w:pStyle w:val="ECCTabletext"/>
              <w:jc w:val="left"/>
              <w:rPr>
                <w:noProof/>
              </w:rPr>
            </w:pPr>
            <w:r w:rsidRPr="006D6727">
              <w:rPr>
                <w:noProof/>
              </w:rPr>
              <w:t>Beech-Multiplex board with a thickness of 25</w:t>
            </w:r>
            <w:r w:rsidR="00255FFA" w:rsidRPr="006D6727">
              <w:rPr>
                <w:noProof/>
              </w:rPr>
              <w:t> </w:t>
            </w:r>
            <w:r w:rsidRPr="006D6727">
              <w:rPr>
                <w:noProof/>
              </w:rPr>
              <w:t>mm (measured in 90° and 45° orientation)</w:t>
            </w:r>
          </w:p>
        </w:tc>
        <w:tc>
          <w:tcPr>
            <w:tcW w:w="2955" w:type="dxa"/>
          </w:tcPr>
          <w:p w14:paraId="53477DC7" w14:textId="77777777" w:rsidR="001349A1" w:rsidRPr="006D6727" w:rsidRDefault="001349A1" w:rsidP="001349A1">
            <w:pPr>
              <w:rPr>
                <w:noProof/>
              </w:rPr>
            </w:pPr>
            <w:r w:rsidRPr="006D6727">
              <w:rPr>
                <w:noProof/>
                <w:lang w:val="de-DE"/>
              </w:rPr>
              <w:drawing>
                <wp:inline distT="0" distB="0" distL="0" distR="0" wp14:anchorId="2C88AC3A" wp14:editId="1243F8AE">
                  <wp:extent cx="1733550" cy="526415"/>
                  <wp:effectExtent l="0" t="0" r="0" b="6985"/>
                  <wp:docPr id="88" name="Picture 88"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19-09-09 0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733550" cy="526415"/>
                          </a:xfrm>
                          <a:prstGeom prst="rect">
                            <a:avLst/>
                          </a:prstGeom>
                          <a:noFill/>
                          <a:ln>
                            <a:noFill/>
                          </a:ln>
                        </pic:spPr>
                      </pic:pic>
                    </a:graphicData>
                  </a:graphic>
                </wp:inline>
              </w:drawing>
            </w:r>
          </w:p>
        </w:tc>
      </w:tr>
      <w:tr w:rsidR="001349A1" w:rsidRPr="006D6727" w14:paraId="604B4FF3" w14:textId="77777777" w:rsidTr="00B9271C">
        <w:trPr>
          <w:trHeight w:val="201"/>
        </w:trPr>
        <w:tc>
          <w:tcPr>
            <w:tcW w:w="1271" w:type="dxa"/>
          </w:tcPr>
          <w:p w14:paraId="3F3F0B99" w14:textId="77777777" w:rsidR="001349A1" w:rsidRPr="006D6727" w:rsidRDefault="001349A1" w:rsidP="000A69BD">
            <w:pPr>
              <w:pStyle w:val="ECCTabletext"/>
              <w:jc w:val="left"/>
              <w:rPr>
                <w:noProof/>
              </w:rPr>
            </w:pPr>
            <w:r w:rsidRPr="006D6727">
              <w:rPr>
                <w:noProof/>
              </w:rPr>
              <w:t>Window</w:t>
            </w:r>
          </w:p>
        </w:tc>
        <w:tc>
          <w:tcPr>
            <w:tcW w:w="1418" w:type="dxa"/>
          </w:tcPr>
          <w:p w14:paraId="70ACC213" w14:textId="77777777" w:rsidR="001349A1" w:rsidRPr="006D6727" w:rsidRDefault="001349A1" w:rsidP="000A69BD">
            <w:pPr>
              <w:pStyle w:val="ECCTabletext"/>
              <w:jc w:val="left"/>
              <w:rPr>
                <w:noProof/>
              </w:rPr>
            </w:pPr>
            <w:r w:rsidRPr="006D6727">
              <w:rPr>
                <w:noProof/>
              </w:rPr>
              <w:t>35</w:t>
            </w:r>
            <w:r w:rsidR="00255FFA" w:rsidRPr="006D6727">
              <w:rPr>
                <w:noProof/>
              </w:rPr>
              <w:t> </w:t>
            </w:r>
            <w:r w:rsidRPr="006D6727">
              <w:rPr>
                <w:noProof/>
              </w:rPr>
              <w:t>dB</w:t>
            </w:r>
          </w:p>
        </w:tc>
        <w:tc>
          <w:tcPr>
            <w:tcW w:w="3985" w:type="dxa"/>
          </w:tcPr>
          <w:p w14:paraId="2E9E3669" w14:textId="77777777" w:rsidR="001349A1" w:rsidRPr="006D6727" w:rsidRDefault="001349A1" w:rsidP="000A69BD">
            <w:pPr>
              <w:pStyle w:val="ECCTabletext"/>
              <w:jc w:val="left"/>
              <w:rPr>
                <w:noProof/>
              </w:rPr>
            </w:pPr>
            <w:r w:rsidRPr="006D6727">
              <w:rPr>
                <w:noProof/>
              </w:rPr>
              <w:t>Typical 4</w:t>
            </w:r>
            <w:r w:rsidR="00255FFA" w:rsidRPr="006D6727">
              <w:rPr>
                <w:noProof/>
              </w:rPr>
              <w:t> </w:t>
            </w:r>
            <w:r w:rsidRPr="006D6727">
              <w:rPr>
                <w:noProof/>
              </w:rPr>
              <w:t>mm float glass window with a thin silver coating (measured in 90° and 45° orientation)</w:t>
            </w:r>
          </w:p>
        </w:tc>
        <w:tc>
          <w:tcPr>
            <w:tcW w:w="2955" w:type="dxa"/>
          </w:tcPr>
          <w:p w14:paraId="069A1604" w14:textId="77777777" w:rsidR="001349A1" w:rsidRPr="006D6727" w:rsidRDefault="001349A1" w:rsidP="001349A1">
            <w:pPr>
              <w:rPr>
                <w:noProof/>
              </w:rPr>
            </w:pPr>
            <w:r w:rsidRPr="006D6727">
              <w:rPr>
                <w:noProof/>
                <w:lang w:val="de-DE"/>
              </w:rPr>
              <w:drawing>
                <wp:inline distT="0" distB="0" distL="0" distR="0" wp14:anchorId="54A7D9E4" wp14:editId="465EDFE3">
                  <wp:extent cx="1594485" cy="1536065"/>
                  <wp:effectExtent l="0" t="0" r="5715" b="6985"/>
                  <wp:docPr id="87" name="Picture 87" descr="2019-09-09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019-09-09 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94485" cy="1536065"/>
                          </a:xfrm>
                          <a:prstGeom prst="rect">
                            <a:avLst/>
                          </a:prstGeom>
                          <a:noFill/>
                          <a:ln>
                            <a:noFill/>
                          </a:ln>
                        </pic:spPr>
                      </pic:pic>
                    </a:graphicData>
                  </a:graphic>
                </wp:inline>
              </w:drawing>
            </w:r>
          </w:p>
        </w:tc>
      </w:tr>
      <w:tr w:rsidR="001349A1" w:rsidRPr="006D6727" w14:paraId="1CA17DF2" w14:textId="77777777" w:rsidTr="00B9271C">
        <w:trPr>
          <w:trHeight w:val="201"/>
        </w:trPr>
        <w:tc>
          <w:tcPr>
            <w:tcW w:w="1271" w:type="dxa"/>
            <w:hideMark/>
          </w:tcPr>
          <w:p w14:paraId="4446F578" w14:textId="77777777" w:rsidR="001349A1" w:rsidRPr="006D6727" w:rsidRDefault="001349A1" w:rsidP="000A69BD">
            <w:pPr>
              <w:pStyle w:val="ECCTabletext"/>
              <w:jc w:val="left"/>
              <w:rPr>
                <w:noProof/>
              </w:rPr>
            </w:pPr>
            <w:r w:rsidRPr="006D6727">
              <w:rPr>
                <w:noProof/>
              </w:rPr>
              <w:t xml:space="preserve">Window </w:t>
            </w:r>
          </w:p>
        </w:tc>
        <w:tc>
          <w:tcPr>
            <w:tcW w:w="1418" w:type="dxa"/>
          </w:tcPr>
          <w:p w14:paraId="7143CE6A" w14:textId="77777777" w:rsidR="001349A1" w:rsidRPr="006D6727" w:rsidRDefault="001349A1" w:rsidP="000A69BD">
            <w:pPr>
              <w:pStyle w:val="ECCTabletext"/>
              <w:jc w:val="left"/>
              <w:rPr>
                <w:noProof/>
              </w:rPr>
            </w:pPr>
            <w:r w:rsidRPr="006D6727">
              <w:rPr>
                <w:noProof/>
              </w:rPr>
              <w:t>38</w:t>
            </w:r>
            <w:r w:rsidR="00255FFA" w:rsidRPr="006D6727">
              <w:rPr>
                <w:noProof/>
              </w:rPr>
              <w:t> </w:t>
            </w:r>
            <w:r w:rsidRPr="006D6727">
              <w:rPr>
                <w:noProof/>
              </w:rPr>
              <w:t>dB</w:t>
            </w:r>
          </w:p>
        </w:tc>
        <w:tc>
          <w:tcPr>
            <w:tcW w:w="3985" w:type="dxa"/>
            <w:hideMark/>
          </w:tcPr>
          <w:p w14:paraId="51529FD5" w14:textId="77777777" w:rsidR="001349A1" w:rsidRPr="006D6727" w:rsidRDefault="001349A1" w:rsidP="000A69BD">
            <w:pPr>
              <w:pStyle w:val="ECCTabletext"/>
              <w:jc w:val="left"/>
              <w:rPr>
                <w:noProof/>
              </w:rPr>
            </w:pPr>
            <w:r w:rsidRPr="006D6727">
              <w:rPr>
                <w:noProof/>
              </w:rPr>
              <w:t>Typical modern 2-layer standard window glass sample with 4</w:t>
            </w:r>
            <w:r w:rsidR="00255FFA" w:rsidRPr="006D6727">
              <w:rPr>
                <w:noProof/>
              </w:rPr>
              <w:t> </w:t>
            </w:r>
            <w:r w:rsidRPr="006D6727">
              <w:rPr>
                <w:noProof/>
              </w:rPr>
              <w:t>mm float glass, 16</w:t>
            </w:r>
            <w:r w:rsidR="00255FFA" w:rsidRPr="006D6727">
              <w:rPr>
                <w:noProof/>
              </w:rPr>
              <w:t> </w:t>
            </w:r>
            <w:r w:rsidRPr="006D6727">
              <w:rPr>
                <w:noProof/>
              </w:rPr>
              <w:t>mm argon filled gap and a second 4</w:t>
            </w:r>
            <w:r w:rsidR="00255FFA" w:rsidRPr="006D6727">
              <w:rPr>
                <w:noProof/>
              </w:rPr>
              <w:t> </w:t>
            </w:r>
            <w:r w:rsidRPr="006D6727">
              <w:rPr>
                <w:noProof/>
              </w:rPr>
              <w:t>mm float glass with a thin metallic coating (measured in 90° and 45° orientation)</w:t>
            </w:r>
          </w:p>
        </w:tc>
        <w:tc>
          <w:tcPr>
            <w:tcW w:w="2955" w:type="dxa"/>
          </w:tcPr>
          <w:p w14:paraId="69CA9ACC" w14:textId="77777777" w:rsidR="001349A1" w:rsidRPr="006D6727" w:rsidRDefault="001349A1" w:rsidP="001349A1">
            <w:pPr>
              <w:rPr>
                <w:noProof/>
              </w:rPr>
            </w:pPr>
            <w:r w:rsidRPr="006D6727">
              <w:rPr>
                <w:noProof/>
                <w:lang w:val="de-DE"/>
              </w:rPr>
              <w:drawing>
                <wp:inline distT="0" distB="0" distL="0" distR="0" wp14:anchorId="40BFDC0F" wp14:editId="1B6A0810">
                  <wp:extent cx="1609090" cy="1594485"/>
                  <wp:effectExtent l="0" t="0" r="0" b="5715"/>
                  <wp:docPr id="86" name="Picture 86"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2019-09-09 0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09090" cy="1594485"/>
                          </a:xfrm>
                          <a:prstGeom prst="rect">
                            <a:avLst/>
                          </a:prstGeom>
                          <a:noFill/>
                          <a:ln>
                            <a:noFill/>
                          </a:ln>
                        </pic:spPr>
                      </pic:pic>
                    </a:graphicData>
                  </a:graphic>
                </wp:inline>
              </w:drawing>
            </w:r>
          </w:p>
        </w:tc>
      </w:tr>
      <w:tr w:rsidR="001349A1" w:rsidRPr="006D6727" w14:paraId="3079FC05" w14:textId="77777777" w:rsidTr="00B9271C">
        <w:trPr>
          <w:trHeight w:val="201"/>
        </w:trPr>
        <w:tc>
          <w:tcPr>
            <w:tcW w:w="1271" w:type="dxa"/>
          </w:tcPr>
          <w:p w14:paraId="7A696DB9" w14:textId="77777777" w:rsidR="001349A1" w:rsidRPr="006D6727" w:rsidRDefault="001349A1" w:rsidP="000A69BD">
            <w:pPr>
              <w:pStyle w:val="ECCTabletext"/>
              <w:jc w:val="left"/>
              <w:rPr>
                <w:noProof/>
              </w:rPr>
            </w:pPr>
            <w:r w:rsidRPr="006D6727">
              <w:rPr>
                <w:noProof/>
              </w:rPr>
              <w:t>Window</w:t>
            </w:r>
          </w:p>
        </w:tc>
        <w:tc>
          <w:tcPr>
            <w:tcW w:w="1418" w:type="dxa"/>
          </w:tcPr>
          <w:p w14:paraId="39A356FB" w14:textId="77777777" w:rsidR="001349A1" w:rsidRPr="006D6727" w:rsidRDefault="001349A1" w:rsidP="000A69BD">
            <w:pPr>
              <w:pStyle w:val="ECCTabletext"/>
              <w:jc w:val="left"/>
              <w:rPr>
                <w:noProof/>
              </w:rPr>
            </w:pPr>
            <w:r w:rsidRPr="006D6727">
              <w:rPr>
                <w:noProof/>
              </w:rPr>
              <w:t>60</w:t>
            </w:r>
            <w:r w:rsidR="00255FFA" w:rsidRPr="006D6727">
              <w:rPr>
                <w:noProof/>
              </w:rPr>
              <w:t> </w:t>
            </w:r>
            <w:r w:rsidRPr="006D6727">
              <w:rPr>
                <w:noProof/>
              </w:rPr>
              <w:t>dB</w:t>
            </w:r>
          </w:p>
        </w:tc>
        <w:tc>
          <w:tcPr>
            <w:tcW w:w="3985" w:type="dxa"/>
          </w:tcPr>
          <w:p w14:paraId="4A4CAFED" w14:textId="77777777" w:rsidR="001349A1" w:rsidRPr="006D6727" w:rsidRDefault="001349A1" w:rsidP="000A69BD">
            <w:pPr>
              <w:pStyle w:val="ECCTabletext"/>
              <w:jc w:val="left"/>
              <w:rPr>
                <w:noProof/>
              </w:rPr>
            </w:pPr>
            <w:r w:rsidRPr="006D6727">
              <w:rPr>
                <w:noProof/>
              </w:rPr>
              <w:t>Typical modern 3-layer passive-house window glass sample with 4</w:t>
            </w:r>
            <w:r w:rsidR="00255FFA" w:rsidRPr="006D6727">
              <w:rPr>
                <w:noProof/>
              </w:rPr>
              <w:t> </w:t>
            </w:r>
            <w:r w:rsidRPr="006D6727">
              <w:rPr>
                <w:noProof/>
              </w:rPr>
              <w:t>mm float glass (coated), 12</w:t>
            </w:r>
            <w:r w:rsidR="00255FFA" w:rsidRPr="006D6727">
              <w:rPr>
                <w:noProof/>
              </w:rPr>
              <w:t> </w:t>
            </w:r>
            <w:r w:rsidRPr="006D6727">
              <w:rPr>
                <w:noProof/>
              </w:rPr>
              <w:t>mm argon filled gap, 4</w:t>
            </w:r>
            <w:r w:rsidR="00255FFA" w:rsidRPr="006D6727">
              <w:rPr>
                <w:noProof/>
              </w:rPr>
              <w:t> </w:t>
            </w:r>
            <w:r w:rsidRPr="006D6727">
              <w:rPr>
                <w:noProof/>
              </w:rPr>
              <w:t>mm float glass middle layer, a second 12</w:t>
            </w:r>
            <w:r w:rsidR="00255FFA" w:rsidRPr="006D6727">
              <w:rPr>
                <w:noProof/>
              </w:rPr>
              <w:t> </w:t>
            </w:r>
            <w:r w:rsidRPr="006D6727">
              <w:rPr>
                <w:noProof/>
              </w:rPr>
              <w:t>mm argon filled gap and a third 4</w:t>
            </w:r>
            <w:r w:rsidR="00255FFA" w:rsidRPr="006D6727">
              <w:rPr>
                <w:noProof/>
              </w:rPr>
              <w:t> </w:t>
            </w:r>
            <w:r w:rsidRPr="006D6727">
              <w:rPr>
                <w:noProof/>
              </w:rPr>
              <w:t>mm float glass layer (coated).</w:t>
            </w:r>
          </w:p>
        </w:tc>
        <w:tc>
          <w:tcPr>
            <w:tcW w:w="2955" w:type="dxa"/>
          </w:tcPr>
          <w:p w14:paraId="7B0601A4" w14:textId="77777777" w:rsidR="001349A1" w:rsidRPr="006D6727" w:rsidRDefault="001349A1" w:rsidP="001349A1">
            <w:pPr>
              <w:rPr>
                <w:noProof/>
              </w:rPr>
            </w:pPr>
            <w:r w:rsidRPr="006D6727">
              <w:rPr>
                <w:noProof/>
                <w:lang w:val="de-DE"/>
              </w:rPr>
              <w:drawing>
                <wp:inline distT="0" distB="0" distL="0" distR="0" wp14:anchorId="4DC414C5" wp14:editId="765DA3ED">
                  <wp:extent cx="1645920" cy="1682750"/>
                  <wp:effectExtent l="0" t="0" r="0" b="0"/>
                  <wp:docPr id="85" name="Picture 85"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2019-09-09 0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45920" cy="1682750"/>
                          </a:xfrm>
                          <a:prstGeom prst="rect">
                            <a:avLst/>
                          </a:prstGeom>
                          <a:noFill/>
                          <a:ln>
                            <a:noFill/>
                          </a:ln>
                        </pic:spPr>
                      </pic:pic>
                    </a:graphicData>
                  </a:graphic>
                </wp:inline>
              </w:drawing>
            </w:r>
          </w:p>
        </w:tc>
      </w:tr>
      <w:tr w:rsidR="001349A1" w:rsidRPr="006D6727" w14:paraId="2D8EC97F" w14:textId="77777777" w:rsidTr="00B9271C">
        <w:trPr>
          <w:trHeight w:val="201"/>
        </w:trPr>
        <w:tc>
          <w:tcPr>
            <w:tcW w:w="1271" w:type="dxa"/>
          </w:tcPr>
          <w:p w14:paraId="52C62701" w14:textId="77777777" w:rsidR="001349A1" w:rsidRPr="006D6727" w:rsidRDefault="001349A1" w:rsidP="000A69BD">
            <w:pPr>
              <w:pStyle w:val="ECCTabletext"/>
              <w:jc w:val="left"/>
              <w:rPr>
                <w:noProof/>
              </w:rPr>
            </w:pPr>
            <w:r w:rsidRPr="006D6727">
              <w:rPr>
                <w:noProof/>
              </w:rPr>
              <w:t>Wall</w:t>
            </w:r>
          </w:p>
        </w:tc>
        <w:tc>
          <w:tcPr>
            <w:tcW w:w="1418" w:type="dxa"/>
          </w:tcPr>
          <w:p w14:paraId="16D32D61" w14:textId="77777777" w:rsidR="001349A1" w:rsidRPr="006D6727" w:rsidRDefault="001349A1" w:rsidP="000A69BD">
            <w:pPr>
              <w:pStyle w:val="ECCTabletext"/>
              <w:jc w:val="left"/>
              <w:rPr>
                <w:noProof/>
              </w:rPr>
            </w:pPr>
            <w:r w:rsidRPr="006D6727">
              <w:rPr>
                <w:noProof/>
              </w:rPr>
              <w:t>&gt;60</w:t>
            </w:r>
            <w:r w:rsidR="00255FFA" w:rsidRPr="006D6727">
              <w:rPr>
                <w:noProof/>
              </w:rPr>
              <w:t> </w:t>
            </w:r>
            <w:r w:rsidRPr="006D6727">
              <w:rPr>
                <w:noProof/>
              </w:rPr>
              <w:t>dB</w:t>
            </w:r>
          </w:p>
        </w:tc>
        <w:tc>
          <w:tcPr>
            <w:tcW w:w="3985" w:type="dxa"/>
          </w:tcPr>
          <w:p w14:paraId="3E8097D0" w14:textId="77777777" w:rsidR="001349A1" w:rsidRPr="006D6727" w:rsidRDefault="001349A1" w:rsidP="000A69BD">
            <w:pPr>
              <w:pStyle w:val="ECCTabletext"/>
              <w:jc w:val="left"/>
              <w:rPr>
                <w:noProof/>
              </w:rPr>
            </w:pPr>
            <w:r w:rsidRPr="006D6727">
              <w:rPr>
                <w:noProof/>
              </w:rPr>
              <w:t>Concrete slab with a thickness of 47</w:t>
            </w:r>
            <w:r w:rsidR="00255FFA" w:rsidRPr="006D6727">
              <w:rPr>
                <w:noProof/>
              </w:rPr>
              <w:t> </w:t>
            </w:r>
            <w:r w:rsidRPr="006D6727">
              <w:rPr>
                <w:noProof/>
              </w:rPr>
              <w:t>mm</w:t>
            </w:r>
          </w:p>
        </w:tc>
        <w:tc>
          <w:tcPr>
            <w:tcW w:w="2955" w:type="dxa"/>
          </w:tcPr>
          <w:p w14:paraId="664CDB87" w14:textId="77777777" w:rsidR="001349A1" w:rsidRPr="006D6727" w:rsidRDefault="001349A1" w:rsidP="001349A1">
            <w:pPr>
              <w:rPr>
                <w:noProof/>
              </w:rPr>
            </w:pPr>
            <w:r w:rsidRPr="006D6727">
              <w:rPr>
                <w:noProof/>
                <w:lang w:val="de-DE"/>
              </w:rPr>
              <w:drawing>
                <wp:inline distT="0" distB="0" distL="0" distR="0" wp14:anchorId="0166BD8D" wp14:editId="5D8286D7">
                  <wp:extent cx="1566672" cy="1489430"/>
                  <wp:effectExtent l="0" t="0" r="0" b="0"/>
                  <wp:docPr id="82" name="Grafik 4" descr="C:\Users\timo\AppData\Local\Microsoft\Windows\INetCache\Content.Word\2019-09-09 08.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imo\AppData\Local\Microsoft\Windows\INetCache\Content.Word\2019-09-09 08.46.30.jpg"/>
                          <pic:cNvPicPr>
                            <a:picLocks noChangeAspect="1" noChangeArrowheads="1"/>
                          </pic:cNvPicPr>
                        </pic:nvPicPr>
                        <pic:blipFill rotWithShape="1">
                          <a:blip r:embed="rId190" cstate="screen">
                            <a:extLst>
                              <a:ext uri="{BEBA8EAE-BF5A-486C-A8C5-ECC9F3942E4B}">
                                <a14:imgProps xmlns:a14="http://schemas.microsoft.com/office/drawing/2010/main">
                                  <a14:imgLayer r:embed="rId191">
                                    <a14:imgEffect>
                                      <a14:backgroundRemoval t="2762" b="99363" l="0" r="100000">
                                        <a14:foregroundMark x1="16279" y1="2762" x2="16279" y2="2762"/>
                                      </a14:backgroundRemoval>
                                    </a14:imgEffect>
                                  </a14:imgLayer>
                                </a14:imgProps>
                              </a:ext>
                              <a:ext uri="{28A0092B-C50C-407E-A947-70E740481C1C}">
                                <a14:useLocalDpi xmlns:a14="http://schemas.microsoft.com/office/drawing/2010/main"/>
                              </a:ext>
                            </a:extLst>
                          </a:blip>
                          <a:srcRect/>
                          <a:stretch/>
                        </pic:blipFill>
                        <pic:spPr bwMode="auto">
                          <a:xfrm>
                            <a:off x="0" y="0"/>
                            <a:ext cx="1584198" cy="15060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349A1" w:rsidRPr="006D6727" w14:paraId="1B0376DB" w14:textId="77777777" w:rsidTr="00B9271C">
        <w:trPr>
          <w:trHeight w:val="201"/>
        </w:trPr>
        <w:tc>
          <w:tcPr>
            <w:tcW w:w="1271" w:type="dxa"/>
          </w:tcPr>
          <w:p w14:paraId="59D4E5DA" w14:textId="77777777" w:rsidR="001349A1" w:rsidRPr="006D6727" w:rsidRDefault="001349A1" w:rsidP="000A69BD">
            <w:pPr>
              <w:pStyle w:val="ECCTabletext"/>
              <w:jc w:val="left"/>
              <w:rPr>
                <w:noProof/>
              </w:rPr>
            </w:pPr>
            <w:r w:rsidRPr="006D6727">
              <w:rPr>
                <w:noProof/>
              </w:rPr>
              <w:t>Wall</w:t>
            </w:r>
          </w:p>
        </w:tc>
        <w:tc>
          <w:tcPr>
            <w:tcW w:w="1418" w:type="dxa"/>
          </w:tcPr>
          <w:p w14:paraId="5782B86E" w14:textId="77777777" w:rsidR="001349A1" w:rsidRPr="006D6727" w:rsidRDefault="001349A1" w:rsidP="000A69BD">
            <w:pPr>
              <w:pStyle w:val="ECCTabletext"/>
              <w:jc w:val="left"/>
              <w:rPr>
                <w:noProof/>
              </w:rPr>
            </w:pPr>
            <w:r w:rsidRPr="006D6727">
              <w:rPr>
                <w:noProof/>
              </w:rPr>
              <w:t>&gt;60</w:t>
            </w:r>
            <w:r w:rsidR="00255FFA" w:rsidRPr="006D6727">
              <w:rPr>
                <w:noProof/>
              </w:rPr>
              <w:t> </w:t>
            </w:r>
            <w:r w:rsidRPr="006D6727">
              <w:rPr>
                <w:noProof/>
              </w:rPr>
              <w:t>dB</w:t>
            </w:r>
          </w:p>
          <w:p w14:paraId="4CEA44CD" w14:textId="77777777" w:rsidR="00D529FE" w:rsidRPr="006D6727" w:rsidRDefault="00D529FE" w:rsidP="000A69BD">
            <w:pPr>
              <w:pStyle w:val="ECCTabletext"/>
              <w:jc w:val="left"/>
              <w:rPr>
                <w:noProof/>
              </w:rPr>
            </w:pPr>
            <w:r w:rsidRPr="006D6727">
              <w:rPr>
                <w:noProof/>
              </w:rPr>
              <w:t>(Note 1)</w:t>
            </w:r>
          </w:p>
        </w:tc>
        <w:tc>
          <w:tcPr>
            <w:tcW w:w="3985" w:type="dxa"/>
          </w:tcPr>
          <w:p w14:paraId="525E5B71" w14:textId="77777777" w:rsidR="001349A1" w:rsidRPr="006D6727" w:rsidRDefault="001349A1" w:rsidP="000A69BD">
            <w:pPr>
              <w:pStyle w:val="ECCTabletext"/>
              <w:jc w:val="left"/>
              <w:rPr>
                <w:noProof/>
              </w:rPr>
            </w:pPr>
            <w:r w:rsidRPr="006D6727">
              <w:rPr>
                <w:noProof/>
              </w:rPr>
              <w:t>Autoclaved aerated concrete (AAC) with a thickness of 75</w:t>
            </w:r>
            <w:r w:rsidR="00255FFA" w:rsidRPr="006D6727">
              <w:rPr>
                <w:noProof/>
              </w:rPr>
              <w:t> </w:t>
            </w:r>
            <w:r w:rsidRPr="006D6727">
              <w:rPr>
                <w:noProof/>
              </w:rPr>
              <w:t>mm</w:t>
            </w:r>
          </w:p>
        </w:tc>
        <w:tc>
          <w:tcPr>
            <w:tcW w:w="2955" w:type="dxa"/>
          </w:tcPr>
          <w:p w14:paraId="08E6D845" w14:textId="77777777" w:rsidR="001349A1" w:rsidRPr="006D6727" w:rsidRDefault="001349A1" w:rsidP="001349A1">
            <w:pPr>
              <w:rPr>
                <w:noProof/>
              </w:rPr>
            </w:pPr>
            <w:r w:rsidRPr="006D6727">
              <w:rPr>
                <w:noProof/>
                <w:lang w:val="de-DE"/>
              </w:rPr>
              <w:drawing>
                <wp:inline distT="0" distB="0" distL="0" distR="0" wp14:anchorId="737BBDEB" wp14:editId="6D31E78A">
                  <wp:extent cx="1455420" cy="1104900"/>
                  <wp:effectExtent l="0" t="0" r="0" b="0"/>
                  <wp:docPr id="84" name="Picture 84"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019-09-09 0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55420" cy="1104900"/>
                          </a:xfrm>
                          <a:prstGeom prst="rect">
                            <a:avLst/>
                          </a:prstGeom>
                          <a:noFill/>
                          <a:ln>
                            <a:noFill/>
                          </a:ln>
                        </pic:spPr>
                      </pic:pic>
                    </a:graphicData>
                  </a:graphic>
                </wp:inline>
              </w:drawing>
            </w:r>
          </w:p>
        </w:tc>
      </w:tr>
      <w:tr w:rsidR="001349A1" w:rsidRPr="006D6727" w14:paraId="78163F2C" w14:textId="77777777" w:rsidTr="00B9271C">
        <w:trPr>
          <w:trHeight w:val="201"/>
        </w:trPr>
        <w:tc>
          <w:tcPr>
            <w:tcW w:w="1271" w:type="dxa"/>
          </w:tcPr>
          <w:p w14:paraId="6EF37457" w14:textId="77777777" w:rsidR="001349A1" w:rsidRPr="006D6727" w:rsidRDefault="001349A1" w:rsidP="000A69BD">
            <w:pPr>
              <w:pStyle w:val="ECCTabletext"/>
              <w:jc w:val="left"/>
              <w:rPr>
                <w:noProof/>
              </w:rPr>
            </w:pPr>
            <w:r w:rsidRPr="006D6727">
              <w:rPr>
                <w:noProof/>
              </w:rPr>
              <w:t>Wall</w:t>
            </w:r>
          </w:p>
        </w:tc>
        <w:tc>
          <w:tcPr>
            <w:tcW w:w="1418" w:type="dxa"/>
          </w:tcPr>
          <w:p w14:paraId="0CC32412" w14:textId="77777777" w:rsidR="001349A1" w:rsidRPr="006D6727" w:rsidRDefault="001349A1" w:rsidP="000A69BD">
            <w:pPr>
              <w:pStyle w:val="ECCTabletext"/>
              <w:jc w:val="left"/>
              <w:rPr>
                <w:noProof/>
              </w:rPr>
            </w:pPr>
            <w:r w:rsidRPr="006D6727">
              <w:rPr>
                <w:noProof/>
              </w:rPr>
              <w:t>&gt;60</w:t>
            </w:r>
            <w:r w:rsidR="00255FFA" w:rsidRPr="006D6727">
              <w:rPr>
                <w:noProof/>
              </w:rPr>
              <w:t> </w:t>
            </w:r>
            <w:r w:rsidRPr="006D6727">
              <w:rPr>
                <w:noProof/>
              </w:rPr>
              <w:t>dB</w:t>
            </w:r>
          </w:p>
          <w:p w14:paraId="354B80C2" w14:textId="77777777" w:rsidR="00D529FE" w:rsidRPr="006D6727" w:rsidRDefault="00D529FE" w:rsidP="000A69BD">
            <w:pPr>
              <w:pStyle w:val="ECCTabletext"/>
              <w:jc w:val="left"/>
              <w:rPr>
                <w:noProof/>
              </w:rPr>
            </w:pPr>
            <w:r w:rsidRPr="006D6727">
              <w:rPr>
                <w:noProof/>
              </w:rPr>
              <w:t>(Note 1)</w:t>
            </w:r>
          </w:p>
        </w:tc>
        <w:tc>
          <w:tcPr>
            <w:tcW w:w="3985" w:type="dxa"/>
          </w:tcPr>
          <w:p w14:paraId="2C97717D" w14:textId="77777777" w:rsidR="001349A1" w:rsidRPr="006D6727" w:rsidRDefault="001349A1" w:rsidP="000A69BD">
            <w:pPr>
              <w:pStyle w:val="ECCTabletext"/>
              <w:jc w:val="left"/>
              <w:rPr>
                <w:noProof/>
              </w:rPr>
            </w:pPr>
            <w:r w:rsidRPr="006D6727">
              <w:rPr>
                <w:noProof/>
              </w:rPr>
              <w:t>Typical brick with a thickness of 175</w:t>
            </w:r>
            <w:r w:rsidR="00255FFA" w:rsidRPr="006D6727">
              <w:rPr>
                <w:noProof/>
              </w:rPr>
              <w:t> </w:t>
            </w:r>
            <w:r w:rsidRPr="006D6727">
              <w:rPr>
                <w:noProof/>
              </w:rPr>
              <w:t>mm</w:t>
            </w:r>
          </w:p>
          <w:p w14:paraId="48E9882D" w14:textId="77777777" w:rsidR="001349A1" w:rsidRPr="006D6727" w:rsidRDefault="001349A1" w:rsidP="000A69BD">
            <w:pPr>
              <w:pStyle w:val="ECCTabletext"/>
              <w:jc w:val="left"/>
              <w:rPr>
                <w:noProof/>
              </w:rPr>
            </w:pPr>
            <w:r w:rsidRPr="006D6727">
              <w:rPr>
                <w:noProof/>
              </w:rPr>
              <w:t>(measured in the middle at hole-position)</w:t>
            </w:r>
          </w:p>
        </w:tc>
        <w:tc>
          <w:tcPr>
            <w:tcW w:w="2955" w:type="dxa"/>
          </w:tcPr>
          <w:p w14:paraId="4219EFED" w14:textId="77777777" w:rsidR="001349A1" w:rsidRPr="006D6727" w:rsidRDefault="001349A1" w:rsidP="001349A1">
            <w:pPr>
              <w:rPr>
                <w:noProof/>
              </w:rPr>
            </w:pPr>
            <w:r w:rsidRPr="006D6727">
              <w:rPr>
                <w:noProof/>
                <w:lang w:val="de-DE"/>
              </w:rPr>
              <w:drawing>
                <wp:inline distT="0" distB="0" distL="0" distR="0" wp14:anchorId="2E8C8D0C" wp14:editId="610BDF32">
                  <wp:extent cx="1487424" cy="1078279"/>
                  <wp:effectExtent l="0" t="0" r="0" b="7620"/>
                  <wp:docPr id="83" name="Grafik 5" descr="C:\Users\timo\AppData\Local\Microsoft\Windows\INetCache\Content.Word\2019-09-09 08.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mo\AppData\Local\Microsoft\Windows\INetCache\Content.Word\2019-09-09 08.45.30.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491671" cy="1081358"/>
                          </a:xfrm>
                          <a:prstGeom prst="rect">
                            <a:avLst/>
                          </a:prstGeom>
                          <a:noFill/>
                          <a:ln>
                            <a:noFill/>
                          </a:ln>
                        </pic:spPr>
                      </pic:pic>
                    </a:graphicData>
                  </a:graphic>
                </wp:inline>
              </w:drawing>
            </w:r>
          </w:p>
        </w:tc>
      </w:tr>
      <w:tr w:rsidR="002B7ED3" w:rsidRPr="006D6727" w14:paraId="0CB4C08A" w14:textId="77777777" w:rsidTr="00D74223">
        <w:trPr>
          <w:trHeight w:val="201"/>
        </w:trPr>
        <w:tc>
          <w:tcPr>
            <w:tcW w:w="9629" w:type="dxa"/>
            <w:gridSpan w:val="4"/>
          </w:tcPr>
          <w:p w14:paraId="0882604B" w14:textId="77777777" w:rsidR="002B7ED3" w:rsidRPr="006D6727" w:rsidRDefault="002B7ED3" w:rsidP="00464AE0">
            <w:pPr>
              <w:pStyle w:val="ECCTablenote"/>
            </w:pPr>
            <w:r w:rsidRPr="002535AF">
              <w:t>Note 1: Limited by measurement setup, the actual attenuation is expected to be much higher.</w:t>
            </w:r>
          </w:p>
        </w:tc>
      </w:tr>
    </w:tbl>
    <w:p w14:paraId="0D4B36D1" w14:textId="77777777" w:rsidR="002535AF" w:rsidRPr="002535AF" w:rsidRDefault="002535AF" w:rsidP="007B373E">
      <w:pPr>
        <w:jc w:val="center"/>
        <w:rPr>
          <w:lang w:eastAsia="de-DE"/>
        </w:rPr>
      </w:pPr>
      <w:r w:rsidRPr="002535AF">
        <w:rPr>
          <w:noProof/>
          <w:lang w:val="de-DE" w:eastAsia="de-DE"/>
        </w:rPr>
        <w:drawing>
          <wp:inline distT="0" distB="0" distL="0" distR="0" wp14:anchorId="1F7E7934" wp14:editId="49B30180">
            <wp:extent cx="5320145" cy="3548873"/>
            <wp:effectExtent l="0" t="0" r="0" b="0"/>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screen">
                      <a:extLst>
                        <a:ext uri="{28A0092B-C50C-407E-A947-70E740481C1C}">
                          <a14:useLocalDpi xmlns:a14="http://schemas.microsoft.com/office/drawing/2010/main"/>
                        </a:ext>
                      </a:extLst>
                    </a:blip>
                    <a:srcRect/>
                    <a:stretch/>
                  </pic:blipFill>
                  <pic:spPr bwMode="auto">
                    <a:xfrm>
                      <a:off x="0" y="0"/>
                      <a:ext cx="5330955" cy="3556084"/>
                    </a:xfrm>
                    <a:prstGeom prst="rect">
                      <a:avLst/>
                    </a:prstGeom>
                    <a:ln>
                      <a:noFill/>
                    </a:ln>
                    <a:extLst>
                      <a:ext uri="{53640926-AAD7-44D8-BBD7-CCE9431645EC}">
                        <a14:shadowObscured xmlns:a14="http://schemas.microsoft.com/office/drawing/2010/main"/>
                      </a:ext>
                    </a:extLst>
                  </pic:spPr>
                </pic:pic>
              </a:graphicData>
            </a:graphic>
          </wp:inline>
        </w:drawing>
      </w:r>
    </w:p>
    <w:p w14:paraId="1982AABF" w14:textId="5A5F8BD8" w:rsidR="006F2890" w:rsidRPr="006D6727" w:rsidRDefault="006F2890" w:rsidP="006F2890">
      <w:pPr>
        <w:pStyle w:val="Caption"/>
        <w:rPr>
          <w:noProof/>
          <w:lang w:val="en-GB"/>
        </w:rPr>
      </w:pPr>
      <w:bookmarkStart w:id="999" w:name="_Ref20152171"/>
      <w:r w:rsidRPr="006D6727">
        <w:rPr>
          <w:noProof/>
          <w:lang w:val="en-GB"/>
        </w:rPr>
        <w:t>Figure</w:t>
      </w:r>
      <w:r w:rsidR="000C0FB3">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108</w:t>
      </w:r>
      <w:r w:rsidRPr="006D6727">
        <w:rPr>
          <w:noProof/>
          <w:lang w:val="en-GB"/>
        </w:rPr>
        <w:fldChar w:fldCharType="end"/>
      </w:r>
      <w:bookmarkEnd w:id="999"/>
      <w:r w:rsidRPr="006D6727">
        <w:rPr>
          <w:noProof/>
          <w:lang w:val="en-GB"/>
        </w:rPr>
        <w:t xml:space="preserve">: </w:t>
      </w:r>
      <w:r w:rsidR="003B0D16" w:rsidRPr="006D6727">
        <w:rPr>
          <w:noProof/>
          <w:lang w:val="en-GB"/>
        </w:rPr>
        <w:t>Results of the a</w:t>
      </w:r>
      <w:r w:rsidRPr="006D6727">
        <w:rPr>
          <w:noProof/>
          <w:lang w:val="en-GB"/>
        </w:rPr>
        <w:t>ttenuation measurement</w:t>
      </w:r>
      <w:r w:rsidR="003B0D16" w:rsidRPr="006D6727">
        <w:rPr>
          <w:noProof/>
          <w:lang w:val="en-GB"/>
        </w:rPr>
        <w:t>s</w:t>
      </w:r>
      <w:r w:rsidRPr="006D6727">
        <w:rPr>
          <w:noProof/>
          <w:lang w:val="en-GB"/>
        </w:rPr>
        <w:t xml:space="preserve"> of typical building materials</w:t>
      </w:r>
    </w:p>
    <w:p w14:paraId="44DD2B6A" w14:textId="77777777" w:rsidR="006F2890" w:rsidRPr="006D6727" w:rsidRDefault="006F2890" w:rsidP="00FA6458">
      <w:pPr>
        <w:pStyle w:val="ECCAnnexheading2"/>
        <w:rPr>
          <w:noProof/>
        </w:rPr>
      </w:pPr>
      <w:r w:rsidRPr="006D6727">
        <w:rPr>
          <w:noProof/>
        </w:rPr>
        <w:t>Conclusion</w:t>
      </w:r>
    </w:p>
    <w:p w14:paraId="73D76D07" w14:textId="77777777" w:rsidR="006F2890" w:rsidRPr="006D6727" w:rsidRDefault="006F2890" w:rsidP="006F2890">
      <w:pPr>
        <w:rPr>
          <w:noProof/>
        </w:rPr>
      </w:pPr>
      <w:r w:rsidRPr="006D6727">
        <w:rPr>
          <w:noProof/>
        </w:rPr>
        <w:t xml:space="preserve">Even the thin wooden material samples show a </w:t>
      </w:r>
      <w:r w:rsidR="003B0D16" w:rsidRPr="006D6727">
        <w:rPr>
          <w:noProof/>
        </w:rPr>
        <w:t>considerable</w:t>
      </w:r>
      <w:r w:rsidRPr="006D6727">
        <w:rPr>
          <w:noProof/>
        </w:rPr>
        <w:t xml:space="preserve"> attenuation in the evaluated frequency range. Given that also </w:t>
      </w:r>
      <w:r w:rsidR="003B0D16" w:rsidRPr="006D6727">
        <w:rPr>
          <w:noProof/>
        </w:rPr>
        <w:t>t</w:t>
      </w:r>
      <w:r w:rsidRPr="006D6727">
        <w:rPr>
          <w:noProof/>
        </w:rPr>
        <w:t>raditional buildings are not constructed with just a single layer of wooden material, but more complex multi-layer material mixes (wooden materials, i</w:t>
      </w:r>
      <w:r w:rsidR="003B0D16" w:rsidRPr="006D6727">
        <w:rPr>
          <w:noProof/>
        </w:rPr>
        <w:t>nsulation</w:t>
      </w:r>
      <w:r w:rsidRPr="006D6727">
        <w:rPr>
          <w:noProof/>
        </w:rPr>
        <w:t xml:space="preserve"> materials and plasterboard), a significant attenuation can be expected even for those </w:t>
      </w:r>
      <w:r w:rsidR="003B0D16" w:rsidRPr="006D6727">
        <w:rPr>
          <w:noProof/>
        </w:rPr>
        <w:t xml:space="preserve">traditional </w:t>
      </w:r>
      <w:r w:rsidRPr="006D6727">
        <w:rPr>
          <w:noProof/>
        </w:rPr>
        <w:t xml:space="preserve">building types. The measured attenuation of </w:t>
      </w:r>
      <w:r w:rsidR="003B0D16" w:rsidRPr="006D6727">
        <w:rPr>
          <w:noProof/>
        </w:rPr>
        <w:t xml:space="preserve">just one </w:t>
      </w:r>
      <w:r w:rsidRPr="006D6727">
        <w:rPr>
          <w:noProof/>
        </w:rPr>
        <w:t xml:space="preserve">thin wooden layer (especially the multiplex board) </w:t>
      </w:r>
      <w:r w:rsidR="003B0D16" w:rsidRPr="006D6727">
        <w:rPr>
          <w:noProof/>
        </w:rPr>
        <w:t>confirms</w:t>
      </w:r>
      <w:r w:rsidRPr="006D6727">
        <w:rPr>
          <w:noProof/>
        </w:rPr>
        <w:t xml:space="preserve"> the extended building entry loss model and indicate</w:t>
      </w:r>
      <w:r w:rsidR="003B0D16" w:rsidRPr="006D6727">
        <w:rPr>
          <w:noProof/>
        </w:rPr>
        <w:t>s</w:t>
      </w:r>
      <w:r w:rsidRPr="006D6727">
        <w:rPr>
          <w:noProof/>
        </w:rPr>
        <w:t xml:space="preserve"> that the extrapolated model might even be too pessimistic and the real BEL values </w:t>
      </w:r>
      <w:r w:rsidR="003B0D16" w:rsidRPr="006D6727">
        <w:rPr>
          <w:noProof/>
        </w:rPr>
        <w:t>are</w:t>
      </w:r>
      <w:r w:rsidRPr="006D6727">
        <w:rPr>
          <w:noProof/>
        </w:rPr>
        <w:t xml:space="preserve"> much higher.</w:t>
      </w:r>
    </w:p>
    <w:p w14:paraId="2A7E987C" w14:textId="77777777" w:rsidR="003B0D16" w:rsidRPr="006D6727" w:rsidRDefault="006F2890" w:rsidP="006F2890">
      <w:pPr>
        <w:rPr>
          <w:noProof/>
        </w:rPr>
      </w:pPr>
      <w:r w:rsidRPr="006D6727">
        <w:rPr>
          <w:noProof/>
        </w:rPr>
        <w:t xml:space="preserve">For thermally efficient buildings, the most critical </w:t>
      </w:r>
      <w:r w:rsidR="003B0D16" w:rsidRPr="006D6727">
        <w:rPr>
          <w:noProof/>
        </w:rPr>
        <w:t>fa</w:t>
      </w:r>
      <w:r w:rsidR="00CA3DAA" w:rsidRPr="006D6727">
        <w:rPr>
          <w:noProof/>
        </w:rPr>
        <w:t>c</w:t>
      </w:r>
      <w:r w:rsidR="003B0D16" w:rsidRPr="006D6727">
        <w:rPr>
          <w:noProof/>
        </w:rPr>
        <w:t>ade penetrations</w:t>
      </w:r>
      <w:r w:rsidRPr="006D6727">
        <w:rPr>
          <w:noProof/>
        </w:rPr>
        <w:t xml:space="preserve"> in terms of </w:t>
      </w:r>
      <w:r w:rsidR="0030040E" w:rsidRPr="006D6727">
        <w:rPr>
          <w:noProof/>
        </w:rPr>
        <w:t xml:space="preserve">signal </w:t>
      </w:r>
      <w:r w:rsidRPr="006D6727">
        <w:rPr>
          <w:noProof/>
        </w:rPr>
        <w:t xml:space="preserve">attenuation are the windows. The measurements show that typical modern standard glass windows </w:t>
      </w:r>
      <w:r w:rsidR="0030040E" w:rsidRPr="006D6727">
        <w:rPr>
          <w:noProof/>
        </w:rPr>
        <w:t>exhibit higher attenuation with increasing frequencies.</w:t>
      </w:r>
      <w:r w:rsidR="00CA3DAA" w:rsidRPr="006D6727">
        <w:rPr>
          <w:noProof/>
        </w:rPr>
        <w:t xml:space="preserve"> The minimum attenuation of around 33 dB occurs </w:t>
      </w:r>
      <w:r w:rsidR="004A4BC3" w:rsidRPr="006D6727">
        <w:rPr>
          <w:noProof/>
        </w:rPr>
        <w:t>at about 126 GHz for the single-glazed window with thin silver coating.</w:t>
      </w:r>
    </w:p>
    <w:p w14:paraId="55AC9919" w14:textId="77777777" w:rsidR="006F2890" w:rsidRPr="006D6727" w:rsidRDefault="006F2890" w:rsidP="006F2890">
      <w:pPr>
        <w:rPr>
          <w:noProof/>
        </w:rPr>
      </w:pPr>
      <w:r w:rsidRPr="006D6727">
        <w:rPr>
          <w:noProof/>
        </w:rPr>
        <w:t xml:space="preserve">This </w:t>
      </w:r>
      <w:r w:rsidR="008C6A52" w:rsidRPr="006D6727">
        <w:rPr>
          <w:noProof/>
        </w:rPr>
        <w:t xml:space="preserve">aspect </w:t>
      </w:r>
      <w:r w:rsidRPr="006D6727">
        <w:rPr>
          <w:noProof/>
        </w:rPr>
        <w:t>in combination with the fact</w:t>
      </w:r>
      <w:r w:rsidR="00501009" w:rsidRPr="006D6727">
        <w:rPr>
          <w:noProof/>
        </w:rPr>
        <w:t>s</w:t>
      </w:r>
      <w:r w:rsidRPr="006D6727">
        <w:rPr>
          <w:noProof/>
        </w:rPr>
        <w:t xml:space="preserve"> that all measured thin wall material samples offer attenuations of more than 60</w:t>
      </w:r>
      <w:r w:rsidR="00855CAF" w:rsidRPr="006D6727">
        <w:rPr>
          <w:noProof/>
        </w:rPr>
        <w:t> </w:t>
      </w:r>
      <w:r w:rsidRPr="006D6727">
        <w:rPr>
          <w:noProof/>
        </w:rPr>
        <w:t xml:space="preserve">dB (limited by the </w:t>
      </w:r>
      <w:r w:rsidR="00855CAF" w:rsidRPr="006D6727">
        <w:rPr>
          <w:noProof/>
        </w:rPr>
        <w:t xml:space="preserve">dynamic range of the </w:t>
      </w:r>
      <w:r w:rsidRPr="006D6727">
        <w:rPr>
          <w:noProof/>
        </w:rPr>
        <w:t>measurement setup</w:t>
      </w:r>
      <w:r w:rsidR="00855CAF" w:rsidRPr="006D6727">
        <w:rPr>
          <w:noProof/>
        </w:rPr>
        <w:t>)</w:t>
      </w:r>
      <w:r w:rsidRPr="006D6727">
        <w:rPr>
          <w:noProof/>
        </w:rPr>
        <w:t xml:space="preserve"> and </w:t>
      </w:r>
      <w:r w:rsidR="00501009" w:rsidRPr="006D6727">
        <w:rPr>
          <w:noProof/>
        </w:rPr>
        <w:t>that</w:t>
      </w:r>
      <w:r w:rsidRPr="006D6727">
        <w:rPr>
          <w:noProof/>
        </w:rPr>
        <w:t xml:space="preserve"> typical building</w:t>
      </w:r>
      <w:r w:rsidR="00501009" w:rsidRPr="006D6727">
        <w:rPr>
          <w:noProof/>
        </w:rPr>
        <w:t>s</w:t>
      </w:r>
      <w:r w:rsidRPr="006D6727">
        <w:rPr>
          <w:noProof/>
        </w:rPr>
        <w:t xml:space="preserve"> ha</w:t>
      </w:r>
      <w:r w:rsidR="00501009" w:rsidRPr="006D6727">
        <w:rPr>
          <w:noProof/>
        </w:rPr>
        <w:t>ve</w:t>
      </w:r>
      <w:r w:rsidRPr="006D6727">
        <w:rPr>
          <w:noProof/>
        </w:rPr>
        <w:t xml:space="preserve"> much higher wall thickness</w:t>
      </w:r>
      <w:r w:rsidR="00501009" w:rsidRPr="006D6727">
        <w:rPr>
          <w:noProof/>
        </w:rPr>
        <w:t>es</w:t>
      </w:r>
      <w:r w:rsidRPr="006D6727">
        <w:rPr>
          <w:noProof/>
        </w:rPr>
        <w:t xml:space="preserve"> </w:t>
      </w:r>
      <w:r w:rsidR="004A4BC3" w:rsidRPr="006D6727">
        <w:rPr>
          <w:noProof/>
        </w:rPr>
        <w:t>compared to</w:t>
      </w:r>
      <w:r w:rsidRPr="006D6727">
        <w:rPr>
          <w:noProof/>
        </w:rPr>
        <w:t xml:space="preserve"> the measured samples</w:t>
      </w:r>
      <w:r w:rsidR="00855CAF" w:rsidRPr="006D6727">
        <w:rPr>
          <w:noProof/>
        </w:rPr>
        <w:t>,</w:t>
      </w:r>
      <w:r w:rsidRPr="006D6727">
        <w:rPr>
          <w:noProof/>
        </w:rPr>
        <w:t xml:space="preserve"> the </w:t>
      </w:r>
      <w:r w:rsidR="00855CAF" w:rsidRPr="006D6727">
        <w:rPr>
          <w:noProof/>
        </w:rPr>
        <w:t xml:space="preserve">typical </w:t>
      </w:r>
      <w:r w:rsidRPr="006D6727">
        <w:rPr>
          <w:noProof/>
        </w:rPr>
        <w:t>attenuation values can be expected to be multiples of the measured values</w:t>
      </w:r>
      <w:r w:rsidR="00855CAF" w:rsidRPr="006D6727">
        <w:rPr>
          <w:noProof/>
        </w:rPr>
        <w:t>. This confirms</w:t>
      </w:r>
      <w:r w:rsidRPr="006D6727">
        <w:rPr>
          <w:noProof/>
        </w:rPr>
        <w:t xml:space="preserve"> the suggested BEL frequency range extension and again indicates that the used BEL values might </w:t>
      </w:r>
      <w:r w:rsidR="00CA63E1" w:rsidRPr="006D6727">
        <w:rPr>
          <w:noProof/>
        </w:rPr>
        <w:t xml:space="preserve">be </w:t>
      </w:r>
      <w:r w:rsidRPr="006D6727">
        <w:rPr>
          <w:noProof/>
        </w:rPr>
        <w:t>also for the energy efficient buildings</w:t>
      </w:r>
      <w:r w:rsidR="00855CAF" w:rsidRPr="006D6727">
        <w:rPr>
          <w:noProof/>
        </w:rPr>
        <w:t xml:space="preserve"> </w:t>
      </w:r>
      <w:r w:rsidRPr="006D6727">
        <w:rPr>
          <w:noProof/>
        </w:rPr>
        <w:t xml:space="preserve">too pessimistic and </w:t>
      </w:r>
      <w:r w:rsidR="00CA63E1" w:rsidRPr="006D6727">
        <w:rPr>
          <w:noProof/>
        </w:rPr>
        <w:t xml:space="preserve">are very likely </w:t>
      </w:r>
      <w:r w:rsidR="00501009" w:rsidRPr="006D6727">
        <w:rPr>
          <w:noProof/>
        </w:rPr>
        <w:t xml:space="preserve">even higher </w:t>
      </w:r>
      <w:r w:rsidRPr="006D6727">
        <w:rPr>
          <w:noProof/>
        </w:rPr>
        <w:t>in real world scenarios</w:t>
      </w:r>
      <w:r w:rsidR="00501009" w:rsidRPr="006D6727">
        <w:rPr>
          <w:noProof/>
        </w:rPr>
        <w:t>.</w:t>
      </w:r>
    </w:p>
    <w:p w14:paraId="597A3BEE" w14:textId="6F26E13E" w:rsidR="006F2890" w:rsidRPr="006D6727" w:rsidRDefault="006F2890" w:rsidP="006F2890">
      <w:pPr>
        <w:rPr>
          <w:noProof/>
        </w:rPr>
      </w:pPr>
      <w:r w:rsidRPr="006D6727">
        <w:rPr>
          <w:noProof/>
        </w:rPr>
        <w:t>With the</w:t>
      </w:r>
      <w:r w:rsidR="00501009" w:rsidRPr="006D6727">
        <w:rPr>
          <w:noProof/>
        </w:rPr>
        <w:t>se</w:t>
      </w:r>
      <w:r w:rsidRPr="006D6727">
        <w:rPr>
          <w:noProof/>
        </w:rPr>
        <w:t xml:space="preserve"> measurement results in mind and considering a </w:t>
      </w:r>
      <w:r w:rsidR="005A14B5">
        <w:t>70</w:t>
      </w:r>
      <w:r w:rsidR="00F800A2">
        <w:rPr>
          <w:noProof/>
        </w:rPr>
        <w:t>%</w:t>
      </w:r>
      <w:r w:rsidRPr="006D6727">
        <w:rPr>
          <w:noProof/>
        </w:rPr>
        <w:t xml:space="preserve"> traditional and </w:t>
      </w:r>
      <w:r w:rsidR="005A14B5">
        <w:t>30</w:t>
      </w:r>
      <w:r w:rsidR="00F800A2">
        <w:rPr>
          <w:noProof/>
        </w:rPr>
        <w:t>%</w:t>
      </w:r>
      <w:r w:rsidRPr="006D6727">
        <w:rPr>
          <w:noProof/>
        </w:rPr>
        <w:t xml:space="preserve"> energy efficient building distribution the use of the very conservative </w:t>
      </w:r>
      <w:r w:rsidR="00792C49" w:rsidRPr="006D6727">
        <w:rPr>
          <w:noProof/>
        </w:rPr>
        <w:t>attenuation</w:t>
      </w:r>
      <w:r w:rsidRPr="006D6727">
        <w:rPr>
          <w:noProof/>
        </w:rPr>
        <w:t xml:space="preserve"> values in </w:t>
      </w:r>
      <w:r w:rsidR="00501009" w:rsidRPr="006D6727">
        <w:rPr>
          <w:noProof/>
        </w:rPr>
        <w:fldChar w:fldCharType="begin"/>
      </w:r>
      <w:r w:rsidR="00501009" w:rsidRPr="006D6727">
        <w:rPr>
          <w:noProof/>
        </w:rPr>
        <w:instrText xml:space="preserve"> REF _Ref20151944 \h </w:instrText>
      </w:r>
      <w:r w:rsidR="00501009" w:rsidRPr="006D6727">
        <w:rPr>
          <w:noProof/>
        </w:rPr>
      </w:r>
      <w:r w:rsidR="00501009" w:rsidRPr="006D6727">
        <w:rPr>
          <w:noProof/>
        </w:rPr>
        <w:fldChar w:fldCharType="separate"/>
      </w:r>
      <w:r w:rsidR="0041125F" w:rsidRPr="006D6727">
        <w:rPr>
          <w:noProof/>
        </w:rPr>
        <w:t>Figure </w:t>
      </w:r>
      <w:r w:rsidR="0041125F">
        <w:rPr>
          <w:noProof/>
        </w:rPr>
        <w:t>109</w:t>
      </w:r>
      <w:r w:rsidR="00501009" w:rsidRPr="006D6727">
        <w:rPr>
          <w:noProof/>
        </w:rPr>
        <w:fldChar w:fldCharType="end"/>
      </w:r>
      <w:r w:rsidR="00792C49" w:rsidRPr="006D6727">
        <w:rPr>
          <w:noProof/>
        </w:rPr>
        <w:t xml:space="preserve"> is suggested</w:t>
      </w:r>
      <w:r w:rsidR="00441195">
        <w:rPr>
          <w:noProof/>
        </w:rPr>
        <w:t>. It is</w:t>
      </w:r>
      <w:r w:rsidRPr="006D6727">
        <w:rPr>
          <w:noProof/>
        </w:rPr>
        <w:t xml:space="preserve"> as a starting point for the MCL calculations for </w:t>
      </w:r>
      <w:r w:rsidR="00501009" w:rsidRPr="006D6727">
        <w:rPr>
          <w:noProof/>
        </w:rPr>
        <w:t>t</w:t>
      </w:r>
      <w:r w:rsidRPr="006D6727">
        <w:rPr>
          <w:noProof/>
        </w:rPr>
        <w:t>ype C industrial automation measurement equipment</w:t>
      </w:r>
      <w:r w:rsidR="00501009" w:rsidRPr="006D6727">
        <w:rPr>
          <w:noProof/>
        </w:rPr>
        <w:t xml:space="preserve"> in shielded environments</w:t>
      </w:r>
      <w:r w:rsidR="00792C49" w:rsidRPr="006D6727">
        <w:rPr>
          <w:noProof/>
        </w:rPr>
        <w:t>.</w:t>
      </w:r>
    </w:p>
    <w:p w14:paraId="415A1039" w14:textId="77777777" w:rsidR="005A14B5" w:rsidRPr="005A14B5" w:rsidRDefault="00062A04" w:rsidP="007B373E">
      <w:pPr>
        <w:jc w:val="center"/>
        <w:rPr>
          <w:lang w:eastAsia="de-DE"/>
        </w:rPr>
      </w:pPr>
      <w:r>
        <w:rPr>
          <w:noProof/>
          <w:lang w:val="de-DE" w:eastAsia="de-DE"/>
        </w:rPr>
        <w:drawing>
          <wp:inline distT="0" distB="0" distL="0" distR="0" wp14:anchorId="5CD16F98" wp14:editId="55CA63C3">
            <wp:extent cx="5597574" cy="3599727"/>
            <wp:effectExtent l="0" t="0" r="3175" b="1270"/>
            <wp:docPr id="192" name="Picture 19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_BEL_freq_0-300G_0deg_p0_5_70_30_MIX.png"/>
                    <pic:cNvPicPr/>
                  </pic:nvPicPr>
                  <pic:blipFill>
                    <a:blip r:embed="rId195"/>
                    <a:stretch>
                      <a:fillRect/>
                    </a:stretch>
                  </pic:blipFill>
                  <pic:spPr>
                    <a:xfrm>
                      <a:off x="0" y="0"/>
                      <a:ext cx="5608314" cy="3606634"/>
                    </a:xfrm>
                    <a:prstGeom prst="rect">
                      <a:avLst/>
                    </a:prstGeom>
                  </pic:spPr>
                </pic:pic>
              </a:graphicData>
            </a:graphic>
          </wp:inline>
        </w:drawing>
      </w:r>
    </w:p>
    <w:p w14:paraId="372D30BA" w14:textId="02C8A405" w:rsidR="009F293C" w:rsidRPr="006D6727" w:rsidRDefault="00501009" w:rsidP="0034451B">
      <w:pPr>
        <w:pStyle w:val="Caption"/>
        <w:rPr>
          <w:noProof/>
          <w:lang w:val="en-GB"/>
        </w:rPr>
      </w:pPr>
      <w:bookmarkStart w:id="1000" w:name="_Ref20151944"/>
      <w:r w:rsidRPr="006D6727">
        <w:rPr>
          <w:noProof/>
          <w:lang w:val="en-GB"/>
        </w:rPr>
        <w:t>Figure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109</w:t>
      </w:r>
      <w:r w:rsidRPr="006D6727">
        <w:rPr>
          <w:noProof/>
          <w:lang w:val="en-GB"/>
        </w:rPr>
        <w:fldChar w:fldCharType="end"/>
      </w:r>
      <w:bookmarkEnd w:id="1000"/>
      <w:r w:rsidR="006F2890" w:rsidRPr="006D6727">
        <w:rPr>
          <w:noProof/>
          <w:lang w:val="en-GB"/>
        </w:rPr>
        <w:t>: Suggested BEL</w:t>
      </w:r>
      <w:r w:rsidR="0034451B" w:rsidRPr="006D6727">
        <w:rPr>
          <w:noProof/>
          <w:lang w:val="en-GB"/>
        </w:rPr>
        <w:t xml:space="preserve"> model extension up to 300 GHz</w:t>
      </w:r>
    </w:p>
    <w:p w14:paraId="5BB31720" w14:textId="77777777" w:rsidR="006274F8" w:rsidRPr="006D6727" w:rsidRDefault="006274F8" w:rsidP="007B373E">
      <w:pPr>
        <w:jc w:val="center"/>
        <w:rPr>
          <w:noProof/>
        </w:rPr>
      </w:pPr>
      <w:r>
        <w:rPr>
          <w:noProof/>
          <w:lang w:val="de-DE" w:eastAsia="de-DE"/>
        </w:rPr>
        <w:drawing>
          <wp:inline distT="0" distB="0" distL="0" distR="0" wp14:anchorId="14ED0B39" wp14:editId="4073B4B3">
            <wp:extent cx="5183605" cy="3333509"/>
            <wp:effectExtent l="0" t="0" r="0" b="635"/>
            <wp:docPr id="98" name="Picture 9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_ATTN_116G-260G_70_30_BEL_combined.png"/>
                    <pic:cNvPicPr/>
                  </pic:nvPicPr>
                  <pic:blipFill>
                    <a:blip r:embed="rId196"/>
                    <a:stretch>
                      <a:fillRect/>
                    </a:stretch>
                  </pic:blipFill>
                  <pic:spPr>
                    <a:xfrm>
                      <a:off x="0" y="0"/>
                      <a:ext cx="5191340" cy="3338484"/>
                    </a:xfrm>
                    <a:prstGeom prst="rect">
                      <a:avLst/>
                    </a:prstGeom>
                  </pic:spPr>
                </pic:pic>
              </a:graphicData>
            </a:graphic>
          </wp:inline>
        </w:drawing>
      </w:r>
    </w:p>
    <w:p w14:paraId="008B1260" w14:textId="06BD09B4" w:rsidR="00D85C74" w:rsidRPr="006D6727" w:rsidRDefault="00D85C74" w:rsidP="00CA7CE6">
      <w:pPr>
        <w:pStyle w:val="Caption"/>
        <w:rPr>
          <w:noProof/>
          <w:lang w:val="en-GB"/>
        </w:rPr>
      </w:pPr>
      <w:r w:rsidRPr="006D6727">
        <w:rPr>
          <w:noProof/>
          <w:lang w:val="en-GB"/>
        </w:rPr>
        <w:t>Figure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110</w:t>
      </w:r>
      <w:r w:rsidRPr="006D6727">
        <w:rPr>
          <w:noProof/>
          <w:lang w:val="en-GB"/>
        </w:rPr>
        <w:fldChar w:fldCharType="end"/>
      </w:r>
      <w:r w:rsidRPr="006D6727">
        <w:rPr>
          <w:noProof/>
          <w:lang w:val="en-GB"/>
        </w:rPr>
        <w:t>: Combined BEL model extension with results of attenuation measurements</w:t>
      </w:r>
    </w:p>
    <w:p w14:paraId="724CA7FE" w14:textId="77777777" w:rsidR="00D34B13" w:rsidRPr="006D6727" w:rsidRDefault="000D2CD1" w:rsidP="00D34B13">
      <w:pPr>
        <w:pStyle w:val="ECCAnnexheading1"/>
        <w:rPr>
          <w:noProof/>
          <w:lang w:val="en-GB"/>
        </w:rPr>
      </w:pPr>
      <w:bookmarkStart w:id="1001" w:name="_Ref36028853"/>
      <w:bookmarkStart w:id="1002" w:name="_Toc127346420"/>
      <w:r>
        <w:t>Experimental</w:t>
      </w:r>
      <w:r w:rsidR="00D34B13" w:rsidRPr="006D6727">
        <w:rPr>
          <w:noProof/>
          <w:lang w:val="en-GB"/>
        </w:rPr>
        <w:t xml:space="preserve"> </w:t>
      </w:r>
      <w:r>
        <w:t>Evaluation</w:t>
      </w:r>
      <w:r w:rsidR="00D34B13" w:rsidRPr="006D6727">
        <w:rPr>
          <w:noProof/>
          <w:lang w:val="en-GB"/>
        </w:rPr>
        <w:t xml:space="preserve"> </w:t>
      </w:r>
      <w:r>
        <w:t>of</w:t>
      </w:r>
      <w:r w:rsidR="00D34B13" w:rsidRPr="006D6727">
        <w:rPr>
          <w:noProof/>
          <w:lang w:val="en-GB"/>
        </w:rPr>
        <w:t xml:space="preserve"> </w:t>
      </w:r>
      <w:r>
        <w:t>Reflection</w:t>
      </w:r>
      <w:r w:rsidR="00D34B13" w:rsidRPr="006D6727">
        <w:rPr>
          <w:noProof/>
          <w:lang w:val="en-GB"/>
        </w:rPr>
        <w:t xml:space="preserve"> </w:t>
      </w:r>
      <w:r>
        <w:t>Losses</w:t>
      </w:r>
      <w:r w:rsidR="00D34B13" w:rsidRPr="006D6727">
        <w:rPr>
          <w:noProof/>
          <w:lang w:val="en-GB"/>
        </w:rPr>
        <w:t xml:space="preserve"> </w:t>
      </w:r>
      <w:r>
        <w:t>for</w:t>
      </w:r>
      <w:r w:rsidR="00D34B13" w:rsidRPr="006D6727">
        <w:rPr>
          <w:noProof/>
          <w:lang w:val="en-GB"/>
        </w:rPr>
        <w:t xml:space="preserve"> </w:t>
      </w:r>
      <w:r>
        <w:t>Materials</w:t>
      </w:r>
      <w:r w:rsidR="00D34B13" w:rsidRPr="006D6727">
        <w:rPr>
          <w:noProof/>
          <w:lang w:val="en-GB"/>
        </w:rPr>
        <w:t xml:space="preserve"> </w:t>
      </w:r>
      <w:r>
        <w:t>Measured</w:t>
      </w:r>
      <w:r w:rsidR="00D34B13" w:rsidRPr="006D6727">
        <w:rPr>
          <w:noProof/>
          <w:lang w:val="en-GB"/>
        </w:rPr>
        <w:t xml:space="preserve"> </w:t>
      </w:r>
      <w:r>
        <w:t>by</w:t>
      </w:r>
      <w:r w:rsidR="00D34B13" w:rsidRPr="006D6727">
        <w:rPr>
          <w:noProof/>
          <w:lang w:val="en-GB"/>
        </w:rPr>
        <w:t xml:space="preserve"> </w:t>
      </w:r>
      <w:r w:rsidR="00FC515D">
        <w:t>L</w:t>
      </w:r>
      <w:r>
        <w:t>evel</w:t>
      </w:r>
      <w:r w:rsidR="00D34B13" w:rsidRPr="006D6727">
        <w:rPr>
          <w:noProof/>
          <w:lang w:val="en-GB"/>
        </w:rPr>
        <w:t xml:space="preserve"> </w:t>
      </w:r>
      <w:r>
        <w:t>Probing</w:t>
      </w:r>
      <w:r w:rsidR="00D34B13" w:rsidRPr="006D6727">
        <w:rPr>
          <w:noProof/>
          <w:lang w:val="en-GB"/>
        </w:rPr>
        <w:t xml:space="preserve"> </w:t>
      </w:r>
      <w:r>
        <w:t>Radar</w:t>
      </w:r>
      <w:r w:rsidR="00D34B13" w:rsidRPr="006D6727">
        <w:rPr>
          <w:noProof/>
          <w:lang w:val="en-GB"/>
        </w:rPr>
        <w:t xml:space="preserve"> (</w:t>
      </w:r>
      <w:r>
        <w:t>LPR</w:t>
      </w:r>
      <w:r w:rsidR="00D34B13" w:rsidRPr="006D6727">
        <w:rPr>
          <w:noProof/>
          <w:lang w:val="en-GB"/>
        </w:rPr>
        <w:t>)</w:t>
      </w:r>
      <w:bookmarkEnd w:id="1001"/>
      <w:bookmarkEnd w:id="1002"/>
    </w:p>
    <w:p w14:paraId="01D5A12E" w14:textId="77777777" w:rsidR="004438B2" w:rsidRPr="006D6727" w:rsidRDefault="00D34B13" w:rsidP="00FA6458">
      <w:pPr>
        <w:pStyle w:val="ECCAnnexheading2"/>
        <w:rPr>
          <w:noProof/>
        </w:rPr>
      </w:pPr>
      <w:r w:rsidRPr="006D6727">
        <w:rPr>
          <w:noProof/>
        </w:rPr>
        <w:t>Introduction</w:t>
      </w:r>
    </w:p>
    <w:p w14:paraId="7B9521EC" w14:textId="6B6A77C0" w:rsidR="00D34B13" w:rsidRPr="006D6727" w:rsidRDefault="00D34B13" w:rsidP="00D34B13">
      <w:pPr>
        <w:rPr>
          <w:rStyle w:val="ECCParagraph"/>
          <w:noProof/>
        </w:rPr>
      </w:pPr>
      <w:r w:rsidRPr="006D6727">
        <w:rPr>
          <w:rStyle w:val="ECCParagraph"/>
          <w:noProof/>
        </w:rPr>
        <w:t>Following ECC Report 139</w:t>
      </w:r>
      <w:r w:rsidR="00441195">
        <w:rPr>
          <w:rStyle w:val="ECCParagraph"/>
          <w:noProof/>
        </w:rPr>
        <w:t>, annex 2</w:t>
      </w:r>
      <w:r w:rsidRPr="006D6727">
        <w:rPr>
          <w:rStyle w:val="ECCParagraph"/>
          <w:noProof/>
        </w:rPr>
        <w:t xml:space="preserve"> </w:t>
      </w:r>
      <w:r w:rsidR="0096742B" w:rsidRPr="006D6727">
        <w:rPr>
          <w:rStyle w:val="ECCParagraph"/>
          <w:noProof/>
        </w:rPr>
        <w:fldChar w:fldCharType="begin"/>
      </w:r>
      <w:r w:rsidR="0096742B" w:rsidRPr="006D6727">
        <w:rPr>
          <w:rStyle w:val="ECCParagraph"/>
          <w:noProof/>
        </w:rPr>
        <w:instrText xml:space="preserve"> REF  ECCRep139 \h \w  \* MERGEFORMAT </w:instrText>
      </w:r>
      <w:r w:rsidR="0096742B" w:rsidRPr="006D6727">
        <w:rPr>
          <w:rStyle w:val="ECCParagraph"/>
          <w:noProof/>
        </w:rPr>
      </w:r>
      <w:r w:rsidR="0096742B" w:rsidRPr="006D6727">
        <w:rPr>
          <w:rStyle w:val="ECCParagraph"/>
          <w:noProof/>
        </w:rPr>
        <w:fldChar w:fldCharType="separate"/>
      </w:r>
      <w:r w:rsidR="004F49F9">
        <w:rPr>
          <w:rStyle w:val="ECCParagraph"/>
          <w:noProof/>
        </w:rPr>
        <w:t>[4]</w:t>
      </w:r>
      <w:r w:rsidR="0096742B" w:rsidRPr="006D6727">
        <w:rPr>
          <w:rStyle w:val="ECCParagraph"/>
          <w:noProof/>
        </w:rPr>
        <w:fldChar w:fldCharType="end"/>
      </w:r>
      <w:r w:rsidR="00441195">
        <w:rPr>
          <w:rStyle w:val="ECCParagraph"/>
          <w:noProof/>
        </w:rPr>
        <w:t>,</w:t>
      </w:r>
      <w:r w:rsidRPr="006D6727">
        <w:rPr>
          <w:rStyle w:val="ECCParagraph"/>
          <w:noProof/>
        </w:rPr>
        <w:t xml:space="preserve"> this report provides practical measurement results and simulations for establishing the levels of scattered emissions generated from the operation of LPR devices at frequencies beyond 116 GHz. The results can be used for interference calculations in compatibility studies in the context of the regulation of new frequency bands for the operation of LPR devices.</w:t>
      </w:r>
    </w:p>
    <w:p w14:paraId="23434E21" w14:textId="77777777" w:rsidR="007B5116" w:rsidRPr="006D6727" w:rsidRDefault="007B5116" w:rsidP="00FA6458">
      <w:pPr>
        <w:pStyle w:val="ECCAnnexheading2"/>
        <w:rPr>
          <w:noProof/>
        </w:rPr>
      </w:pPr>
      <w:r w:rsidRPr="006D6727">
        <w:rPr>
          <w:noProof/>
        </w:rPr>
        <w:t>Theoretical Considerations of Reflection Losses</w:t>
      </w:r>
    </w:p>
    <w:p w14:paraId="6819080D" w14:textId="65D4E4F9" w:rsidR="007B5116" w:rsidRPr="006D6727" w:rsidRDefault="007B5116" w:rsidP="007B5116">
      <w:pPr>
        <w:rPr>
          <w:noProof/>
        </w:rPr>
      </w:pPr>
      <w:r w:rsidRPr="006D6727">
        <w:rPr>
          <w:noProof/>
        </w:rPr>
        <w:t>The theoretical considerations comprehensively elaborated in ECC Report 139</w:t>
      </w:r>
      <w:r w:rsidR="00441195">
        <w:rPr>
          <w:noProof/>
        </w:rPr>
        <w:t>, annex 2</w:t>
      </w:r>
      <w:r w:rsidRPr="006D6727">
        <w:rPr>
          <w:noProof/>
        </w:rPr>
        <w:t xml:space="preserve"> </w:t>
      </w:r>
      <w:r w:rsidR="00250192" w:rsidRPr="006D6727">
        <w:rPr>
          <w:rStyle w:val="ECCParagraph"/>
          <w:noProof/>
        </w:rPr>
        <w:fldChar w:fldCharType="begin"/>
      </w:r>
      <w:r w:rsidR="00250192" w:rsidRPr="006D6727">
        <w:rPr>
          <w:rStyle w:val="ECCParagraph"/>
          <w:noProof/>
        </w:rPr>
        <w:instrText xml:space="preserve"> REF  ECCRep139 \h \w  \* MERGEFORMAT </w:instrText>
      </w:r>
      <w:r w:rsidR="00250192" w:rsidRPr="006D6727">
        <w:rPr>
          <w:rStyle w:val="ECCParagraph"/>
          <w:noProof/>
        </w:rPr>
      </w:r>
      <w:r w:rsidR="00250192" w:rsidRPr="006D6727">
        <w:rPr>
          <w:rStyle w:val="ECCParagraph"/>
          <w:noProof/>
        </w:rPr>
        <w:fldChar w:fldCharType="separate"/>
      </w:r>
      <w:r w:rsidR="004F49F9">
        <w:rPr>
          <w:rStyle w:val="ECCParagraph"/>
          <w:noProof/>
        </w:rPr>
        <w:t>[4]</w:t>
      </w:r>
      <w:r w:rsidR="00250192" w:rsidRPr="006D6727">
        <w:rPr>
          <w:rStyle w:val="ECCParagraph"/>
          <w:noProof/>
        </w:rPr>
        <w:fldChar w:fldCharType="end"/>
      </w:r>
      <w:r w:rsidR="00250192" w:rsidRPr="006D6727">
        <w:rPr>
          <w:rStyle w:val="ECCParagraph"/>
          <w:noProof/>
        </w:rPr>
        <w:t xml:space="preserve"> </w:t>
      </w:r>
      <w:r w:rsidRPr="006D6727">
        <w:rPr>
          <w:noProof/>
        </w:rPr>
        <w:t xml:space="preserve">are valid for higher frequencies &gt;116 GHz, as well. So, there is no need for a new derivation of the various contributions to reflection losses. The expected tendencies for higher frequencies, however, shall briefly be discussed according to the classification of reflection losses done in </w:t>
      </w:r>
      <w:r w:rsidR="00441195" w:rsidRPr="006D6727">
        <w:rPr>
          <w:rStyle w:val="ECCParagraph"/>
          <w:noProof/>
        </w:rPr>
        <w:t>ECC Report 139</w:t>
      </w:r>
      <w:r w:rsidR="00441195">
        <w:rPr>
          <w:rStyle w:val="ECCParagraph"/>
          <w:noProof/>
        </w:rPr>
        <w:t>, a</w:t>
      </w:r>
      <w:r w:rsidRPr="006D6727">
        <w:rPr>
          <w:noProof/>
        </w:rPr>
        <w:t>nnex 2</w:t>
      </w:r>
      <w:r w:rsidR="0097495F">
        <w:rPr>
          <w:rStyle w:val="ECCParagraph"/>
          <w:noProof/>
        </w:rPr>
        <w:t>:</w:t>
      </w:r>
    </w:p>
    <w:p w14:paraId="2356C02D" w14:textId="594AE00A" w:rsidR="007B5116" w:rsidRPr="006D6727" w:rsidRDefault="007B5116" w:rsidP="007B5116">
      <w:pPr>
        <w:pStyle w:val="ECCBulletsLv1"/>
        <w:rPr>
          <w:noProof/>
        </w:rPr>
      </w:pPr>
      <w:r w:rsidRPr="006D6727">
        <w:rPr>
          <w:noProof/>
        </w:rPr>
        <w:t>Reflection loss by reflection coefficient</w:t>
      </w:r>
      <w:r w:rsidR="000839A0">
        <w:rPr>
          <w:noProof/>
        </w:rPr>
        <w:t>;</w:t>
      </w:r>
    </w:p>
    <w:p w14:paraId="521755F0" w14:textId="2881C310" w:rsidR="007B5116" w:rsidRPr="006D6727" w:rsidRDefault="007B5116" w:rsidP="007B5116">
      <w:pPr>
        <w:pStyle w:val="ECCBulletsLv1"/>
        <w:numPr>
          <w:ilvl w:val="0"/>
          <w:numId w:val="0"/>
        </w:numPr>
        <w:ind w:left="340"/>
        <w:rPr>
          <w:rStyle w:val="ECCParagraph"/>
          <w:noProof/>
        </w:rPr>
      </w:pPr>
      <w:r w:rsidRPr="006D6727">
        <w:rPr>
          <w:rStyle w:val="ECCParagraph"/>
          <w:noProof/>
        </w:rPr>
        <w:t>The relevant physical property for the reflection coefficient of materials is the relative dielectric constant. The general tendency for the relative dielectric constant is a decrease with frequency referred as dispersion. For many technical materials (plastics, ceramic, glass) and minerals, the decrease from 26 GHz to higher frequencies up to 250 GHz is not significant. In organic materials, however, there are differences due to the dispersion of water. For instance, the theoretical reflection coefficient of water for normal incidence is −2</w:t>
      </w:r>
      <w:r w:rsidR="00CF4994">
        <w:rPr>
          <w:rStyle w:val="ECCParagraph"/>
          <w:noProof/>
        </w:rPr>
        <w:t>.4</w:t>
      </w:r>
      <w:r w:rsidRPr="006D6727">
        <w:rPr>
          <w:rStyle w:val="ECCParagraph"/>
          <w:noProof/>
        </w:rPr>
        <w:t> dB at 26 GHz, −4 dB at 80 GHz and below −6 dB at frequencies higher than 250 GHz. In addition, dielectric losses of most materials increase with frequency, so that strong reflections of metal structures are reduced by thin dielectric cover layers</w:t>
      </w:r>
      <w:r w:rsidR="000839A0">
        <w:rPr>
          <w:rStyle w:val="ECCParagraph"/>
          <w:noProof/>
        </w:rPr>
        <w:t>;</w:t>
      </w:r>
    </w:p>
    <w:p w14:paraId="6448BEFD" w14:textId="5C1361CD" w:rsidR="007B5116" w:rsidRPr="006D6727" w:rsidRDefault="007B5116" w:rsidP="007B5116">
      <w:pPr>
        <w:pStyle w:val="ECCBulletsLv1"/>
        <w:rPr>
          <w:noProof/>
        </w:rPr>
      </w:pPr>
      <w:r w:rsidRPr="006D6727">
        <w:rPr>
          <w:noProof/>
        </w:rPr>
        <w:t>Reflection loss from granularity of the reflecting material</w:t>
      </w:r>
      <w:r w:rsidR="00441195">
        <w:rPr>
          <w:noProof/>
        </w:rPr>
        <w:t>:</w:t>
      </w:r>
    </w:p>
    <w:p w14:paraId="55D3D1D7" w14:textId="2CDFE613" w:rsidR="007B5116" w:rsidRPr="006D6727" w:rsidRDefault="007B5116" w:rsidP="007B5116">
      <w:pPr>
        <w:pStyle w:val="ECCBulletsLv1"/>
        <w:numPr>
          <w:ilvl w:val="0"/>
          <w:numId w:val="0"/>
        </w:numPr>
        <w:ind w:left="340"/>
        <w:rPr>
          <w:rStyle w:val="ECCParagraph"/>
          <w:noProof/>
        </w:rPr>
      </w:pPr>
      <w:r w:rsidRPr="006D6727">
        <w:rPr>
          <w:rStyle w:val="ECCParagraph"/>
          <w:noProof/>
        </w:rPr>
        <w:t xml:space="preserve">The migration from specular reflection to diffuse reflection with increasing frequency is pointed out as a clear advantage for the measurement of solids in Annex 2 of </w:t>
      </w:r>
      <w:r w:rsidR="00250192" w:rsidRPr="006D6727">
        <w:rPr>
          <w:rStyle w:val="ECCParagraph"/>
          <w:noProof/>
        </w:rPr>
        <w:fldChar w:fldCharType="begin"/>
      </w:r>
      <w:r w:rsidR="00250192" w:rsidRPr="006D6727">
        <w:rPr>
          <w:rStyle w:val="ECCParagraph"/>
          <w:noProof/>
        </w:rPr>
        <w:instrText xml:space="preserve"> REF  ECCRep139 \h \w  \* MERGEFORMAT </w:instrText>
      </w:r>
      <w:r w:rsidR="00250192" w:rsidRPr="006D6727">
        <w:rPr>
          <w:rStyle w:val="ECCParagraph"/>
          <w:noProof/>
        </w:rPr>
      </w:r>
      <w:r w:rsidR="00250192" w:rsidRPr="006D6727">
        <w:rPr>
          <w:rStyle w:val="ECCParagraph"/>
          <w:noProof/>
        </w:rPr>
        <w:fldChar w:fldCharType="separate"/>
      </w:r>
      <w:r w:rsidR="004F49F9">
        <w:rPr>
          <w:rStyle w:val="ECCParagraph"/>
          <w:noProof/>
        </w:rPr>
        <w:t>[4]</w:t>
      </w:r>
      <w:r w:rsidR="00250192" w:rsidRPr="006D6727">
        <w:rPr>
          <w:rStyle w:val="ECCParagraph"/>
          <w:noProof/>
        </w:rPr>
        <w:fldChar w:fldCharType="end"/>
      </w:r>
      <w:r w:rsidRPr="006D6727">
        <w:rPr>
          <w:rStyle w:val="ECCParagraph"/>
          <w:noProof/>
        </w:rPr>
        <w:t>. In the same way, this is an advantage with respect to interference, as the additional loss of diffuse reflection will occur more often and for materials with lower granularity. Simulations and measurements performed in this report will give a practical evidence on this effect</w:t>
      </w:r>
      <w:r w:rsidR="000839A0">
        <w:rPr>
          <w:rStyle w:val="ECCParagraph"/>
          <w:noProof/>
        </w:rPr>
        <w:t>;</w:t>
      </w:r>
    </w:p>
    <w:p w14:paraId="3A260E75" w14:textId="2E248089" w:rsidR="007B5116" w:rsidRPr="006D6727" w:rsidRDefault="007B5116" w:rsidP="007B5116">
      <w:pPr>
        <w:pStyle w:val="ECCBulletsLv1"/>
        <w:rPr>
          <w:noProof/>
        </w:rPr>
      </w:pPr>
      <w:r w:rsidRPr="006D6727">
        <w:rPr>
          <w:noProof/>
        </w:rPr>
        <w:t>Reflection loss due to macro shape of reflecting surface</w:t>
      </w:r>
      <w:r w:rsidR="00A953ED">
        <w:rPr>
          <w:noProof/>
        </w:rPr>
        <w:t>:</w:t>
      </w:r>
    </w:p>
    <w:p w14:paraId="610560D0" w14:textId="6344F456" w:rsidR="007B5116" w:rsidRPr="006D6727" w:rsidRDefault="007B5116" w:rsidP="007B5116">
      <w:pPr>
        <w:pStyle w:val="ECCBulletsLv1"/>
        <w:numPr>
          <w:ilvl w:val="0"/>
          <w:numId w:val="0"/>
        </w:numPr>
        <w:ind w:left="340"/>
        <w:rPr>
          <w:noProof/>
        </w:rPr>
      </w:pPr>
      <w:r w:rsidRPr="006D6727">
        <w:rPr>
          <w:noProof/>
        </w:rPr>
        <w:t xml:space="preserve">Assuming, that the beam angles of new LPR devices at frequencies beyond 116 GHz will be similar than those of their lower frequency counterparts, there is nothing to add to the discussion in </w:t>
      </w:r>
      <w:r w:rsidR="000D257B" w:rsidRPr="006D6727">
        <w:rPr>
          <w:noProof/>
        </w:rPr>
        <w:t>Annex</w:t>
      </w:r>
      <w:r w:rsidRPr="006D6727">
        <w:rPr>
          <w:noProof/>
        </w:rPr>
        <w:t xml:space="preserve"> </w:t>
      </w:r>
      <w:r w:rsidRPr="006D6727">
        <w:rPr>
          <w:rStyle w:val="ECCParagraph"/>
          <w:noProof/>
        </w:rPr>
        <w:t xml:space="preserve">A2.2.3 of </w:t>
      </w:r>
      <w:r w:rsidR="000D257B" w:rsidRPr="006D6727">
        <w:rPr>
          <w:rStyle w:val="ECCParagraph"/>
          <w:noProof/>
        </w:rPr>
        <w:fldChar w:fldCharType="begin"/>
      </w:r>
      <w:r w:rsidR="000D257B" w:rsidRPr="006D6727">
        <w:rPr>
          <w:rStyle w:val="ECCParagraph"/>
          <w:noProof/>
        </w:rPr>
        <w:instrText xml:space="preserve"> REF  ECCRep139 \h \w  \* MERGEFORMAT </w:instrText>
      </w:r>
      <w:r w:rsidR="000D257B" w:rsidRPr="006D6727">
        <w:rPr>
          <w:rStyle w:val="ECCParagraph"/>
          <w:noProof/>
        </w:rPr>
      </w:r>
      <w:r w:rsidR="000D257B" w:rsidRPr="006D6727">
        <w:rPr>
          <w:rStyle w:val="ECCParagraph"/>
          <w:noProof/>
        </w:rPr>
        <w:fldChar w:fldCharType="separate"/>
      </w:r>
      <w:r w:rsidR="004F49F9">
        <w:rPr>
          <w:rStyle w:val="ECCParagraph"/>
          <w:noProof/>
        </w:rPr>
        <w:t>[4]</w:t>
      </w:r>
      <w:r w:rsidR="000D257B" w:rsidRPr="006D6727">
        <w:rPr>
          <w:rStyle w:val="ECCParagraph"/>
          <w:noProof/>
        </w:rPr>
        <w:fldChar w:fldCharType="end"/>
      </w:r>
      <w:r w:rsidR="000D257B" w:rsidRPr="006D6727">
        <w:rPr>
          <w:rStyle w:val="ECCParagraph"/>
          <w:noProof/>
        </w:rPr>
        <w:t>.</w:t>
      </w:r>
    </w:p>
    <w:p w14:paraId="26600240" w14:textId="77777777" w:rsidR="0071013C" w:rsidRPr="006D6727" w:rsidRDefault="0071013C" w:rsidP="00FA6458">
      <w:pPr>
        <w:pStyle w:val="ECCAnnexheading2"/>
        <w:rPr>
          <w:noProof/>
        </w:rPr>
      </w:pPr>
      <w:r w:rsidRPr="006D6727">
        <w:rPr>
          <w:noProof/>
        </w:rPr>
        <w:t>Simulations of the Reflection Loss of a Rough Conductive Surface</w:t>
      </w:r>
    </w:p>
    <w:p w14:paraId="4C43204D" w14:textId="67694507" w:rsidR="0071013C" w:rsidRPr="006D6727" w:rsidRDefault="0071013C" w:rsidP="0071013C">
      <w:pPr>
        <w:rPr>
          <w:noProof/>
        </w:rPr>
      </w:pPr>
      <w:r w:rsidRPr="006D6727">
        <w:rPr>
          <w:noProof/>
        </w:rPr>
        <w:t xml:space="preserve">In </w:t>
      </w:r>
      <w:r w:rsidR="00DA7BA5" w:rsidRPr="006D6727">
        <w:rPr>
          <w:rStyle w:val="ECCParagraph"/>
          <w:noProof/>
        </w:rPr>
        <w:fldChar w:fldCharType="begin"/>
      </w:r>
      <w:r w:rsidR="00DA7BA5" w:rsidRPr="006D6727">
        <w:rPr>
          <w:rStyle w:val="ECCParagraph"/>
          <w:noProof/>
        </w:rPr>
        <w:instrText xml:space="preserve"> REF  Surface_Roughness \h \w  \* MERGEFORMAT </w:instrText>
      </w:r>
      <w:r w:rsidR="00DA7BA5" w:rsidRPr="006D6727">
        <w:rPr>
          <w:rStyle w:val="ECCParagraph"/>
          <w:noProof/>
        </w:rPr>
      </w:r>
      <w:r w:rsidR="00DA7BA5" w:rsidRPr="006D6727">
        <w:rPr>
          <w:rStyle w:val="ECCParagraph"/>
          <w:noProof/>
        </w:rPr>
        <w:fldChar w:fldCharType="separate"/>
      </w:r>
      <w:r w:rsidR="004F49F9">
        <w:rPr>
          <w:rStyle w:val="ECCParagraph"/>
          <w:noProof/>
        </w:rPr>
        <w:t>[35]</w:t>
      </w:r>
      <w:r w:rsidR="00DA7BA5" w:rsidRPr="006D6727">
        <w:rPr>
          <w:rStyle w:val="ECCParagraph"/>
          <w:noProof/>
        </w:rPr>
        <w:fldChar w:fldCharType="end"/>
      </w:r>
      <w:r w:rsidR="0097495F">
        <w:rPr>
          <w:rStyle w:val="ECCParagraph"/>
          <w:noProof/>
        </w:rPr>
        <w:t>,</w:t>
      </w:r>
      <w:r w:rsidR="00DA7BA5" w:rsidRPr="006D6727">
        <w:rPr>
          <w:rStyle w:val="ECCParagraph"/>
          <w:noProof/>
        </w:rPr>
        <w:t xml:space="preserve"> </w:t>
      </w:r>
      <w:r w:rsidRPr="006D6727">
        <w:rPr>
          <w:noProof/>
        </w:rPr>
        <w:t>various scattering models have been verified by full-wave simulation and measurements with statistically defined artificial surfaces. Based on these results, simulations on reflection losses of rough materials were done with a Gauss-Huygens-model which had been verified by the described procedure. In the simulated setup the reflection losses of rough conductive surfaces defined by their vertical standard deviation (</w:t>
      </w:r>
      <w:r w:rsidRPr="006D6727">
        <w:rPr>
          <w:rFonts w:ascii="Symbol" w:eastAsia="Symbol" w:hAnsi="Symbol" w:cs="Symbol"/>
        </w:rPr>
        <w:t></w:t>
      </w:r>
      <w:r w:rsidRPr="006D6727">
        <w:rPr>
          <w:noProof/>
        </w:rPr>
        <w:t>h) was calculated over frequency for identical incidence and deflection angles ranging from 0° to 60°. The statistically modelled surfaces on which the simulations are based have a size of Lx=100 mm and Ly=100 mm. The periodicity of their Gaussian distributed profiles is described by the autocorrelation widths lx and ly (</w:t>
      </w:r>
      <w:r w:rsidRPr="006D6727">
        <w:rPr>
          <w:rStyle w:val="ECCParagraph"/>
          <w:noProof/>
        </w:rPr>
        <w:t xml:space="preserve">section II of </w:t>
      </w:r>
      <w:r w:rsidR="00DA7BA5" w:rsidRPr="006D6727">
        <w:rPr>
          <w:rStyle w:val="ECCParagraph"/>
          <w:noProof/>
        </w:rPr>
        <w:fldChar w:fldCharType="begin"/>
      </w:r>
      <w:r w:rsidR="00DA7BA5" w:rsidRPr="006D6727">
        <w:rPr>
          <w:rStyle w:val="ECCParagraph"/>
          <w:noProof/>
        </w:rPr>
        <w:instrText xml:space="preserve"> REF  Surface_Roughness \h \w  \* MERGEFORMAT </w:instrText>
      </w:r>
      <w:r w:rsidR="00DA7BA5" w:rsidRPr="006D6727">
        <w:rPr>
          <w:rStyle w:val="ECCParagraph"/>
          <w:noProof/>
        </w:rPr>
      </w:r>
      <w:r w:rsidR="00DA7BA5" w:rsidRPr="006D6727">
        <w:rPr>
          <w:rStyle w:val="ECCParagraph"/>
          <w:noProof/>
        </w:rPr>
        <w:fldChar w:fldCharType="separate"/>
      </w:r>
      <w:r w:rsidR="004F49F9">
        <w:rPr>
          <w:rStyle w:val="ECCParagraph"/>
          <w:noProof/>
        </w:rPr>
        <w:t>[35]</w:t>
      </w:r>
      <w:r w:rsidR="00DA7BA5" w:rsidRPr="006D6727">
        <w:rPr>
          <w:rStyle w:val="ECCParagraph"/>
          <w:noProof/>
        </w:rPr>
        <w:fldChar w:fldCharType="end"/>
      </w:r>
      <w:r w:rsidRPr="006D6727">
        <w:rPr>
          <w:rStyle w:val="ECCParagraph"/>
          <w:noProof/>
        </w:rPr>
        <w:t>).</w:t>
      </w:r>
    </w:p>
    <w:p w14:paraId="463AF5A6" w14:textId="218E7F88" w:rsidR="0071013C" w:rsidRPr="006D6727" w:rsidRDefault="0071013C" w:rsidP="0096742B">
      <w:pPr>
        <w:rPr>
          <w:noProof/>
        </w:rPr>
      </w:pPr>
      <w:r w:rsidRPr="006D6727">
        <w:rPr>
          <w:noProof/>
        </w:rPr>
        <w:t>The simulation results summari</w:t>
      </w:r>
      <w:r w:rsidR="00EF3E55">
        <w:rPr>
          <w:noProof/>
        </w:rPr>
        <w:t>s</w:t>
      </w:r>
      <w:r w:rsidRPr="006D6727">
        <w:rPr>
          <w:noProof/>
        </w:rPr>
        <w:t xml:space="preserve">ed in the following diagrams (see </w:t>
      </w:r>
      <w:r w:rsidR="0096742B" w:rsidRPr="006D6727">
        <w:rPr>
          <w:rStyle w:val="ECCHLyellow"/>
          <w:noProof/>
        </w:rPr>
        <w:fldChar w:fldCharType="begin"/>
      </w:r>
      <w:r w:rsidR="0096742B" w:rsidRPr="006D6727">
        <w:rPr>
          <w:noProof/>
        </w:rPr>
        <w:instrText xml:space="preserve"> REF _Ref27403486 \h </w:instrText>
      </w:r>
      <w:r w:rsidR="0096742B" w:rsidRPr="006D6727">
        <w:rPr>
          <w:rStyle w:val="ECCHLyellow"/>
          <w:noProof/>
        </w:rPr>
      </w:r>
      <w:r w:rsidR="0096742B" w:rsidRPr="006D6727">
        <w:rPr>
          <w:rStyle w:val="ECCHLyellow"/>
          <w:noProof/>
        </w:rPr>
        <w:fldChar w:fldCharType="separate"/>
      </w:r>
      <w:r w:rsidR="0041125F" w:rsidRPr="006D6727">
        <w:rPr>
          <w:noProof/>
        </w:rPr>
        <w:t>Figure </w:t>
      </w:r>
      <w:r w:rsidR="0041125F">
        <w:rPr>
          <w:noProof/>
        </w:rPr>
        <w:t>111</w:t>
      </w:r>
      <w:r w:rsidR="0096742B" w:rsidRPr="006D6727">
        <w:rPr>
          <w:rStyle w:val="ECCHLyellow"/>
          <w:noProof/>
        </w:rPr>
        <w:fldChar w:fldCharType="end"/>
      </w:r>
      <w:r w:rsidRPr="006D6727">
        <w:rPr>
          <w:noProof/>
        </w:rPr>
        <w:t>) provide an estimate, how the reflection losses increase with frequency and decrease with the angle of incidence (</w:t>
      </w:r>
      <w:r w:rsidRPr="006D6727">
        <w:rPr>
          <w:rStyle w:val="ECCParagraph"/>
          <w:noProof/>
        </w:rPr>
        <w:t xml:space="preserve">see </w:t>
      </w:r>
      <w:r w:rsidR="0096742B" w:rsidRPr="006D6727">
        <w:rPr>
          <w:rStyle w:val="ECCParagraph"/>
          <w:noProof/>
        </w:rPr>
        <w:fldChar w:fldCharType="begin"/>
      </w:r>
      <w:r w:rsidR="0096742B" w:rsidRPr="006D6727">
        <w:rPr>
          <w:rStyle w:val="ECCParagraph"/>
          <w:noProof/>
        </w:rPr>
        <w:instrText xml:space="preserve"> REF _Ref27403535 \h  \* MERGEFORMAT </w:instrText>
      </w:r>
      <w:r w:rsidR="0096742B" w:rsidRPr="006D6727">
        <w:rPr>
          <w:rStyle w:val="ECCParagraph"/>
          <w:noProof/>
        </w:rPr>
      </w:r>
      <w:r w:rsidR="0096742B" w:rsidRPr="006D6727">
        <w:rPr>
          <w:rStyle w:val="ECCParagraph"/>
          <w:noProof/>
        </w:rPr>
        <w:fldChar w:fldCharType="separate"/>
      </w:r>
      <w:r w:rsidR="0041125F" w:rsidRPr="0041125F">
        <w:rPr>
          <w:rStyle w:val="ECCParagraph"/>
          <w:noProof/>
        </w:rPr>
        <w:t>Figure 112</w:t>
      </w:r>
      <w:r w:rsidR="0096742B" w:rsidRPr="006D6727">
        <w:rPr>
          <w:rStyle w:val="ECCParagraph"/>
          <w:noProof/>
        </w:rPr>
        <w:fldChar w:fldCharType="end"/>
      </w:r>
      <w:r w:rsidR="0096742B" w:rsidRPr="006D6727">
        <w:rPr>
          <w:rStyle w:val="ECCParagraph"/>
          <w:noProof/>
        </w:rPr>
        <w:t xml:space="preserve"> </w:t>
      </w:r>
      <w:r w:rsidRPr="006D6727">
        <w:rPr>
          <w:rStyle w:val="ECCParagraph"/>
          <w:noProof/>
        </w:rPr>
        <w:t>left</w:t>
      </w:r>
      <w:r w:rsidRPr="006D6727">
        <w:rPr>
          <w:noProof/>
        </w:rPr>
        <w:t>). Though</w:t>
      </w:r>
      <w:r w:rsidR="0039616D" w:rsidRPr="006D6727">
        <w:rPr>
          <w:noProof/>
        </w:rPr>
        <w:t>,</w:t>
      </w:r>
      <w:r w:rsidRPr="006D6727">
        <w:rPr>
          <w:noProof/>
        </w:rPr>
        <w:t xml:space="preserve"> the simulations are not directly useable for quantitative estimations for applications of LPR, they however point out, that one can expect a significantly higher reflection loss from granularity at frequencies beyond 116 GHz.</w:t>
      </w:r>
    </w:p>
    <w:p w14:paraId="5EEECCAD" w14:textId="77777777" w:rsidR="00D34B13" w:rsidRPr="006D6727" w:rsidRDefault="0039616D" w:rsidP="0039616D">
      <w:pPr>
        <w:pStyle w:val="Caption"/>
        <w:rPr>
          <w:noProof/>
          <w:lang w:val="en-GB"/>
        </w:rPr>
      </w:pPr>
      <w:r w:rsidRPr="006D6727">
        <w:rPr>
          <w:noProof/>
          <w:lang w:val="de-DE" w:eastAsia="de-DE"/>
        </w:rPr>
        <w:drawing>
          <wp:inline distT="0" distB="0" distL="0" distR="0" wp14:anchorId="3E4A3997" wp14:editId="40902B80">
            <wp:extent cx="3978483" cy="4447309"/>
            <wp:effectExtent l="0" t="0" r="3175" b="0"/>
            <wp:docPr id="10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screen">
                      <a:extLst>
                        <a:ext uri="{28A0092B-C50C-407E-A947-70E740481C1C}">
                          <a14:useLocalDpi xmlns:a14="http://schemas.microsoft.com/office/drawing/2010/main"/>
                        </a:ext>
                      </a:extLst>
                    </a:blip>
                    <a:srcRect b="-3307"/>
                    <a:stretch/>
                  </pic:blipFill>
                  <pic:spPr bwMode="auto">
                    <a:xfrm>
                      <a:off x="0" y="0"/>
                      <a:ext cx="3996093" cy="4466994"/>
                    </a:xfrm>
                    <a:prstGeom prst="rect">
                      <a:avLst/>
                    </a:prstGeom>
                    <a:ln>
                      <a:noFill/>
                    </a:ln>
                    <a:extLst>
                      <a:ext uri="{53640926-AAD7-44D8-BBD7-CCE9431645EC}">
                        <a14:shadowObscured xmlns:a14="http://schemas.microsoft.com/office/drawing/2010/main"/>
                      </a:ext>
                    </a:extLst>
                  </pic:spPr>
                </pic:pic>
              </a:graphicData>
            </a:graphic>
          </wp:inline>
        </w:drawing>
      </w:r>
    </w:p>
    <w:p w14:paraId="0A2EEDDB" w14:textId="2643905E" w:rsidR="0039616D" w:rsidRPr="006D6727" w:rsidRDefault="0096742B" w:rsidP="0039616D">
      <w:pPr>
        <w:pStyle w:val="Caption"/>
        <w:rPr>
          <w:noProof/>
          <w:lang w:val="en-GB"/>
        </w:rPr>
      </w:pPr>
      <w:bookmarkStart w:id="1003" w:name="_Ref27403486"/>
      <w:r w:rsidRPr="006D6727">
        <w:rPr>
          <w:noProof/>
          <w:lang w:val="en-GB"/>
        </w:rPr>
        <w:t>Figure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111</w:t>
      </w:r>
      <w:r w:rsidRPr="006D6727">
        <w:rPr>
          <w:noProof/>
          <w:lang w:val="en-GB"/>
        </w:rPr>
        <w:fldChar w:fldCharType="end"/>
      </w:r>
      <w:bookmarkEnd w:id="1003"/>
      <w:r w:rsidR="0039616D" w:rsidRPr="006D6727">
        <w:rPr>
          <w:noProof/>
          <w:lang w:val="en-GB"/>
        </w:rPr>
        <w:t>: Simulated reflection factor normali</w:t>
      </w:r>
      <w:r w:rsidR="00EF3E55">
        <w:rPr>
          <w:noProof/>
          <w:lang w:val="en-GB"/>
        </w:rPr>
        <w:t>s</w:t>
      </w:r>
      <w:r w:rsidR="0039616D" w:rsidRPr="006D6727">
        <w:rPr>
          <w:noProof/>
          <w:lang w:val="en-GB"/>
        </w:rPr>
        <w:t>ed to total reflection (flat metal surface, 0 dB) for a surface roughness with standard deviation of 0</w:t>
      </w:r>
      <w:r w:rsidR="00CF4994">
        <w:rPr>
          <w:noProof/>
          <w:lang w:val="en-GB"/>
        </w:rPr>
        <w:t>.5</w:t>
      </w:r>
      <w:r w:rsidR="0039616D" w:rsidRPr="006D6727">
        <w:rPr>
          <w:noProof/>
          <w:lang w:val="en-GB"/>
        </w:rPr>
        <w:t> mm</w:t>
      </w:r>
    </w:p>
    <w:p w14:paraId="45679857" w14:textId="77777777" w:rsidR="0039616D" w:rsidRPr="006D6727" w:rsidRDefault="004E70B5" w:rsidP="00FA6458">
      <w:pPr>
        <w:pStyle w:val="ECCAnnexheading2"/>
        <w:rPr>
          <w:noProof/>
        </w:rPr>
      </w:pPr>
      <w:r w:rsidRPr="006D6727">
        <w:rPr>
          <w:noProof/>
        </w:rPr>
        <w:t>Measurements</w:t>
      </w:r>
    </w:p>
    <w:p w14:paraId="324C1AC5" w14:textId="77777777" w:rsidR="004E70B5" w:rsidRPr="006D6727" w:rsidRDefault="004E70B5" w:rsidP="00FA6458">
      <w:pPr>
        <w:pStyle w:val="ECCAnnexheading3"/>
        <w:rPr>
          <w:noProof/>
        </w:rPr>
      </w:pPr>
      <w:r w:rsidRPr="006D6727">
        <w:rPr>
          <w:noProof/>
        </w:rPr>
        <w:t>Test Setup</w:t>
      </w:r>
    </w:p>
    <w:p w14:paraId="2CABD740" w14:textId="7136B087" w:rsidR="004E70B5" w:rsidRPr="006D6727" w:rsidRDefault="004E70B5" w:rsidP="004E70B5">
      <w:pPr>
        <w:rPr>
          <w:noProof/>
        </w:rPr>
      </w:pPr>
      <w:r w:rsidRPr="006D6727">
        <w:rPr>
          <w:noProof/>
        </w:rPr>
        <w:t xml:space="preserve">The measurements were performed in a similar setup as shown in </w:t>
      </w:r>
      <w:r w:rsidR="00441195">
        <w:rPr>
          <w:noProof/>
        </w:rPr>
        <w:t>ECC Report 139, f</w:t>
      </w:r>
      <w:r w:rsidRPr="006D6727">
        <w:rPr>
          <w:rStyle w:val="ECCParagraph"/>
          <w:noProof/>
        </w:rPr>
        <w:t xml:space="preserve">igure A2.2. </w:t>
      </w:r>
      <w:r w:rsidR="00DA7BA5" w:rsidRPr="006D6727">
        <w:rPr>
          <w:rStyle w:val="ECCParagraph"/>
          <w:noProof/>
        </w:rPr>
        <w:t xml:space="preserve"> </w:t>
      </w:r>
      <w:r w:rsidR="00DA7BA5" w:rsidRPr="006D6727">
        <w:rPr>
          <w:rStyle w:val="ECCParagraph"/>
          <w:noProof/>
        </w:rPr>
        <w:fldChar w:fldCharType="begin"/>
      </w:r>
      <w:r w:rsidR="00DA7BA5" w:rsidRPr="006D6727">
        <w:rPr>
          <w:rStyle w:val="ECCParagraph"/>
          <w:noProof/>
        </w:rPr>
        <w:instrText xml:space="preserve"> REF  ECCRep139 \h \w  \* MERGEFORMAT </w:instrText>
      </w:r>
      <w:r w:rsidR="00DA7BA5" w:rsidRPr="006D6727">
        <w:rPr>
          <w:rStyle w:val="ECCParagraph"/>
          <w:noProof/>
        </w:rPr>
      </w:r>
      <w:r w:rsidR="00DA7BA5" w:rsidRPr="006D6727">
        <w:rPr>
          <w:rStyle w:val="ECCParagraph"/>
          <w:noProof/>
        </w:rPr>
        <w:fldChar w:fldCharType="separate"/>
      </w:r>
      <w:r w:rsidR="004F49F9">
        <w:rPr>
          <w:rStyle w:val="ECCParagraph"/>
          <w:noProof/>
        </w:rPr>
        <w:t>[4]</w:t>
      </w:r>
      <w:r w:rsidR="00DA7BA5" w:rsidRPr="006D6727">
        <w:rPr>
          <w:rStyle w:val="ECCParagraph"/>
          <w:noProof/>
        </w:rPr>
        <w:fldChar w:fldCharType="end"/>
      </w:r>
      <w:r w:rsidRPr="006D6727">
        <w:rPr>
          <w:rStyle w:val="ECCParagraph"/>
          <w:noProof/>
        </w:rPr>
        <w:t>.</w:t>
      </w:r>
      <w:r w:rsidRPr="006D6727">
        <w:rPr>
          <w:noProof/>
        </w:rPr>
        <w:t xml:space="preserve"> For getting more generic results over a wide frequency band, a more ideali</w:t>
      </w:r>
      <w:r w:rsidR="00EF3E55">
        <w:rPr>
          <w:noProof/>
        </w:rPr>
        <w:t>s</w:t>
      </w:r>
      <w:r w:rsidRPr="006D6727">
        <w:rPr>
          <w:noProof/>
        </w:rPr>
        <w:t xml:space="preserve">ed setup with a network analyser was used and placed in an absorbing chamber to avoid specular multipath </w:t>
      </w:r>
      <w:r w:rsidRPr="006D6727">
        <w:rPr>
          <w:rStyle w:val="ECCParagraph"/>
          <w:noProof/>
        </w:rPr>
        <w:t xml:space="preserve">reflections. </w:t>
      </w:r>
      <w:r w:rsidR="0096742B" w:rsidRPr="006D6727">
        <w:rPr>
          <w:rStyle w:val="ECCParagraph"/>
          <w:noProof/>
        </w:rPr>
        <w:fldChar w:fldCharType="begin"/>
      </w:r>
      <w:r w:rsidR="0096742B" w:rsidRPr="006D6727">
        <w:rPr>
          <w:rStyle w:val="ECCParagraph"/>
          <w:noProof/>
        </w:rPr>
        <w:instrText xml:space="preserve"> REF _Ref27403535 \h  \* MERGEFORMAT </w:instrText>
      </w:r>
      <w:r w:rsidR="0096742B" w:rsidRPr="006D6727">
        <w:rPr>
          <w:rStyle w:val="ECCParagraph"/>
          <w:noProof/>
        </w:rPr>
      </w:r>
      <w:r w:rsidR="0096742B" w:rsidRPr="006D6727">
        <w:rPr>
          <w:rStyle w:val="ECCParagraph"/>
          <w:noProof/>
        </w:rPr>
        <w:fldChar w:fldCharType="separate"/>
      </w:r>
      <w:r w:rsidR="0041125F" w:rsidRPr="0041125F">
        <w:rPr>
          <w:rStyle w:val="ECCParagraph"/>
          <w:noProof/>
        </w:rPr>
        <w:t>Figure 112</w:t>
      </w:r>
      <w:r w:rsidR="0096742B" w:rsidRPr="006D6727">
        <w:rPr>
          <w:rStyle w:val="ECCParagraph"/>
          <w:noProof/>
        </w:rPr>
        <w:fldChar w:fldCharType="end"/>
      </w:r>
      <w:r w:rsidR="0096742B" w:rsidRPr="006D6727">
        <w:rPr>
          <w:rStyle w:val="ECCParagraph"/>
          <w:noProof/>
        </w:rPr>
        <w:t xml:space="preserve"> </w:t>
      </w:r>
      <w:r w:rsidRPr="006D6727">
        <w:rPr>
          <w:rStyle w:val="ECCParagraph"/>
          <w:noProof/>
        </w:rPr>
        <w:t>shows the measurement setup in a schematic and a picture.</w:t>
      </w:r>
    </w:p>
    <w:p w14:paraId="576D8A5D" w14:textId="77777777" w:rsidR="004E70B5" w:rsidRPr="006D6727" w:rsidRDefault="004E70B5" w:rsidP="004E70B5">
      <w:pPr>
        <w:rPr>
          <w:noProof/>
        </w:rPr>
      </w:pPr>
      <w:r w:rsidRPr="006D6727">
        <w:rPr>
          <w:noProof/>
          <w:lang w:val="de-DE" w:eastAsia="de-DE"/>
        </w:rPr>
        <w:drawing>
          <wp:inline distT="0" distB="0" distL="0" distR="0" wp14:anchorId="75E19893" wp14:editId="6AA73FC1">
            <wp:extent cx="3251200" cy="1978960"/>
            <wp:effectExtent l="0" t="0" r="6350" b="2540"/>
            <wp:docPr id="1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3332691" cy="2028563"/>
                    </a:xfrm>
                    <a:prstGeom prst="rect">
                      <a:avLst/>
                    </a:prstGeom>
                  </pic:spPr>
                </pic:pic>
              </a:graphicData>
            </a:graphic>
          </wp:inline>
        </w:drawing>
      </w:r>
      <w:r w:rsidRPr="006D6727">
        <w:rPr>
          <w:noProof/>
        </w:rPr>
        <w:t xml:space="preserve"> </w:t>
      </w:r>
      <w:r w:rsidRPr="006D6727">
        <w:rPr>
          <w:noProof/>
          <w:lang w:val="de-DE" w:eastAsia="de-DE"/>
        </w:rPr>
        <w:drawing>
          <wp:inline distT="0" distB="0" distL="0" distR="0" wp14:anchorId="2D45AECC" wp14:editId="654FA039">
            <wp:extent cx="2722036" cy="2014224"/>
            <wp:effectExtent l="0" t="0" r="2540" b="5080"/>
            <wp:docPr id="11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screen">
                      <a:extLst>
                        <a:ext uri="{28A0092B-C50C-407E-A947-70E740481C1C}">
                          <a14:useLocalDpi xmlns:a14="http://schemas.microsoft.com/office/drawing/2010/main"/>
                        </a:ext>
                      </a:extLst>
                    </a:blip>
                    <a:stretch>
                      <a:fillRect/>
                    </a:stretch>
                  </pic:blipFill>
                  <pic:spPr>
                    <a:xfrm>
                      <a:off x="0" y="0"/>
                      <a:ext cx="2744263" cy="2030672"/>
                    </a:xfrm>
                    <a:prstGeom prst="rect">
                      <a:avLst/>
                    </a:prstGeom>
                  </pic:spPr>
                </pic:pic>
              </a:graphicData>
            </a:graphic>
          </wp:inline>
        </w:drawing>
      </w:r>
    </w:p>
    <w:p w14:paraId="20620301" w14:textId="3D1D1DC6" w:rsidR="004E70B5" w:rsidRPr="006D6727" w:rsidRDefault="0096742B" w:rsidP="0096742B">
      <w:pPr>
        <w:pStyle w:val="Caption"/>
        <w:rPr>
          <w:noProof/>
          <w:lang w:val="en-GB"/>
        </w:rPr>
      </w:pPr>
      <w:bookmarkStart w:id="1004" w:name="_Ref27403535"/>
      <w:r w:rsidRPr="006D6727">
        <w:rPr>
          <w:noProof/>
          <w:lang w:val="en-GB"/>
        </w:rPr>
        <w:t>Figure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112</w:t>
      </w:r>
      <w:r w:rsidR="00616942" w:rsidRPr="006D6727">
        <w:rPr>
          <w:noProof/>
          <w:lang w:val="en-GB"/>
        </w:rPr>
        <w:fldChar w:fldCharType="end"/>
      </w:r>
      <w:bookmarkEnd w:id="1004"/>
      <w:r w:rsidR="004E70B5" w:rsidRPr="006D6727">
        <w:rPr>
          <w:rStyle w:val="ECCHLyellow"/>
          <w:noProof/>
          <w:szCs w:val="20"/>
          <w:shd w:val="clear" w:color="auto" w:fill="auto"/>
        </w:rPr>
        <w:t>:</w:t>
      </w:r>
      <w:r w:rsidR="004E70B5" w:rsidRPr="006D6727">
        <w:rPr>
          <w:noProof/>
          <w:lang w:val="en-GB"/>
        </w:rPr>
        <w:t xml:space="preserve"> Schematic (left) and picture (right) of the measurement setup.</w:t>
      </w:r>
    </w:p>
    <w:p w14:paraId="6B1A0272" w14:textId="77777777" w:rsidR="004E70B5" w:rsidRPr="006D6727" w:rsidRDefault="004E70B5" w:rsidP="004E70B5">
      <w:pPr>
        <w:rPr>
          <w:noProof/>
        </w:rPr>
      </w:pPr>
      <w:r w:rsidRPr="006D6727">
        <w:rPr>
          <w:noProof/>
        </w:rPr>
        <w:t>For the tests, the following test equipment has been used:</w:t>
      </w:r>
    </w:p>
    <w:p w14:paraId="5FDCBB62" w14:textId="77777777" w:rsidR="004E70B5" w:rsidRPr="006D6727" w:rsidRDefault="004E70B5" w:rsidP="004E70B5">
      <w:pPr>
        <w:pStyle w:val="ECCBulletsLv1"/>
        <w:rPr>
          <w:noProof/>
        </w:rPr>
      </w:pPr>
      <w:r w:rsidRPr="006D6727">
        <w:rPr>
          <w:noProof/>
        </w:rPr>
        <w:t>Network analyser: Keysight PNA-X</w:t>
      </w:r>
    </w:p>
    <w:p w14:paraId="320D9510" w14:textId="77777777" w:rsidR="004E70B5" w:rsidRPr="006D6727" w:rsidRDefault="004E70B5" w:rsidP="004E70B5">
      <w:pPr>
        <w:pStyle w:val="ECCBulletsLv1"/>
        <w:rPr>
          <w:noProof/>
        </w:rPr>
      </w:pPr>
      <w:r w:rsidRPr="006D6727">
        <w:rPr>
          <w:noProof/>
        </w:rPr>
        <w:t>WR-5 frequency extender (VDI)</w:t>
      </w:r>
    </w:p>
    <w:p w14:paraId="4E1C6752" w14:textId="77777777" w:rsidR="004E70B5" w:rsidRPr="006D6727" w:rsidRDefault="004E70B5" w:rsidP="004E70B5">
      <w:pPr>
        <w:pStyle w:val="ECCBulletsLv1"/>
        <w:rPr>
          <w:noProof/>
        </w:rPr>
      </w:pPr>
      <w:r w:rsidRPr="006D6727">
        <w:rPr>
          <w:noProof/>
        </w:rPr>
        <w:t>WR-3 frequency extender (VDI)</w:t>
      </w:r>
    </w:p>
    <w:p w14:paraId="32B48CD5" w14:textId="77777777" w:rsidR="004E70B5" w:rsidRPr="006D6727" w:rsidRDefault="004E70B5" w:rsidP="004E70B5">
      <w:pPr>
        <w:pStyle w:val="ECCBulletsLv1"/>
        <w:rPr>
          <w:noProof/>
        </w:rPr>
      </w:pPr>
      <w:r w:rsidRPr="006D6727">
        <w:rPr>
          <w:noProof/>
        </w:rPr>
        <w:t>26 dBi standard gain horn-antennas with approximately 8° beam-width (</w:t>
      </w:r>
      <w:r w:rsidRPr="006D6727">
        <w:rPr>
          <w:rFonts w:ascii="Symbol" w:eastAsia="Symbol" w:hAnsi="Symbol" w:cs="Symbol"/>
        </w:rPr>
        <w:t></w:t>
      </w:r>
      <w:r w:rsidRPr="006D6727">
        <w:rPr>
          <w:noProof/>
        </w:rPr>
        <w:t>).</w:t>
      </w:r>
    </w:p>
    <w:p w14:paraId="538B8B43" w14:textId="77777777" w:rsidR="004E70B5" w:rsidRPr="006D6727" w:rsidRDefault="004E70B5" w:rsidP="004E70B5">
      <w:pPr>
        <w:rPr>
          <w:noProof/>
        </w:rPr>
      </w:pPr>
      <w:r w:rsidRPr="006D6727">
        <w:rPr>
          <w:noProof/>
        </w:rPr>
        <w:t>The distance between the sand surface and the beam-centres of the antennas was 38 cm.</w:t>
      </w:r>
    </w:p>
    <w:p w14:paraId="2B6A78E9" w14:textId="419A9569" w:rsidR="004E70B5" w:rsidRPr="006D6727" w:rsidRDefault="004E70B5" w:rsidP="004E70B5">
      <w:pPr>
        <w:rPr>
          <w:noProof/>
        </w:rPr>
      </w:pPr>
      <w:r w:rsidRPr="006D6727">
        <w:rPr>
          <w:noProof/>
        </w:rPr>
        <w:t>Measurements were performed for the waveguide frequency bands WR-5 from 140 GHz to 220 GHz and WR-3 from 220 GHz to 330 GHz. The polari</w:t>
      </w:r>
      <w:r w:rsidR="00EF3E55">
        <w:rPr>
          <w:noProof/>
        </w:rPr>
        <w:t>a</w:t>
      </w:r>
      <w:r w:rsidRPr="006D6727">
        <w:rPr>
          <w:noProof/>
        </w:rPr>
        <w:t xml:space="preserve">ation of the setup was chosen parallel to the sand surface under test. The calibration was done in two steps. First the waveguide ports were calibrated using waveguide </w:t>
      </w:r>
      <w:r w:rsidRPr="006D6727">
        <w:rPr>
          <w:rStyle w:val="ECCParagraph"/>
          <w:noProof/>
        </w:rPr>
        <w:t>TRL</w:t>
      </w:r>
      <w:r w:rsidRPr="006D6727">
        <w:rPr>
          <w:noProof/>
        </w:rPr>
        <w:t xml:space="preserve"> calibration standards. Second for each angle of incidence (θ) the reflection of a thin flat metal plate placed on the sand’s surface was recorded. All measurements are normali</w:t>
      </w:r>
      <w:r w:rsidR="00EF3E55">
        <w:rPr>
          <w:noProof/>
        </w:rPr>
        <w:t>s</w:t>
      </w:r>
      <w:r w:rsidRPr="006D6727">
        <w:rPr>
          <w:noProof/>
        </w:rPr>
        <w:t>ed to the respective metal plate reference measurement, so that systematic errors from imperfections in the mechanical setup are compensated out. Measurements were performed for angles of incidence of 20°, 30°, 33°, 40° and 50° in transmission mode using S21. For each angle of incidence five frequency sweeps were averaged and for getting sufficiently high dynamic range the IF-bandwidth of the NWA was chosen to be 1 kHz. Angles below 20° were not possible due to mechanical limits of the setup. From theory and from simulation</w:t>
      </w:r>
      <w:r w:rsidR="00EF3E55">
        <w:rPr>
          <w:noProof/>
        </w:rPr>
        <w:t>,</w:t>
      </w:r>
      <w:r w:rsidRPr="006D6727">
        <w:rPr>
          <w:noProof/>
        </w:rPr>
        <w:t xml:space="preserve"> it can be deduced, that the worst</w:t>
      </w:r>
      <w:r w:rsidR="00F44788">
        <w:t>-</w:t>
      </w:r>
      <w:r w:rsidRPr="006D6727">
        <w:rPr>
          <w:noProof/>
        </w:rPr>
        <w:t>case which is lowest reflection loss or highest reflection factor corresponds to highest angle of incidence. Thus, the missing values for angles below 20° are of minor relevance.</w:t>
      </w:r>
    </w:p>
    <w:p w14:paraId="2EAD47E1" w14:textId="77777777" w:rsidR="004E70B5" w:rsidRPr="006D6727" w:rsidRDefault="004E70B5" w:rsidP="00FA6458">
      <w:pPr>
        <w:pStyle w:val="ECCAnnexheading3"/>
        <w:rPr>
          <w:noProof/>
        </w:rPr>
      </w:pPr>
      <w:r w:rsidRPr="006D6727">
        <w:rPr>
          <w:noProof/>
        </w:rPr>
        <w:t>Test Results</w:t>
      </w:r>
    </w:p>
    <w:p w14:paraId="48AB5648" w14:textId="6EF9ACDF" w:rsidR="005F2E12" w:rsidRPr="006D6727" w:rsidRDefault="005F2E12" w:rsidP="005F2E12">
      <w:pPr>
        <w:rPr>
          <w:noProof/>
        </w:rPr>
      </w:pPr>
      <w:r w:rsidRPr="006D6727">
        <w:rPr>
          <w:noProof/>
        </w:rPr>
        <w:t xml:space="preserve">For a flat surface of typical, dry sand with maximum 2 mm granularity the measured reflection factors versus frequency are </w:t>
      </w:r>
      <w:r w:rsidRPr="006D6727">
        <w:rPr>
          <w:rStyle w:val="ECCParagraph"/>
          <w:noProof/>
        </w:rPr>
        <w:t xml:space="preserve">plotted in </w:t>
      </w:r>
      <w:r w:rsidR="00253229" w:rsidRPr="006D6727">
        <w:rPr>
          <w:rStyle w:val="ECCParagraph"/>
          <w:noProof/>
        </w:rPr>
        <w:fldChar w:fldCharType="begin"/>
      </w:r>
      <w:r w:rsidR="00253229" w:rsidRPr="006D6727">
        <w:rPr>
          <w:rStyle w:val="ECCParagraph"/>
          <w:noProof/>
        </w:rPr>
        <w:instrText xml:space="preserve"> REF _Ref27403690 \h </w:instrText>
      </w:r>
      <w:r w:rsidR="00253229" w:rsidRPr="006D6727">
        <w:rPr>
          <w:rStyle w:val="ECCParagraph"/>
          <w:noProof/>
        </w:rPr>
      </w:r>
      <w:r w:rsidR="00253229" w:rsidRPr="006D6727">
        <w:rPr>
          <w:rStyle w:val="ECCParagraph"/>
          <w:noProof/>
        </w:rPr>
        <w:fldChar w:fldCharType="separate"/>
      </w:r>
      <w:r w:rsidR="0041125F" w:rsidRPr="006D6727">
        <w:rPr>
          <w:noProof/>
        </w:rPr>
        <w:t>Figure </w:t>
      </w:r>
      <w:r w:rsidR="0041125F">
        <w:rPr>
          <w:noProof/>
        </w:rPr>
        <w:t>113</w:t>
      </w:r>
      <w:r w:rsidR="00253229" w:rsidRPr="006D6727">
        <w:rPr>
          <w:rStyle w:val="ECCParagraph"/>
          <w:noProof/>
        </w:rPr>
        <w:fldChar w:fldCharType="end"/>
      </w:r>
      <w:r w:rsidR="00253229" w:rsidRPr="006D6727">
        <w:rPr>
          <w:rStyle w:val="ECCParagraph"/>
          <w:noProof/>
        </w:rPr>
        <w:t xml:space="preserve"> </w:t>
      </w:r>
      <w:r w:rsidRPr="006D6727">
        <w:rPr>
          <w:rStyle w:val="ECCParagraph"/>
          <w:noProof/>
        </w:rPr>
        <w:t xml:space="preserve">and </w:t>
      </w:r>
      <w:r w:rsidR="00253229" w:rsidRPr="006D6727">
        <w:rPr>
          <w:rStyle w:val="ECCParagraph"/>
          <w:noProof/>
        </w:rPr>
        <w:fldChar w:fldCharType="begin"/>
      </w:r>
      <w:r w:rsidR="00253229" w:rsidRPr="006D6727">
        <w:rPr>
          <w:rStyle w:val="ECCParagraph"/>
          <w:noProof/>
        </w:rPr>
        <w:instrText xml:space="preserve"> REF _Ref27403697 \h </w:instrText>
      </w:r>
      <w:r w:rsidR="00253229" w:rsidRPr="006D6727">
        <w:rPr>
          <w:rStyle w:val="ECCParagraph"/>
          <w:noProof/>
        </w:rPr>
      </w:r>
      <w:r w:rsidR="00253229" w:rsidRPr="006D6727">
        <w:rPr>
          <w:rStyle w:val="ECCParagraph"/>
          <w:noProof/>
        </w:rPr>
        <w:fldChar w:fldCharType="separate"/>
      </w:r>
      <w:r w:rsidR="0041125F" w:rsidRPr="006D6727">
        <w:rPr>
          <w:noProof/>
        </w:rPr>
        <w:t>Figure </w:t>
      </w:r>
      <w:r w:rsidR="0041125F">
        <w:rPr>
          <w:noProof/>
        </w:rPr>
        <w:t>114</w:t>
      </w:r>
      <w:r w:rsidR="00253229" w:rsidRPr="006D6727">
        <w:rPr>
          <w:rStyle w:val="ECCParagraph"/>
          <w:noProof/>
        </w:rPr>
        <w:fldChar w:fldCharType="end"/>
      </w:r>
      <w:r w:rsidRPr="006D6727">
        <w:rPr>
          <w:rStyle w:val="ECCParagraph"/>
          <w:noProof/>
        </w:rPr>
        <w:t>. The</w:t>
      </w:r>
      <w:r w:rsidRPr="006D6727">
        <w:rPr>
          <w:noProof/>
        </w:rPr>
        <w:t xml:space="preserve"> measured reflection loss (Lreflection) for θ=33° </w:t>
      </w:r>
      <w:r w:rsidR="00253229" w:rsidRPr="006D6727">
        <w:rPr>
          <w:noProof/>
        </w:rPr>
        <w:t>takes values</w:t>
      </w:r>
      <w:r w:rsidRPr="006D6727">
        <w:rPr>
          <w:noProof/>
        </w:rPr>
        <w:t xml:space="preserve"> from 17 dB to 27 dB with local minima going over 40 dB. Its increase towards higher frequencies is significant in the WR-5 band (140 GHz to 200 GHz) as expected from theory and simulations.</w:t>
      </w:r>
    </w:p>
    <w:p w14:paraId="7019F64C" w14:textId="77777777" w:rsidR="005F2E12" w:rsidRPr="006D6727" w:rsidRDefault="005F2E12" w:rsidP="005F2E12">
      <w:pPr>
        <w:rPr>
          <w:noProof/>
        </w:rPr>
      </w:pPr>
      <w:r w:rsidRPr="006D6727">
        <w:rPr>
          <w:noProof/>
          <w:lang w:val="de-DE" w:eastAsia="de-DE"/>
        </w:rPr>
        <w:drawing>
          <wp:anchor distT="0" distB="0" distL="114300" distR="114300" simplePos="0" relativeHeight="251642880" behindDoc="0" locked="0" layoutInCell="1" allowOverlap="1" wp14:anchorId="3AC29BED" wp14:editId="56E4982E">
            <wp:simplePos x="0" y="0"/>
            <wp:positionH relativeFrom="column">
              <wp:posOffset>3929825</wp:posOffset>
            </wp:positionH>
            <wp:positionV relativeFrom="paragraph">
              <wp:posOffset>2013750</wp:posOffset>
            </wp:positionV>
            <wp:extent cx="1119581" cy="1092878"/>
            <wp:effectExtent l="0" t="0" r="4445" b="0"/>
            <wp:wrapNone/>
            <wp:docPr id="11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119581" cy="1092878"/>
                    </a:xfrm>
                    <a:prstGeom prst="rect">
                      <a:avLst/>
                    </a:prstGeom>
                  </pic:spPr>
                </pic:pic>
              </a:graphicData>
            </a:graphic>
            <wp14:sizeRelH relativeFrom="margin">
              <wp14:pctWidth>0</wp14:pctWidth>
            </wp14:sizeRelH>
            <wp14:sizeRelV relativeFrom="margin">
              <wp14:pctHeight>0</wp14:pctHeight>
            </wp14:sizeRelV>
          </wp:anchor>
        </w:drawing>
      </w:r>
      <w:r w:rsidRPr="006D6727">
        <w:rPr>
          <w:noProof/>
          <w:lang w:val="de-DE" w:eastAsia="de-DE"/>
        </w:rPr>
        <w:drawing>
          <wp:inline distT="0" distB="0" distL="0" distR="0" wp14:anchorId="1AAF08AF" wp14:editId="47ECF199">
            <wp:extent cx="5641750" cy="3474720"/>
            <wp:effectExtent l="0" t="0" r="0" b="0"/>
            <wp:docPr id="11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5653219" cy="3481784"/>
                    </a:xfrm>
                    <a:prstGeom prst="rect">
                      <a:avLst/>
                    </a:prstGeom>
                    <a:noFill/>
                    <a:ln>
                      <a:noFill/>
                    </a:ln>
                  </pic:spPr>
                </pic:pic>
              </a:graphicData>
            </a:graphic>
          </wp:inline>
        </w:drawing>
      </w:r>
    </w:p>
    <w:p w14:paraId="2F0AC243" w14:textId="5846775B" w:rsidR="005F2E12" w:rsidRPr="006D6727" w:rsidRDefault="00253229" w:rsidP="00F42F66">
      <w:pPr>
        <w:pStyle w:val="Caption"/>
        <w:rPr>
          <w:noProof/>
          <w:lang w:val="en-GB"/>
        </w:rPr>
      </w:pPr>
      <w:bookmarkStart w:id="1005" w:name="_Ref27403690"/>
      <w:r w:rsidRPr="006D6727">
        <w:rPr>
          <w:noProof/>
          <w:lang w:val="en-GB"/>
        </w:rPr>
        <w:t>Figure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113</w:t>
      </w:r>
      <w:r w:rsidR="00616942" w:rsidRPr="006D6727">
        <w:rPr>
          <w:noProof/>
          <w:lang w:val="en-GB"/>
        </w:rPr>
        <w:fldChar w:fldCharType="end"/>
      </w:r>
      <w:bookmarkEnd w:id="1005"/>
      <w:r w:rsidR="005F2E12" w:rsidRPr="006D6727">
        <w:rPr>
          <w:noProof/>
          <w:lang w:val="en-GB"/>
        </w:rPr>
        <w:t>: Measured reflection factors of fine sand with up to 2 mm granularity in the WR-5 band (140 GHz to 220 GHz) for incidence/deflection angles from 20° to 50° normali</w:t>
      </w:r>
      <w:r w:rsidR="00EF3E55">
        <w:rPr>
          <w:noProof/>
          <w:lang w:val="en-GB"/>
        </w:rPr>
        <w:t>s</w:t>
      </w:r>
      <w:r w:rsidR="005F2E12" w:rsidRPr="006D6727">
        <w:rPr>
          <w:noProof/>
          <w:lang w:val="en-GB"/>
        </w:rPr>
        <w:t xml:space="preserve">ed to </w:t>
      </w:r>
      <w:r w:rsidR="00F42F66" w:rsidRPr="006D6727">
        <w:rPr>
          <w:noProof/>
          <w:lang w:val="en-GB"/>
        </w:rPr>
        <w:t xml:space="preserve">a </w:t>
      </w:r>
      <w:r w:rsidR="005F2E12" w:rsidRPr="006D6727">
        <w:rPr>
          <w:noProof/>
          <w:lang w:val="en-GB"/>
        </w:rPr>
        <w:t xml:space="preserve">reference measurement </w:t>
      </w:r>
      <w:r w:rsidR="00F42F66" w:rsidRPr="006D6727">
        <w:rPr>
          <w:noProof/>
          <w:lang w:val="en-GB"/>
        </w:rPr>
        <w:t>of a</w:t>
      </w:r>
      <w:r w:rsidR="005F2E12" w:rsidRPr="006D6727">
        <w:rPr>
          <w:noProof/>
          <w:lang w:val="en-GB"/>
        </w:rPr>
        <w:t xml:space="preserve"> flat metal surface (total reflection)</w:t>
      </w:r>
      <w:r w:rsidR="00F42F66" w:rsidRPr="006D6727">
        <w:rPr>
          <w:noProof/>
          <w:lang w:val="en-GB"/>
        </w:rPr>
        <w:t>. (</w:t>
      </w:r>
      <w:r w:rsidR="005F2E12" w:rsidRPr="006D6727">
        <w:rPr>
          <w:noProof/>
          <w:lang w:val="en-GB"/>
        </w:rPr>
        <w:t>The picture in the lower right corner shows the granularity of the sand compared to a 1 mm grid</w:t>
      </w:r>
      <w:r w:rsidR="00F42F66" w:rsidRPr="006D6727">
        <w:rPr>
          <w:noProof/>
          <w:lang w:val="en-GB"/>
        </w:rPr>
        <w:t>)</w:t>
      </w:r>
    </w:p>
    <w:p w14:paraId="4ACB5988" w14:textId="3FE97B99" w:rsidR="005F2E12" w:rsidRPr="006D6727" w:rsidRDefault="005F2E12" w:rsidP="005F2E12">
      <w:pPr>
        <w:rPr>
          <w:noProof/>
        </w:rPr>
      </w:pPr>
      <w:r w:rsidRPr="006D6727">
        <w:rPr>
          <w:noProof/>
        </w:rPr>
        <w:t xml:space="preserve">For higher frequencies and especially in the WR-3 band (220 GHz </w:t>
      </w:r>
      <w:r w:rsidR="00846741" w:rsidRPr="006D6727">
        <w:rPr>
          <w:noProof/>
        </w:rPr>
        <w:t>to</w:t>
      </w:r>
      <w:r w:rsidRPr="006D6727">
        <w:rPr>
          <w:noProof/>
        </w:rPr>
        <w:t xml:space="preserve"> 330 GHz</w:t>
      </w:r>
      <w:r w:rsidR="00FD716E" w:rsidRPr="006D6727">
        <w:rPr>
          <w:noProof/>
        </w:rPr>
        <w:t xml:space="preserve"> </w:t>
      </w:r>
      <w:r w:rsidR="00BB55F8">
        <w:rPr>
          <w:noProof/>
        </w:rPr>
        <w:t>(</w:t>
      </w:r>
      <w:r w:rsidR="00FD716E" w:rsidRPr="006D6727">
        <w:rPr>
          <w:noProof/>
        </w:rPr>
        <w:t>see</w:t>
      </w:r>
      <w:r w:rsidRPr="006D6727">
        <w:rPr>
          <w:noProof/>
        </w:rPr>
        <w:t xml:space="preserve"> </w:t>
      </w:r>
      <w:r w:rsidR="00846741" w:rsidRPr="006D6727">
        <w:rPr>
          <w:rStyle w:val="ECCHLyellow"/>
          <w:noProof/>
        </w:rPr>
        <w:fldChar w:fldCharType="begin"/>
      </w:r>
      <w:r w:rsidR="00846741" w:rsidRPr="006D6727">
        <w:rPr>
          <w:noProof/>
        </w:rPr>
        <w:instrText xml:space="preserve"> REF _Ref27403697 \h </w:instrText>
      </w:r>
      <w:r w:rsidR="00846741" w:rsidRPr="006D6727">
        <w:rPr>
          <w:rStyle w:val="ECCHLyellow"/>
          <w:noProof/>
        </w:rPr>
      </w:r>
      <w:r w:rsidR="00846741" w:rsidRPr="006D6727">
        <w:rPr>
          <w:rStyle w:val="ECCHLyellow"/>
          <w:noProof/>
        </w:rPr>
        <w:fldChar w:fldCharType="separate"/>
      </w:r>
      <w:r w:rsidR="0041125F" w:rsidRPr="006D6727">
        <w:rPr>
          <w:noProof/>
        </w:rPr>
        <w:t>Figure </w:t>
      </w:r>
      <w:r w:rsidR="0041125F">
        <w:rPr>
          <w:noProof/>
        </w:rPr>
        <w:t>114</w:t>
      </w:r>
      <w:r w:rsidR="00846741" w:rsidRPr="006D6727">
        <w:rPr>
          <w:rStyle w:val="ECCHLyellow"/>
          <w:noProof/>
        </w:rPr>
        <w:fldChar w:fldCharType="end"/>
      </w:r>
      <w:r w:rsidRPr="006D6727">
        <w:rPr>
          <w:noProof/>
        </w:rPr>
        <w:t>)</w:t>
      </w:r>
      <w:r w:rsidR="00BB55F8">
        <w:rPr>
          <w:noProof/>
        </w:rPr>
        <w:t>),</w:t>
      </w:r>
      <w:r w:rsidRPr="006D6727">
        <w:rPr>
          <w:noProof/>
        </w:rPr>
        <w:t xml:space="preserve"> the dependency on the angle of incidence is not visible anymore. This indicates that diffuse reflection dominates specular reflection. The increase of the reflection loss towards higher frequencies is minor significant.</w:t>
      </w:r>
    </w:p>
    <w:p w14:paraId="7636A466" w14:textId="77777777" w:rsidR="00782D7F" w:rsidRPr="006D6727" w:rsidRDefault="00782D7F" w:rsidP="00782D7F">
      <w:pPr>
        <w:rPr>
          <w:noProof/>
        </w:rPr>
      </w:pPr>
      <w:r w:rsidRPr="006D6727">
        <w:rPr>
          <w:noProof/>
          <w:lang w:val="de-DE" w:eastAsia="de-DE"/>
        </w:rPr>
        <w:drawing>
          <wp:anchor distT="0" distB="0" distL="114300" distR="114300" simplePos="0" relativeHeight="251671552" behindDoc="0" locked="0" layoutInCell="1" allowOverlap="1" wp14:anchorId="67FD541F" wp14:editId="7C91056C">
            <wp:simplePos x="0" y="0"/>
            <wp:positionH relativeFrom="column">
              <wp:posOffset>4013819</wp:posOffset>
            </wp:positionH>
            <wp:positionV relativeFrom="paragraph">
              <wp:posOffset>2583758</wp:posOffset>
            </wp:positionV>
            <wp:extent cx="1119581" cy="1092878"/>
            <wp:effectExtent l="0" t="0" r="4445" b="0"/>
            <wp:wrapNone/>
            <wp:docPr id="11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119581" cy="1092878"/>
                    </a:xfrm>
                    <a:prstGeom prst="rect">
                      <a:avLst/>
                    </a:prstGeom>
                  </pic:spPr>
                </pic:pic>
              </a:graphicData>
            </a:graphic>
            <wp14:sizeRelH relativeFrom="margin">
              <wp14:pctWidth>0</wp14:pctWidth>
            </wp14:sizeRelH>
            <wp14:sizeRelV relativeFrom="margin">
              <wp14:pctHeight>0</wp14:pctHeight>
            </wp14:sizeRelV>
          </wp:anchor>
        </w:drawing>
      </w:r>
      <w:r w:rsidRPr="006D6727">
        <w:rPr>
          <w:noProof/>
          <w:lang w:val="de-DE" w:eastAsia="de-DE"/>
        </w:rPr>
        <w:drawing>
          <wp:inline distT="0" distB="0" distL="0" distR="0" wp14:anchorId="6289EA1B" wp14:editId="5FE700F9">
            <wp:extent cx="5756910" cy="4110990"/>
            <wp:effectExtent l="0" t="0" r="0" b="0"/>
            <wp:docPr id="11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6910" cy="4110990"/>
                    </a:xfrm>
                    <a:prstGeom prst="rect">
                      <a:avLst/>
                    </a:prstGeom>
                    <a:noFill/>
                    <a:ln>
                      <a:noFill/>
                    </a:ln>
                  </pic:spPr>
                </pic:pic>
              </a:graphicData>
            </a:graphic>
          </wp:inline>
        </w:drawing>
      </w:r>
    </w:p>
    <w:p w14:paraId="294DCFC6" w14:textId="5CB26364" w:rsidR="004E70B5" w:rsidRPr="006D6727" w:rsidRDefault="00253229" w:rsidP="00253229">
      <w:pPr>
        <w:pStyle w:val="Caption"/>
        <w:rPr>
          <w:noProof/>
          <w:lang w:val="en-GB"/>
        </w:rPr>
      </w:pPr>
      <w:bookmarkStart w:id="1006" w:name="_Ref27403697"/>
      <w:r w:rsidRPr="006D6727">
        <w:rPr>
          <w:noProof/>
          <w:lang w:val="en-GB"/>
        </w:rPr>
        <w:t>Figure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F49F9">
        <w:rPr>
          <w:noProof/>
          <w:lang w:val="en-GB"/>
        </w:rPr>
        <w:t>114</w:t>
      </w:r>
      <w:r w:rsidR="00616942" w:rsidRPr="006D6727">
        <w:rPr>
          <w:noProof/>
          <w:lang w:val="en-GB"/>
        </w:rPr>
        <w:fldChar w:fldCharType="end"/>
      </w:r>
      <w:bookmarkEnd w:id="1006"/>
      <w:r w:rsidR="00A21AB9" w:rsidRPr="006D6727">
        <w:rPr>
          <w:rStyle w:val="ECCHLyellow"/>
          <w:noProof/>
          <w:szCs w:val="20"/>
          <w:shd w:val="clear" w:color="auto" w:fill="auto"/>
        </w:rPr>
        <w:t>:</w:t>
      </w:r>
      <w:r w:rsidR="00A21AB9" w:rsidRPr="006D6727">
        <w:rPr>
          <w:noProof/>
          <w:lang w:val="en-GB"/>
        </w:rPr>
        <w:t xml:space="preserve"> Measured reflection factors of fine sand with up to 2 mm granularity in the WR-3 band (220 GHz to 330 GHz) for incidence/deflection angles from 20° to 50° normali</w:t>
      </w:r>
      <w:r w:rsidR="00EF3E55">
        <w:rPr>
          <w:noProof/>
          <w:lang w:val="en-GB"/>
        </w:rPr>
        <w:t>s</w:t>
      </w:r>
      <w:r w:rsidR="00A21AB9" w:rsidRPr="006D6727">
        <w:rPr>
          <w:noProof/>
          <w:lang w:val="en-GB"/>
        </w:rPr>
        <w:t>ed to a reference measurement of a flat metal surface (total reflection). The picture in the lower right corner shows the granularity of the sand compared to a 1 mm grid</w:t>
      </w:r>
    </w:p>
    <w:p w14:paraId="29289601" w14:textId="77777777" w:rsidR="008A0602" w:rsidRPr="006D6727" w:rsidRDefault="008A0602">
      <w:pPr>
        <w:rPr>
          <w:noProof/>
        </w:rPr>
      </w:pPr>
      <w:r w:rsidRPr="006D6727">
        <w:rPr>
          <w:noProof/>
        </w:rPr>
        <w:br w:type="page"/>
      </w:r>
    </w:p>
    <w:p w14:paraId="150F6B40" w14:textId="77777777" w:rsidR="008A0602" w:rsidRPr="006D6727" w:rsidRDefault="00622D5C" w:rsidP="007A4F98">
      <w:pPr>
        <w:pStyle w:val="ECCAnnexheading1"/>
        <w:rPr>
          <w:noProof/>
          <w:lang w:val="en-GB"/>
        </w:rPr>
      </w:pPr>
      <w:bookmarkStart w:id="1007" w:name="_Ref27493566"/>
      <w:bookmarkStart w:id="1008" w:name="_Toc127346421"/>
      <w:r>
        <w:t>Antenna</w:t>
      </w:r>
      <w:r w:rsidR="0053700D" w:rsidRPr="006D6727">
        <w:rPr>
          <w:noProof/>
          <w:lang w:val="en-GB"/>
        </w:rPr>
        <w:t xml:space="preserve"> </w:t>
      </w:r>
      <w:r>
        <w:t>Characteristics</w:t>
      </w:r>
      <w:r w:rsidR="0053700D" w:rsidRPr="006D6727">
        <w:rPr>
          <w:noProof/>
          <w:lang w:val="en-GB"/>
        </w:rPr>
        <w:t xml:space="preserve"> </w:t>
      </w:r>
      <w:r>
        <w:t>for</w:t>
      </w:r>
      <w:r w:rsidR="0053700D" w:rsidRPr="006D6727">
        <w:rPr>
          <w:noProof/>
          <w:lang w:val="en-GB"/>
        </w:rPr>
        <w:t xml:space="preserve"> </w:t>
      </w:r>
      <w:r w:rsidR="00B265FE" w:rsidRPr="006D6727">
        <w:rPr>
          <w:noProof/>
          <w:lang w:val="en-GB"/>
        </w:rPr>
        <w:t>(</w:t>
      </w:r>
      <w:r>
        <w:t>Tank</w:t>
      </w:r>
      <w:r w:rsidR="00B265FE" w:rsidRPr="006D6727">
        <w:rPr>
          <w:noProof/>
          <w:lang w:val="en-GB"/>
        </w:rPr>
        <w:t xml:space="preserve">) </w:t>
      </w:r>
      <w:r>
        <w:t>Level</w:t>
      </w:r>
      <w:r w:rsidR="00B265FE" w:rsidRPr="006D6727">
        <w:rPr>
          <w:noProof/>
          <w:lang w:val="en-GB"/>
        </w:rPr>
        <w:t xml:space="preserve"> </w:t>
      </w:r>
      <w:r w:rsidR="00FC515D">
        <w:t>P</w:t>
      </w:r>
      <w:r>
        <w:t>robing</w:t>
      </w:r>
      <w:r w:rsidR="00B265FE" w:rsidRPr="006D6727">
        <w:rPr>
          <w:noProof/>
          <w:lang w:val="en-GB"/>
        </w:rPr>
        <w:t xml:space="preserve"> </w:t>
      </w:r>
      <w:bookmarkEnd w:id="1007"/>
      <w:r>
        <w:t>Radar</w:t>
      </w:r>
      <w:bookmarkEnd w:id="1008"/>
    </w:p>
    <w:p w14:paraId="0B922349" w14:textId="77777777" w:rsidR="00B265FE" w:rsidRPr="006D6727" w:rsidRDefault="00B265FE" w:rsidP="00FA6458">
      <w:pPr>
        <w:pStyle w:val="ECCAnnexheading2"/>
        <w:rPr>
          <w:noProof/>
        </w:rPr>
      </w:pPr>
      <w:r w:rsidRPr="006D6727">
        <w:rPr>
          <w:noProof/>
        </w:rPr>
        <w:t>Introduction</w:t>
      </w:r>
    </w:p>
    <w:p w14:paraId="0060615E" w14:textId="77777777" w:rsidR="00B265FE" w:rsidRPr="006D6727" w:rsidRDefault="00B265FE" w:rsidP="00B265FE">
      <w:pPr>
        <w:rPr>
          <w:rStyle w:val="ECCParagraph"/>
          <w:noProof/>
        </w:rPr>
      </w:pPr>
      <w:r w:rsidRPr="006D6727">
        <w:rPr>
          <w:rStyle w:val="ECCParagraph"/>
          <w:noProof/>
        </w:rPr>
        <w:t>In order to adapt optimally to the situation found in the field, the process industry cannot use off the shelf horn antennas like for example used in measurement labs or test houses. Instead, well-designed antennas are needed to cope with adverse environmental conditions inside the tank like high pressure, chemical corrosiveness, condensate, dust and dirt layers.</w:t>
      </w:r>
    </w:p>
    <w:p w14:paraId="0C840F52" w14:textId="77777777" w:rsidR="00B265FE" w:rsidRPr="006D6727" w:rsidRDefault="00B265FE" w:rsidP="00B265FE">
      <w:pPr>
        <w:rPr>
          <w:rStyle w:val="ECCParagraph"/>
          <w:noProof/>
        </w:rPr>
      </w:pPr>
      <w:r w:rsidRPr="006D6727">
        <w:rPr>
          <w:rStyle w:val="ECCParagraph"/>
          <w:noProof/>
        </w:rPr>
        <w:t>Typical materials for antenna fillings having good chemical resistance are PTFE (polytetrafluoroethylene) or PEEK (polyether ether ketone) while at the same time having low losses and suitable dielectric constants of around 2 to 4.</w:t>
      </w:r>
    </w:p>
    <w:p w14:paraId="414C6ACC" w14:textId="77777777" w:rsidR="00B265FE" w:rsidRPr="006D6727" w:rsidRDefault="00B265FE" w:rsidP="00B265FE">
      <w:pPr>
        <w:rPr>
          <w:rStyle w:val="ECCParagraph"/>
          <w:noProof/>
        </w:rPr>
      </w:pPr>
      <w:r w:rsidRPr="006D6727">
        <w:rPr>
          <w:rStyle w:val="ECCParagraph"/>
          <w:noProof/>
        </w:rPr>
        <w:t>These materials are suitable for industrial applications and have also the ability to be machined (or even to be moulded) enabling the opportunity to be produced in large quantities.</w:t>
      </w:r>
    </w:p>
    <w:p w14:paraId="2BA9EA32" w14:textId="77777777" w:rsidR="00B265FE" w:rsidRPr="006D6727" w:rsidRDefault="00B265FE" w:rsidP="00B265FE">
      <w:pPr>
        <w:rPr>
          <w:rStyle w:val="ECCParagraph"/>
          <w:noProof/>
        </w:rPr>
      </w:pPr>
      <w:r w:rsidRPr="006D6727">
        <w:rPr>
          <w:rStyle w:val="ECCParagraph"/>
          <w:noProof/>
        </w:rPr>
        <w:t>All results are given under far field conditions for both planes φ=0° and φ=90°. Data files of the results are also provided in an annex to this contribution.</w:t>
      </w:r>
    </w:p>
    <w:p w14:paraId="308A3F68" w14:textId="77777777" w:rsidR="00B265FE" w:rsidRPr="006D6727" w:rsidRDefault="00B265FE" w:rsidP="00FA6458">
      <w:pPr>
        <w:pStyle w:val="ECCAnnexheading2"/>
        <w:rPr>
          <w:noProof/>
        </w:rPr>
      </w:pPr>
      <w:r w:rsidRPr="006D6727">
        <w:rPr>
          <w:noProof/>
        </w:rPr>
        <w:t>Calculation Method</w:t>
      </w:r>
    </w:p>
    <w:p w14:paraId="42AF37F2" w14:textId="602737B4" w:rsidR="00B265FE" w:rsidRPr="006D6727" w:rsidRDefault="00B265FE" w:rsidP="00B265FE">
      <w:pPr>
        <w:rPr>
          <w:noProof/>
        </w:rPr>
      </w:pPr>
      <w:r w:rsidRPr="006D6727">
        <w:rPr>
          <w:noProof/>
        </w:rPr>
        <w:t>The software tool MICROWAVE STUDIO 2018 was used for conducting the simulations. This software has proven to be well suited in many projects and is highly recommended by researchers as well as by antenna designers in the industry</w:t>
      </w:r>
      <w:r w:rsidR="00BB55F8">
        <w:rPr>
          <w:noProof/>
        </w:rPr>
        <w:t xml:space="preserve"> (</w:t>
      </w:r>
      <w:r w:rsidRPr="006D6727">
        <w:rPr>
          <w:rStyle w:val="ECCParagraph"/>
          <w:noProof/>
        </w:rPr>
        <w:t xml:space="preserve">see </w:t>
      </w:r>
      <w:r w:rsidR="00FE2505" w:rsidRPr="006D6727">
        <w:rPr>
          <w:rStyle w:val="ECCParagraph"/>
          <w:noProof/>
        </w:rPr>
        <w:fldChar w:fldCharType="begin"/>
      </w:r>
      <w:r w:rsidR="00FE2505" w:rsidRPr="006D6727">
        <w:rPr>
          <w:rStyle w:val="ECCParagraph"/>
          <w:noProof/>
        </w:rPr>
        <w:instrText xml:space="preserve"> REF  high_reliability_reflector_antenna \h \w  \* MERGEFORMAT </w:instrText>
      </w:r>
      <w:r w:rsidR="00FE2505" w:rsidRPr="006D6727">
        <w:rPr>
          <w:rStyle w:val="ECCParagraph"/>
          <w:noProof/>
        </w:rPr>
      </w:r>
      <w:r w:rsidR="00FE2505" w:rsidRPr="006D6727">
        <w:rPr>
          <w:rStyle w:val="ECCParagraph"/>
          <w:noProof/>
        </w:rPr>
        <w:fldChar w:fldCharType="separate"/>
      </w:r>
      <w:r w:rsidR="004F49F9">
        <w:rPr>
          <w:rStyle w:val="ECCParagraph"/>
          <w:noProof/>
        </w:rPr>
        <w:t>[37]</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dielectric_travelling_wave_antenna \h \w  \* MERGEFORMAT </w:instrText>
      </w:r>
      <w:r w:rsidR="00FE2505" w:rsidRPr="006D6727">
        <w:rPr>
          <w:rStyle w:val="ECCParagraph"/>
          <w:noProof/>
        </w:rPr>
      </w:r>
      <w:r w:rsidR="00FE2505" w:rsidRPr="006D6727">
        <w:rPr>
          <w:rStyle w:val="ECCParagraph"/>
          <w:noProof/>
        </w:rPr>
        <w:fldChar w:fldCharType="separate"/>
      </w:r>
      <w:r w:rsidR="004F49F9">
        <w:rPr>
          <w:rStyle w:val="ECCParagraph"/>
          <w:noProof/>
        </w:rPr>
        <w:t>[38]</w:t>
      </w:r>
      <w:r w:rsidR="00FE2505" w:rsidRPr="006D6727">
        <w:rPr>
          <w:rStyle w:val="ECCParagraph"/>
          <w:noProof/>
        </w:rPr>
        <w:fldChar w:fldCharType="end"/>
      </w:r>
      <w:r w:rsidRPr="006D6727">
        <w:rPr>
          <w:rStyle w:val="ECCParagraph"/>
          <w:noProof/>
        </w:rPr>
        <w:t xml:space="preserve"> and </w:t>
      </w:r>
      <w:r w:rsidR="00FE2505" w:rsidRPr="006D6727">
        <w:rPr>
          <w:rStyle w:val="ECCParagraph"/>
          <w:noProof/>
        </w:rPr>
        <w:fldChar w:fldCharType="begin"/>
      </w:r>
      <w:r w:rsidR="00FE2505" w:rsidRPr="006D6727">
        <w:rPr>
          <w:rStyle w:val="ECCParagraph"/>
          <w:noProof/>
        </w:rPr>
        <w:instrText xml:space="preserve"> REF  dielectric_lens_based_antenna \h \w  \* MERGEFORMAT </w:instrText>
      </w:r>
      <w:r w:rsidR="00FE2505" w:rsidRPr="006D6727">
        <w:rPr>
          <w:rStyle w:val="ECCParagraph"/>
          <w:noProof/>
        </w:rPr>
      </w:r>
      <w:r w:rsidR="00FE2505" w:rsidRPr="006D6727">
        <w:rPr>
          <w:rStyle w:val="ECCParagraph"/>
          <w:noProof/>
        </w:rPr>
        <w:fldChar w:fldCharType="separate"/>
      </w:r>
      <w:r w:rsidR="004F49F9">
        <w:rPr>
          <w:rStyle w:val="ECCParagraph"/>
          <w:noProof/>
        </w:rPr>
        <w:t>[39]</w:t>
      </w:r>
      <w:r w:rsidR="00FE2505" w:rsidRPr="006D6727">
        <w:rPr>
          <w:rStyle w:val="ECCParagraph"/>
          <w:noProof/>
        </w:rPr>
        <w:fldChar w:fldCharType="end"/>
      </w:r>
      <w:r w:rsidR="00BB55F8">
        <w:rPr>
          <w:rStyle w:val="ECCParagraph"/>
          <w:noProof/>
        </w:rPr>
        <w:t>)</w:t>
      </w:r>
      <w:r w:rsidRPr="006D6727">
        <w:rPr>
          <w:rStyle w:val="ECCParagraph"/>
          <w:noProof/>
        </w:rPr>
        <w:t>.</w:t>
      </w:r>
    </w:p>
    <w:p w14:paraId="7B5D670C" w14:textId="1B05470E" w:rsidR="002507A4" w:rsidRPr="006D6727" w:rsidRDefault="00B265FE" w:rsidP="00B265FE">
      <w:pPr>
        <w:rPr>
          <w:noProof/>
        </w:rPr>
      </w:pPr>
      <w:r w:rsidRPr="006D6727">
        <w:rPr>
          <w:noProof/>
        </w:rPr>
        <w:t>For the simulations the following parameters have been used. The dielectric constant was set to 2</w:t>
      </w:r>
      <w:r w:rsidR="00CF4994">
        <w:rPr>
          <w:noProof/>
        </w:rPr>
        <w:t>.1</w:t>
      </w:r>
      <w:r w:rsidRPr="006D6727">
        <w:rPr>
          <w:noProof/>
        </w:rPr>
        <w:t xml:space="preserve"> according to standard values around 2</w:t>
      </w:r>
      <w:r w:rsidR="00CF4994">
        <w:rPr>
          <w:noProof/>
        </w:rPr>
        <w:t>.0</w:t>
      </w:r>
      <w:r w:rsidRPr="006D6727">
        <w:rPr>
          <w:noProof/>
        </w:rPr>
        <w:t>5 found in literature, and the loss tangent to tan(δ) =2E-4</w:t>
      </w:r>
      <w:r w:rsidR="00BB55F8">
        <w:rPr>
          <w:noProof/>
        </w:rPr>
        <w:t xml:space="preserve"> (</w:t>
      </w:r>
      <w:r w:rsidRPr="006D6727">
        <w:rPr>
          <w:rStyle w:val="ECCParagraph"/>
          <w:noProof/>
        </w:rPr>
        <w:t xml:space="preserve">see </w:t>
      </w:r>
      <w:r w:rsidR="00FE2505" w:rsidRPr="006D6727">
        <w:rPr>
          <w:rStyle w:val="ECCParagraph"/>
          <w:noProof/>
        </w:rPr>
        <w:fldChar w:fldCharType="begin"/>
      </w:r>
      <w:r w:rsidR="00FE2505" w:rsidRPr="006D6727">
        <w:rPr>
          <w:rStyle w:val="ECCParagraph"/>
          <w:noProof/>
        </w:rPr>
        <w:instrText xml:space="preserve"> REF  dielectric_and_conductor_loss \h \w  \* MERGEFORMAT </w:instrText>
      </w:r>
      <w:r w:rsidR="00FE2505" w:rsidRPr="006D6727">
        <w:rPr>
          <w:rStyle w:val="ECCParagraph"/>
          <w:noProof/>
        </w:rPr>
      </w:r>
      <w:r w:rsidR="00FE2505" w:rsidRPr="006D6727">
        <w:rPr>
          <w:rStyle w:val="ECCParagraph"/>
          <w:noProof/>
        </w:rPr>
        <w:fldChar w:fldCharType="separate"/>
      </w:r>
      <w:r w:rsidR="004F49F9">
        <w:rPr>
          <w:rStyle w:val="ECCParagraph"/>
          <w:noProof/>
        </w:rPr>
        <w:t>[40]</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complex_permittivity \h \w  \* MERGEFORMAT </w:instrText>
      </w:r>
      <w:r w:rsidR="00FE2505" w:rsidRPr="006D6727">
        <w:rPr>
          <w:rStyle w:val="ECCParagraph"/>
          <w:noProof/>
        </w:rPr>
      </w:r>
      <w:r w:rsidR="00FE2505" w:rsidRPr="006D6727">
        <w:rPr>
          <w:rStyle w:val="ECCParagraph"/>
          <w:noProof/>
        </w:rPr>
        <w:fldChar w:fldCharType="separate"/>
      </w:r>
      <w:r w:rsidR="004F49F9">
        <w:rPr>
          <w:rStyle w:val="ECCParagraph"/>
          <w:noProof/>
        </w:rPr>
        <w:t>[41]</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complex_permittivity_measurements \h \w  \* MERGEFORMAT </w:instrText>
      </w:r>
      <w:r w:rsidR="00FE2505" w:rsidRPr="006D6727">
        <w:rPr>
          <w:rStyle w:val="ECCParagraph"/>
          <w:noProof/>
        </w:rPr>
      </w:r>
      <w:r w:rsidR="00FE2505" w:rsidRPr="006D6727">
        <w:rPr>
          <w:rStyle w:val="ECCParagraph"/>
          <w:noProof/>
        </w:rPr>
        <w:fldChar w:fldCharType="separate"/>
      </w:r>
      <w:r w:rsidR="004F49F9">
        <w:rPr>
          <w:rStyle w:val="ECCParagraph"/>
          <w:noProof/>
        </w:rPr>
        <w:t>[42]</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characterization_dielectric_materials \h \w  \* MERGEFORMAT </w:instrText>
      </w:r>
      <w:r w:rsidR="00FE2505" w:rsidRPr="006D6727">
        <w:rPr>
          <w:rStyle w:val="ECCParagraph"/>
          <w:noProof/>
        </w:rPr>
      </w:r>
      <w:r w:rsidR="00FE2505" w:rsidRPr="006D6727">
        <w:rPr>
          <w:rStyle w:val="ECCParagraph"/>
          <w:noProof/>
        </w:rPr>
        <w:fldChar w:fldCharType="separate"/>
      </w:r>
      <w:r w:rsidR="004F49F9">
        <w:rPr>
          <w:rStyle w:val="ECCParagraph"/>
          <w:noProof/>
        </w:rPr>
        <w:t>[43]</w:t>
      </w:r>
      <w:r w:rsidR="00FE2505" w:rsidRPr="006D6727">
        <w:rPr>
          <w:rStyle w:val="ECCParagraph"/>
          <w:noProof/>
        </w:rPr>
        <w:fldChar w:fldCharType="end"/>
      </w:r>
      <w:r w:rsidR="0097495F">
        <w:rPr>
          <w:rStyle w:val="ECCParagraph"/>
          <w:noProof/>
        </w:rPr>
        <w:t xml:space="preserve"> and</w:t>
      </w:r>
      <w:r w:rsidR="002B4F38" w:rsidRPr="006D6727">
        <w:rPr>
          <w:rStyle w:val="ECCParagraph"/>
          <w:noProof/>
        </w:rPr>
        <w:t xml:space="preserve"> </w:t>
      </w:r>
      <w:r w:rsidR="002B4F38" w:rsidRPr="006D6727">
        <w:rPr>
          <w:rStyle w:val="ECCParagraph"/>
          <w:noProof/>
        </w:rPr>
        <w:fldChar w:fldCharType="begin"/>
      </w:r>
      <w:r w:rsidR="002B4F38" w:rsidRPr="006D6727">
        <w:rPr>
          <w:rStyle w:val="ECCParagraph"/>
          <w:noProof/>
        </w:rPr>
        <w:instrText xml:space="preserve"> REF  measurement_dielectric_material_prop \h \w  \* MERGEFORMAT </w:instrText>
      </w:r>
      <w:r w:rsidR="002B4F38" w:rsidRPr="006D6727">
        <w:rPr>
          <w:rStyle w:val="ECCParagraph"/>
          <w:noProof/>
        </w:rPr>
      </w:r>
      <w:r w:rsidR="002B4F38" w:rsidRPr="006D6727">
        <w:rPr>
          <w:rStyle w:val="ECCParagraph"/>
          <w:noProof/>
        </w:rPr>
        <w:fldChar w:fldCharType="separate"/>
      </w:r>
      <w:r w:rsidR="004F49F9">
        <w:rPr>
          <w:rStyle w:val="ECCParagraph"/>
          <w:noProof/>
        </w:rPr>
        <w:t>[44]</w:t>
      </w:r>
      <w:r w:rsidR="002B4F38" w:rsidRPr="006D6727">
        <w:rPr>
          <w:rStyle w:val="ECCParagraph"/>
          <w:noProof/>
        </w:rPr>
        <w:fldChar w:fldCharType="end"/>
      </w:r>
      <w:r w:rsidR="00BB55F8">
        <w:rPr>
          <w:rStyle w:val="ECCParagraph"/>
          <w:noProof/>
        </w:rPr>
        <w:t>)</w:t>
      </w:r>
      <w:r w:rsidRPr="006D6727">
        <w:rPr>
          <w:rStyle w:val="ECCParagraph"/>
          <w:noProof/>
        </w:rPr>
        <w:t>.</w:t>
      </w:r>
      <w:r w:rsidRPr="006D6727">
        <w:rPr>
          <w:noProof/>
        </w:rPr>
        <w:t xml:space="preserve"> The mesh size is defined using at least 18 cells per wavelength, including a standard material-based mesh refinement.</w:t>
      </w:r>
    </w:p>
    <w:p w14:paraId="07318DA4" w14:textId="05005720" w:rsidR="00B265FE" w:rsidRPr="006D6727" w:rsidRDefault="00B265FE" w:rsidP="00B265FE">
      <w:pPr>
        <w:rPr>
          <w:noProof/>
        </w:rPr>
      </w:pPr>
      <w:r w:rsidRPr="006D6727">
        <w:rPr>
          <w:noProof/>
        </w:rPr>
        <w:t>The far field radiation characteristics of the antenna are calculated using the so-called reali</w:t>
      </w:r>
      <w:r w:rsidR="00EF3E55">
        <w:rPr>
          <w:noProof/>
        </w:rPr>
        <w:t>s</w:t>
      </w:r>
      <w:r w:rsidRPr="006D6727">
        <w:rPr>
          <w:noProof/>
        </w:rPr>
        <w:t>ed gain, which takes into account the impedance mismatch loss. It is defined as follows:</w:t>
      </w:r>
    </w:p>
    <w:p w14:paraId="13138886" w14:textId="791B29C2" w:rsidR="00B265FE" w:rsidRPr="006D6727" w:rsidRDefault="00E55534" w:rsidP="00B265FE">
      <w:pPr>
        <w:rPr>
          <w:noProof/>
        </w:rPr>
      </w:pPr>
      <m:oMathPara>
        <m:oMathParaPr>
          <m:jc m:val="center"/>
        </m:oMathParaPr>
        <m:oMath>
          <m:sSub>
            <m:sSubPr>
              <m:ctrlPr>
                <w:rPr>
                  <w:rFonts w:ascii="Cambria Math" w:hAnsi="Cambria Math"/>
                  <w:noProof/>
                </w:rPr>
              </m:ctrlPr>
            </m:sSubPr>
            <m:e>
              <m:r>
                <w:rPr>
                  <w:rFonts w:ascii="Cambria Math" w:hAnsi="Cambria Math"/>
                  <w:noProof/>
                </w:rPr>
                <m:t>G</m:t>
              </m:r>
            </m:e>
            <m:sub>
              <m:r>
                <m:rPr>
                  <m:sty m:val="p"/>
                </m:rPr>
                <w:rPr>
                  <w:rFonts w:ascii="Cambria Math" w:hAnsi="Cambria Math"/>
                  <w:noProof/>
                </w:rPr>
                <m:t>realised</m:t>
              </m:r>
            </m:sub>
          </m:sSub>
          <m:d>
            <m:dPr>
              <m:ctrlPr>
                <w:rPr>
                  <w:rFonts w:ascii="Cambria Math" w:hAnsi="Cambria Math"/>
                  <w:noProof/>
                </w:rPr>
              </m:ctrlPr>
            </m:dPr>
            <m:e>
              <m:r>
                <m:rPr>
                  <m:sty m:val="p"/>
                </m:rPr>
                <w:rPr>
                  <w:rFonts w:ascii="Cambria Math" w:hAnsi="Cambria Math"/>
                  <w:noProof/>
                </w:rPr>
                <m:t>θ</m:t>
              </m:r>
              <m:r>
                <w:rPr>
                  <w:rFonts w:ascii="Cambria Math" w:hAnsi="Cambria Math"/>
                  <w:noProof/>
                </w:rPr>
                <m:t>,φ</m:t>
              </m:r>
            </m:e>
          </m:d>
          <m:r>
            <w:rPr>
              <w:rFonts w:ascii="Cambria Math" w:hAnsi="Cambria Math"/>
              <w:noProof/>
            </w:rPr>
            <m:t>=4 π</m:t>
          </m:r>
          <m:f>
            <m:fPr>
              <m:ctrlPr>
                <w:rPr>
                  <w:rFonts w:ascii="Cambria Math" w:hAnsi="Cambria Math"/>
                  <w:noProof/>
                </w:rPr>
              </m:ctrlPr>
            </m:fPr>
            <m:num>
              <m:r>
                <m:rPr>
                  <m:sty m:val="p"/>
                </m:rPr>
                <w:rPr>
                  <w:rFonts w:ascii="Cambria Math" w:hAnsi="Cambria Math"/>
                  <w:noProof/>
                </w:rPr>
                <m:t>power radiated per unit solid angle</m:t>
              </m:r>
            </m:num>
            <m:den>
              <m:r>
                <m:rPr>
                  <m:sty m:val="p"/>
                </m:rPr>
                <w:rPr>
                  <w:rFonts w:ascii="Cambria Math" w:hAnsi="Cambria Math"/>
                  <w:noProof/>
                </w:rPr>
                <m:t>stimulated power</m:t>
              </m:r>
            </m:den>
          </m:f>
        </m:oMath>
      </m:oMathPara>
    </w:p>
    <w:p w14:paraId="6F693C24" w14:textId="25787950" w:rsidR="00B265FE" w:rsidRPr="006D6727" w:rsidRDefault="00B265FE" w:rsidP="00B265FE">
      <w:pPr>
        <w:rPr>
          <w:noProof/>
        </w:rPr>
      </w:pPr>
      <w:r w:rsidRPr="006D6727">
        <w:rPr>
          <w:noProof/>
        </w:rPr>
        <w:t>The following frequency bands which are proposed for LPR and TLPR have been studied</w:t>
      </w:r>
      <w:r w:rsidR="002507A4">
        <w:rPr>
          <w:noProof/>
        </w:rPr>
        <w:t>:</w:t>
      </w:r>
    </w:p>
    <w:p w14:paraId="33352B83" w14:textId="310010B3" w:rsidR="00B265FE" w:rsidRPr="006D6727" w:rsidRDefault="00B265FE" w:rsidP="00B265FE">
      <w:pPr>
        <w:pStyle w:val="ECCBulletsLv1"/>
        <w:rPr>
          <w:noProof/>
        </w:rPr>
      </w:pPr>
      <w:r w:rsidRPr="006D6727">
        <w:rPr>
          <w:noProof/>
        </w:rPr>
        <w:t>116-148</w:t>
      </w:r>
      <w:r w:rsidR="00CF4994">
        <w:rPr>
          <w:noProof/>
        </w:rPr>
        <w:t>.5</w:t>
      </w:r>
      <w:r w:rsidR="004A7A13">
        <w:t> </w:t>
      </w:r>
      <w:r w:rsidRPr="006D6727">
        <w:rPr>
          <w:noProof/>
        </w:rPr>
        <w:t>GHz</w:t>
      </w:r>
      <w:r w:rsidR="00EF3E55">
        <w:rPr>
          <w:noProof/>
        </w:rPr>
        <w:t>;</w:t>
      </w:r>
    </w:p>
    <w:p w14:paraId="19D312F0" w14:textId="00FC3A60" w:rsidR="00B265FE" w:rsidRPr="006D6727" w:rsidRDefault="00B265FE" w:rsidP="00B265FE">
      <w:pPr>
        <w:pStyle w:val="ECCBulletsLv1"/>
        <w:rPr>
          <w:noProof/>
        </w:rPr>
      </w:pPr>
      <w:r w:rsidRPr="006D6727">
        <w:rPr>
          <w:noProof/>
        </w:rPr>
        <w:t>167-182</w:t>
      </w:r>
      <w:r w:rsidR="004A7A13">
        <w:t> </w:t>
      </w:r>
      <w:r w:rsidRPr="006D6727">
        <w:rPr>
          <w:noProof/>
        </w:rPr>
        <w:t>GHz</w:t>
      </w:r>
      <w:r w:rsidR="00EF3E55">
        <w:rPr>
          <w:noProof/>
        </w:rPr>
        <w:t>;</w:t>
      </w:r>
    </w:p>
    <w:p w14:paraId="518A4C91" w14:textId="77777777" w:rsidR="00B265FE" w:rsidRPr="006D6727" w:rsidRDefault="00B265FE" w:rsidP="00B265FE">
      <w:pPr>
        <w:pStyle w:val="ECCBulletsLv1"/>
        <w:rPr>
          <w:noProof/>
        </w:rPr>
      </w:pPr>
      <w:r w:rsidRPr="006D6727">
        <w:rPr>
          <w:noProof/>
        </w:rPr>
        <w:t>231</w:t>
      </w:r>
      <w:r w:rsidR="00CF4994">
        <w:rPr>
          <w:noProof/>
        </w:rPr>
        <w:t>.5</w:t>
      </w:r>
      <w:r w:rsidRPr="006D6727">
        <w:rPr>
          <w:noProof/>
        </w:rPr>
        <w:t>-250</w:t>
      </w:r>
      <w:r w:rsidR="004A7A13">
        <w:t> </w:t>
      </w:r>
      <w:r w:rsidRPr="006D6727">
        <w:rPr>
          <w:noProof/>
        </w:rPr>
        <w:t>GHz.</w:t>
      </w:r>
    </w:p>
    <w:p w14:paraId="41A8262D" w14:textId="221DEE17" w:rsidR="00B265FE" w:rsidRPr="006D6727" w:rsidRDefault="00B265FE" w:rsidP="00B265FE">
      <w:pPr>
        <w:rPr>
          <w:noProof/>
        </w:rPr>
      </w:pPr>
      <w:r w:rsidRPr="006D6727">
        <w:rPr>
          <w:noProof/>
        </w:rPr>
        <w:t>All results are given under far field conditions for both planes φ=0° and φ=90°, typically corresponding to the E- and H-plane, used as reference planes for linearly polari</w:t>
      </w:r>
      <w:r w:rsidR="00EF3E55">
        <w:rPr>
          <w:noProof/>
        </w:rPr>
        <w:t>s</w:t>
      </w:r>
      <w:r w:rsidRPr="006D6727">
        <w:rPr>
          <w:noProof/>
        </w:rPr>
        <w:t>ed devices.</w:t>
      </w:r>
    </w:p>
    <w:p w14:paraId="6ACD5B78" w14:textId="77777777" w:rsidR="00B265FE" w:rsidRPr="006D6727" w:rsidRDefault="00B265FE" w:rsidP="00B265FE">
      <w:pPr>
        <w:rPr>
          <w:noProof/>
        </w:rPr>
      </w:pPr>
      <w:r w:rsidRPr="006D6727">
        <w:rPr>
          <w:noProof/>
        </w:rPr>
        <w:t>Antenna gain figures are given for the particular center frequencies under investigation.</w:t>
      </w:r>
    </w:p>
    <w:p w14:paraId="633B039A" w14:textId="77777777" w:rsidR="00B80EB3" w:rsidRPr="006D6727" w:rsidRDefault="00B80EB3" w:rsidP="00FA6458">
      <w:pPr>
        <w:pStyle w:val="ECCAnnexheading2"/>
        <w:rPr>
          <w:noProof/>
        </w:rPr>
      </w:pPr>
      <w:r w:rsidRPr="006D6727">
        <w:rPr>
          <w:noProof/>
        </w:rPr>
        <w:t>Frequency Range 116-148</w:t>
      </w:r>
      <w:r w:rsidR="00CF4994">
        <w:rPr>
          <w:noProof/>
        </w:rPr>
        <w:t>.5</w:t>
      </w:r>
      <w:r w:rsidRPr="006D6727">
        <w:rPr>
          <w:noProof/>
        </w:rPr>
        <w:t> GHz</w:t>
      </w:r>
    </w:p>
    <w:p w14:paraId="6A061245" w14:textId="77777777" w:rsidR="00B80EB3" w:rsidRPr="006D6727" w:rsidRDefault="00B80EB3" w:rsidP="00B80EB3">
      <w:pPr>
        <w:pStyle w:val="Caption"/>
        <w:rPr>
          <w:noProof/>
          <w:lang w:val="en-GB"/>
        </w:rPr>
      </w:pPr>
      <w:r w:rsidRPr="006D6727">
        <w:rPr>
          <w:noProof/>
          <w:lang w:val="de-DE" w:eastAsia="de-DE"/>
        </w:rPr>
        <w:drawing>
          <wp:inline distT="0" distB="0" distL="0" distR="0" wp14:anchorId="3C1D3144" wp14:editId="119EF290">
            <wp:extent cx="3683052" cy="2303362"/>
            <wp:effectExtent l="0" t="0" r="0" b="1905"/>
            <wp:docPr id="3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3685631" cy="2304975"/>
                    </a:xfrm>
                    <a:prstGeom prst="rect">
                      <a:avLst/>
                    </a:prstGeom>
                    <a:noFill/>
                  </pic:spPr>
                </pic:pic>
              </a:graphicData>
            </a:graphic>
          </wp:inline>
        </w:drawing>
      </w:r>
    </w:p>
    <w:p w14:paraId="05F7CD6B" w14:textId="5F25C0E1"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115</w:t>
      </w:r>
      <w:r w:rsidRPr="006D6727">
        <w:rPr>
          <w:noProof/>
          <w:lang w:val="en-GB"/>
        </w:rPr>
        <w:fldChar w:fldCharType="end"/>
      </w:r>
      <w:r w:rsidRPr="006D6727">
        <w:rPr>
          <w:noProof/>
          <w:lang w:val="en-GB"/>
        </w:rPr>
        <w:t>: Dimension of the antenna</w:t>
      </w:r>
    </w:p>
    <w:p w14:paraId="0E902803" w14:textId="77777777" w:rsidR="00B80EB3" w:rsidRPr="006D6727" w:rsidRDefault="00B80EB3" w:rsidP="00B80EB3">
      <w:pPr>
        <w:rPr>
          <w:noProof/>
        </w:rPr>
      </w:pPr>
    </w:p>
    <w:p w14:paraId="4B5BC006" w14:textId="77777777" w:rsidR="00B80EB3" w:rsidRPr="006D6727" w:rsidRDefault="00B80EB3" w:rsidP="00B80EB3">
      <w:pPr>
        <w:pStyle w:val="Caption"/>
        <w:rPr>
          <w:noProof/>
          <w:lang w:val="en-GB"/>
        </w:rPr>
      </w:pPr>
      <w:r w:rsidRPr="006D6727">
        <w:rPr>
          <w:noProof/>
          <w:lang w:val="de-DE" w:eastAsia="de-DE"/>
        </w:rPr>
        <w:drawing>
          <wp:inline distT="0" distB="0" distL="0" distR="0" wp14:anchorId="2B3D5661" wp14:editId="03EFC382">
            <wp:extent cx="3695405" cy="2307461"/>
            <wp:effectExtent l="19050" t="19050" r="19685" b="17145"/>
            <wp:docPr id="3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3711470" cy="2317492"/>
                    </a:xfrm>
                    <a:prstGeom prst="rect">
                      <a:avLst/>
                    </a:prstGeom>
                    <a:noFill/>
                    <a:ln w="3175">
                      <a:solidFill>
                        <a:schemeClr val="tx1"/>
                      </a:solidFill>
                    </a:ln>
                  </pic:spPr>
                </pic:pic>
              </a:graphicData>
            </a:graphic>
          </wp:inline>
        </w:drawing>
      </w:r>
    </w:p>
    <w:p w14:paraId="19E28438" w14:textId="65F7C95A"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116</w:t>
      </w:r>
      <w:r w:rsidRPr="006D6727">
        <w:rPr>
          <w:noProof/>
          <w:lang w:val="en-GB"/>
        </w:rPr>
        <w:fldChar w:fldCharType="end"/>
      </w:r>
      <w:r w:rsidRPr="006D6727">
        <w:rPr>
          <w:noProof/>
          <w:lang w:val="en-GB"/>
        </w:rPr>
        <w:t>: Lens cut view</w:t>
      </w:r>
    </w:p>
    <w:p w14:paraId="21F70A40" w14:textId="77777777" w:rsidR="00B80EB3" w:rsidRPr="006D6727" w:rsidRDefault="00B80EB3" w:rsidP="00B80EB3">
      <w:pPr>
        <w:rPr>
          <w:noProof/>
        </w:rPr>
      </w:pPr>
    </w:p>
    <w:p w14:paraId="1D50EBAE" w14:textId="77777777" w:rsidR="00B80EB3" w:rsidRPr="006D6727" w:rsidRDefault="00B80EB3" w:rsidP="00B80EB3">
      <w:pPr>
        <w:pStyle w:val="Caption"/>
        <w:rPr>
          <w:noProof/>
          <w:lang w:val="en-GB"/>
        </w:rPr>
      </w:pPr>
      <w:r w:rsidRPr="006D6727">
        <w:rPr>
          <w:noProof/>
          <w:lang w:val="de-DE" w:eastAsia="de-DE"/>
        </w:rPr>
        <w:drawing>
          <wp:inline distT="0" distB="0" distL="0" distR="0" wp14:anchorId="6816A80F" wp14:editId="3A1DA8FD">
            <wp:extent cx="4919241" cy="2704843"/>
            <wp:effectExtent l="0" t="0" r="0" b="635"/>
            <wp:docPr id="4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4942396" cy="2717575"/>
                    </a:xfrm>
                    <a:prstGeom prst="rect">
                      <a:avLst/>
                    </a:prstGeom>
                    <a:noFill/>
                  </pic:spPr>
                </pic:pic>
              </a:graphicData>
            </a:graphic>
          </wp:inline>
        </w:drawing>
      </w:r>
    </w:p>
    <w:p w14:paraId="446E2F0E" w14:textId="395CC464" w:rsidR="00B80EB3" w:rsidRPr="006D6727" w:rsidRDefault="00B80EB3" w:rsidP="00B80EB3">
      <w:pPr>
        <w:pStyle w:val="Caption"/>
        <w:rPr>
          <w:rStyle w:val="ECCParagraph"/>
          <w:noProof/>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117</w:t>
      </w:r>
      <w:r w:rsidRPr="006D6727">
        <w:rPr>
          <w:noProof/>
          <w:lang w:val="en-GB"/>
        </w:rPr>
        <w:fldChar w:fldCharType="end"/>
      </w:r>
      <w:r w:rsidRPr="006D6727">
        <w:rPr>
          <w:noProof/>
          <w:lang w:val="en-GB"/>
        </w:rPr>
        <w:t>: Farfield Gain (φ=0°)</w:t>
      </w:r>
    </w:p>
    <w:p w14:paraId="520FF271" w14:textId="77777777" w:rsidR="00B80EB3" w:rsidRPr="006D6727" w:rsidRDefault="00B80EB3" w:rsidP="00B80EB3">
      <w:pPr>
        <w:rPr>
          <w:rStyle w:val="ECCParagraph"/>
          <w:noProof/>
        </w:rPr>
      </w:pPr>
    </w:p>
    <w:p w14:paraId="48D4C865" w14:textId="77777777" w:rsidR="00B80EB3" w:rsidRPr="006D6727" w:rsidRDefault="00B80EB3" w:rsidP="00B80EB3">
      <w:pPr>
        <w:pStyle w:val="Caption"/>
        <w:rPr>
          <w:noProof/>
          <w:lang w:val="en-GB"/>
        </w:rPr>
      </w:pPr>
      <w:r w:rsidRPr="006D6727">
        <w:rPr>
          <w:noProof/>
          <w:lang w:val="de-DE" w:eastAsia="de-DE"/>
        </w:rPr>
        <w:drawing>
          <wp:inline distT="0" distB="0" distL="0" distR="0" wp14:anchorId="7D0FB807" wp14:editId="3A64103B">
            <wp:extent cx="4032738" cy="2213215"/>
            <wp:effectExtent l="0" t="0" r="6350" b="0"/>
            <wp:docPr id="4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4038829" cy="2216558"/>
                    </a:xfrm>
                    <a:prstGeom prst="rect">
                      <a:avLst/>
                    </a:prstGeom>
                    <a:noFill/>
                  </pic:spPr>
                </pic:pic>
              </a:graphicData>
            </a:graphic>
          </wp:inline>
        </w:drawing>
      </w:r>
    </w:p>
    <w:p w14:paraId="2618A163" w14:textId="69B5F7E0"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118</w:t>
      </w:r>
      <w:r w:rsidRPr="006D6727">
        <w:rPr>
          <w:noProof/>
          <w:lang w:val="en-GB"/>
        </w:rPr>
        <w:fldChar w:fldCharType="end"/>
      </w:r>
      <w:r w:rsidRPr="006D6727">
        <w:rPr>
          <w:noProof/>
          <w:lang w:val="en-GB"/>
        </w:rPr>
        <w:t>: Farfield Gain (φ=90°)</w:t>
      </w:r>
    </w:p>
    <w:p w14:paraId="4290C43F" w14:textId="77777777" w:rsidR="00B80EB3" w:rsidRPr="006D6727" w:rsidRDefault="00B80EB3" w:rsidP="00FA6458">
      <w:pPr>
        <w:pStyle w:val="ECCAnnexheading2"/>
        <w:rPr>
          <w:noProof/>
        </w:rPr>
      </w:pPr>
      <w:r w:rsidRPr="006D6727">
        <w:rPr>
          <w:rStyle w:val="ECCParagraph"/>
          <w:noProof/>
        </w:rPr>
        <w:t xml:space="preserve">Frequency Range </w:t>
      </w:r>
      <w:r w:rsidRPr="006D6727">
        <w:rPr>
          <w:noProof/>
        </w:rPr>
        <w:t>167-182 GHz</w:t>
      </w:r>
    </w:p>
    <w:p w14:paraId="46C589BD" w14:textId="77777777" w:rsidR="00B80EB3" w:rsidRPr="006D6727" w:rsidRDefault="00B80EB3" w:rsidP="00B80EB3">
      <w:pPr>
        <w:pStyle w:val="Caption"/>
        <w:rPr>
          <w:noProof/>
          <w:lang w:val="en-GB"/>
        </w:rPr>
      </w:pPr>
      <w:r w:rsidRPr="006D6727">
        <w:rPr>
          <w:noProof/>
          <w:lang w:val="de-DE" w:eastAsia="de-DE"/>
        </w:rPr>
        <w:drawing>
          <wp:inline distT="0" distB="0" distL="0" distR="0" wp14:anchorId="1A3DF97F" wp14:editId="6E28C29B">
            <wp:extent cx="3755781" cy="2479063"/>
            <wp:effectExtent l="19050" t="19050" r="16510" b="16510"/>
            <wp:docPr id="4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3766625" cy="2486221"/>
                    </a:xfrm>
                    <a:prstGeom prst="rect">
                      <a:avLst/>
                    </a:prstGeom>
                    <a:noFill/>
                    <a:ln w="3175">
                      <a:solidFill>
                        <a:schemeClr val="tx1"/>
                      </a:solidFill>
                    </a:ln>
                  </pic:spPr>
                </pic:pic>
              </a:graphicData>
            </a:graphic>
          </wp:inline>
        </w:drawing>
      </w:r>
    </w:p>
    <w:p w14:paraId="2342043C" w14:textId="5D63FFBA" w:rsidR="00B80EB3"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119</w:t>
      </w:r>
      <w:r w:rsidRPr="006D6727">
        <w:rPr>
          <w:noProof/>
          <w:lang w:val="en-GB"/>
        </w:rPr>
        <w:fldChar w:fldCharType="end"/>
      </w:r>
      <w:r w:rsidRPr="006D6727">
        <w:rPr>
          <w:noProof/>
          <w:lang w:val="en-GB"/>
        </w:rPr>
        <w:t>: Dimension of the antenna</w:t>
      </w:r>
    </w:p>
    <w:p w14:paraId="4BCC8AF7" w14:textId="77777777" w:rsidR="00CA59F1" w:rsidRPr="00CA59F1" w:rsidRDefault="00CA59F1" w:rsidP="00CA59F1"/>
    <w:p w14:paraId="132A130B" w14:textId="77777777" w:rsidR="00B80EB3" w:rsidRPr="006D6727" w:rsidRDefault="00B80EB3" w:rsidP="00B80EB3">
      <w:pPr>
        <w:pStyle w:val="Caption"/>
        <w:rPr>
          <w:noProof/>
          <w:lang w:val="en-GB"/>
        </w:rPr>
      </w:pPr>
      <w:r w:rsidRPr="006D6727">
        <w:rPr>
          <w:noProof/>
          <w:lang w:val="de-DE" w:eastAsia="de-DE"/>
        </w:rPr>
        <w:drawing>
          <wp:inline distT="0" distB="0" distL="0" distR="0" wp14:anchorId="50CD8778" wp14:editId="35DF5A1B">
            <wp:extent cx="3360757" cy="2219367"/>
            <wp:effectExtent l="19050" t="19050" r="11430" b="9525"/>
            <wp:docPr id="4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3376104" cy="2229502"/>
                    </a:xfrm>
                    <a:prstGeom prst="rect">
                      <a:avLst/>
                    </a:prstGeom>
                    <a:noFill/>
                    <a:ln>
                      <a:solidFill>
                        <a:schemeClr val="tx1"/>
                      </a:solidFill>
                    </a:ln>
                  </pic:spPr>
                </pic:pic>
              </a:graphicData>
            </a:graphic>
          </wp:inline>
        </w:drawing>
      </w:r>
    </w:p>
    <w:p w14:paraId="502945CB" w14:textId="18142D3B"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120</w:t>
      </w:r>
      <w:r w:rsidRPr="006D6727">
        <w:rPr>
          <w:noProof/>
          <w:lang w:val="en-GB"/>
        </w:rPr>
        <w:fldChar w:fldCharType="end"/>
      </w:r>
      <w:r w:rsidRPr="006D6727">
        <w:rPr>
          <w:noProof/>
          <w:lang w:val="en-GB"/>
        </w:rPr>
        <w:t>: Lens cut view</w:t>
      </w:r>
    </w:p>
    <w:p w14:paraId="479FDF1D" w14:textId="77777777" w:rsidR="00B80EB3" w:rsidRPr="006D6727" w:rsidRDefault="00B80EB3" w:rsidP="00B80EB3">
      <w:pPr>
        <w:pStyle w:val="Caption"/>
        <w:rPr>
          <w:noProof/>
          <w:lang w:val="en-GB"/>
        </w:rPr>
      </w:pPr>
      <w:r w:rsidRPr="006D6727">
        <w:rPr>
          <w:noProof/>
          <w:lang w:val="de-DE" w:eastAsia="de-DE"/>
        </w:rPr>
        <w:drawing>
          <wp:inline distT="0" distB="0" distL="0" distR="0" wp14:anchorId="72295AC6" wp14:editId="0ABD6EB0">
            <wp:extent cx="4466493" cy="2432686"/>
            <wp:effectExtent l="0" t="0" r="0" b="5715"/>
            <wp:docPr id="12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screen">
                      <a:extLst>
                        <a:ext uri="{28A0092B-C50C-407E-A947-70E740481C1C}">
                          <a14:useLocalDpi xmlns:a14="http://schemas.microsoft.com/office/drawing/2010/main"/>
                        </a:ext>
                      </a:extLst>
                    </a:blip>
                    <a:stretch>
                      <a:fillRect/>
                    </a:stretch>
                  </pic:blipFill>
                  <pic:spPr>
                    <a:xfrm>
                      <a:off x="0" y="0"/>
                      <a:ext cx="4477813" cy="2438852"/>
                    </a:xfrm>
                    <a:prstGeom prst="rect">
                      <a:avLst/>
                    </a:prstGeom>
                  </pic:spPr>
                </pic:pic>
              </a:graphicData>
            </a:graphic>
          </wp:inline>
        </w:drawing>
      </w:r>
    </w:p>
    <w:p w14:paraId="5B3F445C" w14:textId="427CE228" w:rsidR="00B80EB3"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121</w:t>
      </w:r>
      <w:r w:rsidRPr="006D6727">
        <w:rPr>
          <w:noProof/>
          <w:lang w:val="en-GB"/>
        </w:rPr>
        <w:fldChar w:fldCharType="end"/>
      </w:r>
      <w:r w:rsidRPr="006D6727">
        <w:rPr>
          <w:noProof/>
          <w:lang w:val="en-GB"/>
        </w:rPr>
        <w:t>: Farfield Gain (φ=0°)</w:t>
      </w:r>
    </w:p>
    <w:p w14:paraId="1B3BCD0C" w14:textId="77777777" w:rsidR="002563E1" w:rsidRPr="002563E1" w:rsidRDefault="002563E1" w:rsidP="00BA6464"/>
    <w:p w14:paraId="7E800F61" w14:textId="77777777" w:rsidR="00B80EB3" w:rsidRPr="006D6727" w:rsidRDefault="00B80EB3" w:rsidP="00B80EB3">
      <w:pPr>
        <w:pStyle w:val="Caption"/>
        <w:rPr>
          <w:noProof/>
          <w:lang w:val="en-GB"/>
        </w:rPr>
      </w:pPr>
      <w:r w:rsidRPr="006D6727">
        <w:rPr>
          <w:noProof/>
          <w:lang w:val="de-DE" w:eastAsia="de-DE"/>
        </w:rPr>
        <w:drawing>
          <wp:inline distT="0" distB="0" distL="0" distR="0" wp14:anchorId="1F434D41" wp14:editId="74445B90">
            <wp:extent cx="4349262" cy="2380858"/>
            <wp:effectExtent l="0" t="0" r="0" b="635"/>
            <wp:docPr id="13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screen">
                      <a:extLst>
                        <a:ext uri="{28A0092B-C50C-407E-A947-70E740481C1C}">
                          <a14:useLocalDpi xmlns:a14="http://schemas.microsoft.com/office/drawing/2010/main"/>
                        </a:ext>
                      </a:extLst>
                    </a:blip>
                    <a:stretch>
                      <a:fillRect/>
                    </a:stretch>
                  </pic:blipFill>
                  <pic:spPr>
                    <a:xfrm>
                      <a:off x="0" y="0"/>
                      <a:ext cx="4375543" cy="2395244"/>
                    </a:xfrm>
                    <a:prstGeom prst="rect">
                      <a:avLst/>
                    </a:prstGeom>
                  </pic:spPr>
                </pic:pic>
              </a:graphicData>
            </a:graphic>
          </wp:inline>
        </w:drawing>
      </w:r>
    </w:p>
    <w:p w14:paraId="11DAEF08" w14:textId="208C5725" w:rsidR="00B80EB3"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122</w:t>
      </w:r>
      <w:r w:rsidRPr="006D6727">
        <w:rPr>
          <w:noProof/>
          <w:lang w:val="en-GB"/>
        </w:rPr>
        <w:fldChar w:fldCharType="end"/>
      </w:r>
      <w:r w:rsidRPr="006D6727">
        <w:rPr>
          <w:noProof/>
          <w:lang w:val="en-GB"/>
        </w:rPr>
        <w:t>: Farfield Gain (φ=90°)</w:t>
      </w:r>
    </w:p>
    <w:p w14:paraId="7937242A" w14:textId="77777777" w:rsidR="001943EB" w:rsidRPr="006D6727" w:rsidRDefault="001943EB" w:rsidP="00FA6458">
      <w:pPr>
        <w:pStyle w:val="ECCAnnexheading2"/>
        <w:rPr>
          <w:noProof/>
        </w:rPr>
      </w:pPr>
      <w:r w:rsidRPr="006D6727">
        <w:rPr>
          <w:rStyle w:val="ECCParagraph"/>
          <w:noProof/>
        </w:rPr>
        <w:t xml:space="preserve">Frequency Range </w:t>
      </w:r>
      <w:r w:rsidRPr="006D6727">
        <w:rPr>
          <w:noProof/>
        </w:rPr>
        <w:t>231</w:t>
      </w:r>
      <w:r w:rsidR="00CF4994">
        <w:rPr>
          <w:noProof/>
        </w:rPr>
        <w:t>.5</w:t>
      </w:r>
      <w:r w:rsidRPr="006D6727">
        <w:rPr>
          <w:noProof/>
        </w:rPr>
        <w:t>-250 GHz</w:t>
      </w:r>
    </w:p>
    <w:p w14:paraId="53735D83" w14:textId="77777777" w:rsidR="001943EB" w:rsidRPr="006D6727" w:rsidRDefault="001943EB" w:rsidP="001943EB">
      <w:pPr>
        <w:pStyle w:val="Caption"/>
        <w:rPr>
          <w:noProof/>
          <w:lang w:val="en-GB"/>
        </w:rPr>
      </w:pPr>
      <w:r w:rsidRPr="006D6727">
        <w:rPr>
          <w:noProof/>
          <w:lang w:val="de-DE" w:eastAsia="de-DE"/>
        </w:rPr>
        <w:drawing>
          <wp:inline distT="0" distB="0" distL="0" distR="0" wp14:anchorId="7A50F09D" wp14:editId="737895CC">
            <wp:extent cx="3326034" cy="2370270"/>
            <wp:effectExtent l="19050" t="19050" r="27305" b="11430"/>
            <wp:docPr id="139"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3341690" cy="2381427"/>
                    </a:xfrm>
                    <a:prstGeom prst="rect">
                      <a:avLst/>
                    </a:prstGeom>
                    <a:noFill/>
                    <a:ln>
                      <a:solidFill>
                        <a:schemeClr val="tx1"/>
                      </a:solidFill>
                    </a:ln>
                  </pic:spPr>
                </pic:pic>
              </a:graphicData>
            </a:graphic>
          </wp:inline>
        </w:drawing>
      </w:r>
    </w:p>
    <w:p w14:paraId="0BD746FB" w14:textId="0578AE5B" w:rsidR="001943EB" w:rsidRPr="006D6727"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123</w:t>
      </w:r>
      <w:r w:rsidRPr="006D6727">
        <w:rPr>
          <w:noProof/>
          <w:lang w:val="en-GB"/>
        </w:rPr>
        <w:fldChar w:fldCharType="end"/>
      </w:r>
      <w:r w:rsidRPr="006D6727">
        <w:rPr>
          <w:noProof/>
          <w:lang w:val="en-GB"/>
        </w:rPr>
        <w:t>: Dimension of the antenna</w:t>
      </w:r>
    </w:p>
    <w:p w14:paraId="68CA8D85" w14:textId="77777777" w:rsidR="001943EB" w:rsidRPr="006D6727" w:rsidRDefault="001943EB" w:rsidP="001943EB">
      <w:pPr>
        <w:pStyle w:val="Caption"/>
        <w:rPr>
          <w:noProof/>
          <w:lang w:val="en-GB"/>
        </w:rPr>
      </w:pPr>
      <w:r w:rsidRPr="006D6727">
        <w:rPr>
          <w:noProof/>
          <w:lang w:val="de-DE" w:eastAsia="de-DE"/>
        </w:rPr>
        <w:drawing>
          <wp:inline distT="0" distB="0" distL="0" distR="0" wp14:anchorId="3BF989BD" wp14:editId="739B4254">
            <wp:extent cx="3319109" cy="2365335"/>
            <wp:effectExtent l="19050" t="19050" r="15240" b="16510"/>
            <wp:docPr id="140"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3338464" cy="2379128"/>
                    </a:xfrm>
                    <a:prstGeom prst="rect">
                      <a:avLst/>
                    </a:prstGeom>
                    <a:noFill/>
                    <a:ln>
                      <a:solidFill>
                        <a:schemeClr val="tx1"/>
                      </a:solidFill>
                    </a:ln>
                  </pic:spPr>
                </pic:pic>
              </a:graphicData>
            </a:graphic>
          </wp:inline>
        </w:drawing>
      </w:r>
    </w:p>
    <w:p w14:paraId="3DA428A5" w14:textId="7272C913" w:rsidR="001943EB" w:rsidRPr="006D6727"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124</w:t>
      </w:r>
      <w:r w:rsidRPr="006D6727">
        <w:rPr>
          <w:noProof/>
          <w:lang w:val="en-GB"/>
        </w:rPr>
        <w:fldChar w:fldCharType="end"/>
      </w:r>
      <w:r w:rsidRPr="006D6727">
        <w:rPr>
          <w:noProof/>
          <w:lang w:val="en-GB"/>
        </w:rPr>
        <w:t>: Lens cut view</w:t>
      </w:r>
    </w:p>
    <w:p w14:paraId="5DB8090C" w14:textId="77777777" w:rsidR="001943EB" w:rsidRPr="006D6727" w:rsidRDefault="001943EB" w:rsidP="001943EB">
      <w:pPr>
        <w:rPr>
          <w:noProof/>
        </w:rPr>
      </w:pPr>
    </w:p>
    <w:p w14:paraId="783FF9A8" w14:textId="77777777" w:rsidR="001943EB" w:rsidRPr="006D6727" w:rsidRDefault="001943EB" w:rsidP="001943EB">
      <w:pPr>
        <w:pStyle w:val="Caption"/>
        <w:rPr>
          <w:noProof/>
          <w:lang w:val="en-GB"/>
        </w:rPr>
      </w:pPr>
      <w:r w:rsidRPr="006D6727">
        <w:rPr>
          <w:noProof/>
          <w:lang w:val="de-DE" w:eastAsia="de-DE"/>
        </w:rPr>
        <w:drawing>
          <wp:inline distT="0" distB="0" distL="0" distR="0" wp14:anchorId="1C80BAC1" wp14:editId="70B2DD77">
            <wp:extent cx="4385630" cy="2379785"/>
            <wp:effectExtent l="0" t="0" r="0" b="1905"/>
            <wp:docPr id="1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screen">
                      <a:extLst>
                        <a:ext uri="{28A0092B-C50C-407E-A947-70E740481C1C}">
                          <a14:useLocalDpi xmlns:a14="http://schemas.microsoft.com/office/drawing/2010/main"/>
                        </a:ext>
                      </a:extLst>
                    </a:blip>
                    <a:stretch>
                      <a:fillRect/>
                    </a:stretch>
                  </pic:blipFill>
                  <pic:spPr>
                    <a:xfrm>
                      <a:off x="0" y="0"/>
                      <a:ext cx="4416419" cy="2396492"/>
                    </a:xfrm>
                    <a:prstGeom prst="rect">
                      <a:avLst/>
                    </a:prstGeom>
                  </pic:spPr>
                </pic:pic>
              </a:graphicData>
            </a:graphic>
          </wp:inline>
        </w:drawing>
      </w:r>
    </w:p>
    <w:p w14:paraId="49599C3D" w14:textId="411BFEE5" w:rsidR="001943EB" w:rsidRPr="006D6727"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125</w:t>
      </w:r>
      <w:r w:rsidRPr="006D6727">
        <w:rPr>
          <w:noProof/>
          <w:lang w:val="en-GB"/>
        </w:rPr>
        <w:fldChar w:fldCharType="end"/>
      </w:r>
      <w:r w:rsidRPr="006D6727">
        <w:rPr>
          <w:noProof/>
          <w:lang w:val="en-GB"/>
        </w:rPr>
        <w:t>: Farfield Gain (φ=0°)</w:t>
      </w:r>
    </w:p>
    <w:p w14:paraId="0DCBB3E5" w14:textId="77777777" w:rsidR="001943EB" w:rsidRPr="006D6727" w:rsidRDefault="001943EB" w:rsidP="001943EB">
      <w:pPr>
        <w:rPr>
          <w:noProof/>
        </w:rPr>
      </w:pPr>
    </w:p>
    <w:p w14:paraId="5AC10299" w14:textId="77777777" w:rsidR="001943EB" w:rsidRPr="006D6727" w:rsidRDefault="001943EB" w:rsidP="001943EB">
      <w:pPr>
        <w:pStyle w:val="Caption"/>
        <w:rPr>
          <w:noProof/>
          <w:lang w:val="en-GB"/>
        </w:rPr>
      </w:pPr>
      <w:r w:rsidRPr="006D6727">
        <w:rPr>
          <w:noProof/>
          <w:lang w:val="de-DE" w:eastAsia="de-DE"/>
        </w:rPr>
        <w:drawing>
          <wp:inline distT="0" distB="0" distL="0" distR="0" wp14:anchorId="58CCEDAE" wp14:editId="54CF4740">
            <wp:extent cx="4959970" cy="2684585"/>
            <wp:effectExtent l="0" t="0" r="0" b="1905"/>
            <wp:docPr id="145"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screen">
                      <a:extLst>
                        <a:ext uri="{28A0092B-C50C-407E-A947-70E740481C1C}">
                          <a14:useLocalDpi xmlns:a14="http://schemas.microsoft.com/office/drawing/2010/main"/>
                        </a:ext>
                      </a:extLst>
                    </a:blip>
                    <a:stretch>
                      <a:fillRect/>
                    </a:stretch>
                  </pic:blipFill>
                  <pic:spPr>
                    <a:xfrm>
                      <a:off x="0" y="0"/>
                      <a:ext cx="4987846" cy="2699673"/>
                    </a:xfrm>
                    <a:prstGeom prst="rect">
                      <a:avLst/>
                    </a:prstGeom>
                  </pic:spPr>
                </pic:pic>
              </a:graphicData>
            </a:graphic>
          </wp:inline>
        </w:drawing>
      </w:r>
    </w:p>
    <w:p w14:paraId="398DA071" w14:textId="72FF7D5A" w:rsidR="001943EB"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F49F9">
        <w:rPr>
          <w:noProof/>
          <w:lang w:val="en-GB"/>
        </w:rPr>
        <w:t>126</w:t>
      </w:r>
      <w:r w:rsidRPr="006D6727">
        <w:rPr>
          <w:noProof/>
          <w:lang w:val="en-GB"/>
        </w:rPr>
        <w:fldChar w:fldCharType="end"/>
      </w:r>
      <w:r w:rsidRPr="006D6727">
        <w:rPr>
          <w:noProof/>
          <w:lang w:val="en-GB"/>
        </w:rPr>
        <w:t>: Farfield Gain (φ=90°)</w:t>
      </w:r>
    </w:p>
    <w:p w14:paraId="7FEF2567" w14:textId="77777777" w:rsidR="001B61C8" w:rsidRPr="006D6727" w:rsidRDefault="001B61C8" w:rsidP="00FA6458">
      <w:pPr>
        <w:pStyle w:val="ECCAnnexheading2"/>
        <w:rPr>
          <w:noProof/>
        </w:rPr>
      </w:pPr>
      <w:r w:rsidRPr="006D6727">
        <w:rPr>
          <w:rStyle w:val="ECCParagraph"/>
          <w:noProof/>
        </w:rPr>
        <w:t>Results</w:t>
      </w:r>
    </w:p>
    <w:p w14:paraId="147AD6A8" w14:textId="4D8CB771" w:rsidR="001B61C8" w:rsidRPr="006D6727" w:rsidRDefault="001B61C8" w:rsidP="001B61C8">
      <w:pPr>
        <w:pStyle w:val="Caption"/>
        <w:rPr>
          <w:noProof/>
          <w:lang w:val="en-GB"/>
        </w:rPr>
      </w:pPr>
      <w:r w:rsidRPr="006D6727">
        <w:rPr>
          <w:noProof/>
          <w:lang w:val="en-GB"/>
        </w:rPr>
        <w:t>Table</w:t>
      </w:r>
      <w:r w:rsidR="00067D12">
        <w:t> </w:t>
      </w:r>
      <w:r w:rsidRPr="006D6727">
        <w:rPr>
          <w:noProof/>
          <w:lang w:val="en-GB"/>
        </w:rPr>
        <w:fldChar w:fldCharType="begin"/>
      </w:r>
      <w:r w:rsidRPr="006D6727">
        <w:rPr>
          <w:noProof/>
          <w:lang w:val="en-GB"/>
        </w:rPr>
        <w:instrText xml:space="preserve"> SEQ Table \* ARABIC </w:instrText>
      </w:r>
      <w:r w:rsidRPr="006D6727">
        <w:rPr>
          <w:noProof/>
          <w:lang w:val="en-GB"/>
        </w:rPr>
        <w:fldChar w:fldCharType="separate"/>
      </w:r>
      <w:r w:rsidR="004F49F9">
        <w:rPr>
          <w:noProof/>
          <w:lang w:val="en-GB"/>
        </w:rPr>
        <w:t>127</w:t>
      </w:r>
      <w:r w:rsidRPr="006D6727">
        <w:rPr>
          <w:noProof/>
          <w:lang w:val="en-GB"/>
        </w:rPr>
        <w:fldChar w:fldCharType="end"/>
      </w:r>
      <w:r w:rsidRPr="006D6727">
        <w:rPr>
          <w:noProof/>
          <w:lang w:val="en-GB"/>
        </w:rPr>
        <w:t>: Antenna characteristics overview 116-148</w:t>
      </w:r>
      <w:r w:rsidR="00CF4994">
        <w:rPr>
          <w:noProof/>
          <w:lang w:val="en-GB"/>
        </w:rPr>
        <w:t>.5</w:t>
      </w:r>
      <w:r w:rsidRPr="006D6727">
        <w:rPr>
          <w:noProof/>
          <w:lang w:val="en-GB"/>
        </w:rPr>
        <w:t> GHz</w:t>
      </w:r>
    </w:p>
    <w:tbl>
      <w:tblPr>
        <w:tblStyle w:val="ECCTable-redheader"/>
        <w:tblW w:w="5000" w:type="pct"/>
        <w:tblInd w:w="0" w:type="dxa"/>
        <w:tblLayout w:type="fixed"/>
        <w:tblLook w:val="0020" w:firstRow="1" w:lastRow="0" w:firstColumn="0" w:lastColumn="0" w:noHBand="0" w:noVBand="0"/>
      </w:tblPr>
      <w:tblGrid>
        <w:gridCol w:w="3124"/>
        <w:gridCol w:w="993"/>
        <w:gridCol w:w="1109"/>
        <w:gridCol w:w="971"/>
        <w:gridCol w:w="1247"/>
        <w:gridCol w:w="1109"/>
        <w:gridCol w:w="1076"/>
      </w:tblGrid>
      <w:tr w:rsidR="00AB04A1" w:rsidRPr="006D6727" w14:paraId="0B459864" w14:textId="77777777" w:rsidTr="00AB04A1">
        <w:trPr>
          <w:cnfStyle w:val="100000000000" w:firstRow="1" w:lastRow="0" w:firstColumn="0" w:lastColumn="0" w:oddVBand="0" w:evenVBand="0" w:oddHBand="0" w:evenHBand="0" w:firstRowFirstColumn="0" w:firstRowLastColumn="0" w:lastRowFirstColumn="0" w:lastRowLastColumn="0"/>
        </w:trPr>
        <w:tc>
          <w:tcPr>
            <w:tcW w:w="3205" w:type="dxa"/>
          </w:tcPr>
          <w:p w14:paraId="4789B6C9" w14:textId="77777777" w:rsidR="00AB04A1" w:rsidRPr="006D6727" w:rsidRDefault="00AB04A1" w:rsidP="00AB04A1">
            <w:pPr>
              <w:rPr>
                <w:noProof/>
              </w:rPr>
            </w:pPr>
            <w:r w:rsidRPr="006D6727">
              <w:rPr>
                <w:noProof/>
              </w:rPr>
              <w:t>Frequency</w:t>
            </w:r>
          </w:p>
        </w:tc>
        <w:tc>
          <w:tcPr>
            <w:tcW w:w="2148" w:type="dxa"/>
            <w:gridSpan w:val="2"/>
          </w:tcPr>
          <w:p w14:paraId="09360900" w14:textId="77777777" w:rsidR="00AB04A1" w:rsidRPr="006D6727" w:rsidRDefault="00AB04A1" w:rsidP="00AB04A1">
            <w:pPr>
              <w:rPr>
                <w:noProof/>
              </w:rPr>
            </w:pPr>
            <w:r w:rsidRPr="006D6727">
              <w:rPr>
                <w:noProof/>
              </w:rPr>
              <w:t>116 GHz</w:t>
            </w:r>
          </w:p>
        </w:tc>
        <w:tc>
          <w:tcPr>
            <w:tcW w:w="2268" w:type="dxa"/>
            <w:gridSpan w:val="2"/>
          </w:tcPr>
          <w:p w14:paraId="7903FF84" w14:textId="77777777" w:rsidR="00AB04A1" w:rsidRPr="006D6727" w:rsidRDefault="00AB04A1" w:rsidP="00AB04A1">
            <w:pPr>
              <w:rPr>
                <w:noProof/>
              </w:rPr>
            </w:pPr>
            <w:r w:rsidRPr="006D6727">
              <w:rPr>
                <w:noProof/>
              </w:rPr>
              <w:t>130 GHz</w:t>
            </w:r>
          </w:p>
        </w:tc>
        <w:tc>
          <w:tcPr>
            <w:tcW w:w="2234" w:type="dxa"/>
            <w:gridSpan w:val="2"/>
          </w:tcPr>
          <w:p w14:paraId="296E65D6" w14:textId="77777777" w:rsidR="00AB04A1" w:rsidRPr="006D6727" w:rsidRDefault="00AB04A1" w:rsidP="00AB04A1">
            <w:pPr>
              <w:rPr>
                <w:noProof/>
              </w:rPr>
            </w:pPr>
            <w:r w:rsidRPr="006D6727">
              <w:rPr>
                <w:noProof/>
              </w:rPr>
              <w:t>148</w:t>
            </w:r>
            <w:r w:rsidR="00CF4994">
              <w:rPr>
                <w:noProof/>
              </w:rPr>
              <w:t>.5</w:t>
            </w:r>
            <w:r w:rsidRPr="006D6727">
              <w:rPr>
                <w:noProof/>
              </w:rPr>
              <w:t> GHz</w:t>
            </w:r>
          </w:p>
        </w:tc>
      </w:tr>
      <w:tr w:rsidR="00671FF1" w:rsidRPr="006D6727" w14:paraId="676AB173" w14:textId="77777777" w:rsidTr="00AB04A1">
        <w:tc>
          <w:tcPr>
            <w:tcW w:w="3205" w:type="dxa"/>
          </w:tcPr>
          <w:p w14:paraId="07F3D90C" w14:textId="77777777" w:rsidR="00671FF1" w:rsidRPr="006D6727" w:rsidRDefault="00671FF1" w:rsidP="00671FF1">
            <w:pPr>
              <w:pStyle w:val="ECCTabletext"/>
              <w:rPr>
                <w:noProof/>
              </w:rPr>
            </w:pPr>
          </w:p>
        </w:tc>
        <w:tc>
          <w:tcPr>
            <w:tcW w:w="1014" w:type="dxa"/>
          </w:tcPr>
          <w:p w14:paraId="30DA54FC" w14:textId="77777777" w:rsidR="00671FF1" w:rsidRPr="006D6727" w:rsidRDefault="00671FF1" w:rsidP="000A69BD">
            <w:pPr>
              <w:pStyle w:val="ECCTabletext"/>
              <w:jc w:val="left"/>
              <w:rPr>
                <w:noProof/>
              </w:rPr>
            </w:pPr>
            <w:r w:rsidRPr="006D6727">
              <w:rPr>
                <w:noProof/>
              </w:rPr>
              <w:t>φ=0°</w:t>
            </w:r>
          </w:p>
        </w:tc>
        <w:tc>
          <w:tcPr>
            <w:tcW w:w="1134" w:type="dxa"/>
          </w:tcPr>
          <w:p w14:paraId="42FB2728" w14:textId="77777777" w:rsidR="00671FF1" w:rsidRPr="006D6727" w:rsidRDefault="00671FF1" w:rsidP="000A69BD">
            <w:pPr>
              <w:pStyle w:val="ECCTabletext"/>
              <w:jc w:val="left"/>
              <w:rPr>
                <w:noProof/>
              </w:rPr>
            </w:pPr>
            <w:r w:rsidRPr="006D6727">
              <w:rPr>
                <w:noProof/>
              </w:rPr>
              <w:t>φ=90°</w:t>
            </w:r>
          </w:p>
        </w:tc>
        <w:tc>
          <w:tcPr>
            <w:tcW w:w="992" w:type="dxa"/>
          </w:tcPr>
          <w:p w14:paraId="3819FAAE" w14:textId="77777777" w:rsidR="00671FF1" w:rsidRPr="006D6727" w:rsidRDefault="00671FF1" w:rsidP="000A69BD">
            <w:pPr>
              <w:pStyle w:val="ECCTabletext"/>
              <w:jc w:val="left"/>
              <w:rPr>
                <w:noProof/>
              </w:rPr>
            </w:pPr>
            <w:r w:rsidRPr="006D6727">
              <w:rPr>
                <w:noProof/>
              </w:rPr>
              <w:t>φ=0°</w:t>
            </w:r>
          </w:p>
        </w:tc>
        <w:tc>
          <w:tcPr>
            <w:tcW w:w="1276" w:type="dxa"/>
          </w:tcPr>
          <w:p w14:paraId="57B2B42F" w14:textId="77777777" w:rsidR="00671FF1" w:rsidRPr="006D6727" w:rsidRDefault="00671FF1" w:rsidP="000A69BD">
            <w:pPr>
              <w:pStyle w:val="ECCTabletext"/>
              <w:jc w:val="left"/>
              <w:rPr>
                <w:noProof/>
              </w:rPr>
            </w:pPr>
            <w:r w:rsidRPr="006D6727">
              <w:rPr>
                <w:noProof/>
              </w:rPr>
              <w:t>φ=90°</w:t>
            </w:r>
          </w:p>
        </w:tc>
        <w:tc>
          <w:tcPr>
            <w:tcW w:w="1134" w:type="dxa"/>
          </w:tcPr>
          <w:p w14:paraId="7DB75A25" w14:textId="77777777" w:rsidR="00671FF1" w:rsidRPr="006D6727" w:rsidRDefault="00671FF1" w:rsidP="000A69BD">
            <w:pPr>
              <w:pStyle w:val="ECCTabletext"/>
              <w:jc w:val="left"/>
              <w:rPr>
                <w:noProof/>
              </w:rPr>
            </w:pPr>
            <w:r w:rsidRPr="006D6727">
              <w:rPr>
                <w:noProof/>
              </w:rPr>
              <w:t>φ=0°</w:t>
            </w:r>
          </w:p>
        </w:tc>
        <w:tc>
          <w:tcPr>
            <w:tcW w:w="1100" w:type="dxa"/>
          </w:tcPr>
          <w:p w14:paraId="7E0A2CEE" w14:textId="77777777" w:rsidR="00671FF1" w:rsidRPr="006D6727" w:rsidRDefault="00671FF1" w:rsidP="000A69BD">
            <w:pPr>
              <w:pStyle w:val="ECCTabletext"/>
              <w:jc w:val="left"/>
              <w:rPr>
                <w:noProof/>
              </w:rPr>
            </w:pPr>
            <w:r w:rsidRPr="006D6727">
              <w:rPr>
                <w:noProof/>
              </w:rPr>
              <w:t>φ=90°</w:t>
            </w:r>
          </w:p>
        </w:tc>
      </w:tr>
      <w:tr w:rsidR="00671FF1" w:rsidRPr="006D6727" w14:paraId="6E0A3B6E" w14:textId="77777777" w:rsidTr="00AB04A1">
        <w:tc>
          <w:tcPr>
            <w:tcW w:w="3205" w:type="dxa"/>
          </w:tcPr>
          <w:p w14:paraId="032686E3" w14:textId="77777777" w:rsidR="00671FF1" w:rsidRPr="006D6727" w:rsidRDefault="00671FF1" w:rsidP="000A69BD">
            <w:pPr>
              <w:pStyle w:val="ECCTabletext"/>
              <w:jc w:val="left"/>
              <w:rPr>
                <w:noProof/>
              </w:rPr>
            </w:pPr>
            <w:r w:rsidRPr="006D6727">
              <w:rPr>
                <w:noProof/>
              </w:rPr>
              <w:t>Typical antenna gain in main beam in dBi</w:t>
            </w:r>
          </w:p>
        </w:tc>
        <w:tc>
          <w:tcPr>
            <w:tcW w:w="1014" w:type="dxa"/>
          </w:tcPr>
          <w:p w14:paraId="78115A79" w14:textId="77777777" w:rsidR="00671FF1" w:rsidRPr="006D6727" w:rsidRDefault="00671FF1" w:rsidP="000A69BD">
            <w:pPr>
              <w:pStyle w:val="ECCTabletext"/>
              <w:jc w:val="left"/>
              <w:rPr>
                <w:noProof/>
              </w:rPr>
            </w:pPr>
            <w:r w:rsidRPr="006D6727">
              <w:rPr>
                <w:noProof/>
              </w:rPr>
              <w:t>29</w:t>
            </w:r>
          </w:p>
        </w:tc>
        <w:tc>
          <w:tcPr>
            <w:tcW w:w="1134" w:type="dxa"/>
          </w:tcPr>
          <w:p w14:paraId="4CC8D403" w14:textId="77777777" w:rsidR="00671FF1" w:rsidRPr="006D6727" w:rsidRDefault="00671FF1" w:rsidP="000A69BD">
            <w:pPr>
              <w:pStyle w:val="ECCTabletext"/>
              <w:jc w:val="left"/>
              <w:rPr>
                <w:noProof/>
              </w:rPr>
            </w:pPr>
            <w:r w:rsidRPr="006D6727">
              <w:rPr>
                <w:noProof/>
              </w:rPr>
              <w:t>29</w:t>
            </w:r>
          </w:p>
        </w:tc>
        <w:tc>
          <w:tcPr>
            <w:tcW w:w="992" w:type="dxa"/>
          </w:tcPr>
          <w:p w14:paraId="4F7A51D4" w14:textId="77777777" w:rsidR="00671FF1" w:rsidRPr="006D6727" w:rsidRDefault="00671FF1" w:rsidP="000A69BD">
            <w:pPr>
              <w:pStyle w:val="ECCTabletext"/>
              <w:jc w:val="left"/>
              <w:rPr>
                <w:rStyle w:val="ECCHLyellow"/>
                <w:noProof/>
                <w:shd w:val="clear" w:color="auto" w:fill="auto"/>
              </w:rPr>
            </w:pPr>
            <w:r w:rsidRPr="006D6727">
              <w:rPr>
                <w:noProof/>
              </w:rPr>
              <w:t>31</w:t>
            </w:r>
          </w:p>
        </w:tc>
        <w:tc>
          <w:tcPr>
            <w:tcW w:w="1276" w:type="dxa"/>
          </w:tcPr>
          <w:p w14:paraId="22A20A95" w14:textId="77777777" w:rsidR="00671FF1" w:rsidRPr="006D6727" w:rsidRDefault="00671FF1" w:rsidP="000A69BD">
            <w:pPr>
              <w:pStyle w:val="ECCTabletext"/>
              <w:jc w:val="left"/>
              <w:rPr>
                <w:rStyle w:val="ECCHLyellow"/>
                <w:noProof/>
                <w:shd w:val="clear" w:color="auto" w:fill="auto"/>
              </w:rPr>
            </w:pPr>
            <w:r w:rsidRPr="006D6727">
              <w:rPr>
                <w:noProof/>
              </w:rPr>
              <w:t>31</w:t>
            </w:r>
          </w:p>
        </w:tc>
        <w:tc>
          <w:tcPr>
            <w:tcW w:w="1134" w:type="dxa"/>
          </w:tcPr>
          <w:p w14:paraId="3D7CC46E" w14:textId="77777777" w:rsidR="00671FF1" w:rsidRPr="006D6727" w:rsidRDefault="00671FF1" w:rsidP="000A69BD">
            <w:pPr>
              <w:pStyle w:val="ECCTabletext"/>
              <w:jc w:val="left"/>
              <w:rPr>
                <w:rStyle w:val="ECCParagraph"/>
                <w:noProof/>
              </w:rPr>
            </w:pPr>
            <w:r w:rsidRPr="006D6727">
              <w:rPr>
                <w:noProof/>
              </w:rPr>
              <w:t>32</w:t>
            </w:r>
          </w:p>
        </w:tc>
        <w:tc>
          <w:tcPr>
            <w:tcW w:w="1100" w:type="dxa"/>
          </w:tcPr>
          <w:p w14:paraId="768882AE" w14:textId="77777777" w:rsidR="00671FF1" w:rsidRPr="006D6727" w:rsidRDefault="00671FF1" w:rsidP="000A69BD">
            <w:pPr>
              <w:pStyle w:val="ECCTabletext"/>
              <w:jc w:val="left"/>
              <w:rPr>
                <w:rStyle w:val="ECCParagraph"/>
                <w:noProof/>
              </w:rPr>
            </w:pPr>
            <w:r w:rsidRPr="006D6727">
              <w:rPr>
                <w:noProof/>
              </w:rPr>
              <w:t>32</w:t>
            </w:r>
          </w:p>
        </w:tc>
      </w:tr>
      <w:tr w:rsidR="00671FF1" w:rsidRPr="006D6727" w14:paraId="02C0C190" w14:textId="77777777" w:rsidTr="00AB04A1">
        <w:tc>
          <w:tcPr>
            <w:tcW w:w="3205" w:type="dxa"/>
          </w:tcPr>
          <w:p w14:paraId="1996CC4C" w14:textId="77777777" w:rsidR="00671FF1" w:rsidRPr="006D6727" w:rsidRDefault="00671FF1" w:rsidP="000A69BD">
            <w:pPr>
              <w:pStyle w:val="ECCTabletext"/>
              <w:jc w:val="left"/>
              <w:rPr>
                <w:noProof/>
              </w:rPr>
            </w:pPr>
            <w:r w:rsidRPr="006D6727">
              <w:rPr>
                <w:noProof/>
              </w:rPr>
              <w:t>Antenna gain &gt;24° in dBi</w:t>
            </w:r>
          </w:p>
        </w:tc>
        <w:tc>
          <w:tcPr>
            <w:tcW w:w="1014" w:type="dxa"/>
          </w:tcPr>
          <w:p w14:paraId="49283149" w14:textId="77777777" w:rsidR="00671FF1" w:rsidRPr="006D6727" w:rsidRDefault="00671FF1" w:rsidP="000A69BD">
            <w:pPr>
              <w:pStyle w:val="ECCTabletext"/>
              <w:jc w:val="left"/>
              <w:rPr>
                <w:noProof/>
              </w:rPr>
            </w:pPr>
            <w:r w:rsidRPr="006D6727">
              <w:rPr>
                <w:noProof/>
              </w:rPr>
              <w:t>4</w:t>
            </w:r>
          </w:p>
        </w:tc>
        <w:tc>
          <w:tcPr>
            <w:tcW w:w="1134" w:type="dxa"/>
          </w:tcPr>
          <w:p w14:paraId="25F7A7C5" w14:textId="77777777" w:rsidR="00671FF1" w:rsidRPr="006D6727" w:rsidRDefault="00671FF1" w:rsidP="000A69BD">
            <w:pPr>
              <w:pStyle w:val="ECCTabletext"/>
              <w:jc w:val="left"/>
              <w:rPr>
                <w:noProof/>
              </w:rPr>
            </w:pPr>
            <w:r w:rsidRPr="006D6727">
              <w:rPr>
                <w:noProof/>
              </w:rPr>
              <w:t>2</w:t>
            </w:r>
          </w:p>
        </w:tc>
        <w:tc>
          <w:tcPr>
            <w:tcW w:w="992" w:type="dxa"/>
          </w:tcPr>
          <w:p w14:paraId="28EBF9C6" w14:textId="77777777" w:rsidR="00671FF1" w:rsidRPr="006D6727" w:rsidRDefault="00671FF1" w:rsidP="000A69BD">
            <w:pPr>
              <w:pStyle w:val="ECCTabletext"/>
              <w:jc w:val="left"/>
              <w:rPr>
                <w:rStyle w:val="ECCHLyellow"/>
                <w:noProof/>
                <w:shd w:val="clear" w:color="auto" w:fill="auto"/>
              </w:rPr>
            </w:pPr>
            <w:r w:rsidRPr="006D6727">
              <w:rPr>
                <w:noProof/>
              </w:rPr>
              <w:t>3</w:t>
            </w:r>
          </w:p>
        </w:tc>
        <w:tc>
          <w:tcPr>
            <w:tcW w:w="1276" w:type="dxa"/>
          </w:tcPr>
          <w:p w14:paraId="7FD9E629" w14:textId="77777777" w:rsidR="00671FF1" w:rsidRPr="006D6727" w:rsidRDefault="00671FF1" w:rsidP="000A69BD">
            <w:pPr>
              <w:pStyle w:val="ECCTabletext"/>
              <w:jc w:val="left"/>
              <w:rPr>
                <w:rStyle w:val="ECCHLyellow"/>
                <w:noProof/>
                <w:shd w:val="clear" w:color="auto" w:fill="auto"/>
              </w:rPr>
            </w:pPr>
            <w:r w:rsidRPr="006D6727">
              <w:rPr>
                <w:noProof/>
              </w:rPr>
              <w:t>1</w:t>
            </w:r>
          </w:p>
        </w:tc>
        <w:tc>
          <w:tcPr>
            <w:tcW w:w="1134" w:type="dxa"/>
          </w:tcPr>
          <w:p w14:paraId="655FACCD" w14:textId="77777777" w:rsidR="00671FF1" w:rsidRPr="006D6727" w:rsidRDefault="00671FF1" w:rsidP="000A69BD">
            <w:pPr>
              <w:pStyle w:val="ECCTabletext"/>
              <w:jc w:val="left"/>
              <w:rPr>
                <w:rStyle w:val="ECCParagraph"/>
                <w:noProof/>
              </w:rPr>
            </w:pPr>
            <w:r w:rsidRPr="006D6727">
              <w:rPr>
                <w:noProof/>
              </w:rPr>
              <w:t>-1</w:t>
            </w:r>
          </w:p>
        </w:tc>
        <w:tc>
          <w:tcPr>
            <w:tcW w:w="1100" w:type="dxa"/>
          </w:tcPr>
          <w:p w14:paraId="227522B2" w14:textId="77777777" w:rsidR="00671FF1" w:rsidRPr="006D6727" w:rsidRDefault="00671FF1" w:rsidP="000A69BD">
            <w:pPr>
              <w:pStyle w:val="ECCTabletext"/>
              <w:jc w:val="left"/>
              <w:rPr>
                <w:rStyle w:val="ECCParagraph"/>
                <w:noProof/>
              </w:rPr>
            </w:pPr>
            <w:r w:rsidRPr="006D6727">
              <w:rPr>
                <w:noProof/>
              </w:rPr>
              <w:t>2</w:t>
            </w:r>
          </w:p>
        </w:tc>
      </w:tr>
      <w:tr w:rsidR="00671FF1" w:rsidRPr="006D6727" w14:paraId="0BE57DA8" w14:textId="77777777" w:rsidTr="00AB04A1">
        <w:tc>
          <w:tcPr>
            <w:tcW w:w="3205" w:type="dxa"/>
          </w:tcPr>
          <w:p w14:paraId="37CE5BF3" w14:textId="77777777" w:rsidR="00671FF1" w:rsidRPr="006D6727" w:rsidRDefault="00671FF1" w:rsidP="000A69BD">
            <w:pPr>
              <w:pStyle w:val="ECCTabletext"/>
              <w:jc w:val="left"/>
              <w:rPr>
                <w:noProof/>
              </w:rPr>
            </w:pPr>
            <w:r w:rsidRPr="006D6727">
              <w:rPr>
                <w:noProof/>
              </w:rPr>
              <w:t>Sidelobe suppression &gt;24° in dB</w:t>
            </w:r>
          </w:p>
        </w:tc>
        <w:tc>
          <w:tcPr>
            <w:tcW w:w="1014" w:type="dxa"/>
          </w:tcPr>
          <w:p w14:paraId="02AA3A52" w14:textId="77777777" w:rsidR="00671FF1" w:rsidRPr="006D6727" w:rsidRDefault="00671FF1" w:rsidP="000A69BD">
            <w:pPr>
              <w:pStyle w:val="ECCTabletext"/>
              <w:jc w:val="left"/>
              <w:rPr>
                <w:noProof/>
              </w:rPr>
            </w:pPr>
            <w:r w:rsidRPr="006D6727">
              <w:rPr>
                <w:noProof/>
              </w:rPr>
              <w:t>25</w:t>
            </w:r>
          </w:p>
        </w:tc>
        <w:tc>
          <w:tcPr>
            <w:tcW w:w="1134" w:type="dxa"/>
          </w:tcPr>
          <w:p w14:paraId="578C1961" w14:textId="77777777" w:rsidR="00671FF1" w:rsidRPr="006D6727" w:rsidRDefault="00671FF1" w:rsidP="000A69BD">
            <w:pPr>
              <w:pStyle w:val="ECCTabletext"/>
              <w:jc w:val="left"/>
              <w:rPr>
                <w:noProof/>
              </w:rPr>
            </w:pPr>
            <w:r w:rsidRPr="006D6727">
              <w:rPr>
                <w:noProof/>
              </w:rPr>
              <w:t>27</w:t>
            </w:r>
          </w:p>
        </w:tc>
        <w:tc>
          <w:tcPr>
            <w:tcW w:w="992" w:type="dxa"/>
          </w:tcPr>
          <w:p w14:paraId="34B683EB" w14:textId="77777777" w:rsidR="00671FF1" w:rsidRPr="006D6727" w:rsidRDefault="00671FF1" w:rsidP="000A69BD">
            <w:pPr>
              <w:pStyle w:val="ECCTabletext"/>
              <w:jc w:val="left"/>
              <w:rPr>
                <w:rStyle w:val="ECCHLyellow"/>
                <w:noProof/>
                <w:shd w:val="clear" w:color="auto" w:fill="auto"/>
              </w:rPr>
            </w:pPr>
            <w:r w:rsidRPr="006D6727">
              <w:rPr>
                <w:rStyle w:val="ECCHLyellow"/>
                <w:noProof/>
                <w:shd w:val="clear" w:color="auto" w:fill="auto"/>
              </w:rPr>
              <w:t>28</w:t>
            </w:r>
          </w:p>
        </w:tc>
        <w:tc>
          <w:tcPr>
            <w:tcW w:w="1276" w:type="dxa"/>
          </w:tcPr>
          <w:p w14:paraId="58EFAB81" w14:textId="77777777" w:rsidR="00671FF1" w:rsidRPr="006D6727" w:rsidRDefault="00671FF1" w:rsidP="000A69BD">
            <w:pPr>
              <w:pStyle w:val="ECCTabletext"/>
              <w:jc w:val="left"/>
              <w:rPr>
                <w:rStyle w:val="ECCHLyellow"/>
                <w:noProof/>
                <w:shd w:val="clear" w:color="auto" w:fill="auto"/>
              </w:rPr>
            </w:pPr>
            <w:r w:rsidRPr="006D6727">
              <w:rPr>
                <w:rStyle w:val="ECCHLyellow"/>
                <w:noProof/>
                <w:shd w:val="clear" w:color="auto" w:fill="auto"/>
              </w:rPr>
              <w:t>30</w:t>
            </w:r>
          </w:p>
        </w:tc>
        <w:tc>
          <w:tcPr>
            <w:tcW w:w="1134" w:type="dxa"/>
          </w:tcPr>
          <w:p w14:paraId="7D936B98" w14:textId="77777777" w:rsidR="00671FF1" w:rsidRPr="006D6727" w:rsidRDefault="00671FF1" w:rsidP="000A69BD">
            <w:pPr>
              <w:pStyle w:val="ECCTabletext"/>
              <w:jc w:val="left"/>
              <w:rPr>
                <w:rStyle w:val="ECCParagraph"/>
                <w:noProof/>
              </w:rPr>
            </w:pPr>
            <w:r w:rsidRPr="006D6727">
              <w:rPr>
                <w:rStyle w:val="ECCParagraph"/>
                <w:noProof/>
              </w:rPr>
              <w:t>33</w:t>
            </w:r>
          </w:p>
        </w:tc>
        <w:tc>
          <w:tcPr>
            <w:tcW w:w="1100" w:type="dxa"/>
          </w:tcPr>
          <w:p w14:paraId="1B93B077" w14:textId="77777777" w:rsidR="00671FF1" w:rsidRPr="006D6727" w:rsidRDefault="00671FF1" w:rsidP="000A69BD">
            <w:pPr>
              <w:pStyle w:val="ECCTabletext"/>
              <w:jc w:val="left"/>
              <w:rPr>
                <w:rStyle w:val="ECCParagraph"/>
                <w:noProof/>
              </w:rPr>
            </w:pPr>
            <w:r w:rsidRPr="006D6727">
              <w:rPr>
                <w:rStyle w:val="ECCParagraph"/>
                <w:noProof/>
              </w:rPr>
              <w:t>30</w:t>
            </w:r>
          </w:p>
        </w:tc>
      </w:tr>
      <w:tr w:rsidR="00671FF1" w:rsidRPr="006D6727" w14:paraId="797AE7E4" w14:textId="77777777" w:rsidTr="00AB04A1">
        <w:tc>
          <w:tcPr>
            <w:tcW w:w="3205" w:type="dxa"/>
          </w:tcPr>
          <w:p w14:paraId="7E1240E3" w14:textId="77777777" w:rsidR="00671FF1" w:rsidRPr="006D6727" w:rsidRDefault="00671FF1" w:rsidP="000A69BD">
            <w:pPr>
              <w:pStyle w:val="ECCTabletext"/>
              <w:jc w:val="left"/>
              <w:rPr>
                <w:noProof/>
              </w:rPr>
            </w:pPr>
            <w:r w:rsidRPr="006D6727">
              <w:rPr>
                <w:noProof/>
              </w:rPr>
              <w:t>Antenna gain &gt;60° in dBi</w:t>
            </w:r>
          </w:p>
        </w:tc>
        <w:tc>
          <w:tcPr>
            <w:tcW w:w="1014" w:type="dxa"/>
          </w:tcPr>
          <w:p w14:paraId="1D5040C6" w14:textId="77777777" w:rsidR="00671FF1" w:rsidRPr="006D6727" w:rsidRDefault="00671FF1" w:rsidP="000A69BD">
            <w:pPr>
              <w:pStyle w:val="ECCTabletext"/>
              <w:jc w:val="left"/>
              <w:rPr>
                <w:noProof/>
              </w:rPr>
            </w:pPr>
            <w:r w:rsidRPr="006D6727">
              <w:rPr>
                <w:noProof/>
              </w:rPr>
              <w:t>-1</w:t>
            </w:r>
          </w:p>
        </w:tc>
        <w:tc>
          <w:tcPr>
            <w:tcW w:w="1134" w:type="dxa"/>
          </w:tcPr>
          <w:p w14:paraId="2AD1AC98" w14:textId="77777777" w:rsidR="00671FF1" w:rsidRPr="006D6727" w:rsidRDefault="00671FF1" w:rsidP="000A69BD">
            <w:pPr>
              <w:pStyle w:val="ECCTabletext"/>
              <w:jc w:val="left"/>
              <w:rPr>
                <w:noProof/>
              </w:rPr>
            </w:pPr>
            <w:r w:rsidRPr="006D6727">
              <w:rPr>
                <w:noProof/>
              </w:rPr>
              <w:t>0</w:t>
            </w:r>
          </w:p>
        </w:tc>
        <w:tc>
          <w:tcPr>
            <w:tcW w:w="992" w:type="dxa"/>
          </w:tcPr>
          <w:p w14:paraId="48D713B1" w14:textId="77777777" w:rsidR="00671FF1" w:rsidRPr="006D6727" w:rsidRDefault="00671FF1" w:rsidP="000A69BD">
            <w:pPr>
              <w:pStyle w:val="ECCTabletext"/>
              <w:jc w:val="left"/>
              <w:rPr>
                <w:noProof/>
              </w:rPr>
            </w:pPr>
            <w:r w:rsidRPr="006D6727">
              <w:rPr>
                <w:noProof/>
              </w:rPr>
              <w:t>-1</w:t>
            </w:r>
          </w:p>
        </w:tc>
        <w:tc>
          <w:tcPr>
            <w:tcW w:w="1276" w:type="dxa"/>
          </w:tcPr>
          <w:p w14:paraId="7E1B4A49" w14:textId="77777777" w:rsidR="00671FF1" w:rsidRPr="006D6727" w:rsidRDefault="00671FF1" w:rsidP="000A69BD">
            <w:pPr>
              <w:pStyle w:val="ECCTabletext"/>
              <w:jc w:val="left"/>
              <w:rPr>
                <w:noProof/>
              </w:rPr>
            </w:pPr>
            <w:r w:rsidRPr="006D6727">
              <w:rPr>
                <w:noProof/>
              </w:rPr>
              <w:t>0</w:t>
            </w:r>
          </w:p>
        </w:tc>
        <w:tc>
          <w:tcPr>
            <w:tcW w:w="1134" w:type="dxa"/>
          </w:tcPr>
          <w:p w14:paraId="77FDBC51" w14:textId="77777777" w:rsidR="00671FF1" w:rsidRPr="006D6727" w:rsidRDefault="00671FF1" w:rsidP="000A69BD">
            <w:pPr>
              <w:pStyle w:val="ECCTabletext"/>
              <w:jc w:val="left"/>
              <w:rPr>
                <w:rStyle w:val="ECCParagraph"/>
                <w:noProof/>
              </w:rPr>
            </w:pPr>
            <w:r w:rsidRPr="006D6727">
              <w:rPr>
                <w:noProof/>
              </w:rPr>
              <w:t>-3</w:t>
            </w:r>
          </w:p>
        </w:tc>
        <w:tc>
          <w:tcPr>
            <w:tcW w:w="1100" w:type="dxa"/>
          </w:tcPr>
          <w:p w14:paraId="5C2E5B8C" w14:textId="77777777" w:rsidR="00671FF1" w:rsidRPr="006D6727" w:rsidRDefault="00671FF1" w:rsidP="000A69BD">
            <w:pPr>
              <w:pStyle w:val="ECCTabletext"/>
              <w:jc w:val="left"/>
              <w:rPr>
                <w:rStyle w:val="ECCParagraph"/>
                <w:noProof/>
              </w:rPr>
            </w:pPr>
            <w:r w:rsidRPr="006D6727">
              <w:rPr>
                <w:noProof/>
              </w:rPr>
              <w:t>0</w:t>
            </w:r>
          </w:p>
        </w:tc>
      </w:tr>
      <w:tr w:rsidR="00671FF1" w:rsidRPr="006D6727" w14:paraId="13695D72" w14:textId="77777777" w:rsidTr="00AB04A1">
        <w:tc>
          <w:tcPr>
            <w:tcW w:w="3205" w:type="dxa"/>
          </w:tcPr>
          <w:p w14:paraId="7B1F1474" w14:textId="77777777" w:rsidR="00671FF1" w:rsidRPr="006D6727" w:rsidRDefault="00671FF1" w:rsidP="000A69BD">
            <w:pPr>
              <w:pStyle w:val="ECCTabletext"/>
              <w:jc w:val="left"/>
              <w:rPr>
                <w:noProof/>
              </w:rPr>
            </w:pPr>
            <w:r w:rsidRPr="006D6727">
              <w:rPr>
                <w:noProof/>
              </w:rPr>
              <w:t>Sidelobe suppression &gt;60° in dB</w:t>
            </w:r>
          </w:p>
        </w:tc>
        <w:tc>
          <w:tcPr>
            <w:tcW w:w="1014" w:type="dxa"/>
          </w:tcPr>
          <w:p w14:paraId="7260A571" w14:textId="77777777" w:rsidR="00671FF1" w:rsidRPr="006D6727" w:rsidRDefault="00671FF1" w:rsidP="000A69BD">
            <w:pPr>
              <w:pStyle w:val="ECCTabletext"/>
              <w:jc w:val="left"/>
              <w:rPr>
                <w:noProof/>
              </w:rPr>
            </w:pPr>
            <w:r w:rsidRPr="006D6727">
              <w:rPr>
                <w:noProof/>
              </w:rPr>
              <w:t>30</w:t>
            </w:r>
          </w:p>
        </w:tc>
        <w:tc>
          <w:tcPr>
            <w:tcW w:w="1134" w:type="dxa"/>
          </w:tcPr>
          <w:p w14:paraId="00B7D146" w14:textId="77777777" w:rsidR="00671FF1" w:rsidRPr="006D6727" w:rsidRDefault="00671FF1" w:rsidP="000A69BD">
            <w:pPr>
              <w:pStyle w:val="ECCTabletext"/>
              <w:jc w:val="left"/>
              <w:rPr>
                <w:noProof/>
              </w:rPr>
            </w:pPr>
            <w:r w:rsidRPr="006D6727">
              <w:rPr>
                <w:noProof/>
              </w:rPr>
              <w:t>29</w:t>
            </w:r>
          </w:p>
        </w:tc>
        <w:tc>
          <w:tcPr>
            <w:tcW w:w="992" w:type="dxa"/>
          </w:tcPr>
          <w:p w14:paraId="26E4093A" w14:textId="77777777" w:rsidR="00671FF1" w:rsidRPr="006D6727" w:rsidRDefault="00671FF1" w:rsidP="000A69BD">
            <w:pPr>
              <w:pStyle w:val="ECCTabletext"/>
              <w:jc w:val="left"/>
              <w:rPr>
                <w:noProof/>
              </w:rPr>
            </w:pPr>
            <w:r w:rsidRPr="006D6727">
              <w:rPr>
                <w:noProof/>
              </w:rPr>
              <w:t>32</w:t>
            </w:r>
          </w:p>
        </w:tc>
        <w:tc>
          <w:tcPr>
            <w:tcW w:w="1276" w:type="dxa"/>
          </w:tcPr>
          <w:p w14:paraId="1542C2A7" w14:textId="77777777" w:rsidR="00671FF1" w:rsidRPr="006D6727" w:rsidRDefault="00671FF1" w:rsidP="000A69BD">
            <w:pPr>
              <w:pStyle w:val="ECCTabletext"/>
              <w:jc w:val="left"/>
              <w:rPr>
                <w:noProof/>
              </w:rPr>
            </w:pPr>
            <w:r w:rsidRPr="006D6727">
              <w:rPr>
                <w:noProof/>
              </w:rPr>
              <w:t>31</w:t>
            </w:r>
          </w:p>
        </w:tc>
        <w:tc>
          <w:tcPr>
            <w:tcW w:w="1134" w:type="dxa"/>
          </w:tcPr>
          <w:p w14:paraId="3D3231B6" w14:textId="77777777" w:rsidR="00671FF1" w:rsidRPr="006D6727" w:rsidRDefault="00671FF1" w:rsidP="000A69BD">
            <w:pPr>
              <w:pStyle w:val="ECCTabletext"/>
              <w:jc w:val="left"/>
              <w:rPr>
                <w:rStyle w:val="ECCParagraph"/>
                <w:noProof/>
              </w:rPr>
            </w:pPr>
            <w:r w:rsidRPr="006D6727">
              <w:rPr>
                <w:rStyle w:val="ECCParagraph"/>
                <w:noProof/>
              </w:rPr>
              <w:t>35</w:t>
            </w:r>
          </w:p>
        </w:tc>
        <w:tc>
          <w:tcPr>
            <w:tcW w:w="1100" w:type="dxa"/>
          </w:tcPr>
          <w:p w14:paraId="49A9D551" w14:textId="77777777" w:rsidR="00671FF1" w:rsidRPr="006D6727" w:rsidRDefault="00671FF1" w:rsidP="000A69BD">
            <w:pPr>
              <w:pStyle w:val="ECCTabletext"/>
              <w:jc w:val="left"/>
              <w:rPr>
                <w:rStyle w:val="ECCParagraph"/>
                <w:noProof/>
              </w:rPr>
            </w:pPr>
            <w:r w:rsidRPr="006D6727">
              <w:rPr>
                <w:rStyle w:val="ECCParagraph"/>
                <w:noProof/>
              </w:rPr>
              <w:t>30</w:t>
            </w:r>
          </w:p>
        </w:tc>
      </w:tr>
      <w:tr w:rsidR="007A4F98" w:rsidRPr="006D6727" w14:paraId="00844D29" w14:textId="77777777" w:rsidTr="00AB04A1">
        <w:tc>
          <w:tcPr>
            <w:tcW w:w="3205" w:type="dxa"/>
          </w:tcPr>
          <w:p w14:paraId="4C3289CC" w14:textId="77777777" w:rsidR="007A4F98" w:rsidRPr="006D6727" w:rsidRDefault="001034B8" w:rsidP="000A69BD">
            <w:pPr>
              <w:pStyle w:val="ECCTabletext"/>
              <w:jc w:val="left"/>
              <w:rPr>
                <w:noProof/>
              </w:rPr>
            </w:pPr>
            <w:r w:rsidRPr="006D6727">
              <w:rPr>
                <w:noProof/>
              </w:rPr>
              <w:t>Half power beamwidth (HPBW)</w:t>
            </w:r>
            <w:r w:rsidR="003D3B99" w:rsidRPr="006D6727">
              <w:rPr>
                <w:noProof/>
              </w:rPr>
              <w:t xml:space="preserve"> in degrees</w:t>
            </w:r>
          </w:p>
        </w:tc>
        <w:tc>
          <w:tcPr>
            <w:tcW w:w="1014" w:type="dxa"/>
          </w:tcPr>
          <w:p w14:paraId="49DD3778" w14:textId="77777777" w:rsidR="007A4F98" w:rsidRPr="006D6727" w:rsidRDefault="007A4F98" w:rsidP="00671FF1">
            <w:pPr>
              <w:pStyle w:val="ECCTabletext"/>
              <w:rPr>
                <w:noProof/>
              </w:rPr>
            </w:pPr>
          </w:p>
        </w:tc>
        <w:tc>
          <w:tcPr>
            <w:tcW w:w="1134" w:type="dxa"/>
          </w:tcPr>
          <w:p w14:paraId="46A5C0B3" w14:textId="77777777" w:rsidR="007A4F98" w:rsidRPr="006D6727" w:rsidRDefault="007A4F98" w:rsidP="00671FF1">
            <w:pPr>
              <w:pStyle w:val="ECCTabletext"/>
              <w:rPr>
                <w:noProof/>
              </w:rPr>
            </w:pPr>
          </w:p>
        </w:tc>
        <w:tc>
          <w:tcPr>
            <w:tcW w:w="992" w:type="dxa"/>
          </w:tcPr>
          <w:p w14:paraId="5FDE5F27" w14:textId="77777777" w:rsidR="007A4F98" w:rsidRPr="006D6727" w:rsidRDefault="001034B8" w:rsidP="000A69BD">
            <w:pPr>
              <w:pStyle w:val="ECCTabletext"/>
              <w:jc w:val="left"/>
              <w:rPr>
                <w:noProof/>
              </w:rPr>
            </w:pPr>
            <w:r w:rsidRPr="006D6727">
              <w:rPr>
                <w:noProof/>
              </w:rPr>
              <w:t>4</w:t>
            </w:r>
            <w:r w:rsidR="00CF4994">
              <w:rPr>
                <w:noProof/>
              </w:rPr>
              <w:t>.5</w:t>
            </w:r>
          </w:p>
        </w:tc>
        <w:tc>
          <w:tcPr>
            <w:tcW w:w="1276" w:type="dxa"/>
          </w:tcPr>
          <w:p w14:paraId="70F549FC" w14:textId="77777777" w:rsidR="007A4F98" w:rsidRPr="006D6727" w:rsidRDefault="001034B8" w:rsidP="000A69BD">
            <w:pPr>
              <w:pStyle w:val="ECCTabletext"/>
              <w:jc w:val="left"/>
              <w:rPr>
                <w:noProof/>
              </w:rPr>
            </w:pPr>
            <w:r w:rsidRPr="006D6727">
              <w:rPr>
                <w:noProof/>
              </w:rPr>
              <w:t>4</w:t>
            </w:r>
            <w:r w:rsidR="00CF4994">
              <w:rPr>
                <w:noProof/>
              </w:rPr>
              <w:t>.7</w:t>
            </w:r>
          </w:p>
        </w:tc>
        <w:tc>
          <w:tcPr>
            <w:tcW w:w="1134" w:type="dxa"/>
          </w:tcPr>
          <w:p w14:paraId="0D243B31" w14:textId="77777777" w:rsidR="007A4F98" w:rsidRPr="006D6727" w:rsidRDefault="007A4F98" w:rsidP="00671FF1">
            <w:pPr>
              <w:pStyle w:val="ECCTabletext"/>
              <w:rPr>
                <w:rStyle w:val="ECCParagraph"/>
                <w:noProof/>
              </w:rPr>
            </w:pPr>
          </w:p>
        </w:tc>
        <w:tc>
          <w:tcPr>
            <w:tcW w:w="1100" w:type="dxa"/>
          </w:tcPr>
          <w:p w14:paraId="41FF76FB" w14:textId="77777777" w:rsidR="007A4F98" w:rsidRPr="006D6727" w:rsidRDefault="007A4F98" w:rsidP="00671FF1">
            <w:pPr>
              <w:pStyle w:val="ECCTabletext"/>
              <w:rPr>
                <w:rStyle w:val="ECCParagraph"/>
                <w:noProof/>
              </w:rPr>
            </w:pPr>
          </w:p>
        </w:tc>
      </w:tr>
    </w:tbl>
    <w:p w14:paraId="43194E11" w14:textId="503A9FBC" w:rsidR="001B61C8" w:rsidRPr="006D6727" w:rsidRDefault="001B61C8" w:rsidP="001B61C8">
      <w:pPr>
        <w:pStyle w:val="Caption"/>
        <w:rPr>
          <w:noProof/>
          <w:lang w:val="en-GB"/>
        </w:rPr>
      </w:pPr>
      <w:r w:rsidRPr="006D6727">
        <w:rPr>
          <w:noProof/>
          <w:lang w:val="en-GB"/>
        </w:rPr>
        <w:t>Table</w:t>
      </w:r>
      <w:r w:rsidR="00067D12">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128</w:t>
      </w:r>
      <w:r w:rsidR="00616942" w:rsidRPr="006D6727">
        <w:rPr>
          <w:noProof/>
          <w:lang w:val="en-GB"/>
        </w:rPr>
        <w:fldChar w:fldCharType="end"/>
      </w:r>
      <w:r w:rsidRPr="006D6727">
        <w:rPr>
          <w:noProof/>
          <w:lang w:val="en-GB"/>
        </w:rPr>
        <w:t>: Antenna characteristcs overview 167-182 GHz</w:t>
      </w:r>
    </w:p>
    <w:tbl>
      <w:tblPr>
        <w:tblStyle w:val="ECCTable-redheader"/>
        <w:tblW w:w="5000" w:type="pct"/>
        <w:tblInd w:w="0" w:type="dxa"/>
        <w:tblLayout w:type="fixed"/>
        <w:tblLook w:val="0020" w:firstRow="1" w:lastRow="0" w:firstColumn="0" w:lastColumn="0" w:noHBand="0" w:noVBand="0"/>
      </w:tblPr>
      <w:tblGrid>
        <w:gridCol w:w="3124"/>
        <w:gridCol w:w="993"/>
        <w:gridCol w:w="1109"/>
        <w:gridCol w:w="971"/>
        <w:gridCol w:w="1247"/>
        <w:gridCol w:w="1109"/>
        <w:gridCol w:w="1076"/>
      </w:tblGrid>
      <w:tr w:rsidR="00630FB9" w:rsidRPr="006D6727" w14:paraId="675BA2F2" w14:textId="77777777" w:rsidTr="007A4F98">
        <w:trPr>
          <w:cnfStyle w:val="100000000000" w:firstRow="1" w:lastRow="0" w:firstColumn="0" w:lastColumn="0" w:oddVBand="0" w:evenVBand="0" w:oddHBand="0" w:evenHBand="0" w:firstRowFirstColumn="0" w:firstRowLastColumn="0" w:lastRowFirstColumn="0" w:lastRowLastColumn="0"/>
        </w:trPr>
        <w:tc>
          <w:tcPr>
            <w:tcW w:w="3205" w:type="dxa"/>
          </w:tcPr>
          <w:p w14:paraId="3CD4BAF7" w14:textId="77777777" w:rsidR="00630FB9" w:rsidRPr="006D6727" w:rsidRDefault="00630FB9" w:rsidP="00630FB9">
            <w:pPr>
              <w:rPr>
                <w:noProof/>
              </w:rPr>
            </w:pPr>
            <w:r w:rsidRPr="006D6727">
              <w:rPr>
                <w:noProof/>
              </w:rPr>
              <w:t>Frequency</w:t>
            </w:r>
          </w:p>
        </w:tc>
        <w:tc>
          <w:tcPr>
            <w:tcW w:w="2148" w:type="dxa"/>
            <w:gridSpan w:val="2"/>
          </w:tcPr>
          <w:p w14:paraId="481578EF" w14:textId="77777777" w:rsidR="00630FB9" w:rsidRPr="006D6727" w:rsidRDefault="00630FB9" w:rsidP="00630FB9">
            <w:pPr>
              <w:rPr>
                <w:noProof/>
              </w:rPr>
            </w:pPr>
            <w:r w:rsidRPr="006D6727">
              <w:rPr>
                <w:noProof/>
              </w:rPr>
              <w:t>167 GHz</w:t>
            </w:r>
          </w:p>
        </w:tc>
        <w:tc>
          <w:tcPr>
            <w:tcW w:w="2268" w:type="dxa"/>
            <w:gridSpan w:val="2"/>
          </w:tcPr>
          <w:p w14:paraId="7ACD558B" w14:textId="77777777" w:rsidR="00630FB9" w:rsidRPr="006D6727" w:rsidRDefault="00630FB9" w:rsidP="00630FB9">
            <w:pPr>
              <w:rPr>
                <w:noProof/>
              </w:rPr>
            </w:pPr>
            <w:r w:rsidRPr="006D6727">
              <w:rPr>
                <w:noProof/>
              </w:rPr>
              <w:t>174 GHz</w:t>
            </w:r>
          </w:p>
        </w:tc>
        <w:tc>
          <w:tcPr>
            <w:tcW w:w="2234" w:type="dxa"/>
            <w:gridSpan w:val="2"/>
          </w:tcPr>
          <w:p w14:paraId="3257A4D7" w14:textId="77777777" w:rsidR="00630FB9" w:rsidRPr="006D6727" w:rsidRDefault="00630FB9" w:rsidP="00630FB9">
            <w:pPr>
              <w:rPr>
                <w:noProof/>
              </w:rPr>
            </w:pPr>
            <w:r w:rsidRPr="006D6727">
              <w:rPr>
                <w:noProof/>
              </w:rPr>
              <w:t>182 GHz</w:t>
            </w:r>
          </w:p>
        </w:tc>
      </w:tr>
      <w:tr w:rsidR="00630FB9" w:rsidRPr="006D6727" w14:paraId="735069B4" w14:textId="77777777" w:rsidTr="007A4F98">
        <w:tc>
          <w:tcPr>
            <w:tcW w:w="3205" w:type="dxa"/>
          </w:tcPr>
          <w:p w14:paraId="41870BC2" w14:textId="77777777" w:rsidR="00630FB9" w:rsidRPr="006D6727" w:rsidRDefault="00630FB9" w:rsidP="00630FB9">
            <w:pPr>
              <w:pStyle w:val="ECCTabletext"/>
              <w:rPr>
                <w:noProof/>
              </w:rPr>
            </w:pPr>
          </w:p>
        </w:tc>
        <w:tc>
          <w:tcPr>
            <w:tcW w:w="1014" w:type="dxa"/>
          </w:tcPr>
          <w:p w14:paraId="74DAF641" w14:textId="77777777" w:rsidR="00630FB9" w:rsidRPr="006D6727" w:rsidRDefault="00630FB9" w:rsidP="000A69BD">
            <w:pPr>
              <w:pStyle w:val="ECCTabletext"/>
              <w:jc w:val="left"/>
              <w:rPr>
                <w:noProof/>
              </w:rPr>
            </w:pPr>
            <w:r w:rsidRPr="006D6727">
              <w:rPr>
                <w:noProof/>
              </w:rPr>
              <w:t>φ=0°</w:t>
            </w:r>
          </w:p>
        </w:tc>
        <w:tc>
          <w:tcPr>
            <w:tcW w:w="1134" w:type="dxa"/>
          </w:tcPr>
          <w:p w14:paraId="0F260138" w14:textId="77777777" w:rsidR="00630FB9" w:rsidRPr="006D6727" w:rsidRDefault="00630FB9" w:rsidP="000A69BD">
            <w:pPr>
              <w:pStyle w:val="ECCTabletext"/>
              <w:jc w:val="left"/>
              <w:rPr>
                <w:noProof/>
              </w:rPr>
            </w:pPr>
            <w:r w:rsidRPr="006D6727">
              <w:rPr>
                <w:noProof/>
              </w:rPr>
              <w:t>φ=90°</w:t>
            </w:r>
          </w:p>
        </w:tc>
        <w:tc>
          <w:tcPr>
            <w:tcW w:w="992" w:type="dxa"/>
          </w:tcPr>
          <w:p w14:paraId="40098082" w14:textId="77777777" w:rsidR="00630FB9" w:rsidRPr="006D6727" w:rsidRDefault="00630FB9" w:rsidP="000A69BD">
            <w:pPr>
              <w:pStyle w:val="ECCTabletext"/>
              <w:jc w:val="left"/>
              <w:rPr>
                <w:noProof/>
              </w:rPr>
            </w:pPr>
            <w:r w:rsidRPr="006D6727">
              <w:rPr>
                <w:noProof/>
              </w:rPr>
              <w:t>φ=0°</w:t>
            </w:r>
          </w:p>
        </w:tc>
        <w:tc>
          <w:tcPr>
            <w:tcW w:w="1276" w:type="dxa"/>
          </w:tcPr>
          <w:p w14:paraId="4793D9C9" w14:textId="77777777" w:rsidR="00630FB9" w:rsidRPr="006D6727" w:rsidRDefault="00630FB9" w:rsidP="000A69BD">
            <w:pPr>
              <w:pStyle w:val="ECCTabletext"/>
              <w:jc w:val="left"/>
              <w:rPr>
                <w:noProof/>
              </w:rPr>
            </w:pPr>
            <w:r w:rsidRPr="006D6727">
              <w:rPr>
                <w:noProof/>
              </w:rPr>
              <w:t>φ=90°</w:t>
            </w:r>
          </w:p>
        </w:tc>
        <w:tc>
          <w:tcPr>
            <w:tcW w:w="1134" w:type="dxa"/>
          </w:tcPr>
          <w:p w14:paraId="0E16D6B4" w14:textId="77777777" w:rsidR="00630FB9" w:rsidRPr="006D6727" w:rsidRDefault="00630FB9" w:rsidP="000A69BD">
            <w:pPr>
              <w:pStyle w:val="ECCTabletext"/>
              <w:jc w:val="left"/>
              <w:rPr>
                <w:noProof/>
              </w:rPr>
            </w:pPr>
            <w:r w:rsidRPr="006D6727">
              <w:rPr>
                <w:noProof/>
              </w:rPr>
              <w:t>φ=0°</w:t>
            </w:r>
          </w:p>
        </w:tc>
        <w:tc>
          <w:tcPr>
            <w:tcW w:w="1100" w:type="dxa"/>
          </w:tcPr>
          <w:p w14:paraId="1D377356" w14:textId="77777777" w:rsidR="00630FB9" w:rsidRPr="006D6727" w:rsidRDefault="00630FB9" w:rsidP="000A69BD">
            <w:pPr>
              <w:pStyle w:val="ECCTabletext"/>
              <w:jc w:val="left"/>
              <w:rPr>
                <w:noProof/>
              </w:rPr>
            </w:pPr>
            <w:r w:rsidRPr="006D6727">
              <w:rPr>
                <w:noProof/>
              </w:rPr>
              <w:t>φ=90°</w:t>
            </w:r>
          </w:p>
        </w:tc>
      </w:tr>
      <w:tr w:rsidR="00630FB9" w:rsidRPr="006D6727" w14:paraId="0686C1E8" w14:textId="77777777" w:rsidTr="007A4F98">
        <w:tc>
          <w:tcPr>
            <w:tcW w:w="3205" w:type="dxa"/>
          </w:tcPr>
          <w:p w14:paraId="6EF418D2" w14:textId="77777777" w:rsidR="00630FB9" w:rsidRPr="006D6727" w:rsidRDefault="00630FB9" w:rsidP="000A69BD">
            <w:pPr>
              <w:pStyle w:val="ECCTabletext"/>
              <w:jc w:val="left"/>
              <w:rPr>
                <w:noProof/>
              </w:rPr>
            </w:pPr>
            <w:r w:rsidRPr="006D6727">
              <w:rPr>
                <w:noProof/>
              </w:rPr>
              <w:t>Typical antenna gain in main beam in dBi</w:t>
            </w:r>
          </w:p>
        </w:tc>
        <w:tc>
          <w:tcPr>
            <w:tcW w:w="1014" w:type="dxa"/>
          </w:tcPr>
          <w:p w14:paraId="25692900" w14:textId="77777777" w:rsidR="00630FB9" w:rsidRPr="006D6727" w:rsidRDefault="00630FB9" w:rsidP="000A69BD">
            <w:pPr>
              <w:pStyle w:val="ECCTabletext"/>
              <w:jc w:val="left"/>
              <w:rPr>
                <w:noProof/>
              </w:rPr>
            </w:pPr>
            <w:r w:rsidRPr="006D6727">
              <w:rPr>
                <w:noProof/>
              </w:rPr>
              <w:t>31</w:t>
            </w:r>
          </w:p>
        </w:tc>
        <w:tc>
          <w:tcPr>
            <w:tcW w:w="1134" w:type="dxa"/>
          </w:tcPr>
          <w:p w14:paraId="4E56B074" w14:textId="77777777" w:rsidR="00630FB9" w:rsidRPr="006D6727" w:rsidRDefault="00630FB9" w:rsidP="000A69BD">
            <w:pPr>
              <w:pStyle w:val="ECCTabletext"/>
              <w:jc w:val="left"/>
              <w:rPr>
                <w:noProof/>
              </w:rPr>
            </w:pPr>
            <w:r w:rsidRPr="006D6727">
              <w:rPr>
                <w:noProof/>
              </w:rPr>
              <w:t>31</w:t>
            </w:r>
          </w:p>
        </w:tc>
        <w:tc>
          <w:tcPr>
            <w:tcW w:w="992" w:type="dxa"/>
          </w:tcPr>
          <w:p w14:paraId="6EBC289B" w14:textId="77777777" w:rsidR="00630FB9" w:rsidRPr="006D6727" w:rsidRDefault="00630FB9" w:rsidP="000A69BD">
            <w:pPr>
              <w:pStyle w:val="ECCTabletext"/>
              <w:jc w:val="left"/>
              <w:rPr>
                <w:rStyle w:val="ECCHLyellow"/>
                <w:noProof/>
              </w:rPr>
            </w:pPr>
            <w:r w:rsidRPr="006D6727">
              <w:rPr>
                <w:noProof/>
              </w:rPr>
              <w:t>31</w:t>
            </w:r>
          </w:p>
        </w:tc>
        <w:tc>
          <w:tcPr>
            <w:tcW w:w="1276" w:type="dxa"/>
          </w:tcPr>
          <w:p w14:paraId="436EB3AD" w14:textId="77777777" w:rsidR="00630FB9" w:rsidRPr="006D6727" w:rsidRDefault="00630FB9" w:rsidP="000A69BD">
            <w:pPr>
              <w:pStyle w:val="ECCTabletext"/>
              <w:jc w:val="left"/>
              <w:rPr>
                <w:rStyle w:val="ECCHLyellow"/>
                <w:noProof/>
              </w:rPr>
            </w:pPr>
            <w:r w:rsidRPr="006D6727">
              <w:rPr>
                <w:noProof/>
              </w:rPr>
              <w:t>31</w:t>
            </w:r>
          </w:p>
        </w:tc>
        <w:tc>
          <w:tcPr>
            <w:tcW w:w="1134" w:type="dxa"/>
          </w:tcPr>
          <w:p w14:paraId="08EFC6F2" w14:textId="77777777" w:rsidR="00630FB9" w:rsidRPr="006D6727" w:rsidRDefault="00630FB9" w:rsidP="000A69BD">
            <w:pPr>
              <w:pStyle w:val="ECCTabletext"/>
              <w:jc w:val="left"/>
              <w:rPr>
                <w:rStyle w:val="ECCParagraph"/>
                <w:noProof/>
              </w:rPr>
            </w:pPr>
            <w:r w:rsidRPr="006D6727">
              <w:rPr>
                <w:noProof/>
              </w:rPr>
              <w:t>32</w:t>
            </w:r>
          </w:p>
        </w:tc>
        <w:tc>
          <w:tcPr>
            <w:tcW w:w="1100" w:type="dxa"/>
          </w:tcPr>
          <w:p w14:paraId="71AFF63F" w14:textId="77777777" w:rsidR="00630FB9" w:rsidRPr="006D6727" w:rsidRDefault="00630FB9" w:rsidP="000A69BD">
            <w:pPr>
              <w:pStyle w:val="ECCTabletext"/>
              <w:jc w:val="left"/>
              <w:rPr>
                <w:rStyle w:val="ECCParagraph"/>
                <w:noProof/>
              </w:rPr>
            </w:pPr>
            <w:r w:rsidRPr="006D6727">
              <w:rPr>
                <w:noProof/>
              </w:rPr>
              <w:t>32</w:t>
            </w:r>
          </w:p>
        </w:tc>
      </w:tr>
      <w:tr w:rsidR="00630FB9" w:rsidRPr="006D6727" w14:paraId="2B8BA049" w14:textId="77777777" w:rsidTr="007A4F98">
        <w:tc>
          <w:tcPr>
            <w:tcW w:w="3205" w:type="dxa"/>
          </w:tcPr>
          <w:p w14:paraId="7AC98DDC" w14:textId="77777777" w:rsidR="00630FB9" w:rsidRPr="006D6727" w:rsidRDefault="00630FB9" w:rsidP="000A69BD">
            <w:pPr>
              <w:pStyle w:val="ECCTabletext"/>
              <w:jc w:val="left"/>
              <w:rPr>
                <w:noProof/>
              </w:rPr>
            </w:pPr>
            <w:r w:rsidRPr="006D6727">
              <w:rPr>
                <w:noProof/>
              </w:rPr>
              <w:t>Antenna gain &gt;24° in dBi</w:t>
            </w:r>
          </w:p>
        </w:tc>
        <w:tc>
          <w:tcPr>
            <w:tcW w:w="1014" w:type="dxa"/>
          </w:tcPr>
          <w:p w14:paraId="2154340C" w14:textId="77777777" w:rsidR="00630FB9" w:rsidRPr="006D6727" w:rsidRDefault="00630FB9" w:rsidP="000A69BD">
            <w:pPr>
              <w:pStyle w:val="ECCTabletext"/>
              <w:jc w:val="left"/>
              <w:rPr>
                <w:noProof/>
              </w:rPr>
            </w:pPr>
            <w:r w:rsidRPr="006D6727">
              <w:rPr>
                <w:noProof/>
              </w:rPr>
              <w:t>2</w:t>
            </w:r>
          </w:p>
        </w:tc>
        <w:tc>
          <w:tcPr>
            <w:tcW w:w="1134" w:type="dxa"/>
          </w:tcPr>
          <w:p w14:paraId="365D8567" w14:textId="77777777" w:rsidR="00630FB9" w:rsidRPr="006D6727" w:rsidRDefault="00630FB9" w:rsidP="000A69BD">
            <w:pPr>
              <w:pStyle w:val="ECCTabletext"/>
              <w:jc w:val="left"/>
              <w:rPr>
                <w:noProof/>
              </w:rPr>
            </w:pPr>
            <w:r w:rsidRPr="006D6727">
              <w:rPr>
                <w:noProof/>
              </w:rPr>
              <w:t>2</w:t>
            </w:r>
          </w:p>
        </w:tc>
        <w:tc>
          <w:tcPr>
            <w:tcW w:w="992" w:type="dxa"/>
          </w:tcPr>
          <w:p w14:paraId="3CD3A07A" w14:textId="77777777" w:rsidR="00630FB9" w:rsidRPr="006D6727" w:rsidRDefault="00630FB9" w:rsidP="000A69BD">
            <w:pPr>
              <w:pStyle w:val="ECCTabletext"/>
              <w:jc w:val="left"/>
              <w:rPr>
                <w:rStyle w:val="ECCHLyellow"/>
                <w:noProof/>
              </w:rPr>
            </w:pPr>
            <w:r w:rsidRPr="006D6727">
              <w:rPr>
                <w:noProof/>
              </w:rPr>
              <w:t>2</w:t>
            </w:r>
          </w:p>
        </w:tc>
        <w:tc>
          <w:tcPr>
            <w:tcW w:w="1276" w:type="dxa"/>
          </w:tcPr>
          <w:p w14:paraId="1DC03CEB" w14:textId="77777777" w:rsidR="00630FB9" w:rsidRPr="006D6727" w:rsidRDefault="00630FB9" w:rsidP="000A69BD">
            <w:pPr>
              <w:pStyle w:val="ECCTabletext"/>
              <w:jc w:val="left"/>
              <w:rPr>
                <w:rStyle w:val="ECCHLyellow"/>
                <w:noProof/>
              </w:rPr>
            </w:pPr>
            <w:r w:rsidRPr="006D6727">
              <w:rPr>
                <w:noProof/>
              </w:rPr>
              <w:t>1</w:t>
            </w:r>
          </w:p>
        </w:tc>
        <w:tc>
          <w:tcPr>
            <w:tcW w:w="1134" w:type="dxa"/>
          </w:tcPr>
          <w:p w14:paraId="72EDB99E" w14:textId="77777777" w:rsidR="00630FB9" w:rsidRPr="006D6727" w:rsidRDefault="00630FB9" w:rsidP="000A69BD">
            <w:pPr>
              <w:pStyle w:val="ECCTabletext"/>
              <w:jc w:val="left"/>
              <w:rPr>
                <w:rStyle w:val="ECCParagraph"/>
                <w:noProof/>
              </w:rPr>
            </w:pPr>
            <w:r w:rsidRPr="006D6727">
              <w:rPr>
                <w:noProof/>
              </w:rPr>
              <w:t>1</w:t>
            </w:r>
          </w:p>
        </w:tc>
        <w:tc>
          <w:tcPr>
            <w:tcW w:w="1100" w:type="dxa"/>
          </w:tcPr>
          <w:p w14:paraId="24F6CFB9" w14:textId="77777777" w:rsidR="00630FB9" w:rsidRPr="006D6727" w:rsidRDefault="00630FB9" w:rsidP="000A69BD">
            <w:pPr>
              <w:pStyle w:val="ECCTabletext"/>
              <w:jc w:val="left"/>
              <w:rPr>
                <w:rStyle w:val="ECCParagraph"/>
                <w:noProof/>
              </w:rPr>
            </w:pPr>
            <w:r w:rsidRPr="006D6727">
              <w:rPr>
                <w:noProof/>
              </w:rPr>
              <w:t>1</w:t>
            </w:r>
          </w:p>
        </w:tc>
      </w:tr>
      <w:tr w:rsidR="00630FB9" w:rsidRPr="006D6727" w14:paraId="1756E7BD" w14:textId="77777777" w:rsidTr="007A4F98">
        <w:tc>
          <w:tcPr>
            <w:tcW w:w="3205" w:type="dxa"/>
          </w:tcPr>
          <w:p w14:paraId="2690CD37" w14:textId="77777777" w:rsidR="00630FB9" w:rsidRPr="006D6727" w:rsidRDefault="00630FB9" w:rsidP="000A69BD">
            <w:pPr>
              <w:pStyle w:val="ECCTabletext"/>
              <w:jc w:val="left"/>
              <w:rPr>
                <w:noProof/>
              </w:rPr>
            </w:pPr>
            <w:r w:rsidRPr="006D6727">
              <w:rPr>
                <w:noProof/>
              </w:rPr>
              <w:t>Sidelobe suppression &gt;24° in dB</w:t>
            </w:r>
          </w:p>
        </w:tc>
        <w:tc>
          <w:tcPr>
            <w:tcW w:w="1014" w:type="dxa"/>
          </w:tcPr>
          <w:p w14:paraId="1C1D6F67" w14:textId="77777777" w:rsidR="00630FB9" w:rsidRPr="006D6727" w:rsidRDefault="00400F45" w:rsidP="000A69BD">
            <w:pPr>
              <w:pStyle w:val="ECCTabletext"/>
              <w:jc w:val="left"/>
              <w:rPr>
                <w:noProof/>
              </w:rPr>
            </w:pPr>
            <w:r w:rsidRPr="006D6727">
              <w:rPr>
                <w:noProof/>
              </w:rPr>
              <w:t>29</w:t>
            </w:r>
          </w:p>
        </w:tc>
        <w:tc>
          <w:tcPr>
            <w:tcW w:w="1134" w:type="dxa"/>
          </w:tcPr>
          <w:p w14:paraId="304793A4" w14:textId="77777777" w:rsidR="00630FB9" w:rsidRPr="006D6727" w:rsidRDefault="0093522D" w:rsidP="000A69BD">
            <w:pPr>
              <w:pStyle w:val="ECCTabletext"/>
              <w:jc w:val="left"/>
              <w:rPr>
                <w:noProof/>
              </w:rPr>
            </w:pPr>
            <w:r w:rsidRPr="006D6727">
              <w:rPr>
                <w:noProof/>
              </w:rPr>
              <w:t>29</w:t>
            </w:r>
          </w:p>
        </w:tc>
        <w:tc>
          <w:tcPr>
            <w:tcW w:w="992" w:type="dxa"/>
          </w:tcPr>
          <w:p w14:paraId="44F7D085" w14:textId="77777777" w:rsidR="00630FB9" w:rsidRPr="006D6727" w:rsidRDefault="0093522D" w:rsidP="000A69BD">
            <w:pPr>
              <w:pStyle w:val="ECCTabletext"/>
              <w:jc w:val="left"/>
              <w:rPr>
                <w:rStyle w:val="ECCHLyellow"/>
                <w:noProof/>
                <w:shd w:val="clear" w:color="auto" w:fill="auto"/>
              </w:rPr>
            </w:pPr>
            <w:r w:rsidRPr="006D6727">
              <w:rPr>
                <w:rStyle w:val="ECCHLyellow"/>
                <w:noProof/>
                <w:shd w:val="clear" w:color="auto" w:fill="auto"/>
              </w:rPr>
              <w:t>29</w:t>
            </w:r>
          </w:p>
        </w:tc>
        <w:tc>
          <w:tcPr>
            <w:tcW w:w="1276" w:type="dxa"/>
          </w:tcPr>
          <w:p w14:paraId="72076544" w14:textId="77777777" w:rsidR="00630FB9" w:rsidRPr="006D6727" w:rsidRDefault="0093522D" w:rsidP="000A69BD">
            <w:pPr>
              <w:pStyle w:val="ECCTabletext"/>
              <w:jc w:val="left"/>
              <w:rPr>
                <w:rStyle w:val="ECCHLyellow"/>
                <w:noProof/>
                <w:shd w:val="clear" w:color="auto" w:fill="auto"/>
              </w:rPr>
            </w:pPr>
            <w:r w:rsidRPr="006D6727">
              <w:rPr>
                <w:rStyle w:val="ECCHLyellow"/>
                <w:noProof/>
                <w:shd w:val="clear" w:color="auto" w:fill="auto"/>
              </w:rPr>
              <w:t>30</w:t>
            </w:r>
          </w:p>
        </w:tc>
        <w:tc>
          <w:tcPr>
            <w:tcW w:w="1134" w:type="dxa"/>
          </w:tcPr>
          <w:p w14:paraId="20C4D193" w14:textId="77777777" w:rsidR="00630FB9" w:rsidRPr="006D6727" w:rsidRDefault="0093522D" w:rsidP="000A69BD">
            <w:pPr>
              <w:pStyle w:val="ECCTabletext"/>
              <w:jc w:val="left"/>
              <w:rPr>
                <w:rStyle w:val="ECCParagraph"/>
                <w:noProof/>
              </w:rPr>
            </w:pPr>
            <w:r w:rsidRPr="006D6727">
              <w:rPr>
                <w:rStyle w:val="ECCParagraph"/>
                <w:noProof/>
              </w:rPr>
              <w:t>31</w:t>
            </w:r>
          </w:p>
        </w:tc>
        <w:tc>
          <w:tcPr>
            <w:tcW w:w="1100" w:type="dxa"/>
          </w:tcPr>
          <w:p w14:paraId="39A8AF39" w14:textId="77777777" w:rsidR="00630FB9" w:rsidRPr="006D6727" w:rsidRDefault="0093522D" w:rsidP="000A69BD">
            <w:pPr>
              <w:pStyle w:val="ECCTabletext"/>
              <w:jc w:val="left"/>
              <w:rPr>
                <w:rStyle w:val="ECCParagraph"/>
                <w:noProof/>
              </w:rPr>
            </w:pPr>
            <w:r w:rsidRPr="006D6727">
              <w:rPr>
                <w:rStyle w:val="ECCParagraph"/>
                <w:noProof/>
              </w:rPr>
              <w:t>31</w:t>
            </w:r>
          </w:p>
        </w:tc>
      </w:tr>
      <w:tr w:rsidR="00630FB9" w:rsidRPr="006D6727" w14:paraId="7C81B1F0" w14:textId="77777777" w:rsidTr="007A4F98">
        <w:tc>
          <w:tcPr>
            <w:tcW w:w="3205" w:type="dxa"/>
          </w:tcPr>
          <w:p w14:paraId="7C0502D1" w14:textId="77777777" w:rsidR="00630FB9" w:rsidRPr="006D6727" w:rsidRDefault="00630FB9" w:rsidP="000A69BD">
            <w:pPr>
              <w:pStyle w:val="ECCTabletext"/>
              <w:jc w:val="left"/>
              <w:rPr>
                <w:noProof/>
              </w:rPr>
            </w:pPr>
            <w:r w:rsidRPr="006D6727">
              <w:rPr>
                <w:noProof/>
              </w:rPr>
              <w:t>Antenna gain &gt;60° in dBi</w:t>
            </w:r>
          </w:p>
        </w:tc>
        <w:tc>
          <w:tcPr>
            <w:tcW w:w="1014" w:type="dxa"/>
          </w:tcPr>
          <w:p w14:paraId="6749FEDD" w14:textId="77777777" w:rsidR="00630FB9" w:rsidRPr="006D6727" w:rsidRDefault="00630FB9" w:rsidP="000A69BD">
            <w:pPr>
              <w:pStyle w:val="ECCTabletext"/>
              <w:jc w:val="left"/>
              <w:rPr>
                <w:noProof/>
              </w:rPr>
            </w:pPr>
            <w:r w:rsidRPr="006D6727">
              <w:rPr>
                <w:noProof/>
              </w:rPr>
              <w:t>0</w:t>
            </w:r>
          </w:p>
        </w:tc>
        <w:tc>
          <w:tcPr>
            <w:tcW w:w="1134" w:type="dxa"/>
          </w:tcPr>
          <w:p w14:paraId="1CC356B4" w14:textId="77777777" w:rsidR="00630FB9" w:rsidRPr="006D6727" w:rsidRDefault="00630FB9" w:rsidP="000A69BD">
            <w:pPr>
              <w:pStyle w:val="ECCTabletext"/>
              <w:jc w:val="left"/>
              <w:rPr>
                <w:noProof/>
              </w:rPr>
            </w:pPr>
            <w:r w:rsidRPr="006D6727">
              <w:rPr>
                <w:noProof/>
              </w:rPr>
              <w:t>-1</w:t>
            </w:r>
          </w:p>
        </w:tc>
        <w:tc>
          <w:tcPr>
            <w:tcW w:w="992" w:type="dxa"/>
          </w:tcPr>
          <w:p w14:paraId="0CE1F8E2" w14:textId="77777777" w:rsidR="00630FB9" w:rsidRPr="006D6727" w:rsidRDefault="00630FB9" w:rsidP="000A69BD">
            <w:pPr>
              <w:pStyle w:val="ECCTabletext"/>
              <w:jc w:val="left"/>
              <w:rPr>
                <w:rStyle w:val="ECCParagraph"/>
                <w:noProof/>
              </w:rPr>
            </w:pPr>
            <w:r w:rsidRPr="006D6727">
              <w:rPr>
                <w:rStyle w:val="ECCParagraph"/>
                <w:noProof/>
              </w:rPr>
              <w:t>-1</w:t>
            </w:r>
          </w:p>
        </w:tc>
        <w:tc>
          <w:tcPr>
            <w:tcW w:w="1276" w:type="dxa"/>
          </w:tcPr>
          <w:p w14:paraId="5415A023" w14:textId="77777777" w:rsidR="00630FB9" w:rsidRPr="006D6727" w:rsidRDefault="00630FB9" w:rsidP="000A69BD">
            <w:pPr>
              <w:pStyle w:val="ECCTabletext"/>
              <w:jc w:val="left"/>
              <w:rPr>
                <w:noProof/>
              </w:rPr>
            </w:pPr>
            <w:r w:rsidRPr="006D6727">
              <w:rPr>
                <w:noProof/>
              </w:rPr>
              <w:t>-1</w:t>
            </w:r>
          </w:p>
        </w:tc>
        <w:tc>
          <w:tcPr>
            <w:tcW w:w="1134" w:type="dxa"/>
          </w:tcPr>
          <w:p w14:paraId="5CAD34BB" w14:textId="77777777" w:rsidR="00630FB9" w:rsidRPr="006D6727" w:rsidRDefault="00630FB9" w:rsidP="000A69BD">
            <w:pPr>
              <w:pStyle w:val="ECCTabletext"/>
              <w:jc w:val="left"/>
              <w:rPr>
                <w:rStyle w:val="ECCParagraph"/>
                <w:noProof/>
              </w:rPr>
            </w:pPr>
            <w:r w:rsidRPr="006D6727">
              <w:rPr>
                <w:noProof/>
              </w:rPr>
              <w:t>-2</w:t>
            </w:r>
          </w:p>
        </w:tc>
        <w:tc>
          <w:tcPr>
            <w:tcW w:w="1100" w:type="dxa"/>
          </w:tcPr>
          <w:p w14:paraId="7BCCD7DA" w14:textId="77777777" w:rsidR="00630FB9" w:rsidRPr="006D6727" w:rsidRDefault="00630FB9" w:rsidP="000A69BD">
            <w:pPr>
              <w:pStyle w:val="ECCTabletext"/>
              <w:jc w:val="left"/>
              <w:rPr>
                <w:rStyle w:val="ECCParagraph"/>
                <w:noProof/>
              </w:rPr>
            </w:pPr>
            <w:r w:rsidRPr="006D6727">
              <w:rPr>
                <w:noProof/>
              </w:rPr>
              <w:t>-1</w:t>
            </w:r>
          </w:p>
        </w:tc>
      </w:tr>
      <w:tr w:rsidR="00630FB9" w:rsidRPr="006D6727" w14:paraId="24A7A5EB" w14:textId="77777777" w:rsidTr="007A4F98">
        <w:tc>
          <w:tcPr>
            <w:tcW w:w="3205" w:type="dxa"/>
          </w:tcPr>
          <w:p w14:paraId="16944C2F" w14:textId="77777777" w:rsidR="00630FB9" w:rsidRPr="006D6727" w:rsidRDefault="00630FB9" w:rsidP="000A69BD">
            <w:pPr>
              <w:pStyle w:val="ECCTabletext"/>
              <w:jc w:val="left"/>
              <w:rPr>
                <w:noProof/>
              </w:rPr>
            </w:pPr>
            <w:r w:rsidRPr="006D6727">
              <w:rPr>
                <w:noProof/>
              </w:rPr>
              <w:t>Sidelobe suppression &gt;60° in dB</w:t>
            </w:r>
          </w:p>
        </w:tc>
        <w:tc>
          <w:tcPr>
            <w:tcW w:w="1014" w:type="dxa"/>
          </w:tcPr>
          <w:p w14:paraId="523B74A0" w14:textId="77777777" w:rsidR="00630FB9" w:rsidRPr="006D6727" w:rsidRDefault="0093522D" w:rsidP="000A69BD">
            <w:pPr>
              <w:pStyle w:val="ECCTabletext"/>
              <w:jc w:val="left"/>
              <w:rPr>
                <w:noProof/>
              </w:rPr>
            </w:pPr>
            <w:r w:rsidRPr="006D6727">
              <w:rPr>
                <w:noProof/>
              </w:rPr>
              <w:t>31</w:t>
            </w:r>
          </w:p>
        </w:tc>
        <w:tc>
          <w:tcPr>
            <w:tcW w:w="1134" w:type="dxa"/>
          </w:tcPr>
          <w:p w14:paraId="4DF5F7E3" w14:textId="77777777" w:rsidR="00630FB9" w:rsidRPr="006D6727" w:rsidRDefault="0093522D" w:rsidP="000A69BD">
            <w:pPr>
              <w:pStyle w:val="ECCTabletext"/>
              <w:jc w:val="left"/>
              <w:rPr>
                <w:noProof/>
              </w:rPr>
            </w:pPr>
            <w:r w:rsidRPr="006D6727">
              <w:rPr>
                <w:noProof/>
              </w:rPr>
              <w:t>32</w:t>
            </w:r>
          </w:p>
        </w:tc>
        <w:tc>
          <w:tcPr>
            <w:tcW w:w="992" w:type="dxa"/>
          </w:tcPr>
          <w:p w14:paraId="7033B087" w14:textId="77777777" w:rsidR="00630FB9" w:rsidRPr="006D6727" w:rsidRDefault="0093522D" w:rsidP="000A69BD">
            <w:pPr>
              <w:pStyle w:val="ECCTabletext"/>
              <w:jc w:val="left"/>
              <w:rPr>
                <w:noProof/>
              </w:rPr>
            </w:pPr>
            <w:r w:rsidRPr="006D6727">
              <w:rPr>
                <w:noProof/>
              </w:rPr>
              <w:t>32</w:t>
            </w:r>
          </w:p>
        </w:tc>
        <w:tc>
          <w:tcPr>
            <w:tcW w:w="1276" w:type="dxa"/>
          </w:tcPr>
          <w:p w14:paraId="0A082EEC" w14:textId="77777777" w:rsidR="00630FB9" w:rsidRPr="006D6727" w:rsidRDefault="0093522D" w:rsidP="000A69BD">
            <w:pPr>
              <w:pStyle w:val="ECCTabletext"/>
              <w:jc w:val="left"/>
              <w:rPr>
                <w:noProof/>
              </w:rPr>
            </w:pPr>
            <w:r w:rsidRPr="006D6727">
              <w:rPr>
                <w:noProof/>
              </w:rPr>
              <w:t>32</w:t>
            </w:r>
          </w:p>
        </w:tc>
        <w:tc>
          <w:tcPr>
            <w:tcW w:w="1134" w:type="dxa"/>
          </w:tcPr>
          <w:p w14:paraId="76FCBB38" w14:textId="77777777" w:rsidR="00630FB9" w:rsidRPr="006D6727" w:rsidRDefault="0093522D" w:rsidP="000A69BD">
            <w:pPr>
              <w:pStyle w:val="ECCTabletext"/>
              <w:jc w:val="left"/>
              <w:rPr>
                <w:rStyle w:val="ECCParagraph"/>
                <w:noProof/>
              </w:rPr>
            </w:pPr>
            <w:r w:rsidRPr="006D6727">
              <w:rPr>
                <w:rStyle w:val="ECCParagraph"/>
                <w:noProof/>
              </w:rPr>
              <w:t>34</w:t>
            </w:r>
          </w:p>
        </w:tc>
        <w:tc>
          <w:tcPr>
            <w:tcW w:w="1100" w:type="dxa"/>
          </w:tcPr>
          <w:p w14:paraId="58A748FB" w14:textId="77777777" w:rsidR="00630FB9" w:rsidRPr="006D6727" w:rsidRDefault="0093522D" w:rsidP="000A69BD">
            <w:pPr>
              <w:pStyle w:val="ECCTabletext"/>
              <w:jc w:val="left"/>
              <w:rPr>
                <w:rStyle w:val="ECCParagraph"/>
                <w:noProof/>
              </w:rPr>
            </w:pPr>
            <w:r w:rsidRPr="006D6727">
              <w:rPr>
                <w:rStyle w:val="ECCParagraph"/>
                <w:noProof/>
              </w:rPr>
              <w:t>3</w:t>
            </w:r>
            <w:r w:rsidR="00772513" w:rsidRPr="006D6727">
              <w:rPr>
                <w:rStyle w:val="ECCParagraph"/>
                <w:noProof/>
              </w:rPr>
              <w:t>3</w:t>
            </w:r>
          </w:p>
        </w:tc>
      </w:tr>
      <w:tr w:rsidR="001034B8" w:rsidRPr="006D6727" w14:paraId="2E1B6C99" w14:textId="77777777" w:rsidTr="007A4F98">
        <w:tc>
          <w:tcPr>
            <w:tcW w:w="3205" w:type="dxa"/>
          </w:tcPr>
          <w:p w14:paraId="4E94EEF4" w14:textId="77777777" w:rsidR="001034B8" w:rsidRPr="006D6727" w:rsidRDefault="001034B8" w:rsidP="000A69BD">
            <w:pPr>
              <w:pStyle w:val="ECCTabletext"/>
              <w:jc w:val="left"/>
              <w:rPr>
                <w:noProof/>
              </w:rPr>
            </w:pPr>
            <w:r w:rsidRPr="006D6727">
              <w:rPr>
                <w:noProof/>
              </w:rPr>
              <w:t>Half power beamwidth (HPBW)</w:t>
            </w:r>
            <w:r w:rsidR="003D3B99" w:rsidRPr="006D6727">
              <w:rPr>
                <w:noProof/>
              </w:rPr>
              <w:t xml:space="preserve"> in degrees</w:t>
            </w:r>
          </w:p>
        </w:tc>
        <w:tc>
          <w:tcPr>
            <w:tcW w:w="1014" w:type="dxa"/>
          </w:tcPr>
          <w:p w14:paraId="429FE487" w14:textId="77777777" w:rsidR="001034B8" w:rsidRPr="006D6727" w:rsidRDefault="001034B8" w:rsidP="001034B8">
            <w:pPr>
              <w:pStyle w:val="ECCTabletext"/>
              <w:rPr>
                <w:noProof/>
              </w:rPr>
            </w:pPr>
          </w:p>
        </w:tc>
        <w:tc>
          <w:tcPr>
            <w:tcW w:w="1134" w:type="dxa"/>
          </w:tcPr>
          <w:p w14:paraId="0B0ED960" w14:textId="77777777" w:rsidR="001034B8" w:rsidRPr="006D6727" w:rsidRDefault="001034B8" w:rsidP="001034B8">
            <w:pPr>
              <w:pStyle w:val="ECCTabletext"/>
              <w:rPr>
                <w:noProof/>
              </w:rPr>
            </w:pPr>
          </w:p>
        </w:tc>
        <w:tc>
          <w:tcPr>
            <w:tcW w:w="992" w:type="dxa"/>
          </w:tcPr>
          <w:p w14:paraId="53B5F28B" w14:textId="77777777" w:rsidR="001034B8" w:rsidRPr="006D6727" w:rsidRDefault="001034B8" w:rsidP="000A69BD">
            <w:pPr>
              <w:pStyle w:val="ECCTabletext"/>
              <w:jc w:val="left"/>
              <w:rPr>
                <w:noProof/>
              </w:rPr>
            </w:pPr>
            <w:r w:rsidRPr="006D6727">
              <w:rPr>
                <w:noProof/>
              </w:rPr>
              <w:t>4</w:t>
            </w:r>
            <w:r w:rsidR="00CF4994">
              <w:rPr>
                <w:noProof/>
              </w:rPr>
              <w:t>.3</w:t>
            </w:r>
          </w:p>
        </w:tc>
        <w:tc>
          <w:tcPr>
            <w:tcW w:w="1276" w:type="dxa"/>
          </w:tcPr>
          <w:p w14:paraId="0626A0F5" w14:textId="77777777" w:rsidR="001034B8" w:rsidRPr="006D6727" w:rsidRDefault="001034B8" w:rsidP="000A69BD">
            <w:pPr>
              <w:pStyle w:val="ECCTabletext"/>
              <w:jc w:val="left"/>
              <w:rPr>
                <w:noProof/>
              </w:rPr>
            </w:pPr>
            <w:r w:rsidRPr="006D6727">
              <w:rPr>
                <w:noProof/>
              </w:rPr>
              <w:t>4</w:t>
            </w:r>
            <w:r w:rsidR="00CF4994">
              <w:rPr>
                <w:noProof/>
              </w:rPr>
              <w:t>.5</w:t>
            </w:r>
          </w:p>
        </w:tc>
        <w:tc>
          <w:tcPr>
            <w:tcW w:w="1134" w:type="dxa"/>
          </w:tcPr>
          <w:p w14:paraId="12F97E0B" w14:textId="77777777" w:rsidR="001034B8" w:rsidRPr="006D6727" w:rsidRDefault="001034B8" w:rsidP="001034B8">
            <w:pPr>
              <w:pStyle w:val="ECCTabletext"/>
              <w:rPr>
                <w:rStyle w:val="ECCParagraph"/>
                <w:noProof/>
              </w:rPr>
            </w:pPr>
          </w:p>
        </w:tc>
        <w:tc>
          <w:tcPr>
            <w:tcW w:w="1100" w:type="dxa"/>
          </w:tcPr>
          <w:p w14:paraId="086537D4" w14:textId="77777777" w:rsidR="001034B8" w:rsidRPr="006D6727" w:rsidRDefault="001034B8" w:rsidP="001034B8">
            <w:pPr>
              <w:pStyle w:val="ECCTabletext"/>
              <w:rPr>
                <w:rStyle w:val="ECCParagraph"/>
                <w:noProof/>
              </w:rPr>
            </w:pPr>
          </w:p>
        </w:tc>
      </w:tr>
    </w:tbl>
    <w:p w14:paraId="4D5A32DD" w14:textId="61D27586" w:rsidR="001B61C8" w:rsidRPr="006D6727" w:rsidRDefault="001B61C8" w:rsidP="001B61C8">
      <w:pPr>
        <w:pStyle w:val="Caption"/>
        <w:rPr>
          <w:noProof/>
          <w:lang w:val="en-GB"/>
        </w:rPr>
      </w:pPr>
      <w:r w:rsidRPr="006D6727">
        <w:rPr>
          <w:noProof/>
          <w:lang w:val="en-GB"/>
        </w:rPr>
        <w:t>Table</w:t>
      </w:r>
      <w:r w:rsidR="00067D12">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F49F9">
        <w:rPr>
          <w:noProof/>
          <w:lang w:val="en-GB"/>
        </w:rPr>
        <w:t>129</w:t>
      </w:r>
      <w:r w:rsidR="00616942" w:rsidRPr="006D6727">
        <w:rPr>
          <w:noProof/>
          <w:lang w:val="en-GB"/>
        </w:rPr>
        <w:fldChar w:fldCharType="end"/>
      </w:r>
      <w:r w:rsidRPr="006D6727">
        <w:rPr>
          <w:noProof/>
          <w:lang w:val="en-GB"/>
        </w:rPr>
        <w:t>: Antenna characteristcs overview 231</w:t>
      </w:r>
      <w:r w:rsidR="00CF4994">
        <w:rPr>
          <w:noProof/>
          <w:lang w:val="en-GB"/>
        </w:rPr>
        <w:t>.5</w:t>
      </w:r>
      <w:r w:rsidRPr="006D6727">
        <w:rPr>
          <w:noProof/>
          <w:lang w:val="en-GB"/>
        </w:rPr>
        <w:t>-250 GHz</w:t>
      </w:r>
    </w:p>
    <w:tbl>
      <w:tblPr>
        <w:tblStyle w:val="ECCTable-redheader"/>
        <w:tblW w:w="5000" w:type="pct"/>
        <w:tblInd w:w="0" w:type="dxa"/>
        <w:tblLayout w:type="fixed"/>
        <w:tblLook w:val="0020" w:firstRow="1" w:lastRow="0" w:firstColumn="0" w:lastColumn="0" w:noHBand="0" w:noVBand="0"/>
      </w:tblPr>
      <w:tblGrid>
        <w:gridCol w:w="3124"/>
        <w:gridCol w:w="993"/>
        <w:gridCol w:w="1109"/>
        <w:gridCol w:w="971"/>
        <w:gridCol w:w="1247"/>
        <w:gridCol w:w="1109"/>
        <w:gridCol w:w="1076"/>
      </w:tblGrid>
      <w:tr w:rsidR="00735BAE" w:rsidRPr="006D6727" w14:paraId="14D61B0F" w14:textId="77777777" w:rsidTr="007A4F98">
        <w:trPr>
          <w:cnfStyle w:val="100000000000" w:firstRow="1" w:lastRow="0" w:firstColumn="0" w:lastColumn="0" w:oddVBand="0" w:evenVBand="0" w:oddHBand="0" w:evenHBand="0" w:firstRowFirstColumn="0" w:firstRowLastColumn="0" w:lastRowFirstColumn="0" w:lastRowLastColumn="0"/>
        </w:trPr>
        <w:tc>
          <w:tcPr>
            <w:tcW w:w="3205" w:type="dxa"/>
          </w:tcPr>
          <w:p w14:paraId="185E1A7C" w14:textId="77777777" w:rsidR="00735BAE" w:rsidRPr="006D6727" w:rsidRDefault="00735BAE" w:rsidP="00735BAE">
            <w:pPr>
              <w:rPr>
                <w:noProof/>
              </w:rPr>
            </w:pPr>
            <w:r w:rsidRPr="006D6727">
              <w:rPr>
                <w:noProof/>
              </w:rPr>
              <w:t>Frequency</w:t>
            </w:r>
          </w:p>
        </w:tc>
        <w:tc>
          <w:tcPr>
            <w:tcW w:w="2148" w:type="dxa"/>
            <w:gridSpan w:val="2"/>
          </w:tcPr>
          <w:p w14:paraId="6D2AC47C" w14:textId="77777777" w:rsidR="00735BAE" w:rsidRPr="006D6727" w:rsidRDefault="00735BAE" w:rsidP="00735BAE">
            <w:pPr>
              <w:rPr>
                <w:noProof/>
              </w:rPr>
            </w:pPr>
            <w:r w:rsidRPr="006D6727">
              <w:rPr>
                <w:noProof/>
              </w:rPr>
              <w:t>231</w:t>
            </w:r>
            <w:r w:rsidR="00CF4994">
              <w:rPr>
                <w:noProof/>
              </w:rPr>
              <w:t>.5</w:t>
            </w:r>
            <w:r w:rsidRPr="006D6727">
              <w:rPr>
                <w:noProof/>
              </w:rPr>
              <w:t> GHz</w:t>
            </w:r>
          </w:p>
        </w:tc>
        <w:tc>
          <w:tcPr>
            <w:tcW w:w="2268" w:type="dxa"/>
            <w:gridSpan w:val="2"/>
          </w:tcPr>
          <w:p w14:paraId="1CC0C727" w14:textId="77777777" w:rsidR="00735BAE" w:rsidRPr="006D6727" w:rsidRDefault="00735BAE" w:rsidP="00735BAE">
            <w:pPr>
              <w:rPr>
                <w:noProof/>
              </w:rPr>
            </w:pPr>
            <w:r w:rsidRPr="006D6727">
              <w:rPr>
                <w:noProof/>
              </w:rPr>
              <w:t>240</w:t>
            </w:r>
            <w:r w:rsidR="00CF4994">
              <w:rPr>
                <w:noProof/>
              </w:rPr>
              <w:t>.7</w:t>
            </w:r>
            <w:r w:rsidRPr="006D6727">
              <w:rPr>
                <w:noProof/>
              </w:rPr>
              <w:t>5 GHz</w:t>
            </w:r>
          </w:p>
        </w:tc>
        <w:tc>
          <w:tcPr>
            <w:tcW w:w="2234" w:type="dxa"/>
            <w:gridSpan w:val="2"/>
          </w:tcPr>
          <w:p w14:paraId="2AA4F19F" w14:textId="77777777" w:rsidR="00735BAE" w:rsidRPr="006D6727" w:rsidRDefault="00735BAE" w:rsidP="00735BAE">
            <w:pPr>
              <w:rPr>
                <w:noProof/>
              </w:rPr>
            </w:pPr>
            <w:r w:rsidRPr="006D6727">
              <w:rPr>
                <w:noProof/>
              </w:rPr>
              <w:t>250 GHz</w:t>
            </w:r>
          </w:p>
        </w:tc>
      </w:tr>
      <w:tr w:rsidR="00735BAE" w:rsidRPr="006D6727" w14:paraId="2D421048" w14:textId="77777777" w:rsidTr="007A4F98">
        <w:tc>
          <w:tcPr>
            <w:tcW w:w="3205" w:type="dxa"/>
          </w:tcPr>
          <w:p w14:paraId="74D8CE0F" w14:textId="77777777" w:rsidR="00735BAE" w:rsidRPr="006D6727" w:rsidRDefault="00735BAE" w:rsidP="00735BAE">
            <w:pPr>
              <w:pStyle w:val="ECCTabletext"/>
              <w:rPr>
                <w:noProof/>
              </w:rPr>
            </w:pPr>
          </w:p>
        </w:tc>
        <w:tc>
          <w:tcPr>
            <w:tcW w:w="1014" w:type="dxa"/>
          </w:tcPr>
          <w:p w14:paraId="3C661DD2" w14:textId="77777777" w:rsidR="00735BAE" w:rsidRPr="006D6727" w:rsidRDefault="00735BAE" w:rsidP="000A69BD">
            <w:pPr>
              <w:pStyle w:val="ECCTabletext"/>
              <w:jc w:val="left"/>
              <w:rPr>
                <w:noProof/>
              </w:rPr>
            </w:pPr>
            <w:r w:rsidRPr="006D6727">
              <w:rPr>
                <w:noProof/>
              </w:rPr>
              <w:t>φ=0°</w:t>
            </w:r>
          </w:p>
        </w:tc>
        <w:tc>
          <w:tcPr>
            <w:tcW w:w="1134" w:type="dxa"/>
          </w:tcPr>
          <w:p w14:paraId="3492CB3F" w14:textId="77777777" w:rsidR="00735BAE" w:rsidRPr="006D6727" w:rsidRDefault="00735BAE" w:rsidP="000A69BD">
            <w:pPr>
              <w:pStyle w:val="ECCTabletext"/>
              <w:jc w:val="left"/>
              <w:rPr>
                <w:noProof/>
              </w:rPr>
            </w:pPr>
            <w:r w:rsidRPr="006D6727">
              <w:rPr>
                <w:noProof/>
              </w:rPr>
              <w:t>φ=90°</w:t>
            </w:r>
          </w:p>
        </w:tc>
        <w:tc>
          <w:tcPr>
            <w:tcW w:w="992" w:type="dxa"/>
          </w:tcPr>
          <w:p w14:paraId="7E8BEE13" w14:textId="77777777" w:rsidR="00735BAE" w:rsidRPr="006D6727" w:rsidRDefault="00735BAE" w:rsidP="000A69BD">
            <w:pPr>
              <w:pStyle w:val="ECCTabletext"/>
              <w:jc w:val="left"/>
              <w:rPr>
                <w:noProof/>
              </w:rPr>
            </w:pPr>
            <w:r w:rsidRPr="006D6727">
              <w:rPr>
                <w:noProof/>
              </w:rPr>
              <w:t>φ=0°</w:t>
            </w:r>
          </w:p>
        </w:tc>
        <w:tc>
          <w:tcPr>
            <w:tcW w:w="1276" w:type="dxa"/>
          </w:tcPr>
          <w:p w14:paraId="593945F6" w14:textId="77777777" w:rsidR="00735BAE" w:rsidRPr="006D6727" w:rsidRDefault="00735BAE" w:rsidP="000A69BD">
            <w:pPr>
              <w:pStyle w:val="ECCTabletext"/>
              <w:jc w:val="left"/>
              <w:rPr>
                <w:noProof/>
              </w:rPr>
            </w:pPr>
            <w:r w:rsidRPr="006D6727">
              <w:rPr>
                <w:noProof/>
              </w:rPr>
              <w:t>φ=90°</w:t>
            </w:r>
          </w:p>
        </w:tc>
        <w:tc>
          <w:tcPr>
            <w:tcW w:w="1134" w:type="dxa"/>
          </w:tcPr>
          <w:p w14:paraId="053DE056" w14:textId="77777777" w:rsidR="00735BAE" w:rsidRPr="006D6727" w:rsidRDefault="00735BAE" w:rsidP="000A69BD">
            <w:pPr>
              <w:pStyle w:val="ECCTabletext"/>
              <w:jc w:val="left"/>
              <w:rPr>
                <w:noProof/>
              </w:rPr>
            </w:pPr>
            <w:r w:rsidRPr="006D6727">
              <w:rPr>
                <w:noProof/>
              </w:rPr>
              <w:t>φ=0°</w:t>
            </w:r>
          </w:p>
        </w:tc>
        <w:tc>
          <w:tcPr>
            <w:tcW w:w="1100" w:type="dxa"/>
          </w:tcPr>
          <w:p w14:paraId="31D40149" w14:textId="77777777" w:rsidR="00735BAE" w:rsidRPr="006D6727" w:rsidRDefault="00735BAE" w:rsidP="000A69BD">
            <w:pPr>
              <w:pStyle w:val="ECCTabletext"/>
              <w:jc w:val="left"/>
              <w:rPr>
                <w:noProof/>
              </w:rPr>
            </w:pPr>
            <w:r w:rsidRPr="006D6727">
              <w:rPr>
                <w:noProof/>
              </w:rPr>
              <w:t>φ=90°</w:t>
            </w:r>
          </w:p>
        </w:tc>
      </w:tr>
      <w:tr w:rsidR="00735BAE" w:rsidRPr="006D6727" w14:paraId="159F7F56" w14:textId="77777777" w:rsidTr="007A4F98">
        <w:tc>
          <w:tcPr>
            <w:tcW w:w="3205" w:type="dxa"/>
          </w:tcPr>
          <w:p w14:paraId="5A776DED" w14:textId="77777777" w:rsidR="00735BAE" w:rsidRPr="006D6727" w:rsidRDefault="00735BAE" w:rsidP="000A69BD">
            <w:pPr>
              <w:pStyle w:val="ECCTabletext"/>
              <w:jc w:val="left"/>
              <w:rPr>
                <w:noProof/>
              </w:rPr>
            </w:pPr>
            <w:r w:rsidRPr="006D6727">
              <w:rPr>
                <w:noProof/>
              </w:rPr>
              <w:t>Typical antenna gain in main beam in dBi</w:t>
            </w:r>
          </w:p>
        </w:tc>
        <w:tc>
          <w:tcPr>
            <w:tcW w:w="1014" w:type="dxa"/>
          </w:tcPr>
          <w:p w14:paraId="32C0F9C9" w14:textId="77777777" w:rsidR="00735BAE" w:rsidRPr="006D6727" w:rsidRDefault="00735BAE" w:rsidP="000A69BD">
            <w:pPr>
              <w:pStyle w:val="ECCTabletext"/>
              <w:jc w:val="left"/>
              <w:rPr>
                <w:noProof/>
              </w:rPr>
            </w:pPr>
            <w:r w:rsidRPr="006D6727">
              <w:rPr>
                <w:noProof/>
              </w:rPr>
              <w:t>30</w:t>
            </w:r>
          </w:p>
        </w:tc>
        <w:tc>
          <w:tcPr>
            <w:tcW w:w="1134" w:type="dxa"/>
          </w:tcPr>
          <w:p w14:paraId="303B61F2" w14:textId="77777777" w:rsidR="00735BAE" w:rsidRPr="006D6727" w:rsidRDefault="00735BAE" w:rsidP="000A69BD">
            <w:pPr>
              <w:pStyle w:val="ECCTabletext"/>
              <w:jc w:val="left"/>
              <w:rPr>
                <w:noProof/>
              </w:rPr>
            </w:pPr>
            <w:r w:rsidRPr="006D6727">
              <w:rPr>
                <w:noProof/>
              </w:rPr>
              <w:t>30</w:t>
            </w:r>
          </w:p>
        </w:tc>
        <w:tc>
          <w:tcPr>
            <w:tcW w:w="992" w:type="dxa"/>
          </w:tcPr>
          <w:p w14:paraId="71295727" w14:textId="77777777" w:rsidR="00735BAE" w:rsidRPr="006D6727" w:rsidRDefault="00735BAE" w:rsidP="000A69BD">
            <w:pPr>
              <w:pStyle w:val="ECCTabletext"/>
              <w:jc w:val="left"/>
              <w:rPr>
                <w:rStyle w:val="ECCHLyellow"/>
                <w:noProof/>
              </w:rPr>
            </w:pPr>
            <w:r w:rsidRPr="006D6727">
              <w:rPr>
                <w:noProof/>
              </w:rPr>
              <w:t>31</w:t>
            </w:r>
          </w:p>
        </w:tc>
        <w:tc>
          <w:tcPr>
            <w:tcW w:w="1276" w:type="dxa"/>
          </w:tcPr>
          <w:p w14:paraId="5A0175FE" w14:textId="77777777" w:rsidR="00735BAE" w:rsidRPr="006D6727" w:rsidRDefault="00735BAE" w:rsidP="000A69BD">
            <w:pPr>
              <w:pStyle w:val="ECCTabletext"/>
              <w:jc w:val="left"/>
              <w:rPr>
                <w:rStyle w:val="ECCHLyellow"/>
                <w:noProof/>
              </w:rPr>
            </w:pPr>
            <w:r w:rsidRPr="006D6727">
              <w:rPr>
                <w:noProof/>
              </w:rPr>
              <w:t>31</w:t>
            </w:r>
          </w:p>
        </w:tc>
        <w:tc>
          <w:tcPr>
            <w:tcW w:w="1134" w:type="dxa"/>
          </w:tcPr>
          <w:p w14:paraId="051870D0" w14:textId="77777777" w:rsidR="00735BAE" w:rsidRPr="006D6727" w:rsidRDefault="00735BAE" w:rsidP="000A69BD">
            <w:pPr>
              <w:pStyle w:val="ECCTabletext"/>
              <w:jc w:val="left"/>
              <w:rPr>
                <w:rStyle w:val="ECCParagraph"/>
                <w:noProof/>
              </w:rPr>
            </w:pPr>
            <w:r w:rsidRPr="006D6727">
              <w:rPr>
                <w:noProof/>
              </w:rPr>
              <w:t>31</w:t>
            </w:r>
          </w:p>
        </w:tc>
        <w:tc>
          <w:tcPr>
            <w:tcW w:w="1100" w:type="dxa"/>
          </w:tcPr>
          <w:p w14:paraId="15AC7F62" w14:textId="77777777" w:rsidR="00735BAE" w:rsidRPr="006D6727" w:rsidRDefault="00735BAE" w:rsidP="000A69BD">
            <w:pPr>
              <w:pStyle w:val="ECCTabletext"/>
              <w:jc w:val="left"/>
              <w:rPr>
                <w:rStyle w:val="ECCParagraph"/>
                <w:noProof/>
              </w:rPr>
            </w:pPr>
            <w:r w:rsidRPr="006D6727">
              <w:rPr>
                <w:noProof/>
              </w:rPr>
              <w:t>31</w:t>
            </w:r>
          </w:p>
        </w:tc>
      </w:tr>
      <w:tr w:rsidR="00735BAE" w:rsidRPr="006D6727" w14:paraId="18CA2D33" w14:textId="77777777" w:rsidTr="007A4F98">
        <w:tc>
          <w:tcPr>
            <w:tcW w:w="3205" w:type="dxa"/>
          </w:tcPr>
          <w:p w14:paraId="22E4CA94" w14:textId="77777777" w:rsidR="00735BAE" w:rsidRPr="006D6727" w:rsidRDefault="00735BAE" w:rsidP="000A69BD">
            <w:pPr>
              <w:pStyle w:val="ECCTabletext"/>
              <w:jc w:val="left"/>
              <w:rPr>
                <w:noProof/>
              </w:rPr>
            </w:pPr>
            <w:r w:rsidRPr="006D6727">
              <w:rPr>
                <w:noProof/>
              </w:rPr>
              <w:t>Antenna gain &gt;24° in dBi</w:t>
            </w:r>
          </w:p>
        </w:tc>
        <w:tc>
          <w:tcPr>
            <w:tcW w:w="1014" w:type="dxa"/>
          </w:tcPr>
          <w:p w14:paraId="3E3C5C6B" w14:textId="77777777" w:rsidR="00735BAE" w:rsidRPr="006D6727" w:rsidRDefault="00735BAE" w:rsidP="000A69BD">
            <w:pPr>
              <w:pStyle w:val="ECCTabletext"/>
              <w:jc w:val="left"/>
              <w:rPr>
                <w:rStyle w:val="ECCParagraph"/>
                <w:noProof/>
              </w:rPr>
            </w:pPr>
            <w:r w:rsidRPr="006D6727">
              <w:rPr>
                <w:rStyle w:val="ECCParagraph"/>
                <w:noProof/>
              </w:rPr>
              <w:t>0</w:t>
            </w:r>
          </w:p>
        </w:tc>
        <w:tc>
          <w:tcPr>
            <w:tcW w:w="1134" w:type="dxa"/>
          </w:tcPr>
          <w:p w14:paraId="2CB247BE" w14:textId="77777777" w:rsidR="00735BAE" w:rsidRPr="006D6727" w:rsidRDefault="00735BAE" w:rsidP="000A69BD">
            <w:pPr>
              <w:pStyle w:val="ECCTabletext"/>
              <w:jc w:val="left"/>
              <w:rPr>
                <w:rStyle w:val="ECCParagraph"/>
                <w:noProof/>
              </w:rPr>
            </w:pPr>
            <w:r w:rsidRPr="006D6727">
              <w:rPr>
                <w:rStyle w:val="ECCParagraph"/>
                <w:noProof/>
              </w:rPr>
              <w:t>2</w:t>
            </w:r>
          </w:p>
        </w:tc>
        <w:tc>
          <w:tcPr>
            <w:tcW w:w="992" w:type="dxa"/>
          </w:tcPr>
          <w:p w14:paraId="4E7719D1" w14:textId="77777777" w:rsidR="00735BAE" w:rsidRPr="006D6727" w:rsidRDefault="00735BAE" w:rsidP="000A69BD">
            <w:pPr>
              <w:pStyle w:val="ECCTabletext"/>
              <w:jc w:val="left"/>
              <w:rPr>
                <w:rStyle w:val="ECCParagraph"/>
                <w:noProof/>
              </w:rPr>
            </w:pPr>
            <w:r w:rsidRPr="006D6727">
              <w:rPr>
                <w:rStyle w:val="ECCParagraph"/>
                <w:noProof/>
              </w:rPr>
              <w:t>0</w:t>
            </w:r>
          </w:p>
        </w:tc>
        <w:tc>
          <w:tcPr>
            <w:tcW w:w="1276" w:type="dxa"/>
          </w:tcPr>
          <w:p w14:paraId="4A263FF1" w14:textId="77777777" w:rsidR="00735BAE" w:rsidRPr="006D6727" w:rsidRDefault="00735BAE" w:rsidP="000A69BD">
            <w:pPr>
              <w:pStyle w:val="ECCTabletext"/>
              <w:jc w:val="left"/>
              <w:rPr>
                <w:rStyle w:val="ECCParagraph"/>
                <w:noProof/>
              </w:rPr>
            </w:pPr>
            <w:r w:rsidRPr="006D6727">
              <w:rPr>
                <w:rStyle w:val="ECCParagraph"/>
                <w:noProof/>
              </w:rPr>
              <w:t>2</w:t>
            </w:r>
          </w:p>
        </w:tc>
        <w:tc>
          <w:tcPr>
            <w:tcW w:w="1134" w:type="dxa"/>
          </w:tcPr>
          <w:p w14:paraId="386FD24C" w14:textId="77777777" w:rsidR="00735BAE" w:rsidRPr="006D6727" w:rsidRDefault="00735BAE" w:rsidP="000A69BD">
            <w:pPr>
              <w:pStyle w:val="ECCTabletext"/>
              <w:jc w:val="left"/>
              <w:rPr>
                <w:rStyle w:val="ECCParagraph"/>
                <w:noProof/>
              </w:rPr>
            </w:pPr>
            <w:r w:rsidRPr="006D6727">
              <w:rPr>
                <w:rStyle w:val="ECCParagraph"/>
                <w:noProof/>
              </w:rPr>
              <w:t>-3</w:t>
            </w:r>
          </w:p>
        </w:tc>
        <w:tc>
          <w:tcPr>
            <w:tcW w:w="1100" w:type="dxa"/>
          </w:tcPr>
          <w:p w14:paraId="34E38DF8" w14:textId="77777777" w:rsidR="00735BAE" w:rsidRPr="006D6727" w:rsidRDefault="00735BAE" w:rsidP="000A69BD">
            <w:pPr>
              <w:pStyle w:val="ECCTabletext"/>
              <w:jc w:val="left"/>
              <w:rPr>
                <w:rStyle w:val="ECCParagraph"/>
                <w:noProof/>
              </w:rPr>
            </w:pPr>
            <w:r w:rsidRPr="006D6727">
              <w:rPr>
                <w:rStyle w:val="ECCParagraph"/>
                <w:noProof/>
              </w:rPr>
              <w:t>2</w:t>
            </w:r>
          </w:p>
        </w:tc>
      </w:tr>
      <w:tr w:rsidR="00735BAE" w:rsidRPr="006D6727" w14:paraId="4C873D30" w14:textId="77777777" w:rsidTr="007A4F98">
        <w:tc>
          <w:tcPr>
            <w:tcW w:w="3205" w:type="dxa"/>
          </w:tcPr>
          <w:p w14:paraId="1F34C9A8" w14:textId="77777777" w:rsidR="00735BAE" w:rsidRPr="006D6727" w:rsidRDefault="00735BAE" w:rsidP="000A69BD">
            <w:pPr>
              <w:pStyle w:val="ECCTabletext"/>
              <w:jc w:val="left"/>
              <w:rPr>
                <w:noProof/>
              </w:rPr>
            </w:pPr>
            <w:r w:rsidRPr="006D6727">
              <w:rPr>
                <w:noProof/>
              </w:rPr>
              <w:t>Sidelobe suppression &gt;24° in dB</w:t>
            </w:r>
          </w:p>
        </w:tc>
        <w:tc>
          <w:tcPr>
            <w:tcW w:w="1014" w:type="dxa"/>
          </w:tcPr>
          <w:p w14:paraId="4728FA7D" w14:textId="77777777" w:rsidR="00735BAE" w:rsidRPr="006D6727" w:rsidRDefault="005B705C" w:rsidP="000A69BD">
            <w:pPr>
              <w:pStyle w:val="ECCTabletext"/>
              <w:jc w:val="left"/>
              <w:rPr>
                <w:rStyle w:val="ECCParagraph"/>
                <w:noProof/>
              </w:rPr>
            </w:pPr>
            <w:r w:rsidRPr="006D6727">
              <w:rPr>
                <w:rStyle w:val="ECCParagraph"/>
                <w:noProof/>
              </w:rPr>
              <w:t>30</w:t>
            </w:r>
          </w:p>
        </w:tc>
        <w:tc>
          <w:tcPr>
            <w:tcW w:w="1134" w:type="dxa"/>
          </w:tcPr>
          <w:p w14:paraId="0A1E59B1" w14:textId="77777777" w:rsidR="00735BAE" w:rsidRPr="006D6727" w:rsidRDefault="005B705C" w:rsidP="000A69BD">
            <w:pPr>
              <w:pStyle w:val="ECCTabletext"/>
              <w:jc w:val="left"/>
              <w:rPr>
                <w:rStyle w:val="ECCParagraph"/>
                <w:noProof/>
              </w:rPr>
            </w:pPr>
            <w:r w:rsidRPr="006D6727">
              <w:rPr>
                <w:rStyle w:val="ECCParagraph"/>
                <w:noProof/>
              </w:rPr>
              <w:t>28</w:t>
            </w:r>
          </w:p>
        </w:tc>
        <w:tc>
          <w:tcPr>
            <w:tcW w:w="992" w:type="dxa"/>
          </w:tcPr>
          <w:p w14:paraId="49638B54" w14:textId="77777777" w:rsidR="00735BAE" w:rsidRPr="006D6727" w:rsidRDefault="005B705C" w:rsidP="000A69BD">
            <w:pPr>
              <w:pStyle w:val="ECCTabletext"/>
              <w:jc w:val="left"/>
              <w:rPr>
                <w:rStyle w:val="ECCParagraph"/>
                <w:noProof/>
              </w:rPr>
            </w:pPr>
            <w:r w:rsidRPr="006D6727">
              <w:rPr>
                <w:rStyle w:val="ECCParagraph"/>
                <w:noProof/>
              </w:rPr>
              <w:t>31</w:t>
            </w:r>
          </w:p>
        </w:tc>
        <w:tc>
          <w:tcPr>
            <w:tcW w:w="1276" w:type="dxa"/>
          </w:tcPr>
          <w:p w14:paraId="0AE4FFEB" w14:textId="77777777" w:rsidR="00735BAE" w:rsidRPr="006D6727" w:rsidRDefault="005B705C" w:rsidP="000A69BD">
            <w:pPr>
              <w:pStyle w:val="ECCTabletext"/>
              <w:jc w:val="left"/>
              <w:rPr>
                <w:rStyle w:val="ECCParagraph"/>
                <w:noProof/>
              </w:rPr>
            </w:pPr>
            <w:r w:rsidRPr="006D6727">
              <w:rPr>
                <w:rStyle w:val="ECCParagraph"/>
                <w:noProof/>
              </w:rPr>
              <w:t>29</w:t>
            </w:r>
          </w:p>
        </w:tc>
        <w:tc>
          <w:tcPr>
            <w:tcW w:w="1134" w:type="dxa"/>
          </w:tcPr>
          <w:p w14:paraId="0E3A8B27" w14:textId="77777777" w:rsidR="00735BAE" w:rsidRPr="006D6727" w:rsidRDefault="005B705C" w:rsidP="000A69BD">
            <w:pPr>
              <w:pStyle w:val="ECCTabletext"/>
              <w:jc w:val="left"/>
              <w:rPr>
                <w:rStyle w:val="ECCParagraph"/>
                <w:noProof/>
              </w:rPr>
            </w:pPr>
            <w:r w:rsidRPr="006D6727">
              <w:rPr>
                <w:rStyle w:val="ECCParagraph"/>
                <w:noProof/>
              </w:rPr>
              <w:t>34</w:t>
            </w:r>
          </w:p>
        </w:tc>
        <w:tc>
          <w:tcPr>
            <w:tcW w:w="1100" w:type="dxa"/>
          </w:tcPr>
          <w:p w14:paraId="76F91428" w14:textId="77777777" w:rsidR="00735BAE" w:rsidRPr="006D6727" w:rsidRDefault="005B705C" w:rsidP="000A69BD">
            <w:pPr>
              <w:pStyle w:val="ECCTabletext"/>
              <w:jc w:val="left"/>
              <w:rPr>
                <w:rStyle w:val="ECCParagraph"/>
                <w:noProof/>
              </w:rPr>
            </w:pPr>
            <w:r w:rsidRPr="006D6727">
              <w:rPr>
                <w:rStyle w:val="ECCParagraph"/>
                <w:noProof/>
              </w:rPr>
              <w:t>29</w:t>
            </w:r>
          </w:p>
        </w:tc>
      </w:tr>
      <w:tr w:rsidR="00735BAE" w:rsidRPr="006D6727" w14:paraId="5542066F" w14:textId="77777777" w:rsidTr="007A4F98">
        <w:tc>
          <w:tcPr>
            <w:tcW w:w="3205" w:type="dxa"/>
          </w:tcPr>
          <w:p w14:paraId="7B43419C" w14:textId="77777777" w:rsidR="00735BAE" w:rsidRPr="006D6727" w:rsidRDefault="00735BAE" w:rsidP="000A69BD">
            <w:pPr>
              <w:pStyle w:val="ECCTabletext"/>
              <w:jc w:val="left"/>
              <w:rPr>
                <w:noProof/>
              </w:rPr>
            </w:pPr>
            <w:r w:rsidRPr="006D6727">
              <w:rPr>
                <w:noProof/>
              </w:rPr>
              <w:t>Antenna gain &gt;60° in dBi</w:t>
            </w:r>
          </w:p>
        </w:tc>
        <w:tc>
          <w:tcPr>
            <w:tcW w:w="1014" w:type="dxa"/>
          </w:tcPr>
          <w:p w14:paraId="5E390271" w14:textId="77777777" w:rsidR="00735BAE" w:rsidRPr="006D6727" w:rsidRDefault="00735BAE" w:rsidP="000A69BD">
            <w:pPr>
              <w:pStyle w:val="ECCTabletext"/>
              <w:jc w:val="left"/>
              <w:rPr>
                <w:rStyle w:val="ECCParagraph"/>
                <w:noProof/>
              </w:rPr>
            </w:pPr>
            <w:r w:rsidRPr="006D6727">
              <w:rPr>
                <w:rStyle w:val="ECCParagraph"/>
                <w:noProof/>
              </w:rPr>
              <w:t>-3</w:t>
            </w:r>
          </w:p>
        </w:tc>
        <w:tc>
          <w:tcPr>
            <w:tcW w:w="1134" w:type="dxa"/>
          </w:tcPr>
          <w:p w14:paraId="4C1FA428" w14:textId="77777777" w:rsidR="00735BAE" w:rsidRPr="006D6727" w:rsidRDefault="00735BAE" w:rsidP="000A69BD">
            <w:pPr>
              <w:pStyle w:val="ECCTabletext"/>
              <w:jc w:val="left"/>
              <w:rPr>
                <w:rStyle w:val="ECCParagraph"/>
                <w:noProof/>
              </w:rPr>
            </w:pPr>
            <w:r w:rsidRPr="006D6727">
              <w:rPr>
                <w:rStyle w:val="ECCParagraph"/>
                <w:noProof/>
              </w:rPr>
              <w:t>-1</w:t>
            </w:r>
          </w:p>
        </w:tc>
        <w:tc>
          <w:tcPr>
            <w:tcW w:w="992" w:type="dxa"/>
          </w:tcPr>
          <w:p w14:paraId="74E97D14" w14:textId="77777777" w:rsidR="00735BAE" w:rsidRPr="006D6727" w:rsidRDefault="00735BAE" w:rsidP="000A69BD">
            <w:pPr>
              <w:pStyle w:val="ECCTabletext"/>
              <w:jc w:val="left"/>
              <w:rPr>
                <w:rStyle w:val="ECCParagraph"/>
                <w:noProof/>
              </w:rPr>
            </w:pPr>
            <w:r w:rsidRPr="006D6727">
              <w:rPr>
                <w:rStyle w:val="ECCParagraph"/>
                <w:noProof/>
              </w:rPr>
              <w:t>-4</w:t>
            </w:r>
          </w:p>
        </w:tc>
        <w:tc>
          <w:tcPr>
            <w:tcW w:w="1276" w:type="dxa"/>
          </w:tcPr>
          <w:p w14:paraId="3C704D58" w14:textId="77777777" w:rsidR="00735BAE" w:rsidRPr="006D6727" w:rsidRDefault="00735BAE" w:rsidP="000A69BD">
            <w:pPr>
              <w:pStyle w:val="ECCTabletext"/>
              <w:jc w:val="left"/>
              <w:rPr>
                <w:rStyle w:val="ECCParagraph"/>
                <w:noProof/>
              </w:rPr>
            </w:pPr>
            <w:r w:rsidRPr="006D6727">
              <w:rPr>
                <w:rStyle w:val="ECCParagraph"/>
                <w:noProof/>
              </w:rPr>
              <w:t>-1</w:t>
            </w:r>
          </w:p>
        </w:tc>
        <w:tc>
          <w:tcPr>
            <w:tcW w:w="1134" w:type="dxa"/>
          </w:tcPr>
          <w:p w14:paraId="3B540428" w14:textId="77777777" w:rsidR="00735BAE" w:rsidRPr="006D6727" w:rsidRDefault="00735BAE" w:rsidP="000A69BD">
            <w:pPr>
              <w:pStyle w:val="ECCTabletext"/>
              <w:jc w:val="left"/>
              <w:rPr>
                <w:rStyle w:val="ECCParagraph"/>
                <w:noProof/>
              </w:rPr>
            </w:pPr>
            <w:r w:rsidRPr="006D6727">
              <w:rPr>
                <w:rStyle w:val="ECCParagraph"/>
                <w:noProof/>
              </w:rPr>
              <w:t>-5</w:t>
            </w:r>
          </w:p>
        </w:tc>
        <w:tc>
          <w:tcPr>
            <w:tcW w:w="1100" w:type="dxa"/>
          </w:tcPr>
          <w:p w14:paraId="21304E8C" w14:textId="77777777" w:rsidR="00735BAE" w:rsidRPr="006D6727" w:rsidRDefault="00735BAE" w:rsidP="000A69BD">
            <w:pPr>
              <w:pStyle w:val="ECCTabletext"/>
              <w:jc w:val="left"/>
              <w:rPr>
                <w:rStyle w:val="ECCParagraph"/>
                <w:noProof/>
              </w:rPr>
            </w:pPr>
            <w:r w:rsidRPr="006D6727">
              <w:rPr>
                <w:rStyle w:val="ECCParagraph"/>
                <w:noProof/>
              </w:rPr>
              <w:t>-1</w:t>
            </w:r>
          </w:p>
        </w:tc>
      </w:tr>
      <w:tr w:rsidR="00735BAE" w:rsidRPr="006D6727" w14:paraId="564A10B8" w14:textId="77777777" w:rsidTr="007A4F98">
        <w:tc>
          <w:tcPr>
            <w:tcW w:w="3205" w:type="dxa"/>
          </w:tcPr>
          <w:p w14:paraId="60FDA54B" w14:textId="77777777" w:rsidR="00735BAE" w:rsidRPr="006D6727" w:rsidRDefault="00735BAE" w:rsidP="000A69BD">
            <w:pPr>
              <w:pStyle w:val="ECCTabletext"/>
              <w:jc w:val="left"/>
              <w:rPr>
                <w:noProof/>
              </w:rPr>
            </w:pPr>
            <w:r w:rsidRPr="006D6727">
              <w:rPr>
                <w:noProof/>
              </w:rPr>
              <w:t>Sidelobe suppression &gt;60° in dB</w:t>
            </w:r>
          </w:p>
        </w:tc>
        <w:tc>
          <w:tcPr>
            <w:tcW w:w="1014" w:type="dxa"/>
          </w:tcPr>
          <w:p w14:paraId="7DBB0755" w14:textId="77777777" w:rsidR="00735BAE" w:rsidRPr="006D6727" w:rsidRDefault="005B705C" w:rsidP="000A69BD">
            <w:pPr>
              <w:pStyle w:val="ECCTabletext"/>
              <w:jc w:val="left"/>
              <w:rPr>
                <w:rStyle w:val="ECCParagraph"/>
                <w:noProof/>
              </w:rPr>
            </w:pPr>
            <w:r w:rsidRPr="006D6727">
              <w:rPr>
                <w:rStyle w:val="ECCParagraph"/>
                <w:noProof/>
              </w:rPr>
              <w:t>33</w:t>
            </w:r>
          </w:p>
        </w:tc>
        <w:tc>
          <w:tcPr>
            <w:tcW w:w="1134" w:type="dxa"/>
          </w:tcPr>
          <w:p w14:paraId="0B1546F6" w14:textId="77777777" w:rsidR="00735BAE" w:rsidRPr="006D6727" w:rsidRDefault="005B705C" w:rsidP="000A69BD">
            <w:pPr>
              <w:pStyle w:val="ECCTabletext"/>
              <w:jc w:val="left"/>
              <w:rPr>
                <w:rStyle w:val="ECCParagraph"/>
                <w:noProof/>
              </w:rPr>
            </w:pPr>
            <w:r w:rsidRPr="006D6727">
              <w:rPr>
                <w:rStyle w:val="ECCParagraph"/>
                <w:noProof/>
              </w:rPr>
              <w:t>31</w:t>
            </w:r>
          </w:p>
        </w:tc>
        <w:tc>
          <w:tcPr>
            <w:tcW w:w="992" w:type="dxa"/>
          </w:tcPr>
          <w:p w14:paraId="4A50013E" w14:textId="77777777" w:rsidR="00735BAE" w:rsidRPr="006D6727" w:rsidRDefault="005B705C" w:rsidP="000A69BD">
            <w:pPr>
              <w:pStyle w:val="ECCTabletext"/>
              <w:jc w:val="left"/>
              <w:rPr>
                <w:rStyle w:val="ECCParagraph"/>
                <w:noProof/>
              </w:rPr>
            </w:pPr>
            <w:r w:rsidRPr="006D6727">
              <w:rPr>
                <w:rStyle w:val="ECCParagraph"/>
                <w:noProof/>
              </w:rPr>
              <w:t>35</w:t>
            </w:r>
          </w:p>
        </w:tc>
        <w:tc>
          <w:tcPr>
            <w:tcW w:w="1276" w:type="dxa"/>
          </w:tcPr>
          <w:p w14:paraId="7A4C7200" w14:textId="77777777" w:rsidR="00735BAE" w:rsidRPr="006D6727" w:rsidRDefault="005B705C" w:rsidP="000A69BD">
            <w:pPr>
              <w:pStyle w:val="ECCTabletext"/>
              <w:jc w:val="left"/>
              <w:rPr>
                <w:rStyle w:val="ECCParagraph"/>
                <w:noProof/>
              </w:rPr>
            </w:pPr>
            <w:r w:rsidRPr="006D6727">
              <w:rPr>
                <w:rStyle w:val="ECCParagraph"/>
                <w:noProof/>
              </w:rPr>
              <w:t>32</w:t>
            </w:r>
          </w:p>
        </w:tc>
        <w:tc>
          <w:tcPr>
            <w:tcW w:w="1134" w:type="dxa"/>
          </w:tcPr>
          <w:p w14:paraId="61BE58F8" w14:textId="77777777" w:rsidR="00735BAE" w:rsidRPr="006D6727" w:rsidRDefault="005B705C" w:rsidP="000A69BD">
            <w:pPr>
              <w:pStyle w:val="ECCTabletext"/>
              <w:jc w:val="left"/>
              <w:rPr>
                <w:rStyle w:val="ECCParagraph"/>
                <w:noProof/>
              </w:rPr>
            </w:pPr>
            <w:r w:rsidRPr="006D6727">
              <w:rPr>
                <w:rStyle w:val="ECCParagraph"/>
                <w:noProof/>
              </w:rPr>
              <w:t>36</w:t>
            </w:r>
          </w:p>
        </w:tc>
        <w:tc>
          <w:tcPr>
            <w:tcW w:w="1100" w:type="dxa"/>
          </w:tcPr>
          <w:p w14:paraId="5E67FC61" w14:textId="77777777" w:rsidR="00735BAE" w:rsidRPr="006D6727" w:rsidRDefault="005B705C" w:rsidP="000A69BD">
            <w:pPr>
              <w:pStyle w:val="ECCTabletext"/>
              <w:jc w:val="left"/>
              <w:rPr>
                <w:rStyle w:val="ECCParagraph"/>
                <w:noProof/>
              </w:rPr>
            </w:pPr>
            <w:r w:rsidRPr="006D6727">
              <w:rPr>
                <w:rStyle w:val="ECCParagraph"/>
                <w:noProof/>
              </w:rPr>
              <w:t>32</w:t>
            </w:r>
          </w:p>
        </w:tc>
      </w:tr>
      <w:tr w:rsidR="001034B8" w:rsidRPr="006D6727" w14:paraId="69F2910A" w14:textId="77777777" w:rsidTr="007A4F98">
        <w:tc>
          <w:tcPr>
            <w:tcW w:w="3205" w:type="dxa"/>
          </w:tcPr>
          <w:p w14:paraId="727049DE" w14:textId="77777777" w:rsidR="001034B8" w:rsidRPr="006D6727" w:rsidRDefault="001034B8" w:rsidP="000A69BD">
            <w:pPr>
              <w:pStyle w:val="ECCTabletext"/>
              <w:jc w:val="left"/>
              <w:rPr>
                <w:noProof/>
              </w:rPr>
            </w:pPr>
            <w:r w:rsidRPr="006D6727">
              <w:rPr>
                <w:noProof/>
              </w:rPr>
              <w:t>Half power beamwidth (HPBW)</w:t>
            </w:r>
            <w:r w:rsidR="003D3B99" w:rsidRPr="006D6727">
              <w:rPr>
                <w:noProof/>
              </w:rPr>
              <w:t xml:space="preserve"> in degrees</w:t>
            </w:r>
          </w:p>
        </w:tc>
        <w:tc>
          <w:tcPr>
            <w:tcW w:w="1014" w:type="dxa"/>
          </w:tcPr>
          <w:p w14:paraId="58CEC07C" w14:textId="77777777" w:rsidR="001034B8" w:rsidRPr="006D6727" w:rsidRDefault="001034B8" w:rsidP="001034B8">
            <w:pPr>
              <w:pStyle w:val="ECCTabletext"/>
              <w:rPr>
                <w:rStyle w:val="ECCParagraph"/>
                <w:noProof/>
              </w:rPr>
            </w:pPr>
          </w:p>
        </w:tc>
        <w:tc>
          <w:tcPr>
            <w:tcW w:w="1134" w:type="dxa"/>
          </w:tcPr>
          <w:p w14:paraId="0EBB3230" w14:textId="77777777" w:rsidR="001034B8" w:rsidRPr="006D6727" w:rsidRDefault="001034B8" w:rsidP="001034B8">
            <w:pPr>
              <w:pStyle w:val="ECCTabletext"/>
              <w:rPr>
                <w:rStyle w:val="ECCParagraph"/>
                <w:noProof/>
              </w:rPr>
            </w:pPr>
          </w:p>
        </w:tc>
        <w:tc>
          <w:tcPr>
            <w:tcW w:w="992" w:type="dxa"/>
          </w:tcPr>
          <w:p w14:paraId="3E810672" w14:textId="77777777" w:rsidR="001034B8" w:rsidRPr="006D6727" w:rsidRDefault="001034B8" w:rsidP="000A69BD">
            <w:pPr>
              <w:pStyle w:val="ECCTabletext"/>
              <w:jc w:val="left"/>
              <w:rPr>
                <w:rStyle w:val="ECCParagraph"/>
                <w:noProof/>
              </w:rPr>
            </w:pPr>
            <w:r w:rsidRPr="006D6727">
              <w:rPr>
                <w:noProof/>
              </w:rPr>
              <w:t>4</w:t>
            </w:r>
            <w:r w:rsidR="00CF4994">
              <w:rPr>
                <w:noProof/>
              </w:rPr>
              <w:t>.7</w:t>
            </w:r>
          </w:p>
        </w:tc>
        <w:tc>
          <w:tcPr>
            <w:tcW w:w="1276" w:type="dxa"/>
          </w:tcPr>
          <w:p w14:paraId="76E1274A" w14:textId="77777777" w:rsidR="001034B8" w:rsidRPr="006D6727" w:rsidRDefault="001034B8" w:rsidP="000A69BD">
            <w:pPr>
              <w:pStyle w:val="ECCTabletext"/>
              <w:jc w:val="left"/>
              <w:rPr>
                <w:rStyle w:val="ECCParagraph"/>
                <w:noProof/>
              </w:rPr>
            </w:pPr>
            <w:r w:rsidRPr="006D6727">
              <w:rPr>
                <w:noProof/>
              </w:rPr>
              <w:t>5</w:t>
            </w:r>
            <w:r w:rsidR="00CF4994">
              <w:rPr>
                <w:noProof/>
              </w:rPr>
              <w:t>.0</w:t>
            </w:r>
          </w:p>
        </w:tc>
        <w:tc>
          <w:tcPr>
            <w:tcW w:w="1134" w:type="dxa"/>
          </w:tcPr>
          <w:p w14:paraId="36AD46F5" w14:textId="77777777" w:rsidR="001034B8" w:rsidRPr="006D6727" w:rsidRDefault="001034B8" w:rsidP="001034B8">
            <w:pPr>
              <w:pStyle w:val="ECCTabletext"/>
              <w:rPr>
                <w:rStyle w:val="ECCParagraph"/>
                <w:noProof/>
              </w:rPr>
            </w:pPr>
          </w:p>
        </w:tc>
        <w:tc>
          <w:tcPr>
            <w:tcW w:w="1100" w:type="dxa"/>
          </w:tcPr>
          <w:p w14:paraId="3087EF42" w14:textId="77777777" w:rsidR="001034B8" w:rsidRPr="006D6727" w:rsidRDefault="001034B8" w:rsidP="001034B8">
            <w:pPr>
              <w:pStyle w:val="ECCTabletext"/>
              <w:rPr>
                <w:rStyle w:val="ECCParagraph"/>
                <w:noProof/>
              </w:rPr>
            </w:pPr>
          </w:p>
        </w:tc>
      </w:tr>
    </w:tbl>
    <w:p w14:paraId="05F4CBA6" w14:textId="77777777" w:rsidR="00A42C77" w:rsidRPr="006D6727" w:rsidRDefault="00A42C77" w:rsidP="00A42C77">
      <w:pPr>
        <w:pStyle w:val="ECCAnnexheading1"/>
        <w:rPr>
          <w:noProof/>
          <w:lang w:val="en-GB"/>
        </w:rPr>
      </w:pPr>
      <w:bookmarkStart w:id="1009" w:name="_Ref20387346"/>
      <w:bookmarkStart w:id="1010" w:name="_Toc127346422"/>
      <w:r w:rsidRPr="006D6727">
        <w:rPr>
          <w:noProof/>
          <w:lang w:val="en-GB"/>
        </w:rPr>
        <w:t>Calculation of the RAS VLBI Interference Threshold</w:t>
      </w:r>
      <w:bookmarkEnd w:id="1009"/>
      <w:bookmarkEnd w:id="1010"/>
    </w:p>
    <w:p w14:paraId="1B35484B" w14:textId="549F60C1" w:rsidR="00A42C77" w:rsidRPr="006D6727" w:rsidRDefault="00A42C77" w:rsidP="00A42C77">
      <w:pPr>
        <w:rPr>
          <w:noProof/>
        </w:rPr>
      </w:pPr>
      <w:r w:rsidRPr="006D6727">
        <w:rPr>
          <w:noProof/>
        </w:rPr>
        <w:t xml:space="preserve">Two representative frequencies are used in </w:t>
      </w:r>
      <w:r w:rsidR="004C103F">
        <w:t>the following sample calculation</w:t>
      </w:r>
      <w:r w:rsidRPr="006D6727">
        <w:rPr>
          <w:noProof/>
        </w:rPr>
        <w:t xml:space="preserve">: 150 GHz and 224 GHz The values indicated for the power entering receiver and spectral power flux density are directly taken from </w:t>
      </w:r>
      <w:r w:rsidR="006A1FE8" w:rsidRPr="006D6727">
        <w:rPr>
          <w:noProof/>
        </w:rPr>
        <w:t xml:space="preserve">Recommendation ITU-R </w:t>
      </w:r>
      <w:r w:rsidRPr="006D6727">
        <w:rPr>
          <w:noProof/>
        </w:rPr>
        <w:t>RA.769-2</w:t>
      </w:r>
      <w:r w:rsidR="002563E1">
        <w:rPr>
          <w:rStyle w:val="ECCParagraph"/>
          <w:noProof/>
        </w:rPr>
        <w:t>, table 1 and table 3</w:t>
      </w:r>
      <w:r w:rsidRPr="006D6727">
        <w:rPr>
          <w:noProof/>
        </w:rPr>
        <w:t xml:space="preserve"> </w:t>
      </w:r>
      <w:r w:rsidR="006A1FE8" w:rsidRPr="006D6727">
        <w:rPr>
          <w:rStyle w:val="ECCParagraph"/>
          <w:noProof/>
        </w:rPr>
        <w:fldChar w:fldCharType="begin"/>
      </w:r>
      <w:r w:rsidR="006A1FE8" w:rsidRPr="006D6727">
        <w:rPr>
          <w:rStyle w:val="ECCParagraph"/>
          <w:noProof/>
        </w:rPr>
        <w:instrText xml:space="preserve"> REF  ITU_R_RA_769_2 \h \w  \* MERGEFORMAT </w:instrText>
      </w:r>
      <w:r w:rsidR="006A1FE8" w:rsidRPr="006D6727">
        <w:rPr>
          <w:rStyle w:val="ECCParagraph"/>
          <w:noProof/>
        </w:rPr>
      </w:r>
      <w:r w:rsidR="006A1FE8" w:rsidRPr="006D6727">
        <w:rPr>
          <w:rStyle w:val="ECCParagraph"/>
          <w:noProof/>
        </w:rPr>
        <w:fldChar w:fldCharType="separate"/>
      </w:r>
      <w:r w:rsidR="004F49F9">
        <w:rPr>
          <w:rStyle w:val="ECCParagraph"/>
          <w:noProof/>
        </w:rPr>
        <w:t>[9]</w:t>
      </w:r>
      <w:r w:rsidR="006A1FE8" w:rsidRPr="006D6727">
        <w:rPr>
          <w:rStyle w:val="ECCParagraph"/>
          <w:noProof/>
        </w:rPr>
        <w:fldChar w:fldCharType="end"/>
      </w:r>
      <w:r w:rsidRPr="006D6727">
        <w:rPr>
          <w:noProof/>
        </w:rPr>
        <w:t xml:space="preserve">. The values for receiver and antenna noise temperatures are from </w:t>
      </w:r>
      <w:r w:rsidR="00BF1D3B">
        <w:t>t</w:t>
      </w:r>
      <w:r w:rsidR="00BF1D3B" w:rsidRPr="006D6727">
        <w:rPr>
          <w:noProof/>
        </w:rPr>
        <w:t>able </w:t>
      </w:r>
      <w:r w:rsidRPr="006D6727">
        <w:rPr>
          <w:noProof/>
        </w:rPr>
        <w:t>1 of RA.769-2.</w:t>
      </w:r>
    </w:p>
    <w:p w14:paraId="6623266F" w14:textId="05C105C1" w:rsidR="00A42C77" w:rsidRPr="006D6727" w:rsidRDefault="00A42C77" w:rsidP="00A42C77">
      <w:pPr>
        <w:rPr>
          <w:noProof/>
        </w:rPr>
      </w:pPr>
      <w:r w:rsidRPr="006D6727">
        <w:rPr>
          <w:noProof/>
        </w:rPr>
        <w:t xml:space="preserve">For 224 GHz, VLBI thresholds are not provided in </w:t>
      </w:r>
      <w:r w:rsidR="00134DC1" w:rsidRPr="006D6727">
        <w:rPr>
          <w:noProof/>
        </w:rPr>
        <w:t>R</w:t>
      </w:r>
      <w:r w:rsidRPr="006D6727">
        <w:rPr>
          <w:noProof/>
        </w:rPr>
        <w:t>ecommendation ITU-R RA.769-2</w:t>
      </w:r>
      <w:r w:rsidR="0025546E" w:rsidRPr="006D6727">
        <w:rPr>
          <w:rStyle w:val="ECCParagraph"/>
          <w:noProof/>
        </w:rPr>
        <w:t xml:space="preserve"> </w:t>
      </w:r>
      <w:r w:rsidRPr="006D6727">
        <w:rPr>
          <w:noProof/>
        </w:rPr>
        <w:t xml:space="preserve">but </w:t>
      </w:r>
      <w:r w:rsidR="00FC6404">
        <w:rPr>
          <w:noProof/>
        </w:rPr>
        <w:t xml:space="preserve">data has been </w:t>
      </w:r>
      <w:r w:rsidRPr="006D6727">
        <w:rPr>
          <w:noProof/>
        </w:rPr>
        <w:t xml:space="preserve"> combined from </w:t>
      </w:r>
      <w:r w:rsidR="002563E1" w:rsidRPr="006D6727">
        <w:rPr>
          <w:noProof/>
        </w:rPr>
        <w:t>Recommendation ITU-R RA.769-2</w:t>
      </w:r>
      <w:r w:rsidR="002563E1">
        <w:rPr>
          <w:rStyle w:val="ECCParagraph"/>
          <w:noProof/>
        </w:rPr>
        <w:t xml:space="preserve">, table 1 </w:t>
      </w:r>
      <w:r w:rsidRPr="006D6727">
        <w:rPr>
          <w:noProof/>
        </w:rPr>
        <w:t xml:space="preserve">(threshold levels of interference detrimental to radio astronomy continuum observations) and the method from </w:t>
      </w:r>
      <w:r w:rsidR="00FC6404" w:rsidRPr="006D6727">
        <w:rPr>
          <w:noProof/>
        </w:rPr>
        <w:t>Recommendation ITU-R RA.769-2</w:t>
      </w:r>
      <w:r w:rsidR="00FC6404">
        <w:rPr>
          <w:rStyle w:val="ECCParagraph"/>
          <w:noProof/>
        </w:rPr>
        <w:t>,</w:t>
      </w:r>
      <w:r w:rsidRPr="006D6727">
        <w:rPr>
          <w:noProof/>
        </w:rPr>
        <w:t xml:space="preserve"> section 2.3 that indicates that “the tolerable interference level is determined by the requirement that the power level of the interfering signal should be no more than 1</w:t>
      </w:r>
      <w:r w:rsidR="00F800A2">
        <w:rPr>
          <w:noProof/>
        </w:rPr>
        <w:t>%</w:t>
      </w:r>
      <w:r w:rsidRPr="006D6727">
        <w:rPr>
          <w:noProof/>
        </w:rPr>
        <w:t xml:space="preserve"> of the receiver noise power to prevent serious errors in the measurement of the amplitude of the cosmic signals.”</w:t>
      </w:r>
    </w:p>
    <w:p w14:paraId="6D864B36" w14:textId="77777777" w:rsidR="00A42C77" w:rsidRPr="006D6727" w:rsidRDefault="00A42C77" w:rsidP="00A42C77">
      <w:pPr>
        <w:rPr>
          <w:rStyle w:val="ECCParagraph"/>
          <w:noProof/>
        </w:rPr>
      </w:pPr>
      <w:r w:rsidRPr="006D6727">
        <w:rPr>
          <w:rStyle w:val="ECCParagraph"/>
          <w:noProof/>
        </w:rPr>
        <w:t>The receiver noise power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24970239" w14:textId="77777777" w:rsidTr="00A708E3">
        <w:tc>
          <w:tcPr>
            <w:tcW w:w="4761" w:type="pct"/>
          </w:tcPr>
          <w:p w14:paraId="7B306985" w14:textId="5BC68264" w:rsidR="00A708E3" w:rsidRPr="00144C97" w:rsidRDefault="00E55534" w:rsidP="008A2884">
            <w:pPr>
              <w:spacing w:before="120" w:after="60"/>
              <w:rPr>
                <w:rStyle w:val="ECCParagraph"/>
                <w:rFonts w:eastAsiaTheme="minorEastAsia" w:cstheme="minorBidi"/>
                <w:lang w:eastAsia="da-DK"/>
              </w:rPr>
            </w:pPr>
            <m:oMathPara>
              <m:oMathParaPr>
                <m:jc m:val="center"/>
              </m:oMathParaPr>
              <m:oMath>
                <m:func>
                  <m:funcPr>
                    <m:ctrlPr>
                      <w:rPr>
                        <w:rFonts w:ascii="Cambria Math" w:hAnsi="Cambria Math"/>
                        <w:noProof/>
                      </w:rPr>
                    </m:ctrlPr>
                  </m:funcPr>
                  <m:fName>
                    <m:sSub>
                      <m:sSubPr>
                        <m:ctrlPr>
                          <w:rPr>
                            <w:rFonts w:ascii="Cambria Math" w:hAnsi="Cambria Math"/>
                            <w:noProof/>
                          </w:rPr>
                        </m:ctrlPr>
                      </m:sSubPr>
                      <m:e>
                        <m:r>
                          <w:rPr>
                            <w:rFonts w:ascii="Cambria Math" w:hAnsi="Cambria Math"/>
                            <w:noProof/>
                          </w:rPr>
                          <m:t>P</m:t>
                        </m:r>
                      </m:e>
                      <m:sub>
                        <m:r>
                          <w:rPr>
                            <w:rFonts w:ascii="Cambria Math" w:hAnsi="Cambria Math"/>
                            <w:noProof/>
                          </w:rPr>
                          <m:t>R</m:t>
                        </m:r>
                      </m:sub>
                    </m:sSub>
                  </m:fName>
                  <m:e>
                    <m:r>
                      <w:rPr>
                        <w:rFonts w:ascii="Cambria Math" w:hAnsi="Cambria Math"/>
                        <w:noProof/>
                      </w:rPr>
                      <m:t xml:space="preserve">=k </m:t>
                    </m:r>
                    <m:d>
                      <m:dPr>
                        <m:ctrlPr>
                          <w:rPr>
                            <w:rFonts w:ascii="Cambria Math" w:hAnsi="Cambria Math"/>
                            <w:noProof/>
                          </w:rPr>
                        </m:ctrlPr>
                      </m:dPr>
                      <m:e>
                        <m:sSub>
                          <m:sSubPr>
                            <m:ctrlPr>
                              <w:rPr>
                                <w:rFonts w:ascii="Cambria Math" w:hAnsi="Cambria Math"/>
                                <w:noProof/>
                              </w:rPr>
                            </m:ctrlPr>
                          </m:sSubPr>
                          <m:e>
                            <m:r>
                              <w:rPr>
                                <w:rFonts w:ascii="Cambria Math" w:hAnsi="Cambria Math"/>
                                <w:noProof/>
                              </w:rPr>
                              <m:t>T</m:t>
                            </m:r>
                          </m:e>
                          <m:sub>
                            <m:r>
                              <w:rPr>
                                <w:rFonts w:ascii="Cambria Math" w:hAnsi="Cambria Math"/>
                                <w:noProof/>
                              </w:rPr>
                              <m:t>A</m:t>
                            </m:r>
                          </m:sub>
                        </m:sSub>
                        <m:r>
                          <w:rPr>
                            <w:rFonts w:ascii="Cambria Math" w:hAnsi="Cambria Math"/>
                            <w:noProof/>
                          </w:rPr>
                          <m:t>+</m:t>
                        </m:r>
                        <m:sSub>
                          <m:sSubPr>
                            <m:ctrlPr>
                              <w:rPr>
                                <w:rFonts w:ascii="Cambria Math" w:hAnsi="Cambria Math"/>
                                <w:noProof/>
                              </w:rPr>
                            </m:ctrlPr>
                          </m:sSubPr>
                          <m:e>
                            <m:r>
                              <w:rPr>
                                <w:rFonts w:ascii="Cambria Math" w:hAnsi="Cambria Math"/>
                                <w:noProof/>
                              </w:rPr>
                              <m:t>T</m:t>
                            </m:r>
                          </m:e>
                          <m:sub>
                            <m:r>
                              <w:rPr>
                                <w:rFonts w:ascii="Cambria Math" w:hAnsi="Cambria Math"/>
                                <w:noProof/>
                              </w:rPr>
                              <m:t>R</m:t>
                            </m:r>
                          </m:sub>
                        </m:sSub>
                      </m:e>
                    </m:d>
                    <m:r>
                      <w:rPr>
                        <w:rFonts w:ascii="Cambria Math" w:hAnsi="Cambria Math"/>
                        <w:noProof/>
                      </w:rPr>
                      <m:t>∆f</m:t>
                    </m:r>
                  </m:e>
                </m:func>
              </m:oMath>
            </m:oMathPara>
          </w:p>
        </w:tc>
        <w:tc>
          <w:tcPr>
            <w:tcW w:w="239" w:type="pct"/>
          </w:tcPr>
          <w:p w14:paraId="0B4D03CA" w14:textId="4358C468"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17</w:t>
            </w:r>
            <w:r>
              <w:fldChar w:fldCharType="end"/>
            </w:r>
            <w:r>
              <w:t>)</w:t>
            </w:r>
          </w:p>
        </w:tc>
      </w:tr>
    </w:tbl>
    <w:p w14:paraId="28359452" w14:textId="2BA21373" w:rsidR="00A42C77" w:rsidRDefault="00003763" w:rsidP="00134DC1">
      <w:pPr>
        <w:rPr>
          <w:noProof/>
        </w:rPr>
      </w:pPr>
      <w:r w:rsidRPr="006D6727">
        <w:rPr>
          <w:noProof/>
        </w:rPr>
        <w:t>So,</w:t>
      </w:r>
      <w:r w:rsidR="00A42C77" w:rsidRPr="006D6727">
        <w:rPr>
          <w:noProof/>
        </w:rPr>
        <w:t xml:space="preserve"> taking the values of </w:t>
      </w:r>
      <w:r w:rsidR="00FC6404" w:rsidRPr="00FC6404">
        <w:rPr>
          <w:noProof/>
        </w:rPr>
        <w:t xml:space="preserve"> </w:t>
      </w:r>
      <w:r w:rsidR="00FC6404" w:rsidRPr="006D6727">
        <w:rPr>
          <w:noProof/>
        </w:rPr>
        <w:t>Recommendation ITU-R RA.769-2</w:t>
      </w:r>
      <w:r w:rsidR="00FC6404">
        <w:rPr>
          <w:rStyle w:val="ECCParagraph"/>
          <w:noProof/>
        </w:rPr>
        <w:t xml:space="preserve">, table 1 </w:t>
      </w:r>
      <w:r w:rsidR="00A42C77" w:rsidRPr="006D6727">
        <w:rPr>
          <w:noProof/>
        </w:rPr>
        <w:t xml:space="preserve">for </w:t>
      </w:r>
      <m:oMath>
        <m:sSub>
          <m:sSubPr>
            <m:ctrlPr>
              <w:rPr>
                <w:rFonts w:ascii="Cambria Math" w:hAnsi="Cambria Math"/>
                <w:noProof/>
              </w:rPr>
            </m:ctrlPr>
          </m:sSubPr>
          <m:e>
            <m:r>
              <w:rPr>
                <w:rFonts w:ascii="Cambria Math" w:hAnsi="Cambria Math"/>
                <w:noProof/>
              </w:rPr>
              <m:t>T</m:t>
            </m:r>
          </m:e>
          <m:sub>
            <m:r>
              <w:rPr>
                <w:rFonts w:ascii="Cambria Math" w:hAnsi="Cambria Math"/>
                <w:noProof/>
              </w:rPr>
              <m:t>A</m:t>
            </m:r>
          </m:sub>
        </m:sSub>
      </m:oMath>
      <w:r w:rsidR="00A42C77" w:rsidRPr="006D6727">
        <w:rPr>
          <w:noProof/>
        </w:rPr>
        <w:t xml:space="preserve">, </w:t>
      </w:r>
      <m:oMath>
        <m:sSub>
          <m:sSubPr>
            <m:ctrlPr>
              <w:rPr>
                <w:rFonts w:ascii="Cambria Math" w:hAnsi="Cambria Math"/>
                <w:noProof/>
              </w:rPr>
            </m:ctrlPr>
          </m:sSubPr>
          <m:e>
            <m:r>
              <w:rPr>
                <w:rFonts w:ascii="Cambria Math" w:hAnsi="Cambria Math"/>
                <w:noProof/>
              </w:rPr>
              <m:t>T</m:t>
            </m:r>
          </m:e>
          <m:sub>
            <m:r>
              <w:rPr>
                <w:rFonts w:ascii="Cambria Math" w:hAnsi="Cambria Math"/>
                <w:noProof/>
              </w:rPr>
              <m:t>R</m:t>
            </m:r>
          </m:sub>
        </m:sSub>
      </m:oMath>
      <w:r w:rsidR="00A42C77" w:rsidRPr="006D6727">
        <w:rPr>
          <w:noProof/>
        </w:rPr>
        <w:t xml:space="preserve">and </w:t>
      </w:r>
      <m:oMath>
        <m:r>
          <w:rPr>
            <w:rFonts w:ascii="Cambria Math" w:hAnsi="Cambria Math"/>
            <w:noProof/>
          </w:rPr>
          <m:t>∆f</m:t>
        </m:r>
      </m:oMath>
      <w:r w:rsidR="00A42C77" w:rsidRPr="006D6727">
        <w:rPr>
          <w:noProof/>
        </w:rPr>
        <w:t>and accounting for a factor of 0</w:t>
      </w:r>
      <w:r w:rsidR="00CF4994">
        <w:rPr>
          <w:noProof/>
        </w:rPr>
        <w:t>.0</w:t>
      </w:r>
      <w:r w:rsidR="00A42C77" w:rsidRPr="006D6727">
        <w:rPr>
          <w:noProof/>
        </w:rPr>
        <w:t>1 (1</w:t>
      </w:r>
      <w:r w:rsidR="00F800A2">
        <w:rPr>
          <w:noProof/>
        </w:rPr>
        <w:t>%</w:t>
      </w:r>
      <w:r w:rsidR="00A42C77" w:rsidRPr="006D6727">
        <w:rPr>
          <w:noProof/>
        </w:rPr>
        <w:t>) the input power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760CA4CB" w14:textId="77777777" w:rsidTr="008A2884">
        <w:tc>
          <w:tcPr>
            <w:tcW w:w="4761" w:type="pct"/>
          </w:tcPr>
          <w:p w14:paraId="1ADE8170" w14:textId="6471709E" w:rsidR="00A708E3" w:rsidRPr="00144C97" w:rsidRDefault="00E55534" w:rsidP="00A708E3">
            <w:pPr>
              <w:rPr>
                <w:rStyle w:val="ECCParagraph"/>
                <w:rFonts w:eastAsiaTheme="minorEastAsia" w:cstheme="minorBidi"/>
                <w:lang w:eastAsia="da-DK"/>
              </w:rPr>
            </w:pPr>
            <m:oMathPara>
              <m:oMathParaPr>
                <m:jc m:val="center"/>
              </m:oMathParaPr>
              <m:oMath>
                <m:sSub>
                  <m:sSubPr>
                    <m:ctrlPr>
                      <w:rPr>
                        <w:rFonts w:ascii="Cambria Math" w:hAnsi="Cambria Math"/>
                        <w:i/>
                        <w:noProof/>
                      </w:rPr>
                    </m:ctrlPr>
                  </m:sSubPr>
                  <m:e>
                    <m:r>
                      <w:rPr>
                        <w:rFonts w:ascii="Cambria Math" w:hAnsi="Cambria Math"/>
                        <w:noProof/>
                      </w:rPr>
                      <m:t>P</m:t>
                    </m:r>
                  </m:e>
                  <m:sub>
                    <m:r>
                      <w:rPr>
                        <w:rFonts w:ascii="Cambria Math" w:hAnsi="Cambria Math"/>
                        <w:noProof/>
                      </w:rPr>
                      <m:t>I</m:t>
                    </m:r>
                  </m:sub>
                </m:sSub>
                <m:r>
                  <w:rPr>
                    <w:rFonts w:ascii="Cambria Math" w:hAnsi="Cambria Math"/>
                    <w:noProof/>
                  </w:rPr>
                  <m:t>=0.01∙1.38∙</m:t>
                </m:r>
                <m:sSup>
                  <m:sSupPr>
                    <m:ctrlPr>
                      <w:rPr>
                        <w:rFonts w:ascii="Cambria Math" w:hAnsi="Cambria Math"/>
                        <w:i/>
                        <w:noProof/>
                      </w:rPr>
                    </m:ctrlPr>
                  </m:sSupPr>
                  <m:e>
                    <m:r>
                      <w:rPr>
                        <w:rFonts w:ascii="Cambria Math" w:hAnsi="Cambria Math"/>
                        <w:noProof/>
                      </w:rPr>
                      <m:t>10</m:t>
                    </m:r>
                  </m:e>
                  <m:sup>
                    <m:r>
                      <w:rPr>
                        <w:rFonts w:ascii="Cambria Math" w:hAnsi="Cambria Math"/>
                        <w:noProof/>
                      </w:rPr>
                      <m:t>-23</m:t>
                    </m:r>
                  </m:sup>
                </m:sSup>
                <m:f>
                  <m:fPr>
                    <m:ctrlPr>
                      <w:rPr>
                        <w:rFonts w:ascii="Cambria Math" w:hAnsi="Cambria Math"/>
                        <w:i/>
                        <w:noProof/>
                      </w:rPr>
                    </m:ctrlPr>
                  </m:fPr>
                  <m:num>
                    <m:r>
                      <w:rPr>
                        <w:rFonts w:ascii="Cambria Math" w:hAnsi="Cambria Math"/>
                        <w:noProof/>
                      </w:rPr>
                      <m:t>W</m:t>
                    </m:r>
                  </m:num>
                  <m:den>
                    <m:r>
                      <w:rPr>
                        <w:rFonts w:ascii="Cambria Math" w:hAnsi="Cambria Math"/>
                        <w:noProof/>
                      </w:rPr>
                      <m:t>K∙Hz</m:t>
                    </m:r>
                  </m:den>
                </m:f>
                <m:r>
                  <w:rPr>
                    <w:rFonts w:ascii="Cambria Math" w:hAnsi="Cambria Math"/>
                    <w:noProof/>
                  </w:rPr>
                  <m:t>∙</m:t>
                </m:r>
                <m:d>
                  <m:dPr>
                    <m:ctrlPr>
                      <w:rPr>
                        <w:rFonts w:ascii="Cambria Math" w:hAnsi="Cambria Math"/>
                        <w:i/>
                        <w:noProof/>
                      </w:rPr>
                    </m:ctrlPr>
                  </m:dPr>
                  <m:e>
                    <m:r>
                      <w:rPr>
                        <w:rFonts w:ascii="Cambria Math" w:hAnsi="Cambria Math"/>
                        <w:noProof/>
                      </w:rPr>
                      <m:t>14+30</m:t>
                    </m:r>
                  </m:e>
                </m:d>
                <m:r>
                  <w:rPr>
                    <w:rFonts w:ascii="Cambria Math" w:hAnsi="Cambria Math"/>
                    <w:noProof/>
                  </w:rPr>
                  <m:t>K∙8∙</m:t>
                </m:r>
                <m:sSup>
                  <m:sSupPr>
                    <m:ctrlPr>
                      <w:rPr>
                        <w:rFonts w:ascii="Cambria Math" w:hAnsi="Cambria Math"/>
                        <w:i/>
                        <w:noProof/>
                      </w:rPr>
                    </m:ctrlPr>
                  </m:sSupPr>
                  <m:e>
                    <m:r>
                      <w:rPr>
                        <w:rFonts w:ascii="Cambria Math" w:hAnsi="Cambria Math"/>
                        <w:noProof/>
                      </w:rPr>
                      <m:t>10</m:t>
                    </m:r>
                  </m:e>
                  <m:sup>
                    <m:r>
                      <w:rPr>
                        <w:rFonts w:ascii="Cambria Math" w:hAnsi="Cambria Math"/>
                        <w:noProof/>
                      </w:rPr>
                      <m:t>9</m:t>
                    </m:r>
                  </m:sup>
                </m:sSup>
                <m:r>
                  <w:rPr>
                    <w:rFonts w:ascii="Cambria Math" w:hAnsi="Cambria Math"/>
                    <w:noProof/>
                  </w:rPr>
                  <m:t xml:space="preserve"> Hz=4.8571∙</m:t>
                </m:r>
                <m:sSup>
                  <m:sSupPr>
                    <m:ctrlPr>
                      <w:rPr>
                        <w:rFonts w:ascii="Cambria Math" w:hAnsi="Cambria Math"/>
                        <w:i/>
                        <w:noProof/>
                      </w:rPr>
                    </m:ctrlPr>
                  </m:sSupPr>
                  <m:e>
                    <m:r>
                      <w:rPr>
                        <w:rFonts w:ascii="Cambria Math" w:hAnsi="Cambria Math"/>
                        <w:noProof/>
                      </w:rPr>
                      <m:t>10</m:t>
                    </m:r>
                  </m:e>
                  <m:sup>
                    <m:r>
                      <w:rPr>
                        <w:rFonts w:ascii="Cambria Math" w:hAnsi="Cambria Math"/>
                        <w:noProof/>
                      </w:rPr>
                      <m:t>-14</m:t>
                    </m:r>
                  </m:sup>
                </m:sSup>
                <m:r>
                  <w:rPr>
                    <w:rFonts w:ascii="Cambria Math" w:hAnsi="Cambria Math"/>
                    <w:noProof/>
                  </w:rPr>
                  <m:t xml:space="preserve"> W</m:t>
                </m:r>
              </m:oMath>
            </m:oMathPara>
          </w:p>
        </w:tc>
        <w:tc>
          <w:tcPr>
            <w:tcW w:w="239" w:type="pct"/>
          </w:tcPr>
          <w:p w14:paraId="65187350" w14:textId="4DDA171B"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18</w:t>
            </w:r>
            <w:r>
              <w:fldChar w:fldCharType="end"/>
            </w:r>
            <w:r>
              <w:t>)</w:t>
            </w:r>
          </w:p>
        </w:tc>
      </w:tr>
    </w:tbl>
    <w:p w14:paraId="39D98827" w14:textId="302634BC" w:rsidR="003924D6" w:rsidRDefault="003924D6" w:rsidP="00A42C77">
      <w:pPr>
        <w:rPr>
          <w:noProof/>
        </w:rPr>
      </w:pPr>
      <w:r w:rsidRPr="006D6727">
        <w:rPr>
          <w:noProof/>
        </w:rPr>
        <w:t>Expressed in dB</w:t>
      </w:r>
      <w:r w:rsidR="00411A51" w:rsidRPr="006D6727">
        <w:rPr>
          <w:noProof/>
        </w:rPr>
        <w:t>W</w:t>
      </w:r>
      <w:r w:rsidR="0037037E" w:rsidRPr="006D6727">
        <w:rPr>
          <w:noProof/>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2DC86C25" w14:textId="77777777" w:rsidTr="008A2884">
        <w:tc>
          <w:tcPr>
            <w:tcW w:w="4761" w:type="pct"/>
          </w:tcPr>
          <w:p w14:paraId="02A89DE6" w14:textId="78572882" w:rsidR="00A708E3" w:rsidRPr="00144C97" w:rsidRDefault="00E55534" w:rsidP="00A708E3">
            <w:pPr>
              <w:rPr>
                <w:rStyle w:val="ECCParagraph"/>
                <w:rFonts w:eastAsiaTheme="minorEastAsia" w:cstheme="minorBidi"/>
                <w:lang w:eastAsia="da-DK"/>
              </w:rPr>
            </w:pPr>
            <m:oMathPara>
              <m:oMathParaPr>
                <m:jc m:val="center"/>
              </m:oMathParaPr>
              <m:oMath>
                <m:sSubSup>
                  <m:sSubSupPr>
                    <m:ctrlPr>
                      <w:rPr>
                        <w:rFonts w:ascii="Cambria Math" w:hAnsi="Cambria Math"/>
                        <w:noProof/>
                      </w:rPr>
                    </m:ctrlPr>
                  </m:sSubSupPr>
                  <m:e>
                    <m:r>
                      <w:rPr>
                        <w:rFonts w:ascii="Cambria Math" w:hAnsi="Cambria Math"/>
                        <w:noProof/>
                      </w:rPr>
                      <m:t>P</m:t>
                    </m:r>
                  </m:e>
                  <m:sub>
                    <m:r>
                      <w:rPr>
                        <w:rFonts w:ascii="Cambria Math" w:hAnsi="Cambria Math"/>
                        <w:noProof/>
                      </w:rPr>
                      <m:t>I</m:t>
                    </m:r>
                  </m:sub>
                  <m:sup>
                    <m:r>
                      <w:rPr>
                        <w:rFonts w:ascii="Cambria Math" w:hAnsi="Cambria Math"/>
                        <w:noProof/>
                      </w:rPr>
                      <m:t>dB</m:t>
                    </m:r>
                  </m:sup>
                </m:sSubSup>
                <m:r>
                  <w:rPr>
                    <w:rFonts w:ascii="Cambria Math" w:hAnsi="Cambria Math"/>
                    <w:noProof/>
                  </w:rPr>
                  <m:t>=-133.1 dBW</m:t>
                </m:r>
              </m:oMath>
            </m:oMathPara>
          </w:p>
        </w:tc>
        <w:tc>
          <w:tcPr>
            <w:tcW w:w="239" w:type="pct"/>
          </w:tcPr>
          <w:p w14:paraId="19BE1F6E" w14:textId="680207FC"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19</w:t>
            </w:r>
            <w:r>
              <w:fldChar w:fldCharType="end"/>
            </w:r>
            <w:r>
              <w:t>)</w:t>
            </w:r>
          </w:p>
        </w:tc>
      </w:tr>
    </w:tbl>
    <w:p w14:paraId="7383D971" w14:textId="77777777" w:rsidR="00A708E3" w:rsidRPr="006D6727" w:rsidRDefault="00A42C77" w:rsidP="00A708E3">
      <w:pPr>
        <w:rPr>
          <w:noProof/>
        </w:rPr>
      </w:pPr>
      <w:r w:rsidRPr="006D6727">
        <w:rPr>
          <w:noProof/>
        </w:rPr>
        <w:t>To compute the spectral power flux density</w:t>
      </w:r>
      <w:r w:rsidR="004E2ADF" w:rsidRPr="006D6727">
        <w:rPr>
          <w:noProof/>
        </w:rPr>
        <w:t xml:space="preserve"> (SPFD)</w:t>
      </w:r>
      <w:r w:rsidRPr="006D6727">
        <w:rPr>
          <w:noProof/>
        </w:rPr>
        <w:t xml:space="preserve">, one divides the power by the effective area of an isotropic antenna </w:t>
      </w:r>
      <m:oMath>
        <m:f>
          <m:fPr>
            <m:type m:val="lin"/>
            <m:ctrlPr>
              <w:rPr>
                <w:rFonts w:ascii="Cambria Math" w:hAnsi="Cambria Math"/>
                <w:noProof/>
              </w:rPr>
            </m:ctrlPr>
          </m:fPr>
          <m:num>
            <m:sSup>
              <m:sSupPr>
                <m:ctrlPr>
                  <w:rPr>
                    <w:rFonts w:ascii="Cambria Math" w:hAnsi="Cambria Math"/>
                    <w:noProof/>
                  </w:rPr>
                </m:ctrlPr>
              </m:sSupPr>
              <m:e>
                <m:r>
                  <w:rPr>
                    <w:rFonts w:ascii="Cambria Math" w:hAnsi="Cambria Math"/>
                    <w:noProof/>
                  </w:rPr>
                  <m:t>c</m:t>
                </m:r>
              </m:e>
              <m:sup>
                <m:r>
                  <w:rPr>
                    <w:rFonts w:ascii="Cambria Math" w:hAnsi="Cambria Math"/>
                    <w:noProof/>
                  </w:rPr>
                  <m:t>2</m:t>
                </m:r>
              </m:sup>
            </m:sSup>
          </m:num>
          <m:den>
            <m:r>
              <w:rPr>
                <w:rFonts w:ascii="Cambria Math" w:hAnsi="Cambria Math"/>
                <w:noProof/>
              </w:rPr>
              <m:t>4π</m:t>
            </m:r>
            <m:sSup>
              <m:sSupPr>
                <m:ctrlPr>
                  <w:rPr>
                    <w:rFonts w:ascii="Cambria Math" w:hAnsi="Cambria Math"/>
                    <w:noProof/>
                  </w:rPr>
                </m:ctrlPr>
              </m:sSupPr>
              <m:e>
                <m:r>
                  <w:rPr>
                    <w:rFonts w:ascii="Cambria Math" w:hAnsi="Cambria Math"/>
                    <w:noProof/>
                  </w:rPr>
                  <m:t>f</m:t>
                </m:r>
              </m:e>
              <m:sup>
                <m:r>
                  <w:rPr>
                    <w:rFonts w:ascii="Cambria Math" w:hAnsi="Cambria Math"/>
                    <w:noProof/>
                  </w:rPr>
                  <m:t>2</m:t>
                </m:r>
              </m:sup>
            </m:sSup>
          </m:den>
        </m:f>
      </m:oMath>
      <w:r w:rsidRPr="006D6727">
        <w:rPr>
          <w:noProof/>
        </w:rPr>
        <w:t xml:space="preserve"> and the bandwidth </w:t>
      </w:r>
      <m:oMath>
        <m:r>
          <w:rPr>
            <w:rFonts w:ascii="Cambria Math" w:hAnsi="Cambria Math"/>
            <w:noProof/>
          </w:rPr>
          <m:t>∆f</m:t>
        </m:r>
      </m:oMath>
      <w:r w:rsidRPr="006D6727">
        <w:rPr>
          <w:noProof/>
        </w:rPr>
        <w:t>, or equivalently: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5D250B2E" w14:textId="77777777" w:rsidTr="008A2884">
        <w:tc>
          <w:tcPr>
            <w:tcW w:w="4761" w:type="pct"/>
          </w:tcPr>
          <w:p w14:paraId="544ACA45" w14:textId="683A6DA5" w:rsidR="00A708E3" w:rsidRPr="006D6727" w:rsidRDefault="00A708E3" w:rsidP="00A708E3">
            <w:pPr>
              <w:rPr>
                <w:noProof/>
              </w:rPr>
            </w:pPr>
            <m:oMathPara>
              <m:oMathParaPr>
                <m:jc m:val="center"/>
              </m:oMathParaPr>
              <m:oMath>
                <m:r>
                  <w:rPr>
                    <w:rFonts w:ascii="Cambria Math" w:hAnsi="Cambria Math"/>
                    <w:noProof/>
                  </w:rPr>
                  <m:t xml:space="preserve">SPFD= </m:t>
                </m:r>
                <m:sSubSup>
                  <m:sSubSupPr>
                    <m:ctrlPr>
                      <w:rPr>
                        <w:rFonts w:ascii="Cambria Math" w:hAnsi="Cambria Math"/>
                        <w:i/>
                        <w:noProof/>
                      </w:rPr>
                    </m:ctrlPr>
                  </m:sSubSupPr>
                  <m:e>
                    <m:r>
                      <w:rPr>
                        <w:rFonts w:ascii="Cambria Math" w:hAnsi="Cambria Math"/>
                        <w:noProof/>
                      </w:rPr>
                      <m:t>P</m:t>
                    </m:r>
                  </m:e>
                  <m:sub>
                    <m:r>
                      <w:rPr>
                        <w:rFonts w:ascii="Cambria Math" w:hAnsi="Cambria Math"/>
                        <w:noProof/>
                      </w:rPr>
                      <m:t>I</m:t>
                    </m:r>
                  </m:sub>
                  <m:sup>
                    <m:r>
                      <w:rPr>
                        <w:rFonts w:ascii="Cambria Math" w:hAnsi="Cambria Math"/>
                        <w:noProof/>
                      </w:rPr>
                      <m:t>dB</m:t>
                    </m:r>
                  </m:sup>
                </m:sSubSup>
                <m:r>
                  <w:rPr>
                    <w:rFonts w:ascii="Cambria Math" w:hAnsi="Cambria Math"/>
                    <w:noProof/>
                  </w:rPr>
                  <m:t>+20∙logf-158.8 dB-10∙log∆f</m:t>
                </m:r>
              </m:oMath>
            </m:oMathPara>
          </w:p>
          <w:p w14:paraId="543E9A3F" w14:textId="77777777" w:rsidR="00A708E3" w:rsidRPr="006D6727" w:rsidRDefault="00A708E3" w:rsidP="00A708E3">
            <w:pPr>
              <w:rPr>
                <w:noProof/>
              </w:rPr>
            </w:pPr>
            <m:oMathPara>
              <m:oMathParaPr>
                <m:jc m:val="center"/>
              </m:oMathParaPr>
              <m:oMath>
                <m:r>
                  <w:rPr>
                    <w:rFonts w:ascii="Cambria Math" w:hAnsi="Cambria Math"/>
                    <w:noProof/>
                  </w:rPr>
                  <m:t>=-133.1 dBW+20∙</m:t>
                </m:r>
                <m:func>
                  <m:funcPr>
                    <m:ctrlPr>
                      <w:rPr>
                        <w:rFonts w:ascii="Cambria Math" w:hAnsi="Cambria Math"/>
                        <w:i/>
                        <w:noProof/>
                      </w:rPr>
                    </m:ctrlPr>
                  </m:funcPr>
                  <m:fName>
                    <m:r>
                      <m:rPr>
                        <m:sty m:val="p"/>
                      </m:rPr>
                      <w:rPr>
                        <w:rFonts w:ascii="Cambria Math" w:hAnsi="Cambria Math"/>
                        <w:noProof/>
                      </w:rPr>
                      <m:t>log</m:t>
                    </m:r>
                  </m:fName>
                  <m:e>
                    <m:d>
                      <m:dPr>
                        <m:ctrlPr>
                          <w:rPr>
                            <w:rFonts w:ascii="Cambria Math" w:hAnsi="Cambria Math"/>
                            <w:i/>
                            <w:noProof/>
                          </w:rPr>
                        </m:ctrlPr>
                      </m:dPr>
                      <m:e>
                        <m:r>
                          <w:rPr>
                            <w:rFonts w:ascii="Cambria Math" w:hAnsi="Cambria Math"/>
                            <w:noProof/>
                          </w:rPr>
                          <m:t>150∙</m:t>
                        </m:r>
                        <m:sSup>
                          <m:sSupPr>
                            <m:ctrlPr>
                              <w:rPr>
                                <w:rFonts w:ascii="Cambria Math" w:hAnsi="Cambria Math"/>
                                <w:i/>
                                <w:noProof/>
                              </w:rPr>
                            </m:ctrlPr>
                          </m:sSupPr>
                          <m:e>
                            <m:r>
                              <w:rPr>
                                <w:rFonts w:ascii="Cambria Math" w:hAnsi="Cambria Math"/>
                                <w:noProof/>
                              </w:rPr>
                              <m:t>10</m:t>
                            </m:r>
                          </m:e>
                          <m:sup>
                            <m:r>
                              <w:rPr>
                                <w:rFonts w:ascii="Cambria Math" w:hAnsi="Cambria Math"/>
                                <w:noProof/>
                              </w:rPr>
                              <m:t>9</m:t>
                            </m:r>
                          </m:sup>
                        </m:sSup>
                      </m:e>
                    </m:d>
                    <m:r>
                      <w:rPr>
                        <w:rFonts w:ascii="Cambria Math" w:hAnsi="Cambria Math"/>
                        <w:noProof/>
                      </w:rPr>
                      <m:t>Hz</m:t>
                    </m:r>
                  </m:e>
                </m:func>
                <m:r>
                  <w:rPr>
                    <w:rFonts w:ascii="Cambria Math" w:hAnsi="Cambria Math"/>
                    <w:noProof/>
                  </w:rPr>
                  <m:t>-158.5 dB-10∙log</m:t>
                </m:r>
                <m:d>
                  <m:dPr>
                    <m:ctrlPr>
                      <w:rPr>
                        <w:rFonts w:ascii="Cambria Math" w:hAnsi="Cambria Math"/>
                        <w:i/>
                        <w:noProof/>
                      </w:rPr>
                    </m:ctrlPr>
                  </m:dPr>
                  <m:e>
                    <m:r>
                      <w:rPr>
                        <w:rFonts w:ascii="Cambria Math" w:hAnsi="Cambria Math"/>
                        <w:noProof/>
                      </w:rPr>
                      <m:t>8∙</m:t>
                    </m:r>
                    <m:sSup>
                      <m:sSupPr>
                        <m:ctrlPr>
                          <w:rPr>
                            <w:rFonts w:ascii="Cambria Math" w:hAnsi="Cambria Math"/>
                            <w:i/>
                            <w:noProof/>
                          </w:rPr>
                        </m:ctrlPr>
                      </m:sSupPr>
                      <m:e>
                        <m:r>
                          <w:rPr>
                            <w:rFonts w:ascii="Cambria Math" w:hAnsi="Cambria Math"/>
                            <w:noProof/>
                          </w:rPr>
                          <m:t>10</m:t>
                        </m:r>
                      </m:e>
                      <m:sup>
                        <m:r>
                          <w:rPr>
                            <w:rFonts w:ascii="Cambria Math" w:hAnsi="Cambria Math"/>
                            <w:noProof/>
                          </w:rPr>
                          <m:t>9</m:t>
                        </m:r>
                      </m:sup>
                    </m:sSup>
                  </m:e>
                </m:d>
                <m:r>
                  <w:rPr>
                    <w:rFonts w:ascii="Cambria Math" w:hAnsi="Cambria Math"/>
                    <w:noProof/>
                  </w:rPr>
                  <m:t>Hz</m:t>
                </m:r>
              </m:oMath>
            </m:oMathPara>
          </w:p>
          <w:p w14:paraId="343BFC20" w14:textId="226FDF35" w:rsidR="00A708E3" w:rsidRPr="00144C97" w:rsidRDefault="00A708E3" w:rsidP="00A708E3">
            <w:pPr>
              <w:rPr>
                <w:rStyle w:val="ECCParagraph"/>
                <w:rFonts w:eastAsiaTheme="minorEastAsia" w:cstheme="minorBidi"/>
                <w:lang w:eastAsia="da-DK"/>
              </w:rPr>
            </w:pPr>
            <m:oMathPara>
              <m:oMathParaPr>
                <m:jc m:val="center"/>
              </m:oMathParaPr>
              <m:oMath>
                <m:r>
                  <w:rPr>
                    <w:rFonts w:ascii="Cambria Math" w:hAnsi="Cambria Math"/>
                    <w:noProof/>
                  </w:rPr>
                  <m:t>=-167.1 dB</m:t>
                </m:r>
                <m:d>
                  <m:dPr>
                    <m:ctrlPr>
                      <w:rPr>
                        <w:rFonts w:ascii="Cambria Math" w:hAnsi="Cambria Math"/>
                        <w:i/>
                        <w:noProof/>
                      </w:rPr>
                    </m:ctrlPr>
                  </m:dPr>
                  <m:e>
                    <m:f>
                      <m:fPr>
                        <m:ctrlPr>
                          <w:rPr>
                            <w:rFonts w:ascii="Cambria Math" w:hAnsi="Cambria Math"/>
                            <w:i/>
                            <w:noProof/>
                          </w:rPr>
                        </m:ctrlPr>
                      </m:fPr>
                      <m:num>
                        <m:r>
                          <w:rPr>
                            <w:rFonts w:ascii="Cambria Math" w:hAnsi="Cambria Math"/>
                            <w:noProof/>
                          </w:rPr>
                          <m:t>W</m:t>
                        </m:r>
                      </m:num>
                      <m:den>
                        <m:sSup>
                          <m:sSupPr>
                            <m:ctrlPr>
                              <w:rPr>
                                <w:rFonts w:ascii="Cambria Math" w:hAnsi="Cambria Math"/>
                                <w:i/>
                                <w:noProof/>
                              </w:rPr>
                            </m:ctrlPr>
                          </m:sSupPr>
                          <m:e>
                            <m:r>
                              <w:rPr>
                                <w:rFonts w:ascii="Cambria Math" w:hAnsi="Cambria Math"/>
                                <w:noProof/>
                              </w:rPr>
                              <m:t>m</m:t>
                            </m:r>
                          </m:e>
                          <m:sup>
                            <m:r>
                              <w:rPr>
                                <w:rFonts w:ascii="Cambria Math" w:hAnsi="Cambria Math"/>
                                <w:noProof/>
                              </w:rPr>
                              <m:t>2</m:t>
                            </m:r>
                          </m:sup>
                        </m:sSup>
                        <m:r>
                          <w:rPr>
                            <w:rFonts w:ascii="Cambria Math" w:hAnsi="Cambria Math"/>
                            <w:noProof/>
                          </w:rPr>
                          <m:t>Hz</m:t>
                        </m:r>
                      </m:den>
                    </m:f>
                  </m:e>
                </m:d>
              </m:oMath>
            </m:oMathPara>
          </w:p>
        </w:tc>
        <w:tc>
          <w:tcPr>
            <w:tcW w:w="239" w:type="pct"/>
          </w:tcPr>
          <w:p w14:paraId="7C4423F9" w14:textId="0659777E"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F49F9">
              <w:rPr>
                <w:noProof/>
              </w:rPr>
              <w:t>20</w:t>
            </w:r>
            <w:r>
              <w:fldChar w:fldCharType="end"/>
            </w:r>
            <w:r>
              <w:t>)</w:t>
            </w:r>
          </w:p>
        </w:tc>
      </w:tr>
    </w:tbl>
    <w:p w14:paraId="74DC7225" w14:textId="77777777" w:rsidR="00A42C77" w:rsidRPr="006D6727" w:rsidRDefault="00A42C77" w:rsidP="00A42C77">
      <w:pPr>
        <w:rPr>
          <w:noProof/>
        </w:rPr>
      </w:pPr>
      <w:r w:rsidRPr="006D6727">
        <w:rPr>
          <w:noProof/>
        </w:rPr>
        <w:t xml:space="preserve">The same </w:t>
      </w:r>
      <w:r w:rsidR="00E43A6F" w:rsidRPr="006D6727">
        <w:rPr>
          <w:noProof/>
        </w:rPr>
        <w:t>methodology</w:t>
      </w:r>
      <w:r w:rsidRPr="006D6727">
        <w:rPr>
          <w:noProof/>
        </w:rPr>
        <w:t xml:space="preserve"> is used at 224</w:t>
      </w:r>
      <w:r w:rsidR="00134DC1" w:rsidRPr="006D6727">
        <w:rPr>
          <w:noProof/>
        </w:rPr>
        <w:t> </w:t>
      </w:r>
      <w:r w:rsidRPr="006D6727">
        <w:rPr>
          <w:noProof/>
        </w:rPr>
        <w:t>GHz.</w:t>
      </w:r>
    </w:p>
    <w:p w14:paraId="4813FBDD" w14:textId="77777777" w:rsidR="00DF26DC" w:rsidRPr="006D6727" w:rsidRDefault="00753E30" w:rsidP="00DF26DC">
      <w:pPr>
        <w:pStyle w:val="ECCAnnexheading1"/>
        <w:rPr>
          <w:noProof/>
          <w:lang w:val="en-GB"/>
        </w:rPr>
      </w:pPr>
      <w:bookmarkStart w:id="1011" w:name="_Ref36130332"/>
      <w:bookmarkStart w:id="1012" w:name="_Toc127346423"/>
      <w:r>
        <w:t>Information</w:t>
      </w:r>
      <w:r w:rsidR="00B830B3" w:rsidRPr="006D6727">
        <w:rPr>
          <w:noProof/>
          <w:lang w:val="en-GB"/>
        </w:rPr>
        <w:t xml:space="preserve"> </w:t>
      </w:r>
      <w:r>
        <w:t>about</w:t>
      </w:r>
      <w:r w:rsidR="00B830B3" w:rsidRPr="006D6727">
        <w:rPr>
          <w:noProof/>
          <w:lang w:val="en-GB"/>
        </w:rPr>
        <w:t xml:space="preserve"> </w:t>
      </w:r>
      <w:r>
        <w:t>State</w:t>
      </w:r>
      <w:r w:rsidR="00B830B3" w:rsidRPr="006D6727">
        <w:rPr>
          <w:noProof/>
          <w:lang w:val="en-GB"/>
        </w:rPr>
        <w:t>-</w:t>
      </w:r>
      <w:r>
        <w:t>Of</w:t>
      </w:r>
      <w:r w:rsidR="00B830B3" w:rsidRPr="006D6727">
        <w:rPr>
          <w:noProof/>
          <w:lang w:val="en-GB"/>
        </w:rPr>
        <w:t>-</w:t>
      </w:r>
      <w:r>
        <w:t>The</w:t>
      </w:r>
      <w:r w:rsidR="00B830B3" w:rsidRPr="006D6727">
        <w:rPr>
          <w:noProof/>
          <w:lang w:val="en-GB"/>
        </w:rPr>
        <w:t>-</w:t>
      </w:r>
      <w:r>
        <w:t>Art</w:t>
      </w:r>
      <w:r w:rsidR="00B830B3" w:rsidRPr="006D6727">
        <w:rPr>
          <w:noProof/>
          <w:lang w:val="en-GB"/>
        </w:rPr>
        <w:t xml:space="preserve"> </w:t>
      </w:r>
      <w:r>
        <w:t>Glass</w:t>
      </w:r>
      <w:r w:rsidR="00B830B3" w:rsidRPr="006D6727">
        <w:rPr>
          <w:noProof/>
          <w:lang w:val="en-GB"/>
        </w:rPr>
        <w:t xml:space="preserve"> </w:t>
      </w:r>
      <w:r>
        <w:t>Windows</w:t>
      </w:r>
      <w:r w:rsidR="00B830B3" w:rsidRPr="006D6727">
        <w:rPr>
          <w:noProof/>
          <w:lang w:val="en-GB"/>
        </w:rPr>
        <w:t xml:space="preserve"> </w:t>
      </w:r>
      <w:r>
        <w:t>in</w:t>
      </w:r>
      <w:r w:rsidR="00B830B3" w:rsidRPr="006D6727">
        <w:rPr>
          <w:noProof/>
          <w:lang w:val="en-GB"/>
        </w:rPr>
        <w:t xml:space="preserve"> </w:t>
      </w:r>
      <w:r>
        <w:t>Buildings</w:t>
      </w:r>
      <w:r w:rsidR="00B830B3" w:rsidRPr="006D6727">
        <w:rPr>
          <w:noProof/>
          <w:lang w:val="en-GB"/>
        </w:rPr>
        <w:t xml:space="preserve"> </w:t>
      </w:r>
      <w:r>
        <w:t>and</w:t>
      </w:r>
      <w:r w:rsidR="00B830B3" w:rsidRPr="006D6727">
        <w:rPr>
          <w:noProof/>
          <w:lang w:val="en-GB"/>
        </w:rPr>
        <w:t xml:space="preserve"> </w:t>
      </w:r>
      <w:r>
        <w:t>their</w:t>
      </w:r>
      <w:r w:rsidR="00B830B3" w:rsidRPr="006D6727">
        <w:rPr>
          <w:noProof/>
          <w:lang w:val="en-GB"/>
        </w:rPr>
        <w:t xml:space="preserve"> </w:t>
      </w:r>
      <w:r>
        <w:t>Distribution</w:t>
      </w:r>
      <w:r w:rsidR="00B830B3" w:rsidRPr="006D6727">
        <w:rPr>
          <w:noProof/>
          <w:lang w:val="en-GB"/>
        </w:rPr>
        <w:t xml:space="preserve"> </w:t>
      </w:r>
      <w:r>
        <w:t>in</w:t>
      </w:r>
      <w:r w:rsidR="00B830B3" w:rsidRPr="006D6727">
        <w:rPr>
          <w:noProof/>
          <w:lang w:val="en-GB"/>
        </w:rPr>
        <w:t xml:space="preserve"> </w:t>
      </w:r>
      <w:bookmarkEnd w:id="1011"/>
      <w:r>
        <w:t>Europe</w:t>
      </w:r>
      <w:bookmarkEnd w:id="1012"/>
    </w:p>
    <w:p w14:paraId="41B22207" w14:textId="77777777" w:rsidR="005E2EFD" w:rsidRPr="006D6727" w:rsidRDefault="005E2EFD" w:rsidP="00FA6458">
      <w:pPr>
        <w:pStyle w:val="ECCAnnexheading2"/>
        <w:rPr>
          <w:rStyle w:val="ECCParagraph"/>
          <w:noProof/>
        </w:rPr>
      </w:pPr>
      <w:r w:rsidRPr="006D6727">
        <w:rPr>
          <w:rStyle w:val="ECCParagraph"/>
          <w:noProof/>
        </w:rPr>
        <w:t>Introduction and Backgroun</w:t>
      </w:r>
      <w:r w:rsidR="00B830B3" w:rsidRPr="006D6727">
        <w:rPr>
          <w:rStyle w:val="ECCParagraph"/>
          <w:noProof/>
        </w:rPr>
        <w:t>d</w:t>
      </w:r>
    </w:p>
    <w:p w14:paraId="77C3C46E" w14:textId="2903ED69" w:rsidR="005E2EFD" w:rsidRPr="006D6727" w:rsidRDefault="005E2EFD" w:rsidP="00464AE0">
      <w:pPr>
        <w:pStyle w:val="ECCTablenote"/>
        <w:rPr>
          <w:rStyle w:val="ECCParagraph"/>
          <w:noProof/>
        </w:rPr>
      </w:pPr>
      <w:r w:rsidRPr="006D6727">
        <w:rPr>
          <w:rStyle w:val="ECCParagraph"/>
          <w:noProof/>
        </w:rPr>
        <w:t>Several EU Directives concerning energy efficiency and energy performance of buildings are in place</w:t>
      </w:r>
      <w:r w:rsidR="00FC6404">
        <w:rPr>
          <w:rStyle w:val="ECCParagraph"/>
          <w:noProof/>
        </w:rPr>
        <w:t>:</w:t>
      </w:r>
    </w:p>
    <w:p w14:paraId="2C53B170" w14:textId="771A80AE" w:rsidR="005E2EFD" w:rsidRPr="006D6727" w:rsidRDefault="005E2EFD" w:rsidP="00F34FF6">
      <w:pPr>
        <w:pStyle w:val="ECCBulletsLv1"/>
        <w:rPr>
          <w:rStyle w:val="ECCParagraph"/>
          <w:noProof/>
        </w:rPr>
      </w:pPr>
      <w:r w:rsidRPr="006D6727">
        <w:rPr>
          <w:rStyle w:val="ECCParagraph"/>
          <w:noProof/>
        </w:rPr>
        <w:t xml:space="preserve">Directive 2010/31/EU </w:t>
      </w:r>
      <w:r w:rsidR="00062201">
        <w:rPr>
          <w:rStyle w:val="ECCParagraph"/>
        </w:rPr>
        <w:fldChar w:fldCharType="begin"/>
      </w:r>
      <w:r w:rsidR="00062201">
        <w:rPr>
          <w:rStyle w:val="ECCParagraph"/>
        </w:rPr>
        <w:instrText xml:space="preserve"> REF  Directive_2010_31_EU \h \w  \* MERGEFORMAT </w:instrText>
      </w:r>
      <w:r w:rsidR="00062201">
        <w:rPr>
          <w:rStyle w:val="ECCParagraph"/>
        </w:rPr>
      </w:r>
      <w:r w:rsidR="00062201">
        <w:rPr>
          <w:rStyle w:val="ECCParagraph"/>
        </w:rPr>
        <w:fldChar w:fldCharType="separate"/>
      </w:r>
      <w:r w:rsidR="004F49F9">
        <w:rPr>
          <w:rStyle w:val="ECCParagraph"/>
        </w:rPr>
        <w:t>[53]</w:t>
      </w:r>
      <w:r w:rsidR="00062201">
        <w:rPr>
          <w:rStyle w:val="ECCParagraph"/>
        </w:rPr>
        <w:fldChar w:fldCharType="end"/>
      </w:r>
      <w:r w:rsidR="00062201">
        <w:rPr>
          <w:rStyle w:val="ECCParagraph"/>
        </w:rPr>
        <w:t xml:space="preserve"> </w:t>
      </w:r>
      <w:r w:rsidRPr="006D6727">
        <w:rPr>
          <w:rStyle w:val="ECCParagraph"/>
          <w:noProof/>
        </w:rPr>
        <w:t>of the European Parliament and of the Council of 19 May 2010 on the energy performance of buildings</w:t>
      </w:r>
      <w:r w:rsidR="00FC6404">
        <w:rPr>
          <w:rStyle w:val="ECCParagraph"/>
          <w:noProof/>
        </w:rPr>
        <w:t>;</w:t>
      </w:r>
    </w:p>
    <w:p w14:paraId="21CAEABC" w14:textId="562D80C2" w:rsidR="005E2EFD" w:rsidRPr="006D6727" w:rsidRDefault="005E2EFD" w:rsidP="00F34FF6">
      <w:pPr>
        <w:pStyle w:val="ECCBulletsLv1"/>
        <w:rPr>
          <w:rStyle w:val="ECCParagraph"/>
          <w:noProof/>
        </w:rPr>
      </w:pPr>
      <w:r w:rsidRPr="006D6727">
        <w:rPr>
          <w:rStyle w:val="ECCParagraph"/>
          <w:noProof/>
        </w:rPr>
        <w:t xml:space="preserve">Directive (EU) 2018/844 </w:t>
      </w:r>
      <w:r w:rsidR="00062201">
        <w:rPr>
          <w:rStyle w:val="ECCParagraph"/>
        </w:rPr>
        <w:fldChar w:fldCharType="begin"/>
      </w:r>
      <w:r w:rsidR="00062201">
        <w:rPr>
          <w:rStyle w:val="ECCParagraph"/>
        </w:rPr>
        <w:instrText xml:space="preserve"> REF  Directive_2018_844 \h \w  \* MERGEFORMAT </w:instrText>
      </w:r>
      <w:r w:rsidR="00062201">
        <w:rPr>
          <w:rStyle w:val="ECCParagraph"/>
        </w:rPr>
      </w:r>
      <w:r w:rsidR="00062201">
        <w:rPr>
          <w:rStyle w:val="ECCParagraph"/>
        </w:rPr>
        <w:fldChar w:fldCharType="separate"/>
      </w:r>
      <w:r w:rsidR="004F49F9">
        <w:rPr>
          <w:rStyle w:val="ECCParagraph"/>
        </w:rPr>
        <w:t>[54]</w:t>
      </w:r>
      <w:r w:rsidR="00062201">
        <w:rPr>
          <w:rStyle w:val="ECCParagraph"/>
        </w:rPr>
        <w:fldChar w:fldCharType="end"/>
      </w:r>
      <w:r w:rsidR="00062201">
        <w:rPr>
          <w:rStyle w:val="ECCParagraph"/>
        </w:rPr>
        <w:t xml:space="preserve"> </w:t>
      </w:r>
      <w:r w:rsidRPr="006D6727">
        <w:rPr>
          <w:rStyle w:val="ECCParagraph"/>
          <w:noProof/>
        </w:rPr>
        <w:t>of the European Parliament and of the Council of 30 May 2018 amending Directive 2010/31/EU on the energy performance of buildings and Directive 2012/27/EU on energy efficiency</w:t>
      </w:r>
      <w:r w:rsidR="00FC6404">
        <w:rPr>
          <w:rStyle w:val="ECCParagraph"/>
          <w:noProof/>
        </w:rPr>
        <w:t>;</w:t>
      </w:r>
    </w:p>
    <w:p w14:paraId="009BE7FF" w14:textId="756F7BC2" w:rsidR="005E2EFD" w:rsidRPr="006D6727" w:rsidRDefault="005E2EFD" w:rsidP="00F34FF6">
      <w:pPr>
        <w:pStyle w:val="ECCBulletsLv1"/>
        <w:rPr>
          <w:rStyle w:val="ECCParagraph"/>
          <w:noProof/>
        </w:rPr>
      </w:pPr>
      <w:r w:rsidRPr="006D6727">
        <w:rPr>
          <w:rStyle w:val="ECCParagraph"/>
          <w:noProof/>
        </w:rPr>
        <w:t xml:space="preserve">Directive 2012/27/EU </w:t>
      </w:r>
      <w:r w:rsidR="00062201">
        <w:rPr>
          <w:rStyle w:val="ECCParagraph"/>
        </w:rPr>
        <w:fldChar w:fldCharType="begin"/>
      </w:r>
      <w:r w:rsidR="00062201">
        <w:rPr>
          <w:rStyle w:val="ECCParagraph"/>
        </w:rPr>
        <w:instrText xml:space="preserve"> REF  Directive_2012_27_EU \h \w  \* MERGEFORMAT </w:instrText>
      </w:r>
      <w:r w:rsidR="00062201">
        <w:rPr>
          <w:rStyle w:val="ECCParagraph"/>
        </w:rPr>
      </w:r>
      <w:r w:rsidR="00062201">
        <w:rPr>
          <w:rStyle w:val="ECCParagraph"/>
        </w:rPr>
        <w:fldChar w:fldCharType="separate"/>
      </w:r>
      <w:r w:rsidR="004F49F9">
        <w:rPr>
          <w:rStyle w:val="ECCParagraph"/>
        </w:rPr>
        <w:t>[55]</w:t>
      </w:r>
      <w:r w:rsidR="00062201">
        <w:rPr>
          <w:rStyle w:val="ECCParagraph"/>
        </w:rPr>
        <w:fldChar w:fldCharType="end"/>
      </w:r>
      <w:r w:rsidR="00062201">
        <w:rPr>
          <w:rStyle w:val="ECCParagraph"/>
        </w:rPr>
        <w:t xml:space="preserve"> </w:t>
      </w:r>
      <w:r w:rsidRPr="006D6727">
        <w:rPr>
          <w:rStyle w:val="ECCParagraph"/>
          <w:noProof/>
        </w:rPr>
        <w:t>of the European Parliament and of the Council of 25 October 2012 on energy efficiency</w:t>
      </w:r>
      <w:r w:rsidR="00F34FF6">
        <w:rPr>
          <w:rStyle w:val="ECCParagraph"/>
        </w:rPr>
        <w:t>.</w:t>
      </w:r>
    </w:p>
    <w:p w14:paraId="781FCFDD" w14:textId="2C260DC8" w:rsidR="005E2EFD" w:rsidRPr="006D6727" w:rsidRDefault="005C1059" w:rsidP="005E2EFD">
      <w:pPr>
        <w:rPr>
          <w:rStyle w:val="ECCParagraph"/>
          <w:noProof/>
        </w:rPr>
      </w:pPr>
      <w:r>
        <w:rPr>
          <w:rStyle w:val="ECCParagraph"/>
          <w:noProof/>
        </w:rPr>
        <w:t>This</w:t>
      </w:r>
      <w:r w:rsidR="00062201">
        <w:rPr>
          <w:rStyle w:val="ECCParagraph"/>
        </w:rPr>
        <w:t xml:space="preserve"> Annex </w:t>
      </w:r>
      <w:r>
        <w:rPr>
          <w:rStyle w:val="ECCParagraph"/>
          <w:noProof/>
        </w:rPr>
        <w:t>gives</w:t>
      </w:r>
      <w:r w:rsidR="005E2EFD" w:rsidRPr="006D6727">
        <w:rPr>
          <w:rStyle w:val="ECCParagraph"/>
          <w:noProof/>
        </w:rPr>
        <w:t xml:space="preserve"> an example what distribution of building window technology can be expected over Europe.</w:t>
      </w:r>
    </w:p>
    <w:p w14:paraId="77765442" w14:textId="48166463" w:rsidR="005E2EFD" w:rsidRPr="006D6727" w:rsidRDefault="005E2EFD" w:rsidP="005E2EFD">
      <w:pPr>
        <w:rPr>
          <w:rStyle w:val="ECCParagraph"/>
          <w:noProof/>
        </w:rPr>
      </w:pPr>
      <w:r w:rsidRPr="006D6727">
        <w:rPr>
          <w:rStyle w:val="ECCParagraph"/>
          <w:noProof/>
        </w:rPr>
        <w:t xml:space="preserve">An overview of implemented national law is given in </w:t>
      </w:r>
      <w:r w:rsidR="004A7A13">
        <w:rPr>
          <w:rStyle w:val="ECCHLyellow"/>
          <w:noProof/>
        </w:rPr>
        <w:fldChar w:fldCharType="begin"/>
      </w:r>
      <w:r w:rsidR="004A7A13">
        <w:rPr>
          <w:rStyle w:val="ECCParagraph"/>
          <w:noProof/>
        </w:rPr>
        <w:instrText xml:space="preserve"> REF _Ref49955971 \h </w:instrText>
      </w:r>
      <w:r w:rsidR="004A7A13">
        <w:rPr>
          <w:rStyle w:val="ECCHLyellow"/>
          <w:noProof/>
        </w:rPr>
      </w:r>
      <w:r w:rsidR="004A7A13">
        <w:rPr>
          <w:rStyle w:val="ECCHLyellow"/>
          <w:noProof/>
        </w:rPr>
        <w:fldChar w:fldCharType="separate"/>
      </w:r>
      <w:r w:rsidR="0041125F" w:rsidRPr="00067D12">
        <w:t>Table</w:t>
      </w:r>
      <w:r w:rsidR="0041125F">
        <w:t> </w:t>
      </w:r>
      <w:r w:rsidR="0041125F">
        <w:rPr>
          <w:noProof/>
        </w:rPr>
        <w:t>130</w:t>
      </w:r>
      <w:r w:rsidR="004A7A13">
        <w:rPr>
          <w:rStyle w:val="ECCHLyellow"/>
          <w:noProof/>
        </w:rPr>
        <w:fldChar w:fldCharType="end"/>
      </w:r>
      <w:r w:rsidRPr="006D6727">
        <w:rPr>
          <w:rStyle w:val="ECCParagraph"/>
          <w:noProof/>
        </w:rPr>
        <w:t>.</w:t>
      </w:r>
    </w:p>
    <w:p w14:paraId="118B60D7" w14:textId="65ACAB7C" w:rsidR="00C323BE" w:rsidRPr="006D6727" w:rsidRDefault="00C323BE" w:rsidP="00067D12">
      <w:pPr>
        <w:pStyle w:val="Caption"/>
        <w:rPr>
          <w:rStyle w:val="ECCParagraph"/>
          <w:noProof/>
        </w:rPr>
      </w:pPr>
      <w:bookmarkStart w:id="1013" w:name="_Ref49955971"/>
      <w:r w:rsidRPr="00067D12">
        <w:rPr>
          <w:rFonts w:eastAsia="Calibri"/>
        </w:rPr>
        <w:t>Table</w:t>
      </w:r>
      <w:r w:rsidR="00067D12">
        <w:rPr>
          <w:rFonts w:eastAsia="Calibri"/>
        </w:rPr>
        <w:t> </w:t>
      </w:r>
      <w:r w:rsidRPr="00067D12">
        <w:rPr>
          <w:rFonts w:eastAsia="Calibri"/>
        </w:rPr>
        <w:fldChar w:fldCharType="begin"/>
      </w:r>
      <w:r w:rsidRPr="00067D12">
        <w:rPr>
          <w:rFonts w:eastAsia="Calibri"/>
        </w:rPr>
        <w:instrText xml:space="preserve"> SEQ Table \* ARABIC </w:instrText>
      </w:r>
      <w:r w:rsidRPr="00067D12">
        <w:rPr>
          <w:rFonts w:eastAsia="Calibri"/>
        </w:rPr>
        <w:fldChar w:fldCharType="separate"/>
      </w:r>
      <w:r w:rsidR="004F49F9">
        <w:rPr>
          <w:rFonts w:eastAsia="Calibri"/>
          <w:noProof/>
        </w:rPr>
        <w:t>130</w:t>
      </w:r>
      <w:r w:rsidRPr="00067D12">
        <w:rPr>
          <w:rFonts w:eastAsia="Calibri"/>
        </w:rPr>
        <w:fldChar w:fldCharType="end"/>
      </w:r>
      <w:bookmarkEnd w:id="1013"/>
      <w:r w:rsidRPr="006D6727">
        <w:rPr>
          <w:noProof/>
          <w:lang w:val="en-GB"/>
        </w:rPr>
        <w:t>: List of national Regulations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328"/>
        <w:gridCol w:w="2495"/>
        <w:gridCol w:w="5806"/>
      </w:tblGrid>
      <w:tr w:rsidR="00C323BE" w:rsidRPr="006D6727" w14:paraId="7088BC5E" w14:textId="77777777" w:rsidTr="00B607BE">
        <w:trPr>
          <w:tblHeader/>
        </w:trPr>
        <w:tc>
          <w:tcPr>
            <w:tcW w:w="13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B0ECB22" w14:textId="77777777" w:rsidR="00C323BE" w:rsidRPr="006D6727" w:rsidRDefault="00C323BE" w:rsidP="00876039">
            <w:pPr>
              <w:pStyle w:val="ECCTableHeaderwhitefont"/>
              <w:spacing w:before="120" w:after="120"/>
              <w:rPr>
                <w:rStyle w:val="ECCHLbold"/>
                <w:noProof/>
              </w:rPr>
            </w:pPr>
            <w:r w:rsidRPr="006D6727">
              <w:rPr>
                <w:rStyle w:val="ECCHLbold"/>
                <w:noProof/>
              </w:rPr>
              <w:t xml:space="preserve">Member state </w:t>
            </w:r>
          </w:p>
        </w:tc>
        <w:tc>
          <w:tcPr>
            <w:tcW w:w="24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193A593" w14:textId="77777777" w:rsidR="00C323BE" w:rsidRPr="006D6727" w:rsidRDefault="00C323BE" w:rsidP="00876039">
            <w:pPr>
              <w:pStyle w:val="ECCTableHeaderwhitefont"/>
              <w:spacing w:before="120" w:after="120"/>
              <w:rPr>
                <w:rStyle w:val="ECCHLbold"/>
                <w:noProof/>
              </w:rPr>
            </w:pPr>
            <w:r w:rsidRPr="006D6727">
              <w:rPr>
                <w:rStyle w:val="ECCHLbold"/>
                <w:noProof/>
              </w:rPr>
              <w:t>Institute</w:t>
            </w:r>
          </w:p>
        </w:tc>
        <w:tc>
          <w:tcPr>
            <w:tcW w:w="58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843EA85" w14:textId="77777777" w:rsidR="00C323BE" w:rsidRPr="006D6727" w:rsidRDefault="00C323BE" w:rsidP="00876039">
            <w:pPr>
              <w:pStyle w:val="ECCTableHeaderwhitefont"/>
              <w:spacing w:before="120" w:after="120"/>
              <w:rPr>
                <w:rStyle w:val="ECCHLbold"/>
                <w:noProof/>
              </w:rPr>
            </w:pPr>
            <w:r w:rsidRPr="006D6727">
              <w:rPr>
                <w:rStyle w:val="ECCHLbold"/>
                <w:noProof/>
              </w:rPr>
              <w:t>National Regulation</w:t>
            </w:r>
          </w:p>
        </w:tc>
      </w:tr>
      <w:tr w:rsidR="00C323BE" w:rsidRPr="000F7DCA" w14:paraId="3B49793E" w14:textId="77777777" w:rsidTr="00B607BE">
        <w:tc>
          <w:tcPr>
            <w:tcW w:w="1328" w:type="dxa"/>
            <w:tcBorders>
              <w:top w:val="single" w:sz="4" w:space="0" w:color="FFFFFF" w:themeColor="background1"/>
              <w:left w:val="single" w:sz="4" w:space="0" w:color="D2232A"/>
              <w:bottom w:val="single" w:sz="4" w:space="0" w:color="D2232A"/>
              <w:right w:val="single" w:sz="4" w:space="0" w:color="D2232A"/>
            </w:tcBorders>
            <w:vAlign w:val="center"/>
          </w:tcPr>
          <w:p w14:paraId="48AF4A00" w14:textId="77777777" w:rsidR="00C323BE" w:rsidRPr="006D6727" w:rsidRDefault="00C323BE" w:rsidP="00FC6404">
            <w:pPr>
              <w:pStyle w:val="ECCTabletext"/>
              <w:spacing w:before="60"/>
              <w:jc w:val="left"/>
              <w:rPr>
                <w:noProof/>
              </w:rPr>
            </w:pPr>
            <w:r w:rsidRPr="006D6727">
              <w:rPr>
                <w:noProof/>
              </w:rPr>
              <w:t>Austria</w:t>
            </w:r>
          </w:p>
        </w:tc>
        <w:tc>
          <w:tcPr>
            <w:tcW w:w="2495" w:type="dxa"/>
            <w:tcBorders>
              <w:top w:val="single" w:sz="4" w:space="0" w:color="FFFFFF" w:themeColor="background1"/>
              <w:left w:val="single" w:sz="4" w:space="0" w:color="D2232A"/>
              <w:bottom w:val="single" w:sz="4" w:space="0" w:color="D2232A"/>
              <w:right w:val="single" w:sz="4" w:space="0" w:color="D2232A"/>
            </w:tcBorders>
            <w:vAlign w:val="center"/>
          </w:tcPr>
          <w:p w14:paraId="07B6B28D" w14:textId="77777777" w:rsidR="00C323BE" w:rsidRPr="006D6727" w:rsidRDefault="00C323BE" w:rsidP="00FC6404">
            <w:pPr>
              <w:pStyle w:val="ECCTabletext"/>
              <w:spacing w:before="60"/>
              <w:jc w:val="left"/>
              <w:rPr>
                <w:noProof/>
              </w:rPr>
            </w:pPr>
            <w:r w:rsidRPr="006D6727">
              <w:rPr>
                <w:noProof/>
              </w:rPr>
              <w:t>Ecofys Germany GmbH</w:t>
            </w:r>
          </w:p>
        </w:tc>
        <w:tc>
          <w:tcPr>
            <w:tcW w:w="5806" w:type="dxa"/>
            <w:tcBorders>
              <w:top w:val="single" w:sz="4" w:space="0" w:color="FFFFFF" w:themeColor="background1"/>
              <w:left w:val="single" w:sz="4" w:space="0" w:color="D2232A"/>
              <w:bottom w:val="single" w:sz="4" w:space="0" w:color="D2232A"/>
              <w:right w:val="single" w:sz="4" w:space="0" w:color="D2232A"/>
            </w:tcBorders>
            <w:vAlign w:val="center"/>
          </w:tcPr>
          <w:p w14:paraId="06EC88D1" w14:textId="77777777" w:rsidR="00C323BE" w:rsidRPr="004A7A13" w:rsidRDefault="00C323BE" w:rsidP="00FC6404">
            <w:pPr>
              <w:pStyle w:val="ECCTabletext"/>
              <w:spacing w:before="60"/>
              <w:jc w:val="left"/>
              <w:rPr>
                <w:noProof/>
                <w:lang w:val="de-DE"/>
              </w:rPr>
            </w:pPr>
            <w:r w:rsidRPr="004A7A13">
              <w:rPr>
                <w:noProof/>
                <w:lang w:val="de-DE"/>
              </w:rPr>
              <w:t>OIB-Richtlinie 6 Energieeinsparung und Wärmeschutz</w:t>
            </w:r>
          </w:p>
        </w:tc>
      </w:tr>
      <w:tr w:rsidR="00C323BE" w:rsidRPr="006D6727" w14:paraId="31EFFD17"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0CBD05A9" w14:textId="77777777" w:rsidR="00C323BE" w:rsidRPr="006D6727" w:rsidRDefault="00C323BE" w:rsidP="00FC6404">
            <w:pPr>
              <w:pStyle w:val="ECCTabletext"/>
              <w:spacing w:before="60"/>
              <w:jc w:val="left"/>
              <w:rPr>
                <w:noProof/>
              </w:rPr>
            </w:pPr>
            <w:r w:rsidRPr="006D6727">
              <w:rPr>
                <w:noProof/>
              </w:rPr>
              <w:t>Belgium-Brussels</w:t>
            </w:r>
          </w:p>
        </w:tc>
        <w:tc>
          <w:tcPr>
            <w:tcW w:w="2495" w:type="dxa"/>
            <w:tcBorders>
              <w:top w:val="single" w:sz="4" w:space="0" w:color="D2232A"/>
              <w:left w:val="single" w:sz="4" w:space="0" w:color="D2232A"/>
              <w:bottom w:val="single" w:sz="4" w:space="0" w:color="D2232A"/>
              <w:right w:val="single" w:sz="4" w:space="0" w:color="D2232A"/>
            </w:tcBorders>
            <w:vAlign w:val="center"/>
          </w:tcPr>
          <w:p w14:paraId="4A8ED878" w14:textId="77777777" w:rsidR="00C323BE" w:rsidRPr="006D6727" w:rsidRDefault="00C323BE" w:rsidP="00FC6404">
            <w:pPr>
              <w:pStyle w:val="ECCTabletext"/>
              <w:spacing w:before="60"/>
              <w:jc w:val="left"/>
              <w:rPr>
                <w:noProof/>
              </w:rPr>
            </w:pPr>
            <w:r w:rsidRPr="006D6727">
              <w:rPr>
                <w:noProof/>
              </w:rPr>
              <w:t>Brussels Energy Agency</w:t>
            </w:r>
          </w:p>
        </w:tc>
        <w:tc>
          <w:tcPr>
            <w:tcW w:w="5806" w:type="dxa"/>
            <w:tcBorders>
              <w:top w:val="single" w:sz="4" w:space="0" w:color="D2232A"/>
              <w:left w:val="single" w:sz="4" w:space="0" w:color="D2232A"/>
              <w:bottom w:val="single" w:sz="4" w:space="0" w:color="D2232A"/>
              <w:right w:val="single" w:sz="4" w:space="0" w:color="D2232A"/>
            </w:tcBorders>
            <w:vAlign w:val="center"/>
          </w:tcPr>
          <w:p w14:paraId="651356A6" w14:textId="77777777" w:rsidR="00C323BE" w:rsidRPr="006D6727" w:rsidRDefault="00C323BE" w:rsidP="00FC6404">
            <w:pPr>
              <w:pStyle w:val="ECCTabletext"/>
              <w:spacing w:before="60"/>
              <w:jc w:val="left"/>
              <w:rPr>
                <w:noProof/>
              </w:rPr>
            </w:pPr>
            <w:r w:rsidRPr="006D6727">
              <w:rPr>
                <w:noProof/>
              </w:rPr>
              <w:t>-</w:t>
            </w:r>
          </w:p>
        </w:tc>
      </w:tr>
      <w:tr w:rsidR="00C323BE" w:rsidRPr="006D6727" w14:paraId="36AC4E43"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5ECD2C94" w14:textId="77777777" w:rsidR="00C323BE" w:rsidRPr="006D6727" w:rsidRDefault="00C323BE" w:rsidP="00FC6404">
            <w:pPr>
              <w:pStyle w:val="ECCTabletext"/>
              <w:spacing w:before="60"/>
              <w:jc w:val="left"/>
              <w:rPr>
                <w:noProof/>
              </w:rPr>
            </w:pPr>
            <w:r w:rsidRPr="006D6727">
              <w:rPr>
                <w:noProof/>
              </w:rPr>
              <w:t>Belgium -Flanders</w:t>
            </w:r>
          </w:p>
        </w:tc>
        <w:tc>
          <w:tcPr>
            <w:tcW w:w="2495" w:type="dxa"/>
            <w:tcBorders>
              <w:top w:val="single" w:sz="4" w:space="0" w:color="D2232A"/>
              <w:left w:val="single" w:sz="4" w:space="0" w:color="D2232A"/>
              <w:bottom w:val="single" w:sz="4" w:space="0" w:color="D2232A"/>
              <w:right w:val="single" w:sz="4" w:space="0" w:color="D2232A"/>
            </w:tcBorders>
            <w:vAlign w:val="center"/>
          </w:tcPr>
          <w:p w14:paraId="0033FFB6" w14:textId="77777777" w:rsidR="00C323BE" w:rsidRPr="006D6727" w:rsidRDefault="00C323BE" w:rsidP="00FC6404">
            <w:pPr>
              <w:pStyle w:val="ECCTabletext"/>
              <w:spacing w:before="60"/>
              <w:jc w:val="left"/>
              <w:rPr>
                <w:noProof/>
              </w:rPr>
            </w:pPr>
            <w:r w:rsidRPr="006D6727">
              <w:rPr>
                <w:noProof/>
              </w:rPr>
              <w:t>Flemish Energy Agency</w:t>
            </w:r>
          </w:p>
        </w:tc>
        <w:tc>
          <w:tcPr>
            <w:tcW w:w="5806" w:type="dxa"/>
            <w:tcBorders>
              <w:top w:val="single" w:sz="4" w:space="0" w:color="D2232A"/>
              <w:left w:val="single" w:sz="4" w:space="0" w:color="D2232A"/>
              <w:bottom w:val="single" w:sz="4" w:space="0" w:color="D2232A"/>
              <w:right w:val="single" w:sz="4" w:space="0" w:color="D2232A"/>
            </w:tcBorders>
            <w:vAlign w:val="center"/>
          </w:tcPr>
          <w:p w14:paraId="65E5A9B4" w14:textId="77777777" w:rsidR="00C323BE" w:rsidRPr="006D6727" w:rsidRDefault="00C323BE" w:rsidP="00FC6404">
            <w:pPr>
              <w:pStyle w:val="ECCTabletext"/>
              <w:spacing w:before="60"/>
              <w:jc w:val="left"/>
              <w:rPr>
                <w:noProof/>
              </w:rPr>
            </w:pPr>
            <w:r w:rsidRPr="006D6727">
              <w:rPr>
                <w:noProof/>
              </w:rPr>
              <w:t>Energy law (Energiebesluit) of November 19, 2010, Annex VII</w:t>
            </w:r>
          </w:p>
        </w:tc>
      </w:tr>
      <w:tr w:rsidR="00C323BE" w:rsidRPr="006D6727" w14:paraId="50617148"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0B432979" w14:textId="77777777" w:rsidR="00C323BE" w:rsidRPr="006D6727" w:rsidRDefault="00C323BE" w:rsidP="00FC6404">
            <w:pPr>
              <w:pStyle w:val="ECCTabletext"/>
              <w:spacing w:before="60"/>
              <w:jc w:val="left"/>
              <w:rPr>
                <w:noProof/>
              </w:rPr>
            </w:pPr>
            <w:r w:rsidRPr="006D6727">
              <w:rPr>
                <w:noProof/>
              </w:rPr>
              <w:t>Belgium -Wallonia</w:t>
            </w:r>
          </w:p>
        </w:tc>
        <w:tc>
          <w:tcPr>
            <w:tcW w:w="2495" w:type="dxa"/>
            <w:tcBorders>
              <w:top w:val="single" w:sz="4" w:space="0" w:color="D2232A"/>
              <w:left w:val="single" w:sz="4" w:space="0" w:color="D2232A"/>
              <w:bottom w:val="single" w:sz="4" w:space="0" w:color="D2232A"/>
              <w:right w:val="single" w:sz="4" w:space="0" w:color="D2232A"/>
            </w:tcBorders>
            <w:vAlign w:val="center"/>
          </w:tcPr>
          <w:p w14:paraId="2A9AC539" w14:textId="77777777" w:rsidR="00C323BE" w:rsidRPr="006D6727" w:rsidRDefault="00C323BE" w:rsidP="00FC6404">
            <w:pPr>
              <w:pStyle w:val="ECCTabletext"/>
              <w:spacing w:before="60"/>
              <w:jc w:val="left"/>
              <w:rPr>
                <w:noProof/>
              </w:rPr>
            </w:pPr>
            <w:r w:rsidRPr="006D6727">
              <w:rPr>
                <w:noProof/>
              </w:rPr>
              <w:t>EE buildings department</w:t>
            </w:r>
          </w:p>
        </w:tc>
        <w:tc>
          <w:tcPr>
            <w:tcW w:w="5806" w:type="dxa"/>
            <w:tcBorders>
              <w:top w:val="single" w:sz="4" w:space="0" w:color="D2232A"/>
              <w:left w:val="single" w:sz="4" w:space="0" w:color="D2232A"/>
              <w:bottom w:val="single" w:sz="4" w:space="0" w:color="D2232A"/>
              <w:right w:val="single" w:sz="4" w:space="0" w:color="D2232A"/>
            </w:tcBorders>
            <w:vAlign w:val="center"/>
          </w:tcPr>
          <w:p w14:paraId="0E8CF360" w14:textId="77777777" w:rsidR="00C323BE" w:rsidRPr="006D6727" w:rsidRDefault="00C323BE" w:rsidP="00FC6404">
            <w:pPr>
              <w:pStyle w:val="ECCTabletext"/>
              <w:spacing w:before="60"/>
              <w:jc w:val="left"/>
              <w:rPr>
                <w:noProof/>
              </w:rPr>
            </w:pPr>
            <w:r w:rsidRPr="006D6727">
              <w:rPr>
                <w:noProof/>
              </w:rPr>
              <w:t>Réglementation PEB du 01/01/2017 au 31/12/2020</w:t>
            </w:r>
          </w:p>
        </w:tc>
      </w:tr>
      <w:tr w:rsidR="00C323BE" w:rsidRPr="006D6727" w14:paraId="17C08354"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4543B4F7" w14:textId="77777777" w:rsidR="00C323BE" w:rsidRPr="006D6727" w:rsidRDefault="00C323BE" w:rsidP="00FC6404">
            <w:pPr>
              <w:pStyle w:val="ECCTabletext"/>
              <w:spacing w:before="60"/>
              <w:jc w:val="left"/>
              <w:rPr>
                <w:noProof/>
              </w:rPr>
            </w:pPr>
            <w:r w:rsidRPr="006D6727">
              <w:rPr>
                <w:noProof/>
              </w:rPr>
              <w:t>Bulgaria</w:t>
            </w:r>
          </w:p>
        </w:tc>
        <w:tc>
          <w:tcPr>
            <w:tcW w:w="2495" w:type="dxa"/>
            <w:tcBorders>
              <w:top w:val="single" w:sz="4" w:space="0" w:color="D2232A"/>
              <w:left w:val="single" w:sz="4" w:space="0" w:color="D2232A"/>
              <w:bottom w:val="single" w:sz="4" w:space="0" w:color="D2232A"/>
              <w:right w:val="single" w:sz="4" w:space="0" w:color="D2232A"/>
            </w:tcBorders>
            <w:vAlign w:val="center"/>
          </w:tcPr>
          <w:p w14:paraId="51825174" w14:textId="77777777" w:rsidR="00C323BE" w:rsidRPr="006D6727" w:rsidRDefault="00C323BE" w:rsidP="00FC6404">
            <w:pPr>
              <w:pStyle w:val="ECCTabletext"/>
              <w:spacing w:before="60"/>
              <w:jc w:val="left"/>
              <w:rPr>
                <w:noProof/>
              </w:rPr>
            </w:pPr>
            <w:r w:rsidRPr="006D6727">
              <w:rPr>
                <w:noProof/>
              </w:rPr>
              <w:t>Sofia Energy Agency -SOFENA</w:t>
            </w:r>
          </w:p>
        </w:tc>
        <w:tc>
          <w:tcPr>
            <w:tcW w:w="5806" w:type="dxa"/>
            <w:tcBorders>
              <w:top w:val="single" w:sz="4" w:space="0" w:color="D2232A"/>
              <w:left w:val="single" w:sz="4" w:space="0" w:color="D2232A"/>
              <w:bottom w:val="single" w:sz="4" w:space="0" w:color="D2232A"/>
              <w:right w:val="single" w:sz="4" w:space="0" w:color="D2232A"/>
            </w:tcBorders>
            <w:vAlign w:val="center"/>
          </w:tcPr>
          <w:p w14:paraId="0F7BB44C" w14:textId="77777777" w:rsidR="00C323BE" w:rsidRPr="006D6727" w:rsidRDefault="00C323BE" w:rsidP="00FC6404">
            <w:pPr>
              <w:pStyle w:val="ECCTabletext"/>
              <w:spacing w:before="60"/>
              <w:jc w:val="left"/>
              <w:rPr>
                <w:noProof/>
              </w:rPr>
            </w:pPr>
            <w:r w:rsidRPr="006D6727">
              <w:rPr>
                <w:noProof/>
              </w:rPr>
              <w:t>Ministry of Regional Development -Ordinance 7 of the Energy Efficiency of Buildings</w:t>
            </w:r>
          </w:p>
        </w:tc>
      </w:tr>
      <w:tr w:rsidR="00C323BE" w:rsidRPr="006D6727" w14:paraId="4CDB303F"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4F7AFE70" w14:textId="77777777" w:rsidR="00C323BE" w:rsidRPr="006D6727" w:rsidRDefault="00C323BE" w:rsidP="00FC6404">
            <w:pPr>
              <w:pStyle w:val="ECCTabletext"/>
              <w:spacing w:before="60"/>
              <w:jc w:val="left"/>
              <w:rPr>
                <w:noProof/>
              </w:rPr>
            </w:pPr>
            <w:r w:rsidRPr="006D6727">
              <w:rPr>
                <w:noProof/>
              </w:rPr>
              <w:t>Croatia</w:t>
            </w:r>
          </w:p>
        </w:tc>
        <w:tc>
          <w:tcPr>
            <w:tcW w:w="2495" w:type="dxa"/>
            <w:tcBorders>
              <w:top w:val="single" w:sz="4" w:space="0" w:color="D2232A"/>
              <w:left w:val="single" w:sz="4" w:space="0" w:color="D2232A"/>
              <w:bottom w:val="single" w:sz="4" w:space="0" w:color="D2232A"/>
              <w:right w:val="single" w:sz="4" w:space="0" w:color="D2232A"/>
            </w:tcBorders>
            <w:vAlign w:val="center"/>
          </w:tcPr>
          <w:p w14:paraId="3C7FEF1F" w14:textId="77777777" w:rsidR="00C323BE" w:rsidRPr="006D6727" w:rsidRDefault="00C323BE" w:rsidP="00FC6404">
            <w:pPr>
              <w:pStyle w:val="ECCTabletext"/>
              <w:spacing w:before="60"/>
              <w:jc w:val="left"/>
              <w:rPr>
                <w:noProof/>
              </w:rPr>
            </w:pPr>
            <w:r w:rsidRPr="006D6727">
              <w:rPr>
                <w:noProof/>
              </w:rPr>
              <w:t>Ministry of Construction and Physical Planning</w:t>
            </w:r>
          </w:p>
        </w:tc>
        <w:tc>
          <w:tcPr>
            <w:tcW w:w="5806" w:type="dxa"/>
            <w:tcBorders>
              <w:top w:val="single" w:sz="4" w:space="0" w:color="D2232A"/>
              <w:left w:val="single" w:sz="4" w:space="0" w:color="D2232A"/>
              <w:bottom w:val="single" w:sz="4" w:space="0" w:color="D2232A"/>
              <w:right w:val="single" w:sz="4" w:space="0" w:color="D2232A"/>
            </w:tcBorders>
            <w:vAlign w:val="center"/>
          </w:tcPr>
          <w:p w14:paraId="13054956" w14:textId="77777777" w:rsidR="00C323BE" w:rsidRPr="006D6727" w:rsidRDefault="00C323BE" w:rsidP="00FC6404">
            <w:pPr>
              <w:pStyle w:val="ECCTabletext"/>
              <w:spacing w:before="60"/>
              <w:jc w:val="left"/>
              <w:rPr>
                <w:noProof/>
              </w:rPr>
            </w:pPr>
            <w:r w:rsidRPr="006D6727">
              <w:rPr>
                <w:noProof/>
              </w:rPr>
              <w:t>Technical regulation on rational energy consumption and thermal protection in buildings (OG 128/2015)</w:t>
            </w:r>
          </w:p>
        </w:tc>
      </w:tr>
      <w:tr w:rsidR="00C323BE" w:rsidRPr="006D6727" w14:paraId="32837B06"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0FD6D015" w14:textId="77777777" w:rsidR="00C323BE" w:rsidRPr="006D6727" w:rsidRDefault="00C323BE" w:rsidP="00FC6404">
            <w:pPr>
              <w:pStyle w:val="ECCTabletext"/>
              <w:spacing w:before="60"/>
              <w:jc w:val="left"/>
              <w:rPr>
                <w:noProof/>
              </w:rPr>
            </w:pPr>
            <w:r w:rsidRPr="006D6727">
              <w:rPr>
                <w:noProof/>
              </w:rPr>
              <w:t>Cyprus</w:t>
            </w:r>
          </w:p>
        </w:tc>
        <w:tc>
          <w:tcPr>
            <w:tcW w:w="2495" w:type="dxa"/>
            <w:tcBorders>
              <w:top w:val="single" w:sz="4" w:space="0" w:color="D2232A"/>
              <w:left w:val="single" w:sz="4" w:space="0" w:color="D2232A"/>
              <w:bottom w:val="single" w:sz="4" w:space="0" w:color="D2232A"/>
              <w:right w:val="single" w:sz="4" w:space="0" w:color="D2232A"/>
            </w:tcBorders>
            <w:vAlign w:val="center"/>
          </w:tcPr>
          <w:p w14:paraId="3EF97E62" w14:textId="77777777" w:rsidR="00C323BE" w:rsidRPr="006D6727" w:rsidRDefault="00C323BE" w:rsidP="00FC6404">
            <w:pPr>
              <w:pStyle w:val="ECCTabletext"/>
              <w:spacing w:before="60"/>
              <w:jc w:val="left"/>
              <w:rPr>
                <w:noProof/>
              </w:rPr>
            </w:pPr>
            <w:r w:rsidRPr="006D6727">
              <w:rPr>
                <w:noProof/>
              </w:rPr>
              <w:t xml:space="preserve">Ministry of Energy, Commerce, Industry and Tourism </w:t>
            </w:r>
          </w:p>
        </w:tc>
        <w:tc>
          <w:tcPr>
            <w:tcW w:w="5806" w:type="dxa"/>
            <w:tcBorders>
              <w:top w:val="single" w:sz="4" w:space="0" w:color="D2232A"/>
              <w:left w:val="single" w:sz="4" w:space="0" w:color="D2232A"/>
              <w:bottom w:val="single" w:sz="4" w:space="0" w:color="D2232A"/>
              <w:right w:val="single" w:sz="4" w:space="0" w:color="D2232A"/>
            </w:tcBorders>
            <w:vAlign w:val="center"/>
          </w:tcPr>
          <w:p w14:paraId="04725DC1" w14:textId="77777777" w:rsidR="00C323BE" w:rsidRPr="006D6727" w:rsidRDefault="00C323BE" w:rsidP="00FC6404">
            <w:pPr>
              <w:pStyle w:val="ECCTabletext"/>
              <w:spacing w:before="60"/>
              <w:jc w:val="left"/>
              <w:rPr>
                <w:noProof/>
              </w:rPr>
            </w:pPr>
            <w:r w:rsidRPr="006D6727">
              <w:rPr>
                <w:noProof/>
              </w:rPr>
              <w:t>Ministerial Order for Minimum Energy Performance Requirements 2013 (ΚΔΠ 244/2013, ΚΔΠ 432/2013, ΚΔΠ 119/2016)</w:t>
            </w:r>
          </w:p>
        </w:tc>
      </w:tr>
      <w:tr w:rsidR="00C323BE" w:rsidRPr="006D6727" w14:paraId="1002419F"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79135AB6" w14:textId="77777777" w:rsidR="00C323BE" w:rsidRPr="006D6727" w:rsidRDefault="00C323BE" w:rsidP="00FC6404">
            <w:pPr>
              <w:spacing w:before="60"/>
              <w:jc w:val="left"/>
              <w:rPr>
                <w:noProof/>
              </w:rPr>
            </w:pPr>
            <w:r w:rsidRPr="006D6727">
              <w:rPr>
                <w:noProof/>
              </w:rPr>
              <w:t xml:space="preserve">Czech Republic </w:t>
            </w:r>
          </w:p>
        </w:tc>
        <w:tc>
          <w:tcPr>
            <w:tcW w:w="2495" w:type="dxa"/>
            <w:tcBorders>
              <w:top w:val="single" w:sz="4" w:space="0" w:color="D2232A"/>
              <w:left w:val="single" w:sz="4" w:space="0" w:color="D2232A"/>
              <w:bottom w:val="single" w:sz="4" w:space="0" w:color="D2232A"/>
              <w:right w:val="single" w:sz="4" w:space="0" w:color="D2232A"/>
            </w:tcBorders>
          </w:tcPr>
          <w:p w14:paraId="768BE788" w14:textId="77777777" w:rsidR="00C323BE" w:rsidRPr="006D6727" w:rsidRDefault="00C323BE" w:rsidP="00FC6404">
            <w:pPr>
              <w:spacing w:before="60"/>
              <w:jc w:val="left"/>
              <w:rPr>
                <w:noProof/>
              </w:rPr>
            </w:pPr>
            <w:r w:rsidRPr="006D6727">
              <w:rPr>
                <w:noProof/>
              </w:rPr>
              <w:t xml:space="preserve">Building Engineering-Consultants </w:t>
            </w:r>
          </w:p>
          <w:p w14:paraId="703E5081" w14:textId="77777777" w:rsidR="00C323BE" w:rsidRPr="006D6727" w:rsidRDefault="00C323BE" w:rsidP="00FC6404">
            <w:pPr>
              <w:spacing w:before="60"/>
              <w:jc w:val="left"/>
              <w:rPr>
                <w:noProof/>
              </w:rPr>
            </w:pPr>
            <w:r w:rsidRPr="006D6727">
              <w:rPr>
                <w:noProof/>
              </w:rPr>
              <w:t xml:space="preserve">Prague </w:t>
            </w:r>
          </w:p>
        </w:tc>
        <w:tc>
          <w:tcPr>
            <w:tcW w:w="5806" w:type="dxa"/>
            <w:tcBorders>
              <w:top w:val="single" w:sz="4" w:space="0" w:color="D2232A"/>
              <w:left w:val="single" w:sz="4" w:space="0" w:color="D2232A"/>
              <w:bottom w:val="single" w:sz="4" w:space="0" w:color="D2232A"/>
              <w:right w:val="single" w:sz="4" w:space="0" w:color="D2232A"/>
            </w:tcBorders>
            <w:vAlign w:val="center"/>
          </w:tcPr>
          <w:p w14:paraId="21A347B2" w14:textId="77777777" w:rsidR="00C323BE" w:rsidRPr="006D6727" w:rsidRDefault="00C323BE" w:rsidP="00FC6404">
            <w:pPr>
              <w:pStyle w:val="ECCTabletext"/>
              <w:spacing w:before="60"/>
              <w:jc w:val="left"/>
              <w:rPr>
                <w:noProof/>
              </w:rPr>
            </w:pPr>
            <w:r w:rsidRPr="006D6727">
              <w:rPr>
                <w:noProof/>
              </w:rPr>
              <w:t>CSN 730540-2</w:t>
            </w:r>
          </w:p>
        </w:tc>
      </w:tr>
      <w:tr w:rsidR="00C323BE" w:rsidRPr="006D6727" w14:paraId="2C7165CA"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19C2EF4" w14:textId="77777777" w:rsidR="00C323BE" w:rsidRPr="006D6727" w:rsidRDefault="00C323BE" w:rsidP="00876039">
            <w:pPr>
              <w:spacing w:before="60"/>
              <w:rPr>
                <w:noProof/>
              </w:rPr>
            </w:pPr>
            <w:r w:rsidRPr="006D6727">
              <w:rPr>
                <w:noProof/>
              </w:rPr>
              <w:t xml:space="preserve">Denmark </w:t>
            </w:r>
          </w:p>
        </w:tc>
        <w:tc>
          <w:tcPr>
            <w:tcW w:w="2495" w:type="dxa"/>
            <w:tcBorders>
              <w:top w:val="single" w:sz="4" w:space="0" w:color="D2232A"/>
              <w:left w:val="single" w:sz="4" w:space="0" w:color="D2232A"/>
              <w:bottom w:val="single" w:sz="4" w:space="0" w:color="D2232A"/>
              <w:right w:val="single" w:sz="4" w:space="0" w:color="D2232A"/>
            </w:tcBorders>
          </w:tcPr>
          <w:p w14:paraId="1FC21757" w14:textId="77777777" w:rsidR="00C323BE" w:rsidRPr="006D6727" w:rsidRDefault="00C323BE" w:rsidP="009A5B23">
            <w:pPr>
              <w:spacing w:before="60"/>
              <w:jc w:val="left"/>
              <w:rPr>
                <w:noProof/>
              </w:rPr>
            </w:pPr>
            <w:r w:rsidRPr="006D6727">
              <w:rPr>
                <w:noProof/>
              </w:rPr>
              <w:t xml:space="preserve">Danish Ministry of Climate, Energy and Buildings, Danish Energy Agency </w:t>
            </w:r>
          </w:p>
        </w:tc>
        <w:tc>
          <w:tcPr>
            <w:tcW w:w="5806" w:type="dxa"/>
            <w:tcBorders>
              <w:top w:val="single" w:sz="4" w:space="0" w:color="D2232A"/>
              <w:left w:val="single" w:sz="4" w:space="0" w:color="D2232A"/>
              <w:bottom w:val="single" w:sz="4" w:space="0" w:color="D2232A"/>
              <w:right w:val="single" w:sz="4" w:space="0" w:color="D2232A"/>
            </w:tcBorders>
          </w:tcPr>
          <w:p w14:paraId="74063021" w14:textId="77777777" w:rsidR="00C323BE" w:rsidRPr="006D6727" w:rsidRDefault="00C323BE" w:rsidP="00876039">
            <w:pPr>
              <w:spacing w:before="60"/>
              <w:rPr>
                <w:noProof/>
              </w:rPr>
            </w:pPr>
            <w:r w:rsidRPr="006D6727">
              <w:rPr>
                <w:noProof/>
              </w:rPr>
              <w:t xml:space="preserve">Executive Order on the Publication </w:t>
            </w:r>
          </w:p>
        </w:tc>
      </w:tr>
      <w:tr w:rsidR="00C323BE" w:rsidRPr="006D6727" w14:paraId="3F7BE19E"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155ABD58" w14:textId="77777777" w:rsidR="00C323BE" w:rsidRPr="006D6727" w:rsidRDefault="00C323BE" w:rsidP="00876039">
            <w:pPr>
              <w:spacing w:before="60"/>
              <w:jc w:val="left"/>
              <w:rPr>
                <w:noProof/>
              </w:rPr>
            </w:pPr>
            <w:r w:rsidRPr="006D6727">
              <w:rPr>
                <w:noProof/>
              </w:rPr>
              <w:t xml:space="preserve">Estonia </w:t>
            </w:r>
          </w:p>
        </w:tc>
        <w:tc>
          <w:tcPr>
            <w:tcW w:w="2495" w:type="dxa"/>
            <w:tcBorders>
              <w:top w:val="single" w:sz="4" w:space="0" w:color="D2232A"/>
              <w:left w:val="single" w:sz="4" w:space="0" w:color="D2232A"/>
              <w:bottom w:val="single" w:sz="4" w:space="0" w:color="D2232A"/>
              <w:right w:val="single" w:sz="4" w:space="0" w:color="D2232A"/>
            </w:tcBorders>
          </w:tcPr>
          <w:p w14:paraId="551E8CF8" w14:textId="77777777" w:rsidR="00C323BE" w:rsidRPr="006D6727" w:rsidRDefault="00C323BE" w:rsidP="00876039">
            <w:pPr>
              <w:spacing w:before="60"/>
              <w:jc w:val="left"/>
              <w:rPr>
                <w:noProof/>
              </w:rPr>
            </w:pPr>
            <w:r w:rsidRPr="006D6727">
              <w:rPr>
                <w:noProof/>
              </w:rPr>
              <w:t xml:space="preserve">Tallinn University of Technology </w:t>
            </w:r>
          </w:p>
        </w:tc>
        <w:tc>
          <w:tcPr>
            <w:tcW w:w="5806" w:type="dxa"/>
            <w:tcBorders>
              <w:top w:val="single" w:sz="4" w:space="0" w:color="D2232A"/>
              <w:left w:val="single" w:sz="4" w:space="0" w:color="D2232A"/>
              <w:bottom w:val="single" w:sz="4" w:space="0" w:color="D2232A"/>
              <w:right w:val="single" w:sz="4" w:space="0" w:color="D2232A"/>
            </w:tcBorders>
          </w:tcPr>
          <w:p w14:paraId="1012E22F" w14:textId="77777777" w:rsidR="00C323BE" w:rsidRPr="006D6727" w:rsidRDefault="00C323BE" w:rsidP="00876039">
            <w:pPr>
              <w:spacing w:before="60"/>
              <w:jc w:val="left"/>
              <w:rPr>
                <w:noProof/>
              </w:rPr>
            </w:pPr>
            <w:r w:rsidRPr="006D6727">
              <w:rPr>
                <w:noProof/>
              </w:rPr>
              <w:t xml:space="preserve">Concerted Action 2014 / Minimum energy performance requirements </w:t>
            </w:r>
          </w:p>
        </w:tc>
      </w:tr>
      <w:tr w:rsidR="00C323BE" w:rsidRPr="006D6727" w14:paraId="7AB6A075"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E8B3B40" w14:textId="77777777" w:rsidR="00C323BE" w:rsidRPr="006D6727" w:rsidRDefault="00C323BE" w:rsidP="00876039">
            <w:pPr>
              <w:spacing w:before="60"/>
              <w:jc w:val="left"/>
              <w:rPr>
                <w:noProof/>
              </w:rPr>
            </w:pPr>
            <w:r w:rsidRPr="006D6727">
              <w:rPr>
                <w:noProof/>
              </w:rPr>
              <w:t xml:space="preserve">Finland </w:t>
            </w:r>
          </w:p>
        </w:tc>
        <w:tc>
          <w:tcPr>
            <w:tcW w:w="2495" w:type="dxa"/>
            <w:tcBorders>
              <w:top w:val="single" w:sz="4" w:space="0" w:color="D2232A"/>
              <w:left w:val="single" w:sz="4" w:space="0" w:color="D2232A"/>
              <w:bottom w:val="single" w:sz="4" w:space="0" w:color="D2232A"/>
              <w:right w:val="single" w:sz="4" w:space="0" w:color="D2232A"/>
            </w:tcBorders>
          </w:tcPr>
          <w:p w14:paraId="0E6CB95B" w14:textId="77777777" w:rsidR="00C323BE" w:rsidRPr="006D6727" w:rsidRDefault="00C323BE" w:rsidP="00876039">
            <w:pPr>
              <w:spacing w:before="60"/>
              <w:jc w:val="left"/>
              <w:rPr>
                <w:noProof/>
              </w:rPr>
            </w:pPr>
            <w:r w:rsidRPr="006D6727">
              <w:rPr>
                <w:noProof/>
              </w:rPr>
              <w:t xml:space="preserve">Ministry of the Environment </w:t>
            </w:r>
          </w:p>
        </w:tc>
        <w:tc>
          <w:tcPr>
            <w:tcW w:w="5806" w:type="dxa"/>
            <w:tcBorders>
              <w:top w:val="single" w:sz="4" w:space="0" w:color="D2232A"/>
              <w:left w:val="single" w:sz="4" w:space="0" w:color="D2232A"/>
              <w:bottom w:val="single" w:sz="4" w:space="0" w:color="D2232A"/>
              <w:right w:val="single" w:sz="4" w:space="0" w:color="D2232A"/>
            </w:tcBorders>
          </w:tcPr>
          <w:p w14:paraId="7C0F86E3" w14:textId="77777777" w:rsidR="00C323BE" w:rsidRPr="006D6727" w:rsidRDefault="00C323BE" w:rsidP="00876039">
            <w:pPr>
              <w:spacing w:before="60"/>
              <w:jc w:val="left"/>
              <w:rPr>
                <w:noProof/>
              </w:rPr>
            </w:pPr>
            <w:r w:rsidRPr="006D6727">
              <w:rPr>
                <w:noProof/>
              </w:rPr>
              <w:t xml:space="preserve">4/13 Ministry of the Environment degree on improving the energy performance of buildings undergoing renovation or alternation </w:t>
            </w:r>
          </w:p>
        </w:tc>
      </w:tr>
      <w:tr w:rsidR="00C323BE" w:rsidRPr="0067654F" w14:paraId="4929BF40"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B369B38" w14:textId="77777777" w:rsidR="00C323BE" w:rsidRPr="006D6727" w:rsidRDefault="00C323BE" w:rsidP="00876039">
            <w:pPr>
              <w:spacing w:before="60"/>
              <w:jc w:val="left"/>
              <w:rPr>
                <w:noProof/>
              </w:rPr>
            </w:pPr>
            <w:r w:rsidRPr="006D6727">
              <w:rPr>
                <w:noProof/>
              </w:rPr>
              <w:t xml:space="preserve">France </w:t>
            </w:r>
          </w:p>
        </w:tc>
        <w:tc>
          <w:tcPr>
            <w:tcW w:w="2495" w:type="dxa"/>
            <w:tcBorders>
              <w:top w:val="single" w:sz="4" w:space="0" w:color="D2232A"/>
              <w:left w:val="single" w:sz="4" w:space="0" w:color="D2232A"/>
              <w:bottom w:val="single" w:sz="4" w:space="0" w:color="D2232A"/>
              <w:right w:val="single" w:sz="4" w:space="0" w:color="D2232A"/>
            </w:tcBorders>
          </w:tcPr>
          <w:p w14:paraId="08ED90C8" w14:textId="77777777" w:rsidR="00C323BE" w:rsidRPr="006D6727" w:rsidRDefault="00C323BE" w:rsidP="00876039">
            <w:pPr>
              <w:spacing w:before="60"/>
              <w:jc w:val="left"/>
              <w:rPr>
                <w:noProof/>
              </w:rPr>
            </w:pPr>
            <w:r w:rsidRPr="006D6727">
              <w:rPr>
                <w:noProof/>
              </w:rPr>
              <w:t xml:space="preserve">ADEME/DTVD/SB </w:t>
            </w:r>
          </w:p>
        </w:tc>
        <w:tc>
          <w:tcPr>
            <w:tcW w:w="5806" w:type="dxa"/>
            <w:tcBorders>
              <w:top w:val="single" w:sz="4" w:space="0" w:color="D2232A"/>
              <w:left w:val="single" w:sz="4" w:space="0" w:color="D2232A"/>
              <w:bottom w:val="single" w:sz="4" w:space="0" w:color="D2232A"/>
              <w:right w:val="single" w:sz="4" w:space="0" w:color="D2232A"/>
            </w:tcBorders>
          </w:tcPr>
          <w:p w14:paraId="1CD80F8A" w14:textId="77777777" w:rsidR="00C323BE" w:rsidRPr="004A7A13" w:rsidRDefault="00C323BE" w:rsidP="00876039">
            <w:pPr>
              <w:spacing w:before="60"/>
              <w:jc w:val="left"/>
              <w:rPr>
                <w:noProof/>
                <w:lang w:val="fr-FR"/>
              </w:rPr>
            </w:pPr>
            <w:r w:rsidRPr="004A7A13">
              <w:rPr>
                <w:noProof/>
                <w:lang w:val="fr-FR"/>
              </w:rPr>
              <w:t xml:space="preserve">Arrêté du 3 Mai 2007 relatif aux caractéristiques thermiques et à la performance énergétique des bâtiments existants </w:t>
            </w:r>
          </w:p>
          <w:p w14:paraId="27D8F488" w14:textId="77777777" w:rsidR="00C323BE" w:rsidRPr="004A7A13" w:rsidRDefault="00C323BE" w:rsidP="00876039">
            <w:pPr>
              <w:spacing w:before="60"/>
              <w:jc w:val="left"/>
              <w:rPr>
                <w:noProof/>
                <w:lang w:val="fr-FR"/>
              </w:rPr>
            </w:pPr>
            <w:r w:rsidRPr="004A7A13">
              <w:rPr>
                <w:noProof/>
                <w:lang w:val="fr-FR"/>
              </w:rPr>
              <w:t>Arrêté du 13 Juin 2008 relatif à la performance énergétique des bâtiments existants de surface supérieure à 1000 m2 lorsqu’ils font l’objet de travaux de rénovation importants</w:t>
            </w:r>
          </w:p>
        </w:tc>
      </w:tr>
      <w:tr w:rsidR="00C323BE" w:rsidRPr="006D6727" w14:paraId="156EAF93"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19ADCC7" w14:textId="77777777" w:rsidR="00C323BE" w:rsidRPr="006D6727" w:rsidRDefault="00C323BE" w:rsidP="00876039">
            <w:pPr>
              <w:spacing w:before="60"/>
              <w:jc w:val="left"/>
              <w:rPr>
                <w:noProof/>
              </w:rPr>
            </w:pPr>
            <w:r w:rsidRPr="006D6727">
              <w:rPr>
                <w:noProof/>
              </w:rPr>
              <w:t xml:space="preserve">Germany </w:t>
            </w:r>
          </w:p>
        </w:tc>
        <w:tc>
          <w:tcPr>
            <w:tcW w:w="2495" w:type="dxa"/>
            <w:tcBorders>
              <w:top w:val="single" w:sz="4" w:space="0" w:color="D2232A"/>
              <w:left w:val="single" w:sz="4" w:space="0" w:color="D2232A"/>
              <w:bottom w:val="single" w:sz="4" w:space="0" w:color="D2232A"/>
              <w:right w:val="single" w:sz="4" w:space="0" w:color="D2232A"/>
            </w:tcBorders>
          </w:tcPr>
          <w:p w14:paraId="0D14B907" w14:textId="77777777" w:rsidR="00C323BE" w:rsidRPr="006D6727" w:rsidRDefault="00C323BE" w:rsidP="00876039">
            <w:pPr>
              <w:spacing w:before="60"/>
              <w:jc w:val="left"/>
              <w:rPr>
                <w:noProof/>
              </w:rPr>
            </w:pPr>
            <w:r w:rsidRPr="006D6727">
              <w:rPr>
                <w:noProof/>
              </w:rPr>
              <w:t xml:space="preserve">Ecofys Germany GmbH </w:t>
            </w:r>
          </w:p>
        </w:tc>
        <w:tc>
          <w:tcPr>
            <w:tcW w:w="5806" w:type="dxa"/>
            <w:tcBorders>
              <w:top w:val="single" w:sz="4" w:space="0" w:color="D2232A"/>
              <w:left w:val="single" w:sz="4" w:space="0" w:color="D2232A"/>
              <w:bottom w:val="single" w:sz="4" w:space="0" w:color="D2232A"/>
              <w:right w:val="single" w:sz="4" w:space="0" w:color="D2232A"/>
            </w:tcBorders>
          </w:tcPr>
          <w:p w14:paraId="6F0B093F" w14:textId="77777777" w:rsidR="00C323BE" w:rsidRPr="006D6727" w:rsidRDefault="00C323BE" w:rsidP="00876039">
            <w:pPr>
              <w:spacing w:before="60"/>
              <w:jc w:val="left"/>
              <w:rPr>
                <w:noProof/>
              </w:rPr>
            </w:pPr>
            <w:r w:rsidRPr="004A7A13">
              <w:rPr>
                <w:noProof/>
                <w:lang w:val="de-DE"/>
              </w:rPr>
              <w:t xml:space="preserve">Energieeinsparverordnung zur Zweiten Verordnung zur Änderung der Energieeinsparverordnung vom 18. </w:t>
            </w:r>
            <w:r w:rsidRPr="006D6727">
              <w:rPr>
                <w:noProof/>
              </w:rPr>
              <w:t xml:space="preserve">November 2013 (BGBl. I S.3951) (Energieeinsparverordnung 2014) </w:t>
            </w:r>
          </w:p>
        </w:tc>
      </w:tr>
      <w:tr w:rsidR="00C323BE" w:rsidRPr="006D6727" w14:paraId="60B1075F"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52524D47" w14:textId="77777777" w:rsidR="00C323BE" w:rsidRPr="006D6727" w:rsidRDefault="00C323BE" w:rsidP="00876039">
            <w:pPr>
              <w:spacing w:before="60"/>
              <w:jc w:val="left"/>
              <w:rPr>
                <w:noProof/>
              </w:rPr>
            </w:pPr>
            <w:r w:rsidRPr="006D6727">
              <w:rPr>
                <w:noProof/>
              </w:rPr>
              <w:t xml:space="preserve">Greece </w:t>
            </w:r>
          </w:p>
        </w:tc>
        <w:tc>
          <w:tcPr>
            <w:tcW w:w="2495" w:type="dxa"/>
            <w:tcBorders>
              <w:top w:val="single" w:sz="4" w:space="0" w:color="D2232A"/>
              <w:left w:val="single" w:sz="4" w:space="0" w:color="D2232A"/>
              <w:bottom w:val="single" w:sz="4" w:space="0" w:color="D2232A"/>
              <w:right w:val="single" w:sz="4" w:space="0" w:color="D2232A"/>
            </w:tcBorders>
          </w:tcPr>
          <w:p w14:paraId="3A6B8372" w14:textId="77777777" w:rsidR="00C323BE" w:rsidRPr="006D6727" w:rsidRDefault="00C323BE" w:rsidP="00876039">
            <w:pPr>
              <w:spacing w:before="60"/>
              <w:jc w:val="left"/>
              <w:rPr>
                <w:noProof/>
              </w:rPr>
            </w:pPr>
            <w:r w:rsidRPr="006D6727">
              <w:rPr>
                <w:noProof/>
              </w:rPr>
              <w:t xml:space="preserve">Laboratory of Building Construction and Building Physics Civil Engineering Department, Aristotle University of Thessaloniki </w:t>
            </w:r>
          </w:p>
        </w:tc>
        <w:tc>
          <w:tcPr>
            <w:tcW w:w="5806" w:type="dxa"/>
            <w:tcBorders>
              <w:top w:val="single" w:sz="4" w:space="0" w:color="D2232A"/>
              <w:left w:val="single" w:sz="4" w:space="0" w:color="D2232A"/>
              <w:bottom w:val="single" w:sz="4" w:space="0" w:color="D2232A"/>
              <w:right w:val="single" w:sz="4" w:space="0" w:color="D2232A"/>
            </w:tcBorders>
          </w:tcPr>
          <w:p w14:paraId="499E8069" w14:textId="77777777" w:rsidR="00C323BE" w:rsidRPr="006D6727" w:rsidRDefault="00C323BE" w:rsidP="00876039">
            <w:pPr>
              <w:spacing w:before="60"/>
              <w:jc w:val="left"/>
              <w:rPr>
                <w:noProof/>
              </w:rPr>
            </w:pPr>
            <w:r w:rsidRPr="006D6727">
              <w:rPr>
                <w:noProof/>
              </w:rPr>
              <w:t xml:space="preserve">Ministerial Decision 5825/30-03-2010 FEK Β΄ 407 </w:t>
            </w:r>
          </w:p>
        </w:tc>
      </w:tr>
      <w:tr w:rsidR="00C323BE" w:rsidRPr="006D6727" w14:paraId="21BBAF7C"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274AF71" w14:textId="77777777" w:rsidR="00C323BE" w:rsidRPr="006D6727" w:rsidRDefault="00C323BE" w:rsidP="00876039">
            <w:pPr>
              <w:spacing w:before="60"/>
              <w:jc w:val="left"/>
              <w:rPr>
                <w:noProof/>
              </w:rPr>
            </w:pPr>
            <w:r w:rsidRPr="006D6727">
              <w:rPr>
                <w:noProof/>
              </w:rPr>
              <w:t xml:space="preserve">Hungary </w:t>
            </w:r>
          </w:p>
        </w:tc>
        <w:tc>
          <w:tcPr>
            <w:tcW w:w="2495" w:type="dxa"/>
            <w:tcBorders>
              <w:top w:val="single" w:sz="4" w:space="0" w:color="D2232A"/>
              <w:left w:val="single" w:sz="4" w:space="0" w:color="D2232A"/>
              <w:bottom w:val="single" w:sz="4" w:space="0" w:color="D2232A"/>
              <w:right w:val="single" w:sz="4" w:space="0" w:color="D2232A"/>
            </w:tcBorders>
          </w:tcPr>
          <w:p w14:paraId="517B330E" w14:textId="77777777" w:rsidR="00C323BE" w:rsidRPr="006D6727" w:rsidRDefault="00C323BE" w:rsidP="00876039">
            <w:pPr>
              <w:spacing w:before="60"/>
              <w:jc w:val="left"/>
              <w:rPr>
                <w:noProof/>
              </w:rPr>
            </w:pPr>
            <w:r w:rsidRPr="006D6727">
              <w:rPr>
                <w:noProof/>
              </w:rPr>
              <w:t xml:space="preserve">Building Energetics Affiliation of the Hungarian Chamber of Engineers </w:t>
            </w:r>
          </w:p>
        </w:tc>
        <w:tc>
          <w:tcPr>
            <w:tcW w:w="5806" w:type="dxa"/>
            <w:tcBorders>
              <w:top w:val="single" w:sz="4" w:space="0" w:color="D2232A"/>
              <w:left w:val="single" w:sz="4" w:space="0" w:color="D2232A"/>
              <w:bottom w:val="single" w:sz="4" w:space="0" w:color="D2232A"/>
              <w:right w:val="single" w:sz="4" w:space="0" w:color="D2232A"/>
            </w:tcBorders>
          </w:tcPr>
          <w:p w14:paraId="7E6271FB" w14:textId="77777777" w:rsidR="00C323BE" w:rsidRPr="006D6727" w:rsidRDefault="00C323BE" w:rsidP="00876039">
            <w:pPr>
              <w:spacing w:before="60"/>
              <w:jc w:val="left"/>
              <w:rPr>
                <w:noProof/>
              </w:rPr>
            </w:pPr>
            <w:r w:rsidRPr="006D6727">
              <w:rPr>
                <w:noProof/>
              </w:rPr>
              <w:t xml:space="preserve">7/2006. (V. 24.) TNM the definition of the energy characteristics of buildings, Annex 1 &amp; Annex 5 </w:t>
            </w:r>
          </w:p>
        </w:tc>
      </w:tr>
      <w:tr w:rsidR="00C323BE" w:rsidRPr="006D6727" w14:paraId="37FDC3D1"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3847E0EB" w14:textId="77777777" w:rsidR="00C323BE" w:rsidRPr="006D6727" w:rsidRDefault="00C323BE" w:rsidP="00876039">
            <w:pPr>
              <w:spacing w:before="60"/>
              <w:jc w:val="left"/>
              <w:rPr>
                <w:noProof/>
              </w:rPr>
            </w:pPr>
            <w:r w:rsidRPr="006D6727">
              <w:rPr>
                <w:noProof/>
              </w:rPr>
              <w:t xml:space="preserve">Ireland </w:t>
            </w:r>
          </w:p>
        </w:tc>
        <w:tc>
          <w:tcPr>
            <w:tcW w:w="2495" w:type="dxa"/>
            <w:tcBorders>
              <w:top w:val="single" w:sz="4" w:space="0" w:color="D2232A"/>
              <w:left w:val="single" w:sz="4" w:space="0" w:color="D2232A"/>
              <w:bottom w:val="single" w:sz="4" w:space="0" w:color="D2232A"/>
              <w:right w:val="single" w:sz="4" w:space="0" w:color="D2232A"/>
            </w:tcBorders>
          </w:tcPr>
          <w:p w14:paraId="388C6C0A" w14:textId="77777777" w:rsidR="00C323BE" w:rsidRPr="006D6727" w:rsidRDefault="00C323BE" w:rsidP="00876039">
            <w:pPr>
              <w:spacing w:before="60"/>
              <w:jc w:val="left"/>
              <w:rPr>
                <w:noProof/>
              </w:rPr>
            </w:pPr>
            <w:r w:rsidRPr="006D6727">
              <w:rPr>
                <w:noProof/>
              </w:rPr>
              <w:t xml:space="preserve">Sustainable Energy Authority </w:t>
            </w:r>
          </w:p>
        </w:tc>
        <w:tc>
          <w:tcPr>
            <w:tcW w:w="5806" w:type="dxa"/>
            <w:tcBorders>
              <w:top w:val="single" w:sz="4" w:space="0" w:color="D2232A"/>
              <w:left w:val="single" w:sz="4" w:space="0" w:color="D2232A"/>
              <w:bottom w:val="single" w:sz="4" w:space="0" w:color="D2232A"/>
              <w:right w:val="single" w:sz="4" w:space="0" w:color="D2232A"/>
            </w:tcBorders>
          </w:tcPr>
          <w:p w14:paraId="7E199F36" w14:textId="30DA4D05" w:rsidR="00C323BE" w:rsidRPr="006D6727" w:rsidRDefault="00C323BE" w:rsidP="00876039">
            <w:pPr>
              <w:spacing w:before="60"/>
              <w:jc w:val="left"/>
              <w:rPr>
                <w:noProof/>
              </w:rPr>
            </w:pPr>
            <w:r w:rsidRPr="006D6727">
              <w:rPr>
                <w:noProof/>
              </w:rPr>
              <w:t>Building Regulations 2011: Technical Guidance Document L</w:t>
            </w:r>
            <w:r w:rsidR="001D7996">
              <w:rPr>
                <w:noProof/>
              </w:rPr>
              <w:t>-</w:t>
            </w:r>
            <w:r w:rsidRPr="006D6727">
              <w:rPr>
                <w:noProof/>
              </w:rPr>
              <w:t>Conservation of Fuel and Energy</w:t>
            </w:r>
            <w:r w:rsidR="001D7996">
              <w:rPr>
                <w:noProof/>
              </w:rPr>
              <w:t>-</w:t>
            </w:r>
            <w:r w:rsidRPr="006D6727">
              <w:rPr>
                <w:noProof/>
              </w:rPr>
              <w:t>Dwellings Section 2.1.2.4</w:t>
            </w:r>
            <w:r w:rsidR="001D7996">
              <w:rPr>
                <w:noProof/>
              </w:rPr>
              <w:t>-</w:t>
            </w:r>
            <w:r w:rsidRPr="006D6727">
              <w:rPr>
                <w:noProof/>
              </w:rPr>
              <w:t xml:space="preserve">Table 5 </w:t>
            </w:r>
          </w:p>
        </w:tc>
      </w:tr>
      <w:tr w:rsidR="00C323BE" w:rsidRPr="006D6727" w14:paraId="79FC2BDC"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1D4E03AB" w14:textId="77777777" w:rsidR="00C323BE" w:rsidRPr="006D6727" w:rsidRDefault="00C323BE" w:rsidP="00876039">
            <w:pPr>
              <w:spacing w:before="60"/>
              <w:jc w:val="left"/>
              <w:rPr>
                <w:noProof/>
              </w:rPr>
            </w:pPr>
            <w:r w:rsidRPr="006D6727">
              <w:rPr>
                <w:noProof/>
              </w:rPr>
              <w:t xml:space="preserve">Italy </w:t>
            </w:r>
          </w:p>
        </w:tc>
        <w:tc>
          <w:tcPr>
            <w:tcW w:w="2495" w:type="dxa"/>
            <w:tcBorders>
              <w:top w:val="single" w:sz="4" w:space="0" w:color="D2232A"/>
              <w:left w:val="single" w:sz="4" w:space="0" w:color="D2232A"/>
              <w:bottom w:val="single" w:sz="4" w:space="0" w:color="D2232A"/>
              <w:right w:val="single" w:sz="4" w:space="0" w:color="D2232A"/>
            </w:tcBorders>
          </w:tcPr>
          <w:p w14:paraId="54EF6952" w14:textId="77777777" w:rsidR="00C323BE" w:rsidRPr="006D6727" w:rsidRDefault="00C323BE" w:rsidP="00876039">
            <w:pPr>
              <w:spacing w:before="60"/>
              <w:jc w:val="left"/>
              <w:rPr>
                <w:noProof/>
              </w:rPr>
            </w:pPr>
            <w:r w:rsidRPr="006D6727">
              <w:rPr>
                <w:noProof/>
              </w:rPr>
              <w:t xml:space="preserve">Politecnico di Milano </w:t>
            </w:r>
          </w:p>
        </w:tc>
        <w:tc>
          <w:tcPr>
            <w:tcW w:w="5806" w:type="dxa"/>
            <w:tcBorders>
              <w:top w:val="single" w:sz="4" w:space="0" w:color="D2232A"/>
              <w:left w:val="single" w:sz="4" w:space="0" w:color="D2232A"/>
              <w:bottom w:val="single" w:sz="4" w:space="0" w:color="D2232A"/>
              <w:right w:val="single" w:sz="4" w:space="0" w:color="D2232A"/>
            </w:tcBorders>
          </w:tcPr>
          <w:p w14:paraId="7FA86373" w14:textId="77777777" w:rsidR="00C323BE" w:rsidRPr="006D6727" w:rsidRDefault="00C323BE" w:rsidP="00876039">
            <w:pPr>
              <w:spacing w:before="60"/>
              <w:jc w:val="left"/>
              <w:rPr>
                <w:noProof/>
              </w:rPr>
            </w:pPr>
            <w:r w:rsidRPr="006D6727">
              <w:rPr>
                <w:noProof/>
              </w:rPr>
              <w:t xml:space="preserve">National Ministerial Decrees (D.M. 26/06/2015) </w:t>
            </w:r>
          </w:p>
        </w:tc>
      </w:tr>
      <w:tr w:rsidR="00C323BE" w:rsidRPr="006D6727" w14:paraId="0D336875"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5A2B8524" w14:textId="77777777" w:rsidR="00C323BE" w:rsidRPr="006D6727" w:rsidRDefault="00C323BE" w:rsidP="00876039">
            <w:pPr>
              <w:spacing w:before="60"/>
              <w:jc w:val="left"/>
              <w:rPr>
                <w:noProof/>
              </w:rPr>
            </w:pPr>
            <w:r w:rsidRPr="006D6727">
              <w:rPr>
                <w:noProof/>
              </w:rPr>
              <w:t xml:space="preserve">Latvia </w:t>
            </w:r>
          </w:p>
        </w:tc>
        <w:tc>
          <w:tcPr>
            <w:tcW w:w="2495" w:type="dxa"/>
            <w:tcBorders>
              <w:top w:val="single" w:sz="4" w:space="0" w:color="D2232A"/>
              <w:left w:val="single" w:sz="4" w:space="0" w:color="D2232A"/>
              <w:bottom w:val="single" w:sz="4" w:space="0" w:color="D2232A"/>
              <w:right w:val="single" w:sz="4" w:space="0" w:color="D2232A"/>
            </w:tcBorders>
          </w:tcPr>
          <w:p w14:paraId="529F9769" w14:textId="77777777" w:rsidR="00C323BE" w:rsidRPr="006D6727" w:rsidRDefault="00C323BE" w:rsidP="00876039">
            <w:pPr>
              <w:spacing w:before="60"/>
              <w:jc w:val="left"/>
              <w:rPr>
                <w:noProof/>
              </w:rPr>
            </w:pPr>
            <w:r w:rsidRPr="006D6727">
              <w:rPr>
                <w:noProof/>
              </w:rPr>
              <w:t xml:space="preserve">Ministry of Economics Latvia </w:t>
            </w:r>
          </w:p>
        </w:tc>
        <w:tc>
          <w:tcPr>
            <w:tcW w:w="5806" w:type="dxa"/>
            <w:tcBorders>
              <w:top w:val="single" w:sz="4" w:space="0" w:color="D2232A"/>
              <w:left w:val="single" w:sz="4" w:space="0" w:color="D2232A"/>
              <w:bottom w:val="single" w:sz="4" w:space="0" w:color="D2232A"/>
              <w:right w:val="single" w:sz="4" w:space="0" w:color="D2232A"/>
            </w:tcBorders>
          </w:tcPr>
          <w:p w14:paraId="4F806F1C" w14:textId="77777777" w:rsidR="00C323BE" w:rsidRPr="006D6727" w:rsidRDefault="00C323BE" w:rsidP="00876039">
            <w:pPr>
              <w:spacing w:before="60"/>
              <w:jc w:val="left"/>
              <w:rPr>
                <w:noProof/>
              </w:rPr>
            </w:pPr>
            <w:r w:rsidRPr="006D6727">
              <w:rPr>
                <w:noProof/>
              </w:rPr>
              <w:t xml:space="preserve">Construction Law &amp; Regulations Regarding Latvian Construction Standard LBN 002-01 Thermotechnics of Building Envelopes </w:t>
            </w:r>
          </w:p>
        </w:tc>
      </w:tr>
      <w:tr w:rsidR="00C323BE" w:rsidRPr="006D6727" w14:paraId="7F8915A3"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83AF778" w14:textId="77777777" w:rsidR="00C323BE" w:rsidRPr="006D6727" w:rsidRDefault="00C323BE" w:rsidP="00876039">
            <w:pPr>
              <w:spacing w:before="60"/>
              <w:jc w:val="left"/>
              <w:rPr>
                <w:noProof/>
              </w:rPr>
            </w:pPr>
            <w:r w:rsidRPr="006D6727">
              <w:rPr>
                <w:noProof/>
              </w:rPr>
              <w:t xml:space="preserve">Lithuania </w:t>
            </w:r>
          </w:p>
        </w:tc>
        <w:tc>
          <w:tcPr>
            <w:tcW w:w="2495" w:type="dxa"/>
            <w:tcBorders>
              <w:top w:val="single" w:sz="4" w:space="0" w:color="D2232A"/>
              <w:left w:val="single" w:sz="4" w:space="0" w:color="D2232A"/>
              <w:bottom w:val="single" w:sz="4" w:space="0" w:color="D2232A"/>
              <w:right w:val="single" w:sz="4" w:space="0" w:color="D2232A"/>
            </w:tcBorders>
          </w:tcPr>
          <w:p w14:paraId="59347B74" w14:textId="77777777" w:rsidR="00C323BE" w:rsidRPr="006D6727" w:rsidRDefault="00C323BE" w:rsidP="00876039">
            <w:pPr>
              <w:spacing w:before="60"/>
              <w:jc w:val="left"/>
              <w:rPr>
                <w:noProof/>
              </w:rPr>
            </w:pPr>
            <w:r w:rsidRPr="006D6727">
              <w:rPr>
                <w:noProof/>
              </w:rPr>
              <w:t xml:space="preserve">Ministry for Environment of the Republic of Lithuania </w:t>
            </w:r>
          </w:p>
        </w:tc>
        <w:tc>
          <w:tcPr>
            <w:tcW w:w="5806" w:type="dxa"/>
            <w:tcBorders>
              <w:top w:val="single" w:sz="4" w:space="0" w:color="D2232A"/>
              <w:left w:val="single" w:sz="4" w:space="0" w:color="D2232A"/>
              <w:bottom w:val="single" w:sz="4" w:space="0" w:color="D2232A"/>
              <w:right w:val="single" w:sz="4" w:space="0" w:color="D2232A"/>
            </w:tcBorders>
          </w:tcPr>
          <w:p w14:paraId="4D70E835" w14:textId="77777777" w:rsidR="00C323BE" w:rsidRPr="006D6727" w:rsidRDefault="00C323BE" w:rsidP="00876039">
            <w:pPr>
              <w:spacing w:before="60"/>
              <w:jc w:val="left"/>
              <w:rPr>
                <w:noProof/>
              </w:rPr>
            </w:pPr>
            <w:r w:rsidRPr="006D6727">
              <w:rPr>
                <w:noProof/>
              </w:rPr>
              <w:t xml:space="preserve">STR 2.05.01:2013 "Design of Energy Performance of Buildings" </w:t>
            </w:r>
          </w:p>
        </w:tc>
      </w:tr>
      <w:tr w:rsidR="00C323BE" w:rsidRPr="0067654F" w14:paraId="764827D6"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9100CFE" w14:textId="77777777" w:rsidR="00C323BE" w:rsidRPr="006D6727" w:rsidRDefault="00C323BE" w:rsidP="00876039">
            <w:pPr>
              <w:spacing w:before="60"/>
              <w:jc w:val="left"/>
              <w:rPr>
                <w:noProof/>
              </w:rPr>
            </w:pPr>
            <w:r w:rsidRPr="006D6727">
              <w:rPr>
                <w:noProof/>
              </w:rPr>
              <w:t xml:space="preserve">Luxembourg </w:t>
            </w:r>
          </w:p>
        </w:tc>
        <w:tc>
          <w:tcPr>
            <w:tcW w:w="2495" w:type="dxa"/>
            <w:tcBorders>
              <w:top w:val="single" w:sz="4" w:space="0" w:color="D2232A"/>
              <w:left w:val="single" w:sz="4" w:space="0" w:color="D2232A"/>
              <w:bottom w:val="single" w:sz="4" w:space="0" w:color="D2232A"/>
              <w:right w:val="single" w:sz="4" w:space="0" w:color="D2232A"/>
            </w:tcBorders>
          </w:tcPr>
          <w:p w14:paraId="07CF5301" w14:textId="77777777" w:rsidR="00C323BE" w:rsidRPr="006D6727" w:rsidRDefault="00C323BE" w:rsidP="00876039">
            <w:pPr>
              <w:spacing w:before="60"/>
              <w:jc w:val="left"/>
              <w:rPr>
                <w:noProof/>
              </w:rPr>
            </w:pPr>
            <w:r w:rsidRPr="006D6727">
              <w:rPr>
                <w:noProof/>
              </w:rPr>
              <w:t xml:space="preserve">Ministry of Economy </w:t>
            </w:r>
          </w:p>
        </w:tc>
        <w:tc>
          <w:tcPr>
            <w:tcW w:w="5806" w:type="dxa"/>
            <w:tcBorders>
              <w:top w:val="single" w:sz="4" w:space="0" w:color="D2232A"/>
              <w:left w:val="single" w:sz="4" w:space="0" w:color="D2232A"/>
              <w:bottom w:val="single" w:sz="4" w:space="0" w:color="D2232A"/>
              <w:right w:val="single" w:sz="4" w:space="0" w:color="D2232A"/>
            </w:tcBorders>
          </w:tcPr>
          <w:p w14:paraId="37B001F7" w14:textId="41C994AE" w:rsidR="00C323BE" w:rsidRPr="004A7A13" w:rsidRDefault="00C323BE" w:rsidP="00876039">
            <w:pPr>
              <w:spacing w:before="60"/>
              <w:jc w:val="left"/>
              <w:rPr>
                <w:noProof/>
                <w:lang w:val="fr-FR"/>
              </w:rPr>
            </w:pPr>
            <w:r w:rsidRPr="004A7A13">
              <w:rPr>
                <w:noProof/>
                <w:lang w:val="fr-FR"/>
              </w:rPr>
              <w:t>Règlement grand-ducal concernant la performance énergétique des bâtiments d’habitation</w:t>
            </w:r>
            <w:r w:rsidR="001D7996">
              <w:rPr>
                <w:noProof/>
                <w:lang w:val="fr-FR"/>
              </w:rPr>
              <w:t>-</w:t>
            </w:r>
            <w:r w:rsidRPr="004A7A13">
              <w:rPr>
                <w:noProof/>
                <w:lang w:val="fr-FR"/>
              </w:rPr>
              <w:t xml:space="preserve">Annexe p.15 &amp; p.34 </w:t>
            </w:r>
          </w:p>
        </w:tc>
      </w:tr>
      <w:tr w:rsidR="00C323BE" w:rsidRPr="006D6727" w14:paraId="130A8BA6"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92D250B" w14:textId="77777777" w:rsidR="00C323BE" w:rsidRPr="006D6727" w:rsidRDefault="00C323BE" w:rsidP="00876039">
            <w:pPr>
              <w:spacing w:before="60"/>
              <w:jc w:val="left"/>
              <w:rPr>
                <w:noProof/>
              </w:rPr>
            </w:pPr>
            <w:r w:rsidRPr="006D6727">
              <w:rPr>
                <w:noProof/>
              </w:rPr>
              <w:t xml:space="preserve">Malta </w:t>
            </w:r>
          </w:p>
        </w:tc>
        <w:tc>
          <w:tcPr>
            <w:tcW w:w="2495" w:type="dxa"/>
            <w:tcBorders>
              <w:top w:val="single" w:sz="4" w:space="0" w:color="D2232A"/>
              <w:left w:val="single" w:sz="4" w:space="0" w:color="D2232A"/>
              <w:bottom w:val="single" w:sz="4" w:space="0" w:color="D2232A"/>
              <w:right w:val="single" w:sz="4" w:space="0" w:color="D2232A"/>
            </w:tcBorders>
          </w:tcPr>
          <w:p w14:paraId="63F2EAD7" w14:textId="77777777" w:rsidR="00C323BE" w:rsidRPr="006D6727" w:rsidRDefault="00C323BE" w:rsidP="00876039">
            <w:pPr>
              <w:spacing w:before="60"/>
              <w:jc w:val="left"/>
              <w:rPr>
                <w:noProof/>
              </w:rPr>
            </w:pPr>
            <w:r w:rsidRPr="006D6727">
              <w:rPr>
                <w:noProof/>
              </w:rPr>
              <w:t xml:space="preserve">Malta Intelligent Energy Management Agency </w:t>
            </w:r>
          </w:p>
        </w:tc>
        <w:tc>
          <w:tcPr>
            <w:tcW w:w="5806" w:type="dxa"/>
            <w:tcBorders>
              <w:top w:val="single" w:sz="4" w:space="0" w:color="D2232A"/>
              <w:left w:val="single" w:sz="4" w:space="0" w:color="D2232A"/>
              <w:bottom w:val="single" w:sz="4" w:space="0" w:color="D2232A"/>
              <w:right w:val="single" w:sz="4" w:space="0" w:color="D2232A"/>
            </w:tcBorders>
          </w:tcPr>
          <w:p w14:paraId="79281DC2" w14:textId="6D59A535" w:rsidR="00C323BE" w:rsidRPr="006D6727" w:rsidRDefault="00C323BE" w:rsidP="00876039">
            <w:pPr>
              <w:spacing w:before="60"/>
              <w:jc w:val="left"/>
              <w:rPr>
                <w:noProof/>
              </w:rPr>
            </w:pPr>
            <w:r w:rsidRPr="006D6727">
              <w:rPr>
                <w:noProof/>
              </w:rPr>
              <w:t>Doc F</w:t>
            </w:r>
            <w:r w:rsidR="001D7996">
              <w:rPr>
                <w:noProof/>
              </w:rPr>
              <w:t>-</w:t>
            </w:r>
            <w:r w:rsidRPr="006D6727">
              <w:rPr>
                <w:noProof/>
              </w:rPr>
              <w:t xml:space="preserve">Technical Guidance Conservation of Fuel and Natural Resources Part A energy performance of : Minimum requirements on the buildings – Malta, 2015 </w:t>
            </w:r>
          </w:p>
        </w:tc>
      </w:tr>
      <w:tr w:rsidR="00C323BE" w:rsidRPr="006D6727" w14:paraId="0638B112"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169C0FA3" w14:textId="77777777" w:rsidR="00C323BE" w:rsidRPr="006D6727" w:rsidRDefault="00C323BE" w:rsidP="00876039">
            <w:pPr>
              <w:spacing w:before="60"/>
              <w:jc w:val="left"/>
              <w:rPr>
                <w:noProof/>
              </w:rPr>
            </w:pPr>
            <w:r w:rsidRPr="006D6727">
              <w:rPr>
                <w:noProof/>
              </w:rPr>
              <w:t xml:space="preserve">Netherlands </w:t>
            </w:r>
          </w:p>
        </w:tc>
        <w:tc>
          <w:tcPr>
            <w:tcW w:w="2495" w:type="dxa"/>
            <w:tcBorders>
              <w:top w:val="single" w:sz="4" w:space="0" w:color="D2232A"/>
              <w:left w:val="single" w:sz="4" w:space="0" w:color="D2232A"/>
              <w:bottom w:val="single" w:sz="4" w:space="0" w:color="D2232A"/>
              <w:right w:val="single" w:sz="4" w:space="0" w:color="D2232A"/>
            </w:tcBorders>
          </w:tcPr>
          <w:p w14:paraId="7C1099C2" w14:textId="77777777" w:rsidR="00C323BE" w:rsidRPr="006D6727" w:rsidRDefault="00C323BE" w:rsidP="00876039">
            <w:pPr>
              <w:spacing w:before="60"/>
              <w:jc w:val="left"/>
              <w:rPr>
                <w:noProof/>
              </w:rPr>
            </w:pPr>
            <w:r w:rsidRPr="006D6727">
              <w:rPr>
                <w:noProof/>
              </w:rPr>
              <w:t xml:space="preserve">National Enterprising Netherlands Sustainable Construction and Services, Team Housing </w:t>
            </w:r>
          </w:p>
        </w:tc>
        <w:tc>
          <w:tcPr>
            <w:tcW w:w="5806" w:type="dxa"/>
            <w:tcBorders>
              <w:top w:val="single" w:sz="4" w:space="0" w:color="D2232A"/>
              <w:left w:val="single" w:sz="4" w:space="0" w:color="D2232A"/>
              <w:bottom w:val="single" w:sz="4" w:space="0" w:color="D2232A"/>
              <w:right w:val="single" w:sz="4" w:space="0" w:color="D2232A"/>
            </w:tcBorders>
          </w:tcPr>
          <w:p w14:paraId="23E79480" w14:textId="77777777" w:rsidR="00C323BE" w:rsidRPr="006D6727" w:rsidRDefault="00C323BE" w:rsidP="00876039">
            <w:pPr>
              <w:spacing w:before="60"/>
              <w:jc w:val="left"/>
              <w:rPr>
                <w:noProof/>
              </w:rPr>
            </w:pPr>
            <w:r w:rsidRPr="006D6727">
              <w:rPr>
                <w:noProof/>
              </w:rPr>
              <w:t xml:space="preserve">Bouwbesluit 2015, Richtlijn energieprestatie gebouwen </w:t>
            </w:r>
          </w:p>
        </w:tc>
      </w:tr>
      <w:tr w:rsidR="00C323BE" w:rsidRPr="006D6727" w14:paraId="0097E86B"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7EDA65A" w14:textId="77777777" w:rsidR="00C323BE" w:rsidRPr="006D6727" w:rsidRDefault="00C323BE" w:rsidP="00876039">
            <w:pPr>
              <w:spacing w:before="60"/>
              <w:jc w:val="left"/>
              <w:rPr>
                <w:noProof/>
              </w:rPr>
            </w:pPr>
            <w:r w:rsidRPr="006D6727">
              <w:rPr>
                <w:noProof/>
              </w:rPr>
              <w:t xml:space="preserve">Poland </w:t>
            </w:r>
          </w:p>
        </w:tc>
        <w:tc>
          <w:tcPr>
            <w:tcW w:w="2495" w:type="dxa"/>
            <w:tcBorders>
              <w:top w:val="single" w:sz="4" w:space="0" w:color="D2232A"/>
              <w:left w:val="single" w:sz="4" w:space="0" w:color="D2232A"/>
              <w:bottom w:val="single" w:sz="4" w:space="0" w:color="D2232A"/>
              <w:right w:val="single" w:sz="4" w:space="0" w:color="D2232A"/>
            </w:tcBorders>
          </w:tcPr>
          <w:p w14:paraId="0313A7FC" w14:textId="77777777" w:rsidR="00C323BE" w:rsidRPr="006D6727" w:rsidRDefault="00C323BE" w:rsidP="00876039">
            <w:pPr>
              <w:spacing w:before="60"/>
              <w:jc w:val="left"/>
              <w:rPr>
                <w:noProof/>
              </w:rPr>
            </w:pPr>
            <w:r w:rsidRPr="006D6727">
              <w:rPr>
                <w:noProof/>
              </w:rPr>
              <w:t xml:space="preserve">National Energy Conservation Agency </w:t>
            </w:r>
          </w:p>
        </w:tc>
        <w:tc>
          <w:tcPr>
            <w:tcW w:w="5806" w:type="dxa"/>
            <w:tcBorders>
              <w:top w:val="single" w:sz="4" w:space="0" w:color="D2232A"/>
              <w:left w:val="single" w:sz="4" w:space="0" w:color="D2232A"/>
              <w:bottom w:val="single" w:sz="4" w:space="0" w:color="D2232A"/>
              <w:right w:val="single" w:sz="4" w:space="0" w:color="D2232A"/>
            </w:tcBorders>
          </w:tcPr>
          <w:p w14:paraId="2420277F" w14:textId="77777777" w:rsidR="00C323BE" w:rsidRPr="006D6727" w:rsidRDefault="00C323BE" w:rsidP="00876039">
            <w:pPr>
              <w:spacing w:before="60"/>
              <w:jc w:val="left"/>
              <w:rPr>
                <w:noProof/>
              </w:rPr>
            </w:pPr>
            <w:r w:rsidRPr="006D6727">
              <w:rPr>
                <w:noProof/>
              </w:rPr>
              <w:t xml:space="preserve">“Regulation on the technical conditions that should be met by buildings and their location” issued by the Minister of Infrastructure of 12 April 2002 (updated in 2008 and 2015) </w:t>
            </w:r>
          </w:p>
        </w:tc>
      </w:tr>
      <w:tr w:rsidR="00C323BE" w:rsidRPr="0067654F" w14:paraId="379B95AA"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5EBBFA9B" w14:textId="77777777" w:rsidR="00C323BE" w:rsidRPr="006D6727" w:rsidRDefault="00C323BE" w:rsidP="00876039">
            <w:pPr>
              <w:spacing w:before="60"/>
              <w:jc w:val="left"/>
              <w:rPr>
                <w:noProof/>
              </w:rPr>
            </w:pPr>
            <w:r w:rsidRPr="006D6727">
              <w:rPr>
                <w:noProof/>
              </w:rPr>
              <w:t xml:space="preserve">Portugal </w:t>
            </w:r>
          </w:p>
        </w:tc>
        <w:tc>
          <w:tcPr>
            <w:tcW w:w="2495" w:type="dxa"/>
            <w:tcBorders>
              <w:top w:val="single" w:sz="4" w:space="0" w:color="D2232A"/>
              <w:left w:val="single" w:sz="4" w:space="0" w:color="D2232A"/>
              <w:bottom w:val="single" w:sz="4" w:space="0" w:color="D2232A"/>
              <w:right w:val="single" w:sz="4" w:space="0" w:color="D2232A"/>
            </w:tcBorders>
          </w:tcPr>
          <w:p w14:paraId="6C89ECD1" w14:textId="77777777" w:rsidR="00C323BE" w:rsidRPr="006D6727" w:rsidRDefault="00C323BE" w:rsidP="00876039">
            <w:pPr>
              <w:spacing w:before="60"/>
              <w:jc w:val="left"/>
              <w:rPr>
                <w:noProof/>
              </w:rPr>
            </w:pPr>
            <w:r w:rsidRPr="006D6727">
              <w:rPr>
                <w:noProof/>
              </w:rPr>
              <w:t xml:space="preserve">University of Minho, </w:t>
            </w:r>
          </w:p>
          <w:p w14:paraId="024EF16F" w14:textId="77777777" w:rsidR="00C323BE" w:rsidRPr="006D6727" w:rsidRDefault="00C323BE" w:rsidP="00876039">
            <w:pPr>
              <w:spacing w:before="60"/>
              <w:jc w:val="left"/>
              <w:rPr>
                <w:noProof/>
              </w:rPr>
            </w:pPr>
            <w:r w:rsidRPr="006D6727">
              <w:rPr>
                <w:noProof/>
              </w:rPr>
              <w:t xml:space="preserve">Department of Civil Engineering </w:t>
            </w:r>
          </w:p>
        </w:tc>
        <w:tc>
          <w:tcPr>
            <w:tcW w:w="5806" w:type="dxa"/>
            <w:tcBorders>
              <w:top w:val="single" w:sz="4" w:space="0" w:color="D2232A"/>
              <w:left w:val="single" w:sz="4" w:space="0" w:color="D2232A"/>
              <w:bottom w:val="single" w:sz="4" w:space="0" w:color="D2232A"/>
              <w:right w:val="single" w:sz="4" w:space="0" w:color="D2232A"/>
            </w:tcBorders>
          </w:tcPr>
          <w:p w14:paraId="2990EB32" w14:textId="77777777" w:rsidR="00C323BE" w:rsidRPr="00327B21" w:rsidRDefault="00C323BE" w:rsidP="00876039">
            <w:pPr>
              <w:spacing w:before="60"/>
              <w:jc w:val="left"/>
              <w:rPr>
                <w:noProof/>
              </w:rPr>
            </w:pPr>
            <w:r w:rsidRPr="00327B21">
              <w:rPr>
                <w:noProof/>
              </w:rPr>
              <w:t xml:space="preserve">Decree-law nº 28/2016; Ordinance nº 319/2016; Ordinance nº 379A/2015; Ordinance nº15793-k/2013. </w:t>
            </w:r>
          </w:p>
        </w:tc>
      </w:tr>
      <w:tr w:rsidR="00C323BE" w:rsidRPr="006D6727" w14:paraId="14A3EC90"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6C96396" w14:textId="77777777" w:rsidR="00C323BE" w:rsidRPr="006D6727" w:rsidRDefault="00C323BE" w:rsidP="00876039">
            <w:pPr>
              <w:spacing w:before="60"/>
              <w:jc w:val="left"/>
              <w:rPr>
                <w:noProof/>
              </w:rPr>
            </w:pPr>
            <w:r w:rsidRPr="006D6727">
              <w:rPr>
                <w:noProof/>
              </w:rPr>
              <w:t xml:space="preserve">Romania </w:t>
            </w:r>
          </w:p>
        </w:tc>
        <w:tc>
          <w:tcPr>
            <w:tcW w:w="2495" w:type="dxa"/>
            <w:tcBorders>
              <w:top w:val="single" w:sz="4" w:space="0" w:color="D2232A"/>
              <w:left w:val="single" w:sz="4" w:space="0" w:color="D2232A"/>
              <w:bottom w:val="single" w:sz="4" w:space="0" w:color="D2232A"/>
              <w:right w:val="single" w:sz="4" w:space="0" w:color="D2232A"/>
            </w:tcBorders>
          </w:tcPr>
          <w:p w14:paraId="56FE609C" w14:textId="77777777" w:rsidR="00C323BE" w:rsidRPr="006D6727" w:rsidRDefault="00C323BE" w:rsidP="00876039">
            <w:pPr>
              <w:spacing w:before="60"/>
              <w:jc w:val="left"/>
              <w:rPr>
                <w:noProof/>
              </w:rPr>
            </w:pPr>
            <w:r w:rsidRPr="006D6727">
              <w:rPr>
                <w:noProof/>
              </w:rPr>
              <w:t xml:space="preserve">Ministry of Regional Development and Public Administration, Technical Directorate </w:t>
            </w:r>
          </w:p>
        </w:tc>
        <w:tc>
          <w:tcPr>
            <w:tcW w:w="5806" w:type="dxa"/>
            <w:tcBorders>
              <w:top w:val="single" w:sz="4" w:space="0" w:color="D2232A"/>
              <w:left w:val="single" w:sz="4" w:space="0" w:color="D2232A"/>
              <w:bottom w:val="single" w:sz="4" w:space="0" w:color="D2232A"/>
              <w:right w:val="single" w:sz="4" w:space="0" w:color="D2232A"/>
            </w:tcBorders>
          </w:tcPr>
          <w:p w14:paraId="77CD28D2" w14:textId="77777777" w:rsidR="00C323BE" w:rsidRPr="006D6727" w:rsidRDefault="00C323BE" w:rsidP="00876039">
            <w:pPr>
              <w:spacing w:before="60"/>
              <w:jc w:val="left"/>
              <w:rPr>
                <w:noProof/>
              </w:rPr>
            </w:pPr>
            <w:r w:rsidRPr="006D6727">
              <w:rPr>
                <w:noProof/>
              </w:rPr>
              <w:t xml:space="preserve">Code for thermal calculation of building elements: C 107-2005 with further amendments in 2010, 2012 and 2016, Methodology for calculating energy performance of buildings: Mc 001-2006 with further amendments in 2010 and 2013 </w:t>
            </w:r>
          </w:p>
        </w:tc>
      </w:tr>
      <w:tr w:rsidR="00C323BE" w:rsidRPr="006D6727" w14:paraId="3557EF9E"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FB715EB" w14:textId="77777777" w:rsidR="00C323BE" w:rsidRPr="006D6727" w:rsidRDefault="00C323BE" w:rsidP="00876039">
            <w:pPr>
              <w:spacing w:before="60"/>
              <w:jc w:val="left"/>
              <w:rPr>
                <w:noProof/>
              </w:rPr>
            </w:pPr>
            <w:r w:rsidRPr="006D6727">
              <w:rPr>
                <w:noProof/>
              </w:rPr>
              <w:t xml:space="preserve">Slovak Republic </w:t>
            </w:r>
          </w:p>
        </w:tc>
        <w:tc>
          <w:tcPr>
            <w:tcW w:w="2495" w:type="dxa"/>
            <w:tcBorders>
              <w:top w:val="single" w:sz="4" w:space="0" w:color="D2232A"/>
              <w:left w:val="single" w:sz="4" w:space="0" w:color="D2232A"/>
              <w:bottom w:val="single" w:sz="4" w:space="0" w:color="D2232A"/>
              <w:right w:val="single" w:sz="4" w:space="0" w:color="D2232A"/>
            </w:tcBorders>
          </w:tcPr>
          <w:p w14:paraId="5DD0CEC2" w14:textId="77777777" w:rsidR="00C323BE" w:rsidRPr="006D6727" w:rsidRDefault="00C323BE" w:rsidP="00876039">
            <w:pPr>
              <w:spacing w:before="60"/>
              <w:jc w:val="left"/>
              <w:rPr>
                <w:noProof/>
              </w:rPr>
            </w:pPr>
            <w:r w:rsidRPr="006D6727">
              <w:rPr>
                <w:noProof/>
              </w:rPr>
              <w:t xml:space="preserve">Building Testing and Research Institute Bratislava </w:t>
            </w:r>
          </w:p>
        </w:tc>
        <w:tc>
          <w:tcPr>
            <w:tcW w:w="5806" w:type="dxa"/>
            <w:tcBorders>
              <w:top w:val="single" w:sz="4" w:space="0" w:color="D2232A"/>
              <w:left w:val="single" w:sz="4" w:space="0" w:color="D2232A"/>
              <w:bottom w:val="single" w:sz="4" w:space="0" w:color="D2232A"/>
              <w:right w:val="single" w:sz="4" w:space="0" w:color="D2232A"/>
            </w:tcBorders>
          </w:tcPr>
          <w:p w14:paraId="2E98C204" w14:textId="77777777" w:rsidR="00C323BE" w:rsidRPr="006D6727" w:rsidRDefault="00C323BE" w:rsidP="00876039">
            <w:pPr>
              <w:spacing w:before="60"/>
              <w:jc w:val="left"/>
              <w:rPr>
                <w:noProof/>
              </w:rPr>
            </w:pPr>
            <w:r w:rsidRPr="006D6727">
              <w:rPr>
                <w:noProof/>
              </w:rPr>
              <w:t xml:space="preserve">STN 73 0540-2; STN 73 0540-3 </w:t>
            </w:r>
          </w:p>
        </w:tc>
      </w:tr>
      <w:tr w:rsidR="00C323BE" w:rsidRPr="006D6727" w14:paraId="31F04A71"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99043EA" w14:textId="77777777" w:rsidR="00C323BE" w:rsidRPr="006D6727" w:rsidRDefault="00C323BE" w:rsidP="00876039">
            <w:pPr>
              <w:spacing w:before="60"/>
              <w:jc w:val="left"/>
              <w:rPr>
                <w:noProof/>
              </w:rPr>
            </w:pPr>
            <w:r w:rsidRPr="006D6727">
              <w:rPr>
                <w:noProof/>
              </w:rPr>
              <w:t xml:space="preserve">Slovenia </w:t>
            </w:r>
          </w:p>
        </w:tc>
        <w:tc>
          <w:tcPr>
            <w:tcW w:w="2495" w:type="dxa"/>
            <w:tcBorders>
              <w:top w:val="single" w:sz="4" w:space="0" w:color="D2232A"/>
              <w:left w:val="single" w:sz="4" w:space="0" w:color="D2232A"/>
              <w:bottom w:val="single" w:sz="4" w:space="0" w:color="D2232A"/>
              <w:right w:val="single" w:sz="4" w:space="0" w:color="D2232A"/>
            </w:tcBorders>
          </w:tcPr>
          <w:p w14:paraId="7E8A0E5E" w14:textId="77777777" w:rsidR="00C323BE" w:rsidRPr="006D6727" w:rsidRDefault="00C323BE" w:rsidP="00876039">
            <w:pPr>
              <w:spacing w:before="60"/>
              <w:jc w:val="left"/>
              <w:rPr>
                <w:noProof/>
              </w:rPr>
            </w:pPr>
            <w:r w:rsidRPr="006D6727">
              <w:rPr>
                <w:noProof/>
              </w:rPr>
              <w:t xml:space="preserve">Building and Civil Engineering Institute ZRMK </w:t>
            </w:r>
          </w:p>
        </w:tc>
        <w:tc>
          <w:tcPr>
            <w:tcW w:w="5806" w:type="dxa"/>
            <w:tcBorders>
              <w:top w:val="single" w:sz="4" w:space="0" w:color="D2232A"/>
              <w:left w:val="single" w:sz="4" w:space="0" w:color="D2232A"/>
              <w:bottom w:val="single" w:sz="4" w:space="0" w:color="D2232A"/>
              <w:right w:val="single" w:sz="4" w:space="0" w:color="D2232A"/>
            </w:tcBorders>
          </w:tcPr>
          <w:p w14:paraId="11562C5B" w14:textId="77777777" w:rsidR="00C323BE" w:rsidRPr="006D6727" w:rsidRDefault="00C323BE" w:rsidP="00876039">
            <w:pPr>
              <w:spacing w:before="60"/>
              <w:jc w:val="left"/>
              <w:rPr>
                <w:noProof/>
              </w:rPr>
            </w:pPr>
            <w:r w:rsidRPr="006D6727">
              <w:rPr>
                <w:noProof/>
              </w:rPr>
              <w:t xml:space="preserve">Building code PURES 2010 and TSG-1-004:2010 URE (Technical guideline for construction: TSG-1-004:2010 Efficient use of energy) </w:t>
            </w:r>
          </w:p>
        </w:tc>
      </w:tr>
      <w:tr w:rsidR="00C323BE" w:rsidRPr="0067654F" w14:paraId="3881F3B2"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A64B168" w14:textId="77777777" w:rsidR="00C323BE" w:rsidRPr="006D6727" w:rsidRDefault="00C323BE" w:rsidP="00876039">
            <w:pPr>
              <w:spacing w:before="60"/>
              <w:jc w:val="left"/>
              <w:rPr>
                <w:noProof/>
              </w:rPr>
            </w:pPr>
            <w:r w:rsidRPr="006D6727">
              <w:rPr>
                <w:noProof/>
              </w:rPr>
              <w:t xml:space="preserve">Spain </w:t>
            </w:r>
          </w:p>
        </w:tc>
        <w:tc>
          <w:tcPr>
            <w:tcW w:w="2495" w:type="dxa"/>
            <w:tcBorders>
              <w:top w:val="single" w:sz="4" w:space="0" w:color="D2232A"/>
              <w:left w:val="single" w:sz="4" w:space="0" w:color="D2232A"/>
              <w:bottom w:val="single" w:sz="4" w:space="0" w:color="D2232A"/>
              <w:right w:val="single" w:sz="4" w:space="0" w:color="D2232A"/>
            </w:tcBorders>
          </w:tcPr>
          <w:p w14:paraId="33F6D340" w14:textId="77777777" w:rsidR="00C323BE" w:rsidRPr="004A7A13" w:rsidRDefault="00C323BE" w:rsidP="00876039">
            <w:pPr>
              <w:spacing w:before="60"/>
              <w:jc w:val="left"/>
              <w:rPr>
                <w:noProof/>
                <w:lang w:val="de-DE"/>
              </w:rPr>
            </w:pPr>
            <w:r w:rsidRPr="004A7A13">
              <w:rPr>
                <w:noProof/>
                <w:lang w:val="de-DE"/>
              </w:rPr>
              <w:t xml:space="preserve">Hochschule Luzern, Technik &amp; Architektur Zentrum für Integrale Gebäudetechnik ZIG </w:t>
            </w:r>
          </w:p>
        </w:tc>
        <w:tc>
          <w:tcPr>
            <w:tcW w:w="5806" w:type="dxa"/>
            <w:tcBorders>
              <w:top w:val="single" w:sz="4" w:space="0" w:color="D2232A"/>
              <w:left w:val="single" w:sz="4" w:space="0" w:color="D2232A"/>
              <w:bottom w:val="single" w:sz="4" w:space="0" w:color="D2232A"/>
              <w:right w:val="single" w:sz="4" w:space="0" w:color="D2232A"/>
            </w:tcBorders>
          </w:tcPr>
          <w:p w14:paraId="1F130A61" w14:textId="77777777" w:rsidR="00C323BE" w:rsidRPr="00327B21" w:rsidRDefault="00C323BE" w:rsidP="00876039">
            <w:pPr>
              <w:spacing w:before="60"/>
              <w:jc w:val="left"/>
              <w:rPr>
                <w:noProof/>
              </w:rPr>
            </w:pPr>
            <w:r w:rsidRPr="00327B21">
              <w:rPr>
                <w:noProof/>
                <w:lang w:val="fr-FR"/>
              </w:rPr>
              <w:t xml:space="preserve">Código Técnico de la Edificación (CTE). </w:t>
            </w:r>
            <w:r w:rsidRPr="00327B21">
              <w:rPr>
                <w:noProof/>
              </w:rPr>
              <w:t xml:space="preserve">Documento Básico de Ahorro de Energía (DB-HE), 2013 </w:t>
            </w:r>
          </w:p>
        </w:tc>
      </w:tr>
      <w:tr w:rsidR="00C323BE" w:rsidRPr="006D6727" w14:paraId="1D45325E"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C6EBFF0" w14:textId="77777777" w:rsidR="00C323BE" w:rsidRPr="006D6727" w:rsidRDefault="00C323BE" w:rsidP="00876039">
            <w:pPr>
              <w:spacing w:before="60"/>
              <w:jc w:val="left"/>
              <w:rPr>
                <w:noProof/>
              </w:rPr>
            </w:pPr>
            <w:r w:rsidRPr="006D6727">
              <w:rPr>
                <w:noProof/>
              </w:rPr>
              <w:t xml:space="preserve">Sweden </w:t>
            </w:r>
          </w:p>
        </w:tc>
        <w:tc>
          <w:tcPr>
            <w:tcW w:w="2495" w:type="dxa"/>
            <w:tcBorders>
              <w:top w:val="single" w:sz="4" w:space="0" w:color="D2232A"/>
              <w:left w:val="single" w:sz="4" w:space="0" w:color="D2232A"/>
              <w:bottom w:val="single" w:sz="4" w:space="0" w:color="D2232A"/>
              <w:right w:val="single" w:sz="4" w:space="0" w:color="D2232A"/>
            </w:tcBorders>
          </w:tcPr>
          <w:p w14:paraId="6FC656F1" w14:textId="6F26D4F5" w:rsidR="00C323BE" w:rsidRPr="006D6727" w:rsidRDefault="00C323BE" w:rsidP="00876039">
            <w:pPr>
              <w:spacing w:before="60"/>
              <w:jc w:val="left"/>
              <w:rPr>
                <w:noProof/>
              </w:rPr>
            </w:pPr>
            <w:r w:rsidRPr="006D6727">
              <w:rPr>
                <w:noProof/>
              </w:rPr>
              <w:t>Boverket</w:t>
            </w:r>
            <w:r w:rsidR="001D7996">
              <w:rPr>
                <w:noProof/>
              </w:rPr>
              <w:t>-</w:t>
            </w:r>
            <w:r w:rsidRPr="006D6727">
              <w:rPr>
                <w:noProof/>
              </w:rPr>
              <w:t xml:space="preserve">National Board of Housing, Building and Planning </w:t>
            </w:r>
          </w:p>
        </w:tc>
        <w:tc>
          <w:tcPr>
            <w:tcW w:w="5806" w:type="dxa"/>
            <w:tcBorders>
              <w:top w:val="single" w:sz="4" w:space="0" w:color="D2232A"/>
              <w:left w:val="single" w:sz="4" w:space="0" w:color="D2232A"/>
              <w:bottom w:val="single" w:sz="4" w:space="0" w:color="D2232A"/>
              <w:right w:val="single" w:sz="4" w:space="0" w:color="D2232A"/>
            </w:tcBorders>
          </w:tcPr>
          <w:p w14:paraId="27024607" w14:textId="77777777" w:rsidR="00C323BE" w:rsidRPr="006D6727" w:rsidRDefault="00C323BE" w:rsidP="00876039">
            <w:pPr>
              <w:spacing w:before="60"/>
              <w:jc w:val="left"/>
              <w:rPr>
                <w:noProof/>
              </w:rPr>
            </w:pPr>
            <w:r w:rsidRPr="006D6727">
              <w:rPr>
                <w:noProof/>
              </w:rPr>
              <w:t xml:space="preserve">BBR Swedish Building code, section 9:92 </w:t>
            </w:r>
          </w:p>
        </w:tc>
      </w:tr>
      <w:tr w:rsidR="00C323BE" w:rsidRPr="006D6727" w14:paraId="5F61DA9B"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2A9FFFE" w14:textId="77777777" w:rsidR="00C323BE" w:rsidRPr="006D6727" w:rsidRDefault="00C323BE" w:rsidP="00876039">
            <w:pPr>
              <w:spacing w:before="60"/>
              <w:jc w:val="left"/>
              <w:rPr>
                <w:noProof/>
              </w:rPr>
            </w:pPr>
            <w:r w:rsidRPr="006D6727">
              <w:rPr>
                <w:noProof/>
              </w:rPr>
              <w:t xml:space="preserve">UK – England </w:t>
            </w:r>
          </w:p>
        </w:tc>
        <w:tc>
          <w:tcPr>
            <w:tcW w:w="2495" w:type="dxa"/>
            <w:tcBorders>
              <w:top w:val="single" w:sz="4" w:space="0" w:color="D2232A"/>
              <w:left w:val="single" w:sz="4" w:space="0" w:color="D2232A"/>
              <w:bottom w:val="single" w:sz="4" w:space="0" w:color="D2232A"/>
              <w:right w:val="single" w:sz="4" w:space="0" w:color="D2232A"/>
            </w:tcBorders>
          </w:tcPr>
          <w:p w14:paraId="4ECE5D75" w14:textId="77777777" w:rsidR="00C323BE" w:rsidRPr="006D6727" w:rsidRDefault="00C323BE" w:rsidP="00876039">
            <w:pPr>
              <w:spacing w:before="60"/>
              <w:jc w:val="left"/>
              <w:rPr>
                <w:noProof/>
              </w:rPr>
            </w:pPr>
            <w:r w:rsidRPr="006D6727">
              <w:rPr>
                <w:noProof/>
              </w:rPr>
              <w:t xml:space="preserve">Department for Communities and Local Government </w:t>
            </w:r>
          </w:p>
        </w:tc>
        <w:tc>
          <w:tcPr>
            <w:tcW w:w="5806" w:type="dxa"/>
            <w:tcBorders>
              <w:top w:val="single" w:sz="4" w:space="0" w:color="D2232A"/>
              <w:left w:val="single" w:sz="4" w:space="0" w:color="D2232A"/>
              <w:bottom w:val="single" w:sz="4" w:space="0" w:color="D2232A"/>
              <w:right w:val="single" w:sz="4" w:space="0" w:color="D2232A"/>
            </w:tcBorders>
          </w:tcPr>
          <w:p w14:paraId="5DE43576" w14:textId="77777777" w:rsidR="00C323BE" w:rsidRPr="006D6727" w:rsidRDefault="00C323BE" w:rsidP="00876039">
            <w:pPr>
              <w:spacing w:before="60"/>
              <w:jc w:val="left"/>
              <w:rPr>
                <w:noProof/>
              </w:rPr>
            </w:pPr>
            <w:r w:rsidRPr="006D6727">
              <w:rPr>
                <w:noProof/>
              </w:rPr>
              <w:t>Building Regulations 2010 (SI 2010/2214),</w:t>
            </w:r>
          </w:p>
          <w:p w14:paraId="16E3C630" w14:textId="77777777" w:rsidR="00C323BE" w:rsidRPr="006D6727" w:rsidRDefault="00C323BE" w:rsidP="00876039">
            <w:pPr>
              <w:spacing w:before="60"/>
              <w:jc w:val="left"/>
              <w:rPr>
                <w:noProof/>
              </w:rPr>
            </w:pPr>
            <w:r w:rsidRPr="006D6727">
              <w:rPr>
                <w:noProof/>
              </w:rPr>
              <w:t>Building (Approved Inspectors etc.) Regulations 2010* (SI 2010/2214 and 2010/2215)</w:t>
            </w:r>
          </w:p>
          <w:p w14:paraId="3B36DC81" w14:textId="77777777" w:rsidR="00C323BE" w:rsidRPr="006D6727" w:rsidRDefault="00C323BE" w:rsidP="00876039">
            <w:pPr>
              <w:spacing w:before="60"/>
              <w:jc w:val="left"/>
              <w:rPr>
                <w:noProof/>
              </w:rPr>
            </w:pPr>
            <w:r w:rsidRPr="006D6727">
              <w:rPr>
                <w:noProof/>
              </w:rPr>
              <w:t>Energy Performance of Buildings (England and Wales) Regulations (SI 2012/3118)</w:t>
            </w:r>
          </w:p>
          <w:p w14:paraId="42B61C20" w14:textId="77777777" w:rsidR="00C323BE" w:rsidRPr="006D6727" w:rsidRDefault="00C323BE" w:rsidP="00876039">
            <w:pPr>
              <w:spacing w:before="60"/>
              <w:jc w:val="left"/>
              <w:rPr>
                <w:noProof/>
              </w:rPr>
            </w:pPr>
            <w:r w:rsidRPr="006D6727">
              <w:rPr>
                <w:noProof/>
              </w:rPr>
              <w:t xml:space="preserve">incl. amendments from 2013 </w:t>
            </w:r>
          </w:p>
        </w:tc>
      </w:tr>
      <w:tr w:rsidR="00C323BE" w:rsidRPr="006D6727" w14:paraId="045CB5DC"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80C4420" w14:textId="77777777" w:rsidR="00C323BE" w:rsidRPr="006D6727" w:rsidRDefault="00C323BE" w:rsidP="00876039">
            <w:pPr>
              <w:spacing w:before="60"/>
              <w:jc w:val="left"/>
              <w:rPr>
                <w:noProof/>
              </w:rPr>
            </w:pPr>
            <w:r w:rsidRPr="006D6727">
              <w:rPr>
                <w:noProof/>
              </w:rPr>
              <w:t xml:space="preserve">UK – Wales </w:t>
            </w:r>
          </w:p>
        </w:tc>
        <w:tc>
          <w:tcPr>
            <w:tcW w:w="2495" w:type="dxa"/>
            <w:tcBorders>
              <w:top w:val="single" w:sz="4" w:space="0" w:color="D2232A"/>
              <w:left w:val="single" w:sz="4" w:space="0" w:color="D2232A"/>
              <w:bottom w:val="single" w:sz="4" w:space="0" w:color="D2232A"/>
              <w:right w:val="single" w:sz="4" w:space="0" w:color="D2232A"/>
            </w:tcBorders>
          </w:tcPr>
          <w:p w14:paraId="199E54F9" w14:textId="77777777" w:rsidR="00C323BE" w:rsidRPr="006D6727" w:rsidRDefault="00C323BE" w:rsidP="00876039">
            <w:pPr>
              <w:spacing w:before="60"/>
              <w:jc w:val="left"/>
              <w:rPr>
                <w:noProof/>
              </w:rPr>
            </w:pPr>
            <w:r w:rsidRPr="006D6727">
              <w:rPr>
                <w:noProof/>
              </w:rPr>
              <w:t xml:space="preserve">Welsh Government </w:t>
            </w:r>
          </w:p>
        </w:tc>
        <w:tc>
          <w:tcPr>
            <w:tcW w:w="5806" w:type="dxa"/>
            <w:tcBorders>
              <w:top w:val="single" w:sz="4" w:space="0" w:color="D2232A"/>
              <w:left w:val="single" w:sz="4" w:space="0" w:color="D2232A"/>
              <w:bottom w:val="single" w:sz="4" w:space="0" w:color="D2232A"/>
              <w:right w:val="single" w:sz="4" w:space="0" w:color="D2232A"/>
            </w:tcBorders>
          </w:tcPr>
          <w:p w14:paraId="6A2E83A9" w14:textId="3FC49C56" w:rsidR="00C323BE" w:rsidRPr="006D6727" w:rsidRDefault="00C323BE" w:rsidP="00876039">
            <w:pPr>
              <w:spacing w:before="60"/>
              <w:jc w:val="left"/>
              <w:rPr>
                <w:noProof/>
              </w:rPr>
            </w:pPr>
            <w:r w:rsidRPr="006D6727">
              <w:rPr>
                <w:noProof/>
              </w:rPr>
              <w:t>See UK</w:t>
            </w:r>
            <w:r w:rsidR="001D7996">
              <w:rPr>
                <w:noProof/>
              </w:rPr>
              <w:t>-</w:t>
            </w:r>
            <w:r w:rsidRPr="006D6727">
              <w:rPr>
                <w:noProof/>
              </w:rPr>
              <w:t>England</w:t>
            </w:r>
          </w:p>
          <w:p w14:paraId="157DD4DF" w14:textId="77777777" w:rsidR="00C323BE" w:rsidRPr="006D6727" w:rsidRDefault="00C323BE" w:rsidP="00876039">
            <w:pPr>
              <w:spacing w:before="60"/>
              <w:jc w:val="left"/>
              <w:rPr>
                <w:noProof/>
              </w:rPr>
            </w:pPr>
            <w:r w:rsidRPr="006D6727">
              <w:rPr>
                <w:noProof/>
              </w:rPr>
              <w:t>Amendments compared to England:</w:t>
            </w:r>
          </w:p>
          <w:p w14:paraId="175C26C3" w14:textId="77777777" w:rsidR="00C323BE" w:rsidRPr="006D6727" w:rsidRDefault="00C323BE" w:rsidP="00876039">
            <w:pPr>
              <w:spacing w:before="60"/>
              <w:jc w:val="left"/>
              <w:rPr>
                <w:noProof/>
              </w:rPr>
            </w:pPr>
            <w:r w:rsidRPr="006D6727">
              <w:rPr>
                <w:noProof/>
              </w:rPr>
              <w:t>- Building (Amendment) (Wales)</w:t>
            </w:r>
          </w:p>
          <w:p w14:paraId="4547BFB6" w14:textId="77777777" w:rsidR="00C323BE" w:rsidRPr="006D6727" w:rsidRDefault="00C323BE" w:rsidP="00876039">
            <w:pPr>
              <w:spacing w:before="60"/>
              <w:jc w:val="left"/>
              <w:rPr>
                <w:noProof/>
              </w:rPr>
            </w:pPr>
            <w:r w:rsidRPr="006D6727">
              <w:rPr>
                <w:noProof/>
              </w:rPr>
              <w:t>Regulations 2014 SI 2014/110 (W. 10);</w:t>
            </w:r>
          </w:p>
          <w:p w14:paraId="6C927DC9" w14:textId="77777777" w:rsidR="00C323BE" w:rsidRPr="006D6727" w:rsidRDefault="00C323BE" w:rsidP="00876039">
            <w:pPr>
              <w:spacing w:before="60"/>
              <w:jc w:val="left"/>
              <w:rPr>
                <w:noProof/>
              </w:rPr>
            </w:pPr>
            <w:r w:rsidRPr="006D6727">
              <w:rPr>
                <w:noProof/>
              </w:rPr>
              <w:t>- Building (Amendment) (Wales)</w:t>
            </w:r>
          </w:p>
          <w:p w14:paraId="4AF06B99" w14:textId="77777777" w:rsidR="00C323BE" w:rsidRPr="006D6727" w:rsidRDefault="00C323BE" w:rsidP="00876039">
            <w:pPr>
              <w:spacing w:before="60"/>
              <w:jc w:val="left"/>
              <w:rPr>
                <w:noProof/>
              </w:rPr>
            </w:pPr>
            <w:r w:rsidRPr="006D6727">
              <w:rPr>
                <w:noProof/>
              </w:rPr>
              <w:t>Regulations 2014 SI 2013/747 (W. 89).</w:t>
            </w:r>
          </w:p>
        </w:tc>
      </w:tr>
      <w:tr w:rsidR="00C323BE" w:rsidRPr="006D6727" w14:paraId="19B42580"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73B97443" w14:textId="77777777" w:rsidR="00C323BE" w:rsidRPr="006D6727" w:rsidRDefault="00C323BE" w:rsidP="00876039">
            <w:pPr>
              <w:jc w:val="left"/>
              <w:rPr>
                <w:noProof/>
              </w:rPr>
            </w:pPr>
            <w:r w:rsidRPr="006D6727">
              <w:rPr>
                <w:noProof/>
              </w:rPr>
              <w:t xml:space="preserve">UK – Northern Ireland </w:t>
            </w:r>
          </w:p>
        </w:tc>
        <w:tc>
          <w:tcPr>
            <w:tcW w:w="2495" w:type="dxa"/>
            <w:tcBorders>
              <w:top w:val="single" w:sz="4" w:space="0" w:color="D2232A"/>
              <w:left w:val="single" w:sz="4" w:space="0" w:color="D2232A"/>
              <w:bottom w:val="single" w:sz="4" w:space="0" w:color="D2232A"/>
              <w:right w:val="single" w:sz="4" w:space="0" w:color="D2232A"/>
            </w:tcBorders>
          </w:tcPr>
          <w:p w14:paraId="2CAE2926" w14:textId="77777777" w:rsidR="00C323BE" w:rsidRPr="006D6727" w:rsidRDefault="00C323BE" w:rsidP="00876039">
            <w:pPr>
              <w:jc w:val="left"/>
              <w:rPr>
                <w:noProof/>
              </w:rPr>
            </w:pPr>
            <w:r w:rsidRPr="006D6727">
              <w:rPr>
                <w:noProof/>
              </w:rPr>
              <w:t>Department of Finance and Personnel Northern Ireland</w:t>
            </w:r>
          </w:p>
        </w:tc>
        <w:tc>
          <w:tcPr>
            <w:tcW w:w="5806" w:type="dxa"/>
            <w:tcBorders>
              <w:top w:val="single" w:sz="4" w:space="0" w:color="D2232A"/>
              <w:left w:val="single" w:sz="4" w:space="0" w:color="D2232A"/>
              <w:bottom w:val="single" w:sz="4" w:space="0" w:color="D2232A"/>
              <w:right w:val="single" w:sz="4" w:space="0" w:color="D2232A"/>
            </w:tcBorders>
          </w:tcPr>
          <w:p w14:paraId="306D658E" w14:textId="77777777" w:rsidR="00C323BE" w:rsidRPr="006D6727" w:rsidRDefault="00C323BE" w:rsidP="00876039">
            <w:pPr>
              <w:spacing w:before="60"/>
              <w:jc w:val="left"/>
              <w:rPr>
                <w:noProof/>
              </w:rPr>
            </w:pPr>
            <w:r w:rsidRPr="006D6727">
              <w:rPr>
                <w:noProof/>
              </w:rPr>
              <w:t>Own building regulation:</w:t>
            </w:r>
          </w:p>
          <w:p w14:paraId="6FDDCEC0" w14:textId="77777777" w:rsidR="00C323BE" w:rsidRPr="006D6727" w:rsidRDefault="00C323BE" w:rsidP="00876039">
            <w:pPr>
              <w:spacing w:before="60"/>
              <w:jc w:val="left"/>
              <w:rPr>
                <w:noProof/>
              </w:rPr>
            </w:pPr>
            <w:r w:rsidRPr="006D6727">
              <w:rPr>
                <w:noProof/>
              </w:rPr>
              <w:t>Building Regulations (Northern Ireland) 2012 (SR 2012 No. 192)</w:t>
            </w:r>
          </w:p>
          <w:p w14:paraId="2B51979C" w14:textId="77777777" w:rsidR="00C323BE" w:rsidRPr="006D6727" w:rsidRDefault="00C323BE" w:rsidP="00876039">
            <w:pPr>
              <w:spacing w:before="60"/>
              <w:jc w:val="left"/>
              <w:rPr>
                <w:noProof/>
              </w:rPr>
            </w:pPr>
            <w:r w:rsidRPr="006D6727">
              <w:rPr>
                <w:noProof/>
              </w:rPr>
              <w:t>Building (Prescribed Fees) Regulations (Northern Ireland) 1997 (SR 1997 No. 482);</w:t>
            </w:r>
          </w:p>
          <w:p w14:paraId="7431F8E3" w14:textId="77777777" w:rsidR="00C323BE" w:rsidRPr="006D6727" w:rsidRDefault="00C323BE" w:rsidP="00876039">
            <w:pPr>
              <w:spacing w:before="60"/>
              <w:jc w:val="left"/>
              <w:rPr>
                <w:noProof/>
              </w:rPr>
            </w:pPr>
            <w:r w:rsidRPr="006D6727">
              <w:rPr>
                <w:noProof/>
              </w:rPr>
              <w:t>Energy Performance of Buildings (Certificates and Inspections) Regulations (Northern Ireland) 2008 (SR 2008 No. 170).</w:t>
            </w:r>
          </w:p>
          <w:p w14:paraId="3C2605AA" w14:textId="77777777" w:rsidR="00C323BE" w:rsidRPr="006D6727" w:rsidRDefault="00C323BE" w:rsidP="00876039">
            <w:pPr>
              <w:spacing w:before="60"/>
              <w:jc w:val="left"/>
              <w:rPr>
                <w:noProof/>
              </w:rPr>
            </w:pPr>
            <w:r w:rsidRPr="006D6727">
              <w:rPr>
                <w:noProof/>
              </w:rPr>
              <w:t xml:space="preserve">Incl. amendments from 2014 </w:t>
            </w:r>
          </w:p>
        </w:tc>
      </w:tr>
      <w:tr w:rsidR="00C323BE" w:rsidRPr="006D6727" w14:paraId="5F3E8008"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2F0F51B4" w14:textId="77777777" w:rsidR="00C323BE" w:rsidRPr="006D6727" w:rsidRDefault="00C323BE" w:rsidP="00876039">
            <w:pPr>
              <w:jc w:val="left"/>
              <w:rPr>
                <w:noProof/>
              </w:rPr>
            </w:pPr>
            <w:r w:rsidRPr="006D6727">
              <w:rPr>
                <w:noProof/>
              </w:rPr>
              <w:t xml:space="preserve">UK – Scotland </w:t>
            </w:r>
          </w:p>
        </w:tc>
        <w:tc>
          <w:tcPr>
            <w:tcW w:w="2495" w:type="dxa"/>
            <w:tcBorders>
              <w:top w:val="single" w:sz="4" w:space="0" w:color="D2232A"/>
              <w:left w:val="single" w:sz="4" w:space="0" w:color="D2232A"/>
              <w:bottom w:val="single" w:sz="4" w:space="0" w:color="D2232A"/>
              <w:right w:val="single" w:sz="4" w:space="0" w:color="D2232A"/>
            </w:tcBorders>
          </w:tcPr>
          <w:p w14:paraId="79BE34B0" w14:textId="77777777" w:rsidR="00C323BE" w:rsidRPr="006D6727" w:rsidRDefault="00C323BE" w:rsidP="00876039">
            <w:pPr>
              <w:jc w:val="left"/>
              <w:rPr>
                <w:noProof/>
              </w:rPr>
            </w:pPr>
            <w:r w:rsidRPr="006D6727">
              <w:rPr>
                <w:noProof/>
              </w:rPr>
              <w:t>Local Government</w:t>
            </w:r>
            <w:r w:rsidR="00D83730">
              <w:t xml:space="preserve"> </w:t>
            </w:r>
            <w:r w:rsidRPr="006D6727">
              <w:rPr>
                <w:noProof/>
              </w:rPr>
              <w:t xml:space="preserve">and Communities Directorate (Scotland) </w:t>
            </w:r>
          </w:p>
        </w:tc>
        <w:tc>
          <w:tcPr>
            <w:tcW w:w="5806" w:type="dxa"/>
            <w:tcBorders>
              <w:top w:val="single" w:sz="4" w:space="0" w:color="D2232A"/>
              <w:left w:val="single" w:sz="4" w:space="0" w:color="D2232A"/>
              <w:bottom w:val="single" w:sz="4" w:space="0" w:color="D2232A"/>
              <w:right w:val="single" w:sz="4" w:space="0" w:color="D2232A"/>
            </w:tcBorders>
          </w:tcPr>
          <w:p w14:paraId="10F83D06" w14:textId="77777777" w:rsidR="00C323BE" w:rsidRPr="006D6727" w:rsidRDefault="00C323BE" w:rsidP="00876039">
            <w:pPr>
              <w:spacing w:before="60"/>
              <w:jc w:val="left"/>
              <w:rPr>
                <w:noProof/>
              </w:rPr>
            </w:pPr>
            <w:r w:rsidRPr="006D6727">
              <w:rPr>
                <w:noProof/>
              </w:rPr>
              <w:t>Own building regulation:</w:t>
            </w:r>
          </w:p>
          <w:p w14:paraId="1E49D70A" w14:textId="77777777" w:rsidR="00C323BE" w:rsidRPr="006D6727" w:rsidRDefault="00C323BE" w:rsidP="00876039">
            <w:pPr>
              <w:spacing w:before="60"/>
              <w:jc w:val="left"/>
              <w:rPr>
                <w:noProof/>
              </w:rPr>
            </w:pPr>
            <w:r w:rsidRPr="006D6727">
              <w:rPr>
                <w:noProof/>
              </w:rPr>
              <w:t>Building (Scotland) Regulations 2004 and</w:t>
            </w:r>
          </w:p>
          <w:p w14:paraId="11CB5588" w14:textId="77777777" w:rsidR="00C323BE" w:rsidRPr="006D6727" w:rsidRDefault="00C323BE" w:rsidP="00876039">
            <w:pPr>
              <w:spacing w:before="60"/>
              <w:jc w:val="left"/>
              <w:rPr>
                <w:noProof/>
              </w:rPr>
            </w:pPr>
            <w:r w:rsidRPr="006D6727">
              <w:rPr>
                <w:noProof/>
              </w:rPr>
              <w:t xml:space="preserve">Energy Performance of Buildings (Scotland) Regulations 2008 </w:t>
            </w:r>
          </w:p>
          <w:p w14:paraId="409CED0A" w14:textId="77777777" w:rsidR="00C323BE" w:rsidRPr="006D6727" w:rsidRDefault="00C323BE" w:rsidP="00876039">
            <w:pPr>
              <w:spacing w:before="60"/>
              <w:jc w:val="left"/>
              <w:rPr>
                <w:noProof/>
              </w:rPr>
            </w:pPr>
            <w:r w:rsidRPr="006D6727">
              <w:rPr>
                <w:noProof/>
              </w:rPr>
              <w:t xml:space="preserve">Incl. amendments from 2013 </w:t>
            </w:r>
          </w:p>
        </w:tc>
      </w:tr>
    </w:tbl>
    <w:p w14:paraId="7BC2A638" w14:textId="77777777" w:rsidR="005E2EFD" w:rsidRPr="006D6727" w:rsidRDefault="005E2EFD" w:rsidP="00FA6458">
      <w:pPr>
        <w:pStyle w:val="ECCAnnexheading2"/>
        <w:rPr>
          <w:rStyle w:val="ECCParagraph"/>
          <w:noProof/>
        </w:rPr>
      </w:pPr>
      <w:r w:rsidRPr="006D6727">
        <w:rPr>
          <w:rStyle w:val="ECCParagraph"/>
          <w:noProof/>
        </w:rPr>
        <w:t>Distribution of window technologies</w:t>
      </w:r>
    </w:p>
    <w:p w14:paraId="756FA116" w14:textId="55CE64C9" w:rsidR="005E2EFD" w:rsidRPr="006D6727" w:rsidRDefault="005E2EFD" w:rsidP="005E2EFD">
      <w:pPr>
        <w:rPr>
          <w:noProof/>
        </w:rPr>
      </w:pPr>
      <w:r w:rsidRPr="006D6727">
        <w:rPr>
          <w:noProof/>
        </w:rPr>
        <w:t xml:space="preserve">As an alternative to comprehensive studies of the above-mentioned directives, this </w:t>
      </w:r>
      <w:r w:rsidR="009D5FA2">
        <w:rPr>
          <w:noProof/>
        </w:rPr>
        <w:t>section</w:t>
      </w:r>
      <w:r w:rsidRPr="006D6727">
        <w:rPr>
          <w:noProof/>
        </w:rPr>
        <w:t xml:space="preserve"> gives a view on existing window technologies by considering a market analysis</w:t>
      </w:r>
      <w:r w:rsidR="00BF5F3C">
        <w:rPr>
          <w:noProof/>
        </w:rPr>
        <w:t xml:space="preserve"> </w:t>
      </w:r>
      <w:r w:rsidR="00AA2D79">
        <w:rPr>
          <w:rStyle w:val="ECCParagraph"/>
        </w:rPr>
        <w:fldChar w:fldCharType="begin"/>
      </w:r>
      <w:r w:rsidR="00AA2D79">
        <w:rPr>
          <w:rStyle w:val="ECCParagraph"/>
        </w:rPr>
        <w:instrText xml:space="preserve"> REF  Save_Energy_New_Windows \h \w  \* MERGEFORMAT </w:instrText>
      </w:r>
      <w:r w:rsidR="00AA2D79">
        <w:rPr>
          <w:rStyle w:val="ECCParagraph"/>
        </w:rPr>
      </w:r>
      <w:r w:rsidR="00AA2D79">
        <w:rPr>
          <w:rStyle w:val="ECCParagraph"/>
        </w:rPr>
        <w:fldChar w:fldCharType="separate"/>
      </w:r>
      <w:r w:rsidR="004F49F9">
        <w:rPr>
          <w:rStyle w:val="ECCParagraph"/>
        </w:rPr>
        <w:t>[51]</w:t>
      </w:r>
      <w:r w:rsidR="00AA2D79">
        <w:rPr>
          <w:rStyle w:val="ECCParagraph"/>
        </w:rPr>
        <w:fldChar w:fldCharType="end"/>
      </w:r>
      <w:r w:rsidR="00AA2D79">
        <w:rPr>
          <w:rStyle w:val="ECCParagraph"/>
        </w:rPr>
        <w:t xml:space="preserve"> </w:t>
      </w:r>
      <w:r w:rsidRPr="006D6727">
        <w:rPr>
          <w:noProof/>
        </w:rPr>
        <w:t>for the total window stock in Germany, conducted by the German Window and Façade Association together with the German Federal Flat Glass Association.</w:t>
      </w:r>
    </w:p>
    <w:p w14:paraId="5683B4D0" w14:textId="77777777" w:rsidR="005E2EFD" w:rsidRPr="006D6727" w:rsidRDefault="005E2EFD" w:rsidP="005E2EFD">
      <w:pPr>
        <w:rPr>
          <w:rStyle w:val="ECCParagraph"/>
          <w:noProof/>
        </w:rPr>
      </w:pPr>
      <w:r w:rsidRPr="006D6727">
        <w:rPr>
          <w:rStyle w:val="ECCParagraph"/>
          <w:noProof/>
        </w:rPr>
        <w:t>NOTE: The study was compiled/revised by Univ.-Prof. Dr.-Ing. Gerd Hauser, Technical University of Munich and Dr. Rolf-Michael Lüking in cooperation with the Window and Façade Association (Verband Fenster + Fassade, VFF) and the Federal Flat Glass Association (Bundesverband Flachglas, BF).</w:t>
      </w:r>
    </w:p>
    <w:p w14:paraId="15BC7817" w14:textId="17B5E819" w:rsidR="005E2EFD" w:rsidRPr="006D6727" w:rsidRDefault="004A7A13" w:rsidP="004A7A13">
      <w:pPr>
        <w:rPr>
          <w:noProof/>
        </w:rPr>
      </w:pPr>
      <w:r>
        <w:rPr>
          <w:rStyle w:val="ECCHLyellow"/>
        </w:rPr>
        <w:fldChar w:fldCharType="begin"/>
      </w:r>
      <w:r>
        <w:rPr>
          <w:noProof/>
        </w:rPr>
        <w:instrText xml:space="preserve"> REF _Ref49956032 \h </w:instrText>
      </w:r>
      <w:r>
        <w:rPr>
          <w:rStyle w:val="ECCHLyellow"/>
        </w:rPr>
      </w:r>
      <w:r>
        <w:rPr>
          <w:rStyle w:val="ECCHLyellow"/>
        </w:rPr>
        <w:fldChar w:fldCharType="separate"/>
      </w:r>
      <w:r w:rsidR="0041125F" w:rsidRPr="00D83730">
        <w:t>Table </w:t>
      </w:r>
      <w:r w:rsidR="0041125F">
        <w:rPr>
          <w:noProof/>
        </w:rPr>
        <w:t>131</w:t>
      </w:r>
      <w:r>
        <w:rPr>
          <w:rStyle w:val="ECCHLyellow"/>
        </w:rPr>
        <w:fldChar w:fldCharType="end"/>
      </w:r>
      <w:r w:rsidRPr="004A7A13">
        <w:t xml:space="preserve"> </w:t>
      </w:r>
      <w:r w:rsidR="005E2EFD" w:rsidRPr="006D6727">
        <w:rPr>
          <w:noProof/>
        </w:rPr>
        <w:t>shows the different glass types in relation to the known categories ”traditional” and “thermally efficient”</w:t>
      </w:r>
      <w:r w:rsidR="00327B21">
        <w:rPr>
          <w:noProof/>
        </w:rPr>
        <w:t>:</w:t>
      </w:r>
    </w:p>
    <w:p w14:paraId="7A57CCBD" w14:textId="313277AD" w:rsidR="005E2EFD" w:rsidRPr="006D6727" w:rsidRDefault="005E2EFD" w:rsidP="00A708E3">
      <w:pPr>
        <w:pStyle w:val="ECCBulletsLv1"/>
        <w:rPr>
          <w:noProof/>
        </w:rPr>
      </w:pPr>
      <w:r w:rsidRPr="006D6727">
        <w:rPr>
          <w:noProof/>
        </w:rPr>
        <w:t>Traditional: High transmission types, included in the 70</w:t>
      </w:r>
      <w:r w:rsidR="00F800A2">
        <w:rPr>
          <w:noProof/>
        </w:rPr>
        <w:t>%</w:t>
      </w:r>
      <w:r w:rsidRPr="006D6727">
        <w:rPr>
          <w:noProof/>
        </w:rPr>
        <w:t>-amount of the 70%/30% distribution</w:t>
      </w:r>
      <w:r w:rsidR="00327B21">
        <w:rPr>
          <w:noProof/>
        </w:rPr>
        <w:t>;</w:t>
      </w:r>
    </w:p>
    <w:p w14:paraId="15566C51" w14:textId="5ED7A037" w:rsidR="005E2EFD" w:rsidRPr="006D6727" w:rsidRDefault="005E2EFD" w:rsidP="00A708E3">
      <w:pPr>
        <w:pStyle w:val="ECCBulletsLv1"/>
        <w:rPr>
          <w:noProof/>
        </w:rPr>
      </w:pPr>
      <w:r w:rsidRPr="006D6727">
        <w:rPr>
          <w:noProof/>
        </w:rPr>
        <w:t>Thermally efficient: Low transmission types, included in the 30</w:t>
      </w:r>
      <w:r w:rsidR="00F800A2">
        <w:rPr>
          <w:noProof/>
        </w:rPr>
        <w:t>%</w:t>
      </w:r>
      <w:r w:rsidRPr="006D6727">
        <w:rPr>
          <w:noProof/>
        </w:rPr>
        <w:t>-amount of the 70%/30% distribution.</w:t>
      </w:r>
    </w:p>
    <w:p w14:paraId="2F862A6E" w14:textId="5BBD522E" w:rsidR="005E2EFD" w:rsidRPr="00D83730" w:rsidRDefault="004A7A13" w:rsidP="00D83730">
      <w:pPr>
        <w:pStyle w:val="Caption"/>
      </w:pPr>
      <w:bookmarkStart w:id="1014" w:name="_Ref49956032"/>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F49F9">
        <w:rPr>
          <w:rFonts w:eastAsia="Calibri"/>
          <w:noProof/>
        </w:rPr>
        <w:t>131</w:t>
      </w:r>
      <w:r w:rsidRPr="00D83730">
        <w:rPr>
          <w:rFonts w:eastAsia="Calibri"/>
        </w:rPr>
        <w:fldChar w:fldCharType="end"/>
      </w:r>
      <w:bookmarkEnd w:id="1014"/>
      <w:r w:rsidR="005E2EFD" w:rsidRPr="00D83730">
        <w:t>: Categories of glass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1843"/>
        <w:gridCol w:w="1843"/>
        <w:gridCol w:w="1701"/>
      </w:tblGrid>
      <w:tr w:rsidR="005E2EFD" w:rsidRPr="006D6727" w14:paraId="202FB9AE"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91690FB" w14:textId="77777777" w:rsidR="005E2EFD" w:rsidRPr="006D6727" w:rsidRDefault="005E2EFD" w:rsidP="00876039">
            <w:pPr>
              <w:pStyle w:val="ECCTableHeaderwhitefont"/>
              <w:rPr>
                <w:rStyle w:val="ECCHLbold"/>
                <w:noProof/>
              </w:rPr>
            </w:pPr>
            <w:r w:rsidRPr="006D6727">
              <w:rPr>
                <w:rStyle w:val="ECCHLbold"/>
                <w:noProof/>
              </w:rPr>
              <w:t>Glass Types</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1C4D0EB" w14:textId="77777777" w:rsidR="005E2EFD" w:rsidRPr="006D6727" w:rsidRDefault="005E2EFD" w:rsidP="00B607BE">
            <w:pPr>
              <w:pStyle w:val="ECCTableHeaderwhitefont"/>
              <w:spacing w:before="120" w:after="0"/>
              <w:rPr>
                <w:rStyle w:val="ECCHLbold"/>
                <w:noProof/>
              </w:rPr>
            </w:pPr>
            <w:r w:rsidRPr="006D6727">
              <w:rPr>
                <w:rStyle w:val="ECCHLbold"/>
                <w:noProof/>
              </w:rPr>
              <w:t>U-value</w:t>
            </w:r>
          </w:p>
          <w:p w14:paraId="768F71C7" w14:textId="77777777" w:rsidR="005E2EFD" w:rsidRPr="006D6727" w:rsidRDefault="005E2EFD" w:rsidP="00B607BE">
            <w:pPr>
              <w:pStyle w:val="ECCTableHeaderwhitefont"/>
              <w:spacing w:before="0" w:after="120"/>
              <w:rPr>
                <w:rStyle w:val="ECCHLbold"/>
                <w:noProof/>
              </w:rPr>
            </w:pPr>
            <w:r w:rsidRPr="006D6727">
              <w:rPr>
                <w:rStyle w:val="ECCHLbold"/>
                <w:noProof/>
              </w:rPr>
              <w:t>W/(m2K)</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80CD827" w14:textId="77777777" w:rsidR="005E2EFD" w:rsidRPr="006D6727" w:rsidRDefault="005E2EFD" w:rsidP="00B607BE">
            <w:pPr>
              <w:pStyle w:val="ECCTableHeaderwhitefont"/>
              <w:spacing w:before="0" w:after="0"/>
              <w:rPr>
                <w:rStyle w:val="ECCHLbold"/>
                <w:noProof/>
              </w:rPr>
            </w:pPr>
            <w:r w:rsidRPr="006D6727">
              <w:rPr>
                <w:rStyle w:val="ECCHLbold"/>
                <w:noProof/>
              </w:rPr>
              <w:t>traditional</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CD407D" w14:textId="77777777" w:rsidR="005E2EFD" w:rsidRPr="006D6727" w:rsidRDefault="005E2EFD" w:rsidP="00B607BE">
            <w:pPr>
              <w:pStyle w:val="ECCTableHeaderwhitefont"/>
              <w:spacing w:before="120" w:after="120"/>
              <w:rPr>
                <w:rStyle w:val="ECCHLbold"/>
                <w:noProof/>
              </w:rPr>
            </w:pPr>
            <w:r w:rsidRPr="006D6727">
              <w:rPr>
                <w:rStyle w:val="ECCHLbold"/>
                <w:noProof/>
              </w:rPr>
              <w:t>thermally efficient</w:t>
            </w:r>
          </w:p>
        </w:tc>
      </w:tr>
      <w:tr w:rsidR="005E2EFD" w:rsidRPr="006D6727" w14:paraId="68BF33AF" w14:textId="77777777" w:rsidTr="00FF12D5">
        <w:trPr>
          <w:trHeight w:val="363"/>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61F2F983" w14:textId="77777777" w:rsidR="005E2EFD" w:rsidRPr="006D6727" w:rsidRDefault="005E2EFD" w:rsidP="00FC6404">
            <w:pPr>
              <w:pStyle w:val="ECCTabletext"/>
              <w:jc w:val="left"/>
              <w:rPr>
                <w:noProof/>
              </w:rPr>
            </w:pPr>
            <w:r w:rsidRPr="006D6727">
              <w:rPr>
                <w:noProof/>
              </w:rPr>
              <w:t>Single-pane glass</w:t>
            </w:r>
          </w:p>
        </w:tc>
        <w:tc>
          <w:tcPr>
            <w:tcW w:w="1843"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415B045C" w14:textId="77777777" w:rsidR="005E2EFD" w:rsidRPr="006D6727" w:rsidRDefault="005E2EFD" w:rsidP="00FC6404">
            <w:pPr>
              <w:pStyle w:val="ECCTabletext"/>
              <w:jc w:val="left"/>
              <w:rPr>
                <w:noProof/>
              </w:rPr>
            </w:pPr>
            <w:r w:rsidRPr="006D6727">
              <w:rPr>
                <w:noProof/>
              </w:rPr>
              <w:t>5</w:t>
            </w:r>
            <w:r w:rsidR="00CF4994">
              <w:rPr>
                <w:noProof/>
              </w:rPr>
              <w:t>.8</w:t>
            </w:r>
          </w:p>
        </w:tc>
        <w:tc>
          <w:tcPr>
            <w:tcW w:w="1843"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5BC31B3B" w14:textId="77777777" w:rsidR="005E2EFD" w:rsidRPr="006D6727" w:rsidRDefault="005E2EFD" w:rsidP="00FC6404">
            <w:pPr>
              <w:pStyle w:val="ECCTabletext"/>
              <w:jc w:val="left"/>
              <w:rPr>
                <w:noProof/>
              </w:rPr>
            </w:pPr>
            <w:r w:rsidRPr="006D6727">
              <w:rPr>
                <w:noProof/>
              </w:rPr>
              <w:t>x</w:t>
            </w:r>
          </w:p>
        </w:tc>
        <w:tc>
          <w:tcPr>
            <w:tcW w:w="170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66F89028" w14:textId="77777777" w:rsidR="005E2EFD" w:rsidRPr="006D6727" w:rsidRDefault="005E2EFD" w:rsidP="00FC6404">
            <w:pPr>
              <w:pStyle w:val="ECCTabletext"/>
              <w:rPr>
                <w:noProof/>
              </w:rPr>
            </w:pPr>
          </w:p>
        </w:tc>
      </w:tr>
      <w:tr w:rsidR="005E2EFD" w:rsidRPr="006D6727" w14:paraId="7BDD8FD3"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A2EA2A9" w14:textId="77777777" w:rsidR="005E2EFD" w:rsidRPr="006D6727" w:rsidRDefault="005E2EFD" w:rsidP="00FC6404">
            <w:pPr>
              <w:pStyle w:val="ECCTabletext"/>
              <w:jc w:val="left"/>
              <w:rPr>
                <w:noProof/>
              </w:rPr>
            </w:pPr>
            <w:r w:rsidRPr="006D6727">
              <w:rPr>
                <w:noProof/>
              </w:rPr>
              <w:t>Double-glazed windows</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A22D7F4" w14:textId="77777777" w:rsidR="005E2EFD" w:rsidRPr="006D6727" w:rsidRDefault="005E2EFD" w:rsidP="00FC6404">
            <w:pPr>
              <w:pStyle w:val="ECCTabletext"/>
              <w:jc w:val="left"/>
              <w:rPr>
                <w:noProof/>
              </w:rPr>
            </w:pPr>
            <w:r w:rsidRPr="006D6727">
              <w:rPr>
                <w:noProof/>
              </w:rPr>
              <w:t>2</w:t>
            </w:r>
            <w:r w:rsidR="00CF4994">
              <w:rPr>
                <w:noProof/>
              </w:rPr>
              <w:t>.8</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5C38C12" w14:textId="77777777" w:rsidR="005E2EFD" w:rsidRPr="006D6727" w:rsidRDefault="005E2EFD" w:rsidP="00FC6404">
            <w:pPr>
              <w:pStyle w:val="ECCTabletext"/>
              <w:jc w:val="left"/>
              <w:rPr>
                <w:noProof/>
              </w:rPr>
            </w:pPr>
            <w:r w:rsidRPr="006D6727">
              <w:rPr>
                <w:noProof/>
              </w:rPr>
              <w:t>x</w:t>
            </w: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9E185FA" w14:textId="77777777" w:rsidR="005E2EFD" w:rsidRPr="006D6727" w:rsidRDefault="005E2EFD" w:rsidP="00FC6404">
            <w:pPr>
              <w:pStyle w:val="ECCTabletext"/>
              <w:rPr>
                <w:noProof/>
              </w:rPr>
            </w:pPr>
          </w:p>
        </w:tc>
      </w:tr>
      <w:tr w:rsidR="005E2EFD" w:rsidRPr="006D6727" w14:paraId="3554F09F"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DE380D8" w14:textId="77777777" w:rsidR="005E2EFD" w:rsidRPr="006D6727" w:rsidRDefault="005E2EFD" w:rsidP="00FC6404">
            <w:pPr>
              <w:pStyle w:val="ECCTabletext"/>
              <w:jc w:val="left"/>
              <w:rPr>
                <w:noProof/>
              </w:rPr>
            </w:pPr>
            <w:r w:rsidRPr="006D6727">
              <w:rPr>
                <w:noProof/>
              </w:rPr>
              <w:t>Insulation glass 4/12/4 (uncoated)</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BD2CD97" w14:textId="77777777" w:rsidR="005E2EFD" w:rsidRPr="006D6727" w:rsidRDefault="005E2EFD" w:rsidP="00FC6404">
            <w:pPr>
              <w:pStyle w:val="ECCTabletext"/>
              <w:jc w:val="left"/>
              <w:rPr>
                <w:noProof/>
              </w:rPr>
            </w:pPr>
            <w:r w:rsidRPr="006D6727">
              <w:rPr>
                <w:noProof/>
              </w:rPr>
              <w:t>2</w:t>
            </w:r>
            <w:r w:rsidR="00CF4994">
              <w:rPr>
                <w:noProof/>
              </w:rPr>
              <w:t>.8</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125DBB9" w14:textId="77777777" w:rsidR="005E2EFD" w:rsidRPr="006D6727" w:rsidRDefault="005E2EFD" w:rsidP="00FC6404">
            <w:pPr>
              <w:pStyle w:val="ECCTabletext"/>
              <w:jc w:val="left"/>
              <w:rPr>
                <w:noProof/>
              </w:rPr>
            </w:pPr>
            <w:r w:rsidRPr="006D6727">
              <w:rPr>
                <w:noProof/>
              </w:rPr>
              <w:t>x</w:t>
            </w: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46AEEB9" w14:textId="77777777" w:rsidR="005E2EFD" w:rsidRPr="006D6727" w:rsidRDefault="005E2EFD" w:rsidP="00FC6404">
            <w:pPr>
              <w:pStyle w:val="ECCTabletext"/>
              <w:rPr>
                <w:noProof/>
              </w:rPr>
            </w:pPr>
          </w:p>
        </w:tc>
      </w:tr>
      <w:tr w:rsidR="005E2EFD" w:rsidRPr="006D6727" w14:paraId="291A14CB" w14:textId="77777777" w:rsidTr="00FF12D5">
        <w:trPr>
          <w:trHeight w:val="371"/>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69FD8B2" w14:textId="77777777" w:rsidR="005E2EFD" w:rsidRPr="006D6727" w:rsidRDefault="005E2EFD" w:rsidP="00FC6404">
            <w:pPr>
              <w:pStyle w:val="ECCTabletext"/>
              <w:jc w:val="left"/>
              <w:rPr>
                <w:noProof/>
              </w:rPr>
            </w:pPr>
            <w:r w:rsidRPr="006D6727">
              <w:rPr>
                <w:noProof/>
              </w:rPr>
              <w:t>2-pane insulation glass 1st generation</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D48E717" w14:textId="77777777" w:rsidR="005E2EFD" w:rsidRPr="006D6727" w:rsidRDefault="005E2EFD" w:rsidP="00FC6404">
            <w:pPr>
              <w:pStyle w:val="ECCTabletext"/>
              <w:jc w:val="left"/>
              <w:rPr>
                <w:noProof/>
              </w:rPr>
            </w:pPr>
            <w:r w:rsidRPr="006D6727">
              <w:rPr>
                <w:noProof/>
              </w:rPr>
              <w:t>1</w:t>
            </w:r>
            <w:r w:rsidR="00CF4994">
              <w:rPr>
                <w:noProof/>
              </w:rPr>
              <w:t>.4</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0D624F3"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2545A53" w14:textId="77777777" w:rsidR="005E2EFD" w:rsidRPr="006D6727" w:rsidRDefault="005E2EFD" w:rsidP="00FC6404">
            <w:pPr>
              <w:pStyle w:val="ECCTabletext"/>
              <w:jc w:val="left"/>
              <w:rPr>
                <w:noProof/>
              </w:rPr>
            </w:pPr>
            <w:r w:rsidRPr="006D6727">
              <w:rPr>
                <w:noProof/>
              </w:rPr>
              <w:t>x</w:t>
            </w:r>
          </w:p>
        </w:tc>
      </w:tr>
      <w:tr w:rsidR="005E2EFD" w:rsidRPr="006D6727" w14:paraId="6D96F7E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89C8649" w14:textId="77777777" w:rsidR="005E2EFD" w:rsidRPr="006D6727" w:rsidRDefault="005E2EFD" w:rsidP="00FC6404">
            <w:pPr>
              <w:pStyle w:val="ECCTabletext"/>
              <w:jc w:val="left"/>
              <w:rPr>
                <w:noProof/>
              </w:rPr>
            </w:pPr>
            <w:r w:rsidRPr="006D6727">
              <w:rPr>
                <w:noProof/>
              </w:rPr>
              <w:t>2-pane insulation glass 2nd generation</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7D896DA" w14:textId="77777777" w:rsidR="005E2EFD" w:rsidRPr="006D6727" w:rsidRDefault="005E2EFD" w:rsidP="00FC6404">
            <w:pPr>
              <w:pStyle w:val="ECCTabletext"/>
              <w:jc w:val="left"/>
              <w:rPr>
                <w:noProof/>
              </w:rPr>
            </w:pPr>
            <w:r w:rsidRPr="006D6727">
              <w:rPr>
                <w:noProof/>
              </w:rPr>
              <w:t>1</w:t>
            </w:r>
            <w:r w:rsidR="00CF4994">
              <w:rPr>
                <w:noProof/>
              </w:rPr>
              <w:t>.2</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B201E76"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A3D529D" w14:textId="77777777" w:rsidR="005E2EFD" w:rsidRPr="006D6727" w:rsidRDefault="005E2EFD" w:rsidP="00FC6404">
            <w:pPr>
              <w:pStyle w:val="ECCTabletext"/>
              <w:jc w:val="left"/>
              <w:rPr>
                <w:noProof/>
              </w:rPr>
            </w:pPr>
            <w:r w:rsidRPr="006D6727">
              <w:rPr>
                <w:noProof/>
              </w:rPr>
              <w:t>x</w:t>
            </w:r>
          </w:p>
        </w:tc>
      </w:tr>
      <w:tr w:rsidR="005E2EFD" w:rsidRPr="006D6727" w14:paraId="1107CE2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3B1FCFD" w14:textId="77777777" w:rsidR="005E2EFD" w:rsidRPr="006D6727" w:rsidRDefault="005E2EFD" w:rsidP="00FC6404">
            <w:pPr>
              <w:pStyle w:val="ECCTabletext"/>
              <w:jc w:val="left"/>
              <w:rPr>
                <w:noProof/>
              </w:rPr>
            </w:pPr>
            <w:r w:rsidRPr="006D6727">
              <w:rPr>
                <w:noProof/>
              </w:rPr>
              <w:t>2-pane insulation glass 3rd generation</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E43513F" w14:textId="77777777" w:rsidR="005E2EFD" w:rsidRPr="006D6727" w:rsidRDefault="005E2EFD" w:rsidP="00FC6404">
            <w:pPr>
              <w:pStyle w:val="ECCTabletext"/>
              <w:jc w:val="left"/>
              <w:rPr>
                <w:noProof/>
              </w:rPr>
            </w:pPr>
            <w:r w:rsidRPr="006D6727">
              <w:rPr>
                <w:noProof/>
              </w:rPr>
              <w:t>1</w:t>
            </w:r>
            <w:r w:rsidR="00CF4994">
              <w:rPr>
                <w:noProof/>
              </w:rPr>
              <w:t>.1</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790C7D6"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84F3095" w14:textId="77777777" w:rsidR="005E2EFD" w:rsidRPr="006D6727" w:rsidRDefault="005E2EFD" w:rsidP="00FC6404">
            <w:pPr>
              <w:pStyle w:val="ECCTabletext"/>
              <w:jc w:val="left"/>
              <w:rPr>
                <w:noProof/>
              </w:rPr>
            </w:pPr>
            <w:r w:rsidRPr="006D6727">
              <w:rPr>
                <w:noProof/>
              </w:rPr>
              <w:t>x</w:t>
            </w:r>
          </w:p>
        </w:tc>
      </w:tr>
      <w:tr w:rsidR="005E2EFD" w:rsidRPr="006D6727" w14:paraId="52A3E2F5"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7C51C2" w14:textId="77777777" w:rsidR="005E2EFD" w:rsidRPr="006D6727" w:rsidRDefault="005E2EFD" w:rsidP="00FC6404">
            <w:pPr>
              <w:pStyle w:val="ECCTabletext"/>
              <w:jc w:val="left"/>
              <w:rPr>
                <w:noProof/>
              </w:rPr>
            </w:pPr>
            <w:r w:rsidRPr="006D6727">
              <w:rPr>
                <w:noProof/>
              </w:rPr>
              <w:t>3-pane insulation glass</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3596409" w14:textId="77777777" w:rsidR="005E2EFD" w:rsidRPr="006D6727" w:rsidRDefault="005E2EFD" w:rsidP="00FC6404">
            <w:pPr>
              <w:pStyle w:val="ECCTabletext"/>
              <w:jc w:val="left"/>
              <w:rPr>
                <w:noProof/>
              </w:rPr>
            </w:pPr>
            <w:r w:rsidRPr="006D6727">
              <w:rPr>
                <w:noProof/>
              </w:rPr>
              <w:t>&lt; 0</w:t>
            </w:r>
            <w:r w:rsidR="00CF4994">
              <w:rPr>
                <w:noProof/>
              </w:rPr>
              <w:t>.8</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75F57C2"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FB66094" w14:textId="77777777" w:rsidR="005E2EFD" w:rsidRPr="006D6727" w:rsidRDefault="005E2EFD" w:rsidP="00FC6404">
            <w:pPr>
              <w:pStyle w:val="ECCTabletext"/>
              <w:jc w:val="left"/>
              <w:rPr>
                <w:noProof/>
              </w:rPr>
            </w:pPr>
            <w:r w:rsidRPr="006D6727">
              <w:rPr>
                <w:noProof/>
              </w:rPr>
              <w:t>x</w:t>
            </w:r>
          </w:p>
        </w:tc>
      </w:tr>
    </w:tbl>
    <w:p w14:paraId="7446BEFF" w14:textId="6370FA60" w:rsidR="005E2EFD" w:rsidRPr="006D6727" w:rsidRDefault="00EC3838" w:rsidP="005E2EFD">
      <w:pPr>
        <w:rPr>
          <w:noProof/>
        </w:rPr>
      </w:pPr>
      <w:r w:rsidRPr="00EC3838">
        <w:rPr>
          <w:rStyle w:val="ECCParagraph"/>
        </w:rPr>
        <w:fldChar w:fldCharType="begin"/>
      </w:r>
      <w:r w:rsidRPr="00EC3838">
        <w:rPr>
          <w:rStyle w:val="ECCParagraph"/>
        </w:rPr>
        <w:instrText xml:space="preserve"> REF _Ref49956694 \h </w:instrText>
      </w:r>
      <w:r>
        <w:rPr>
          <w:rStyle w:val="ECCParagraph"/>
        </w:rPr>
        <w:instrText xml:space="preserve"> \* MERGEFORMAT </w:instrText>
      </w:r>
      <w:r w:rsidRPr="00EC3838">
        <w:rPr>
          <w:rStyle w:val="ECCParagraph"/>
        </w:rPr>
      </w:r>
      <w:r w:rsidRPr="00EC3838">
        <w:rPr>
          <w:rStyle w:val="ECCParagraph"/>
        </w:rPr>
        <w:fldChar w:fldCharType="separate"/>
      </w:r>
      <w:r w:rsidR="0041125F" w:rsidRPr="0041125F">
        <w:rPr>
          <w:rStyle w:val="ECCParagraph"/>
        </w:rPr>
        <w:t>Table 132</w:t>
      </w:r>
      <w:r w:rsidRPr="00EC3838">
        <w:rPr>
          <w:rStyle w:val="ECCParagraph"/>
        </w:rPr>
        <w:fldChar w:fldCharType="end"/>
      </w:r>
      <w:r w:rsidRPr="00EC3838">
        <w:rPr>
          <w:rStyle w:val="ECCParagraph"/>
        </w:rPr>
        <w:t xml:space="preserve"> </w:t>
      </w:r>
      <w:r w:rsidR="005E2EFD" w:rsidRPr="00EC3838">
        <w:rPr>
          <w:rStyle w:val="ECCParagraph"/>
        </w:rPr>
        <w:t xml:space="preserve">to </w:t>
      </w:r>
      <w:r w:rsidRPr="00EC3838">
        <w:rPr>
          <w:rStyle w:val="ECCParagraph"/>
        </w:rPr>
        <w:fldChar w:fldCharType="begin"/>
      </w:r>
      <w:r w:rsidRPr="00EC3838">
        <w:rPr>
          <w:rStyle w:val="ECCParagraph"/>
        </w:rPr>
        <w:instrText xml:space="preserve"> REF _Ref49956702 \h </w:instrText>
      </w:r>
      <w:r>
        <w:rPr>
          <w:rStyle w:val="ECCParagraph"/>
        </w:rPr>
        <w:instrText xml:space="preserve"> \* MERGEFORMAT </w:instrText>
      </w:r>
      <w:r w:rsidRPr="00EC3838">
        <w:rPr>
          <w:rStyle w:val="ECCParagraph"/>
        </w:rPr>
      </w:r>
      <w:r w:rsidRPr="00EC3838">
        <w:rPr>
          <w:rStyle w:val="ECCParagraph"/>
        </w:rPr>
        <w:fldChar w:fldCharType="separate"/>
      </w:r>
      <w:r w:rsidR="0041125F" w:rsidRPr="0041125F">
        <w:rPr>
          <w:rStyle w:val="ECCParagraph"/>
        </w:rPr>
        <w:t>Table 134</w:t>
      </w:r>
      <w:r w:rsidRPr="00EC3838">
        <w:rPr>
          <w:rStyle w:val="ECCParagraph"/>
        </w:rPr>
        <w:fldChar w:fldCharType="end"/>
      </w:r>
      <w:r w:rsidRPr="00EC3838">
        <w:rPr>
          <w:rStyle w:val="ECCParagraph"/>
        </w:rPr>
        <w:t xml:space="preserve"> </w:t>
      </w:r>
      <w:r w:rsidR="005E2EFD" w:rsidRPr="00EC3838">
        <w:rPr>
          <w:rStyle w:val="ECCParagraph"/>
        </w:rPr>
        <w:t>give</w:t>
      </w:r>
      <w:r w:rsidR="005E2EFD" w:rsidRPr="006D6727">
        <w:rPr>
          <w:noProof/>
        </w:rPr>
        <w:t xml:space="preserve"> an extract from </w:t>
      </w:r>
      <w:r w:rsidR="00BF5F3C">
        <w:rPr>
          <w:rStyle w:val="ECCParagraph"/>
          <w:noProof/>
        </w:rPr>
        <w:t xml:space="preserve">annex 1 </w:t>
      </w:r>
      <w:r w:rsidR="005E2EFD" w:rsidRPr="006D6727">
        <w:rPr>
          <w:noProof/>
        </w:rPr>
        <w:t xml:space="preserve">of </w:t>
      </w:r>
      <w:r w:rsidR="00AA2D79">
        <w:rPr>
          <w:rStyle w:val="ECCParagraph"/>
        </w:rPr>
        <w:fldChar w:fldCharType="begin"/>
      </w:r>
      <w:r w:rsidR="00AA2D79">
        <w:rPr>
          <w:rStyle w:val="ECCParagraph"/>
        </w:rPr>
        <w:instrText xml:space="preserve"> REF  Save_Energy_New_Windows \h \w  \* MERGEFORMAT </w:instrText>
      </w:r>
      <w:r w:rsidR="00AA2D79">
        <w:rPr>
          <w:rStyle w:val="ECCParagraph"/>
        </w:rPr>
      </w:r>
      <w:r w:rsidR="00AA2D79">
        <w:rPr>
          <w:rStyle w:val="ECCParagraph"/>
        </w:rPr>
        <w:fldChar w:fldCharType="separate"/>
      </w:r>
      <w:r w:rsidR="004F49F9">
        <w:rPr>
          <w:rStyle w:val="ECCParagraph"/>
        </w:rPr>
        <w:t>[51]</w:t>
      </w:r>
      <w:r w:rsidR="00AA2D79">
        <w:rPr>
          <w:rStyle w:val="ECCParagraph"/>
        </w:rPr>
        <w:fldChar w:fldCharType="end"/>
      </w:r>
      <w:r w:rsidR="00AA2D79">
        <w:rPr>
          <w:rStyle w:val="ECCParagraph"/>
        </w:rPr>
        <w:t xml:space="preserve">. </w:t>
      </w:r>
      <w:r w:rsidR="005E2EFD" w:rsidRPr="006D6727">
        <w:rPr>
          <w:noProof/>
        </w:rPr>
        <w:t>The table</w:t>
      </w:r>
      <w:r>
        <w:t>s</w:t>
      </w:r>
      <w:r w:rsidR="005E2EFD" w:rsidRPr="006D6727">
        <w:rPr>
          <w:noProof/>
        </w:rPr>
        <w:t xml:space="preserve"> start with the year 1971 and end 2016. Columns having dots should indicate that changes here are not of interest. A new column starts if a new type of glass was put on the market.</w:t>
      </w:r>
    </w:p>
    <w:p w14:paraId="591A2F5A" w14:textId="71D18477" w:rsidR="005E2EFD" w:rsidRPr="006D6727" w:rsidRDefault="005E2EFD" w:rsidP="005E2EFD">
      <w:pPr>
        <w:rPr>
          <w:noProof/>
        </w:rPr>
      </w:pPr>
      <w:r w:rsidRPr="006D6727">
        <w:rPr>
          <w:noProof/>
        </w:rPr>
        <w:t>For the first time in 1994</w:t>
      </w:r>
      <w:r w:rsidR="009643F9">
        <w:rPr>
          <w:noProof/>
        </w:rPr>
        <w:t>,</w:t>
      </w:r>
      <w:r w:rsidRPr="006D6727">
        <w:rPr>
          <w:noProof/>
        </w:rPr>
        <w:t xml:space="preserve"> the market size of thermally efficient glass windows is above 34</w:t>
      </w:r>
      <w:r w:rsidR="00F800A2">
        <w:rPr>
          <w:noProof/>
        </w:rPr>
        <w:t>%</w:t>
      </w:r>
      <w:r w:rsidRPr="006D6727">
        <w:rPr>
          <w:noProof/>
        </w:rPr>
        <w:t>. It is worth to mention that from 1994 until today this number hasn’t dropped anymore below 34</w:t>
      </w:r>
      <w:r w:rsidR="00F800A2">
        <w:rPr>
          <w:noProof/>
        </w:rPr>
        <w:t>%</w:t>
      </w:r>
      <w:r w:rsidRPr="006D6727">
        <w:rPr>
          <w:noProof/>
        </w:rPr>
        <w:t>.</w:t>
      </w:r>
    </w:p>
    <w:p w14:paraId="5C976D21" w14:textId="537726CD" w:rsidR="005E2EFD" w:rsidRPr="006D6727" w:rsidRDefault="005E2EFD" w:rsidP="005E2EFD">
      <w:pPr>
        <w:rPr>
          <w:noProof/>
        </w:rPr>
      </w:pPr>
      <w:r w:rsidRPr="006D6727">
        <w:rPr>
          <w:noProof/>
        </w:rPr>
        <w:t>This evaluation indicates that the 70</w:t>
      </w:r>
      <w:r w:rsidR="00F800A2">
        <w:rPr>
          <w:noProof/>
        </w:rPr>
        <w:t>%</w:t>
      </w:r>
      <w:r w:rsidRPr="006D6727">
        <w:rPr>
          <w:noProof/>
        </w:rPr>
        <w:t xml:space="preserve"> traditional and 30</w:t>
      </w:r>
      <w:r w:rsidR="00F800A2">
        <w:rPr>
          <w:noProof/>
        </w:rPr>
        <w:t>%</w:t>
      </w:r>
      <w:r w:rsidRPr="006D6727">
        <w:rPr>
          <w:noProof/>
        </w:rPr>
        <w:t xml:space="preserve"> thermally efficient distribution at least in Germany would be applicable from 1994 onwards for all newly installed windows.</w:t>
      </w:r>
    </w:p>
    <w:p w14:paraId="3842783C" w14:textId="1D187153" w:rsidR="005E2EFD" w:rsidRPr="006D6727" w:rsidRDefault="005E2EFD" w:rsidP="005E2EFD">
      <w:pPr>
        <w:rPr>
          <w:noProof/>
        </w:rPr>
      </w:pPr>
      <w:r w:rsidRPr="006D6727">
        <w:rPr>
          <w:noProof/>
        </w:rPr>
        <w:t>Since 2003 solely 100</w:t>
      </w:r>
      <w:r w:rsidR="00F800A2">
        <w:rPr>
          <w:noProof/>
        </w:rPr>
        <w:t>%</w:t>
      </w:r>
      <w:r w:rsidRPr="006D6727">
        <w:rPr>
          <w:noProof/>
        </w:rPr>
        <w:t xml:space="preserve"> thermally efficient windows have been sold and installed in Germany.</w:t>
      </w:r>
    </w:p>
    <w:p w14:paraId="690B6931" w14:textId="0E8D8533" w:rsidR="005E2EFD" w:rsidRPr="00D83730" w:rsidRDefault="004A7A13" w:rsidP="00D83730">
      <w:pPr>
        <w:pStyle w:val="Caption"/>
      </w:pPr>
      <w:bookmarkStart w:id="1015" w:name="_Ref49956694"/>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F49F9">
        <w:rPr>
          <w:rFonts w:eastAsia="Calibri"/>
          <w:noProof/>
        </w:rPr>
        <w:t>132</w:t>
      </w:r>
      <w:r w:rsidRPr="00D83730">
        <w:rPr>
          <w:rFonts w:eastAsia="Calibri"/>
        </w:rPr>
        <w:fldChar w:fldCharType="end"/>
      </w:r>
      <w:bookmarkEnd w:id="1015"/>
      <w:r w:rsidRPr="00D83730">
        <w:rPr>
          <w:rFonts w:eastAsia="Calibri"/>
        </w:rPr>
        <w:t>:</w:t>
      </w:r>
      <w:r w:rsidR="00D83730">
        <w:rPr>
          <w:rFonts w:eastAsia="Calibri"/>
        </w:rPr>
        <w:t xml:space="preserve"> </w:t>
      </w:r>
      <w:r w:rsidR="005E2EFD" w:rsidRPr="00D83730">
        <w:t>Market Share of Glass Types (1971 to 1990)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851"/>
        <w:gridCol w:w="851"/>
        <w:gridCol w:w="850"/>
        <w:gridCol w:w="851"/>
        <w:gridCol w:w="850"/>
        <w:gridCol w:w="851"/>
      </w:tblGrid>
      <w:tr w:rsidR="005E2EFD" w:rsidRPr="006D6727" w14:paraId="4A49923B"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5CF5D01" w14:textId="77777777" w:rsidR="005E2EFD" w:rsidRPr="006D6727" w:rsidRDefault="005E2EFD" w:rsidP="003459D4">
            <w:pPr>
              <w:pStyle w:val="ECCTableHeaderwhitefont"/>
              <w:spacing w:before="120" w:after="120"/>
              <w:rPr>
                <w:rStyle w:val="ECCHLbold"/>
                <w:b w:val="0"/>
                <w:noProof/>
                <w:color w:val="D2232A"/>
                <w:lang w:val="da-DK" w:eastAsia="en-US"/>
              </w:rPr>
            </w:pPr>
            <w:r w:rsidRPr="006D6727">
              <w:rPr>
                <w:rStyle w:val="ECCHLbold"/>
                <w:noProof/>
              </w:rPr>
              <w:t>Glass Types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2FF842" w14:textId="77777777" w:rsidR="005E2EFD" w:rsidRPr="006D6727" w:rsidRDefault="005E2EFD" w:rsidP="003459D4">
            <w:pPr>
              <w:pStyle w:val="ECCTableHeaderwhitefont"/>
              <w:spacing w:before="120" w:after="120"/>
              <w:rPr>
                <w:rStyle w:val="ECCHLbold"/>
                <w:noProof/>
              </w:rPr>
            </w:pPr>
            <w:r w:rsidRPr="006D6727">
              <w:rPr>
                <w:rStyle w:val="ECCHLbold"/>
                <w:noProof/>
              </w:rPr>
              <w:t>1971</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E53D06B" w14:textId="77777777" w:rsidR="005E2EFD" w:rsidRPr="006D6727" w:rsidRDefault="005E2EFD" w:rsidP="003459D4">
            <w:pPr>
              <w:pStyle w:val="ECCTableHeaderwhitefont"/>
              <w:spacing w:before="120" w:after="120"/>
              <w:rPr>
                <w:rStyle w:val="ECCHLbold"/>
                <w:noProof/>
              </w:rPr>
            </w:pPr>
            <w:r w:rsidRPr="006D6727">
              <w:rPr>
                <w:rStyle w:val="ECCHLbold"/>
                <w:noProof/>
              </w:rPr>
              <w:t>…</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06F8DE9" w14:textId="77777777" w:rsidR="005E2EFD" w:rsidRPr="006D6727" w:rsidRDefault="005E2EFD" w:rsidP="003459D4">
            <w:pPr>
              <w:pStyle w:val="ECCTableHeaderwhitefont"/>
              <w:spacing w:before="120" w:after="120"/>
              <w:rPr>
                <w:rStyle w:val="ECCHLbold"/>
                <w:noProof/>
              </w:rPr>
            </w:pPr>
            <w:r w:rsidRPr="006D6727">
              <w:rPr>
                <w:rStyle w:val="ECCHLbold"/>
                <w:noProof/>
              </w:rPr>
              <w:t>1979</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A3F2D8" w14:textId="77777777" w:rsidR="005E2EFD" w:rsidRPr="006D6727" w:rsidRDefault="005E2EFD" w:rsidP="003459D4">
            <w:pPr>
              <w:pStyle w:val="ECCTableHeaderwhitefont"/>
              <w:spacing w:before="120" w:after="120"/>
              <w:rPr>
                <w:rStyle w:val="ECCHLbold"/>
                <w:noProof/>
              </w:rPr>
            </w:pPr>
            <w:r w:rsidRPr="006D6727">
              <w:rPr>
                <w:rStyle w:val="ECCHLbold"/>
                <w:noProof/>
              </w:rPr>
              <w:t>1980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6A82215" w14:textId="77777777" w:rsidR="005E2EFD" w:rsidRPr="006D6727" w:rsidRDefault="005E2EFD" w:rsidP="003459D4">
            <w:pPr>
              <w:pStyle w:val="ECCTableHeaderwhitefont"/>
              <w:spacing w:before="120" w:after="120"/>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B3062C2" w14:textId="77777777" w:rsidR="005E2EFD" w:rsidRPr="006D6727" w:rsidRDefault="005E2EFD" w:rsidP="003459D4">
            <w:pPr>
              <w:pStyle w:val="ECCTableHeaderwhitefont"/>
              <w:spacing w:before="120" w:after="120"/>
              <w:rPr>
                <w:rStyle w:val="ECCHLbold"/>
                <w:noProof/>
              </w:rPr>
            </w:pPr>
            <w:r w:rsidRPr="006D6727">
              <w:rPr>
                <w:rStyle w:val="ECCHLbold"/>
                <w:noProof/>
              </w:rPr>
              <w:t>1990</w:t>
            </w:r>
          </w:p>
        </w:tc>
      </w:tr>
      <w:tr w:rsidR="005E2EFD" w:rsidRPr="006D6727" w14:paraId="52784F4B" w14:textId="77777777" w:rsidTr="00FF12D5">
        <w:trPr>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037BAE8A" w14:textId="77777777" w:rsidR="005E2EFD" w:rsidRPr="006D6727" w:rsidRDefault="005E2EFD" w:rsidP="00A02FEA">
            <w:pPr>
              <w:pStyle w:val="ECCTabletext"/>
              <w:spacing w:before="60"/>
              <w:jc w:val="left"/>
              <w:rPr>
                <w:noProof/>
              </w:rPr>
            </w:pPr>
            <w:r w:rsidRPr="006D6727">
              <w:rPr>
                <w:noProof/>
              </w:rPr>
              <w:t>Single-pane glass</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3AE39416" w14:textId="77777777" w:rsidR="005E2EFD" w:rsidRPr="006D6727" w:rsidRDefault="005E2EFD" w:rsidP="00A02FEA">
            <w:pPr>
              <w:pStyle w:val="ECCTabletext"/>
              <w:spacing w:before="60"/>
              <w:jc w:val="left"/>
              <w:rPr>
                <w:noProof/>
              </w:rPr>
            </w:pPr>
            <w:r w:rsidRPr="006D6727">
              <w:rPr>
                <w:noProof/>
              </w:rPr>
              <w:t>30%</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7B4F36C" w14:textId="77777777" w:rsidR="005E2EFD" w:rsidRPr="006D6727" w:rsidRDefault="005E2EFD" w:rsidP="00A02FEA">
            <w:pPr>
              <w:pStyle w:val="ECCTabletext"/>
              <w:spacing w:before="60"/>
              <w:jc w:val="left"/>
              <w:rPr>
                <w:noProof/>
              </w:rPr>
            </w:pPr>
            <w:r w:rsidRPr="006D6727">
              <w:rPr>
                <w:noProof/>
              </w:rPr>
              <w:t>…</w:t>
            </w: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03EB5180" w14:textId="77777777" w:rsidR="005E2EFD" w:rsidRPr="006D6727" w:rsidRDefault="005E2EFD" w:rsidP="00A02FEA">
            <w:pPr>
              <w:pStyle w:val="ECCTabletext"/>
              <w:spacing w:before="60"/>
              <w:jc w:val="left"/>
              <w:rPr>
                <w:noProof/>
              </w:rPr>
            </w:pPr>
            <w:r w:rsidRPr="006D6727">
              <w:rPr>
                <w:noProof/>
              </w:rPr>
              <w:t>0%</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75A2581D" w14:textId="77777777" w:rsidR="005E2EFD" w:rsidRPr="006D6727" w:rsidRDefault="005E2EFD" w:rsidP="00A02FEA">
            <w:pPr>
              <w:pStyle w:val="ECCTabletext"/>
              <w:spacing w:before="60"/>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01B4EB6" w14:textId="77777777" w:rsidR="005E2EFD" w:rsidRPr="006D6727" w:rsidRDefault="005E2EFD" w:rsidP="00A02FEA">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62A797D2" w14:textId="77777777" w:rsidR="005E2EFD" w:rsidRPr="006D6727" w:rsidRDefault="005E2EFD" w:rsidP="00A02FEA">
            <w:pPr>
              <w:pStyle w:val="ECCTabletext"/>
              <w:spacing w:before="60"/>
              <w:rPr>
                <w:noProof/>
              </w:rPr>
            </w:pPr>
          </w:p>
        </w:tc>
      </w:tr>
      <w:tr w:rsidR="005E2EFD" w:rsidRPr="006D6727" w14:paraId="0F0B94E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C86E1AF" w14:textId="77777777" w:rsidR="005E2EFD" w:rsidRPr="006D6727" w:rsidRDefault="005E2EFD" w:rsidP="00A02FEA">
            <w:pPr>
              <w:pStyle w:val="ECCTabletext"/>
              <w:spacing w:before="60"/>
              <w:jc w:val="left"/>
              <w:rPr>
                <w:noProof/>
              </w:rPr>
            </w:pPr>
            <w:r w:rsidRPr="006D6727">
              <w:rPr>
                <w:noProof/>
              </w:rPr>
              <w:t>Double-glazed windows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D8CF6EE" w14:textId="77777777" w:rsidR="005E2EFD" w:rsidRPr="006D6727" w:rsidRDefault="005E2EFD" w:rsidP="00A02FEA">
            <w:pPr>
              <w:pStyle w:val="ECCTabletext"/>
              <w:spacing w:before="60"/>
              <w:jc w:val="left"/>
              <w:rPr>
                <w:noProof/>
              </w:rPr>
            </w:pPr>
            <w:r w:rsidRPr="006D6727">
              <w:rPr>
                <w:noProof/>
              </w:rPr>
              <w:t>70%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E9C1C7" w14:textId="77777777" w:rsidR="005E2EFD" w:rsidRPr="006D6727" w:rsidRDefault="005E2EFD" w:rsidP="00A02FEA">
            <w:pPr>
              <w:pStyle w:val="ECCTabletext"/>
              <w:spacing w:before="60"/>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9BBEDC5" w14:textId="77777777" w:rsidR="005E2EFD" w:rsidRPr="006D6727" w:rsidRDefault="005E2EFD" w:rsidP="00A02FEA">
            <w:pPr>
              <w:pStyle w:val="ECCTabletext"/>
              <w:spacing w:before="60"/>
              <w:jc w:val="left"/>
              <w:rPr>
                <w:noProof/>
              </w:rPr>
            </w:pPr>
            <w:r w:rsidRPr="006D6727">
              <w:rPr>
                <w:noProof/>
              </w:rPr>
              <w:t>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99D8FC8"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CA1D71A"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7C5EC6B" w14:textId="77777777" w:rsidR="005E2EFD" w:rsidRPr="006D6727" w:rsidRDefault="005E2EFD" w:rsidP="00A02FEA">
            <w:pPr>
              <w:pStyle w:val="ECCTabletext"/>
              <w:spacing w:before="60"/>
              <w:rPr>
                <w:noProof/>
              </w:rPr>
            </w:pPr>
          </w:p>
        </w:tc>
      </w:tr>
      <w:tr w:rsidR="005E2EFD" w:rsidRPr="006D6727" w14:paraId="6045F742"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A5BEEBB" w14:textId="77777777" w:rsidR="005E2EFD" w:rsidRPr="006D6727" w:rsidRDefault="005E2EFD" w:rsidP="00A02FEA">
            <w:pPr>
              <w:pStyle w:val="ECCTabletext"/>
              <w:spacing w:before="60"/>
              <w:jc w:val="left"/>
              <w:rPr>
                <w:noProof/>
              </w:rPr>
            </w:pPr>
            <w:r w:rsidRPr="006D6727">
              <w:rPr>
                <w:noProof/>
              </w:rPr>
              <w:t>Insulation glass 4/12/4 (uncoated)</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3E25818"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D5A7A97"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1DE5F1" w14:textId="77777777" w:rsidR="005E2EFD" w:rsidRPr="006D6727" w:rsidRDefault="005E2EFD" w:rsidP="00A02FEA">
            <w:pPr>
              <w:pStyle w:val="ECCTabletext"/>
              <w:spacing w:before="60"/>
              <w:jc w:val="left"/>
              <w:rPr>
                <w:noProof/>
              </w:rPr>
            </w:pPr>
            <w:r w:rsidRPr="006D6727">
              <w:rPr>
                <w:noProof/>
              </w:rPr>
              <w:t>95%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D0B4EC0" w14:textId="77777777" w:rsidR="005E2EFD" w:rsidRPr="006D6727" w:rsidRDefault="005E2EFD" w:rsidP="00A02FEA">
            <w:pPr>
              <w:pStyle w:val="ECCTabletext"/>
              <w:spacing w:before="60"/>
              <w:jc w:val="left"/>
              <w:rPr>
                <w:noProof/>
              </w:rPr>
            </w:pPr>
            <w:r w:rsidRPr="006D6727">
              <w:rPr>
                <w:noProof/>
              </w:rPr>
              <w:t>100%</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5D913DD" w14:textId="77777777" w:rsidR="005E2EFD" w:rsidRPr="006D6727" w:rsidRDefault="005E2EFD" w:rsidP="00A02FEA">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DBBF48" w14:textId="77777777" w:rsidR="005E2EFD" w:rsidRPr="006D6727" w:rsidRDefault="005E2EFD" w:rsidP="00A02FEA">
            <w:pPr>
              <w:pStyle w:val="ECCTabletext"/>
              <w:spacing w:before="60"/>
              <w:jc w:val="left"/>
              <w:rPr>
                <w:noProof/>
              </w:rPr>
            </w:pPr>
            <w:r w:rsidRPr="006D6727">
              <w:rPr>
                <w:noProof/>
              </w:rPr>
              <w:t>90%</w:t>
            </w:r>
          </w:p>
        </w:tc>
      </w:tr>
      <w:tr w:rsidR="005E2EFD" w:rsidRPr="006D6727" w14:paraId="3273744E" w14:textId="77777777" w:rsidTr="00FF12D5">
        <w:trPr>
          <w:trHeight w:val="478"/>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72B9177" w14:textId="77777777" w:rsidR="005E2EFD" w:rsidRPr="006D6727" w:rsidRDefault="005E2EFD" w:rsidP="00A02FEA">
            <w:pPr>
              <w:pStyle w:val="ECCTabletext"/>
              <w:spacing w:before="60"/>
              <w:jc w:val="left"/>
              <w:rPr>
                <w:noProof/>
              </w:rPr>
            </w:pPr>
            <w:r w:rsidRPr="006D6727">
              <w:rPr>
                <w:noProof/>
              </w:rPr>
              <w:t>2-pane insulation glass 1st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D78710C"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095CC12"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DC2D243"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6093AC4"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B2056A8"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2A942C7" w14:textId="77777777" w:rsidR="005E2EFD" w:rsidRPr="006D6727" w:rsidRDefault="005E2EFD" w:rsidP="00A02FEA">
            <w:pPr>
              <w:pStyle w:val="ECCTabletext"/>
              <w:spacing w:before="60"/>
              <w:jc w:val="left"/>
              <w:rPr>
                <w:noProof/>
              </w:rPr>
            </w:pPr>
            <w:r w:rsidRPr="006D6727">
              <w:rPr>
                <w:noProof/>
              </w:rPr>
              <w:t>10%</w:t>
            </w:r>
          </w:p>
        </w:tc>
      </w:tr>
      <w:tr w:rsidR="005E2EFD" w:rsidRPr="006D6727" w14:paraId="7A9AFE4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241AE08" w14:textId="77777777" w:rsidR="005E2EFD" w:rsidRPr="006D6727" w:rsidRDefault="005E2EFD" w:rsidP="00A02FEA">
            <w:pPr>
              <w:pStyle w:val="ECCTabletext"/>
              <w:spacing w:before="60"/>
              <w:jc w:val="left"/>
              <w:rPr>
                <w:noProof/>
              </w:rPr>
            </w:pPr>
            <w:r w:rsidRPr="006D6727">
              <w:rPr>
                <w:noProof/>
              </w:rPr>
              <w:t>2-pane insulation glass 2nd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CBE1D47"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4762BB9"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47826A8"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06FDBB0"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E4BD4EB"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E33F718" w14:textId="77777777" w:rsidR="005E2EFD" w:rsidRPr="006D6727" w:rsidRDefault="005E2EFD" w:rsidP="00A02FEA">
            <w:pPr>
              <w:pStyle w:val="ECCTabletext"/>
              <w:spacing w:before="60"/>
              <w:rPr>
                <w:noProof/>
              </w:rPr>
            </w:pPr>
          </w:p>
        </w:tc>
      </w:tr>
      <w:tr w:rsidR="005E2EFD" w:rsidRPr="006D6727" w14:paraId="0DE4693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719CA3A" w14:textId="77777777" w:rsidR="005E2EFD" w:rsidRPr="006D6727" w:rsidRDefault="005E2EFD" w:rsidP="00A02FEA">
            <w:pPr>
              <w:pStyle w:val="ECCTabletext"/>
              <w:spacing w:before="60"/>
              <w:jc w:val="left"/>
              <w:rPr>
                <w:noProof/>
              </w:rPr>
            </w:pPr>
            <w:r w:rsidRPr="006D6727">
              <w:rPr>
                <w:noProof/>
              </w:rPr>
              <w:t>2-pane insulation glass 3rd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36FE438"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6930752"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18C9980"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9E98CA2"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FC4E11D"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EFD1391" w14:textId="77777777" w:rsidR="005E2EFD" w:rsidRPr="006D6727" w:rsidRDefault="005E2EFD" w:rsidP="00A02FEA">
            <w:pPr>
              <w:pStyle w:val="ECCTabletext"/>
              <w:spacing w:before="60"/>
              <w:rPr>
                <w:noProof/>
              </w:rPr>
            </w:pPr>
          </w:p>
        </w:tc>
      </w:tr>
      <w:tr w:rsidR="005E2EFD" w:rsidRPr="006D6727" w14:paraId="2A9EDBB7"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EA5E82F" w14:textId="77777777" w:rsidR="005E2EFD" w:rsidRPr="006D6727" w:rsidRDefault="005E2EFD" w:rsidP="00A02FEA">
            <w:pPr>
              <w:pStyle w:val="ECCTabletext"/>
              <w:spacing w:before="60"/>
              <w:jc w:val="left"/>
              <w:rPr>
                <w:noProof/>
              </w:rPr>
            </w:pPr>
            <w:r w:rsidRPr="006D6727">
              <w:rPr>
                <w:noProof/>
              </w:rPr>
              <w:t>3-pane insulation glass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DC90E32"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53253B3"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6C1FB6E"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AD7791C" w14:textId="77777777" w:rsidR="005E2EFD" w:rsidRPr="006D6727" w:rsidRDefault="005E2EFD" w:rsidP="00A02FEA">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74E1252" w14:textId="77777777" w:rsidR="005E2EFD" w:rsidRPr="006D6727" w:rsidRDefault="005E2EFD" w:rsidP="00A02FEA">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921A409" w14:textId="77777777" w:rsidR="005E2EFD" w:rsidRPr="006D6727" w:rsidRDefault="005E2EFD" w:rsidP="00A02FEA">
            <w:pPr>
              <w:pStyle w:val="ECCTabletext"/>
              <w:spacing w:before="60"/>
              <w:rPr>
                <w:noProof/>
              </w:rPr>
            </w:pPr>
          </w:p>
        </w:tc>
      </w:tr>
    </w:tbl>
    <w:p w14:paraId="1343BAC3" w14:textId="77777777" w:rsidR="00FF12D5" w:rsidRDefault="00FF12D5" w:rsidP="00D83730">
      <w:pPr>
        <w:pStyle w:val="Caption"/>
        <w:rPr>
          <w:rFonts w:eastAsia="Calibri"/>
        </w:rPr>
      </w:pPr>
    </w:p>
    <w:p w14:paraId="766CC920" w14:textId="77777777" w:rsidR="000A5740" w:rsidRDefault="000A5740" w:rsidP="00D83730">
      <w:pPr>
        <w:pStyle w:val="Caption"/>
        <w:rPr>
          <w:rFonts w:eastAsia="Calibri"/>
        </w:rPr>
      </w:pPr>
    </w:p>
    <w:p w14:paraId="18C5E872" w14:textId="77777777" w:rsidR="000A5740" w:rsidRDefault="000A5740" w:rsidP="00D83730">
      <w:pPr>
        <w:pStyle w:val="Caption"/>
        <w:rPr>
          <w:rFonts w:eastAsia="Calibri"/>
        </w:rPr>
      </w:pPr>
    </w:p>
    <w:p w14:paraId="26C0A86B" w14:textId="77777777" w:rsidR="000A5740" w:rsidRDefault="000A5740" w:rsidP="00D83730">
      <w:pPr>
        <w:pStyle w:val="Caption"/>
        <w:rPr>
          <w:rFonts w:eastAsia="Calibri"/>
        </w:rPr>
      </w:pPr>
    </w:p>
    <w:p w14:paraId="48B844F6" w14:textId="77777777" w:rsidR="000A5740" w:rsidRDefault="000A5740" w:rsidP="00D83730">
      <w:pPr>
        <w:pStyle w:val="Caption"/>
        <w:rPr>
          <w:rFonts w:eastAsia="Calibri"/>
        </w:rPr>
      </w:pPr>
    </w:p>
    <w:p w14:paraId="2D6D1AF1" w14:textId="77777777" w:rsidR="000A5740" w:rsidRDefault="000A5740" w:rsidP="00D83730">
      <w:pPr>
        <w:pStyle w:val="Caption"/>
        <w:rPr>
          <w:rFonts w:eastAsia="Calibri"/>
        </w:rPr>
      </w:pPr>
    </w:p>
    <w:p w14:paraId="2B5FCB48" w14:textId="5ED4D53B" w:rsidR="005E2EFD" w:rsidRPr="00D83730" w:rsidRDefault="004A7A13" w:rsidP="00D83730">
      <w:pPr>
        <w:pStyle w:val="Caption"/>
      </w:pPr>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F49F9">
        <w:rPr>
          <w:rFonts w:eastAsia="Calibri"/>
          <w:noProof/>
        </w:rPr>
        <w:t>133</w:t>
      </w:r>
      <w:r w:rsidRPr="00D83730">
        <w:rPr>
          <w:rFonts w:eastAsia="Calibri"/>
        </w:rPr>
        <w:fldChar w:fldCharType="end"/>
      </w:r>
      <w:r w:rsidR="005E2EFD" w:rsidRPr="00D83730">
        <w:t>: Market Share of Glass Types (1994 to 2003)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851"/>
        <w:gridCol w:w="851"/>
        <w:gridCol w:w="851"/>
        <w:gridCol w:w="850"/>
        <w:gridCol w:w="851"/>
        <w:gridCol w:w="850"/>
      </w:tblGrid>
      <w:tr w:rsidR="005E2EFD" w:rsidRPr="006D6727" w14:paraId="6B7B2449"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5064DCB" w14:textId="77777777" w:rsidR="005E2EFD" w:rsidRPr="006D6727" w:rsidRDefault="005E2EFD" w:rsidP="00A3522D">
            <w:pPr>
              <w:pStyle w:val="ECCTableHeaderwhitefont"/>
              <w:spacing w:before="120" w:after="120"/>
              <w:rPr>
                <w:rStyle w:val="ECCHLbold"/>
                <w:b w:val="0"/>
                <w:noProof/>
                <w:color w:val="D2232A"/>
                <w:lang w:val="da-DK" w:eastAsia="en-US"/>
              </w:rPr>
            </w:pPr>
            <w:r w:rsidRPr="006D6727">
              <w:rPr>
                <w:rStyle w:val="ECCHLbold"/>
                <w:noProof/>
              </w:rPr>
              <w:t>Glass Types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E326E9" w14:textId="77777777" w:rsidR="005E2EFD" w:rsidRPr="006D6727" w:rsidRDefault="005E2EFD" w:rsidP="00A3522D">
            <w:pPr>
              <w:pStyle w:val="ECCTableHeaderwhitefont"/>
              <w:spacing w:before="120" w:after="120"/>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E587B07" w14:textId="77777777" w:rsidR="005E2EFD" w:rsidRPr="006D6727" w:rsidRDefault="005E2EFD" w:rsidP="00A3522D">
            <w:pPr>
              <w:pStyle w:val="ECCTableHeaderwhitefont"/>
              <w:spacing w:before="120" w:after="120"/>
              <w:rPr>
                <w:rStyle w:val="ECCHLbold"/>
                <w:noProof/>
              </w:rPr>
            </w:pPr>
            <w:r w:rsidRPr="006D6727">
              <w:rPr>
                <w:rStyle w:val="ECCHLbold"/>
                <w:noProof/>
              </w:rPr>
              <w:t>1994</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374B933" w14:textId="77777777" w:rsidR="005E2EFD" w:rsidRPr="006D6727" w:rsidRDefault="005E2EFD" w:rsidP="00A3522D">
            <w:pPr>
              <w:pStyle w:val="ECCTableHeaderwhitefont"/>
              <w:spacing w:before="120" w:after="120"/>
              <w:rPr>
                <w:rStyle w:val="ECCHLbold"/>
                <w:noProof/>
              </w:rPr>
            </w:pPr>
            <w:r w:rsidRPr="006D6727">
              <w:rPr>
                <w:rStyle w:val="ECCHLbold"/>
                <w:noProof/>
              </w:rPr>
              <w:t>…</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FF1A488" w14:textId="77777777" w:rsidR="005E2EFD" w:rsidRPr="006D6727" w:rsidRDefault="005E2EFD" w:rsidP="00A3522D">
            <w:pPr>
              <w:pStyle w:val="ECCTableHeaderwhitefont"/>
              <w:spacing w:before="120" w:after="120"/>
              <w:rPr>
                <w:rStyle w:val="ECCHLbold"/>
                <w:noProof/>
              </w:rPr>
            </w:pPr>
            <w:r w:rsidRPr="006D6727">
              <w:rPr>
                <w:rStyle w:val="ECCHLbold"/>
                <w:noProof/>
              </w:rPr>
              <w:t>1999</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441C86E" w14:textId="77777777" w:rsidR="005E2EFD" w:rsidRPr="006D6727" w:rsidRDefault="005E2EFD" w:rsidP="00A3522D">
            <w:pPr>
              <w:pStyle w:val="ECCTableHeaderwhitefont"/>
              <w:spacing w:before="120" w:after="120"/>
              <w:rPr>
                <w:rStyle w:val="ECCHLbold"/>
                <w:noProof/>
              </w:rPr>
            </w:pPr>
            <w:r w:rsidRPr="006D6727">
              <w:rPr>
                <w:rStyle w:val="ECCHLbold"/>
                <w:noProof/>
              </w:rPr>
              <w:t>…</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AB2E153" w14:textId="77777777" w:rsidR="005E2EFD" w:rsidRPr="006D6727" w:rsidRDefault="005E2EFD" w:rsidP="00A3522D">
            <w:pPr>
              <w:pStyle w:val="ECCTableHeaderwhitefont"/>
              <w:spacing w:before="120" w:after="120"/>
              <w:rPr>
                <w:rStyle w:val="ECCHLbold"/>
                <w:noProof/>
              </w:rPr>
            </w:pPr>
            <w:r w:rsidRPr="006D6727">
              <w:rPr>
                <w:rStyle w:val="ECCHLbold"/>
                <w:noProof/>
              </w:rPr>
              <w:t>2003</w:t>
            </w:r>
          </w:p>
        </w:tc>
      </w:tr>
      <w:tr w:rsidR="005E2EFD" w:rsidRPr="006D6727" w14:paraId="7E0237EB" w14:textId="77777777" w:rsidTr="00FF12D5">
        <w:trPr>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6E2BFD60" w14:textId="77777777" w:rsidR="005E2EFD" w:rsidRPr="006D6727" w:rsidRDefault="005E2EFD" w:rsidP="00A3522D">
            <w:pPr>
              <w:pStyle w:val="ECCTabletext"/>
              <w:spacing w:before="60"/>
              <w:jc w:val="left"/>
              <w:rPr>
                <w:noProof/>
              </w:rPr>
            </w:pPr>
            <w:r w:rsidRPr="006D6727">
              <w:rPr>
                <w:noProof/>
              </w:rPr>
              <w:t>Single-pane glass</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28A44BA1" w14:textId="77777777" w:rsidR="005E2EFD" w:rsidRPr="006D6727" w:rsidRDefault="005E2EFD" w:rsidP="00A3522D">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1F62DCA" w14:textId="77777777" w:rsidR="005E2EFD" w:rsidRPr="006D6727" w:rsidRDefault="005E2EFD" w:rsidP="00A3522D">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1C47711B" w14:textId="77777777" w:rsidR="005E2EFD" w:rsidRPr="006D6727" w:rsidRDefault="005E2EFD" w:rsidP="00A3522D">
            <w:pPr>
              <w:pStyle w:val="ECCTabletext"/>
              <w:spacing w:before="60"/>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BCAE0A9" w14:textId="77777777" w:rsidR="005E2EFD" w:rsidRPr="006D6727" w:rsidRDefault="005E2EFD" w:rsidP="00A3522D">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3119BB04" w14:textId="77777777" w:rsidR="005E2EFD" w:rsidRPr="006D6727" w:rsidRDefault="005E2EFD" w:rsidP="00A3522D">
            <w:pPr>
              <w:pStyle w:val="ECCTabletext"/>
              <w:spacing w:before="60"/>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328599A" w14:textId="77777777" w:rsidR="005E2EFD" w:rsidRPr="006D6727" w:rsidRDefault="005E2EFD" w:rsidP="00A3522D">
            <w:pPr>
              <w:pStyle w:val="ECCTabletext"/>
              <w:spacing w:before="60"/>
              <w:rPr>
                <w:noProof/>
              </w:rPr>
            </w:pPr>
          </w:p>
        </w:tc>
      </w:tr>
      <w:tr w:rsidR="005E2EFD" w:rsidRPr="006D6727" w14:paraId="5327F44E"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6281D72" w14:textId="77777777" w:rsidR="005E2EFD" w:rsidRPr="006D6727" w:rsidRDefault="005E2EFD" w:rsidP="00A3522D">
            <w:pPr>
              <w:pStyle w:val="ECCTabletext"/>
              <w:spacing w:before="60"/>
              <w:jc w:val="left"/>
              <w:rPr>
                <w:noProof/>
              </w:rPr>
            </w:pPr>
            <w:r w:rsidRPr="006D6727">
              <w:rPr>
                <w:noProof/>
              </w:rPr>
              <w:t>Double-glazed windows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BFE679F"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9DA03FF"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BD8212F"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D7DCFDC"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E9BDED8"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CC0FFF3" w14:textId="77777777" w:rsidR="005E2EFD" w:rsidRPr="006D6727" w:rsidRDefault="005E2EFD" w:rsidP="00A3522D">
            <w:pPr>
              <w:pStyle w:val="ECCTabletext"/>
              <w:spacing w:before="60"/>
              <w:rPr>
                <w:noProof/>
              </w:rPr>
            </w:pPr>
          </w:p>
        </w:tc>
      </w:tr>
      <w:tr w:rsidR="005E2EFD" w:rsidRPr="006D6727" w14:paraId="20706AB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ED424CF" w14:textId="77777777" w:rsidR="005E2EFD" w:rsidRPr="006D6727" w:rsidRDefault="005E2EFD" w:rsidP="00A3522D">
            <w:pPr>
              <w:pStyle w:val="ECCTabletext"/>
              <w:spacing w:before="60"/>
              <w:jc w:val="left"/>
              <w:rPr>
                <w:noProof/>
              </w:rPr>
            </w:pPr>
            <w:r w:rsidRPr="006D6727">
              <w:rPr>
                <w:noProof/>
              </w:rPr>
              <w:t>Insulation glass 4/12/4 (uncoated)</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B94F62F" w14:textId="77777777" w:rsidR="005E2EFD" w:rsidRPr="006D6727" w:rsidRDefault="005E2EFD" w:rsidP="00A3522D">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CB552DF" w14:textId="77777777" w:rsidR="005E2EFD" w:rsidRPr="006D6727" w:rsidRDefault="005E2EFD" w:rsidP="00A3522D">
            <w:pPr>
              <w:pStyle w:val="ECCTabletext"/>
              <w:spacing w:before="60"/>
              <w:jc w:val="left"/>
              <w:rPr>
                <w:noProof/>
              </w:rPr>
            </w:pPr>
            <w:r w:rsidRPr="006D6727">
              <w:rPr>
                <w:noProof/>
              </w:rPr>
              <w:t>66%</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3392122" w14:textId="77777777" w:rsidR="005E2EFD" w:rsidRPr="006D6727" w:rsidRDefault="005E2EFD" w:rsidP="00A3522D">
            <w:pPr>
              <w:pStyle w:val="ECCTabletext"/>
              <w:spacing w:before="60"/>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1B8F350" w14:textId="77777777" w:rsidR="005E2EFD" w:rsidRPr="006D6727" w:rsidRDefault="005E2EFD" w:rsidP="00A3522D">
            <w:pPr>
              <w:pStyle w:val="ECCTabletext"/>
              <w:spacing w:before="60"/>
              <w:jc w:val="left"/>
              <w:rPr>
                <w:noProof/>
              </w:rPr>
            </w:pPr>
            <w:r w:rsidRPr="006D6727">
              <w:rPr>
                <w:noProof/>
              </w:rPr>
              <w:t>9%</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F5B155C" w14:textId="77777777" w:rsidR="005E2EFD" w:rsidRPr="006D6727" w:rsidRDefault="005E2EFD" w:rsidP="00A3522D">
            <w:pPr>
              <w:pStyle w:val="ECCTabletext"/>
              <w:spacing w:before="60"/>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44F4755" w14:textId="77777777" w:rsidR="005E2EFD" w:rsidRPr="006D6727" w:rsidRDefault="005E2EFD" w:rsidP="00A3522D">
            <w:pPr>
              <w:pStyle w:val="ECCTabletext"/>
              <w:spacing w:before="60"/>
              <w:rPr>
                <w:noProof/>
              </w:rPr>
            </w:pPr>
          </w:p>
        </w:tc>
      </w:tr>
      <w:tr w:rsidR="005E2EFD" w:rsidRPr="006D6727" w14:paraId="255FB554" w14:textId="77777777" w:rsidTr="00FF12D5">
        <w:trPr>
          <w:trHeight w:val="478"/>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3BA9213" w14:textId="77777777" w:rsidR="005E2EFD" w:rsidRPr="006D6727" w:rsidRDefault="005E2EFD" w:rsidP="00A3522D">
            <w:pPr>
              <w:pStyle w:val="ECCTabletext"/>
              <w:spacing w:before="60"/>
              <w:jc w:val="left"/>
              <w:rPr>
                <w:noProof/>
              </w:rPr>
            </w:pPr>
            <w:r w:rsidRPr="006D6727">
              <w:rPr>
                <w:noProof/>
              </w:rPr>
              <w:t>2-pane insulation glass 1st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782A117" w14:textId="77777777" w:rsidR="005E2EFD" w:rsidRPr="006D6727" w:rsidRDefault="005E2EFD" w:rsidP="00A3522D">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96AE66A" w14:textId="77777777" w:rsidR="005E2EFD" w:rsidRPr="006D6727" w:rsidRDefault="005E2EFD" w:rsidP="00A3522D">
            <w:pPr>
              <w:pStyle w:val="ECCTabletext"/>
              <w:spacing w:before="60"/>
              <w:jc w:val="left"/>
              <w:rPr>
                <w:noProof/>
              </w:rPr>
            </w:pPr>
            <w:r w:rsidRPr="006D6727">
              <w:rPr>
                <w:noProof/>
              </w:rPr>
              <w:t>34%</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5166279" w14:textId="77777777" w:rsidR="005E2EFD" w:rsidRPr="006D6727" w:rsidRDefault="005E2EFD" w:rsidP="00A3522D">
            <w:pPr>
              <w:pStyle w:val="ECCTabletext"/>
              <w:spacing w:before="60"/>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6CCA05D" w14:textId="77777777" w:rsidR="005E2EFD" w:rsidRPr="006D6727" w:rsidRDefault="005E2EFD" w:rsidP="00A3522D">
            <w:pPr>
              <w:pStyle w:val="ECCTabletext"/>
              <w:spacing w:before="60"/>
              <w:jc w:val="left"/>
              <w:rPr>
                <w:noProof/>
              </w:rPr>
            </w:pPr>
            <w:r w:rsidRPr="006D6727">
              <w:rPr>
                <w:noProof/>
              </w:rPr>
              <w:t>45%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30D28B" w14:textId="77777777" w:rsidR="005E2EFD" w:rsidRPr="006D6727" w:rsidRDefault="005E2EFD" w:rsidP="00A3522D">
            <w:pPr>
              <w:pStyle w:val="ECCTabletext"/>
              <w:spacing w:before="60"/>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30A18A1" w14:textId="77777777" w:rsidR="005E2EFD" w:rsidRPr="006D6727" w:rsidRDefault="005E2EFD" w:rsidP="00A3522D">
            <w:pPr>
              <w:pStyle w:val="ECCTabletext"/>
              <w:spacing w:before="60"/>
              <w:rPr>
                <w:noProof/>
              </w:rPr>
            </w:pPr>
          </w:p>
        </w:tc>
      </w:tr>
      <w:tr w:rsidR="005E2EFD" w:rsidRPr="006D6727" w14:paraId="2ADB2B77"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3BC0D03" w14:textId="77777777" w:rsidR="005E2EFD" w:rsidRPr="006D6727" w:rsidRDefault="005E2EFD" w:rsidP="00A3522D">
            <w:pPr>
              <w:pStyle w:val="ECCTabletext"/>
              <w:spacing w:before="60"/>
              <w:jc w:val="left"/>
              <w:rPr>
                <w:noProof/>
              </w:rPr>
            </w:pPr>
            <w:r w:rsidRPr="006D6727">
              <w:rPr>
                <w:noProof/>
              </w:rPr>
              <w:t>2-pane insulation glass 2nd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04C2074"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85DF5A"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1D6580A"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6FC3108" w14:textId="77777777" w:rsidR="005E2EFD" w:rsidRPr="006D6727" w:rsidRDefault="005E2EFD" w:rsidP="00A3522D">
            <w:pPr>
              <w:pStyle w:val="ECCTabletext"/>
              <w:spacing w:before="60"/>
              <w:jc w:val="left"/>
              <w:rPr>
                <w:noProof/>
              </w:rPr>
            </w:pPr>
            <w:r w:rsidRPr="006D6727">
              <w:rPr>
                <w:noProof/>
              </w:rPr>
              <w:t>46%</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3F1B8A1" w14:textId="77777777" w:rsidR="005E2EFD" w:rsidRPr="006D6727" w:rsidRDefault="005E2EFD" w:rsidP="00A3522D">
            <w:pPr>
              <w:pStyle w:val="ECCTabletext"/>
              <w:spacing w:before="60"/>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B44D639" w14:textId="77777777" w:rsidR="005E2EFD" w:rsidRPr="006D6727" w:rsidRDefault="005E2EFD" w:rsidP="00A3522D">
            <w:pPr>
              <w:pStyle w:val="ECCTabletext"/>
              <w:spacing w:before="60"/>
              <w:jc w:val="left"/>
              <w:rPr>
                <w:noProof/>
              </w:rPr>
            </w:pPr>
            <w:r w:rsidRPr="006D6727">
              <w:rPr>
                <w:noProof/>
              </w:rPr>
              <w:t>100%</w:t>
            </w:r>
          </w:p>
        </w:tc>
      </w:tr>
      <w:tr w:rsidR="005E2EFD" w:rsidRPr="006D6727" w14:paraId="177510D2"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51F3724" w14:textId="77777777" w:rsidR="005E2EFD" w:rsidRPr="006D6727" w:rsidRDefault="005E2EFD" w:rsidP="00A3522D">
            <w:pPr>
              <w:pStyle w:val="ECCTabletext"/>
              <w:spacing w:before="60"/>
              <w:jc w:val="left"/>
              <w:rPr>
                <w:noProof/>
              </w:rPr>
            </w:pPr>
            <w:r w:rsidRPr="006D6727">
              <w:rPr>
                <w:noProof/>
              </w:rPr>
              <w:t>2-pane insulation glass 3rd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99341CA"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14F9076"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465F3E8"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64ADAA2"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0B23A0B"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0696C85" w14:textId="77777777" w:rsidR="005E2EFD" w:rsidRPr="006D6727" w:rsidRDefault="005E2EFD" w:rsidP="00A3522D">
            <w:pPr>
              <w:pStyle w:val="ECCTabletext"/>
              <w:spacing w:before="60"/>
              <w:rPr>
                <w:noProof/>
              </w:rPr>
            </w:pPr>
          </w:p>
        </w:tc>
      </w:tr>
      <w:tr w:rsidR="005E2EFD" w:rsidRPr="006D6727" w14:paraId="3F808CDF"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1130E5A" w14:textId="77777777" w:rsidR="005E2EFD" w:rsidRPr="006D6727" w:rsidRDefault="005E2EFD" w:rsidP="00A3522D">
            <w:pPr>
              <w:pStyle w:val="ECCTabletext"/>
              <w:spacing w:before="60"/>
              <w:jc w:val="left"/>
              <w:rPr>
                <w:noProof/>
              </w:rPr>
            </w:pPr>
            <w:r w:rsidRPr="006D6727">
              <w:rPr>
                <w:noProof/>
              </w:rPr>
              <w:t>3-pane insulation glass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31A3FCD"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10E82A7"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4B7042E"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C282570"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B311387"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4C6F3B6" w14:textId="77777777" w:rsidR="005E2EFD" w:rsidRPr="006D6727" w:rsidRDefault="005E2EFD" w:rsidP="00A3522D">
            <w:pPr>
              <w:pStyle w:val="ECCTabletext"/>
              <w:spacing w:before="60"/>
              <w:rPr>
                <w:noProof/>
              </w:rPr>
            </w:pPr>
          </w:p>
        </w:tc>
      </w:tr>
    </w:tbl>
    <w:p w14:paraId="41A9153D" w14:textId="362E3F3D" w:rsidR="005E2EFD" w:rsidRPr="00D83730" w:rsidRDefault="004A7A13" w:rsidP="00D83730">
      <w:pPr>
        <w:pStyle w:val="Caption"/>
      </w:pPr>
      <w:bookmarkStart w:id="1016" w:name="_Ref49956702"/>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F49F9">
        <w:rPr>
          <w:rFonts w:eastAsia="Calibri"/>
          <w:noProof/>
        </w:rPr>
        <w:t>134</w:t>
      </w:r>
      <w:r w:rsidRPr="00D83730">
        <w:rPr>
          <w:rFonts w:eastAsia="Calibri"/>
        </w:rPr>
        <w:fldChar w:fldCharType="end"/>
      </w:r>
      <w:bookmarkEnd w:id="1016"/>
      <w:r w:rsidR="005E2EFD" w:rsidRPr="00D83730">
        <w:t>: Market Share of Glass Types (2004 to 2016)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851"/>
        <w:gridCol w:w="851"/>
        <w:gridCol w:w="851"/>
        <w:gridCol w:w="851"/>
        <w:gridCol w:w="850"/>
        <w:gridCol w:w="851"/>
      </w:tblGrid>
      <w:tr w:rsidR="005E2EFD" w:rsidRPr="006D6727" w14:paraId="7EAB3ADC"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A090EA" w14:textId="77777777" w:rsidR="005E2EFD" w:rsidRPr="006D6727" w:rsidRDefault="005E2EFD" w:rsidP="00A3522D">
            <w:pPr>
              <w:pStyle w:val="ECCTableHeaderwhitefont"/>
              <w:spacing w:before="120" w:after="120"/>
              <w:rPr>
                <w:rStyle w:val="ECCHLbold"/>
                <w:b w:val="0"/>
                <w:noProof/>
                <w:color w:val="D2232A"/>
                <w:lang w:val="da-DK" w:eastAsia="en-US"/>
              </w:rPr>
            </w:pPr>
            <w:r w:rsidRPr="006D6727">
              <w:rPr>
                <w:rStyle w:val="ECCHLbold"/>
                <w:noProof/>
              </w:rPr>
              <w:t>Glass Types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0E42CFC" w14:textId="77777777" w:rsidR="005E2EFD" w:rsidRPr="006D6727" w:rsidRDefault="005E2EFD" w:rsidP="00A3522D">
            <w:pPr>
              <w:pStyle w:val="ECCTableHeaderwhitefont"/>
              <w:spacing w:before="120" w:after="120"/>
              <w:rPr>
                <w:rStyle w:val="ECCHLbold"/>
                <w:noProof/>
              </w:rPr>
            </w:pPr>
            <w:r w:rsidRPr="006D6727">
              <w:rPr>
                <w:rStyle w:val="ECCHLbold"/>
                <w:noProof/>
              </w:rPr>
              <w:t>2004</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9EA06F" w14:textId="77777777" w:rsidR="005E2EFD" w:rsidRPr="006D6727" w:rsidRDefault="005E2EFD" w:rsidP="00A3522D">
            <w:pPr>
              <w:pStyle w:val="ECCTableHeaderwhitefont"/>
              <w:spacing w:before="120" w:after="120"/>
              <w:rPr>
                <w:rStyle w:val="ECCHLbold"/>
                <w:noProof/>
              </w:rPr>
            </w:pPr>
            <w:r w:rsidRPr="006D6727">
              <w:rPr>
                <w:rStyle w:val="ECCHLbold"/>
                <w:noProof/>
              </w:rPr>
              <w:t>2005</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C7D707B" w14:textId="77777777" w:rsidR="005E2EFD" w:rsidRPr="006D6727" w:rsidRDefault="005E2EFD" w:rsidP="00A3522D">
            <w:pPr>
              <w:pStyle w:val="ECCTableHeaderwhitefont"/>
              <w:spacing w:before="120" w:after="120"/>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350F454" w14:textId="77777777" w:rsidR="005E2EFD" w:rsidRPr="006D6727" w:rsidRDefault="005E2EFD" w:rsidP="00A3522D">
            <w:pPr>
              <w:pStyle w:val="ECCTableHeaderwhitefont"/>
              <w:spacing w:before="120" w:after="120"/>
              <w:rPr>
                <w:rStyle w:val="ECCHLbold"/>
                <w:noProof/>
              </w:rPr>
            </w:pPr>
            <w:r w:rsidRPr="006D6727">
              <w:rPr>
                <w:rStyle w:val="ECCHLbold"/>
                <w:noProof/>
              </w:rPr>
              <w:t>2008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3BA0598" w14:textId="77777777" w:rsidR="005E2EFD" w:rsidRPr="006D6727" w:rsidRDefault="005E2EFD" w:rsidP="00A3522D">
            <w:pPr>
              <w:pStyle w:val="ECCTableHeaderwhitefont"/>
              <w:spacing w:before="120" w:after="120"/>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2757235" w14:textId="77777777" w:rsidR="005E2EFD" w:rsidRPr="006D6727" w:rsidRDefault="005E2EFD" w:rsidP="00A3522D">
            <w:pPr>
              <w:pStyle w:val="ECCTableHeaderwhitefont"/>
              <w:spacing w:before="120" w:after="120"/>
              <w:rPr>
                <w:rStyle w:val="ECCHLbold"/>
                <w:noProof/>
              </w:rPr>
            </w:pPr>
            <w:r w:rsidRPr="006D6727">
              <w:rPr>
                <w:rStyle w:val="ECCHLbold"/>
                <w:noProof/>
              </w:rPr>
              <w:t>2016</w:t>
            </w:r>
          </w:p>
        </w:tc>
      </w:tr>
      <w:tr w:rsidR="005E2EFD" w:rsidRPr="006D6727" w14:paraId="496F460C" w14:textId="77777777" w:rsidTr="00FF12D5">
        <w:trPr>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09FE0170" w14:textId="77777777" w:rsidR="005E2EFD" w:rsidRPr="006D6727" w:rsidRDefault="005E2EFD" w:rsidP="00A3522D">
            <w:pPr>
              <w:pStyle w:val="ECCTabletext"/>
              <w:spacing w:before="60"/>
              <w:jc w:val="left"/>
              <w:rPr>
                <w:noProof/>
              </w:rPr>
            </w:pPr>
            <w:r w:rsidRPr="006D6727">
              <w:rPr>
                <w:noProof/>
              </w:rPr>
              <w:t>Single-pane glass</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089CE5F" w14:textId="77777777" w:rsidR="005E2EFD" w:rsidRPr="006D6727" w:rsidRDefault="005E2EFD" w:rsidP="00A3522D">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1BF048D" w14:textId="77777777" w:rsidR="005E2EFD" w:rsidRPr="006D6727" w:rsidRDefault="005E2EFD" w:rsidP="00A3522D">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81E80BF" w14:textId="77777777" w:rsidR="005E2EFD" w:rsidRPr="006D6727" w:rsidRDefault="005E2EFD" w:rsidP="00A3522D">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553DEC0A" w14:textId="77777777" w:rsidR="005E2EFD" w:rsidRPr="006D6727" w:rsidRDefault="005E2EFD" w:rsidP="00A3522D">
            <w:pPr>
              <w:pStyle w:val="ECCTabletext"/>
              <w:spacing w:before="60"/>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3950E81" w14:textId="77777777" w:rsidR="005E2EFD" w:rsidRPr="006D6727" w:rsidRDefault="005E2EFD" w:rsidP="00A3522D">
            <w:pPr>
              <w:pStyle w:val="ECCTabletext"/>
              <w:spacing w:before="60"/>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85A40A8" w14:textId="77777777" w:rsidR="005E2EFD" w:rsidRPr="006D6727" w:rsidRDefault="005E2EFD" w:rsidP="00A3522D">
            <w:pPr>
              <w:pStyle w:val="ECCTabletext"/>
              <w:spacing w:before="60"/>
              <w:rPr>
                <w:noProof/>
              </w:rPr>
            </w:pPr>
          </w:p>
        </w:tc>
      </w:tr>
      <w:tr w:rsidR="005E2EFD" w:rsidRPr="006D6727" w14:paraId="195B9EF9"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CDF0C1B" w14:textId="77777777" w:rsidR="005E2EFD" w:rsidRPr="006D6727" w:rsidRDefault="005E2EFD" w:rsidP="00A3522D">
            <w:pPr>
              <w:pStyle w:val="ECCTabletext"/>
              <w:spacing w:before="60"/>
              <w:jc w:val="left"/>
              <w:rPr>
                <w:noProof/>
              </w:rPr>
            </w:pPr>
            <w:r w:rsidRPr="006D6727">
              <w:rPr>
                <w:noProof/>
              </w:rPr>
              <w:t>Double-glazed windows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3E0482B"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E3D63B9"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427A2B3"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F99757C"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D3CE252"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3C3608C" w14:textId="77777777" w:rsidR="005E2EFD" w:rsidRPr="006D6727" w:rsidRDefault="005E2EFD" w:rsidP="00A3522D">
            <w:pPr>
              <w:pStyle w:val="ECCTabletext"/>
              <w:spacing w:before="60"/>
              <w:rPr>
                <w:noProof/>
              </w:rPr>
            </w:pPr>
          </w:p>
        </w:tc>
      </w:tr>
      <w:tr w:rsidR="005E2EFD" w:rsidRPr="006D6727" w14:paraId="5DD9CC6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AEE6E34" w14:textId="77777777" w:rsidR="005E2EFD" w:rsidRPr="006D6727" w:rsidRDefault="005E2EFD" w:rsidP="00A3522D">
            <w:pPr>
              <w:pStyle w:val="ECCTabletext"/>
              <w:spacing w:before="60"/>
              <w:jc w:val="left"/>
              <w:rPr>
                <w:noProof/>
              </w:rPr>
            </w:pPr>
            <w:r w:rsidRPr="006D6727">
              <w:rPr>
                <w:noProof/>
              </w:rPr>
              <w:t>Insulation glass 4/12/4 (uncoated)</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806A020"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139C05F"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F95C0B2"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F0E51BE"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62C136"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E9B10A1" w14:textId="77777777" w:rsidR="005E2EFD" w:rsidRPr="006D6727" w:rsidRDefault="005E2EFD" w:rsidP="00A3522D">
            <w:pPr>
              <w:pStyle w:val="ECCTabletext"/>
              <w:spacing w:before="60"/>
              <w:rPr>
                <w:noProof/>
              </w:rPr>
            </w:pPr>
          </w:p>
        </w:tc>
      </w:tr>
      <w:tr w:rsidR="005E2EFD" w:rsidRPr="006D6727" w14:paraId="40A6B93E" w14:textId="77777777" w:rsidTr="00FF12D5">
        <w:trPr>
          <w:trHeight w:val="478"/>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7844692" w14:textId="77777777" w:rsidR="005E2EFD" w:rsidRPr="006D6727" w:rsidRDefault="005E2EFD" w:rsidP="00A3522D">
            <w:pPr>
              <w:pStyle w:val="ECCTabletext"/>
              <w:spacing w:before="60"/>
              <w:jc w:val="left"/>
              <w:rPr>
                <w:noProof/>
              </w:rPr>
            </w:pPr>
            <w:r w:rsidRPr="006D6727">
              <w:rPr>
                <w:noProof/>
              </w:rPr>
              <w:t>2-pane insulation glass 1st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89401C3"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11494EB"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DA1D79B"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4D94626"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E650EEC"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5FA5BF6" w14:textId="77777777" w:rsidR="005E2EFD" w:rsidRPr="006D6727" w:rsidRDefault="005E2EFD" w:rsidP="00A3522D">
            <w:pPr>
              <w:pStyle w:val="ECCTabletext"/>
              <w:spacing w:before="60"/>
              <w:rPr>
                <w:noProof/>
              </w:rPr>
            </w:pPr>
          </w:p>
        </w:tc>
      </w:tr>
      <w:tr w:rsidR="005E2EFD" w:rsidRPr="006D6727" w14:paraId="2ACFD8B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71D674C" w14:textId="77777777" w:rsidR="005E2EFD" w:rsidRPr="006D6727" w:rsidRDefault="005E2EFD" w:rsidP="00A3522D">
            <w:pPr>
              <w:pStyle w:val="ECCTabletext"/>
              <w:spacing w:before="60"/>
              <w:jc w:val="left"/>
              <w:rPr>
                <w:noProof/>
              </w:rPr>
            </w:pPr>
            <w:r w:rsidRPr="006D6727">
              <w:rPr>
                <w:noProof/>
              </w:rPr>
              <w:t>2-pane insulation glass 2nd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E10BE68" w14:textId="77777777" w:rsidR="005E2EFD" w:rsidRPr="006D6727" w:rsidRDefault="005E2EFD" w:rsidP="00A3522D">
            <w:pPr>
              <w:pStyle w:val="ECCTabletext"/>
              <w:spacing w:before="60"/>
              <w:jc w:val="left"/>
              <w:rPr>
                <w:noProof/>
              </w:rPr>
            </w:pPr>
            <w:r w:rsidRPr="006D6727">
              <w:rPr>
                <w:noProof/>
              </w:rPr>
              <w:t>90%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3654F90" w14:textId="77777777" w:rsidR="005E2EFD" w:rsidRPr="006D6727" w:rsidRDefault="005E2EFD" w:rsidP="00A3522D">
            <w:pPr>
              <w:pStyle w:val="ECCTabletext"/>
              <w:spacing w:before="60"/>
              <w:jc w:val="left"/>
              <w:rPr>
                <w:noProof/>
              </w:rPr>
            </w:pPr>
            <w:r w:rsidRPr="006D6727">
              <w:rPr>
                <w:noProof/>
              </w:rPr>
              <w:t>75%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0A9E821" w14:textId="77777777" w:rsidR="005E2EFD" w:rsidRPr="006D6727" w:rsidRDefault="005E2EFD" w:rsidP="00A3522D">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13B2941" w14:textId="77777777" w:rsidR="005E2EFD" w:rsidRPr="006D6727" w:rsidRDefault="005E2EFD" w:rsidP="00A3522D">
            <w:pPr>
              <w:pStyle w:val="ECCTabletext"/>
              <w:spacing w:before="60"/>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5AA98B4"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CB0EF0E" w14:textId="77777777" w:rsidR="005E2EFD" w:rsidRPr="006D6727" w:rsidRDefault="005E2EFD" w:rsidP="00A3522D">
            <w:pPr>
              <w:pStyle w:val="ECCTabletext"/>
              <w:spacing w:before="60"/>
              <w:rPr>
                <w:noProof/>
              </w:rPr>
            </w:pPr>
          </w:p>
        </w:tc>
      </w:tr>
      <w:tr w:rsidR="005E2EFD" w:rsidRPr="006D6727" w14:paraId="183225D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2BA6676" w14:textId="77777777" w:rsidR="005E2EFD" w:rsidRPr="006D6727" w:rsidRDefault="005E2EFD" w:rsidP="00A3522D">
            <w:pPr>
              <w:pStyle w:val="ECCTabletext"/>
              <w:spacing w:before="60"/>
              <w:jc w:val="left"/>
              <w:rPr>
                <w:noProof/>
              </w:rPr>
            </w:pPr>
            <w:r w:rsidRPr="006D6727">
              <w:rPr>
                <w:noProof/>
              </w:rPr>
              <w:t>2-pane insulation glass 3rd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F97F41" w14:textId="77777777" w:rsidR="005E2EFD" w:rsidRPr="006D6727" w:rsidRDefault="005E2EFD" w:rsidP="00A3522D">
            <w:pPr>
              <w:pStyle w:val="ECCTabletext"/>
              <w:spacing w:before="60"/>
              <w:jc w:val="left"/>
              <w:rPr>
                <w:noProof/>
              </w:rPr>
            </w:pPr>
            <w:r w:rsidRPr="006D6727">
              <w:rPr>
                <w:noProof/>
              </w:rPr>
              <w:t>10%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593B7E8" w14:textId="77777777" w:rsidR="005E2EFD" w:rsidRPr="006D6727" w:rsidRDefault="005E2EFD" w:rsidP="00A3522D">
            <w:pPr>
              <w:pStyle w:val="ECCTabletext"/>
              <w:spacing w:before="60"/>
              <w:jc w:val="left"/>
              <w:rPr>
                <w:noProof/>
              </w:rPr>
            </w:pPr>
            <w:r w:rsidRPr="006D6727">
              <w:rPr>
                <w:noProof/>
              </w:rPr>
              <w:t>20%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F032137" w14:textId="77777777" w:rsidR="005E2EFD" w:rsidRPr="006D6727" w:rsidRDefault="005E2EFD" w:rsidP="00A3522D">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61DFDF7" w14:textId="77777777" w:rsidR="005E2EFD" w:rsidRPr="006D6727" w:rsidRDefault="005E2EFD" w:rsidP="00A3522D">
            <w:pPr>
              <w:pStyle w:val="ECCTabletext"/>
              <w:spacing w:before="60"/>
              <w:jc w:val="left"/>
              <w:rPr>
                <w:noProof/>
              </w:rPr>
            </w:pPr>
            <w:r w:rsidRPr="006D6727">
              <w:rPr>
                <w:noProof/>
              </w:rPr>
              <w:t>85%</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7A4D567" w14:textId="77777777" w:rsidR="005E2EFD" w:rsidRPr="006D6727" w:rsidRDefault="005E2EFD" w:rsidP="00A3522D">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99BC71A" w14:textId="77777777" w:rsidR="005E2EFD" w:rsidRPr="006D6727" w:rsidRDefault="005E2EFD" w:rsidP="00A3522D">
            <w:pPr>
              <w:pStyle w:val="ECCTabletext"/>
              <w:spacing w:before="60"/>
              <w:jc w:val="left"/>
              <w:rPr>
                <w:noProof/>
              </w:rPr>
            </w:pPr>
            <w:r w:rsidRPr="006D6727">
              <w:rPr>
                <w:noProof/>
              </w:rPr>
              <w:t>41%</w:t>
            </w:r>
          </w:p>
        </w:tc>
      </w:tr>
      <w:tr w:rsidR="005E2EFD" w:rsidRPr="006D6727" w14:paraId="4E1C29EF"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6E33499" w14:textId="77777777" w:rsidR="005E2EFD" w:rsidRPr="006D6727" w:rsidRDefault="005E2EFD" w:rsidP="00A3522D">
            <w:pPr>
              <w:pStyle w:val="ECCTabletext"/>
              <w:spacing w:before="60"/>
              <w:jc w:val="left"/>
              <w:rPr>
                <w:noProof/>
              </w:rPr>
            </w:pPr>
            <w:r w:rsidRPr="006D6727">
              <w:rPr>
                <w:noProof/>
              </w:rPr>
              <w:t>3-pane insulation glass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565BCF4" w14:textId="77777777" w:rsidR="005E2EFD" w:rsidRPr="006D6727" w:rsidRDefault="005E2EFD" w:rsidP="00A3522D">
            <w:pPr>
              <w:pStyle w:val="ECCTabletext"/>
              <w:spacing w:before="60"/>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B0EC1A6" w14:textId="77777777" w:rsidR="005E2EFD" w:rsidRPr="006D6727" w:rsidRDefault="005E2EFD" w:rsidP="00A3522D">
            <w:pPr>
              <w:pStyle w:val="ECCTabletext"/>
              <w:spacing w:before="60"/>
              <w:jc w:val="left"/>
              <w:rPr>
                <w:noProof/>
              </w:rPr>
            </w:pPr>
            <w:r w:rsidRPr="006D6727">
              <w:rPr>
                <w:noProof/>
              </w:rPr>
              <w:t>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027AB16" w14:textId="77777777" w:rsidR="005E2EFD" w:rsidRPr="006D6727" w:rsidRDefault="005E2EFD" w:rsidP="00A3522D">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CDB4429" w14:textId="77777777" w:rsidR="005E2EFD" w:rsidRPr="006D6727" w:rsidRDefault="005E2EFD" w:rsidP="00A3522D">
            <w:pPr>
              <w:pStyle w:val="ECCTabletext"/>
              <w:spacing w:before="60"/>
              <w:jc w:val="left"/>
              <w:rPr>
                <w:noProof/>
              </w:rPr>
            </w:pPr>
            <w:r w:rsidRPr="006D6727">
              <w:rPr>
                <w:noProof/>
              </w:rPr>
              <w:t>15%</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2D29237" w14:textId="77777777" w:rsidR="005E2EFD" w:rsidRPr="006D6727" w:rsidRDefault="005E2EFD" w:rsidP="00A3522D">
            <w:pPr>
              <w:pStyle w:val="ECCTabletext"/>
              <w:spacing w:before="60"/>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340201A" w14:textId="77777777" w:rsidR="005E2EFD" w:rsidRPr="006D6727" w:rsidRDefault="005E2EFD" w:rsidP="00A3522D">
            <w:pPr>
              <w:pStyle w:val="ECCTabletext"/>
              <w:spacing w:before="60"/>
              <w:jc w:val="left"/>
              <w:rPr>
                <w:noProof/>
              </w:rPr>
            </w:pPr>
            <w:r w:rsidRPr="006D6727">
              <w:rPr>
                <w:noProof/>
              </w:rPr>
              <w:t>59%</w:t>
            </w:r>
          </w:p>
        </w:tc>
      </w:tr>
    </w:tbl>
    <w:p w14:paraId="2981A147" w14:textId="77777777" w:rsidR="005E2EFD" w:rsidRPr="006D6727" w:rsidRDefault="005E2EFD" w:rsidP="00FA6458">
      <w:pPr>
        <w:pStyle w:val="ECCAnnexheading2"/>
        <w:rPr>
          <w:rStyle w:val="ECCParagraph"/>
          <w:noProof/>
        </w:rPr>
      </w:pPr>
      <w:r w:rsidRPr="006D6727">
        <w:rPr>
          <w:rStyle w:val="ECCParagraph"/>
          <w:noProof/>
        </w:rPr>
        <w:t xml:space="preserve">Treatment of building entry loss in other </w:t>
      </w:r>
      <w:r w:rsidR="000B70EA" w:rsidRPr="006D6727">
        <w:rPr>
          <w:rStyle w:val="ECCParagraph"/>
          <w:noProof/>
        </w:rPr>
        <w:t>ECC Reports</w:t>
      </w:r>
    </w:p>
    <w:p w14:paraId="6D14D70A" w14:textId="6F99929F" w:rsidR="005E2EFD" w:rsidRPr="006D6727" w:rsidRDefault="00B649C2" w:rsidP="00B649C2">
      <w:pPr>
        <w:rPr>
          <w:noProof/>
        </w:rPr>
      </w:pPr>
      <w:r>
        <w:rPr>
          <w:rStyle w:val="ECCHLyellow"/>
        </w:rPr>
        <w:fldChar w:fldCharType="begin"/>
      </w:r>
      <w:r>
        <w:rPr>
          <w:noProof/>
        </w:rPr>
        <w:instrText xml:space="preserve"> REF _Ref49956589 \h </w:instrText>
      </w:r>
      <w:r>
        <w:rPr>
          <w:rStyle w:val="ECCHLyellow"/>
        </w:rPr>
      </w:r>
      <w:r>
        <w:rPr>
          <w:rStyle w:val="ECCHLyellow"/>
        </w:rPr>
        <w:fldChar w:fldCharType="separate"/>
      </w:r>
      <w:r w:rsidR="0041125F" w:rsidRPr="00D83730">
        <w:t>Table </w:t>
      </w:r>
      <w:r w:rsidR="0041125F">
        <w:rPr>
          <w:noProof/>
        </w:rPr>
        <w:t>135</w:t>
      </w:r>
      <w:r>
        <w:rPr>
          <w:rStyle w:val="ECCHLyellow"/>
        </w:rPr>
        <w:fldChar w:fldCharType="end"/>
      </w:r>
      <w:r w:rsidRPr="00B649C2">
        <w:rPr>
          <w:rStyle w:val="ECCParagraph"/>
        </w:rPr>
        <w:t xml:space="preserve"> </w:t>
      </w:r>
      <w:r w:rsidR="005E2EFD" w:rsidRPr="006D6727">
        <w:rPr>
          <w:noProof/>
        </w:rPr>
        <w:t>shows a summary of building entry loss values at different centre frequencies used in other ECC Reports.</w:t>
      </w:r>
    </w:p>
    <w:p w14:paraId="538A87F4" w14:textId="16ADD8E3" w:rsidR="005E2EFD" w:rsidRPr="00D83730" w:rsidRDefault="00B649C2" w:rsidP="00D83730">
      <w:pPr>
        <w:pStyle w:val="Caption"/>
      </w:pPr>
      <w:bookmarkStart w:id="1017" w:name="_Ref49956589"/>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F49F9">
        <w:rPr>
          <w:rFonts w:eastAsia="Calibri"/>
          <w:noProof/>
        </w:rPr>
        <w:t>135</w:t>
      </w:r>
      <w:r w:rsidRPr="00D83730">
        <w:rPr>
          <w:rFonts w:eastAsia="Calibri"/>
        </w:rPr>
        <w:fldChar w:fldCharType="end"/>
      </w:r>
      <w:bookmarkEnd w:id="1017"/>
      <w:r w:rsidR="005E2EFD" w:rsidRPr="00D83730">
        <w:t>: Building entry loss values used in other ECC Reports</w:t>
      </w:r>
    </w:p>
    <w:tbl>
      <w:tblPr>
        <w:tblStyle w:val="ECCTable-redheader"/>
        <w:tblW w:w="0" w:type="auto"/>
        <w:tblInd w:w="0" w:type="dxa"/>
        <w:tblLook w:val="04A0" w:firstRow="1" w:lastRow="0" w:firstColumn="1" w:lastColumn="0" w:noHBand="0" w:noVBand="1"/>
      </w:tblPr>
      <w:tblGrid>
        <w:gridCol w:w="1809"/>
        <w:gridCol w:w="1447"/>
        <w:gridCol w:w="3514"/>
        <w:gridCol w:w="2801"/>
      </w:tblGrid>
      <w:tr w:rsidR="005E2EFD" w:rsidRPr="006D6727" w14:paraId="53CD7011" w14:textId="77777777" w:rsidTr="00876039">
        <w:trPr>
          <w:cnfStyle w:val="100000000000" w:firstRow="1" w:lastRow="0" w:firstColumn="0" w:lastColumn="0" w:oddVBand="0" w:evenVBand="0" w:oddHBand="0" w:evenHBand="0" w:firstRowFirstColumn="0" w:firstRowLastColumn="0" w:lastRowFirstColumn="0" w:lastRowLastColumn="0"/>
        </w:trPr>
        <w:tc>
          <w:tcPr>
            <w:tcW w:w="1809" w:type="dxa"/>
          </w:tcPr>
          <w:p w14:paraId="048E7615" w14:textId="77777777" w:rsidR="005E2EFD" w:rsidRPr="006D6727" w:rsidRDefault="005E2EFD" w:rsidP="00876039">
            <w:pPr>
              <w:pStyle w:val="ECCTableHeaderwhitefont"/>
              <w:rPr>
                <w:rStyle w:val="ECCParagraph"/>
                <w:noProof/>
              </w:rPr>
            </w:pPr>
            <w:r w:rsidRPr="006D6727">
              <w:rPr>
                <w:rStyle w:val="ECCParagraph"/>
                <w:noProof/>
              </w:rPr>
              <w:t>Deliverable</w:t>
            </w:r>
          </w:p>
        </w:tc>
        <w:tc>
          <w:tcPr>
            <w:tcW w:w="1447" w:type="dxa"/>
          </w:tcPr>
          <w:p w14:paraId="6854C052" w14:textId="77777777" w:rsidR="005E2EFD" w:rsidRPr="006D6727" w:rsidRDefault="005E2EFD" w:rsidP="00876039">
            <w:pPr>
              <w:pStyle w:val="ECCTableHeaderwhitefont"/>
              <w:rPr>
                <w:rStyle w:val="ECCParagraph"/>
                <w:noProof/>
              </w:rPr>
            </w:pPr>
            <w:r w:rsidRPr="006D6727">
              <w:rPr>
                <w:rStyle w:val="ECCParagraph"/>
                <w:noProof/>
              </w:rPr>
              <w:t>Centre frequency</w:t>
            </w:r>
          </w:p>
        </w:tc>
        <w:tc>
          <w:tcPr>
            <w:tcW w:w="3514" w:type="dxa"/>
          </w:tcPr>
          <w:p w14:paraId="1662E894" w14:textId="77777777" w:rsidR="005E2EFD" w:rsidRPr="006D6727" w:rsidRDefault="005E2EFD" w:rsidP="00876039">
            <w:pPr>
              <w:pStyle w:val="ECCTableHeaderwhitefont"/>
              <w:rPr>
                <w:rStyle w:val="ECCParagraph"/>
                <w:noProof/>
              </w:rPr>
            </w:pPr>
            <w:r w:rsidRPr="006D6727">
              <w:rPr>
                <w:rStyle w:val="ECCParagraph"/>
                <w:noProof/>
              </w:rPr>
              <w:t>Building entry loss value</w:t>
            </w:r>
          </w:p>
        </w:tc>
        <w:tc>
          <w:tcPr>
            <w:tcW w:w="2801" w:type="dxa"/>
          </w:tcPr>
          <w:p w14:paraId="6B81209F" w14:textId="77777777" w:rsidR="005E2EFD" w:rsidRPr="006D6727" w:rsidRDefault="005E2EFD" w:rsidP="00876039">
            <w:pPr>
              <w:pStyle w:val="ECCTableHeaderwhitefont"/>
              <w:rPr>
                <w:rStyle w:val="ECCParagraph"/>
                <w:noProof/>
              </w:rPr>
            </w:pPr>
            <w:r w:rsidRPr="006D6727">
              <w:rPr>
                <w:rStyle w:val="ECCParagraph"/>
                <w:noProof/>
              </w:rPr>
              <w:t>Notes</w:t>
            </w:r>
          </w:p>
        </w:tc>
      </w:tr>
      <w:tr w:rsidR="005E2EFD" w:rsidRPr="006D6727" w14:paraId="249E463F" w14:textId="77777777" w:rsidTr="00876039">
        <w:tc>
          <w:tcPr>
            <w:tcW w:w="1809" w:type="dxa"/>
          </w:tcPr>
          <w:p w14:paraId="0B512335" w14:textId="125C1AFB" w:rsidR="005E2EFD" w:rsidRPr="006D6727" w:rsidRDefault="005E2EFD" w:rsidP="00876039">
            <w:pPr>
              <w:pStyle w:val="ECCTabletext"/>
              <w:jc w:val="left"/>
              <w:rPr>
                <w:rStyle w:val="ECCParagraph"/>
                <w:noProof/>
              </w:rPr>
            </w:pPr>
            <w:r w:rsidRPr="006D6727">
              <w:rPr>
                <w:rStyle w:val="ECCParagraph"/>
                <w:noProof/>
              </w:rPr>
              <w:t>ECC Report 302</w:t>
            </w:r>
            <w:r w:rsidR="00B868AE">
              <w:rPr>
                <w:rStyle w:val="ECCParagraph"/>
                <w:noProof/>
              </w:rPr>
              <w:t xml:space="preserve"> </w:t>
            </w:r>
            <w:r w:rsidR="00B868AE">
              <w:rPr>
                <w:rStyle w:val="ECCParagraph"/>
                <w:noProof/>
              </w:rPr>
              <w:fldChar w:fldCharType="begin"/>
            </w:r>
            <w:r w:rsidR="00B868AE">
              <w:rPr>
                <w:rStyle w:val="ECCParagraph"/>
                <w:noProof/>
              </w:rPr>
              <w:instrText xml:space="preserve"> REF _Ref126740783 \r \h </w:instrText>
            </w:r>
            <w:r w:rsidR="00B868AE">
              <w:rPr>
                <w:rStyle w:val="ECCParagraph"/>
                <w:noProof/>
              </w:rPr>
            </w:r>
            <w:r w:rsidR="00B868AE">
              <w:rPr>
                <w:rStyle w:val="ECCParagraph"/>
                <w:noProof/>
              </w:rPr>
              <w:fldChar w:fldCharType="separate"/>
            </w:r>
            <w:r w:rsidR="004F49F9">
              <w:rPr>
                <w:rStyle w:val="ECCParagraph"/>
                <w:noProof/>
              </w:rPr>
              <w:t>[70]</w:t>
            </w:r>
            <w:r w:rsidR="00B868AE">
              <w:rPr>
                <w:rStyle w:val="ECCParagraph"/>
                <w:noProof/>
              </w:rPr>
              <w:fldChar w:fldCharType="end"/>
            </w:r>
            <w:r w:rsidR="00B868AE">
              <w:rPr>
                <w:rStyle w:val="ECCParagraph"/>
                <w:noProof/>
              </w:rPr>
              <w:t xml:space="preserve"> </w:t>
            </w:r>
          </w:p>
        </w:tc>
        <w:tc>
          <w:tcPr>
            <w:tcW w:w="1447" w:type="dxa"/>
          </w:tcPr>
          <w:p w14:paraId="42C0525D" w14:textId="77777777" w:rsidR="005E2EFD" w:rsidRPr="006D6727" w:rsidRDefault="005E2EFD" w:rsidP="00876039">
            <w:pPr>
              <w:pStyle w:val="ECCTabletext"/>
              <w:jc w:val="left"/>
              <w:rPr>
                <w:rStyle w:val="ECCParagraph"/>
                <w:noProof/>
              </w:rPr>
            </w:pPr>
            <w:r w:rsidRPr="006D6727">
              <w:rPr>
                <w:rStyle w:val="ECCParagraph"/>
                <w:noProof/>
              </w:rPr>
              <w:t>6</w:t>
            </w:r>
            <w:r w:rsidR="00CF4994">
              <w:rPr>
                <w:rStyle w:val="ECCParagraph"/>
                <w:noProof/>
              </w:rPr>
              <w:t>.1</w:t>
            </w:r>
            <w:r w:rsidRPr="006D6727">
              <w:rPr>
                <w:rStyle w:val="ECCParagraph"/>
                <w:noProof/>
              </w:rPr>
              <w:t>75 GHz</w:t>
            </w:r>
          </w:p>
        </w:tc>
        <w:tc>
          <w:tcPr>
            <w:tcW w:w="3514" w:type="dxa"/>
          </w:tcPr>
          <w:p w14:paraId="672496C5" w14:textId="77777777" w:rsidR="005E2EFD" w:rsidRPr="006D6727" w:rsidRDefault="005E2EFD" w:rsidP="00876039">
            <w:pPr>
              <w:pStyle w:val="ECCTabletext"/>
              <w:jc w:val="left"/>
              <w:rPr>
                <w:rStyle w:val="ECCParagraph"/>
                <w:noProof/>
              </w:rPr>
            </w:pPr>
            <w:r w:rsidRPr="006D6727">
              <w:rPr>
                <w:rStyle w:val="ECCParagraph"/>
                <w:noProof/>
              </w:rPr>
              <w:t>17 dB for traditional building</w:t>
            </w:r>
          </w:p>
          <w:p w14:paraId="01B8ED5F" w14:textId="77777777" w:rsidR="005E2EFD" w:rsidRPr="006D6727" w:rsidRDefault="005E2EFD" w:rsidP="00876039">
            <w:pPr>
              <w:pStyle w:val="ECCTabletext"/>
              <w:jc w:val="left"/>
              <w:rPr>
                <w:rStyle w:val="ECCParagraph"/>
                <w:noProof/>
              </w:rPr>
            </w:pPr>
            <w:r w:rsidRPr="006D6727">
              <w:rPr>
                <w:rStyle w:val="ECCParagraph"/>
                <w:noProof/>
              </w:rPr>
              <w:t>32 dB for thermally efficient building</w:t>
            </w:r>
          </w:p>
        </w:tc>
        <w:tc>
          <w:tcPr>
            <w:tcW w:w="2801" w:type="dxa"/>
          </w:tcPr>
          <w:p w14:paraId="2E76F4E8" w14:textId="45D7E7A9" w:rsidR="005E2EFD" w:rsidRPr="006D6727" w:rsidRDefault="005E2EFD" w:rsidP="00876039">
            <w:pPr>
              <w:pStyle w:val="ECCTabletext"/>
              <w:jc w:val="left"/>
              <w:rPr>
                <w:rStyle w:val="ECCParagraph"/>
                <w:noProof/>
              </w:rPr>
            </w:pPr>
            <w:r w:rsidRPr="006D6727">
              <w:rPr>
                <w:rStyle w:val="ECCParagraph"/>
                <w:noProof/>
              </w:rPr>
              <w:t>Model acc</w:t>
            </w:r>
            <w:r w:rsidR="008162CD">
              <w:t>ording</w:t>
            </w:r>
            <w:r w:rsidRPr="006D6727">
              <w:rPr>
                <w:rStyle w:val="ECCParagraph"/>
                <w:noProof/>
              </w:rPr>
              <w:t xml:space="preserve"> to ITU-R P.2109 </w:t>
            </w:r>
            <w:r w:rsidR="00E57083" w:rsidRPr="006D6727">
              <w:rPr>
                <w:rStyle w:val="ECCParagraph"/>
                <w:noProof/>
              </w:rPr>
              <w:fldChar w:fldCharType="begin"/>
            </w:r>
            <w:r w:rsidR="00E57083" w:rsidRPr="006D6727">
              <w:rPr>
                <w:rStyle w:val="ECCParagraph"/>
                <w:noProof/>
              </w:rPr>
              <w:instrText xml:space="preserve"> REF  ITU_R_P_2109_0 \h \w  \* MERGEFORMAT </w:instrText>
            </w:r>
            <w:r w:rsidR="00E57083" w:rsidRPr="006D6727">
              <w:rPr>
                <w:rStyle w:val="ECCParagraph"/>
                <w:noProof/>
              </w:rPr>
            </w:r>
            <w:r w:rsidR="00E57083" w:rsidRPr="006D6727">
              <w:rPr>
                <w:rStyle w:val="ECCParagraph"/>
                <w:noProof/>
              </w:rPr>
              <w:fldChar w:fldCharType="separate"/>
            </w:r>
            <w:r w:rsidR="004F49F9">
              <w:rPr>
                <w:rStyle w:val="ECCParagraph"/>
                <w:noProof/>
              </w:rPr>
              <w:t>[23]</w:t>
            </w:r>
            <w:r w:rsidR="00E57083" w:rsidRPr="006D6727">
              <w:rPr>
                <w:rStyle w:val="ECCParagraph"/>
                <w:noProof/>
              </w:rPr>
              <w:fldChar w:fldCharType="end"/>
            </w:r>
            <w:r w:rsidR="00E57083">
              <w:rPr>
                <w:rStyle w:val="ECCParagraph"/>
                <w:noProof/>
              </w:rPr>
              <w:t xml:space="preserve"> </w:t>
            </w:r>
            <w:r w:rsidRPr="006D6727">
              <w:rPr>
                <w:rStyle w:val="ECCParagraph"/>
                <w:noProof/>
              </w:rPr>
              <w:t>with 30% thermally efficient and 70% traditional buildings</w:t>
            </w:r>
          </w:p>
        </w:tc>
      </w:tr>
      <w:tr w:rsidR="005E2EFD" w:rsidRPr="006D6727" w14:paraId="4D5A95D7" w14:textId="77777777" w:rsidTr="00876039">
        <w:tc>
          <w:tcPr>
            <w:tcW w:w="1809" w:type="dxa"/>
          </w:tcPr>
          <w:p w14:paraId="66F9A0D2" w14:textId="0FC2E5BC" w:rsidR="005E2EFD" w:rsidRPr="006D6727" w:rsidRDefault="005E2EFD" w:rsidP="00876039">
            <w:pPr>
              <w:pStyle w:val="ECCTabletext"/>
              <w:jc w:val="left"/>
              <w:rPr>
                <w:rStyle w:val="ECCParagraph"/>
                <w:noProof/>
              </w:rPr>
            </w:pPr>
            <w:r w:rsidRPr="006D6727">
              <w:rPr>
                <w:rStyle w:val="ECCParagraph"/>
                <w:noProof/>
              </w:rPr>
              <w:t>ECC Report 190</w:t>
            </w:r>
            <w:r w:rsidR="00B868AE">
              <w:rPr>
                <w:rStyle w:val="ECCParagraph"/>
                <w:noProof/>
              </w:rPr>
              <w:t xml:space="preserve"> </w:t>
            </w:r>
            <w:r w:rsidR="00B868AE">
              <w:rPr>
                <w:rStyle w:val="ECCParagraph"/>
                <w:noProof/>
              </w:rPr>
              <w:fldChar w:fldCharType="begin"/>
            </w:r>
            <w:r w:rsidR="00B868AE">
              <w:rPr>
                <w:rStyle w:val="ECCParagraph"/>
                <w:noProof/>
              </w:rPr>
              <w:instrText xml:space="preserve"> REF _Ref126740813 \r \h </w:instrText>
            </w:r>
            <w:r w:rsidR="00B868AE">
              <w:rPr>
                <w:rStyle w:val="ECCParagraph"/>
                <w:noProof/>
              </w:rPr>
            </w:r>
            <w:r w:rsidR="00B868AE">
              <w:rPr>
                <w:rStyle w:val="ECCParagraph"/>
                <w:noProof/>
              </w:rPr>
              <w:fldChar w:fldCharType="separate"/>
            </w:r>
            <w:r w:rsidR="004F49F9">
              <w:rPr>
                <w:rStyle w:val="ECCParagraph"/>
                <w:noProof/>
              </w:rPr>
              <w:t>[21]</w:t>
            </w:r>
            <w:r w:rsidR="00B868AE">
              <w:rPr>
                <w:rStyle w:val="ECCParagraph"/>
                <w:noProof/>
              </w:rPr>
              <w:fldChar w:fldCharType="end"/>
            </w:r>
          </w:p>
        </w:tc>
        <w:tc>
          <w:tcPr>
            <w:tcW w:w="1447" w:type="dxa"/>
          </w:tcPr>
          <w:p w14:paraId="119B9280" w14:textId="77777777" w:rsidR="005E2EFD" w:rsidRPr="006D6727" w:rsidRDefault="005E2EFD" w:rsidP="00876039">
            <w:pPr>
              <w:pStyle w:val="ECCTabletext"/>
              <w:jc w:val="left"/>
              <w:rPr>
                <w:rStyle w:val="ECCParagraph"/>
                <w:noProof/>
              </w:rPr>
            </w:pPr>
            <w:r w:rsidRPr="006D6727">
              <w:rPr>
                <w:rStyle w:val="ECCParagraph"/>
                <w:noProof/>
              </w:rPr>
              <w:t>122 GHz</w:t>
            </w:r>
          </w:p>
        </w:tc>
        <w:tc>
          <w:tcPr>
            <w:tcW w:w="3514" w:type="dxa"/>
          </w:tcPr>
          <w:p w14:paraId="184FF5CB" w14:textId="77777777" w:rsidR="005E2EFD" w:rsidRPr="006D6727" w:rsidRDefault="005E2EFD" w:rsidP="00876039">
            <w:pPr>
              <w:pStyle w:val="ECCTabletext"/>
              <w:jc w:val="left"/>
              <w:rPr>
                <w:rStyle w:val="ECCParagraph"/>
                <w:noProof/>
              </w:rPr>
            </w:pPr>
            <w:r w:rsidRPr="006D6727">
              <w:rPr>
                <w:rStyle w:val="ECCParagraph"/>
                <w:noProof/>
              </w:rPr>
              <w:t>&gt;60 dB</w:t>
            </w:r>
          </w:p>
        </w:tc>
        <w:tc>
          <w:tcPr>
            <w:tcW w:w="2801" w:type="dxa"/>
          </w:tcPr>
          <w:p w14:paraId="4E95368D" w14:textId="77777777" w:rsidR="005E2EFD" w:rsidRPr="006D6727" w:rsidRDefault="005E2EFD" w:rsidP="00876039">
            <w:pPr>
              <w:pStyle w:val="ECCTabletext"/>
              <w:jc w:val="left"/>
              <w:rPr>
                <w:rStyle w:val="ECCParagraph"/>
                <w:noProof/>
              </w:rPr>
            </w:pPr>
            <w:r w:rsidRPr="006D6727">
              <w:rPr>
                <w:rStyle w:val="ECCParagraph"/>
                <w:noProof/>
              </w:rPr>
              <w:t>between SRDs and EESS</w:t>
            </w:r>
          </w:p>
        </w:tc>
      </w:tr>
      <w:tr w:rsidR="005E2EFD" w:rsidRPr="006D6727" w14:paraId="72590BC8" w14:textId="77777777" w:rsidTr="00876039">
        <w:tc>
          <w:tcPr>
            <w:tcW w:w="1809" w:type="dxa"/>
          </w:tcPr>
          <w:p w14:paraId="2733320C" w14:textId="7682F82A" w:rsidR="005E2EFD" w:rsidRPr="006D6727" w:rsidRDefault="005E2EFD" w:rsidP="00876039">
            <w:pPr>
              <w:pStyle w:val="ECCTabletext"/>
              <w:jc w:val="left"/>
              <w:rPr>
                <w:rStyle w:val="ECCParagraph"/>
                <w:noProof/>
              </w:rPr>
            </w:pPr>
            <w:r w:rsidRPr="006D6727">
              <w:rPr>
                <w:rStyle w:val="ECCParagraph"/>
                <w:noProof/>
              </w:rPr>
              <w:t>ECC Report 064</w:t>
            </w:r>
            <w:r w:rsidR="00B868AE">
              <w:rPr>
                <w:rStyle w:val="ECCParagraph"/>
                <w:noProof/>
              </w:rPr>
              <w:t xml:space="preserve"> </w:t>
            </w:r>
            <w:r w:rsidR="00B868AE">
              <w:rPr>
                <w:rStyle w:val="ECCParagraph"/>
                <w:noProof/>
              </w:rPr>
              <w:fldChar w:fldCharType="begin"/>
            </w:r>
            <w:r w:rsidR="00B868AE">
              <w:rPr>
                <w:rStyle w:val="ECCParagraph"/>
                <w:noProof/>
              </w:rPr>
              <w:instrText xml:space="preserve"> REF _Ref126740821 \r \h </w:instrText>
            </w:r>
            <w:r w:rsidR="00B868AE">
              <w:rPr>
                <w:rStyle w:val="ECCParagraph"/>
                <w:noProof/>
              </w:rPr>
            </w:r>
            <w:r w:rsidR="00B868AE">
              <w:rPr>
                <w:rStyle w:val="ECCParagraph"/>
                <w:noProof/>
              </w:rPr>
              <w:fldChar w:fldCharType="separate"/>
            </w:r>
            <w:r w:rsidR="004F49F9">
              <w:rPr>
                <w:rStyle w:val="ECCParagraph"/>
                <w:noProof/>
              </w:rPr>
              <w:t>[17]</w:t>
            </w:r>
            <w:r w:rsidR="00B868AE">
              <w:rPr>
                <w:rStyle w:val="ECCParagraph"/>
                <w:noProof/>
              </w:rPr>
              <w:fldChar w:fldCharType="end"/>
            </w:r>
          </w:p>
        </w:tc>
        <w:tc>
          <w:tcPr>
            <w:tcW w:w="1447" w:type="dxa"/>
          </w:tcPr>
          <w:p w14:paraId="7213C123" w14:textId="77777777" w:rsidR="005E2EFD" w:rsidRPr="006D6727" w:rsidRDefault="005E2EFD" w:rsidP="00876039">
            <w:pPr>
              <w:pStyle w:val="ECCTabletext"/>
              <w:jc w:val="left"/>
              <w:rPr>
                <w:rStyle w:val="ECCParagraph"/>
                <w:noProof/>
              </w:rPr>
            </w:pPr>
            <w:r w:rsidRPr="006D6727">
              <w:rPr>
                <w:rStyle w:val="ECCParagraph"/>
                <w:noProof/>
              </w:rPr>
              <w:t>10 GHz</w:t>
            </w:r>
          </w:p>
        </w:tc>
        <w:tc>
          <w:tcPr>
            <w:tcW w:w="3514" w:type="dxa"/>
          </w:tcPr>
          <w:p w14:paraId="7AE54031" w14:textId="77777777" w:rsidR="005E2EFD" w:rsidRPr="006D6727" w:rsidRDefault="005E2EFD" w:rsidP="00876039">
            <w:pPr>
              <w:pStyle w:val="ECCTabletext"/>
              <w:jc w:val="left"/>
              <w:rPr>
                <w:rStyle w:val="ECCParagraph"/>
                <w:noProof/>
              </w:rPr>
            </w:pPr>
            <w:r w:rsidRPr="006D6727">
              <w:rPr>
                <w:rStyle w:val="ECCParagraph"/>
                <w:noProof/>
              </w:rPr>
              <w:t>17 dB</w:t>
            </w:r>
          </w:p>
        </w:tc>
        <w:tc>
          <w:tcPr>
            <w:tcW w:w="2801" w:type="dxa"/>
          </w:tcPr>
          <w:p w14:paraId="47DC87F8" w14:textId="77777777" w:rsidR="005E2EFD" w:rsidRPr="006D6727" w:rsidRDefault="005E2EFD" w:rsidP="00876039">
            <w:pPr>
              <w:pStyle w:val="ECCTabletext"/>
              <w:jc w:val="left"/>
              <w:rPr>
                <w:rStyle w:val="ECCParagraph"/>
                <w:noProof/>
              </w:rPr>
            </w:pPr>
            <w:r w:rsidRPr="006D6727">
              <w:rPr>
                <w:rStyle w:val="ECCParagraph"/>
                <w:noProof/>
              </w:rPr>
              <w:t>Building attenuation for space applications</w:t>
            </w:r>
          </w:p>
        </w:tc>
      </w:tr>
    </w:tbl>
    <w:p w14:paraId="5D25FDED" w14:textId="77777777" w:rsidR="005E2EFD" w:rsidRPr="006D6727" w:rsidRDefault="005E2EFD" w:rsidP="00FA6458">
      <w:pPr>
        <w:pStyle w:val="ECCAnnexheading2"/>
        <w:rPr>
          <w:rStyle w:val="ECCParagraph"/>
          <w:noProof/>
        </w:rPr>
      </w:pPr>
      <w:r w:rsidRPr="006D6727">
        <w:rPr>
          <w:rStyle w:val="ECCParagraph"/>
          <w:noProof/>
        </w:rPr>
        <w:t>Conclusion</w:t>
      </w:r>
      <w:r w:rsidR="00634AE2">
        <w:rPr>
          <w:rStyle w:val="ECCParagraph"/>
        </w:rPr>
        <w:t>s</w:t>
      </w:r>
    </w:p>
    <w:p w14:paraId="158B5A1F" w14:textId="77777777" w:rsidR="005E2EFD" w:rsidRPr="006D6727" w:rsidRDefault="005E2EFD" w:rsidP="005E2EFD">
      <w:pPr>
        <w:rPr>
          <w:noProof/>
        </w:rPr>
      </w:pPr>
      <w:r w:rsidRPr="006D6727">
        <w:rPr>
          <w:noProof/>
        </w:rPr>
        <w:t>Three European Directives pursuing the goals of energy efficiency and in particular energy efficient buildings have been identified.</w:t>
      </w:r>
    </w:p>
    <w:p w14:paraId="1E0D15C1" w14:textId="77777777" w:rsidR="005E2EFD" w:rsidRPr="006D6727" w:rsidRDefault="005E2EFD" w:rsidP="005E2EFD">
      <w:pPr>
        <w:rPr>
          <w:noProof/>
        </w:rPr>
      </w:pPr>
      <w:r w:rsidRPr="006D6727">
        <w:rPr>
          <w:noProof/>
        </w:rPr>
        <w:t>A market study of used window technologies in Germany has been analysed.</w:t>
      </w:r>
    </w:p>
    <w:p w14:paraId="77085351" w14:textId="77777777" w:rsidR="005E2EFD" w:rsidRPr="006D6727" w:rsidRDefault="005E2EFD" w:rsidP="005E2EFD">
      <w:pPr>
        <w:rPr>
          <w:noProof/>
        </w:rPr>
      </w:pPr>
      <w:r w:rsidRPr="006D6727">
        <w:rPr>
          <w:noProof/>
        </w:rPr>
        <w:t>As from 1994 the 70%/30% distribution has been fulfilled for newly installed windows.</w:t>
      </w:r>
    </w:p>
    <w:p w14:paraId="15715233" w14:textId="77777777" w:rsidR="005E2EFD" w:rsidRPr="006D6727" w:rsidRDefault="005E2EFD" w:rsidP="005E2EFD">
      <w:pPr>
        <w:rPr>
          <w:noProof/>
        </w:rPr>
      </w:pPr>
      <w:r w:rsidRPr="006D6727">
        <w:rPr>
          <w:noProof/>
        </w:rPr>
        <w:t>From 2003 onwards solely 100% energy efficient window technology has been used for newly installed windows.</w:t>
      </w:r>
    </w:p>
    <w:p w14:paraId="376B2719" w14:textId="52C27CFF" w:rsidR="005E2EFD" w:rsidRPr="006D6727" w:rsidRDefault="005E2EFD" w:rsidP="005E2EFD">
      <w:pPr>
        <w:rPr>
          <w:noProof/>
        </w:rPr>
      </w:pPr>
      <w:r w:rsidRPr="006D6727">
        <w:rPr>
          <w:noProof/>
        </w:rPr>
        <w:t>All European member states have regulations in place reflecting these goals, in particular for refurbishment purposes</w:t>
      </w:r>
      <w:r w:rsidR="00FC4DF7">
        <w:rPr>
          <w:noProof/>
        </w:rPr>
        <w:t xml:space="preserve"> (</w:t>
      </w:r>
      <w:r w:rsidRPr="006D6727">
        <w:rPr>
          <w:noProof/>
        </w:rPr>
        <w:t xml:space="preserve">see </w:t>
      </w:r>
      <w:r w:rsidR="00EC3838">
        <w:rPr>
          <w:rStyle w:val="ECCHLyellow"/>
        </w:rPr>
        <w:fldChar w:fldCharType="begin"/>
      </w:r>
      <w:r w:rsidR="00EC3838">
        <w:rPr>
          <w:noProof/>
        </w:rPr>
        <w:instrText xml:space="preserve"> REF _Ref49955971 \h </w:instrText>
      </w:r>
      <w:r w:rsidR="00EC3838">
        <w:rPr>
          <w:rStyle w:val="ECCHLyellow"/>
        </w:rPr>
      </w:r>
      <w:r w:rsidR="00EC3838">
        <w:rPr>
          <w:rStyle w:val="ECCHLyellow"/>
        </w:rPr>
        <w:fldChar w:fldCharType="separate"/>
      </w:r>
      <w:r w:rsidR="0041125F" w:rsidRPr="00067D12">
        <w:t>Table</w:t>
      </w:r>
      <w:r w:rsidR="0041125F">
        <w:t> </w:t>
      </w:r>
      <w:r w:rsidR="0041125F">
        <w:rPr>
          <w:noProof/>
        </w:rPr>
        <w:t>130</w:t>
      </w:r>
      <w:r w:rsidR="00EC3838">
        <w:rPr>
          <w:rStyle w:val="ECCHLyellow"/>
        </w:rPr>
        <w:fldChar w:fldCharType="end"/>
      </w:r>
      <w:r w:rsidR="00A02FEA">
        <w:rPr>
          <w:noProof/>
        </w:rPr>
        <w:t>).</w:t>
      </w:r>
    </w:p>
    <w:p w14:paraId="24C7C93E" w14:textId="27FA2B9D" w:rsidR="005E2EFD" w:rsidRPr="006D6727" w:rsidRDefault="005C1059" w:rsidP="005E2EFD">
      <w:pPr>
        <w:rPr>
          <w:noProof/>
        </w:rPr>
      </w:pPr>
      <w:r>
        <w:rPr>
          <w:noProof/>
        </w:rPr>
        <w:t>The</w:t>
      </w:r>
      <w:r w:rsidR="005E2EFD" w:rsidRPr="006D6727">
        <w:rPr>
          <w:noProof/>
        </w:rPr>
        <w:t xml:space="preserve"> use of the 70%/30% distribution is therefore well justified as the assumptions behind this rule could be fully confirmed by investigation of a market study conducted by the institutes cited in </w:t>
      </w:r>
      <w:r w:rsidR="00AA2D79">
        <w:rPr>
          <w:rStyle w:val="ECCParagraph"/>
        </w:rPr>
        <w:fldChar w:fldCharType="begin"/>
      </w:r>
      <w:r w:rsidR="00AA2D79">
        <w:rPr>
          <w:rStyle w:val="ECCParagraph"/>
        </w:rPr>
        <w:instrText xml:space="preserve"> REF  Save_Energy_New_Windows \h \w  \* MERGEFORMAT </w:instrText>
      </w:r>
      <w:r w:rsidR="00AA2D79">
        <w:rPr>
          <w:rStyle w:val="ECCParagraph"/>
        </w:rPr>
      </w:r>
      <w:r w:rsidR="00AA2D79">
        <w:rPr>
          <w:rStyle w:val="ECCParagraph"/>
        </w:rPr>
        <w:fldChar w:fldCharType="separate"/>
      </w:r>
      <w:r w:rsidR="004F49F9">
        <w:rPr>
          <w:rStyle w:val="ECCParagraph"/>
        </w:rPr>
        <w:t>[51]</w:t>
      </w:r>
      <w:r w:rsidR="00AA2D79">
        <w:rPr>
          <w:rStyle w:val="ECCParagraph"/>
        </w:rPr>
        <w:fldChar w:fldCharType="end"/>
      </w:r>
      <w:r w:rsidR="00AA2D79">
        <w:rPr>
          <w:rStyle w:val="ECCParagraph"/>
        </w:rPr>
        <w:t>.</w:t>
      </w:r>
    </w:p>
    <w:p w14:paraId="1F801D3A" w14:textId="028BE2B4" w:rsidR="00C323BE" w:rsidRDefault="005E2EFD" w:rsidP="005E2EFD">
      <w:pPr>
        <w:rPr>
          <w:noProof/>
        </w:rPr>
      </w:pPr>
      <w:r w:rsidRPr="006D6727">
        <w:rPr>
          <w:noProof/>
        </w:rPr>
        <w:t xml:space="preserve">As a compromise </w:t>
      </w:r>
      <w:r w:rsidR="00310783">
        <w:rPr>
          <w:noProof/>
        </w:rPr>
        <w:t xml:space="preserve">it has been </w:t>
      </w:r>
      <w:r w:rsidR="003459D4">
        <w:t>used</w:t>
      </w:r>
      <w:r w:rsidRPr="006D6727">
        <w:rPr>
          <w:noProof/>
        </w:rPr>
        <w:t xml:space="preserve"> the 70%/30% distribution BEL value (like also used in ECC Report 302</w:t>
      </w:r>
      <w:r w:rsidR="00BF5F3C">
        <w:rPr>
          <w:noProof/>
        </w:rPr>
        <w:t xml:space="preserve"> </w:t>
      </w:r>
      <w:r w:rsidR="00BF5F3C">
        <w:rPr>
          <w:noProof/>
        </w:rPr>
        <w:fldChar w:fldCharType="begin"/>
      </w:r>
      <w:r w:rsidR="00BF5F3C">
        <w:rPr>
          <w:noProof/>
        </w:rPr>
        <w:instrText xml:space="preserve"> REF _Ref88224248 \r \h </w:instrText>
      </w:r>
      <w:r w:rsidR="00BF5F3C">
        <w:rPr>
          <w:noProof/>
        </w:rPr>
      </w:r>
      <w:r w:rsidR="00BF5F3C">
        <w:rPr>
          <w:noProof/>
        </w:rPr>
        <w:fldChar w:fldCharType="separate"/>
      </w:r>
      <w:r w:rsidR="004F49F9">
        <w:rPr>
          <w:noProof/>
        </w:rPr>
        <w:t>[70]</w:t>
      </w:r>
      <w:r w:rsidR="00BF5F3C">
        <w:rPr>
          <w:noProof/>
        </w:rPr>
        <w:fldChar w:fldCharType="end"/>
      </w:r>
      <w:r w:rsidRPr="006D6727">
        <w:rPr>
          <w:noProof/>
        </w:rPr>
        <w:t xml:space="preserve">) for devices where the orientation and beam direction cannot be controlled. For devices with a clear installation requirement like “main beam not pointing towards windows” </w:t>
      </w:r>
      <w:r w:rsidR="00310783">
        <w:rPr>
          <w:noProof/>
        </w:rPr>
        <w:t xml:space="preserve">it </w:t>
      </w:r>
      <w:r w:rsidR="005C1059">
        <w:rPr>
          <w:noProof/>
        </w:rPr>
        <w:t xml:space="preserve">is </w:t>
      </w:r>
      <w:r w:rsidRPr="006D6727">
        <w:rPr>
          <w:noProof/>
        </w:rPr>
        <w:t>use</w:t>
      </w:r>
      <w:r w:rsidR="005C1059">
        <w:rPr>
          <w:noProof/>
        </w:rPr>
        <w:t>d</w:t>
      </w:r>
      <w:r w:rsidRPr="006D6727">
        <w:rPr>
          <w:noProof/>
        </w:rPr>
        <w:t xml:space="preserve"> the lump sum value of at least 50</w:t>
      </w:r>
      <w:r w:rsidR="004A0680">
        <w:t> </w:t>
      </w:r>
      <w:r w:rsidRPr="006D6727">
        <w:rPr>
          <w:noProof/>
        </w:rPr>
        <w:t xml:space="preserve">dB BEL as a reasonable value that is well backed even for multilayer wooden materials by the material measurements in </w:t>
      </w:r>
      <w:r w:rsidR="003459D4">
        <w:t>this</w:t>
      </w:r>
      <w:r w:rsidRPr="006D6727">
        <w:rPr>
          <w:noProof/>
        </w:rPr>
        <w:t xml:space="preserve"> Report.</w:t>
      </w:r>
    </w:p>
    <w:p w14:paraId="10EDFB69" w14:textId="77777777" w:rsidR="00915943" w:rsidRPr="00A23174" w:rsidRDefault="00915943" w:rsidP="00915943">
      <w:pPr>
        <w:pStyle w:val="ECCAnnexheading1"/>
      </w:pPr>
      <w:bookmarkStart w:id="1018" w:name="_Ref49868408"/>
      <w:bookmarkStart w:id="1019" w:name="_Toc127346424"/>
      <w:r>
        <w:t>Car Glass Material Attenuation Measurements for 120 to 175 </w:t>
      </w:r>
      <w:bookmarkEnd w:id="1018"/>
      <w:r w:rsidR="00753E30">
        <w:t>GHz</w:t>
      </w:r>
      <w:bookmarkEnd w:id="1019"/>
    </w:p>
    <w:p w14:paraId="14D2AD9C" w14:textId="77777777" w:rsidR="00915943" w:rsidRPr="00915943" w:rsidRDefault="00915943" w:rsidP="00FA6458">
      <w:pPr>
        <w:pStyle w:val="ECCAnnexheading2"/>
        <w:rPr>
          <w:rStyle w:val="ECCParagraph"/>
        </w:rPr>
      </w:pPr>
      <w:bookmarkStart w:id="1020" w:name="_Hlk67922647"/>
      <w:r w:rsidRPr="00A23174">
        <w:rPr>
          <w:rStyle w:val="ECCParagraph"/>
        </w:rPr>
        <w:t>I</w:t>
      </w:r>
      <w:r w:rsidRPr="00915943">
        <w:rPr>
          <w:rStyle w:val="ECCParagraph"/>
        </w:rPr>
        <w:t>ntroduction and background</w:t>
      </w:r>
    </w:p>
    <w:p w14:paraId="715AF191" w14:textId="722AB425" w:rsidR="00915943" w:rsidRDefault="00915943" w:rsidP="00915943">
      <w:r>
        <w:t>In this section</w:t>
      </w:r>
      <w:r w:rsidR="00BF5F3C">
        <w:t>,</w:t>
      </w:r>
      <w:r>
        <w:t xml:space="preserve"> measurement results for the attenuation of an example selection of different car glass window types are provided to support the shielding loss that is used in the conducted MCL calculations. The testing of the provided variety of example window types helped to get a better understanding on the possible achievable shielding level of in-vehicle to outside scenarios. Due to the fact that a vehicle body mainly consists of metal the windows are considered the weakest point in terms of RF shielding in the frequency range above 116 GHz. Vehicles are environments that are fully controlled by the manufacturer, so a high shielding level can be guaranteed by designing the vehicle with specific window types.</w:t>
      </w:r>
    </w:p>
    <w:p w14:paraId="48F234D9" w14:textId="77777777" w:rsidR="00915943" w:rsidRPr="00915943" w:rsidRDefault="00915943" w:rsidP="00FA6458">
      <w:pPr>
        <w:pStyle w:val="ECCAnnexheading2"/>
        <w:rPr>
          <w:rStyle w:val="ECCParagraph"/>
        </w:rPr>
      </w:pPr>
      <w:r>
        <w:rPr>
          <w:rStyle w:val="ECCParagraph"/>
        </w:rPr>
        <w:t xml:space="preserve">Measurement </w:t>
      </w:r>
      <w:r w:rsidRPr="00915943">
        <w:rPr>
          <w:rStyle w:val="ECCParagraph"/>
        </w:rPr>
        <w:t>setup</w:t>
      </w:r>
    </w:p>
    <w:p w14:paraId="0EE23556" w14:textId="7F611634" w:rsidR="0012306F" w:rsidRDefault="00915943" w:rsidP="00915943">
      <w:r>
        <w:t>To measure the frequency dependent attenuation of the car glass window materials a simple measurement setup with a custom programmable radar sensor as signal source and a R&amp;S FSEK30 spectrum analyser was used. This setup allows measurements with a dynamic range of around 60 dB. The dynamic range is limited by the sweep time of the spectrum analyser and the missing frequency synchroni</w:t>
      </w:r>
      <w:r w:rsidR="00743314">
        <w:t>s</w:t>
      </w:r>
      <w:r>
        <w:t>ation between the FSEK30 and the radar. For a larger dynamic range without increasing the measurement time too much by selecting very narrow RWB/VBW filter bandwidths a network analyser-based measurement setup might be a better choice, but unfortunately was not available for the measurements. The transmitted power is measured in 1 GHz step width with 56 steps in the frequency range from 120 to 175 GHz to provide smooth measurement curves.</w:t>
      </w:r>
    </w:p>
    <w:p w14:paraId="1724E92E" w14:textId="77777777" w:rsidR="00915943" w:rsidRDefault="00915943" w:rsidP="00915943">
      <w:r>
        <w:t>The attenuation measurements are calibrated to a reference transmission measurement with no object in the beam. All measurements are referenced to this measurement. To show the achieved maximum dynamic range a reference measurement with full shielding (metal plate) is provided.</w:t>
      </w:r>
    </w:p>
    <w:p w14:paraId="7E124161" w14:textId="4EE63C8E" w:rsidR="00605B90" w:rsidRPr="001972CD" w:rsidRDefault="005C5944" w:rsidP="001972CD">
      <w:pPr>
        <w:pStyle w:val="Caption"/>
      </w:pPr>
      <w:bookmarkStart w:id="1021" w:name="_Ref59035214"/>
      <w:r w:rsidRPr="001972CD">
        <w:rPr>
          <w:rFonts w:eastAsia="Calibri"/>
        </w:rPr>
        <w:t>Table</w:t>
      </w:r>
      <w:r w:rsidR="001972CD" w:rsidRPr="001972CD">
        <w:rPr>
          <w:rFonts w:eastAsia="Calibri"/>
        </w:rPr>
        <w:t> </w:t>
      </w:r>
      <w:r w:rsidRPr="001972CD">
        <w:rPr>
          <w:rFonts w:eastAsia="Calibri"/>
        </w:rPr>
        <w:fldChar w:fldCharType="begin"/>
      </w:r>
      <w:r w:rsidRPr="001972CD">
        <w:rPr>
          <w:rFonts w:eastAsia="Calibri"/>
        </w:rPr>
        <w:instrText xml:space="preserve"> SEQ Table \* ARABIC </w:instrText>
      </w:r>
      <w:r w:rsidRPr="001972CD">
        <w:rPr>
          <w:rFonts w:eastAsia="Calibri"/>
        </w:rPr>
        <w:fldChar w:fldCharType="separate"/>
      </w:r>
      <w:r w:rsidR="004F49F9">
        <w:rPr>
          <w:rFonts w:eastAsia="Calibri"/>
          <w:noProof/>
        </w:rPr>
        <w:t>136</w:t>
      </w:r>
      <w:r w:rsidRPr="001972CD">
        <w:rPr>
          <w:rFonts w:eastAsia="Calibri"/>
        </w:rPr>
        <w:fldChar w:fldCharType="end"/>
      </w:r>
      <w:bookmarkEnd w:id="1021"/>
      <w:r w:rsidR="00605B90" w:rsidRPr="001972CD">
        <w:t>: List of the used measurement equipment</w:t>
      </w:r>
    </w:p>
    <w:tbl>
      <w:tblPr>
        <w:tblStyle w:val="ECCTable-redheader"/>
        <w:tblW w:w="9493" w:type="dxa"/>
        <w:tblInd w:w="0" w:type="dxa"/>
        <w:tblLayout w:type="fixed"/>
        <w:tblLook w:val="04A0" w:firstRow="1" w:lastRow="0" w:firstColumn="1" w:lastColumn="0" w:noHBand="0" w:noVBand="1"/>
      </w:tblPr>
      <w:tblGrid>
        <w:gridCol w:w="1555"/>
        <w:gridCol w:w="7938"/>
      </w:tblGrid>
      <w:tr w:rsidR="00605B90" w:rsidRPr="009D629B" w14:paraId="739D38A2" w14:textId="77777777" w:rsidTr="00415D60">
        <w:trPr>
          <w:cnfStyle w:val="100000000000" w:firstRow="1" w:lastRow="0" w:firstColumn="0" w:lastColumn="0" w:oddVBand="0" w:evenVBand="0" w:oddHBand="0" w:evenHBand="0" w:firstRowFirstColumn="0" w:firstRowLastColumn="0" w:lastRowFirstColumn="0" w:lastRowLastColumn="0"/>
          <w:trHeight w:val="135"/>
        </w:trPr>
        <w:tc>
          <w:tcPr>
            <w:tcW w:w="1555" w:type="dxa"/>
            <w:hideMark/>
          </w:tcPr>
          <w:p w14:paraId="1D6324DF" w14:textId="77777777" w:rsidR="00605B90" w:rsidRPr="00605B90" w:rsidRDefault="00605B90" w:rsidP="00605B90">
            <w:r>
              <w:t>Type</w:t>
            </w:r>
          </w:p>
        </w:tc>
        <w:tc>
          <w:tcPr>
            <w:tcW w:w="7938" w:type="dxa"/>
            <w:hideMark/>
          </w:tcPr>
          <w:p w14:paraId="7F8A3196" w14:textId="77777777" w:rsidR="00605B90" w:rsidRPr="00605B90" w:rsidRDefault="00605B90" w:rsidP="00605B90">
            <w:r>
              <w:t>Model</w:t>
            </w:r>
          </w:p>
        </w:tc>
      </w:tr>
      <w:tr w:rsidR="00605B90" w:rsidRPr="009D629B" w14:paraId="0FD8D20D" w14:textId="77777777" w:rsidTr="00415D60">
        <w:trPr>
          <w:trHeight w:val="208"/>
        </w:trPr>
        <w:tc>
          <w:tcPr>
            <w:tcW w:w="1555" w:type="dxa"/>
            <w:hideMark/>
          </w:tcPr>
          <w:p w14:paraId="7192837A" w14:textId="77777777" w:rsidR="00605B90" w:rsidRPr="00605B90" w:rsidRDefault="00605B90" w:rsidP="00BF5F3C">
            <w:r>
              <w:t>Transmitter</w:t>
            </w:r>
          </w:p>
        </w:tc>
        <w:tc>
          <w:tcPr>
            <w:tcW w:w="7938" w:type="dxa"/>
            <w:hideMark/>
          </w:tcPr>
          <w:p w14:paraId="1CCADD6D" w14:textId="77777777" w:rsidR="00605B90" w:rsidRPr="00605B90" w:rsidRDefault="00605B90" w:rsidP="00BF5F3C">
            <w:r w:rsidRPr="00A23174">
              <w:t>Custom USB D-Band FMCW radar configured in programmable frequency CW-mode.</w:t>
            </w:r>
          </w:p>
          <w:p w14:paraId="2D9D6D0D" w14:textId="77777777" w:rsidR="00605B90" w:rsidRPr="00605B90" w:rsidRDefault="00605B90" w:rsidP="00BF5F3C">
            <w:r w:rsidRPr="00A23174">
              <w:t>Connector:</w:t>
            </w:r>
          </w:p>
          <w:p w14:paraId="0B6D4605" w14:textId="77777777" w:rsidR="00605B90" w:rsidRPr="00605B90" w:rsidRDefault="00605B90" w:rsidP="003459D4">
            <w:pPr>
              <w:pStyle w:val="ECCBulletsLv1"/>
              <w:spacing w:after="60"/>
            </w:pPr>
            <w:r w:rsidRPr="00A23174">
              <w:t xml:space="preserve">WM-1651 (WR-06) waveguide compatible to standard UG387 flange. </w:t>
            </w:r>
          </w:p>
          <w:p w14:paraId="7A23ED6D" w14:textId="77777777" w:rsidR="00605B90" w:rsidRPr="00605B90" w:rsidRDefault="00605B90" w:rsidP="00BF5F3C">
            <w:r w:rsidRPr="00A23174">
              <w:t>Frequency range:</w:t>
            </w:r>
          </w:p>
          <w:p w14:paraId="4F5876F7" w14:textId="77777777" w:rsidR="00605B90" w:rsidRPr="00605B90" w:rsidRDefault="00605B90" w:rsidP="003459D4">
            <w:pPr>
              <w:pStyle w:val="ECCBulletsLv1"/>
              <w:spacing w:after="60"/>
            </w:pPr>
            <w:r w:rsidRPr="00A23174">
              <w:t>120-175 GHz</w:t>
            </w:r>
          </w:p>
        </w:tc>
      </w:tr>
      <w:tr w:rsidR="00605B90" w14:paraId="46B6F248" w14:textId="77777777" w:rsidTr="00415D60">
        <w:trPr>
          <w:trHeight w:val="254"/>
        </w:trPr>
        <w:tc>
          <w:tcPr>
            <w:tcW w:w="1555" w:type="dxa"/>
            <w:hideMark/>
          </w:tcPr>
          <w:p w14:paraId="0BFEFAEB" w14:textId="77777777" w:rsidR="00605B90" w:rsidRPr="00605B90" w:rsidRDefault="00605B90" w:rsidP="00BF5F3C">
            <w:r>
              <w:t>Receiver</w:t>
            </w:r>
          </w:p>
        </w:tc>
        <w:tc>
          <w:tcPr>
            <w:tcW w:w="7938" w:type="dxa"/>
            <w:hideMark/>
          </w:tcPr>
          <w:p w14:paraId="4FECB3B4" w14:textId="77777777" w:rsidR="00605B90" w:rsidRPr="00605B90" w:rsidRDefault="00605B90" w:rsidP="00BF5F3C">
            <w:r w:rsidRPr="00A23174">
              <w:t>Rohde &amp; Schwarz FSEK30 with external Radiometer Physics SAM-170 harmonic mixer</w:t>
            </w:r>
          </w:p>
        </w:tc>
      </w:tr>
      <w:tr w:rsidR="00605B90" w:rsidRPr="009D629B" w14:paraId="29FE030E" w14:textId="77777777" w:rsidTr="00415D60">
        <w:trPr>
          <w:trHeight w:val="201"/>
        </w:trPr>
        <w:tc>
          <w:tcPr>
            <w:tcW w:w="1555" w:type="dxa"/>
            <w:hideMark/>
          </w:tcPr>
          <w:p w14:paraId="73799197" w14:textId="77777777" w:rsidR="00605B90" w:rsidRPr="00605B90" w:rsidRDefault="00605B90" w:rsidP="00BF5F3C">
            <w:r>
              <w:t>Antenna</w:t>
            </w:r>
          </w:p>
          <w:p w14:paraId="19D33B1B" w14:textId="77777777" w:rsidR="00605B90" w:rsidRPr="00605B90" w:rsidRDefault="00605B90" w:rsidP="00BF5F3C">
            <w:pPr>
              <w:jc w:val="left"/>
            </w:pPr>
            <w:r>
              <w:t>(T</w:t>
            </w:r>
            <w:r w:rsidR="00631F30">
              <w:t>x</w:t>
            </w:r>
            <w:r>
              <w:t xml:space="preserve"> &amp; R</w:t>
            </w:r>
            <w:r w:rsidR="00631F30">
              <w:t>x</w:t>
            </w:r>
            <w:r>
              <w:t>)</w:t>
            </w:r>
          </w:p>
        </w:tc>
        <w:tc>
          <w:tcPr>
            <w:tcW w:w="7938" w:type="dxa"/>
            <w:hideMark/>
          </w:tcPr>
          <w:p w14:paraId="578F27FD" w14:textId="77777777" w:rsidR="00605B90" w:rsidRPr="00605B90" w:rsidRDefault="00605B90" w:rsidP="00BF5F3C">
            <w:r>
              <w:t xml:space="preserve">MI-WAVE </w:t>
            </w:r>
            <w:r w:rsidRPr="00605B90">
              <w:t>261D-24/387 standard gain horn with 24 dBi gain</w:t>
            </w:r>
          </w:p>
        </w:tc>
      </w:tr>
    </w:tbl>
    <w:p w14:paraId="10C80A61" w14:textId="3130F2F2" w:rsidR="00BF174D" w:rsidRDefault="00BF174D" w:rsidP="005C5944">
      <w:r w:rsidRPr="005C5944">
        <w:rPr>
          <w:rStyle w:val="ECCParagraph"/>
        </w:rPr>
        <w:t xml:space="preserve">In </w:t>
      </w:r>
      <w:r w:rsidR="005C5944" w:rsidRPr="005C5944">
        <w:rPr>
          <w:rStyle w:val="ECCParagraph"/>
        </w:rPr>
        <w:fldChar w:fldCharType="begin"/>
      </w:r>
      <w:r w:rsidR="005C5944" w:rsidRPr="005C5944">
        <w:rPr>
          <w:rStyle w:val="ECCParagraph"/>
        </w:rPr>
        <w:instrText xml:space="preserve"> REF _Ref59035214 \h  \* MERGEFORMAT </w:instrText>
      </w:r>
      <w:r w:rsidR="005C5944" w:rsidRPr="005C5944">
        <w:rPr>
          <w:rStyle w:val="ECCParagraph"/>
        </w:rPr>
      </w:r>
      <w:r w:rsidR="005C5944" w:rsidRPr="005C5944">
        <w:rPr>
          <w:rStyle w:val="ECCParagraph"/>
        </w:rPr>
        <w:fldChar w:fldCharType="separate"/>
      </w:r>
      <w:r w:rsidR="0041125F" w:rsidRPr="0041125F">
        <w:rPr>
          <w:rStyle w:val="ECCParagraph"/>
        </w:rPr>
        <w:t>Table 136</w:t>
      </w:r>
      <w:r w:rsidR="005C5944" w:rsidRPr="005C5944">
        <w:rPr>
          <w:rStyle w:val="ECCParagraph"/>
        </w:rPr>
        <w:fldChar w:fldCharType="end"/>
      </w:r>
      <w:r w:rsidR="00BF5F3C">
        <w:rPr>
          <w:rStyle w:val="ECCParagraph"/>
        </w:rPr>
        <w:t>,</w:t>
      </w:r>
      <w:r w:rsidR="005C5944" w:rsidRPr="005C5944">
        <w:rPr>
          <w:rStyle w:val="ECCParagraph"/>
        </w:rPr>
        <w:t xml:space="preserve"> </w:t>
      </w:r>
      <w:r w:rsidRPr="005C5944">
        <w:rPr>
          <w:rStyle w:val="ECCParagraph"/>
        </w:rPr>
        <w:t>a short overview of the</w:t>
      </w:r>
      <w:r>
        <w:t xml:space="preserve"> used measurement equipment is given, and </w:t>
      </w:r>
      <w:r w:rsidR="005C5944" w:rsidRPr="005C5944">
        <w:rPr>
          <w:rStyle w:val="ECCParagraph"/>
        </w:rPr>
        <w:fldChar w:fldCharType="begin"/>
      </w:r>
      <w:r w:rsidR="005C5944" w:rsidRPr="005C5944">
        <w:rPr>
          <w:rStyle w:val="ECCParagraph"/>
        </w:rPr>
        <w:instrText xml:space="preserve"> REF _Ref59035378 \h </w:instrText>
      </w:r>
      <w:r w:rsidR="005C5944">
        <w:rPr>
          <w:rStyle w:val="ECCParagraph"/>
        </w:rPr>
        <w:instrText xml:space="preserve"> \* MERGEFORMAT </w:instrText>
      </w:r>
      <w:r w:rsidR="005C5944" w:rsidRPr="005C5944">
        <w:rPr>
          <w:rStyle w:val="ECCParagraph"/>
        </w:rPr>
      </w:r>
      <w:r w:rsidR="005C5944" w:rsidRPr="005C5944">
        <w:rPr>
          <w:rStyle w:val="ECCParagraph"/>
        </w:rPr>
        <w:fldChar w:fldCharType="separate"/>
      </w:r>
      <w:r w:rsidR="0041125F" w:rsidRPr="0041125F">
        <w:rPr>
          <w:rStyle w:val="ECCParagraph"/>
        </w:rPr>
        <w:t>Figure 127</w:t>
      </w:r>
      <w:r w:rsidR="005C5944" w:rsidRPr="005C5944">
        <w:rPr>
          <w:rStyle w:val="ECCParagraph"/>
        </w:rPr>
        <w:fldChar w:fldCharType="end"/>
      </w:r>
      <w:r w:rsidR="005C5944" w:rsidRPr="005C5944">
        <w:rPr>
          <w:rStyle w:val="ECCParagraph"/>
        </w:rPr>
        <w:t xml:space="preserve"> </w:t>
      </w:r>
      <w:r w:rsidRPr="005C5944">
        <w:rPr>
          <w:rStyle w:val="ECCParagraph"/>
        </w:rPr>
        <w:t>shows</w:t>
      </w:r>
      <w:r>
        <w:t xml:space="preserve"> a photograph of the measurement setup. A custom Python script is used to control the FSEK via SCPI language and program the radar transmitter device to step to the different frequency points and record the received power.</w:t>
      </w:r>
    </w:p>
    <w:p w14:paraId="6542D9FE" w14:textId="77777777" w:rsidR="00BF174D" w:rsidRDefault="00C116C9" w:rsidP="00C116C9">
      <w:pPr>
        <w:pStyle w:val="Caption"/>
      </w:pPr>
      <w:r w:rsidRPr="000B3DFC">
        <w:rPr>
          <w:noProof/>
          <w:lang w:val="de-DE" w:eastAsia="de-DE"/>
        </w:rPr>
        <w:drawing>
          <wp:inline distT="0" distB="0" distL="0" distR="0" wp14:anchorId="17316789" wp14:editId="5D5DA4E5">
            <wp:extent cx="3434317" cy="3444771"/>
            <wp:effectExtent l="0" t="0" r="0" b="3810"/>
            <wp:docPr id="1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screen">
                      <a:extLst>
                        <a:ext uri="{28A0092B-C50C-407E-A947-70E740481C1C}">
                          <a14:useLocalDpi xmlns:a14="http://schemas.microsoft.com/office/drawing/2010/main"/>
                        </a:ext>
                      </a:extLst>
                    </a:blip>
                    <a:srcRect b="-497"/>
                    <a:stretch/>
                  </pic:blipFill>
                  <pic:spPr bwMode="auto">
                    <a:xfrm>
                      <a:off x="0" y="0"/>
                      <a:ext cx="3460076" cy="3470608"/>
                    </a:xfrm>
                    <a:prstGeom prst="rect">
                      <a:avLst/>
                    </a:prstGeom>
                    <a:ln>
                      <a:noFill/>
                    </a:ln>
                    <a:extLst>
                      <a:ext uri="{53640926-AAD7-44D8-BBD7-CCE9431645EC}">
                        <a14:shadowObscured xmlns:a14="http://schemas.microsoft.com/office/drawing/2010/main"/>
                      </a:ext>
                    </a:extLst>
                  </pic:spPr>
                </pic:pic>
              </a:graphicData>
            </a:graphic>
          </wp:inline>
        </w:drawing>
      </w:r>
    </w:p>
    <w:p w14:paraId="50B1CC4D" w14:textId="233A1944" w:rsidR="00C116C9" w:rsidRPr="000B3DFC" w:rsidRDefault="005C5944" w:rsidP="00C116C9">
      <w:pPr>
        <w:pStyle w:val="Caption"/>
      </w:pPr>
      <w:bookmarkStart w:id="1022" w:name="_Ref59035378"/>
      <w:r w:rsidRPr="005C5944">
        <w:t>Figure</w:t>
      </w:r>
      <w:r w:rsidR="001972CD">
        <w:t> </w:t>
      </w:r>
      <w:r>
        <w:fldChar w:fldCharType="begin"/>
      </w:r>
      <w:r>
        <w:instrText>SEQ Figure \* ARABIC</w:instrText>
      </w:r>
      <w:r>
        <w:fldChar w:fldCharType="separate"/>
      </w:r>
      <w:r w:rsidR="004F49F9">
        <w:rPr>
          <w:noProof/>
        </w:rPr>
        <w:t>127</w:t>
      </w:r>
      <w:r>
        <w:fldChar w:fldCharType="end"/>
      </w:r>
      <w:bookmarkEnd w:id="1022"/>
      <w:r w:rsidR="00C116C9" w:rsidRPr="000B3DFC">
        <w:t>: Photograph of the measurement setup with a 300x300</w:t>
      </w:r>
      <w:r w:rsidR="00C116C9">
        <w:t> </w:t>
      </w:r>
      <w:r w:rsidR="00C116C9" w:rsidRPr="000B3DFC">
        <w:t>mm car glass sample in 90° angle</w:t>
      </w:r>
    </w:p>
    <w:p w14:paraId="4FF77672" w14:textId="77777777" w:rsidR="00C116C9" w:rsidRPr="00C116C9" w:rsidRDefault="00C116C9" w:rsidP="00FA6458">
      <w:pPr>
        <w:pStyle w:val="ECCAnnexheading2"/>
        <w:rPr>
          <w:rStyle w:val="ECCParagraph"/>
        </w:rPr>
      </w:pPr>
      <w:r>
        <w:rPr>
          <w:rStyle w:val="ECCParagraph"/>
        </w:rPr>
        <w:t xml:space="preserve">Material samples and </w:t>
      </w:r>
      <w:r w:rsidRPr="00C116C9">
        <w:rPr>
          <w:rStyle w:val="ECCParagraph"/>
        </w:rPr>
        <w:t>measurements</w:t>
      </w:r>
    </w:p>
    <w:p w14:paraId="6387D066" w14:textId="4A9DC08D" w:rsidR="00C116C9" w:rsidRDefault="00C116C9" w:rsidP="00C116C9">
      <w:r>
        <w:t>To provide a good overview of the shielding capabilities of available standard car glass window material types a variety of example test samples were measured. Windows with embedded heating wires were measured in both polari</w:t>
      </w:r>
      <w:r w:rsidR="00743314">
        <w:t>s</w:t>
      </w:r>
      <w:r>
        <w:t>ations (H/V) and some measurements were also repeated with an angle of 45° instead of 90°.</w:t>
      </w:r>
    </w:p>
    <w:p w14:paraId="6C52C2DA" w14:textId="77777777" w:rsidR="00C116C9" w:rsidRPr="00A3020D" w:rsidRDefault="00C116C9" w:rsidP="00C116C9">
      <w:pPr>
        <w:pStyle w:val="ECCFiguregraphcentered"/>
      </w:pPr>
      <w:r w:rsidRPr="00A3020D">
        <w:drawing>
          <wp:inline distT="0" distB="0" distL="0" distR="0" wp14:anchorId="6C8BD2E2" wp14:editId="4B26254E">
            <wp:extent cx="3433190" cy="2410149"/>
            <wp:effectExtent l="0" t="2858" r="0" b="0"/>
            <wp:docPr id="1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screen">
                      <a:extLst>
                        <a:ext uri="{28A0092B-C50C-407E-A947-70E740481C1C}">
                          <a14:useLocalDpi xmlns:a14="http://schemas.microsoft.com/office/drawing/2010/main"/>
                        </a:ext>
                      </a:extLst>
                    </a:blip>
                    <a:srcRect/>
                    <a:stretch/>
                  </pic:blipFill>
                  <pic:spPr bwMode="auto">
                    <a:xfrm rot="5400000">
                      <a:off x="0" y="0"/>
                      <a:ext cx="3440920" cy="2415576"/>
                    </a:xfrm>
                    <a:prstGeom prst="rect">
                      <a:avLst/>
                    </a:prstGeom>
                    <a:ln>
                      <a:noFill/>
                    </a:ln>
                    <a:extLst>
                      <a:ext uri="{53640926-AAD7-44D8-BBD7-CCE9431645EC}">
                        <a14:shadowObscured xmlns:a14="http://schemas.microsoft.com/office/drawing/2010/main"/>
                      </a:ext>
                    </a:extLst>
                  </pic:spPr>
                </pic:pic>
              </a:graphicData>
            </a:graphic>
          </wp:inline>
        </w:drawing>
      </w:r>
    </w:p>
    <w:p w14:paraId="3E0A1151" w14:textId="23EB6904" w:rsidR="00C116C9" w:rsidRDefault="005C5944" w:rsidP="00C116C9">
      <w:pPr>
        <w:pStyle w:val="Caption"/>
      </w:pPr>
      <w:bookmarkStart w:id="1023" w:name="_Ref59035418"/>
      <w:r w:rsidRPr="005C5944">
        <w:t>Figure</w:t>
      </w:r>
      <w:r w:rsidR="0017737C">
        <w:t> </w:t>
      </w:r>
      <w:r>
        <w:fldChar w:fldCharType="begin"/>
      </w:r>
      <w:r>
        <w:instrText>SEQ Figure \* ARABIC</w:instrText>
      </w:r>
      <w:r>
        <w:fldChar w:fldCharType="separate"/>
      </w:r>
      <w:r w:rsidR="004F49F9">
        <w:rPr>
          <w:noProof/>
        </w:rPr>
        <w:t>128</w:t>
      </w:r>
      <w:r>
        <w:fldChar w:fldCharType="end"/>
      </w:r>
      <w:bookmarkEnd w:id="1023"/>
      <w:r w:rsidR="00C116C9" w:rsidRPr="00A3020D">
        <w:t>: Photograph of the measurement position for car glass samples with camera mounting points and sun shielding</w:t>
      </w:r>
    </w:p>
    <w:p w14:paraId="23472E76" w14:textId="222C3FA0" w:rsidR="00C116C9" w:rsidRPr="005C5944" w:rsidRDefault="00C116C9" w:rsidP="00C116C9">
      <w:pPr>
        <w:rPr>
          <w:rStyle w:val="ECCParagraph"/>
        </w:rPr>
      </w:pPr>
      <w:r w:rsidRPr="005C5944">
        <w:rPr>
          <w:rStyle w:val="ECCParagraph"/>
        </w:rPr>
        <w:t xml:space="preserve">Unfortunately, some window samples are equipped with mounting structures for camera assistant systems like shown in </w:t>
      </w:r>
      <w:r w:rsidR="005C5944" w:rsidRPr="005C5944">
        <w:rPr>
          <w:rStyle w:val="ECCParagraph"/>
        </w:rPr>
        <w:fldChar w:fldCharType="begin"/>
      </w:r>
      <w:r w:rsidR="005C5944" w:rsidRPr="005C5944">
        <w:rPr>
          <w:rStyle w:val="ECCParagraph"/>
        </w:rPr>
        <w:instrText xml:space="preserve"> REF _Ref59035418 \h </w:instrText>
      </w:r>
      <w:r w:rsidR="005C5944">
        <w:rPr>
          <w:rStyle w:val="ECCParagraph"/>
        </w:rPr>
        <w:instrText xml:space="preserve"> \* MERGEFORMAT </w:instrText>
      </w:r>
      <w:r w:rsidR="005C5944" w:rsidRPr="005C5944">
        <w:rPr>
          <w:rStyle w:val="ECCParagraph"/>
        </w:rPr>
      </w:r>
      <w:r w:rsidR="005C5944" w:rsidRPr="005C5944">
        <w:rPr>
          <w:rStyle w:val="ECCParagraph"/>
        </w:rPr>
        <w:fldChar w:fldCharType="separate"/>
      </w:r>
      <w:r w:rsidR="0041125F" w:rsidRPr="0041125F">
        <w:rPr>
          <w:rStyle w:val="ECCParagraph"/>
        </w:rPr>
        <w:t>Figure 128</w:t>
      </w:r>
      <w:r w:rsidR="005C5944" w:rsidRPr="005C5944">
        <w:rPr>
          <w:rStyle w:val="ECCParagraph"/>
        </w:rPr>
        <w:fldChar w:fldCharType="end"/>
      </w:r>
      <w:r w:rsidRPr="005C5944">
        <w:rPr>
          <w:rStyle w:val="ECCParagraph"/>
        </w:rPr>
        <w:t>. Those DUTs were measured at a point where the signal attenuation is assumed to be caused mainly by the window glass. This might influence the measurement accuracy. But the effect is assumed to be insignificant, because the results show that the measurements are still well in line with other window types of the same category.</w:t>
      </w:r>
    </w:p>
    <w:p w14:paraId="7CCE3D21" w14:textId="202CDAD5" w:rsidR="00C116C9" w:rsidRPr="005C5944" w:rsidRDefault="005C5944" w:rsidP="00C116C9">
      <w:pPr>
        <w:rPr>
          <w:rStyle w:val="ECCParagraph"/>
        </w:rPr>
      </w:pPr>
      <w:r w:rsidRPr="005C5944">
        <w:rPr>
          <w:rStyle w:val="ECCParagraph"/>
        </w:rPr>
        <w:fldChar w:fldCharType="begin"/>
      </w:r>
      <w:r w:rsidRPr="005C5944">
        <w:rPr>
          <w:rStyle w:val="ECCParagraph"/>
        </w:rPr>
        <w:instrText xml:space="preserve"> REF _Ref59035444 \h  \* MERGEFORMAT </w:instrText>
      </w:r>
      <w:r w:rsidRPr="005C5944">
        <w:rPr>
          <w:rStyle w:val="ECCParagraph"/>
        </w:rPr>
      </w:r>
      <w:r w:rsidRPr="005C5944">
        <w:rPr>
          <w:rStyle w:val="ECCParagraph"/>
        </w:rPr>
        <w:fldChar w:fldCharType="separate"/>
      </w:r>
      <w:r w:rsidR="0041125F" w:rsidRPr="0041125F">
        <w:rPr>
          <w:rStyle w:val="ECCParagraph"/>
        </w:rPr>
        <w:t>Figure 129</w:t>
      </w:r>
      <w:r w:rsidRPr="005C5944">
        <w:rPr>
          <w:rStyle w:val="ECCParagraph"/>
        </w:rPr>
        <w:fldChar w:fldCharType="end"/>
      </w:r>
      <w:r w:rsidRPr="005C5944">
        <w:rPr>
          <w:rStyle w:val="ECCParagraph"/>
        </w:rPr>
        <w:t xml:space="preserve"> </w:t>
      </w:r>
      <w:r w:rsidR="00C116C9" w:rsidRPr="005C5944">
        <w:rPr>
          <w:rStyle w:val="ECCParagraph"/>
        </w:rPr>
        <w:t>shows the measurement results. The red dashed line indicates the dynamic range limit of the measurement setup. Except one outlier in the blue “JLR560 IRR HUD1” curve at 122 GHz which may result from a malfunction of the peak detect mode (spectrum analy</w:t>
      </w:r>
      <w:r w:rsidR="0017737C">
        <w:rPr>
          <w:rStyle w:val="ECCParagraph"/>
        </w:rPr>
        <w:t>s</w:t>
      </w:r>
      <w:r w:rsidR="00C116C9" w:rsidRPr="005C5944">
        <w:rPr>
          <w:rStyle w:val="ECCParagraph"/>
        </w:rPr>
        <w:t>er detected the noise floor instead of the signal peak) all acquired measurement data seems plausible.</w:t>
      </w:r>
    </w:p>
    <w:p w14:paraId="0F0C1A25" w14:textId="77777777" w:rsidR="00C116C9" w:rsidRPr="00A3020D" w:rsidRDefault="00C116C9" w:rsidP="00C116C9">
      <w:pPr>
        <w:pStyle w:val="Caption"/>
      </w:pPr>
      <w:r w:rsidRPr="00A3020D">
        <w:rPr>
          <w:noProof/>
          <w:lang w:val="de-DE" w:eastAsia="de-DE"/>
        </w:rPr>
        <w:drawing>
          <wp:inline distT="0" distB="0" distL="0" distR="0" wp14:anchorId="11720F42" wp14:editId="5FC01C5C">
            <wp:extent cx="5784111" cy="3959837"/>
            <wp:effectExtent l="0" t="0" r="7620" b="3175"/>
            <wp:docPr id="1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screen">
                      <a:extLst>
                        <a:ext uri="{28A0092B-C50C-407E-A947-70E740481C1C}">
                          <a14:useLocalDpi xmlns:a14="http://schemas.microsoft.com/office/drawing/2010/main"/>
                        </a:ext>
                      </a:extLst>
                    </a:blip>
                    <a:srcRect/>
                    <a:stretch/>
                  </pic:blipFill>
                  <pic:spPr bwMode="auto">
                    <a:xfrm>
                      <a:off x="0" y="0"/>
                      <a:ext cx="5789982" cy="3963857"/>
                    </a:xfrm>
                    <a:prstGeom prst="rect">
                      <a:avLst/>
                    </a:prstGeom>
                    <a:ln>
                      <a:noFill/>
                    </a:ln>
                    <a:extLst>
                      <a:ext uri="{53640926-AAD7-44D8-BBD7-CCE9431645EC}">
                        <a14:shadowObscured xmlns:a14="http://schemas.microsoft.com/office/drawing/2010/main"/>
                      </a:ext>
                    </a:extLst>
                  </pic:spPr>
                </pic:pic>
              </a:graphicData>
            </a:graphic>
          </wp:inline>
        </w:drawing>
      </w:r>
    </w:p>
    <w:p w14:paraId="5E53BA5B" w14:textId="3CAA1DA5" w:rsidR="00C116C9" w:rsidRPr="00A3020D" w:rsidRDefault="005C5944" w:rsidP="00C116C9">
      <w:pPr>
        <w:pStyle w:val="Caption"/>
      </w:pPr>
      <w:bookmarkStart w:id="1024" w:name="_Ref59035444"/>
      <w:r w:rsidRPr="005C5944">
        <w:t>Figure</w:t>
      </w:r>
      <w:r w:rsidR="0017737C">
        <w:t> </w:t>
      </w:r>
      <w:r>
        <w:fldChar w:fldCharType="begin"/>
      </w:r>
      <w:r>
        <w:instrText>SEQ Figure \* ARABIC</w:instrText>
      </w:r>
      <w:r>
        <w:fldChar w:fldCharType="separate"/>
      </w:r>
      <w:r w:rsidR="004F49F9">
        <w:rPr>
          <w:noProof/>
        </w:rPr>
        <w:t>129</w:t>
      </w:r>
      <w:r>
        <w:fldChar w:fldCharType="end"/>
      </w:r>
      <w:bookmarkEnd w:id="1024"/>
      <w:r w:rsidR="00C116C9" w:rsidRPr="00A3020D">
        <w:t xml:space="preserve">: Attenuation measurement results of typical </w:t>
      </w:r>
      <w:r w:rsidR="00C116C9">
        <w:t>car glass</w:t>
      </w:r>
      <w:r w:rsidR="00C116C9" w:rsidRPr="00A3020D">
        <w:t xml:space="preserve"> materials</w:t>
      </w:r>
    </w:p>
    <w:p w14:paraId="4D2128BF" w14:textId="77777777" w:rsidR="000B32EE" w:rsidRPr="000B32EE" w:rsidRDefault="000B32EE" w:rsidP="003D4825">
      <w:pPr>
        <w:pStyle w:val="ECCAnnexheading2"/>
        <w:rPr>
          <w:rStyle w:val="ECCParagraph"/>
        </w:rPr>
      </w:pPr>
      <w:r>
        <w:rPr>
          <w:rStyle w:val="ECCParagraph"/>
        </w:rPr>
        <w:t>Conclusions</w:t>
      </w:r>
    </w:p>
    <w:p w14:paraId="0C25129D" w14:textId="77777777" w:rsidR="000B32EE" w:rsidRDefault="000B32EE" w:rsidP="000B32EE">
      <w:r>
        <w:t>There are mainly two different groups of material types that can be identified:</w:t>
      </w:r>
    </w:p>
    <w:p w14:paraId="0547C1BE" w14:textId="77777777" w:rsidR="000B32EE" w:rsidRPr="000B32EE" w:rsidRDefault="000B32EE" w:rsidP="000B395B">
      <w:pPr>
        <w:pStyle w:val="ECCNumberedList"/>
        <w:numPr>
          <w:ilvl w:val="0"/>
          <w:numId w:val="8"/>
        </w:numPr>
      </w:pPr>
      <w:r>
        <w:t>“Standard” glass types with at least around 5 dB to up to 19 dB attenuation</w:t>
      </w:r>
      <w:r w:rsidRPr="000B32EE">
        <w:t xml:space="preserve"> in the measured frequency range. The difference here between the samples seems to be caused mainly by different thicknesses and foils between the window layers.</w:t>
      </w:r>
    </w:p>
    <w:p w14:paraId="2CE04C0C" w14:textId="77777777" w:rsidR="00BD7B7D" w:rsidRDefault="000B32EE" w:rsidP="005C5944">
      <w:pPr>
        <w:pStyle w:val="ECCNumberedList"/>
      </w:pPr>
      <w:r>
        <w:t xml:space="preserve">“Metallized” glass types that provide </w:t>
      </w:r>
      <w:r w:rsidRPr="000B32EE">
        <w:t>a much higher shielding starting at around 20</w:t>
      </w:r>
      <w:r>
        <w:t> </w:t>
      </w:r>
      <w:r w:rsidRPr="000B32EE">
        <w:t>dB. “IRR” abbreviation in the sample name may stand for “infrared rejection” and “clima” also indicated a special metal coating similar to energy efficient glass</w:t>
      </w:r>
      <w:r w:rsidR="004F3B30">
        <w:t xml:space="preserve"> for building windows</w:t>
      </w:r>
      <w:r w:rsidRPr="000B32EE">
        <w:t xml:space="preserve">. </w:t>
      </w:r>
      <w:r w:rsidR="004F3B30">
        <w:t>It is i</w:t>
      </w:r>
      <w:r w:rsidRPr="000B32EE">
        <w:t>nteresting that for some coatings the losses seem to be lower at higher frequencies.</w:t>
      </w:r>
    </w:p>
    <w:p w14:paraId="33D240C7" w14:textId="77777777" w:rsidR="00605764" w:rsidRDefault="00605764" w:rsidP="00605764">
      <w:pPr>
        <w:pStyle w:val="ECCAnnexheading1"/>
      </w:pPr>
      <w:bookmarkStart w:id="1025" w:name="_Ref67663388"/>
      <w:bookmarkStart w:id="1026" w:name="_Toc127346425"/>
      <w:bookmarkEnd w:id="1020"/>
      <w:r w:rsidRPr="00CA3A62">
        <w:t>Derivation of Apportionment Factors for EESS (Passive)</w:t>
      </w:r>
      <w:bookmarkEnd w:id="1025"/>
      <w:bookmarkEnd w:id="1026"/>
    </w:p>
    <w:p w14:paraId="240BD2A9" w14:textId="77777777" w:rsidR="006165A1" w:rsidRPr="006165A1" w:rsidRDefault="006165A1" w:rsidP="006165A1">
      <w:pPr>
        <w:pStyle w:val="ECCAnnexheading2"/>
      </w:pPr>
      <w:r w:rsidRPr="006165A1">
        <w:t>Introduction</w:t>
      </w:r>
    </w:p>
    <w:p w14:paraId="749D51FE" w14:textId="2002EBBD" w:rsidR="006165A1" w:rsidRPr="00604324" w:rsidRDefault="00F05468" w:rsidP="006165A1">
      <w:pPr>
        <w:rPr>
          <w:rStyle w:val="ECCParagraph"/>
        </w:rPr>
      </w:pPr>
      <w:r>
        <w:rPr>
          <w:rStyle w:val="ECCParagraph"/>
        </w:rPr>
        <w:t>The</w:t>
      </w:r>
      <w:r w:rsidR="00A24E00">
        <w:rPr>
          <w:rStyle w:val="ECCParagraph"/>
        </w:rPr>
        <w:t xml:space="preserve"> European Common Allocations Table </w:t>
      </w:r>
      <w:r w:rsidR="00A24E00">
        <w:rPr>
          <w:rStyle w:val="ECCParagraph"/>
        </w:rPr>
        <w:fldChar w:fldCharType="begin"/>
      </w:r>
      <w:r w:rsidR="00A24E00">
        <w:rPr>
          <w:rStyle w:val="ECCParagraph"/>
        </w:rPr>
        <w:instrText xml:space="preserve"> REF  ERCRep025 \h \w  \* MERGEFORMAT </w:instrText>
      </w:r>
      <w:r w:rsidR="00A24E00">
        <w:rPr>
          <w:rStyle w:val="ECCParagraph"/>
        </w:rPr>
      </w:r>
      <w:r w:rsidR="00A24E00">
        <w:rPr>
          <w:rStyle w:val="ECCParagraph"/>
        </w:rPr>
        <w:fldChar w:fldCharType="separate"/>
      </w:r>
      <w:r w:rsidR="004F49F9">
        <w:rPr>
          <w:rStyle w:val="ECCParagraph"/>
        </w:rPr>
        <w:t>[3]</w:t>
      </w:r>
      <w:r w:rsidR="00A24E00">
        <w:rPr>
          <w:rStyle w:val="ECCParagraph"/>
        </w:rPr>
        <w:fldChar w:fldCharType="end"/>
      </w:r>
      <w:r w:rsidR="00A24E00">
        <w:rPr>
          <w:rStyle w:val="ECCParagraph"/>
        </w:rPr>
        <w:t xml:space="preserve"> (see </w:t>
      </w:r>
      <w:r w:rsidR="00A24E00">
        <w:rPr>
          <w:rStyle w:val="ECCParagraph"/>
        </w:rPr>
        <w:fldChar w:fldCharType="begin"/>
      </w:r>
      <w:r w:rsidR="00A24E00">
        <w:rPr>
          <w:rStyle w:val="ECCParagraph"/>
        </w:rPr>
        <w:instrText xml:space="preserve"> REF _Ref12449270 \h </w:instrText>
      </w:r>
      <w:r w:rsidR="00A24E00">
        <w:rPr>
          <w:rStyle w:val="ECCParagraph"/>
        </w:rPr>
      </w:r>
      <w:r w:rsidR="00A24E00">
        <w:rPr>
          <w:rStyle w:val="ECCParagraph"/>
        </w:rPr>
        <w:fldChar w:fldCharType="separate"/>
      </w:r>
      <w:r w:rsidR="0041125F" w:rsidRPr="006D6727">
        <w:rPr>
          <w:noProof/>
        </w:rPr>
        <w:t>Table </w:t>
      </w:r>
      <w:r w:rsidR="0041125F">
        <w:rPr>
          <w:noProof/>
        </w:rPr>
        <w:t>34</w:t>
      </w:r>
      <w:r w:rsidR="00A24E00">
        <w:rPr>
          <w:rStyle w:val="ECCParagraph"/>
        </w:rPr>
        <w:fldChar w:fldCharType="end"/>
      </w:r>
      <w:r w:rsidR="00A24E00">
        <w:rPr>
          <w:rStyle w:val="ECCParagraph"/>
        </w:rPr>
        <w:t xml:space="preserve">) </w:t>
      </w:r>
      <w:r w:rsidR="006165A1" w:rsidRPr="00604324">
        <w:rPr>
          <w:rStyle w:val="ECCParagraph"/>
        </w:rPr>
        <w:t>shows that in the range from 116 GHz to 260 GHz EESS (passive) bands are adjacent to between 4 and 7 different Radiocommunication Services</w:t>
      </w:r>
      <w:r w:rsidR="006165A1">
        <w:rPr>
          <w:rStyle w:val="ECCParagraph"/>
        </w:rPr>
        <w:t xml:space="preserve">. </w:t>
      </w:r>
      <w:r w:rsidR="006165A1" w:rsidRPr="00604324">
        <w:rPr>
          <w:rStyle w:val="ECCParagraph"/>
        </w:rPr>
        <w:t>Some bands are also shared with other Radiocommunication Services which may have specified power limits e.g. footnote 5.562C</w:t>
      </w:r>
      <w:r w:rsidR="00A24E00">
        <w:rPr>
          <w:rStyle w:val="ECCParagraph"/>
        </w:rPr>
        <w:t xml:space="preserve"> </w:t>
      </w:r>
      <w:r w:rsidR="00A24E00">
        <w:rPr>
          <w:rStyle w:val="ECCParagraph"/>
        </w:rPr>
        <w:fldChar w:fldCharType="begin"/>
      </w:r>
      <w:r w:rsidR="00A24E00">
        <w:rPr>
          <w:rStyle w:val="ECCParagraph"/>
        </w:rPr>
        <w:instrText xml:space="preserve"> REF  ERCRep025 \h \w  \* MERGEFORMAT </w:instrText>
      </w:r>
      <w:r w:rsidR="00A24E00">
        <w:rPr>
          <w:rStyle w:val="ECCParagraph"/>
        </w:rPr>
      </w:r>
      <w:r w:rsidR="00A24E00">
        <w:rPr>
          <w:rStyle w:val="ECCParagraph"/>
        </w:rPr>
        <w:fldChar w:fldCharType="separate"/>
      </w:r>
      <w:r w:rsidR="004F49F9">
        <w:rPr>
          <w:rStyle w:val="ECCParagraph"/>
        </w:rPr>
        <w:t>[3]</w:t>
      </w:r>
      <w:r w:rsidR="00A24E00">
        <w:rPr>
          <w:rStyle w:val="ECCParagraph"/>
        </w:rPr>
        <w:fldChar w:fldCharType="end"/>
      </w:r>
      <w:r w:rsidR="006165A1" w:rsidRPr="00604324">
        <w:rPr>
          <w:rStyle w:val="ECCParagraph"/>
        </w:rPr>
        <w:t>. This could represent between 5 and 8 possible sources of interference.</w:t>
      </w:r>
      <w:r w:rsidR="006165A1">
        <w:rPr>
          <w:rStyle w:val="ECCParagraph"/>
        </w:rPr>
        <w:t xml:space="preserve"> </w:t>
      </w:r>
      <w:r w:rsidR="006165A1" w:rsidRPr="00604324">
        <w:rPr>
          <w:rStyle w:val="ECCParagraph"/>
        </w:rPr>
        <w:t>If all services are being used in the same area operating with an equivalent aggregate power level at the same time, based on an equal apportionment between services</w:t>
      </w:r>
      <w:r w:rsidR="006165A1" w:rsidRPr="00604324" w:rsidDel="00E5359E">
        <w:rPr>
          <w:rStyle w:val="ECCParagraph"/>
        </w:rPr>
        <w:t xml:space="preserve"> </w:t>
      </w:r>
      <w:r w:rsidR="006165A1" w:rsidRPr="00604324">
        <w:rPr>
          <w:rStyle w:val="ECCParagraph"/>
        </w:rPr>
        <w:t>an apportionment margin of 7 to 9 dB could be applied to the protection criteria.</w:t>
      </w:r>
      <w:r w:rsidR="006165A1">
        <w:rPr>
          <w:rStyle w:val="ECCParagraph"/>
        </w:rPr>
        <w:t xml:space="preserve"> </w:t>
      </w:r>
      <w:r w:rsidR="006165A1" w:rsidRPr="00604324">
        <w:rPr>
          <w:rStyle w:val="ECCParagraph"/>
        </w:rPr>
        <w:t>The new applications considered in this Report are in addition to existing applications and an additional factor may be applied.</w:t>
      </w:r>
    </w:p>
    <w:p w14:paraId="525F6ABE" w14:textId="77777777" w:rsidR="006165A1" w:rsidRPr="006165A1" w:rsidRDefault="006165A1" w:rsidP="006165A1">
      <w:pPr>
        <w:pStyle w:val="ECCAnnexheading2"/>
      </w:pPr>
      <w:bookmarkStart w:id="1027" w:name="_Ref80888409"/>
      <w:r w:rsidRPr="006165A1">
        <w:t>Apportionment induced by allocations to Radio Services</w:t>
      </w:r>
      <w:bookmarkEnd w:id="1027"/>
    </w:p>
    <w:p w14:paraId="318EE366" w14:textId="2600CF12" w:rsidR="006165A1" w:rsidRPr="00604324" w:rsidRDefault="006165A1" w:rsidP="006165A1">
      <w:pPr>
        <w:rPr>
          <w:rStyle w:val="ECCParagraph"/>
        </w:rPr>
      </w:pPr>
      <w:r w:rsidRPr="00604324">
        <w:rPr>
          <w:rStyle w:val="ECCParagraph"/>
        </w:rPr>
        <w:t>The allocated Radiocommunication Services are summarised in</w:t>
      </w:r>
      <w:r w:rsidR="00ED63D6">
        <w:rPr>
          <w:rStyle w:val="ECCParagraph"/>
        </w:rPr>
        <w:t xml:space="preserve"> </w:t>
      </w:r>
      <w:r w:rsidR="00ED63D6">
        <w:rPr>
          <w:rStyle w:val="ECCParagraph"/>
        </w:rPr>
        <w:fldChar w:fldCharType="begin"/>
      </w:r>
      <w:r w:rsidR="00ED63D6">
        <w:rPr>
          <w:rStyle w:val="ECCParagraph"/>
        </w:rPr>
        <w:instrText xml:space="preserve"> REF _Ref67661455 \h </w:instrText>
      </w:r>
      <w:r w:rsidR="00ED63D6">
        <w:rPr>
          <w:rStyle w:val="ECCParagraph"/>
        </w:rPr>
      </w:r>
      <w:r w:rsidR="00ED63D6">
        <w:rPr>
          <w:rStyle w:val="ECCParagraph"/>
        </w:rPr>
        <w:fldChar w:fldCharType="separate"/>
      </w:r>
      <w:r w:rsidR="0041125F" w:rsidRPr="002428E9">
        <w:t>Table </w:t>
      </w:r>
      <w:r w:rsidR="0041125F">
        <w:rPr>
          <w:noProof/>
        </w:rPr>
        <w:t>137</w:t>
      </w:r>
      <w:r w:rsidR="00ED63D6">
        <w:rPr>
          <w:rStyle w:val="ECCParagraph"/>
        </w:rPr>
        <w:fldChar w:fldCharType="end"/>
      </w:r>
      <w:r w:rsidRPr="00604324">
        <w:rPr>
          <w:rStyle w:val="ECCParagraph"/>
        </w:rPr>
        <w:t>, assuming that all Services share the protection criteria with equal apportionment. The geometry of each Services systems has not been considered.</w:t>
      </w:r>
    </w:p>
    <w:p w14:paraId="51B69ADE" w14:textId="29B4849C" w:rsidR="006165A1" w:rsidRDefault="006165A1" w:rsidP="006165A1">
      <w:pPr>
        <w:pStyle w:val="Caption"/>
      </w:pPr>
      <w:bookmarkStart w:id="1028" w:name="_Ref67661455"/>
      <w:r w:rsidRPr="002428E9">
        <w:t>Table </w:t>
      </w:r>
      <w:r w:rsidRPr="00BD7B7D">
        <w:fldChar w:fldCharType="begin"/>
      </w:r>
      <w:r>
        <w:instrText xml:space="preserve"> SEQ Table \* ARABIC </w:instrText>
      </w:r>
      <w:r w:rsidRPr="00BD7B7D">
        <w:fldChar w:fldCharType="separate"/>
      </w:r>
      <w:r w:rsidR="004F49F9">
        <w:rPr>
          <w:noProof/>
        </w:rPr>
        <w:t>137</w:t>
      </w:r>
      <w:r w:rsidRPr="00BD7B7D">
        <w:fldChar w:fldCharType="end"/>
      </w:r>
      <w:bookmarkEnd w:id="1028"/>
      <w:r w:rsidRPr="002428E9">
        <w:t xml:space="preserve">: </w:t>
      </w:r>
      <w:r>
        <w:t>Band-by-band apportionment factors in the frequency range 114</w:t>
      </w:r>
      <w:r w:rsidR="00CF4994">
        <w:t>.2</w:t>
      </w:r>
      <w:r>
        <w:t>5-260 GHz induced by allocations to Radio Services</w:t>
      </w:r>
    </w:p>
    <w:tbl>
      <w:tblPr>
        <w:tblStyle w:val="ECCTable-redheader"/>
        <w:tblW w:w="0" w:type="auto"/>
        <w:tblInd w:w="0" w:type="dxa"/>
        <w:tblLayout w:type="fixed"/>
        <w:tblLook w:val="04A0" w:firstRow="1" w:lastRow="0" w:firstColumn="1" w:lastColumn="0" w:noHBand="0" w:noVBand="1"/>
      </w:tblPr>
      <w:tblGrid>
        <w:gridCol w:w="1271"/>
        <w:gridCol w:w="1843"/>
        <w:gridCol w:w="992"/>
        <w:gridCol w:w="992"/>
        <w:gridCol w:w="2268"/>
        <w:gridCol w:w="2263"/>
      </w:tblGrid>
      <w:tr w:rsidR="006165A1" w:rsidRPr="00D27A4D" w14:paraId="56B44031" w14:textId="77777777" w:rsidTr="00DE33C1">
        <w:trPr>
          <w:cnfStyle w:val="100000000000" w:firstRow="1" w:lastRow="0" w:firstColumn="0" w:lastColumn="0" w:oddVBand="0" w:evenVBand="0" w:oddHBand="0" w:evenHBand="0" w:firstRowFirstColumn="0" w:firstRowLastColumn="0" w:lastRowFirstColumn="0" w:lastRowLastColumn="0"/>
        </w:trPr>
        <w:tc>
          <w:tcPr>
            <w:tcW w:w="1271" w:type="dxa"/>
          </w:tcPr>
          <w:p w14:paraId="6560162E" w14:textId="77777777" w:rsidR="006165A1" w:rsidRPr="006165A1" w:rsidRDefault="006165A1" w:rsidP="006165A1">
            <w:r>
              <w:t>Frequency band</w:t>
            </w:r>
            <w:r w:rsidR="00D64078">
              <w:t xml:space="preserve"> (GHz)</w:t>
            </w:r>
          </w:p>
        </w:tc>
        <w:tc>
          <w:tcPr>
            <w:tcW w:w="1843" w:type="dxa"/>
          </w:tcPr>
          <w:p w14:paraId="323FD341" w14:textId="77777777" w:rsidR="006165A1" w:rsidRPr="006165A1" w:rsidRDefault="006165A1" w:rsidP="006165A1">
            <w:r>
              <w:t xml:space="preserve">Potential interfering </w:t>
            </w:r>
            <w:r w:rsidRPr="006165A1">
              <w:t>Radio Service</w:t>
            </w:r>
          </w:p>
        </w:tc>
        <w:tc>
          <w:tcPr>
            <w:tcW w:w="992" w:type="dxa"/>
          </w:tcPr>
          <w:p w14:paraId="559837B5" w14:textId="77777777" w:rsidR="006165A1" w:rsidRPr="006165A1" w:rsidRDefault="006165A1" w:rsidP="006165A1">
            <w:r>
              <w:t>Other sources</w:t>
            </w:r>
          </w:p>
        </w:tc>
        <w:tc>
          <w:tcPr>
            <w:tcW w:w="992" w:type="dxa"/>
          </w:tcPr>
          <w:p w14:paraId="4B9E0574" w14:textId="77777777" w:rsidR="006165A1" w:rsidRPr="006165A1" w:rsidRDefault="006165A1" w:rsidP="006165A1">
            <w:pPr>
              <w:rPr>
                <w:rStyle w:val="ECCParagraph"/>
              </w:rPr>
            </w:pPr>
            <w:r>
              <w:rPr>
                <w:rStyle w:val="ECCParagraph"/>
              </w:rPr>
              <w:t>Total number of sources</w:t>
            </w:r>
          </w:p>
        </w:tc>
        <w:tc>
          <w:tcPr>
            <w:tcW w:w="2268" w:type="dxa"/>
          </w:tcPr>
          <w:p w14:paraId="0843FFCC" w14:textId="77777777" w:rsidR="006165A1" w:rsidRPr="006165A1" w:rsidRDefault="006165A1" w:rsidP="006165A1">
            <w:pPr>
              <w:rPr>
                <w:rStyle w:val="ECCParagraph"/>
              </w:rPr>
            </w:pPr>
            <w:r>
              <w:t>Effective</w:t>
            </w:r>
            <w:r w:rsidRPr="006165A1">
              <w:t xml:space="preserve"> number of sources (without those potentially not operating at the same place)</w:t>
            </w:r>
          </w:p>
        </w:tc>
        <w:tc>
          <w:tcPr>
            <w:tcW w:w="2263" w:type="dxa"/>
          </w:tcPr>
          <w:p w14:paraId="33B8E19E" w14:textId="77777777" w:rsidR="006165A1" w:rsidRPr="006165A1" w:rsidRDefault="006165A1" w:rsidP="006165A1">
            <w:pPr>
              <w:rPr>
                <w:rStyle w:val="ECCParagraph"/>
              </w:rPr>
            </w:pPr>
            <w:r w:rsidRPr="002C44FE">
              <w:t>Resulting apportionment factor</w:t>
            </w:r>
          </w:p>
        </w:tc>
      </w:tr>
      <w:tr w:rsidR="006165A1" w:rsidRPr="00D27A4D" w14:paraId="63BC6886" w14:textId="77777777" w:rsidTr="00DE33C1">
        <w:tc>
          <w:tcPr>
            <w:tcW w:w="1271" w:type="dxa"/>
          </w:tcPr>
          <w:p w14:paraId="5C0F70D0" w14:textId="77777777" w:rsidR="006165A1" w:rsidRPr="006165A1" w:rsidRDefault="006165A1" w:rsidP="00DE33C1">
            <w:pPr>
              <w:jc w:val="left"/>
            </w:pPr>
            <w:r>
              <w:t>114</w:t>
            </w:r>
            <w:r w:rsidR="00CF4994">
              <w:t>.2</w:t>
            </w:r>
            <w:r>
              <w:t>5-</w:t>
            </w:r>
            <w:r w:rsidR="003D2CD5">
              <w:t>116</w:t>
            </w:r>
          </w:p>
        </w:tc>
        <w:tc>
          <w:tcPr>
            <w:tcW w:w="1843" w:type="dxa"/>
          </w:tcPr>
          <w:p w14:paraId="5767D3AC" w14:textId="77777777" w:rsidR="006165A1" w:rsidRPr="006165A1" w:rsidRDefault="006165A1" w:rsidP="00DE33C1">
            <w:pPr>
              <w:jc w:val="left"/>
            </w:pPr>
            <w:r>
              <w:t>FS (below/above)</w:t>
            </w:r>
          </w:p>
          <w:p w14:paraId="45304DD8" w14:textId="77777777" w:rsidR="006165A1" w:rsidRPr="006165A1" w:rsidRDefault="006165A1" w:rsidP="00DE33C1">
            <w:pPr>
              <w:jc w:val="left"/>
            </w:pPr>
            <w:r>
              <w:t>MS (below/above)</w:t>
            </w:r>
          </w:p>
          <w:p w14:paraId="69272192" w14:textId="77777777" w:rsidR="006165A1" w:rsidRPr="006165A1" w:rsidRDefault="006165A1" w:rsidP="00DE33C1">
            <w:pPr>
              <w:jc w:val="left"/>
            </w:pPr>
            <w:r>
              <w:t>ISS (in-band/above)</w:t>
            </w:r>
          </w:p>
        </w:tc>
        <w:tc>
          <w:tcPr>
            <w:tcW w:w="992" w:type="dxa"/>
          </w:tcPr>
          <w:p w14:paraId="1D3FD088" w14:textId="77777777" w:rsidR="006165A1" w:rsidRPr="006165A1" w:rsidRDefault="006165A1" w:rsidP="00DE33C1">
            <w:pPr>
              <w:jc w:val="left"/>
            </w:pPr>
          </w:p>
        </w:tc>
        <w:tc>
          <w:tcPr>
            <w:tcW w:w="992" w:type="dxa"/>
          </w:tcPr>
          <w:p w14:paraId="342FB9DD" w14:textId="77777777" w:rsidR="006165A1" w:rsidRPr="006165A1" w:rsidRDefault="00A227DD" w:rsidP="00DE33C1">
            <w:pPr>
              <w:jc w:val="left"/>
            </w:pPr>
            <w:r>
              <w:t>6</w:t>
            </w:r>
          </w:p>
        </w:tc>
        <w:tc>
          <w:tcPr>
            <w:tcW w:w="2268" w:type="dxa"/>
          </w:tcPr>
          <w:p w14:paraId="25FA1F90" w14:textId="77777777" w:rsidR="006165A1" w:rsidRPr="006165A1" w:rsidRDefault="00A227DD" w:rsidP="00DE33C1">
            <w:pPr>
              <w:jc w:val="left"/>
            </w:pPr>
            <w:r>
              <w:t>4</w:t>
            </w:r>
          </w:p>
          <w:p w14:paraId="0799ADB5" w14:textId="77777777" w:rsidR="006165A1" w:rsidRPr="006165A1" w:rsidRDefault="006165A1" w:rsidP="00DE33C1">
            <w:pPr>
              <w:jc w:val="left"/>
            </w:pPr>
            <w:r>
              <w:t>(MS and FS unlikely to coexist)</w:t>
            </w:r>
          </w:p>
        </w:tc>
        <w:tc>
          <w:tcPr>
            <w:tcW w:w="2263" w:type="dxa"/>
          </w:tcPr>
          <w:p w14:paraId="2DA9BCCA" w14:textId="77777777" w:rsidR="006165A1" w:rsidRPr="006165A1" w:rsidRDefault="00150604" w:rsidP="00DE33C1">
            <w:pPr>
              <w:jc w:val="left"/>
            </w:pPr>
            <w:r>
              <w:t>6 </w:t>
            </w:r>
            <w:r w:rsidR="006165A1" w:rsidRPr="006165A1">
              <w:t>dB</w:t>
            </w:r>
          </w:p>
        </w:tc>
      </w:tr>
      <w:tr w:rsidR="003D2CD5" w:rsidRPr="00D27A4D" w14:paraId="0451DC00" w14:textId="77777777" w:rsidTr="00DE33C1">
        <w:tc>
          <w:tcPr>
            <w:tcW w:w="1271" w:type="dxa"/>
          </w:tcPr>
          <w:p w14:paraId="4E02C009" w14:textId="77777777" w:rsidR="003D2CD5" w:rsidRDefault="003D2CD5" w:rsidP="00DE33C1">
            <w:pPr>
              <w:jc w:val="left"/>
            </w:pPr>
            <w:r>
              <w:t>116-122.25</w:t>
            </w:r>
          </w:p>
        </w:tc>
        <w:tc>
          <w:tcPr>
            <w:tcW w:w="1843" w:type="dxa"/>
          </w:tcPr>
          <w:p w14:paraId="5A8DED90" w14:textId="77777777" w:rsidR="00BA468C" w:rsidRPr="00BA468C" w:rsidRDefault="00BA468C" w:rsidP="00DE33C1">
            <w:pPr>
              <w:jc w:val="left"/>
            </w:pPr>
            <w:r w:rsidRPr="00BA468C">
              <w:t>FS (below/above)</w:t>
            </w:r>
          </w:p>
          <w:p w14:paraId="11DF946B" w14:textId="77777777" w:rsidR="00BA468C" w:rsidRPr="00BA468C" w:rsidRDefault="00BA468C" w:rsidP="00DE33C1">
            <w:pPr>
              <w:jc w:val="left"/>
            </w:pPr>
            <w:r w:rsidRPr="00BA468C">
              <w:t>MS (below/above)</w:t>
            </w:r>
          </w:p>
          <w:p w14:paraId="494D7DF3" w14:textId="77777777" w:rsidR="003D2CD5" w:rsidRDefault="00BA468C" w:rsidP="00DE33C1">
            <w:pPr>
              <w:jc w:val="left"/>
            </w:pPr>
            <w:r w:rsidRPr="00BA468C">
              <w:t>ISS (in-band/above)</w:t>
            </w:r>
          </w:p>
        </w:tc>
        <w:tc>
          <w:tcPr>
            <w:tcW w:w="992" w:type="dxa"/>
          </w:tcPr>
          <w:p w14:paraId="3CE5AC25" w14:textId="77777777" w:rsidR="003D2CD5" w:rsidRDefault="00A227DD" w:rsidP="00DE33C1">
            <w:pPr>
              <w:jc w:val="left"/>
            </w:pPr>
            <w:r>
              <w:t>EHF systems</w:t>
            </w:r>
          </w:p>
        </w:tc>
        <w:tc>
          <w:tcPr>
            <w:tcW w:w="992" w:type="dxa"/>
          </w:tcPr>
          <w:p w14:paraId="5209CB40" w14:textId="77777777" w:rsidR="003D2CD5" w:rsidRDefault="00150604" w:rsidP="00DE33C1">
            <w:pPr>
              <w:jc w:val="left"/>
            </w:pPr>
            <w:r>
              <w:t>7</w:t>
            </w:r>
          </w:p>
        </w:tc>
        <w:tc>
          <w:tcPr>
            <w:tcW w:w="2268" w:type="dxa"/>
          </w:tcPr>
          <w:p w14:paraId="5CC73ED9" w14:textId="77777777" w:rsidR="003D2CD5" w:rsidRDefault="00150604" w:rsidP="00DE33C1">
            <w:pPr>
              <w:jc w:val="left"/>
            </w:pPr>
            <w:r>
              <w:t>5</w:t>
            </w:r>
          </w:p>
          <w:p w14:paraId="62C2FA8C" w14:textId="77777777" w:rsidR="00BA468C" w:rsidRDefault="00BA468C" w:rsidP="00DE33C1">
            <w:pPr>
              <w:jc w:val="left"/>
            </w:pPr>
            <w:r w:rsidRPr="00BA468C">
              <w:t>(MS and FS unlikely to coexist)</w:t>
            </w:r>
          </w:p>
        </w:tc>
        <w:tc>
          <w:tcPr>
            <w:tcW w:w="2263" w:type="dxa"/>
          </w:tcPr>
          <w:p w14:paraId="6D12C664" w14:textId="77777777" w:rsidR="003D2CD5" w:rsidRDefault="00150604" w:rsidP="00DE33C1">
            <w:pPr>
              <w:jc w:val="left"/>
            </w:pPr>
            <w:r>
              <w:t>7 dB</w:t>
            </w:r>
          </w:p>
        </w:tc>
      </w:tr>
      <w:tr w:rsidR="006165A1" w:rsidRPr="00D27A4D" w14:paraId="522EC545" w14:textId="77777777" w:rsidTr="00DE33C1">
        <w:tc>
          <w:tcPr>
            <w:tcW w:w="1271" w:type="dxa"/>
          </w:tcPr>
          <w:p w14:paraId="53718E3E" w14:textId="77777777" w:rsidR="006165A1" w:rsidRPr="006165A1" w:rsidRDefault="006165A1" w:rsidP="00DE33C1">
            <w:pPr>
              <w:jc w:val="left"/>
            </w:pPr>
            <w:r w:rsidRPr="001C3098">
              <w:t>148</w:t>
            </w:r>
            <w:r w:rsidR="00CF4994">
              <w:t>.5</w:t>
            </w:r>
            <w:r w:rsidRPr="006165A1">
              <w:t>-151</w:t>
            </w:r>
            <w:r w:rsidR="00CF4994">
              <w:t>.5</w:t>
            </w:r>
          </w:p>
        </w:tc>
        <w:tc>
          <w:tcPr>
            <w:tcW w:w="1843" w:type="dxa"/>
          </w:tcPr>
          <w:p w14:paraId="466ABABD" w14:textId="77777777" w:rsidR="006165A1" w:rsidRPr="006165A1" w:rsidRDefault="006165A1" w:rsidP="00DE33C1">
            <w:pPr>
              <w:jc w:val="left"/>
            </w:pPr>
            <w:r w:rsidRPr="001C3098">
              <w:t xml:space="preserve">FS </w:t>
            </w:r>
            <w:r w:rsidRPr="006165A1">
              <w:t>(below/above)</w:t>
            </w:r>
          </w:p>
          <w:p w14:paraId="078AB2D0" w14:textId="77777777" w:rsidR="006165A1" w:rsidRPr="006165A1" w:rsidRDefault="006165A1" w:rsidP="00DE33C1">
            <w:pPr>
              <w:jc w:val="left"/>
            </w:pPr>
            <w:r w:rsidRPr="001C3098">
              <w:t>MS (below</w:t>
            </w:r>
            <w:r w:rsidRPr="006165A1">
              <w:t>/above)</w:t>
            </w:r>
          </w:p>
          <w:p w14:paraId="6EFA9A58" w14:textId="77777777" w:rsidR="006165A1" w:rsidRPr="006165A1" w:rsidRDefault="006165A1" w:rsidP="00DE33C1">
            <w:pPr>
              <w:jc w:val="left"/>
            </w:pPr>
            <w:r w:rsidRPr="001C3098">
              <w:t>Radioloc</w:t>
            </w:r>
            <w:r w:rsidRPr="006165A1">
              <w:t>ation (below/above)</w:t>
            </w:r>
          </w:p>
        </w:tc>
        <w:tc>
          <w:tcPr>
            <w:tcW w:w="992" w:type="dxa"/>
          </w:tcPr>
          <w:p w14:paraId="1F00186F" w14:textId="77777777" w:rsidR="006165A1" w:rsidRDefault="006165A1" w:rsidP="00DE33C1">
            <w:pPr>
              <w:jc w:val="left"/>
            </w:pPr>
          </w:p>
        </w:tc>
        <w:tc>
          <w:tcPr>
            <w:tcW w:w="992" w:type="dxa"/>
          </w:tcPr>
          <w:p w14:paraId="61B6148B" w14:textId="77777777" w:rsidR="006165A1" w:rsidRPr="006165A1" w:rsidRDefault="006165A1" w:rsidP="00DE33C1">
            <w:pPr>
              <w:jc w:val="left"/>
            </w:pPr>
            <w:r w:rsidRPr="001C3098">
              <w:t>6</w:t>
            </w:r>
          </w:p>
        </w:tc>
        <w:tc>
          <w:tcPr>
            <w:tcW w:w="2268" w:type="dxa"/>
          </w:tcPr>
          <w:p w14:paraId="213EF782" w14:textId="77777777" w:rsidR="006165A1" w:rsidRPr="006165A1" w:rsidRDefault="006165A1" w:rsidP="00DE33C1">
            <w:pPr>
              <w:jc w:val="left"/>
            </w:pPr>
            <w:r w:rsidRPr="001C3098">
              <w:t>4</w:t>
            </w:r>
          </w:p>
          <w:p w14:paraId="07A9F5FF" w14:textId="77777777" w:rsidR="006165A1" w:rsidRPr="006165A1" w:rsidRDefault="006165A1" w:rsidP="00DE33C1">
            <w:pPr>
              <w:jc w:val="left"/>
            </w:pPr>
            <w:r w:rsidRPr="001C3098">
              <w:t>(MS and FS unlikely to coexist)</w:t>
            </w:r>
          </w:p>
        </w:tc>
        <w:tc>
          <w:tcPr>
            <w:tcW w:w="2263" w:type="dxa"/>
          </w:tcPr>
          <w:p w14:paraId="1E4EDADB" w14:textId="77777777" w:rsidR="006165A1" w:rsidRPr="006165A1" w:rsidRDefault="006165A1" w:rsidP="00DE33C1">
            <w:pPr>
              <w:jc w:val="left"/>
            </w:pPr>
            <w:r>
              <w:t>6 </w:t>
            </w:r>
            <w:r w:rsidRPr="006165A1">
              <w:t>dB</w:t>
            </w:r>
          </w:p>
        </w:tc>
      </w:tr>
      <w:tr w:rsidR="006165A1" w:rsidRPr="00D27A4D" w14:paraId="4A4795C7" w14:textId="77777777" w:rsidTr="00DE33C1">
        <w:tc>
          <w:tcPr>
            <w:tcW w:w="1271" w:type="dxa"/>
          </w:tcPr>
          <w:p w14:paraId="6752CD5E" w14:textId="77777777" w:rsidR="006165A1" w:rsidRPr="006165A1" w:rsidRDefault="006165A1" w:rsidP="00DE33C1">
            <w:pPr>
              <w:jc w:val="left"/>
            </w:pPr>
            <w:r w:rsidRPr="009C7D5D">
              <w:t>164-167</w:t>
            </w:r>
          </w:p>
        </w:tc>
        <w:tc>
          <w:tcPr>
            <w:tcW w:w="1843" w:type="dxa"/>
          </w:tcPr>
          <w:p w14:paraId="6E9D7F2A" w14:textId="77777777" w:rsidR="006165A1" w:rsidRPr="006165A1" w:rsidRDefault="006165A1" w:rsidP="00DE33C1">
            <w:pPr>
              <w:jc w:val="left"/>
            </w:pPr>
            <w:r w:rsidRPr="009C7D5D">
              <w:t>FS (below</w:t>
            </w:r>
            <w:r w:rsidRPr="006165A1">
              <w:t>/above)</w:t>
            </w:r>
          </w:p>
          <w:p w14:paraId="2B245D4E" w14:textId="77777777" w:rsidR="006165A1" w:rsidRPr="006165A1" w:rsidRDefault="006165A1" w:rsidP="00DE33C1">
            <w:pPr>
              <w:jc w:val="left"/>
            </w:pPr>
            <w:r w:rsidRPr="009C7D5D">
              <w:t>MS (below</w:t>
            </w:r>
            <w:r w:rsidRPr="006165A1">
              <w:t>/above)</w:t>
            </w:r>
          </w:p>
          <w:p w14:paraId="2D1C344E" w14:textId="77777777" w:rsidR="006165A1" w:rsidRPr="006165A1" w:rsidRDefault="006165A1" w:rsidP="00DE33C1">
            <w:pPr>
              <w:jc w:val="left"/>
            </w:pPr>
            <w:r w:rsidRPr="009C7D5D">
              <w:t>FSS (below</w:t>
            </w:r>
            <w:r w:rsidRPr="006165A1">
              <w:t>/above)</w:t>
            </w:r>
          </w:p>
          <w:p w14:paraId="2E0F6C4E" w14:textId="77777777" w:rsidR="006165A1" w:rsidRPr="006165A1" w:rsidRDefault="006165A1" w:rsidP="00DE33C1">
            <w:pPr>
              <w:jc w:val="left"/>
            </w:pPr>
            <w:r w:rsidRPr="009C7D5D">
              <w:t>MSS (below)</w:t>
            </w:r>
          </w:p>
          <w:p w14:paraId="20BAA941" w14:textId="77777777" w:rsidR="006165A1" w:rsidRPr="006165A1" w:rsidRDefault="006165A1" w:rsidP="00DE33C1">
            <w:pPr>
              <w:jc w:val="left"/>
            </w:pPr>
            <w:r w:rsidRPr="009C7D5D">
              <w:t>ISS (above)</w:t>
            </w:r>
          </w:p>
        </w:tc>
        <w:tc>
          <w:tcPr>
            <w:tcW w:w="992" w:type="dxa"/>
          </w:tcPr>
          <w:p w14:paraId="33FBEFF1" w14:textId="77777777" w:rsidR="006165A1" w:rsidRDefault="006165A1" w:rsidP="00DE33C1">
            <w:pPr>
              <w:jc w:val="left"/>
            </w:pPr>
          </w:p>
        </w:tc>
        <w:tc>
          <w:tcPr>
            <w:tcW w:w="992" w:type="dxa"/>
          </w:tcPr>
          <w:p w14:paraId="6330B568" w14:textId="77777777" w:rsidR="006165A1" w:rsidRPr="006165A1" w:rsidRDefault="006165A1" w:rsidP="00DE33C1">
            <w:pPr>
              <w:jc w:val="left"/>
            </w:pPr>
            <w:r w:rsidRPr="009C7D5D">
              <w:t>8</w:t>
            </w:r>
          </w:p>
        </w:tc>
        <w:tc>
          <w:tcPr>
            <w:tcW w:w="2268" w:type="dxa"/>
          </w:tcPr>
          <w:p w14:paraId="5EAC5436" w14:textId="77777777" w:rsidR="006165A1" w:rsidRPr="006165A1" w:rsidRDefault="006165A1" w:rsidP="00DE33C1">
            <w:pPr>
              <w:jc w:val="left"/>
            </w:pPr>
            <w:r w:rsidRPr="009C7D5D">
              <w:t>5</w:t>
            </w:r>
          </w:p>
          <w:p w14:paraId="14277802" w14:textId="77777777" w:rsidR="006165A1" w:rsidRPr="006165A1" w:rsidRDefault="006165A1" w:rsidP="00DE33C1">
            <w:pPr>
              <w:jc w:val="left"/>
            </w:pPr>
            <w:r w:rsidRPr="009C7D5D">
              <w:t xml:space="preserve">(MS and </w:t>
            </w:r>
            <w:r w:rsidRPr="006165A1">
              <w:t>FS unlikely to coexist)</w:t>
            </w:r>
          </w:p>
          <w:p w14:paraId="493396C7" w14:textId="77777777" w:rsidR="006165A1" w:rsidRPr="006165A1" w:rsidRDefault="006165A1" w:rsidP="00DE33C1">
            <w:pPr>
              <w:jc w:val="left"/>
            </w:pPr>
            <w:r w:rsidRPr="009C7D5D">
              <w:t xml:space="preserve">(MSS and FSS </w:t>
            </w:r>
            <w:r w:rsidRPr="006165A1">
              <w:t>unlikely to coexist)</w:t>
            </w:r>
          </w:p>
        </w:tc>
        <w:tc>
          <w:tcPr>
            <w:tcW w:w="2263" w:type="dxa"/>
          </w:tcPr>
          <w:p w14:paraId="5B2C3705" w14:textId="77777777" w:rsidR="006165A1" w:rsidRPr="006165A1" w:rsidRDefault="006165A1" w:rsidP="00DE33C1">
            <w:pPr>
              <w:jc w:val="left"/>
            </w:pPr>
            <w:r>
              <w:t>7 dB</w:t>
            </w:r>
          </w:p>
        </w:tc>
      </w:tr>
      <w:tr w:rsidR="006165A1" w:rsidRPr="00D27A4D" w14:paraId="3ABF0B4E" w14:textId="77777777" w:rsidTr="00DE33C1">
        <w:tc>
          <w:tcPr>
            <w:tcW w:w="1271" w:type="dxa"/>
          </w:tcPr>
          <w:p w14:paraId="3749E0C4" w14:textId="77777777" w:rsidR="002B0803" w:rsidRPr="006165A1" w:rsidRDefault="003D2CD5" w:rsidP="00DE33C1">
            <w:pPr>
              <w:jc w:val="left"/>
            </w:pPr>
            <w:r>
              <w:t>174.8-182</w:t>
            </w:r>
          </w:p>
        </w:tc>
        <w:tc>
          <w:tcPr>
            <w:tcW w:w="1843" w:type="dxa"/>
          </w:tcPr>
          <w:p w14:paraId="28408124" w14:textId="77777777" w:rsidR="006165A1" w:rsidRPr="006165A1" w:rsidRDefault="006165A1" w:rsidP="00DE33C1">
            <w:pPr>
              <w:jc w:val="left"/>
            </w:pPr>
            <w:r w:rsidRPr="009C7D5D">
              <w:t>FS (below</w:t>
            </w:r>
            <w:r w:rsidRPr="006165A1">
              <w:t>/above)</w:t>
            </w:r>
          </w:p>
          <w:p w14:paraId="4DA715EC" w14:textId="77777777" w:rsidR="006165A1" w:rsidRPr="006165A1" w:rsidRDefault="006165A1" w:rsidP="00DE33C1">
            <w:pPr>
              <w:jc w:val="left"/>
            </w:pPr>
            <w:r w:rsidRPr="009C7D5D">
              <w:t>MS (below</w:t>
            </w:r>
            <w:r w:rsidRPr="006165A1">
              <w:t>/above)</w:t>
            </w:r>
          </w:p>
          <w:p w14:paraId="1E00E264" w14:textId="77777777" w:rsidR="006165A1" w:rsidRPr="006165A1" w:rsidRDefault="006165A1" w:rsidP="00DE33C1">
            <w:pPr>
              <w:jc w:val="left"/>
            </w:pPr>
            <w:r w:rsidRPr="009C7D5D">
              <w:t xml:space="preserve">ISS </w:t>
            </w:r>
            <w:r w:rsidRPr="006165A1">
              <w:t>(below/in-band/above)</w:t>
            </w:r>
          </w:p>
          <w:p w14:paraId="22F9E022" w14:textId="77777777" w:rsidR="006165A1" w:rsidRPr="006165A1" w:rsidRDefault="006165A1" w:rsidP="00DE33C1">
            <w:pPr>
              <w:jc w:val="left"/>
            </w:pPr>
            <w:r w:rsidRPr="009C7D5D">
              <w:t>MSS (above)</w:t>
            </w:r>
          </w:p>
          <w:p w14:paraId="67184EF7" w14:textId="77777777" w:rsidR="006165A1" w:rsidRPr="006165A1" w:rsidRDefault="006165A1" w:rsidP="00DE33C1">
            <w:pPr>
              <w:jc w:val="left"/>
            </w:pPr>
            <w:r w:rsidRPr="009C7D5D">
              <w:t>Radionav</w:t>
            </w:r>
            <w:r w:rsidRPr="006165A1">
              <w:t>igation (above)</w:t>
            </w:r>
          </w:p>
          <w:p w14:paraId="2A9A5909" w14:textId="77777777" w:rsidR="006165A1" w:rsidRPr="006165A1" w:rsidRDefault="006165A1" w:rsidP="00DE33C1">
            <w:pPr>
              <w:jc w:val="left"/>
            </w:pPr>
            <w:r w:rsidRPr="009C7D5D">
              <w:t>Radionav</w:t>
            </w:r>
            <w:r w:rsidRPr="006165A1">
              <w:t>igation-Satellite (above)</w:t>
            </w:r>
          </w:p>
        </w:tc>
        <w:tc>
          <w:tcPr>
            <w:tcW w:w="992" w:type="dxa"/>
          </w:tcPr>
          <w:p w14:paraId="7E56790B" w14:textId="77777777" w:rsidR="006165A1" w:rsidRPr="006165A1" w:rsidRDefault="006165A1" w:rsidP="00DE33C1">
            <w:pPr>
              <w:jc w:val="left"/>
            </w:pPr>
            <w:r w:rsidRPr="009C7D5D">
              <w:t>EHF systems</w:t>
            </w:r>
          </w:p>
        </w:tc>
        <w:tc>
          <w:tcPr>
            <w:tcW w:w="992" w:type="dxa"/>
          </w:tcPr>
          <w:p w14:paraId="566EA5D6" w14:textId="77777777" w:rsidR="006165A1" w:rsidRPr="006165A1" w:rsidRDefault="006165A1" w:rsidP="00DE33C1">
            <w:pPr>
              <w:jc w:val="left"/>
            </w:pPr>
            <w:r w:rsidRPr="009C7D5D">
              <w:t>11</w:t>
            </w:r>
          </w:p>
        </w:tc>
        <w:tc>
          <w:tcPr>
            <w:tcW w:w="2268" w:type="dxa"/>
          </w:tcPr>
          <w:p w14:paraId="6DDCF2E8" w14:textId="77777777" w:rsidR="006165A1" w:rsidRPr="006165A1" w:rsidRDefault="006165A1" w:rsidP="00DE33C1">
            <w:pPr>
              <w:jc w:val="left"/>
            </w:pPr>
            <w:r w:rsidRPr="009C7D5D">
              <w:t>7</w:t>
            </w:r>
          </w:p>
          <w:p w14:paraId="505FAB43" w14:textId="77777777" w:rsidR="006165A1" w:rsidRPr="006165A1" w:rsidRDefault="006165A1" w:rsidP="00DE33C1">
            <w:pPr>
              <w:jc w:val="left"/>
            </w:pPr>
            <w:r w:rsidRPr="009C7D5D">
              <w:t>(MS, R</w:t>
            </w:r>
            <w:r w:rsidRPr="006165A1">
              <w:t>adionavigation and FS unlikely to coexist)</w:t>
            </w:r>
          </w:p>
          <w:p w14:paraId="013A0249" w14:textId="77777777" w:rsidR="006165A1" w:rsidRPr="006165A1" w:rsidRDefault="006165A1" w:rsidP="00DE33C1">
            <w:pPr>
              <w:jc w:val="left"/>
            </w:pPr>
            <w:r w:rsidRPr="009C7D5D">
              <w:t xml:space="preserve">(MSS and </w:t>
            </w:r>
            <w:r w:rsidRPr="006165A1">
              <w:t>Radionavigation-Satellite unlikely to coexist)</w:t>
            </w:r>
          </w:p>
        </w:tc>
        <w:tc>
          <w:tcPr>
            <w:tcW w:w="2263" w:type="dxa"/>
          </w:tcPr>
          <w:p w14:paraId="29764EF0" w14:textId="77777777" w:rsidR="006165A1" w:rsidRPr="006165A1" w:rsidRDefault="006165A1" w:rsidP="00DE33C1">
            <w:pPr>
              <w:jc w:val="left"/>
            </w:pPr>
            <w:r>
              <w:t>8</w:t>
            </w:r>
            <w:r w:rsidR="00CF4994">
              <w:t>.5</w:t>
            </w:r>
            <w:r w:rsidRPr="006165A1">
              <w:t> dB</w:t>
            </w:r>
          </w:p>
        </w:tc>
      </w:tr>
      <w:tr w:rsidR="00CB747B" w:rsidRPr="00D27A4D" w14:paraId="446E9176" w14:textId="77777777" w:rsidTr="00DE33C1">
        <w:tc>
          <w:tcPr>
            <w:tcW w:w="1271" w:type="dxa"/>
          </w:tcPr>
          <w:p w14:paraId="4E218491" w14:textId="77777777" w:rsidR="00CB747B" w:rsidRPr="00CB747B" w:rsidRDefault="00CB747B" w:rsidP="00675C8E">
            <w:pPr>
              <w:jc w:val="left"/>
            </w:pPr>
            <w:r w:rsidRPr="00CB747B">
              <w:t>182-185</w:t>
            </w:r>
          </w:p>
        </w:tc>
        <w:tc>
          <w:tcPr>
            <w:tcW w:w="1843" w:type="dxa"/>
          </w:tcPr>
          <w:p w14:paraId="76E78CEF" w14:textId="77777777" w:rsidR="00CB747B" w:rsidRPr="00CB747B" w:rsidRDefault="00CB747B" w:rsidP="00675C8E">
            <w:pPr>
              <w:jc w:val="left"/>
            </w:pPr>
            <w:r w:rsidRPr="00CB747B">
              <w:t>FS (below/above)</w:t>
            </w:r>
          </w:p>
          <w:p w14:paraId="2C1699FF" w14:textId="77777777" w:rsidR="00CB747B" w:rsidRPr="00CB747B" w:rsidRDefault="00CB747B" w:rsidP="00675C8E">
            <w:pPr>
              <w:jc w:val="left"/>
            </w:pPr>
            <w:r w:rsidRPr="00CB747B">
              <w:t>MS (below/above)</w:t>
            </w:r>
          </w:p>
          <w:p w14:paraId="7A1E9823" w14:textId="77777777" w:rsidR="00CB747B" w:rsidRPr="00CB747B" w:rsidRDefault="00CB747B" w:rsidP="00675C8E">
            <w:pPr>
              <w:jc w:val="left"/>
            </w:pPr>
            <w:r w:rsidRPr="00CB747B">
              <w:t>ISS (below/in-band/above)</w:t>
            </w:r>
          </w:p>
          <w:p w14:paraId="02BF6204" w14:textId="77777777" w:rsidR="00CB747B" w:rsidRPr="00CB747B" w:rsidRDefault="00CB747B" w:rsidP="00675C8E">
            <w:pPr>
              <w:jc w:val="left"/>
            </w:pPr>
            <w:r w:rsidRPr="00CB747B">
              <w:t>MSS (above)</w:t>
            </w:r>
          </w:p>
          <w:p w14:paraId="031FEB21" w14:textId="77777777" w:rsidR="00CB747B" w:rsidRPr="00CB747B" w:rsidRDefault="00CB747B" w:rsidP="00675C8E">
            <w:pPr>
              <w:jc w:val="left"/>
            </w:pPr>
            <w:r w:rsidRPr="00CB747B">
              <w:t>Radionavigation (above)</w:t>
            </w:r>
          </w:p>
          <w:p w14:paraId="7A8C02E4" w14:textId="77777777" w:rsidR="00CB747B" w:rsidRPr="00CB747B" w:rsidRDefault="00CB747B" w:rsidP="00675C8E">
            <w:pPr>
              <w:jc w:val="left"/>
            </w:pPr>
            <w:r w:rsidRPr="00CB747B">
              <w:t>Radionavigation-Satellite (above)</w:t>
            </w:r>
          </w:p>
        </w:tc>
        <w:tc>
          <w:tcPr>
            <w:tcW w:w="992" w:type="dxa"/>
          </w:tcPr>
          <w:p w14:paraId="6857D49D" w14:textId="77777777" w:rsidR="00CB747B" w:rsidRPr="00CB747B" w:rsidRDefault="00CB747B" w:rsidP="00675C8E">
            <w:pPr>
              <w:jc w:val="left"/>
            </w:pPr>
          </w:p>
        </w:tc>
        <w:tc>
          <w:tcPr>
            <w:tcW w:w="992" w:type="dxa"/>
          </w:tcPr>
          <w:p w14:paraId="0C84840C" w14:textId="77777777" w:rsidR="00CB747B" w:rsidRPr="00CB747B" w:rsidRDefault="00CB747B" w:rsidP="00675C8E">
            <w:pPr>
              <w:jc w:val="left"/>
            </w:pPr>
            <w:r w:rsidRPr="00CB747B">
              <w:t>10</w:t>
            </w:r>
          </w:p>
        </w:tc>
        <w:tc>
          <w:tcPr>
            <w:tcW w:w="2268" w:type="dxa"/>
          </w:tcPr>
          <w:p w14:paraId="52CA813F" w14:textId="77777777" w:rsidR="00CB747B" w:rsidRPr="00CB747B" w:rsidRDefault="00CB747B" w:rsidP="00675C8E">
            <w:pPr>
              <w:jc w:val="left"/>
            </w:pPr>
            <w:r>
              <w:t>6</w:t>
            </w:r>
          </w:p>
          <w:p w14:paraId="3DCD3344" w14:textId="77777777" w:rsidR="00CB747B" w:rsidRPr="00CB747B" w:rsidRDefault="00CB747B" w:rsidP="00675C8E">
            <w:pPr>
              <w:jc w:val="left"/>
            </w:pPr>
            <w:r w:rsidRPr="00CB747B">
              <w:t>(MS, Radionavigation and FS unlikely to coexist)</w:t>
            </w:r>
          </w:p>
          <w:p w14:paraId="04348854" w14:textId="77777777" w:rsidR="00CB747B" w:rsidRPr="00CB747B" w:rsidRDefault="00CB747B" w:rsidP="00675C8E">
            <w:pPr>
              <w:jc w:val="left"/>
            </w:pPr>
            <w:r w:rsidRPr="00CB747B">
              <w:t>(MSS and Radionavigation-Satellite unlikely to coexist)</w:t>
            </w:r>
          </w:p>
        </w:tc>
        <w:tc>
          <w:tcPr>
            <w:tcW w:w="2263" w:type="dxa"/>
          </w:tcPr>
          <w:p w14:paraId="6E5EC313" w14:textId="77777777" w:rsidR="00CB747B" w:rsidRPr="00CB747B" w:rsidRDefault="00CB747B" w:rsidP="00675C8E">
            <w:pPr>
              <w:jc w:val="left"/>
            </w:pPr>
            <w:r>
              <w:t>7.8 dB</w:t>
            </w:r>
          </w:p>
        </w:tc>
      </w:tr>
      <w:tr w:rsidR="00CB747B" w:rsidRPr="00D27A4D" w14:paraId="589E069E" w14:textId="77777777" w:rsidTr="00DE33C1">
        <w:tc>
          <w:tcPr>
            <w:tcW w:w="1271" w:type="dxa"/>
          </w:tcPr>
          <w:p w14:paraId="60CF2286" w14:textId="77777777" w:rsidR="00CB747B" w:rsidRPr="00CB747B" w:rsidRDefault="00CB747B" w:rsidP="00675C8E">
            <w:pPr>
              <w:jc w:val="left"/>
            </w:pPr>
            <w:r w:rsidRPr="00CB747B">
              <w:t>185-190</w:t>
            </w:r>
          </w:p>
        </w:tc>
        <w:tc>
          <w:tcPr>
            <w:tcW w:w="1843" w:type="dxa"/>
          </w:tcPr>
          <w:p w14:paraId="056C5389" w14:textId="77777777" w:rsidR="00CB747B" w:rsidRPr="00CB747B" w:rsidRDefault="00CB747B" w:rsidP="00675C8E">
            <w:pPr>
              <w:jc w:val="left"/>
            </w:pPr>
            <w:r w:rsidRPr="00CB747B">
              <w:t>FS (below/above)</w:t>
            </w:r>
          </w:p>
          <w:p w14:paraId="27CD74FB" w14:textId="77777777" w:rsidR="00CB747B" w:rsidRPr="00CB747B" w:rsidRDefault="00CB747B" w:rsidP="00675C8E">
            <w:pPr>
              <w:jc w:val="left"/>
            </w:pPr>
            <w:r w:rsidRPr="00CB747B">
              <w:t>MS (below/above)</w:t>
            </w:r>
          </w:p>
          <w:p w14:paraId="100D7C3B" w14:textId="77777777" w:rsidR="00CB747B" w:rsidRPr="00CB747B" w:rsidRDefault="00CB747B" w:rsidP="00675C8E">
            <w:pPr>
              <w:jc w:val="left"/>
            </w:pPr>
            <w:r w:rsidRPr="00CB747B">
              <w:t>ISS (below/in-band/above)</w:t>
            </w:r>
          </w:p>
          <w:p w14:paraId="70639C00" w14:textId="77777777" w:rsidR="00CB747B" w:rsidRPr="00CB747B" w:rsidRDefault="00CB747B" w:rsidP="00675C8E">
            <w:pPr>
              <w:jc w:val="left"/>
            </w:pPr>
            <w:r w:rsidRPr="00CB747B">
              <w:t>MSS (above)</w:t>
            </w:r>
          </w:p>
          <w:p w14:paraId="3864B186" w14:textId="77777777" w:rsidR="00CB747B" w:rsidRPr="00CB747B" w:rsidRDefault="00CB747B" w:rsidP="00675C8E">
            <w:pPr>
              <w:jc w:val="left"/>
            </w:pPr>
            <w:r w:rsidRPr="00CB747B">
              <w:t>Radionavigation (above)</w:t>
            </w:r>
          </w:p>
          <w:p w14:paraId="09FB2F89" w14:textId="77777777" w:rsidR="00CB747B" w:rsidRPr="00CB747B" w:rsidRDefault="00CB747B" w:rsidP="00675C8E">
            <w:pPr>
              <w:jc w:val="left"/>
            </w:pPr>
            <w:r w:rsidRPr="00CB747B">
              <w:t>Radionavigation-Satellite (above)</w:t>
            </w:r>
          </w:p>
        </w:tc>
        <w:tc>
          <w:tcPr>
            <w:tcW w:w="992" w:type="dxa"/>
          </w:tcPr>
          <w:p w14:paraId="045B43AF" w14:textId="77777777" w:rsidR="00CB747B" w:rsidRPr="00CB747B" w:rsidRDefault="00CB747B" w:rsidP="00675C8E">
            <w:pPr>
              <w:jc w:val="left"/>
            </w:pPr>
            <w:r w:rsidRPr="00CB747B">
              <w:t>EHF systems</w:t>
            </w:r>
          </w:p>
        </w:tc>
        <w:tc>
          <w:tcPr>
            <w:tcW w:w="992" w:type="dxa"/>
          </w:tcPr>
          <w:p w14:paraId="3C404ACB" w14:textId="77777777" w:rsidR="00CB747B" w:rsidRPr="00CB747B" w:rsidRDefault="00CB747B" w:rsidP="00675C8E">
            <w:pPr>
              <w:jc w:val="left"/>
            </w:pPr>
            <w:r w:rsidRPr="00CB747B">
              <w:t>11</w:t>
            </w:r>
          </w:p>
        </w:tc>
        <w:tc>
          <w:tcPr>
            <w:tcW w:w="2268" w:type="dxa"/>
          </w:tcPr>
          <w:p w14:paraId="09822CC2" w14:textId="77777777" w:rsidR="00CB747B" w:rsidRPr="00CB747B" w:rsidRDefault="00CB747B" w:rsidP="00675C8E">
            <w:pPr>
              <w:jc w:val="left"/>
            </w:pPr>
            <w:r w:rsidRPr="00CB747B">
              <w:t>7</w:t>
            </w:r>
          </w:p>
          <w:p w14:paraId="61FBCE3D" w14:textId="77777777" w:rsidR="00CB747B" w:rsidRPr="00CB747B" w:rsidRDefault="00CB747B" w:rsidP="00675C8E">
            <w:pPr>
              <w:jc w:val="left"/>
            </w:pPr>
            <w:r w:rsidRPr="00CB747B">
              <w:t>(MS, Radionavigation and FS unlikely to coexist)</w:t>
            </w:r>
          </w:p>
          <w:p w14:paraId="1423EA1B" w14:textId="77777777" w:rsidR="00CB747B" w:rsidRPr="00CB747B" w:rsidRDefault="00CB747B" w:rsidP="00675C8E">
            <w:pPr>
              <w:jc w:val="left"/>
            </w:pPr>
            <w:r w:rsidRPr="00CB747B">
              <w:t>(MSS and Radionavigation-Satellite unlikely to coexist)</w:t>
            </w:r>
          </w:p>
        </w:tc>
        <w:tc>
          <w:tcPr>
            <w:tcW w:w="2263" w:type="dxa"/>
          </w:tcPr>
          <w:p w14:paraId="40D8CF85" w14:textId="77777777" w:rsidR="00CB747B" w:rsidRPr="00CB747B" w:rsidRDefault="00CB747B" w:rsidP="00675C8E">
            <w:pPr>
              <w:jc w:val="left"/>
            </w:pPr>
            <w:r w:rsidRPr="00CB747B">
              <w:t>8.5 dB</w:t>
            </w:r>
          </w:p>
        </w:tc>
      </w:tr>
      <w:tr w:rsidR="00CB747B" w:rsidRPr="00D27A4D" w14:paraId="025E7DD6" w14:textId="77777777" w:rsidTr="00DE33C1">
        <w:tc>
          <w:tcPr>
            <w:tcW w:w="1271" w:type="dxa"/>
          </w:tcPr>
          <w:p w14:paraId="4170CB6B" w14:textId="77777777" w:rsidR="00CB747B" w:rsidRPr="00CB747B" w:rsidRDefault="00CB747B" w:rsidP="00675C8E">
            <w:pPr>
              <w:jc w:val="left"/>
            </w:pPr>
            <w:r w:rsidRPr="00CB747B">
              <w:t>190-191.8</w:t>
            </w:r>
          </w:p>
        </w:tc>
        <w:tc>
          <w:tcPr>
            <w:tcW w:w="1843" w:type="dxa"/>
          </w:tcPr>
          <w:p w14:paraId="1F38908E" w14:textId="77777777" w:rsidR="00CB747B" w:rsidRPr="00CB747B" w:rsidRDefault="00CB747B" w:rsidP="00675C8E">
            <w:pPr>
              <w:jc w:val="left"/>
            </w:pPr>
            <w:r w:rsidRPr="00CB747B">
              <w:t>FS (below/above)</w:t>
            </w:r>
          </w:p>
          <w:p w14:paraId="580E5267" w14:textId="77777777" w:rsidR="00CB747B" w:rsidRPr="00CB747B" w:rsidRDefault="00CB747B" w:rsidP="00675C8E">
            <w:pPr>
              <w:jc w:val="left"/>
            </w:pPr>
            <w:r w:rsidRPr="00CB747B">
              <w:t>MS (below/above)</w:t>
            </w:r>
          </w:p>
          <w:p w14:paraId="387C29D0" w14:textId="77777777" w:rsidR="00CB747B" w:rsidRPr="00CB747B" w:rsidRDefault="00CB747B" w:rsidP="00675C8E">
            <w:pPr>
              <w:jc w:val="left"/>
            </w:pPr>
            <w:r w:rsidRPr="00CB747B">
              <w:t>ISS (below/in-band/above)</w:t>
            </w:r>
          </w:p>
          <w:p w14:paraId="0E5CD5BA" w14:textId="77777777" w:rsidR="00CB747B" w:rsidRPr="00CB747B" w:rsidRDefault="00CB747B" w:rsidP="00675C8E">
            <w:pPr>
              <w:jc w:val="left"/>
            </w:pPr>
            <w:r w:rsidRPr="00CB747B">
              <w:t>MSS (above)</w:t>
            </w:r>
          </w:p>
          <w:p w14:paraId="1A7FE6C9" w14:textId="77777777" w:rsidR="00CB747B" w:rsidRPr="00CB747B" w:rsidRDefault="00CB747B" w:rsidP="00675C8E">
            <w:pPr>
              <w:jc w:val="left"/>
            </w:pPr>
            <w:r w:rsidRPr="00CB747B">
              <w:t>Radionavigation (above)</w:t>
            </w:r>
          </w:p>
          <w:p w14:paraId="37C578EC" w14:textId="77777777" w:rsidR="00CB747B" w:rsidRPr="00CB747B" w:rsidRDefault="00CB747B" w:rsidP="00675C8E">
            <w:pPr>
              <w:jc w:val="left"/>
            </w:pPr>
            <w:r w:rsidRPr="00CB747B">
              <w:t>Radionavigation-Satellite (above)</w:t>
            </w:r>
          </w:p>
        </w:tc>
        <w:tc>
          <w:tcPr>
            <w:tcW w:w="992" w:type="dxa"/>
          </w:tcPr>
          <w:p w14:paraId="2DBCCFA6" w14:textId="77777777" w:rsidR="00CB747B" w:rsidRPr="00CB747B" w:rsidRDefault="00CB747B" w:rsidP="00675C8E">
            <w:pPr>
              <w:jc w:val="left"/>
            </w:pPr>
          </w:p>
        </w:tc>
        <w:tc>
          <w:tcPr>
            <w:tcW w:w="992" w:type="dxa"/>
          </w:tcPr>
          <w:p w14:paraId="3F76EBF2" w14:textId="77777777" w:rsidR="00CB747B" w:rsidRPr="00CB747B" w:rsidRDefault="00CB747B" w:rsidP="00675C8E">
            <w:pPr>
              <w:jc w:val="left"/>
            </w:pPr>
            <w:r w:rsidRPr="00CB747B">
              <w:t>10</w:t>
            </w:r>
          </w:p>
        </w:tc>
        <w:tc>
          <w:tcPr>
            <w:tcW w:w="2268" w:type="dxa"/>
          </w:tcPr>
          <w:p w14:paraId="5046782F" w14:textId="77777777" w:rsidR="00CB747B" w:rsidRPr="00CB747B" w:rsidRDefault="00CB747B" w:rsidP="00675C8E">
            <w:pPr>
              <w:jc w:val="left"/>
            </w:pPr>
            <w:r w:rsidRPr="00CB747B">
              <w:t>6</w:t>
            </w:r>
          </w:p>
          <w:p w14:paraId="3A7D71AD" w14:textId="77777777" w:rsidR="00CB747B" w:rsidRPr="00CB747B" w:rsidRDefault="00CB747B" w:rsidP="00675C8E">
            <w:pPr>
              <w:jc w:val="left"/>
            </w:pPr>
            <w:r w:rsidRPr="00CB747B">
              <w:t>(MS, Radionavigation and FS unlikely to coexist)</w:t>
            </w:r>
          </w:p>
          <w:p w14:paraId="797EC213" w14:textId="77777777" w:rsidR="00CB747B" w:rsidRPr="00CB747B" w:rsidRDefault="00CB747B" w:rsidP="00675C8E">
            <w:pPr>
              <w:jc w:val="left"/>
            </w:pPr>
            <w:r w:rsidRPr="00CB747B">
              <w:t>(MSS and Radionavigation-Satellite unlikely to coexist)</w:t>
            </w:r>
          </w:p>
        </w:tc>
        <w:tc>
          <w:tcPr>
            <w:tcW w:w="2263" w:type="dxa"/>
          </w:tcPr>
          <w:p w14:paraId="0EE85701" w14:textId="77777777" w:rsidR="00CB747B" w:rsidRPr="00CB747B" w:rsidRDefault="00CB747B" w:rsidP="00675C8E">
            <w:pPr>
              <w:jc w:val="left"/>
            </w:pPr>
            <w:r w:rsidRPr="00CB747B">
              <w:t>7.8 dB</w:t>
            </w:r>
          </w:p>
        </w:tc>
      </w:tr>
      <w:tr w:rsidR="00CB747B" w:rsidRPr="00D27A4D" w14:paraId="1FAFA49F" w14:textId="77777777" w:rsidTr="00DE33C1">
        <w:tc>
          <w:tcPr>
            <w:tcW w:w="1271" w:type="dxa"/>
          </w:tcPr>
          <w:p w14:paraId="7E0E1E41" w14:textId="77777777" w:rsidR="00CB747B" w:rsidRPr="00CB747B" w:rsidRDefault="00CB747B" w:rsidP="00675C8E">
            <w:pPr>
              <w:jc w:val="left"/>
            </w:pPr>
            <w:r w:rsidRPr="00CB747B">
              <w:t>200-209</w:t>
            </w:r>
          </w:p>
        </w:tc>
        <w:tc>
          <w:tcPr>
            <w:tcW w:w="1843" w:type="dxa"/>
          </w:tcPr>
          <w:p w14:paraId="7EABA790" w14:textId="77777777" w:rsidR="00CB747B" w:rsidRPr="00CB747B" w:rsidRDefault="00CB747B" w:rsidP="00675C8E">
            <w:pPr>
              <w:jc w:val="left"/>
            </w:pPr>
            <w:r w:rsidRPr="00CB747B">
              <w:t>FS (below/above)</w:t>
            </w:r>
          </w:p>
          <w:p w14:paraId="1A482B23" w14:textId="77777777" w:rsidR="00CB747B" w:rsidRPr="00CB747B" w:rsidRDefault="00CB747B" w:rsidP="00675C8E">
            <w:pPr>
              <w:jc w:val="left"/>
            </w:pPr>
            <w:r w:rsidRPr="00CB747B">
              <w:t>MS (below/above)</w:t>
            </w:r>
          </w:p>
          <w:p w14:paraId="5DAB9FE0" w14:textId="77777777" w:rsidR="00CB747B" w:rsidRPr="00CB747B" w:rsidRDefault="00CB747B" w:rsidP="00675C8E">
            <w:pPr>
              <w:jc w:val="left"/>
            </w:pPr>
            <w:r w:rsidRPr="00CB747B">
              <w:t>FSS (above)</w:t>
            </w:r>
          </w:p>
          <w:p w14:paraId="1C213D21" w14:textId="77777777" w:rsidR="00CB747B" w:rsidRPr="00CB747B" w:rsidRDefault="00CB747B" w:rsidP="00675C8E">
            <w:pPr>
              <w:jc w:val="left"/>
            </w:pPr>
            <w:r w:rsidRPr="00CB747B">
              <w:t>ISS (below)</w:t>
            </w:r>
          </w:p>
          <w:p w14:paraId="4232CBEB" w14:textId="77777777" w:rsidR="00CB747B" w:rsidRPr="00CB747B" w:rsidRDefault="00CB747B" w:rsidP="00675C8E">
            <w:pPr>
              <w:jc w:val="left"/>
            </w:pPr>
            <w:r w:rsidRPr="00CB747B">
              <w:t>MSS (below)</w:t>
            </w:r>
          </w:p>
          <w:p w14:paraId="31C5C14D" w14:textId="77777777" w:rsidR="00CB747B" w:rsidRPr="00CB747B" w:rsidRDefault="00CB747B" w:rsidP="00675C8E">
            <w:pPr>
              <w:jc w:val="left"/>
            </w:pPr>
            <w:r w:rsidRPr="00CB747B">
              <w:t>Radionavigation (below)</w:t>
            </w:r>
          </w:p>
          <w:p w14:paraId="0A957307" w14:textId="77777777" w:rsidR="00CB747B" w:rsidRPr="00CB747B" w:rsidRDefault="00CB747B" w:rsidP="00675C8E">
            <w:pPr>
              <w:jc w:val="left"/>
            </w:pPr>
            <w:r w:rsidRPr="00CB747B">
              <w:t>Radionavigation-Satellite (below)</w:t>
            </w:r>
          </w:p>
        </w:tc>
        <w:tc>
          <w:tcPr>
            <w:tcW w:w="992" w:type="dxa"/>
          </w:tcPr>
          <w:p w14:paraId="226A9508" w14:textId="77777777" w:rsidR="00CB747B" w:rsidRPr="00CB747B" w:rsidRDefault="00CB747B" w:rsidP="00675C8E">
            <w:pPr>
              <w:jc w:val="left"/>
            </w:pPr>
          </w:p>
        </w:tc>
        <w:tc>
          <w:tcPr>
            <w:tcW w:w="992" w:type="dxa"/>
          </w:tcPr>
          <w:p w14:paraId="6DE4244D" w14:textId="77777777" w:rsidR="00CB747B" w:rsidRPr="00CB747B" w:rsidRDefault="00CB747B" w:rsidP="00675C8E">
            <w:pPr>
              <w:jc w:val="left"/>
            </w:pPr>
            <w:r w:rsidRPr="00CB747B">
              <w:t>9</w:t>
            </w:r>
          </w:p>
        </w:tc>
        <w:tc>
          <w:tcPr>
            <w:tcW w:w="2268" w:type="dxa"/>
          </w:tcPr>
          <w:p w14:paraId="64519A5A" w14:textId="77777777" w:rsidR="00CB747B" w:rsidRPr="00CB747B" w:rsidRDefault="00CB747B" w:rsidP="00675C8E">
            <w:pPr>
              <w:jc w:val="left"/>
            </w:pPr>
            <w:r w:rsidRPr="00CB747B">
              <w:t>5</w:t>
            </w:r>
          </w:p>
          <w:p w14:paraId="299B5C9E" w14:textId="77777777" w:rsidR="00CB747B" w:rsidRPr="00CB747B" w:rsidRDefault="00CB747B" w:rsidP="00675C8E">
            <w:pPr>
              <w:jc w:val="left"/>
            </w:pPr>
            <w:r w:rsidRPr="00CB747B">
              <w:t>(MS, Radionavigation and FS unlikely to coexist)</w:t>
            </w:r>
          </w:p>
          <w:p w14:paraId="483CDEC8" w14:textId="77777777" w:rsidR="00CB747B" w:rsidRPr="00CB747B" w:rsidRDefault="00CB747B" w:rsidP="00675C8E">
            <w:pPr>
              <w:jc w:val="left"/>
            </w:pPr>
            <w:r w:rsidRPr="00CB747B">
              <w:t>(MSS and Radionavigation- Satellite unlikely to coexist)</w:t>
            </w:r>
          </w:p>
        </w:tc>
        <w:tc>
          <w:tcPr>
            <w:tcW w:w="2263" w:type="dxa"/>
          </w:tcPr>
          <w:p w14:paraId="623B8023" w14:textId="77777777" w:rsidR="00CB747B" w:rsidRPr="00CB747B" w:rsidRDefault="00CB747B" w:rsidP="00675C8E">
            <w:pPr>
              <w:jc w:val="left"/>
            </w:pPr>
            <w:r w:rsidRPr="00CB747B">
              <w:t>7 dB</w:t>
            </w:r>
          </w:p>
        </w:tc>
      </w:tr>
      <w:tr w:rsidR="00CB747B" w:rsidRPr="00D27A4D" w14:paraId="7FC1169D" w14:textId="77777777" w:rsidTr="00DE33C1">
        <w:tc>
          <w:tcPr>
            <w:tcW w:w="1271" w:type="dxa"/>
          </w:tcPr>
          <w:p w14:paraId="304B1C70" w14:textId="77777777" w:rsidR="00CB747B" w:rsidRPr="00CB747B" w:rsidRDefault="00CB747B" w:rsidP="00675C8E">
            <w:pPr>
              <w:jc w:val="left"/>
            </w:pPr>
            <w:r w:rsidRPr="00CB747B">
              <w:t>226-231.5</w:t>
            </w:r>
          </w:p>
        </w:tc>
        <w:tc>
          <w:tcPr>
            <w:tcW w:w="1843" w:type="dxa"/>
          </w:tcPr>
          <w:p w14:paraId="4C8EC2C3" w14:textId="77777777" w:rsidR="00CB747B" w:rsidRPr="00CB747B" w:rsidRDefault="00CB747B" w:rsidP="00675C8E">
            <w:pPr>
              <w:jc w:val="left"/>
            </w:pPr>
            <w:r w:rsidRPr="00CB747B">
              <w:t>FS (below/above)</w:t>
            </w:r>
          </w:p>
          <w:p w14:paraId="1BD29706" w14:textId="77777777" w:rsidR="00CB747B" w:rsidRPr="00CB747B" w:rsidRDefault="00CB747B" w:rsidP="00675C8E">
            <w:pPr>
              <w:jc w:val="left"/>
            </w:pPr>
            <w:r w:rsidRPr="00CB747B">
              <w:t>MS (below/above)</w:t>
            </w:r>
          </w:p>
          <w:p w14:paraId="78F86F08" w14:textId="77777777" w:rsidR="00CB747B" w:rsidRPr="00CB747B" w:rsidRDefault="00CB747B" w:rsidP="00675C8E">
            <w:pPr>
              <w:jc w:val="left"/>
            </w:pPr>
            <w:r w:rsidRPr="00CB747B">
              <w:t>FSS (below/above)</w:t>
            </w:r>
          </w:p>
          <w:p w14:paraId="6DC88C66" w14:textId="77777777" w:rsidR="00CB747B" w:rsidRPr="00CB747B" w:rsidRDefault="00CB747B" w:rsidP="00675C8E">
            <w:pPr>
              <w:jc w:val="left"/>
            </w:pPr>
            <w:r w:rsidRPr="00CB747B">
              <w:t>Radiolocation (above)</w:t>
            </w:r>
          </w:p>
        </w:tc>
        <w:tc>
          <w:tcPr>
            <w:tcW w:w="992" w:type="dxa"/>
          </w:tcPr>
          <w:p w14:paraId="41BF270E" w14:textId="77777777" w:rsidR="00CB747B" w:rsidRPr="00CB747B" w:rsidRDefault="00CB747B" w:rsidP="00675C8E">
            <w:pPr>
              <w:jc w:val="left"/>
            </w:pPr>
          </w:p>
        </w:tc>
        <w:tc>
          <w:tcPr>
            <w:tcW w:w="992" w:type="dxa"/>
          </w:tcPr>
          <w:p w14:paraId="5D4A239E" w14:textId="77777777" w:rsidR="00CB747B" w:rsidRPr="00CB747B" w:rsidRDefault="00CB747B" w:rsidP="00675C8E">
            <w:pPr>
              <w:jc w:val="left"/>
            </w:pPr>
            <w:r w:rsidRPr="00CB747B">
              <w:t>7</w:t>
            </w:r>
          </w:p>
        </w:tc>
        <w:tc>
          <w:tcPr>
            <w:tcW w:w="2268" w:type="dxa"/>
          </w:tcPr>
          <w:p w14:paraId="004554F2" w14:textId="77777777" w:rsidR="00CB747B" w:rsidRPr="00CB747B" w:rsidRDefault="00CB747B" w:rsidP="00675C8E">
            <w:pPr>
              <w:jc w:val="left"/>
            </w:pPr>
            <w:r w:rsidRPr="00CB747B">
              <w:t>4</w:t>
            </w:r>
          </w:p>
          <w:p w14:paraId="7ED874A5" w14:textId="77777777" w:rsidR="00CB747B" w:rsidRPr="00CB747B" w:rsidRDefault="00CB747B" w:rsidP="00675C8E">
            <w:pPr>
              <w:jc w:val="left"/>
            </w:pPr>
            <w:r w:rsidRPr="00CB747B">
              <w:t>(MS, Radiolocation and FS unlikely to coexist)</w:t>
            </w:r>
          </w:p>
        </w:tc>
        <w:tc>
          <w:tcPr>
            <w:tcW w:w="2263" w:type="dxa"/>
          </w:tcPr>
          <w:p w14:paraId="50FFC8A4" w14:textId="77777777" w:rsidR="00CB747B" w:rsidRPr="00CB747B" w:rsidRDefault="00CB747B" w:rsidP="00675C8E">
            <w:pPr>
              <w:jc w:val="left"/>
            </w:pPr>
            <w:r w:rsidRPr="00CB747B">
              <w:t>6 dB</w:t>
            </w:r>
          </w:p>
        </w:tc>
      </w:tr>
      <w:tr w:rsidR="00CB747B" w:rsidRPr="00D27A4D" w14:paraId="4501F3DD" w14:textId="77777777" w:rsidTr="00DE33C1">
        <w:tc>
          <w:tcPr>
            <w:tcW w:w="1271" w:type="dxa"/>
          </w:tcPr>
          <w:p w14:paraId="2D8D797A" w14:textId="77777777" w:rsidR="00CB747B" w:rsidRPr="00CB747B" w:rsidRDefault="00CB747B" w:rsidP="00675C8E">
            <w:pPr>
              <w:jc w:val="left"/>
            </w:pPr>
            <w:r w:rsidRPr="00CB747B">
              <w:t>235-238</w:t>
            </w:r>
          </w:p>
        </w:tc>
        <w:tc>
          <w:tcPr>
            <w:tcW w:w="1843" w:type="dxa"/>
          </w:tcPr>
          <w:p w14:paraId="2779FB4A" w14:textId="77777777" w:rsidR="00CB747B" w:rsidRPr="00CB747B" w:rsidRDefault="00CB747B" w:rsidP="00675C8E">
            <w:pPr>
              <w:jc w:val="left"/>
            </w:pPr>
            <w:r w:rsidRPr="00CB747B">
              <w:t>FS (below/above)</w:t>
            </w:r>
          </w:p>
          <w:p w14:paraId="0DAA01AE" w14:textId="77777777" w:rsidR="00CB747B" w:rsidRPr="00CB747B" w:rsidRDefault="00CB747B" w:rsidP="00675C8E">
            <w:pPr>
              <w:jc w:val="left"/>
            </w:pPr>
            <w:r w:rsidRPr="00CB747B">
              <w:t>MS (below/above)</w:t>
            </w:r>
          </w:p>
          <w:p w14:paraId="4E0F21BD" w14:textId="77777777" w:rsidR="00CB747B" w:rsidRPr="00CB747B" w:rsidRDefault="00CB747B" w:rsidP="00675C8E">
            <w:pPr>
              <w:jc w:val="left"/>
            </w:pPr>
            <w:r w:rsidRPr="00CB747B">
              <w:t>FSS (below/in-band/above)</w:t>
            </w:r>
          </w:p>
          <w:p w14:paraId="358E2BF9" w14:textId="77777777" w:rsidR="00CB747B" w:rsidRPr="00CB747B" w:rsidRDefault="00CB747B" w:rsidP="00675C8E">
            <w:pPr>
              <w:jc w:val="left"/>
            </w:pPr>
            <w:r w:rsidRPr="00CB747B">
              <w:t>Radiolocation (below)</w:t>
            </w:r>
          </w:p>
          <w:p w14:paraId="2A39C0E8" w14:textId="77777777" w:rsidR="00CB747B" w:rsidRPr="00CB747B" w:rsidRDefault="00CB747B" w:rsidP="00675C8E">
            <w:pPr>
              <w:jc w:val="left"/>
            </w:pPr>
            <w:r w:rsidRPr="00CB747B">
              <w:t>Radionavigation (above)</w:t>
            </w:r>
          </w:p>
          <w:p w14:paraId="04AA48C5" w14:textId="77777777" w:rsidR="00CB747B" w:rsidRPr="00CB747B" w:rsidRDefault="00CB747B" w:rsidP="00675C8E">
            <w:pPr>
              <w:jc w:val="left"/>
            </w:pPr>
            <w:r w:rsidRPr="00CB747B">
              <w:t>Radionavigation-Satellite (above)</w:t>
            </w:r>
          </w:p>
        </w:tc>
        <w:tc>
          <w:tcPr>
            <w:tcW w:w="992" w:type="dxa"/>
          </w:tcPr>
          <w:p w14:paraId="13B661CB" w14:textId="77777777" w:rsidR="00CB747B" w:rsidRPr="00CB747B" w:rsidRDefault="00CB747B" w:rsidP="00675C8E">
            <w:pPr>
              <w:jc w:val="left"/>
            </w:pPr>
          </w:p>
        </w:tc>
        <w:tc>
          <w:tcPr>
            <w:tcW w:w="992" w:type="dxa"/>
          </w:tcPr>
          <w:p w14:paraId="56D27360" w14:textId="77777777" w:rsidR="00CB747B" w:rsidRPr="00CB747B" w:rsidRDefault="00CB747B" w:rsidP="00675C8E">
            <w:pPr>
              <w:jc w:val="left"/>
            </w:pPr>
            <w:r w:rsidRPr="00CB747B">
              <w:t>10</w:t>
            </w:r>
          </w:p>
        </w:tc>
        <w:tc>
          <w:tcPr>
            <w:tcW w:w="2268" w:type="dxa"/>
          </w:tcPr>
          <w:p w14:paraId="62A1006A" w14:textId="77777777" w:rsidR="00CB747B" w:rsidRPr="00CB747B" w:rsidRDefault="00CB747B" w:rsidP="00675C8E">
            <w:pPr>
              <w:jc w:val="left"/>
            </w:pPr>
            <w:r w:rsidRPr="00CB747B">
              <w:t>5</w:t>
            </w:r>
          </w:p>
          <w:p w14:paraId="5599DAD7" w14:textId="77777777" w:rsidR="00CB747B" w:rsidRPr="00CB747B" w:rsidRDefault="00CB747B" w:rsidP="00675C8E">
            <w:pPr>
              <w:jc w:val="left"/>
            </w:pPr>
            <w:r w:rsidRPr="00CB747B">
              <w:t>(MS, Radiolocation and FS unlikely to coexist)</w:t>
            </w:r>
          </w:p>
          <w:p w14:paraId="0A6D5F5F" w14:textId="77777777" w:rsidR="00CB747B" w:rsidRPr="00CB747B" w:rsidRDefault="00CB747B" w:rsidP="00675C8E">
            <w:pPr>
              <w:jc w:val="left"/>
            </w:pPr>
            <w:r w:rsidRPr="00CB747B">
              <w:t>(FSS and Radionavigation-Satellite unlikely to coexist)</w:t>
            </w:r>
          </w:p>
        </w:tc>
        <w:tc>
          <w:tcPr>
            <w:tcW w:w="2263" w:type="dxa"/>
          </w:tcPr>
          <w:p w14:paraId="20F07D41" w14:textId="77777777" w:rsidR="00CB747B" w:rsidRPr="00CB747B" w:rsidRDefault="00CB747B" w:rsidP="00675C8E">
            <w:pPr>
              <w:jc w:val="left"/>
            </w:pPr>
            <w:r w:rsidRPr="00CB747B">
              <w:t>7 dB</w:t>
            </w:r>
          </w:p>
        </w:tc>
      </w:tr>
      <w:tr w:rsidR="00CB747B" w:rsidRPr="00D27A4D" w14:paraId="65193BE0" w14:textId="77777777" w:rsidTr="00DE33C1">
        <w:tc>
          <w:tcPr>
            <w:tcW w:w="1271" w:type="dxa"/>
          </w:tcPr>
          <w:p w14:paraId="76F54989" w14:textId="77777777" w:rsidR="00CB747B" w:rsidRPr="00CB747B" w:rsidRDefault="00CB747B" w:rsidP="00675C8E">
            <w:pPr>
              <w:jc w:val="left"/>
            </w:pPr>
            <w:r w:rsidRPr="00CB747B">
              <w:t>239-248</w:t>
            </w:r>
          </w:p>
        </w:tc>
        <w:tc>
          <w:tcPr>
            <w:tcW w:w="8358" w:type="dxa"/>
            <w:gridSpan w:val="5"/>
          </w:tcPr>
          <w:p w14:paraId="3B130E52" w14:textId="6C5F0CD2" w:rsidR="00CB747B" w:rsidRPr="00CB747B" w:rsidRDefault="00CB747B" w:rsidP="00675C8E">
            <w:pPr>
              <w:jc w:val="left"/>
            </w:pPr>
            <w:r w:rsidRPr="00CB747B">
              <w:t>New frequency range acc</w:t>
            </w:r>
            <w:r w:rsidR="009D2C95">
              <w:t>ording</w:t>
            </w:r>
            <w:r w:rsidRPr="00CB747B">
              <w:t xml:space="preserve"> to resolution 662 WRC-19. Not yet assessed.</w:t>
            </w:r>
          </w:p>
        </w:tc>
      </w:tr>
      <w:tr w:rsidR="00CB747B" w:rsidRPr="00D27A4D" w14:paraId="3D6FA884" w14:textId="77777777" w:rsidTr="00DE33C1">
        <w:tc>
          <w:tcPr>
            <w:tcW w:w="1271" w:type="dxa"/>
          </w:tcPr>
          <w:p w14:paraId="141AE349" w14:textId="77777777" w:rsidR="00CB747B" w:rsidRPr="00CB747B" w:rsidRDefault="00CB747B" w:rsidP="00675C8E">
            <w:pPr>
              <w:jc w:val="left"/>
            </w:pPr>
            <w:r w:rsidRPr="00CB747B">
              <w:t>250-252</w:t>
            </w:r>
          </w:p>
        </w:tc>
        <w:tc>
          <w:tcPr>
            <w:tcW w:w="1843" w:type="dxa"/>
          </w:tcPr>
          <w:p w14:paraId="668E1200" w14:textId="77777777" w:rsidR="00CB747B" w:rsidRPr="00CB747B" w:rsidRDefault="00CB747B" w:rsidP="00675C8E">
            <w:pPr>
              <w:jc w:val="left"/>
            </w:pPr>
            <w:r w:rsidRPr="00CB747B">
              <w:t>FS (above)</w:t>
            </w:r>
          </w:p>
          <w:p w14:paraId="735589D3" w14:textId="77777777" w:rsidR="00CB747B" w:rsidRPr="00CB747B" w:rsidRDefault="00CB747B" w:rsidP="00675C8E">
            <w:pPr>
              <w:jc w:val="left"/>
            </w:pPr>
            <w:r w:rsidRPr="00CB747B">
              <w:t>MS (above)</w:t>
            </w:r>
          </w:p>
          <w:p w14:paraId="33955F36" w14:textId="77777777" w:rsidR="00CB747B" w:rsidRPr="00CB747B" w:rsidRDefault="00CB747B" w:rsidP="00675C8E">
            <w:pPr>
              <w:jc w:val="left"/>
            </w:pPr>
            <w:r w:rsidRPr="00CB747B">
              <w:t>Amateur and Amateur-Satellite (below)</w:t>
            </w:r>
          </w:p>
          <w:p w14:paraId="04726254" w14:textId="77777777" w:rsidR="00CB747B" w:rsidRPr="00CB747B" w:rsidRDefault="00CB747B" w:rsidP="00675C8E">
            <w:pPr>
              <w:jc w:val="left"/>
            </w:pPr>
            <w:r w:rsidRPr="00CB747B">
              <w:t>MSS (above)</w:t>
            </w:r>
          </w:p>
          <w:p w14:paraId="3332DD79" w14:textId="77777777" w:rsidR="00CB747B" w:rsidRPr="00CB747B" w:rsidRDefault="00CB747B" w:rsidP="00675C8E">
            <w:pPr>
              <w:jc w:val="left"/>
            </w:pPr>
            <w:r w:rsidRPr="00CB747B">
              <w:t>Radionavigation (above)</w:t>
            </w:r>
          </w:p>
          <w:p w14:paraId="41674432" w14:textId="77777777" w:rsidR="00CB747B" w:rsidRPr="00CB747B" w:rsidRDefault="00CB747B" w:rsidP="00675C8E">
            <w:pPr>
              <w:jc w:val="left"/>
            </w:pPr>
            <w:r w:rsidRPr="00CB747B">
              <w:t>Radionavigation-Satellite (above)</w:t>
            </w:r>
          </w:p>
        </w:tc>
        <w:tc>
          <w:tcPr>
            <w:tcW w:w="992" w:type="dxa"/>
          </w:tcPr>
          <w:p w14:paraId="31B018D1" w14:textId="77777777" w:rsidR="00CB747B" w:rsidRPr="00CB747B" w:rsidRDefault="00CB747B" w:rsidP="00675C8E">
            <w:pPr>
              <w:jc w:val="left"/>
            </w:pPr>
          </w:p>
        </w:tc>
        <w:tc>
          <w:tcPr>
            <w:tcW w:w="992" w:type="dxa"/>
          </w:tcPr>
          <w:p w14:paraId="4BB4DDEC" w14:textId="77777777" w:rsidR="00CB747B" w:rsidRPr="00CB747B" w:rsidRDefault="00CB747B" w:rsidP="00675C8E">
            <w:pPr>
              <w:jc w:val="left"/>
            </w:pPr>
            <w:r w:rsidRPr="00CB747B">
              <w:t>7</w:t>
            </w:r>
          </w:p>
        </w:tc>
        <w:tc>
          <w:tcPr>
            <w:tcW w:w="2268" w:type="dxa"/>
          </w:tcPr>
          <w:p w14:paraId="74B271F6" w14:textId="77777777" w:rsidR="00CB747B" w:rsidRPr="00CB747B" w:rsidRDefault="00CB747B" w:rsidP="00675C8E">
            <w:pPr>
              <w:jc w:val="left"/>
            </w:pPr>
            <w:r w:rsidRPr="00CB747B">
              <w:t>4</w:t>
            </w:r>
          </w:p>
          <w:p w14:paraId="7CCAD24A" w14:textId="77777777" w:rsidR="00CB747B" w:rsidRPr="00CB747B" w:rsidRDefault="00CB747B" w:rsidP="00675C8E">
            <w:pPr>
              <w:jc w:val="left"/>
            </w:pPr>
            <w:r w:rsidRPr="00CB747B">
              <w:t>(MS, Radionavigation and FS unlikely to coexist)</w:t>
            </w:r>
          </w:p>
          <w:p w14:paraId="0BF25EB1" w14:textId="77777777" w:rsidR="00CB747B" w:rsidRPr="00CB747B" w:rsidRDefault="00CB747B" w:rsidP="00675C8E">
            <w:pPr>
              <w:jc w:val="left"/>
            </w:pPr>
            <w:r w:rsidRPr="00CB747B">
              <w:t>(MSS and Radionavigation- Satellite unlikely to coexist)</w:t>
            </w:r>
          </w:p>
        </w:tc>
        <w:tc>
          <w:tcPr>
            <w:tcW w:w="2263" w:type="dxa"/>
          </w:tcPr>
          <w:p w14:paraId="6C275EE0" w14:textId="77777777" w:rsidR="00CB747B" w:rsidRPr="00CB747B" w:rsidRDefault="00CB747B" w:rsidP="00675C8E">
            <w:pPr>
              <w:jc w:val="left"/>
            </w:pPr>
            <w:r w:rsidRPr="00CB747B">
              <w:t>6 dB</w:t>
            </w:r>
          </w:p>
        </w:tc>
      </w:tr>
    </w:tbl>
    <w:p w14:paraId="7FA0B494" w14:textId="1B52C834" w:rsidR="00697764" w:rsidRPr="00697764" w:rsidRDefault="00697764" w:rsidP="00697764">
      <w:r w:rsidRPr="00697764">
        <w:t xml:space="preserve">The “resulting apportionment factor” in </w:t>
      </w:r>
      <w:r>
        <w:fldChar w:fldCharType="begin"/>
      </w:r>
      <w:r>
        <w:instrText xml:space="preserve"> REF _Ref67661455 \h </w:instrText>
      </w:r>
      <w:r>
        <w:fldChar w:fldCharType="separate"/>
      </w:r>
      <w:r w:rsidR="0041125F" w:rsidRPr="002428E9">
        <w:t>Table </w:t>
      </w:r>
      <w:r w:rsidR="0041125F">
        <w:rPr>
          <w:noProof/>
        </w:rPr>
        <w:t>137</w:t>
      </w:r>
      <w:r>
        <w:fldChar w:fldCharType="end"/>
      </w:r>
      <w:r>
        <w:t xml:space="preserve"> </w:t>
      </w:r>
      <w:r w:rsidRPr="00697764">
        <w:t>above is derived under the following assumptions:</w:t>
      </w:r>
    </w:p>
    <w:p w14:paraId="533C8FCB" w14:textId="31570A75" w:rsidR="00697764" w:rsidRPr="00697764" w:rsidRDefault="00697764" w:rsidP="00697764">
      <w:pPr>
        <w:pStyle w:val="ECCBulletsLv1"/>
      </w:pPr>
      <w:r w:rsidRPr="00697764">
        <w:t>All Radio services are expected to transmit in the IFOV of the satellite</w:t>
      </w:r>
      <w:r w:rsidR="009D2C95">
        <w:t>;</w:t>
      </w:r>
    </w:p>
    <w:p w14:paraId="55654CAA" w14:textId="77777777" w:rsidR="00697764" w:rsidRPr="00697764" w:rsidRDefault="00697764" w:rsidP="00697764">
      <w:pPr>
        <w:pStyle w:val="ECCBulletsLv1"/>
      </w:pPr>
      <w:r w:rsidRPr="00697764">
        <w:t>All produced interference signals are present in the victim receiver bandwidth and add up constructively, at equal level.</w:t>
      </w:r>
    </w:p>
    <w:p w14:paraId="2A3B0182" w14:textId="73390A1C" w:rsidR="00697764" w:rsidRPr="00697764" w:rsidRDefault="00697764" w:rsidP="00697764">
      <w:r w:rsidRPr="00697764">
        <w:t>In order to generate the final apportionment factor for all SRD-applications which are a subject of this Report, the following assumptions have been made</w:t>
      </w:r>
      <w:r w:rsidR="000A6EC9">
        <w:t>:</w:t>
      </w:r>
    </w:p>
    <w:p w14:paraId="34B59359" w14:textId="6E45CBAE" w:rsidR="00697764" w:rsidRPr="00697764" w:rsidRDefault="00697764" w:rsidP="00697764">
      <w:pPr>
        <w:pStyle w:val="ECCBulletsLv1"/>
      </w:pPr>
      <w:r w:rsidRPr="00697764">
        <w:t>All applications in the respective frequency band are expected to transmit in the IFOV of the satellite</w:t>
      </w:r>
      <w:r w:rsidR="009D2C95">
        <w:t>;</w:t>
      </w:r>
    </w:p>
    <w:p w14:paraId="34E27CDF" w14:textId="77777777" w:rsidR="00697764" w:rsidRDefault="00697764" w:rsidP="00B830E8">
      <w:pPr>
        <w:pStyle w:val="ECCBulletsLv1"/>
      </w:pPr>
      <w:r w:rsidRPr="00697764">
        <w:t>All produced interference signals are present in the victim receiver bandwidth and add up constructively, at equal level.</w:t>
      </w:r>
    </w:p>
    <w:p w14:paraId="6FDD520C" w14:textId="3DFFCA70" w:rsidR="00D5075D" w:rsidRDefault="006042D2" w:rsidP="00CE6F7D">
      <w:r>
        <w:t>A second</w:t>
      </w:r>
      <w:r w:rsidR="004A0381">
        <w:t xml:space="preserve"> </w:t>
      </w:r>
      <w:r w:rsidRPr="006042D2">
        <w:t>approach applied the assumptions to only give a 0.5 weight to interferers located in adjacent bands to EESS (passive) allocations outside 5.340 protected bands and to not consider the ISS service in the bands 114.25 to 122.25 GHz and 174.8 to 191.8 GHz as a potential source of interference. In addition to that EHF systems are considered as generic and hence cover both</w:t>
      </w:r>
      <w:r w:rsidR="007255A3">
        <w:t>,</w:t>
      </w:r>
      <w:r w:rsidRPr="006042D2">
        <w:t xml:space="preserve"> FS and MS. This alternative approach would lead to the situation shown in </w:t>
      </w:r>
      <w:r w:rsidR="00CE6F7D">
        <w:fldChar w:fldCharType="begin"/>
      </w:r>
      <w:r w:rsidR="00CE6F7D">
        <w:instrText xml:space="preserve"> REF _Ref80883819 \h </w:instrText>
      </w:r>
      <w:r w:rsidR="00CE6F7D">
        <w:fldChar w:fldCharType="separate"/>
      </w:r>
      <w:r w:rsidR="0041125F" w:rsidRPr="00CE6F7D">
        <w:t>Table </w:t>
      </w:r>
      <w:r w:rsidR="0041125F">
        <w:rPr>
          <w:noProof/>
        </w:rPr>
        <w:t>138</w:t>
      </w:r>
      <w:r w:rsidR="00CE6F7D">
        <w:fldChar w:fldCharType="end"/>
      </w:r>
      <w:r w:rsidRPr="006042D2">
        <w:t>.</w:t>
      </w:r>
    </w:p>
    <w:p w14:paraId="03C474E5" w14:textId="77777777" w:rsidR="00D5075D" w:rsidRDefault="00D5075D">
      <w:r>
        <w:br w:type="page"/>
      </w:r>
    </w:p>
    <w:p w14:paraId="18A18ACD" w14:textId="272E7833" w:rsidR="006042D2" w:rsidRDefault="00CE6F7D" w:rsidP="006042D2">
      <w:pPr>
        <w:pStyle w:val="Caption"/>
      </w:pPr>
      <w:bookmarkStart w:id="1029" w:name="_Ref80883819"/>
      <w:r w:rsidRPr="00CE6F7D">
        <w:t>Table </w:t>
      </w:r>
      <w:r>
        <w:fldChar w:fldCharType="begin"/>
      </w:r>
      <w:r>
        <w:instrText>SEQ Table \* ARABIC</w:instrText>
      </w:r>
      <w:r>
        <w:fldChar w:fldCharType="separate"/>
      </w:r>
      <w:r w:rsidR="004F49F9">
        <w:rPr>
          <w:noProof/>
        </w:rPr>
        <w:t>138</w:t>
      </w:r>
      <w:r>
        <w:fldChar w:fldCharType="end"/>
      </w:r>
      <w:bookmarkEnd w:id="1029"/>
      <w:r w:rsidRPr="00CE6F7D">
        <w:t>: Alternative band-by-band apportionment approach in the frequency range 114.25-260 GHz induced by allocations to Radio Services</w:t>
      </w:r>
    </w:p>
    <w:tbl>
      <w:tblPr>
        <w:tblStyle w:val="ECCTable-redheader"/>
        <w:tblW w:w="9634" w:type="dxa"/>
        <w:tblInd w:w="0" w:type="dxa"/>
        <w:tblLayout w:type="fixed"/>
        <w:tblLook w:val="04A0" w:firstRow="1" w:lastRow="0" w:firstColumn="1" w:lastColumn="0" w:noHBand="0" w:noVBand="1"/>
      </w:tblPr>
      <w:tblGrid>
        <w:gridCol w:w="1413"/>
        <w:gridCol w:w="1984"/>
        <w:gridCol w:w="1276"/>
        <w:gridCol w:w="3260"/>
        <w:gridCol w:w="1701"/>
      </w:tblGrid>
      <w:tr w:rsidR="006042D2" w:rsidRPr="00D27A4D" w14:paraId="5A18D3C3" w14:textId="77777777" w:rsidTr="0053235B">
        <w:trPr>
          <w:cnfStyle w:val="100000000000" w:firstRow="1" w:lastRow="0" w:firstColumn="0" w:lastColumn="0" w:oddVBand="0" w:evenVBand="0" w:oddHBand="0" w:evenHBand="0" w:firstRowFirstColumn="0" w:firstRowLastColumn="0" w:lastRowFirstColumn="0" w:lastRowLastColumn="0"/>
        </w:trPr>
        <w:tc>
          <w:tcPr>
            <w:tcW w:w="1413" w:type="dxa"/>
          </w:tcPr>
          <w:p w14:paraId="08569871" w14:textId="77777777" w:rsidR="006042D2" w:rsidRPr="006042D2" w:rsidRDefault="006042D2" w:rsidP="006042D2">
            <w:r>
              <w:t>Frequency band</w:t>
            </w:r>
            <w:r w:rsidR="00D64078">
              <w:t xml:space="preserve"> (GHz)</w:t>
            </w:r>
          </w:p>
        </w:tc>
        <w:tc>
          <w:tcPr>
            <w:tcW w:w="1984" w:type="dxa"/>
          </w:tcPr>
          <w:p w14:paraId="7D22E2D7" w14:textId="77777777" w:rsidR="006042D2" w:rsidRPr="006042D2" w:rsidRDefault="006042D2" w:rsidP="006042D2">
            <w:r>
              <w:t xml:space="preserve">Potential interfering </w:t>
            </w:r>
            <w:r w:rsidRPr="006042D2">
              <w:t>Radio Service</w:t>
            </w:r>
          </w:p>
        </w:tc>
        <w:tc>
          <w:tcPr>
            <w:tcW w:w="1276" w:type="dxa"/>
          </w:tcPr>
          <w:p w14:paraId="3E65505C" w14:textId="77777777" w:rsidR="006042D2" w:rsidRPr="006042D2" w:rsidRDefault="006042D2" w:rsidP="006042D2">
            <w:pPr>
              <w:rPr>
                <w:rStyle w:val="ECCParagraph"/>
              </w:rPr>
            </w:pPr>
            <w:r>
              <w:rPr>
                <w:rStyle w:val="ECCParagraph"/>
              </w:rPr>
              <w:t>Total n</w:t>
            </w:r>
            <w:r w:rsidRPr="006042D2">
              <w:rPr>
                <w:rStyle w:val="ECCParagraph"/>
              </w:rPr>
              <w:t>umber of sources</w:t>
            </w:r>
          </w:p>
        </w:tc>
        <w:tc>
          <w:tcPr>
            <w:tcW w:w="3260" w:type="dxa"/>
          </w:tcPr>
          <w:p w14:paraId="4FC8B5CF" w14:textId="77777777" w:rsidR="006042D2" w:rsidRPr="006042D2" w:rsidRDefault="006042D2" w:rsidP="006042D2">
            <w:pPr>
              <w:rPr>
                <w:rStyle w:val="ECCParagraph"/>
              </w:rPr>
            </w:pPr>
            <w:r w:rsidRPr="00DB784F">
              <w:t>Reasse</w:t>
            </w:r>
            <w:r w:rsidR="007A6714">
              <w:t>ss</w:t>
            </w:r>
            <w:r w:rsidRPr="00DB784F">
              <w:t>ment of</w:t>
            </w:r>
            <w:r w:rsidRPr="006042D2">
              <w:t xml:space="preserve"> the total number of sources taking account of either no operation in same geographic location or OOB from adjacent user as a fraction of in-band emissions</w:t>
            </w:r>
          </w:p>
        </w:tc>
        <w:tc>
          <w:tcPr>
            <w:tcW w:w="1701" w:type="dxa"/>
          </w:tcPr>
          <w:p w14:paraId="61F39E9D" w14:textId="77777777" w:rsidR="006042D2" w:rsidRPr="006042D2" w:rsidRDefault="006042D2" w:rsidP="006042D2">
            <w:pPr>
              <w:rPr>
                <w:rStyle w:val="ECCParagraph"/>
              </w:rPr>
            </w:pPr>
            <w:r w:rsidRPr="00DB784F">
              <w:t>Resulting apportionment factor</w:t>
            </w:r>
            <w:r w:rsidRPr="006042D2">
              <w:t xml:space="preserve"> using even distribution </w:t>
            </w:r>
          </w:p>
        </w:tc>
      </w:tr>
      <w:tr w:rsidR="006042D2" w:rsidRPr="00D27A4D" w14:paraId="0D99D1D3" w14:textId="77777777" w:rsidTr="0053235B">
        <w:tc>
          <w:tcPr>
            <w:tcW w:w="1413" w:type="dxa"/>
          </w:tcPr>
          <w:p w14:paraId="0580BACF" w14:textId="77777777" w:rsidR="006042D2" w:rsidRPr="006042D2" w:rsidRDefault="006042D2" w:rsidP="00310D32">
            <w:pPr>
              <w:spacing w:before="40" w:after="40"/>
              <w:jc w:val="left"/>
            </w:pPr>
            <w:r>
              <w:t>114.25-1</w:t>
            </w:r>
            <w:r w:rsidRPr="006042D2">
              <w:t>16</w:t>
            </w:r>
          </w:p>
        </w:tc>
        <w:tc>
          <w:tcPr>
            <w:tcW w:w="1984" w:type="dxa"/>
          </w:tcPr>
          <w:p w14:paraId="368B37F2" w14:textId="77777777" w:rsidR="006042D2" w:rsidRPr="006042D2" w:rsidRDefault="006042D2" w:rsidP="00310D32">
            <w:pPr>
              <w:spacing w:before="40" w:after="40"/>
              <w:jc w:val="left"/>
            </w:pPr>
            <w:r w:rsidRPr="00DB784F">
              <w:t>FS (</w:t>
            </w:r>
            <w:r w:rsidRPr="006042D2">
              <w:t>below/above)</w:t>
            </w:r>
          </w:p>
          <w:p w14:paraId="15EE00DB" w14:textId="77777777" w:rsidR="006042D2" w:rsidRPr="006042D2" w:rsidRDefault="006042D2" w:rsidP="00310D32">
            <w:pPr>
              <w:spacing w:before="40" w:after="40"/>
              <w:jc w:val="left"/>
            </w:pPr>
            <w:r w:rsidRPr="00DB784F">
              <w:t>MS (</w:t>
            </w:r>
            <w:r w:rsidRPr="006042D2">
              <w:t>below/above)</w:t>
            </w:r>
          </w:p>
          <w:p w14:paraId="66A37F0A" w14:textId="77777777" w:rsidR="006042D2" w:rsidRPr="006042D2" w:rsidRDefault="006042D2" w:rsidP="00310D32">
            <w:pPr>
              <w:spacing w:before="40" w:after="40"/>
              <w:jc w:val="left"/>
            </w:pPr>
            <w:r>
              <w:t>ISS (above)</w:t>
            </w:r>
          </w:p>
        </w:tc>
        <w:tc>
          <w:tcPr>
            <w:tcW w:w="1276" w:type="dxa"/>
          </w:tcPr>
          <w:p w14:paraId="294D864A" w14:textId="77777777" w:rsidR="006042D2" w:rsidRPr="006042D2" w:rsidDel="00D3054B" w:rsidRDefault="006042D2" w:rsidP="00310D32">
            <w:pPr>
              <w:spacing w:before="40" w:after="40"/>
              <w:jc w:val="left"/>
            </w:pPr>
            <w:r>
              <w:t>5</w:t>
            </w:r>
          </w:p>
        </w:tc>
        <w:tc>
          <w:tcPr>
            <w:tcW w:w="3260" w:type="dxa"/>
          </w:tcPr>
          <w:p w14:paraId="1E258EB1" w14:textId="77777777" w:rsidR="006042D2" w:rsidRPr="006042D2" w:rsidRDefault="006042D2" w:rsidP="00310D32">
            <w:pPr>
              <w:spacing w:before="40" w:after="40"/>
              <w:jc w:val="left"/>
            </w:pPr>
            <w:r w:rsidRPr="00DB784F">
              <w:t>2</w:t>
            </w:r>
          </w:p>
          <w:p w14:paraId="21DFCC8F" w14:textId="77777777" w:rsidR="006042D2" w:rsidRPr="006042D2" w:rsidDel="00D3054B" w:rsidRDefault="006042D2" w:rsidP="00310D32">
            <w:pPr>
              <w:spacing w:before="40" w:after="40"/>
              <w:jc w:val="left"/>
            </w:pPr>
            <w:r w:rsidRPr="00DB784F">
              <w:t>(MS and FS unlikely to coexist)</w:t>
            </w:r>
          </w:p>
        </w:tc>
        <w:tc>
          <w:tcPr>
            <w:tcW w:w="1701" w:type="dxa"/>
          </w:tcPr>
          <w:p w14:paraId="21B73C87" w14:textId="77777777" w:rsidR="006042D2" w:rsidRPr="006042D2" w:rsidRDefault="006042D2" w:rsidP="00310D32">
            <w:pPr>
              <w:spacing w:before="40" w:after="40"/>
              <w:jc w:val="left"/>
            </w:pPr>
            <w:r w:rsidRPr="006042D2">
              <w:t>3</w:t>
            </w:r>
            <w:r w:rsidR="00F817F4">
              <w:t> </w:t>
            </w:r>
            <w:r w:rsidRPr="006042D2">
              <w:t>dB</w:t>
            </w:r>
          </w:p>
        </w:tc>
      </w:tr>
      <w:tr w:rsidR="006042D2" w:rsidRPr="00D27A4D" w14:paraId="2D69C779" w14:textId="77777777" w:rsidTr="0053235B">
        <w:tc>
          <w:tcPr>
            <w:tcW w:w="1413" w:type="dxa"/>
          </w:tcPr>
          <w:p w14:paraId="611349C4" w14:textId="77777777" w:rsidR="006042D2" w:rsidRPr="006042D2" w:rsidRDefault="006042D2" w:rsidP="00D5075D">
            <w:pPr>
              <w:spacing w:before="40" w:after="40"/>
              <w:jc w:val="left"/>
            </w:pPr>
            <w:r>
              <w:t>11</w:t>
            </w:r>
            <w:r w:rsidRPr="006042D2">
              <w:t>6-122.25</w:t>
            </w:r>
          </w:p>
        </w:tc>
        <w:tc>
          <w:tcPr>
            <w:tcW w:w="1984" w:type="dxa"/>
          </w:tcPr>
          <w:p w14:paraId="3C01D44C" w14:textId="77777777" w:rsidR="006042D2" w:rsidRPr="006042D2" w:rsidRDefault="006042D2" w:rsidP="00D5075D">
            <w:pPr>
              <w:spacing w:before="40" w:after="40"/>
              <w:jc w:val="left"/>
            </w:pPr>
            <w:r w:rsidRPr="00DB784F">
              <w:t>FS (</w:t>
            </w:r>
            <w:r w:rsidRPr="006042D2">
              <w:t>in-band/above)</w:t>
            </w:r>
          </w:p>
          <w:p w14:paraId="2D3A3742" w14:textId="77777777" w:rsidR="006042D2" w:rsidRPr="006042D2" w:rsidRDefault="006042D2" w:rsidP="00D5075D">
            <w:pPr>
              <w:spacing w:before="40" w:after="40"/>
              <w:jc w:val="left"/>
            </w:pPr>
            <w:r w:rsidRPr="00DB784F">
              <w:t>MS (</w:t>
            </w:r>
            <w:r w:rsidRPr="006042D2">
              <w:t>in band/above)</w:t>
            </w:r>
          </w:p>
          <w:p w14:paraId="2D66BC0A" w14:textId="77777777" w:rsidR="006042D2" w:rsidRPr="006042D2" w:rsidRDefault="006042D2" w:rsidP="00D5075D">
            <w:pPr>
              <w:spacing w:before="40" w:after="40"/>
              <w:jc w:val="left"/>
            </w:pPr>
            <w:r>
              <w:t>ISS (</w:t>
            </w:r>
            <w:r w:rsidRPr="006042D2">
              <w:t>above)</w:t>
            </w:r>
          </w:p>
        </w:tc>
        <w:tc>
          <w:tcPr>
            <w:tcW w:w="1276" w:type="dxa"/>
          </w:tcPr>
          <w:p w14:paraId="59489609" w14:textId="77777777" w:rsidR="006042D2" w:rsidRPr="006042D2" w:rsidRDefault="006042D2" w:rsidP="00D5075D">
            <w:pPr>
              <w:spacing w:before="40" w:after="40"/>
              <w:jc w:val="left"/>
            </w:pPr>
            <w:r>
              <w:t>5</w:t>
            </w:r>
          </w:p>
        </w:tc>
        <w:tc>
          <w:tcPr>
            <w:tcW w:w="3260" w:type="dxa"/>
          </w:tcPr>
          <w:p w14:paraId="50B0BF45" w14:textId="77777777" w:rsidR="006042D2" w:rsidRPr="006042D2" w:rsidRDefault="006042D2" w:rsidP="00D5075D">
            <w:pPr>
              <w:spacing w:before="40" w:after="40"/>
              <w:jc w:val="left"/>
            </w:pPr>
            <w:r w:rsidRPr="00DB784F">
              <w:t>2</w:t>
            </w:r>
          </w:p>
          <w:p w14:paraId="27A69867" w14:textId="77777777" w:rsidR="006042D2" w:rsidRPr="006042D2" w:rsidRDefault="006042D2" w:rsidP="00D5075D">
            <w:pPr>
              <w:spacing w:before="40" w:after="40"/>
              <w:jc w:val="left"/>
            </w:pPr>
            <w:r w:rsidRPr="00DB784F">
              <w:t>(MS and FS unlikely to coexist)</w:t>
            </w:r>
          </w:p>
        </w:tc>
        <w:tc>
          <w:tcPr>
            <w:tcW w:w="1701" w:type="dxa"/>
          </w:tcPr>
          <w:p w14:paraId="3D317532" w14:textId="77777777" w:rsidR="006042D2" w:rsidRPr="006042D2" w:rsidRDefault="006042D2" w:rsidP="00D5075D">
            <w:pPr>
              <w:spacing w:before="40" w:after="40"/>
              <w:jc w:val="left"/>
            </w:pPr>
            <w:r w:rsidRPr="006042D2">
              <w:t>3</w:t>
            </w:r>
            <w:r w:rsidR="00F817F4">
              <w:t> </w:t>
            </w:r>
            <w:r w:rsidRPr="006042D2">
              <w:t>dB</w:t>
            </w:r>
          </w:p>
        </w:tc>
      </w:tr>
      <w:tr w:rsidR="006042D2" w:rsidRPr="00D27A4D" w14:paraId="3987FAEB" w14:textId="77777777" w:rsidTr="0053235B">
        <w:tc>
          <w:tcPr>
            <w:tcW w:w="1413" w:type="dxa"/>
          </w:tcPr>
          <w:p w14:paraId="4E162B4C" w14:textId="77777777" w:rsidR="006042D2" w:rsidRPr="006042D2" w:rsidRDefault="006042D2" w:rsidP="00D5075D">
            <w:pPr>
              <w:spacing w:before="40" w:after="40"/>
              <w:jc w:val="left"/>
            </w:pPr>
            <w:r w:rsidRPr="001C3098">
              <w:t>148</w:t>
            </w:r>
            <w:r w:rsidRPr="006042D2">
              <w:t>.5-151.5</w:t>
            </w:r>
          </w:p>
        </w:tc>
        <w:tc>
          <w:tcPr>
            <w:tcW w:w="1984" w:type="dxa"/>
          </w:tcPr>
          <w:p w14:paraId="4387E13E" w14:textId="77777777" w:rsidR="006042D2" w:rsidRPr="006042D2" w:rsidRDefault="006042D2" w:rsidP="00D5075D">
            <w:pPr>
              <w:spacing w:before="40" w:after="40"/>
              <w:jc w:val="left"/>
            </w:pPr>
            <w:r w:rsidRPr="00DB784F">
              <w:t xml:space="preserve">FS </w:t>
            </w:r>
            <w:r w:rsidRPr="006042D2">
              <w:t>(below/above)</w:t>
            </w:r>
          </w:p>
          <w:p w14:paraId="4ED8F12C" w14:textId="77777777" w:rsidR="006042D2" w:rsidRPr="006042D2" w:rsidRDefault="006042D2" w:rsidP="00D5075D">
            <w:pPr>
              <w:spacing w:before="40" w:after="40"/>
              <w:jc w:val="left"/>
            </w:pPr>
            <w:r w:rsidRPr="00DB784F">
              <w:t>MS (below</w:t>
            </w:r>
            <w:r w:rsidRPr="006042D2">
              <w:t>/above)</w:t>
            </w:r>
          </w:p>
          <w:p w14:paraId="73A9032B" w14:textId="77777777" w:rsidR="006042D2" w:rsidRPr="006042D2" w:rsidRDefault="006042D2" w:rsidP="00D5075D">
            <w:pPr>
              <w:spacing w:before="40" w:after="40"/>
              <w:jc w:val="left"/>
            </w:pPr>
            <w:r w:rsidRPr="001C3098">
              <w:t>Radioloc</w:t>
            </w:r>
            <w:r w:rsidRPr="006042D2">
              <w:t>ation (below/above)</w:t>
            </w:r>
          </w:p>
        </w:tc>
        <w:tc>
          <w:tcPr>
            <w:tcW w:w="1276" w:type="dxa"/>
          </w:tcPr>
          <w:p w14:paraId="35EB6ED3" w14:textId="77777777" w:rsidR="006042D2" w:rsidRPr="006042D2" w:rsidRDefault="006042D2" w:rsidP="00D5075D">
            <w:pPr>
              <w:spacing w:before="40" w:after="40"/>
              <w:jc w:val="left"/>
            </w:pPr>
            <w:r w:rsidRPr="001C3098">
              <w:t>6</w:t>
            </w:r>
          </w:p>
        </w:tc>
        <w:tc>
          <w:tcPr>
            <w:tcW w:w="3260" w:type="dxa"/>
          </w:tcPr>
          <w:p w14:paraId="24076534" w14:textId="77777777" w:rsidR="006042D2" w:rsidRPr="006042D2" w:rsidRDefault="006042D2" w:rsidP="00D5075D">
            <w:pPr>
              <w:spacing w:before="40" w:after="40"/>
              <w:jc w:val="left"/>
            </w:pPr>
            <w:r w:rsidRPr="00DB784F">
              <w:t>2</w:t>
            </w:r>
          </w:p>
          <w:p w14:paraId="4AC2397B" w14:textId="77777777" w:rsidR="006042D2" w:rsidRPr="006042D2" w:rsidRDefault="006042D2" w:rsidP="00D5075D">
            <w:pPr>
              <w:spacing w:before="40" w:after="40"/>
              <w:jc w:val="left"/>
            </w:pPr>
            <w:r w:rsidRPr="00DB784F">
              <w:t>(MS and FS unlikely to coexist)</w:t>
            </w:r>
          </w:p>
        </w:tc>
        <w:tc>
          <w:tcPr>
            <w:tcW w:w="1701" w:type="dxa"/>
          </w:tcPr>
          <w:p w14:paraId="1824095D" w14:textId="77777777" w:rsidR="006042D2" w:rsidRPr="006042D2" w:rsidRDefault="006042D2" w:rsidP="00D5075D">
            <w:pPr>
              <w:spacing w:before="40" w:after="40"/>
              <w:jc w:val="left"/>
            </w:pPr>
            <w:r w:rsidRPr="006042D2">
              <w:t>3 dB</w:t>
            </w:r>
          </w:p>
        </w:tc>
      </w:tr>
      <w:tr w:rsidR="006042D2" w:rsidRPr="00D27A4D" w14:paraId="0BF68DF0" w14:textId="77777777" w:rsidTr="0053235B">
        <w:tc>
          <w:tcPr>
            <w:tcW w:w="1413" w:type="dxa"/>
          </w:tcPr>
          <w:p w14:paraId="30B1E3D0" w14:textId="77777777" w:rsidR="006042D2" w:rsidRPr="006042D2" w:rsidRDefault="006042D2" w:rsidP="00D5075D">
            <w:pPr>
              <w:spacing w:before="40" w:after="40"/>
              <w:jc w:val="left"/>
            </w:pPr>
            <w:r w:rsidRPr="009C7D5D">
              <w:t>164-167</w:t>
            </w:r>
          </w:p>
        </w:tc>
        <w:tc>
          <w:tcPr>
            <w:tcW w:w="1984" w:type="dxa"/>
          </w:tcPr>
          <w:p w14:paraId="337D5F41" w14:textId="77777777" w:rsidR="006042D2" w:rsidRPr="006042D2" w:rsidRDefault="006042D2" w:rsidP="00D5075D">
            <w:pPr>
              <w:spacing w:before="40" w:after="40"/>
              <w:jc w:val="left"/>
            </w:pPr>
            <w:r w:rsidRPr="00DB784F">
              <w:t>FS (below</w:t>
            </w:r>
            <w:r w:rsidRPr="006042D2">
              <w:t>/above)</w:t>
            </w:r>
          </w:p>
          <w:p w14:paraId="6BBC1F65" w14:textId="77777777" w:rsidR="006042D2" w:rsidRPr="006042D2" w:rsidRDefault="006042D2" w:rsidP="00D5075D">
            <w:pPr>
              <w:spacing w:before="40" w:after="40"/>
              <w:jc w:val="left"/>
            </w:pPr>
            <w:r w:rsidRPr="00DB784F">
              <w:t>MS (below</w:t>
            </w:r>
            <w:r w:rsidRPr="006042D2">
              <w:t>/above)</w:t>
            </w:r>
          </w:p>
          <w:p w14:paraId="2B0D5D47" w14:textId="77777777" w:rsidR="006042D2" w:rsidRPr="006042D2" w:rsidRDefault="006042D2" w:rsidP="00D5075D">
            <w:pPr>
              <w:spacing w:before="40" w:after="40"/>
              <w:jc w:val="left"/>
            </w:pPr>
            <w:r w:rsidRPr="00DB784F">
              <w:t>FSS (below</w:t>
            </w:r>
            <w:r w:rsidRPr="006042D2">
              <w:t>/above)</w:t>
            </w:r>
          </w:p>
          <w:p w14:paraId="3AC042BD" w14:textId="77777777" w:rsidR="006042D2" w:rsidRPr="006042D2" w:rsidRDefault="006042D2" w:rsidP="00D5075D">
            <w:pPr>
              <w:spacing w:before="40" w:after="40"/>
              <w:jc w:val="left"/>
            </w:pPr>
            <w:r w:rsidRPr="00DB784F">
              <w:t>MSS (below)</w:t>
            </w:r>
          </w:p>
          <w:p w14:paraId="7CCD0D3F" w14:textId="77777777" w:rsidR="006042D2" w:rsidRPr="006042D2" w:rsidRDefault="006042D2" w:rsidP="00D5075D">
            <w:pPr>
              <w:spacing w:before="40" w:after="40"/>
              <w:jc w:val="left"/>
            </w:pPr>
            <w:r w:rsidRPr="009C7D5D">
              <w:t xml:space="preserve">ISS </w:t>
            </w:r>
            <w:r w:rsidRPr="006042D2">
              <w:t>(above)</w:t>
            </w:r>
          </w:p>
        </w:tc>
        <w:tc>
          <w:tcPr>
            <w:tcW w:w="1276" w:type="dxa"/>
          </w:tcPr>
          <w:p w14:paraId="618219C1" w14:textId="77777777" w:rsidR="006042D2" w:rsidRPr="006042D2" w:rsidRDefault="006042D2" w:rsidP="00D5075D">
            <w:pPr>
              <w:spacing w:before="40" w:after="40"/>
              <w:jc w:val="left"/>
            </w:pPr>
            <w:r w:rsidRPr="009C7D5D">
              <w:t>8</w:t>
            </w:r>
          </w:p>
        </w:tc>
        <w:tc>
          <w:tcPr>
            <w:tcW w:w="3260" w:type="dxa"/>
          </w:tcPr>
          <w:p w14:paraId="5722E24B" w14:textId="77777777" w:rsidR="006042D2" w:rsidRPr="006042D2" w:rsidRDefault="006042D2" w:rsidP="00D5075D">
            <w:pPr>
              <w:spacing w:before="40" w:after="40"/>
              <w:jc w:val="left"/>
            </w:pPr>
            <w:r w:rsidRPr="00DB784F">
              <w:t>3</w:t>
            </w:r>
          </w:p>
          <w:p w14:paraId="705047A3" w14:textId="77777777" w:rsidR="006042D2" w:rsidRPr="006042D2" w:rsidRDefault="006042D2" w:rsidP="00D5075D">
            <w:pPr>
              <w:spacing w:before="40" w:after="40"/>
              <w:jc w:val="left"/>
            </w:pPr>
            <w:r w:rsidRPr="00DB784F">
              <w:t xml:space="preserve">(MSS and FSS </w:t>
            </w:r>
            <w:r w:rsidRPr="006042D2">
              <w:t>unlikely to coexist)</w:t>
            </w:r>
          </w:p>
          <w:p w14:paraId="52D923BC" w14:textId="77777777" w:rsidR="006042D2" w:rsidRPr="006042D2" w:rsidRDefault="006042D2" w:rsidP="00D5075D">
            <w:pPr>
              <w:spacing w:before="40" w:after="40"/>
              <w:jc w:val="left"/>
            </w:pPr>
            <w:r w:rsidRPr="00DB784F">
              <w:t>(MS and FS unlikely to coexist)</w:t>
            </w:r>
          </w:p>
        </w:tc>
        <w:tc>
          <w:tcPr>
            <w:tcW w:w="1701" w:type="dxa"/>
          </w:tcPr>
          <w:p w14:paraId="6F3CD64F" w14:textId="77777777" w:rsidR="006042D2" w:rsidRPr="006042D2" w:rsidRDefault="006042D2" w:rsidP="00D5075D">
            <w:pPr>
              <w:spacing w:before="40" w:after="40"/>
              <w:jc w:val="left"/>
            </w:pPr>
            <w:r w:rsidRPr="006042D2">
              <w:t>5</w:t>
            </w:r>
            <w:r w:rsidR="00F817F4">
              <w:t> </w:t>
            </w:r>
            <w:r w:rsidRPr="006042D2">
              <w:t>dB</w:t>
            </w:r>
          </w:p>
        </w:tc>
      </w:tr>
      <w:tr w:rsidR="006042D2" w:rsidRPr="00D27A4D" w14:paraId="50F82B33" w14:textId="77777777" w:rsidTr="0053235B">
        <w:tc>
          <w:tcPr>
            <w:tcW w:w="1413" w:type="dxa"/>
          </w:tcPr>
          <w:p w14:paraId="0CAFDFC5" w14:textId="77777777" w:rsidR="002B0803" w:rsidRPr="006042D2" w:rsidRDefault="002B0803" w:rsidP="00D5075D">
            <w:pPr>
              <w:spacing w:before="40" w:after="40"/>
              <w:jc w:val="left"/>
            </w:pPr>
            <w:r>
              <w:t>174.8</w:t>
            </w:r>
            <w:r w:rsidRPr="002B0803">
              <w:t>-182</w:t>
            </w:r>
          </w:p>
        </w:tc>
        <w:tc>
          <w:tcPr>
            <w:tcW w:w="1984" w:type="dxa"/>
          </w:tcPr>
          <w:p w14:paraId="52284927" w14:textId="77777777" w:rsidR="006042D2" w:rsidRPr="006042D2" w:rsidRDefault="006042D2" w:rsidP="00D5075D">
            <w:pPr>
              <w:spacing w:before="40" w:after="40"/>
              <w:jc w:val="left"/>
            </w:pPr>
            <w:r w:rsidRPr="00DB784F">
              <w:t>FS (</w:t>
            </w:r>
            <w:r w:rsidRPr="006042D2">
              <w:t>in-band/below/above)</w:t>
            </w:r>
          </w:p>
          <w:p w14:paraId="6E8B4D09" w14:textId="77777777" w:rsidR="006042D2" w:rsidRPr="006042D2" w:rsidRDefault="006042D2" w:rsidP="00D5075D">
            <w:pPr>
              <w:spacing w:before="40" w:after="40"/>
              <w:jc w:val="left"/>
            </w:pPr>
            <w:r w:rsidRPr="00DB784F">
              <w:t>MS (</w:t>
            </w:r>
            <w:r w:rsidRPr="006042D2">
              <w:t>in-band/below/above)</w:t>
            </w:r>
          </w:p>
          <w:p w14:paraId="71173360" w14:textId="30CEE84E" w:rsidR="006042D2" w:rsidRPr="006042D2" w:rsidRDefault="006042D2" w:rsidP="00D5075D">
            <w:pPr>
              <w:spacing w:before="40" w:after="40"/>
              <w:jc w:val="left"/>
            </w:pPr>
            <w:r w:rsidRPr="00DB784F">
              <w:t xml:space="preserve">ISS </w:t>
            </w:r>
            <w:r w:rsidRPr="006042D2">
              <w:t>(below/above)</w:t>
            </w:r>
          </w:p>
          <w:p w14:paraId="221AD34D" w14:textId="77777777" w:rsidR="006042D2" w:rsidRPr="006042D2" w:rsidRDefault="006042D2" w:rsidP="00D5075D">
            <w:pPr>
              <w:spacing w:before="40" w:after="40"/>
              <w:jc w:val="left"/>
            </w:pPr>
            <w:r w:rsidRPr="00DB784F">
              <w:t>MSS (above)</w:t>
            </w:r>
          </w:p>
          <w:p w14:paraId="7A28FA53" w14:textId="77777777" w:rsidR="006042D2" w:rsidRPr="006042D2" w:rsidRDefault="006042D2" w:rsidP="00D5075D">
            <w:pPr>
              <w:spacing w:before="40" w:after="40"/>
              <w:jc w:val="left"/>
            </w:pPr>
            <w:r w:rsidRPr="00DB784F">
              <w:t>Radionav</w:t>
            </w:r>
            <w:r w:rsidRPr="006042D2">
              <w:t>igation (above)</w:t>
            </w:r>
          </w:p>
          <w:p w14:paraId="11183BB0" w14:textId="77777777" w:rsidR="006042D2" w:rsidRPr="006042D2" w:rsidRDefault="006042D2" w:rsidP="00D5075D">
            <w:pPr>
              <w:spacing w:before="40" w:after="40"/>
              <w:jc w:val="left"/>
            </w:pPr>
            <w:r w:rsidRPr="00DB784F">
              <w:t>Radionav</w:t>
            </w:r>
            <w:r w:rsidRPr="006042D2">
              <w:t>igation-Satellite (above)</w:t>
            </w:r>
          </w:p>
        </w:tc>
        <w:tc>
          <w:tcPr>
            <w:tcW w:w="1276" w:type="dxa"/>
          </w:tcPr>
          <w:p w14:paraId="69B69A63" w14:textId="77777777" w:rsidR="006042D2" w:rsidRPr="006042D2" w:rsidRDefault="006042D2" w:rsidP="00D5075D">
            <w:pPr>
              <w:spacing w:before="40" w:after="40"/>
              <w:jc w:val="left"/>
            </w:pPr>
            <w:r>
              <w:t>1</w:t>
            </w:r>
            <w:r w:rsidR="005022DC">
              <w:t>1</w:t>
            </w:r>
          </w:p>
        </w:tc>
        <w:tc>
          <w:tcPr>
            <w:tcW w:w="3260" w:type="dxa"/>
          </w:tcPr>
          <w:p w14:paraId="1D4DC4CC" w14:textId="77777777" w:rsidR="006042D2" w:rsidRPr="006042D2" w:rsidRDefault="006042D2" w:rsidP="00D5075D">
            <w:pPr>
              <w:spacing w:before="40" w:after="40"/>
              <w:jc w:val="left"/>
            </w:pPr>
            <w:r w:rsidRPr="00DB784F">
              <w:t>4</w:t>
            </w:r>
          </w:p>
          <w:p w14:paraId="4B83911D" w14:textId="77777777" w:rsidR="006042D2" w:rsidRPr="006042D2" w:rsidRDefault="006042D2" w:rsidP="00D5075D">
            <w:pPr>
              <w:spacing w:before="40" w:after="40"/>
              <w:jc w:val="left"/>
            </w:pPr>
            <w:r w:rsidRPr="00DB784F">
              <w:t>(MS, R</w:t>
            </w:r>
            <w:r w:rsidRPr="006042D2">
              <w:t>adionavigation and FS unlikely to coexist)</w:t>
            </w:r>
          </w:p>
          <w:p w14:paraId="1162D88F" w14:textId="77777777" w:rsidR="006042D2" w:rsidRPr="006042D2" w:rsidRDefault="006042D2" w:rsidP="00D5075D">
            <w:pPr>
              <w:spacing w:before="40" w:after="40"/>
              <w:jc w:val="left"/>
            </w:pPr>
            <w:r w:rsidRPr="00DB784F">
              <w:t xml:space="preserve">(MSS and </w:t>
            </w:r>
            <w:r w:rsidRPr="006042D2">
              <w:t>Radionavigation-Satellite unlikely to coexist)</w:t>
            </w:r>
          </w:p>
        </w:tc>
        <w:tc>
          <w:tcPr>
            <w:tcW w:w="1701" w:type="dxa"/>
          </w:tcPr>
          <w:p w14:paraId="181AA351" w14:textId="77777777" w:rsidR="006042D2" w:rsidRPr="006042D2" w:rsidRDefault="006042D2" w:rsidP="00D5075D">
            <w:pPr>
              <w:spacing w:before="40" w:after="40"/>
              <w:jc w:val="left"/>
            </w:pPr>
            <w:r w:rsidRPr="006042D2">
              <w:t>6 dB</w:t>
            </w:r>
          </w:p>
        </w:tc>
      </w:tr>
      <w:tr w:rsidR="005022DC" w:rsidRPr="00D27A4D" w14:paraId="60FAB903" w14:textId="77777777" w:rsidTr="0053235B">
        <w:tc>
          <w:tcPr>
            <w:tcW w:w="1413" w:type="dxa"/>
          </w:tcPr>
          <w:p w14:paraId="5B9E1606" w14:textId="77777777" w:rsidR="005022DC" w:rsidRPr="005022DC" w:rsidRDefault="005022DC" w:rsidP="00D5075D">
            <w:pPr>
              <w:spacing w:before="40" w:after="40"/>
              <w:jc w:val="left"/>
            </w:pPr>
            <w:r w:rsidRPr="005022DC">
              <w:t>182-185</w:t>
            </w:r>
          </w:p>
        </w:tc>
        <w:tc>
          <w:tcPr>
            <w:tcW w:w="1984" w:type="dxa"/>
          </w:tcPr>
          <w:p w14:paraId="5ABFBD7E" w14:textId="77777777" w:rsidR="005022DC" w:rsidRPr="005022DC" w:rsidRDefault="005022DC" w:rsidP="00D5075D">
            <w:pPr>
              <w:spacing w:before="40" w:after="40"/>
              <w:jc w:val="left"/>
            </w:pPr>
            <w:r w:rsidRPr="005022DC">
              <w:t>FS (below/above)</w:t>
            </w:r>
          </w:p>
          <w:p w14:paraId="08D57866" w14:textId="77777777" w:rsidR="005022DC" w:rsidRPr="005022DC" w:rsidRDefault="005022DC" w:rsidP="00D5075D">
            <w:pPr>
              <w:spacing w:before="40" w:after="40"/>
              <w:jc w:val="left"/>
            </w:pPr>
            <w:r w:rsidRPr="005022DC">
              <w:t>MS (below/above)</w:t>
            </w:r>
          </w:p>
          <w:p w14:paraId="00788A92" w14:textId="11D2E3C7" w:rsidR="005022DC" w:rsidRPr="005022DC" w:rsidRDefault="005022DC" w:rsidP="00D5075D">
            <w:pPr>
              <w:spacing w:before="40" w:after="40"/>
              <w:jc w:val="left"/>
            </w:pPr>
            <w:r w:rsidRPr="005022DC">
              <w:t>ISS (below/above)</w:t>
            </w:r>
          </w:p>
          <w:p w14:paraId="2B68A848" w14:textId="77777777" w:rsidR="005022DC" w:rsidRPr="005022DC" w:rsidRDefault="005022DC" w:rsidP="00D5075D">
            <w:pPr>
              <w:spacing w:before="40" w:after="40"/>
              <w:jc w:val="left"/>
            </w:pPr>
            <w:r w:rsidRPr="005022DC">
              <w:t>MSS (above)</w:t>
            </w:r>
          </w:p>
          <w:p w14:paraId="690C9032" w14:textId="77777777" w:rsidR="005022DC" w:rsidRPr="005022DC" w:rsidRDefault="005022DC" w:rsidP="00D5075D">
            <w:pPr>
              <w:spacing w:before="40" w:after="40"/>
              <w:jc w:val="left"/>
            </w:pPr>
            <w:r w:rsidRPr="005022DC">
              <w:t>Radionavigation (above)</w:t>
            </w:r>
          </w:p>
          <w:p w14:paraId="2204C2CB" w14:textId="77777777" w:rsidR="005022DC" w:rsidRPr="005022DC" w:rsidRDefault="005022DC" w:rsidP="00D5075D">
            <w:pPr>
              <w:spacing w:before="40" w:after="40"/>
              <w:jc w:val="left"/>
            </w:pPr>
            <w:r w:rsidRPr="005022DC">
              <w:t>Radionavigation-Satellite (above)</w:t>
            </w:r>
          </w:p>
        </w:tc>
        <w:tc>
          <w:tcPr>
            <w:tcW w:w="1276" w:type="dxa"/>
          </w:tcPr>
          <w:p w14:paraId="2BB1A1D7" w14:textId="77777777" w:rsidR="005022DC" w:rsidRPr="005022DC" w:rsidRDefault="005022DC" w:rsidP="00D5075D">
            <w:pPr>
              <w:spacing w:before="40" w:after="40"/>
              <w:jc w:val="left"/>
            </w:pPr>
            <w:r>
              <w:t>9</w:t>
            </w:r>
          </w:p>
        </w:tc>
        <w:tc>
          <w:tcPr>
            <w:tcW w:w="3260" w:type="dxa"/>
          </w:tcPr>
          <w:p w14:paraId="589A8281" w14:textId="77777777" w:rsidR="005022DC" w:rsidRPr="005022DC" w:rsidRDefault="005022DC" w:rsidP="00D5075D">
            <w:pPr>
              <w:spacing w:before="40" w:after="40"/>
              <w:jc w:val="left"/>
            </w:pPr>
            <w:r>
              <w:t>3</w:t>
            </w:r>
          </w:p>
          <w:p w14:paraId="3A8D810E" w14:textId="77777777" w:rsidR="005022DC" w:rsidRPr="005022DC" w:rsidRDefault="005022DC" w:rsidP="00D5075D">
            <w:pPr>
              <w:spacing w:before="40" w:after="40"/>
              <w:jc w:val="left"/>
            </w:pPr>
            <w:r w:rsidRPr="005022DC">
              <w:t>(MS, Radionavigation and FS unlikely to coexist)</w:t>
            </w:r>
          </w:p>
          <w:p w14:paraId="619CC908" w14:textId="77777777" w:rsidR="005022DC" w:rsidRPr="005022DC" w:rsidRDefault="005022DC" w:rsidP="00D5075D">
            <w:pPr>
              <w:spacing w:before="40" w:after="40"/>
              <w:jc w:val="left"/>
            </w:pPr>
            <w:r w:rsidRPr="005022DC">
              <w:t>(MSS and Radionavigation-Satellite unlikely to coexist)</w:t>
            </w:r>
          </w:p>
        </w:tc>
        <w:tc>
          <w:tcPr>
            <w:tcW w:w="1701" w:type="dxa"/>
          </w:tcPr>
          <w:p w14:paraId="56D914AB" w14:textId="77777777" w:rsidR="005022DC" w:rsidRPr="005022DC" w:rsidRDefault="005022DC" w:rsidP="00D5075D">
            <w:pPr>
              <w:spacing w:before="40" w:after="40"/>
              <w:jc w:val="left"/>
            </w:pPr>
            <w:r>
              <w:t>4.8</w:t>
            </w:r>
            <w:r w:rsidRPr="005022DC">
              <w:t> dB</w:t>
            </w:r>
          </w:p>
        </w:tc>
      </w:tr>
      <w:tr w:rsidR="005022DC" w:rsidRPr="00D27A4D" w14:paraId="7D827000" w14:textId="77777777" w:rsidTr="0053235B">
        <w:tc>
          <w:tcPr>
            <w:tcW w:w="1413" w:type="dxa"/>
          </w:tcPr>
          <w:p w14:paraId="0D98A094" w14:textId="77777777" w:rsidR="005022DC" w:rsidRPr="005022DC" w:rsidRDefault="005022DC" w:rsidP="00D5075D">
            <w:pPr>
              <w:spacing w:before="40" w:after="40"/>
              <w:jc w:val="left"/>
            </w:pPr>
            <w:r w:rsidRPr="005022DC">
              <w:t>185-190</w:t>
            </w:r>
          </w:p>
        </w:tc>
        <w:tc>
          <w:tcPr>
            <w:tcW w:w="1984" w:type="dxa"/>
          </w:tcPr>
          <w:p w14:paraId="3355043D" w14:textId="77777777" w:rsidR="005022DC" w:rsidRPr="005022DC" w:rsidRDefault="005022DC" w:rsidP="00D5075D">
            <w:pPr>
              <w:spacing w:before="40" w:after="40"/>
              <w:jc w:val="left"/>
            </w:pPr>
            <w:r w:rsidRPr="005022DC">
              <w:t>FS (in-band/below/above)</w:t>
            </w:r>
          </w:p>
          <w:p w14:paraId="5F907405" w14:textId="77777777" w:rsidR="005022DC" w:rsidRPr="005022DC" w:rsidRDefault="005022DC" w:rsidP="00D5075D">
            <w:pPr>
              <w:spacing w:before="40" w:after="40"/>
              <w:jc w:val="left"/>
            </w:pPr>
            <w:r w:rsidRPr="005022DC">
              <w:t>MS (in-band/below/above)</w:t>
            </w:r>
          </w:p>
          <w:p w14:paraId="43BFD82E" w14:textId="64D3F219" w:rsidR="005022DC" w:rsidRPr="005022DC" w:rsidRDefault="005022DC" w:rsidP="00D5075D">
            <w:pPr>
              <w:spacing w:before="40" w:after="40"/>
              <w:jc w:val="left"/>
            </w:pPr>
            <w:r w:rsidRPr="005022DC">
              <w:t>ISS (below/above)</w:t>
            </w:r>
          </w:p>
          <w:p w14:paraId="31D539EC" w14:textId="77777777" w:rsidR="005022DC" w:rsidRPr="005022DC" w:rsidRDefault="005022DC" w:rsidP="00D5075D">
            <w:pPr>
              <w:spacing w:before="40" w:after="40"/>
              <w:jc w:val="left"/>
            </w:pPr>
            <w:r w:rsidRPr="005022DC">
              <w:t>MSS (above)</w:t>
            </w:r>
          </w:p>
          <w:p w14:paraId="5C1BEB13" w14:textId="77777777" w:rsidR="005022DC" w:rsidRPr="005022DC" w:rsidRDefault="005022DC" w:rsidP="00D5075D">
            <w:pPr>
              <w:spacing w:before="40" w:after="40"/>
              <w:jc w:val="left"/>
            </w:pPr>
            <w:r w:rsidRPr="005022DC">
              <w:t>Radionavigation (above)</w:t>
            </w:r>
          </w:p>
          <w:p w14:paraId="361617A9" w14:textId="77777777" w:rsidR="005022DC" w:rsidRPr="005022DC" w:rsidRDefault="005022DC" w:rsidP="00D5075D">
            <w:pPr>
              <w:spacing w:before="40" w:after="40"/>
              <w:jc w:val="left"/>
            </w:pPr>
            <w:r w:rsidRPr="005022DC">
              <w:t>Radionavigation-Satellite (above)</w:t>
            </w:r>
          </w:p>
        </w:tc>
        <w:tc>
          <w:tcPr>
            <w:tcW w:w="1276" w:type="dxa"/>
          </w:tcPr>
          <w:p w14:paraId="08968D7B" w14:textId="77777777" w:rsidR="005022DC" w:rsidRPr="005022DC" w:rsidRDefault="005022DC" w:rsidP="00D5075D">
            <w:pPr>
              <w:spacing w:before="40" w:after="40"/>
              <w:jc w:val="left"/>
            </w:pPr>
            <w:r w:rsidRPr="005022DC">
              <w:t>1</w:t>
            </w:r>
            <w:r>
              <w:t>1</w:t>
            </w:r>
          </w:p>
        </w:tc>
        <w:tc>
          <w:tcPr>
            <w:tcW w:w="3260" w:type="dxa"/>
          </w:tcPr>
          <w:p w14:paraId="12BE6E6B" w14:textId="77777777" w:rsidR="005022DC" w:rsidRPr="005022DC" w:rsidRDefault="005022DC" w:rsidP="00D5075D">
            <w:pPr>
              <w:spacing w:before="40" w:after="40"/>
              <w:jc w:val="left"/>
            </w:pPr>
            <w:r w:rsidRPr="005022DC">
              <w:t>4</w:t>
            </w:r>
          </w:p>
          <w:p w14:paraId="2E9EC455" w14:textId="77777777" w:rsidR="005022DC" w:rsidRPr="005022DC" w:rsidRDefault="005022DC" w:rsidP="00D5075D">
            <w:pPr>
              <w:spacing w:before="40" w:after="40"/>
              <w:jc w:val="left"/>
            </w:pPr>
            <w:r w:rsidRPr="005022DC">
              <w:t>(MS, Radionavigation and FS unlikely to coexist)</w:t>
            </w:r>
          </w:p>
          <w:p w14:paraId="1BDEB2F8" w14:textId="77777777" w:rsidR="005022DC" w:rsidRPr="005022DC" w:rsidRDefault="005022DC" w:rsidP="00D5075D">
            <w:pPr>
              <w:spacing w:before="40" w:after="40"/>
              <w:jc w:val="left"/>
            </w:pPr>
            <w:r w:rsidRPr="005022DC">
              <w:t>(MSS and Radionavigation-Satellite unlikely to coexist)</w:t>
            </w:r>
          </w:p>
        </w:tc>
        <w:tc>
          <w:tcPr>
            <w:tcW w:w="1701" w:type="dxa"/>
          </w:tcPr>
          <w:p w14:paraId="49848F83" w14:textId="77777777" w:rsidR="005022DC" w:rsidRPr="005022DC" w:rsidRDefault="005022DC" w:rsidP="00D5075D">
            <w:pPr>
              <w:spacing w:before="40" w:after="40"/>
              <w:jc w:val="left"/>
            </w:pPr>
            <w:r w:rsidRPr="005022DC">
              <w:t>6 dB</w:t>
            </w:r>
          </w:p>
        </w:tc>
      </w:tr>
      <w:tr w:rsidR="00C37718" w:rsidRPr="00D27A4D" w14:paraId="5D9D5F01" w14:textId="77777777" w:rsidTr="0053235B">
        <w:tc>
          <w:tcPr>
            <w:tcW w:w="1413" w:type="dxa"/>
          </w:tcPr>
          <w:p w14:paraId="100FA0EC" w14:textId="77777777" w:rsidR="00C37718" w:rsidRPr="00C37718" w:rsidRDefault="00C37718" w:rsidP="00D5075D">
            <w:pPr>
              <w:spacing w:before="40" w:after="40"/>
              <w:jc w:val="left"/>
            </w:pPr>
            <w:r w:rsidRPr="00C37718">
              <w:t>190-191.8</w:t>
            </w:r>
          </w:p>
        </w:tc>
        <w:tc>
          <w:tcPr>
            <w:tcW w:w="1984" w:type="dxa"/>
          </w:tcPr>
          <w:p w14:paraId="429D2705" w14:textId="77777777" w:rsidR="00C37718" w:rsidRPr="00C37718" w:rsidRDefault="00C37718" w:rsidP="00D5075D">
            <w:pPr>
              <w:spacing w:before="40" w:after="40"/>
              <w:jc w:val="left"/>
            </w:pPr>
            <w:r w:rsidRPr="00C37718">
              <w:t>FS (below/above)</w:t>
            </w:r>
          </w:p>
          <w:p w14:paraId="21EEC7E1" w14:textId="77777777" w:rsidR="00C37718" w:rsidRPr="00C37718" w:rsidRDefault="00C37718" w:rsidP="00D5075D">
            <w:pPr>
              <w:spacing w:before="40" w:after="40"/>
              <w:jc w:val="left"/>
            </w:pPr>
            <w:r w:rsidRPr="00C37718">
              <w:t>MS (below/above)</w:t>
            </w:r>
          </w:p>
          <w:p w14:paraId="6076CD24" w14:textId="66060235" w:rsidR="00C37718" w:rsidRPr="00C37718" w:rsidRDefault="00C37718" w:rsidP="00D5075D">
            <w:pPr>
              <w:spacing w:before="40" w:after="40"/>
              <w:jc w:val="left"/>
            </w:pPr>
            <w:r w:rsidRPr="00C37718">
              <w:t>ISS (below/above)</w:t>
            </w:r>
          </w:p>
          <w:p w14:paraId="48A8C614" w14:textId="77777777" w:rsidR="00C37718" w:rsidRPr="00C37718" w:rsidRDefault="00C37718" w:rsidP="00D5075D">
            <w:pPr>
              <w:spacing w:before="40" w:after="40"/>
              <w:jc w:val="left"/>
            </w:pPr>
            <w:r w:rsidRPr="00C37718">
              <w:t>MSS (above)</w:t>
            </w:r>
          </w:p>
          <w:p w14:paraId="0DC3CB9B" w14:textId="77777777" w:rsidR="00C37718" w:rsidRPr="00C37718" w:rsidRDefault="00C37718" w:rsidP="00D5075D">
            <w:pPr>
              <w:spacing w:before="40" w:after="40"/>
              <w:jc w:val="left"/>
            </w:pPr>
            <w:r w:rsidRPr="00C37718">
              <w:t>Radionavigation (above)</w:t>
            </w:r>
          </w:p>
          <w:p w14:paraId="2B66A0B9" w14:textId="77777777" w:rsidR="00C37718" w:rsidRPr="00C37718" w:rsidRDefault="00C37718" w:rsidP="00D5075D">
            <w:pPr>
              <w:spacing w:before="40" w:after="40"/>
              <w:jc w:val="left"/>
            </w:pPr>
            <w:r w:rsidRPr="00C37718">
              <w:t>Radionavigation-Satellite (above)</w:t>
            </w:r>
          </w:p>
        </w:tc>
        <w:tc>
          <w:tcPr>
            <w:tcW w:w="1276" w:type="dxa"/>
          </w:tcPr>
          <w:p w14:paraId="1B30A184" w14:textId="77777777" w:rsidR="00C37718" w:rsidRPr="00C37718" w:rsidRDefault="00C37718" w:rsidP="00D5075D">
            <w:pPr>
              <w:spacing w:before="40" w:after="40"/>
              <w:jc w:val="left"/>
            </w:pPr>
            <w:r w:rsidRPr="00C37718">
              <w:t>9</w:t>
            </w:r>
          </w:p>
        </w:tc>
        <w:tc>
          <w:tcPr>
            <w:tcW w:w="3260" w:type="dxa"/>
          </w:tcPr>
          <w:p w14:paraId="33B1034B" w14:textId="77777777" w:rsidR="00C37718" w:rsidRPr="00C37718" w:rsidRDefault="00C37718" w:rsidP="00D5075D">
            <w:pPr>
              <w:spacing w:before="40" w:after="40"/>
              <w:jc w:val="left"/>
            </w:pPr>
            <w:r w:rsidRPr="00C37718">
              <w:t>3</w:t>
            </w:r>
          </w:p>
          <w:p w14:paraId="28D832E2" w14:textId="77777777" w:rsidR="00C37718" w:rsidRPr="00C37718" w:rsidRDefault="00C37718" w:rsidP="00D5075D">
            <w:pPr>
              <w:spacing w:before="40" w:after="40"/>
              <w:jc w:val="left"/>
            </w:pPr>
            <w:r w:rsidRPr="00C37718">
              <w:t>(MS, Radionavigation and FS unlikely to coexist)</w:t>
            </w:r>
          </w:p>
          <w:p w14:paraId="0924CB64" w14:textId="77777777" w:rsidR="00C37718" w:rsidRPr="00C37718" w:rsidRDefault="00C37718" w:rsidP="00D5075D">
            <w:pPr>
              <w:spacing w:before="40" w:after="40"/>
              <w:jc w:val="left"/>
            </w:pPr>
            <w:r w:rsidRPr="00C37718">
              <w:t>(MSS and Radionavigation-Satellite unlikely to coexist)</w:t>
            </w:r>
          </w:p>
        </w:tc>
        <w:tc>
          <w:tcPr>
            <w:tcW w:w="1701" w:type="dxa"/>
          </w:tcPr>
          <w:p w14:paraId="639B7326" w14:textId="77777777" w:rsidR="00C37718" w:rsidRPr="00C37718" w:rsidRDefault="00C37718" w:rsidP="00D5075D">
            <w:pPr>
              <w:spacing w:before="40" w:after="40"/>
              <w:jc w:val="left"/>
            </w:pPr>
            <w:r w:rsidRPr="00C37718">
              <w:t>4.8 dB</w:t>
            </w:r>
          </w:p>
        </w:tc>
      </w:tr>
      <w:tr w:rsidR="00C37718" w:rsidRPr="00D27A4D" w14:paraId="426ADA8C" w14:textId="77777777" w:rsidTr="0053235B">
        <w:tc>
          <w:tcPr>
            <w:tcW w:w="1413" w:type="dxa"/>
          </w:tcPr>
          <w:p w14:paraId="7952A045" w14:textId="77777777" w:rsidR="00C37718" w:rsidRPr="00C37718" w:rsidRDefault="00C37718" w:rsidP="00D5075D">
            <w:pPr>
              <w:spacing w:before="40" w:after="40"/>
              <w:jc w:val="left"/>
            </w:pPr>
            <w:r w:rsidRPr="00C37718">
              <w:t>200-209</w:t>
            </w:r>
          </w:p>
        </w:tc>
        <w:tc>
          <w:tcPr>
            <w:tcW w:w="1984" w:type="dxa"/>
          </w:tcPr>
          <w:p w14:paraId="71DB8162" w14:textId="77777777" w:rsidR="00C37718" w:rsidRPr="00C37718" w:rsidRDefault="00C37718" w:rsidP="00D5075D">
            <w:pPr>
              <w:spacing w:before="40" w:after="40"/>
              <w:jc w:val="left"/>
            </w:pPr>
            <w:r w:rsidRPr="00C37718">
              <w:t>FS (below/above)</w:t>
            </w:r>
          </w:p>
          <w:p w14:paraId="0CFF726F" w14:textId="77777777" w:rsidR="00C37718" w:rsidRPr="00C37718" w:rsidRDefault="00C37718" w:rsidP="00D5075D">
            <w:pPr>
              <w:spacing w:before="40" w:after="40"/>
              <w:jc w:val="left"/>
            </w:pPr>
            <w:r w:rsidRPr="00C37718">
              <w:t>MS (below/above)</w:t>
            </w:r>
          </w:p>
          <w:p w14:paraId="3ED5BA1B" w14:textId="77777777" w:rsidR="00C37718" w:rsidRPr="00C37718" w:rsidRDefault="00C37718" w:rsidP="00D5075D">
            <w:pPr>
              <w:spacing w:before="40" w:after="40"/>
              <w:jc w:val="left"/>
            </w:pPr>
            <w:r w:rsidRPr="00C37718">
              <w:t>FSS (above)</w:t>
            </w:r>
          </w:p>
          <w:p w14:paraId="285176FA" w14:textId="77777777" w:rsidR="00C37718" w:rsidRPr="00C37718" w:rsidRDefault="00C37718" w:rsidP="00D5075D">
            <w:pPr>
              <w:spacing w:before="40" w:after="40"/>
              <w:jc w:val="left"/>
            </w:pPr>
            <w:r w:rsidRPr="00C37718">
              <w:t>ISS (below)</w:t>
            </w:r>
          </w:p>
          <w:p w14:paraId="584E0E24" w14:textId="77777777" w:rsidR="00C37718" w:rsidRPr="00C37718" w:rsidRDefault="00C37718" w:rsidP="00D5075D">
            <w:pPr>
              <w:spacing w:before="40" w:after="40"/>
              <w:jc w:val="left"/>
            </w:pPr>
            <w:r w:rsidRPr="00C37718">
              <w:t>MSS (below)</w:t>
            </w:r>
          </w:p>
          <w:p w14:paraId="45815332" w14:textId="77777777" w:rsidR="00C37718" w:rsidRPr="00C37718" w:rsidRDefault="00C37718" w:rsidP="00D5075D">
            <w:pPr>
              <w:spacing w:before="40" w:after="40"/>
              <w:jc w:val="left"/>
            </w:pPr>
            <w:r w:rsidRPr="00C37718">
              <w:t>Radionavigation (below)</w:t>
            </w:r>
          </w:p>
          <w:p w14:paraId="0D617005" w14:textId="77777777" w:rsidR="00C37718" w:rsidRPr="00C37718" w:rsidRDefault="00C37718" w:rsidP="00D5075D">
            <w:pPr>
              <w:spacing w:before="40" w:after="40"/>
              <w:jc w:val="left"/>
            </w:pPr>
            <w:r w:rsidRPr="00C37718">
              <w:t>Radionavigation-Satellite (below)</w:t>
            </w:r>
          </w:p>
        </w:tc>
        <w:tc>
          <w:tcPr>
            <w:tcW w:w="1276" w:type="dxa"/>
          </w:tcPr>
          <w:p w14:paraId="6E1334E6" w14:textId="77777777" w:rsidR="00C37718" w:rsidRPr="00C37718" w:rsidRDefault="00C37718" w:rsidP="00D5075D">
            <w:pPr>
              <w:spacing w:before="40" w:after="40"/>
              <w:jc w:val="left"/>
            </w:pPr>
            <w:r w:rsidRPr="00C37718">
              <w:t>9</w:t>
            </w:r>
          </w:p>
        </w:tc>
        <w:tc>
          <w:tcPr>
            <w:tcW w:w="3260" w:type="dxa"/>
          </w:tcPr>
          <w:p w14:paraId="71E14786" w14:textId="77777777" w:rsidR="00C37718" w:rsidRPr="00C37718" w:rsidRDefault="00C37718" w:rsidP="00D5075D">
            <w:pPr>
              <w:spacing w:before="40" w:after="40"/>
              <w:jc w:val="left"/>
            </w:pPr>
            <w:r w:rsidRPr="00C37718">
              <w:t>2</w:t>
            </w:r>
          </w:p>
          <w:p w14:paraId="6A81D624" w14:textId="77777777" w:rsidR="00C37718" w:rsidRPr="00C37718" w:rsidRDefault="00C37718" w:rsidP="00D5075D">
            <w:pPr>
              <w:spacing w:before="40" w:after="40"/>
              <w:jc w:val="left"/>
            </w:pPr>
            <w:r w:rsidRPr="00C37718">
              <w:t>(MS, Radionavigation and FS unlikely to coexist)</w:t>
            </w:r>
          </w:p>
          <w:p w14:paraId="120103AA" w14:textId="77777777" w:rsidR="00C37718" w:rsidRPr="00C37718" w:rsidRDefault="00C37718" w:rsidP="00D5075D">
            <w:pPr>
              <w:spacing w:before="40" w:after="40"/>
              <w:jc w:val="left"/>
            </w:pPr>
            <w:r w:rsidRPr="00C37718">
              <w:t>(MSS and Radionavigation- Satellite unlikely to coexist)</w:t>
            </w:r>
          </w:p>
        </w:tc>
        <w:tc>
          <w:tcPr>
            <w:tcW w:w="1701" w:type="dxa"/>
          </w:tcPr>
          <w:p w14:paraId="4BF64967" w14:textId="77777777" w:rsidR="00C37718" w:rsidRPr="00C37718" w:rsidRDefault="00C37718" w:rsidP="00D5075D">
            <w:pPr>
              <w:spacing w:before="40" w:after="40"/>
              <w:jc w:val="left"/>
            </w:pPr>
            <w:r w:rsidRPr="00C37718">
              <w:t>3 dB</w:t>
            </w:r>
          </w:p>
        </w:tc>
      </w:tr>
      <w:tr w:rsidR="00C37718" w:rsidRPr="00D27A4D" w14:paraId="3E4F8EEA" w14:textId="77777777" w:rsidTr="0053235B">
        <w:tc>
          <w:tcPr>
            <w:tcW w:w="1413" w:type="dxa"/>
          </w:tcPr>
          <w:p w14:paraId="184EF671" w14:textId="77777777" w:rsidR="00C37718" w:rsidRPr="00C37718" w:rsidRDefault="00C37718" w:rsidP="00D5075D">
            <w:pPr>
              <w:spacing w:before="40" w:after="40"/>
              <w:jc w:val="left"/>
            </w:pPr>
            <w:r w:rsidRPr="00C37718">
              <w:t>226-231.5</w:t>
            </w:r>
          </w:p>
        </w:tc>
        <w:tc>
          <w:tcPr>
            <w:tcW w:w="1984" w:type="dxa"/>
          </w:tcPr>
          <w:p w14:paraId="28510EC4" w14:textId="77777777" w:rsidR="00C37718" w:rsidRPr="00C37718" w:rsidRDefault="00C37718" w:rsidP="00D5075D">
            <w:pPr>
              <w:spacing w:before="40" w:after="40"/>
              <w:jc w:val="left"/>
            </w:pPr>
            <w:r w:rsidRPr="00C37718">
              <w:t>FS (below/above)</w:t>
            </w:r>
          </w:p>
          <w:p w14:paraId="48B03425" w14:textId="77777777" w:rsidR="00C37718" w:rsidRPr="00C37718" w:rsidRDefault="00C37718" w:rsidP="00D5075D">
            <w:pPr>
              <w:spacing w:before="40" w:after="40"/>
              <w:jc w:val="left"/>
            </w:pPr>
            <w:r w:rsidRPr="00C37718">
              <w:t>MS (below/above)</w:t>
            </w:r>
          </w:p>
          <w:p w14:paraId="2ACD3919" w14:textId="77777777" w:rsidR="00C37718" w:rsidRPr="00C37718" w:rsidRDefault="00C37718" w:rsidP="00D5075D">
            <w:pPr>
              <w:spacing w:before="40" w:after="40"/>
              <w:jc w:val="left"/>
            </w:pPr>
            <w:r w:rsidRPr="00C37718">
              <w:t>FSS (below/above)</w:t>
            </w:r>
          </w:p>
          <w:p w14:paraId="1E143CC4" w14:textId="77777777" w:rsidR="00C37718" w:rsidRPr="00C37718" w:rsidRDefault="00C37718" w:rsidP="00D5075D">
            <w:pPr>
              <w:spacing w:before="40" w:after="40"/>
              <w:jc w:val="left"/>
            </w:pPr>
            <w:r w:rsidRPr="00C37718">
              <w:t>Radiolocation (above)</w:t>
            </w:r>
          </w:p>
        </w:tc>
        <w:tc>
          <w:tcPr>
            <w:tcW w:w="1276" w:type="dxa"/>
          </w:tcPr>
          <w:p w14:paraId="096BE607" w14:textId="77777777" w:rsidR="00C37718" w:rsidRPr="00C37718" w:rsidRDefault="00C37718" w:rsidP="00D5075D">
            <w:pPr>
              <w:spacing w:before="40" w:after="40"/>
              <w:jc w:val="left"/>
            </w:pPr>
            <w:r w:rsidRPr="00C37718">
              <w:t>7</w:t>
            </w:r>
          </w:p>
        </w:tc>
        <w:tc>
          <w:tcPr>
            <w:tcW w:w="3260" w:type="dxa"/>
          </w:tcPr>
          <w:p w14:paraId="0B643E36" w14:textId="77777777" w:rsidR="00C37718" w:rsidRPr="00C37718" w:rsidRDefault="00C37718" w:rsidP="00D5075D">
            <w:pPr>
              <w:spacing w:before="40" w:after="40"/>
              <w:jc w:val="left"/>
            </w:pPr>
            <w:r w:rsidRPr="00C37718">
              <w:t>2</w:t>
            </w:r>
          </w:p>
          <w:p w14:paraId="1FB362C7" w14:textId="77777777" w:rsidR="00C37718" w:rsidRPr="00C37718" w:rsidRDefault="00C37718" w:rsidP="00D5075D">
            <w:pPr>
              <w:spacing w:before="40" w:after="40"/>
              <w:jc w:val="left"/>
            </w:pPr>
            <w:r w:rsidRPr="00C37718">
              <w:t>(MS, Radiolocation and FS unlikely to coexist)</w:t>
            </w:r>
          </w:p>
        </w:tc>
        <w:tc>
          <w:tcPr>
            <w:tcW w:w="1701" w:type="dxa"/>
          </w:tcPr>
          <w:p w14:paraId="3FE138DF" w14:textId="77777777" w:rsidR="00C37718" w:rsidRPr="00C37718" w:rsidRDefault="00C37718" w:rsidP="00D5075D">
            <w:pPr>
              <w:spacing w:before="40" w:after="40"/>
              <w:jc w:val="left"/>
            </w:pPr>
            <w:r w:rsidRPr="00C37718">
              <w:t>3</w:t>
            </w:r>
            <w:r w:rsidR="00F817F4">
              <w:t> </w:t>
            </w:r>
            <w:r w:rsidRPr="00C37718">
              <w:t>dB</w:t>
            </w:r>
          </w:p>
        </w:tc>
      </w:tr>
      <w:tr w:rsidR="00C37718" w:rsidRPr="00D27A4D" w14:paraId="1B3EBF44" w14:textId="77777777" w:rsidTr="0053235B">
        <w:tc>
          <w:tcPr>
            <w:tcW w:w="1413" w:type="dxa"/>
          </w:tcPr>
          <w:p w14:paraId="0D2A80ED" w14:textId="77777777" w:rsidR="00C37718" w:rsidRPr="00C37718" w:rsidRDefault="00C37718" w:rsidP="00D5075D">
            <w:pPr>
              <w:spacing w:before="40" w:after="40"/>
              <w:jc w:val="left"/>
            </w:pPr>
            <w:r w:rsidRPr="00C37718">
              <w:t>235-238</w:t>
            </w:r>
          </w:p>
        </w:tc>
        <w:tc>
          <w:tcPr>
            <w:tcW w:w="1984" w:type="dxa"/>
          </w:tcPr>
          <w:p w14:paraId="32A0B660" w14:textId="77777777" w:rsidR="00C37718" w:rsidRPr="00C37718" w:rsidRDefault="00C37718" w:rsidP="00D5075D">
            <w:pPr>
              <w:spacing w:before="40" w:after="40"/>
              <w:jc w:val="left"/>
            </w:pPr>
            <w:r w:rsidRPr="00C37718">
              <w:t>FS (below/above)</w:t>
            </w:r>
          </w:p>
          <w:p w14:paraId="5A815624" w14:textId="77777777" w:rsidR="00C37718" w:rsidRPr="00C37718" w:rsidRDefault="00C37718" w:rsidP="00D5075D">
            <w:pPr>
              <w:spacing w:before="40" w:after="40"/>
              <w:jc w:val="left"/>
            </w:pPr>
            <w:r w:rsidRPr="00C37718">
              <w:t>MS (below/above)</w:t>
            </w:r>
          </w:p>
          <w:p w14:paraId="2ED2980B" w14:textId="77777777" w:rsidR="00C37718" w:rsidRPr="00C37718" w:rsidRDefault="00C37718" w:rsidP="00D5075D">
            <w:pPr>
              <w:spacing w:before="40" w:after="40"/>
              <w:jc w:val="left"/>
            </w:pPr>
            <w:r w:rsidRPr="00C37718">
              <w:t>FSS (below/in-band/above)</w:t>
            </w:r>
          </w:p>
          <w:p w14:paraId="601FA63A" w14:textId="77777777" w:rsidR="00C37718" w:rsidRPr="00C37718" w:rsidRDefault="00C37718" w:rsidP="00D5075D">
            <w:pPr>
              <w:spacing w:before="40" w:after="40"/>
              <w:jc w:val="left"/>
            </w:pPr>
            <w:r w:rsidRPr="00C37718">
              <w:t>Radiolocation (below)</w:t>
            </w:r>
          </w:p>
          <w:p w14:paraId="3938DCCE" w14:textId="77777777" w:rsidR="00C37718" w:rsidRPr="00C37718" w:rsidRDefault="00C37718" w:rsidP="00D5075D">
            <w:pPr>
              <w:spacing w:before="40" w:after="40"/>
              <w:jc w:val="left"/>
            </w:pPr>
            <w:r w:rsidRPr="00C37718">
              <w:t>Radionavigation (above)</w:t>
            </w:r>
          </w:p>
          <w:p w14:paraId="557BAD97" w14:textId="77777777" w:rsidR="00C37718" w:rsidRPr="00C37718" w:rsidRDefault="00C37718" w:rsidP="00D5075D">
            <w:pPr>
              <w:spacing w:before="40" w:after="40"/>
              <w:jc w:val="left"/>
            </w:pPr>
            <w:r w:rsidRPr="00C37718">
              <w:t>Radionavigation-Satellite (above)</w:t>
            </w:r>
          </w:p>
        </w:tc>
        <w:tc>
          <w:tcPr>
            <w:tcW w:w="1276" w:type="dxa"/>
          </w:tcPr>
          <w:p w14:paraId="04BF6322" w14:textId="77777777" w:rsidR="00C37718" w:rsidRPr="00C37718" w:rsidRDefault="00C37718" w:rsidP="00D5075D">
            <w:pPr>
              <w:spacing w:before="40" w:after="40"/>
              <w:jc w:val="left"/>
            </w:pPr>
            <w:r w:rsidRPr="00C37718">
              <w:t>10</w:t>
            </w:r>
          </w:p>
        </w:tc>
        <w:tc>
          <w:tcPr>
            <w:tcW w:w="3260" w:type="dxa"/>
          </w:tcPr>
          <w:p w14:paraId="3D4ACAB2" w14:textId="77777777" w:rsidR="00C37718" w:rsidRPr="00C37718" w:rsidRDefault="00C37718" w:rsidP="00D5075D">
            <w:pPr>
              <w:spacing w:before="40" w:after="40"/>
              <w:jc w:val="left"/>
            </w:pPr>
            <w:r w:rsidRPr="00C37718">
              <w:t>3</w:t>
            </w:r>
          </w:p>
          <w:p w14:paraId="794EE31B" w14:textId="77777777" w:rsidR="00C37718" w:rsidRPr="00C37718" w:rsidRDefault="00C37718" w:rsidP="00D5075D">
            <w:pPr>
              <w:spacing w:before="40" w:after="40"/>
              <w:jc w:val="left"/>
            </w:pPr>
            <w:r w:rsidRPr="00C37718">
              <w:t>(MS, Radiolocation and FS unlikely to coexist)</w:t>
            </w:r>
          </w:p>
          <w:p w14:paraId="626B77D8" w14:textId="77777777" w:rsidR="00C37718" w:rsidRPr="00C37718" w:rsidRDefault="00C37718" w:rsidP="00D5075D">
            <w:pPr>
              <w:spacing w:before="40" w:after="40"/>
              <w:jc w:val="left"/>
            </w:pPr>
            <w:r w:rsidRPr="00C37718">
              <w:t>(FSS and Radionavigation-Satellite unlikely to coexist)</w:t>
            </w:r>
          </w:p>
        </w:tc>
        <w:tc>
          <w:tcPr>
            <w:tcW w:w="1701" w:type="dxa"/>
          </w:tcPr>
          <w:p w14:paraId="4FE18F2E" w14:textId="77777777" w:rsidR="00C37718" w:rsidRPr="00C37718" w:rsidRDefault="00C37718" w:rsidP="00D5075D">
            <w:pPr>
              <w:spacing w:before="40" w:after="40"/>
              <w:jc w:val="left"/>
            </w:pPr>
            <w:r w:rsidRPr="00C37718">
              <w:t>5</w:t>
            </w:r>
            <w:r w:rsidR="00F817F4">
              <w:t> </w:t>
            </w:r>
            <w:r w:rsidRPr="00C37718">
              <w:t>dB</w:t>
            </w:r>
          </w:p>
        </w:tc>
      </w:tr>
      <w:tr w:rsidR="00C37718" w:rsidRPr="00D27A4D" w14:paraId="02ED0763" w14:textId="77777777" w:rsidTr="0053235B">
        <w:tc>
          <w:tcPr>
            <w:tcW w:w="1413" w:type="dxa"/>
          </w:tcPr>
          <w:p w14:paraId="513C483A" w14:textId="77777777" w:rsidR="00C37718" w:rsidRPr="00C37718" w:rsidRDefault="00C37718" w:rsidP="00D5075D">
            <w:pPr>
              <w:spacing w:before="40" w:after="40"/>
              <w:jc w:val="left"/>
            </w:pPr>
            <w:r w:rsidRPr="00C37718">
              <w:t>250-252</w:t>
            </w:r>
          </w:p>
        </w:tc>
        <w:tc>
          <w:tcPr>
            <w:tcW w:w="1984" w:type="dxa"/>
          </w:tcPr>
          <w:p w14:paraId="10ABBF93" w14:textId="77777777" w:rsidR="00C37718" w:rsidRPr="00C37718" w:rsidRDefault="00C37718" w:rsidP="00D5075D">
            <w:pPr>
              <w:spacing w:before="40" w:after="40"/>
              <w:jc w:val="left"/>
            </w:pPr>
            <w:r w:rsidRPr="00C37718">
              <w:t>FS (above)</w:t>
            </w:r>
          </w:p>
          <w:p w14:paraId="27E13076" w14:textId="77777777" w:rsidR="00C37718" w:rsidRPr="00C37718" w:rsidRDefault="00C37718" w:rsidP="00D5075D">
            <w:pPr>
              <w:spacing w:before="40" w:after="40"/>
              <w:jc w:val="left"/>
            </w:pPr>
            <w:r w:rsidRPr="00C37718">
              <w:t>MS (above)</w:t>
            </w:r>
          </w:p>
          <w:p w14:paraId="050CF257" w14:textId="77777777" w:rsidR="00C37718" w:rsidRPr="00C37718" w:rsidRDefault="00C37718" w:rsidP="00D5075D">
            <w:pPr>
              <w:spacing w:before="40" w:after="40"/>
              <w:jc w:val="left"/>
            </w:pPr>
            <w:r w:rsidRPr="00C37718">
              <w:t>Amateur and Amateur-Satellite (below)</w:t>
            </w:r>
          </w:p>
          <w:p w14:paraId="5CB9B46B" w14:textId="77777777" w:rsidR="00C37718" w:rsidRPr="00C37718" w:rsidRDefault="00C37718" w:rsidP="00D5075D">
            <w:pPr>
              <w:spacing w:before="40" w:after="40"/>
              <w:jc w:val="left"/>
            </w:pPr>
            <w:r w:rsidRPr="00C37718">
              <w:t>MSS (above)</w:t>
            </w:r>
          </w:p>
          <w:p w14:paraId="5B4B4B48" w14:textId="77777777" w:rsidR="00C37718" w:rsidRPr="00C37718" w:rsidRDefault="00C37718" w:rsidP="00D5075D">
            <w:pPr>
              <w:spacing w:before="40" w:after="40"/>
              <w:jc w:val="left"/>
            </w:pPr>
            <w:r w:rsidRPr="00C37718">
              <w:t>Radionavigation (above)</w:t>
            </w:r>
          </w:p>
          <w:p w14:paraId="7293DDE6" w14:textId="77777777" w:rsidR="00C37718" w:rsidRPr="00C37718" w:rsidRDefault="00C37718" w:rsidP="00D5075D">
            <w:pPr>
              <w:spacing w:before="40" w:after="40"/>
              <w:jc w:val="left"/>
            </w:pPr>
            <w:r w:rsidRPr="00C37718">
              <w:t>Radionavigation-Satellite (above)</w:t>
            </w:r>
          </w:p>
        </w:tc>
        <w:tc>
          <w:tcPr>
            <w:tcW w:w="1276" w:type="dxa"/>
          </w:tcPr>
          <w:p w14:paraId="2DB4AB1B" w14:textId="77777777" w:rsidR="00C37718" w:rsidRPr="00C37718" w:rsidRDefault="00C37718" w:rsidP="00D5075D">
            <w:pPr>
              <w:spacing w:before="40" w:after="40"/>
              <w:jc w:val="left"/>
            </w:pPr>
            <w:r w:rsidRPr="00C37718">
              <w:t>7</w:t>
            </w:r>
          </w:p>
        </w:tc>
        <w:tc>
          <w:tcPr>
            <w:tcW w:w="3260" w:type="dxa"/>
          </w:tcPr>
          <w:p w14:paraId="0714E9AD" w14:textId="77777777" w:rsidR="00C37718" w:rsidRPr="00C37718" w:rsidRDefault="00C37718" w:rsidP="00D5075D">
            <w:pPr>
              <w:spacing w:before="40" w:after="40"/>
              <w:jc w:val="left"/>
            </w:pPr>
            <w:r w:rsidRPr="00C37718">
              <w:t>2</w:t>
            </w:r>
          </w:p>
          <w:p w14:paraId="48555489" w14:textId="77777777" w:rsidR="00C37718" w:rsidRPr="00C37718" w:rsidRDefault="00C37718" w:rsidP="00D5075D">
            <w:pPr>
              <w:spacing w:before="40" w:after="40"/>
              <w:jc w:val="left"/>
            </w:pPr>
            <w:r w:rsidRPr="00C37718">
              <w:t>(MS, Radionavigation and FS unlikely to coexist)</w:t>
            </w:r>
          </w:p>
          <w:p w14:paraId="0C98D893" w14:textId="77777777" w:rsidR="00C37718" w:rsidRPr="00C37718" w:rsidRDefault="00C37718" w:rsidP="00D5075D">
            <w:pPr>
              <w:spacing w:before="40" w:after="40"/>
              <w:jc w:val="left"/>
            </w:pPr>
            <w:r w:rsidRPr="00C37718">
              <w:t>(MSS and Radionavigation- Satellite unlikely to coexist)</w:t>
            </w:r>
          </w:p>
        </w:tc>
        <w:tc>
          <w:tcPr>
            <w:tcW w:w="1701" w:type="dxa"/>
          </w:tcPr>
          <w:p w14:paraId="5EB939D8" w14:textId="77777777" w:rsidR="00C37718" w:rsidRPr="00C37718" w:rsidRDefault="00C37718" w:rsidP="00D5075D">
            <w:pPr>
              <w:spacing w:before="40" w:after="40"/>
              <w:jc w:val="left"/>
            </w:pPr>
            <w:r w:rsidRPr="00C37718">
              <w:t>3 dB</w:t>
            </w:r>
          </w:p>
        </w:tc>
      </w:tr>
    </w:tbl>
    <w:p w14:paraId="5A41145D" w14:textId="1790A91D" w:rsidR="00D64078" w:rsidRPr="00D64078" w:rsidRDefault="00D64078" w:rsidP="00D64078">
      <w:r w:rsidRPr="00D64078">
        <w:t>Other alternative approaches could be used that either discount adjacent band use further</w:t>
      </w:r>
      <w:r w:rsidRPr="00A45E2D">
        <w:t xml:space="preserve"> and result in lower apportionment values or that are based on further analysis of the possible EESS (passive) interference situation due to usage in the adjacent bands by Fixed Service under existing ECC harmonisation deliverables (e.g. relevant FS unwanted emission levels in ECC Recommendation (18)01 </w:t>
      </w:r>
      <w:r w:rsidR="00D7237F">
        <w:rPr>
          <w:rStyle w:val="ECCParagraph"/>
        </w:rPr>
        <w:fldChar w:fldCharType="begin"/>
      </w:r>
      <w:r w:rsidR="00D7237F">
        <w:rPr>
          <w:rStyle w:val="ECCParagraph"/>
        </w:rPr>
        <w:instrText xml:space="preserve"> REF  ECCRec_18_01 \h \w  \* MERGEFORMAT </w:instrText>
      </w:r>
      <w:r w:rsidR="00D7237F">
        <w:rPr>
          <w:rStyle w:val="ECCParagraph"/>
        </w:rPr>
      </w:r>
      <w:r w:rsidR="00D7237F">
        <w:rPr>
          <w:rStyle w:val="ECCParagraph"/>
        </w:rPr>
        <w:fldChar w:fldCharType="separate"/>
      </w:r>
      <w:r w:rsidR="004F49F9">
        <w:rPr>
          <w:rStyle w:val="ECCParagraph"/>
        </w:rPr>
        <w:t>[22]</w:t>
      </w:r>
      <w:r w:rsidR="00D7237F">
        <w:rPr>
          <w:rStyle w:val="ECCParagraph"/>
        </w:rPr>
        <w:fldChar w:fldCharType="end"/>
      </w:r>
      <w:r w:rsidRPr="00A45E2D">
        <w:t xml:space="preserve"> and </w:t>
      </w:r>
      <w:r w:rsidR="005544E4" w:rsidRPr="00A45E2D">
        <w:t xml:space="preserve">ECC Recommendation </w:t>
      </w:r>
      <w:r w:rsidRPr="00A45E2D">
        <w:t xml:space="preserve">(18)02) </w:t>
      </w:r>
      <w:r w:rsidR="00D7237F">
        <w:rPr>
          <w:rStyle w:val="ECCParagraph"/>
        </w:rPr>
        <w:fldChar w:fldCharType="begin"/>
      </w:r>
      <w:r w:rsidR="00D7237F">
        <w:rPr>
          <w:rStyle w:val="ECCParagraph"/>
        </w:rPr>
        <w:instrText xml:space="preserve"> REF  ECCRec_18_02 \h \w  \* MERGEFORMAT </w:instrText>
      </w:r>
      <w:r w:rsidR="00D7237F">
        <w:rPr>
          <w:rStyle w:val="ECCParagraph"/>
        </w:rPr>
      </w:r>
      <w:r w:rsidR="00D7237F">
        <w:rPr>
          <w:rStyle w:val="ECCParagraph"/>
        </w:rPr>
        <w:fldChar w:fldCharType="separate"/>
      </w:r>
      <w:r w:rsidR="004F49F9">
        <w:rPr>
          <w:rStyle w:val="ECCParagraph"/>
        </w:rPr>
        <w:t>[46]</w:t>
      </w:r>
      <w:r w:rsidR="00D7237F">
        <w:rPr>
          <w:rStyle w:val="ECCParagraph"/>
        </w:rPr>
        <w:fldChar w:fldCharType="end"/>
      </w:r>
      <w:r w:rsidRPr="00A45E2D">
        <w:t xml:space="preserve">, which may result in more conservative results </w:t>
      </w:r>
      <w:r w:rsidR="00A45E2D">
        <w:t xml:space="preserve">and hence </w:t>
      </w:r>
      <w:r w:rsidRPr="00A45E2D">
        <w:t xml:space="preserve">to higher values of apportionment factor than those given in </w:t>
      </w:r>
      <w:r w:rsidRPr="00D64078">
        <w:fldChar w:fldCharType="begin"/>
      </w:r>
      <w:r w:rsidRPr="00D64078">
        <w:instrText xml:space="preserve"> REF _Ref67661455 \h  \* MERGEFORMAT </w:instrText>
      </w:r>
      <w:r w:rsidRPr="00D64078">
        <w:fldChar w:fldCharType="separate"/>
      </w:r>
      <w:r w:rsidR="0041125F" w:rsidRPr="002428E9">
        <w:t>Table </w:t>
      </w:r>
      <w:r w:rsidR="0041125F">
        <w:t>137</w:t>
      </w:r>
      <w:r w:rsidRPr="00D64078">
        <w:fldChar w:fldCharType="end"/>
      </w:r>
      <w:r w:rsidRPr="00D64078">
        <w:t>.</w:t>
      </w:r>
    </w:p>
    <w:p w14:paraId="0DB724DC" w14:textId="77777777" w:rsidR="00B2765F" w:rsidRPr="008841F5" w:rsidRDefault="00B2765F" w:rsidP="00B2765F">
      <w:pPr>
        <w:pStyle w:val="ECCAnnexheading2"/>
      </w:pPr>
      <w:r>
        <w:t xml:space="preserve">Apportionment induced by other </w:t>
      </w:r>
      <w:r w:rsidR="00045AF2">
        <w:t>UWB</w:t>
      </w:r>
      <w:r>
        <w:t>-Applications</w:t>
      </w:r>
    </w:p>
    <w:p w14:paraId="460DB3B5" w14:textId="044D186C" w:rsidR="00B2765F" w:rsidRDefault="00B2765F" w:rsidP="00B2765F">
      <w:r w:rsidRPr="00BD04EE">
        <w:t xml:space="preserve">The situation </w:t>
      </w:r>
      <w:r>
        <w:t>concerning the applications is shown</w:t>
      </w:r>
      <w:r w:rsidRPr="00BD04EE">
        <w:t xml:space="preserve"> in</w:t>
      </w:r>
      <w:r>
        <w:t xml:space="preserve"> </w:t>
      </w:r>
      <w:r w:rsidR="00F36EC7">
        <w:fldChar w:fldCharType="begin"/>
      </w:r>
      <w:r w:rsidR="00F36EC7">
        <w:instrText xml:space="preserve"> REF _Ref67661456 \h </w:instrText>
      </w:r>
      <w:r w:rsidR="00F36EC7">
        <w:fldChar w:fldCharType="separate"/>
      </w:r>
      <w:r w:rsidR="0041125F" w:rsidRPr="00BD7B7D">
        <w:rPr>
          <w:rStyle w:val="ECCParagraph"/>
        </w:rPr>
        <w:t>Table </w:t>
      </w:r>
      <w:r w:rsidR="0041125F">
        <w:rPr>
          <w:rStyle w:val="ECCParagraph"/>
          <w:noProof/>
        </w:rPr>
        <w:t>139</w:t>
      </w:r>
      <w:r w:rsidR="00F36EC7">
        <w:fldChar w:fldCharType="end"/>
      </w:r>
      <w:r>
        <w:t xml:space="preserve"> </w:t>
      </w:r>
      <w:r w:rsidRPr="00BD04EE">
        <w:t xml:space="preserve">assuming </w:t>
      </w:r>
      <w:r>
        <w:t xml:space="preserve">again </w:t>
      </w:r>
      <w:r w:rsidRPr="00BD04EE">
        <w:t xml:space="preserve">that all </w:t>
      </w:r>
      <w:r>
        <w:t>applications</w:t>
      </w:r>
      <w:r w:rsidRPr="00BD04EE">
        <w:t xml:space="preserve"> would </w:t>
      </w:r>
      <w:r>
        <w:t xml:space="preserve">equally </w:t>
      </w:r>
      <w:r w:rsidRPr="00BD04EE">
        <w:t xml:space="preserve">share the </w:t>
      </w:r>
      <w:r>
        <w:t>additionally apportioned margin.</w:t>
      </w:r>
    </w:p>
    <w:p w14:paraId="16B411E7" w14:textId="04E62FB6" w:rsidR="00B2765F" w:rsidRPr="00BD7B7D" w:rsidRDefault="00B2765F" w:rsidP="00B2765F">
      <w:pPr>
        <w:pStyle w:val="Caption"/>
        <w:rPr>
          <w:rStyle w:val="ECCHLyellow"/>
        </w:rPr>
      </w:pPr>
      <w:bookmarkStart w:id="1030" w:name="_Ref67661456"/>
      <w:r w:rsidRPr="00BD7B7D">
        <w:rPr>
          <w:rStyle w:val="ECCParagraph"/>
        </w:rPr>
        <w:t>Table </w:t>
      </w:r>
      <w:r w:rsidRPr="00BD7B7D">
        <w:rPr>
          <w:rStyle w:val="ECCParagraph"/>
        </w:rPr>
        <w:fldChar w:fldCharType="begin"/>
      </w:r>
      <w:r w:rsidRPr="00BD7B7D">
        <w:rPr>
          <w:rStyle w:val="ECCParagraph"/>
        </w:rPr>
        <w:instrText xml:space="preserve"> SEQ Table \* ARABIC </w:instrText>
      </w:r>
      <w:r w:rsidRPr="00BD7B7D">
        <w:rPr>
          <w:rStyle w:val="ECCParagraph"/>
        </w:rPr>
        <w:fldChar w:fldCharType="separate"/>
      </w:r>
      <w:r w:rsidR="004F49F9">
        <w:rPr>
          <w:rStyle w:val="ECCParagraph"/>
          <w:noProof/>
        </w:rPr>
        <w:t>139</w:t>
      </w:r>
      <w:r w:rsidRPr="00BD7B7D">
        <w:rPr>
          <w:rStyle w:val="ECCParagraph"/>
        </w:rPr>
        <w:fldChar w:fldCharType="end"/>
      </w:r>
      <w:bookmarkEnd w:id="1030"/>
      <w:r w:rsidRPr="00BD7B7D">
        <w:t xml:space="preserve">: </w:t>
      </w:r>
      <w:r>
        <w:t>Band-by-band apportionment factors in the frequency range 114</w:t>
      </w:r>
      <w:r w:rsidR="00CF4994">
        <w:t>.2</w:t>
      </w:r>
      <w:r>
        <w:t xml:space="preserve">5-260 GHz induced by </w:t>
      </w:r>
      <w:r w:rsidR="00045AF2">
        <w:t>UWB</w:t>
      </w:r>
      <w:r>
        <w:t>-applications</w:t>
      </w:r>
    </w:p>
    <w:tbl>
      <w:tblPr>
        <w:tblStyle w:val="ECCTable-redheader"/>
        <w:tblW w:w="5020" w:type="pct"/>
        <w:tblInd w:w="0" w:type="dxa"/>
        <w:tblLook w:val="04A0" w:firstRow="1" w:lastRow="0" w:firstColumn="1" w:lastColumn="0" w:noHBand="0" w:noVBand="1"/>
      </w:tblPr>
      <w:tblGrid>
        <w:gridCol w:w="1843"/>
        <w:gridCol w:w="2976"/>
        <w:gridCol w:w="2123"/>
        <w:gridCol w:w="2726"/>
      </w:tblGrid>
      <w:tr w:rsidR="005B6638" w14:paraId="6609610E" w14:textId="77777777" w:rsidTr="005B6638">
        <w:trPr>
          <w:cnfStyle w:val="100000000000" w:firstRow="1" w:lastRow="0" w:firstColumn="0" w:lastColumn="0" w:oddVBand="0" w:evenVBand="0" w:oddHBand="0" w:evenHBand="0" w:firstRowFirstColumn="0" w:firstRowLastColumn="0" w:lastRowFirstColumn="0" w:lastRowLastColumn="0"/>
        </w:trPr>
        <w:tc>
          <w:tcPr>
            <w:tcW w:w="953" w:type="pct"/>
          </w:tcPr>
          <w:p w14:paraId="151F9B05" w14:textId="77777777" w:rsidR="00B2765F" w:rsidRPr="00B2765F" w:rsidRDefault="00B2765F" w:rsidP="00B2765F">
            <w:r w:rsidRPr="00BD7B7D">
              <w:t>Affected EESS allocation (GHz)</w:t>
            </w:r>
          </w:p>
        </w:tc>
        <w:tc>
          <w:tcPr>
            <w:tcW w:w="1539" w:type="pct"/>
          </w:tcPr>
          <w:p w14:paraId="788AC8F5" w14:textId="77777777" w:rsidR="00B2765F" w:rsidRPr="00B2765F" w:rsidRDefault="00B2765F" w:rsidP="00B2765F">
            <w:r w:rsidRPr="00BD7B7D">
              <w:t xml:space="preserve">Potential </w:t>
            </w:r>
            <w:r w:rsidR="00045AF2">
              <w:t>UWB</w:t>
            </w:r>
            <w:r w:rsidRPr="00BD7B7D">
              <w:t>-applications in the EESS allocation</w:t>
            </w:r>
          </w:p>
        </w:tc>
        <w:tc>
          <w:tcPr>
            <w:tcW w:w="1098" w:type="pct"/>
          </w:tcPr>
          <w:p w14:paraId="7F4C5D68" w14:textId="77777777" w:rsidR="00B2765F" w:rsidRPr="00B2765F" w:rsidRDefault="00B2765F" w:rsidP="00B2765F">
            <w:r w:rsidRPr="00BD7B7D">
              <w:t xml:space="preserve">No. of outdoor </w:t>
            </w:r>
            <w:r w:rsidR="00045AF2">
              <w:t>UWB</w:t>
            </w:r>
            <w:r w:rsidRPr="00BD7B7D">
              <w:t>-applications</w:t>
            </w:r>
          </w:p>
        </w:tc>
        <w:tc>
          <w:tcPr>
            <w:tcW w:w="1410" w:type="pct"/>
          </w:tcPr>
          <w:p w14:paraId="2FA8491B" w14:textId="77777777" w:rsidR="00B2765F" w:rsidRPr="00B2765F" w:rsidRDefault="00B2765F" w:rsidP="00B2765F">
            <w:r w:rsidRPr="00BD7B7D">
              <w:t xml:space="preserve">Resulting apportionment from outdoor </w:t>
            </w:r>
            <w:r w:rsidR="00045AF2">
              <w:t>UWB</w:t>
            </w:r>
            <w:r w:rsidRPr="00BD7B7D">
              <w:t>-applications</w:t>
            </w:r>
          </w:p>
        </w:tc>
      </w:tr>
      <w:tr w:rsidR="00B2765F" w14:paraId="2E1824A9" w14:textId="77777777" w:rsidTr="005B6638">
        <w:tc>
          <w:tcPr>
            <w:tcW w:w="953" w:type="pct"/>
          </w:tcPr>
          <w:p w14:paraId="10DD4489" w14:textId="5B4C6FAA" w:rsidR="00B2765F" w:rsidRPr="00B2765F" w:rsidRDefault="00B2765F" w:rsidP="00B2765F">
            <w:r w:rsidRPr="00BD7B7D">
              <w:t>114</w:t>
            </w:r>
            <w:r w:rsidR="00CF4994">
              <w:t>.2</w:t>
            </w:r>
            <w:r w:rsidRPr="00BD7B7D">
              <w:t xml:space="preserve">5 </w:t>
            </w:r>
            <w:r w:rsidR="005B6638">
              <w:t>-</w:t>
            </w:r>
            <w:r w:rsidRPr="00BD7B7D">
              <w:t>116</w:t>
            </w:r>
          </w:p>
        </w:tc>
        <w:tc>
          <w:tcPr>
            <w:tcW w:w="1539" w:type="pct"/>
          </w:tcPr>
          <w:p w14:paraId="139AE535" w14:textId="77777777" w:rsidR="00B2765F" w:rsidRPr="00B2765F" w:rsidRDefault="00B2765F" w:rsidP="00B2765F">
            <w:r w:rsidRPr="00BD7B7D">
              <w:t>-</w:t>
            </w:r>
          </w:p>
        </w:tc>
        <w:tc>
          <w:tcPr>
            <w:tcW w:w="1098" w:type="pct"/>
          </w:tcPr>
          <w:p w14:paraId="3857E6E4" w14:textId="77777777" w:rsidR="00B2765F" w:rsidRPr="00B2765F" w:rsidRDefault="00B2765F" w:rsidP="00B2765F">
            <w:r w:rsidRPr="00BD7B7D">
              <w:t>0</w:t>
            </w:r>
          </w:p>
        </w:tc>
        <w:tc>
          <w:tcPr>
            <w:tcW w:w="1410" w:type="pct"/>
          </w:tcPr>
          <w:p w14:paraId="1F417AFE" w14:textId="77777777" w:rsidR="00B2765F" w:rsidRPr="00B2765F" w:rsidRDefault="00B2765F" w:rsidP="00B2765F">
            <w:r w:rsidRPr="00BD7B7D">
              <w:t>-</w:t>
            </w:r>
          </w:p>
        </w:tc>
      </w:tr>
      <w:tr w:rsidR="00B2765F" w14:paraId="099F3122" w14:textId="77777777" w:rsidTr="005B6638">
        <w:tc>
          <w:tcPr>
            <w:tcW w:w="953" w:type="pct"/>
          </w:tcPr>
          <w:p w14:paraId="6F433EAF" w14:textId="1965EA14" w:rsidR="00B2765F" w:rsidRPr="00B2765F" w:rsidRDefault="00B2765F" w:rsidP="00B2765F">
            <w:r w:rsidRPr="00BD7B7D">
              <w:t>116–122</w:t>
            </w:r>
            <w:r w:rsidR="00CF4994">
              <w:t>.2</w:t>
            </w:r>
            <w:r w:rsidRPr="00BD7B7D">
              <w:t>5</w:t>
            </w:r>
          </w:p>
        </w:tc>
        <w:tc>
          <w:tcPr>
            <w:tcW w:w="1539" w:type="pct"/>
          </w:tcPr>
          <w:p w14:paraId="01C8B0DF" w14:textId="77777777" w:rsidR="00B2765F" w:rsidRPr="00B2765F" w:rsidRDefault="00B2765F" w:rsidP="00B2765F">
            <w:r w:rsidRPr="00BD7B7D">
              <w:t xml:space="preserve">RDI, </w:t>
            </w:r>
            <w:r w:rsidRPr="00B2765F">
              <w:t>Short-range assist (car), Generic Indoor surveillance radar, LPR, CDR, RDI-S, TLPR</w:t>
            </w:r>
          </w:p>
        </w:tc>
        <w:tc>
          <w:tcPr>
            <w:tcW w:w="1098" w:type="pct"/>
          </w:tcPr>
          <w:p w14:paraId="0B3600B4" w14:textId="77777777" w:rsidR="00B2765F" w:rsidRPr="00B2765F" w:rsidRDefault="00B2765F" w:rsidP="00B2765F">
            <w:r w:rsidRPr="00BD7B7D">
              <w:t>4</w:t>
            </w:r>
          </w:p>
        </w:tc>
        <w:tc>
          <w:tcPr>
            <w:tcW w:w="1410" w:type="pct"/>
          </w:tcPr>
          <w:p w14:paraId="31C5BAE2" w14:textId="77777777" w:rsidR="00B2765F" w:rsidRPr="00B2765F" w:rsidRDefault="00B2765F" w:rsidP="00B2765F">
            <w:r w:rsidRPr="00BD7B7D">
              <w:t>6 dB</w:t>
            </w:r>
          </w:p>
        </w:tc>
      </w:tr>
      <w:tr w:rsidR="00B2765F" w14:paraId="05A06A98" w14:textId="77777777" w:rsidTr="005B6638">
        <w:tc>
          <w:tcPr>
            <w:tcW w:w="953" w:type="pct"/>
          </w:tcPr>
          <w:p w14:paraId="3B2CA30E" w14:textId="0D7C3BBF" w:rsidR="00B2765F" w:rsidRPr="00B2765F" w:rsidRDefault="00B2765F" w:rsidP="00B2765F">
            <w:r w:rsidRPr="00BD7B7D">
              <w:t>148</w:t>
            </w:r>
            <w:r w:rsidR="00CF4994">
              <w:t>.5</w:t>
            </w:r>
            <w:r w:rsidRPr="00BD7B7D">
              <w:t>–151</w:t>
            </w:r>
            <w:r w:rsidR="00CF4994">
              <w:t>.5</w:t>
            </w:r>
          </w:p>
        </w:tc>
        <w:tc>
          <w:tcPr>
            <w:tcW w:w="1539" w:type="pct"/>
          </w:tcPr>
          <w:p w14:paraId="3A782D09" w14:textId="77777777" w:rsidR="00B2765F" w:rsidRPr="00B2765F" w:rsidRDefault="00B2765F" w:rsidP="00B2765F">
            <w:r w:rsidRPr="00BD7B7D">
              <w:t>RDI-S</w:t>
            </w:r>
          </w:p>
        </w:tc>
        <w:tc>
          <w:tcPr>
            <w:tcW w:w="1098" w:type="pct"/>
          </w:tcPr>
          <w:p w14:paraId="2F648571" w14:textId="77777777" w:rsidR="00B2765F" w:rsidRPr="00B2765F" w:rsidRDefault="00B2765F" w:rsidP="00B2765F">
            <w:r w:rsidRPr="00BD7B7D">
              <w:t>0</w:t>
            </w:r>
          </w:p>
        </w:tc>
        <w:tc>
          <w:tcPr>
            <w:tcW w:w="1410" w:type="pct"/>
          </w:tcPr>
          <w:p w14:paraId="3E600B5B" w14:textId="77777777" w:rsidR="00B2765F" w:rsidRPr="00B2765F" w:rsidRDefault="00B2765F" w:rsidP="00B2765F">
            <w:r w:rsidRPr="00BD7B7D">
              <w:t>-</w:t>
            </w:r>
          </w:p>
        </w:tc>
      </w:tr>
      <w:tr w:rsidR="00B2765F" w14:paraId="12860555" w14:textId="77777777" w:rsidTr="005B6638">
        <w:tc>
          <w:tcPr>
            <w:tcW w:w="953" w:type="pct"/>
          </w:tcPr>
          <w:p w14:paraId="7625F619" w14:textId="6C87A333" w:rsidR="00B2765F" w:rsidRPr="00B2765F" w:rsidRDefault="00B2765F" w:rsidP="00B2765F">
            <w:r w:rsidRPr="00BD7B7D">
              <w:t>164–167</w:t>
            </w:r>
          </w:p>
        </w:tc>
        <w:tc>
          <w:tcPr>
            <w:tcW w:w="1539" w:type="pct"/>
          </w:tcPr>
          <w:p w14:paraId="295F15B8" w14:textId="77777777" w:rsidR="00B2765F" w:rsidRPr="00B2765F" w:rsidRDefault="00B2765F" w:rsidP="00B2765F">
            <w:r w:rsidRPr="00BD7B7D">
              <w:t>RDI-S</w:t>
            </w:r>
          </w:p>
        </w:tc>
        <w:tc>
          <w:tcPr>
            <w:tcW w:w="1098" w:type="pct"/>
          </w:tcPr>
          <w:p w14:paraId="3FD0F867" w14:textId="77777777" w:rsidR="00B2765F" w:rsidRPr="00B2765F" w:rsidRDefault="00B2765F" w:rsidP="00B2765F">
            <w:r w:rsidRPr="00BD7B7D">
              <w:t>0</w:t>
            </w:r>
          </w:p>
        </w:tc>
        <w:tc>
          <w:tcPr>
            <w:tcW w:w="1410" w:type="pct"/>
          </w:tcPr>
          <w:p w14:paraId="4ED668F9" w14:textId="77777777" w:rsidR="00B2765F" w:rsidRPr="00B2765F" w:rsidRDefault="00B2765F" w:rsidP="00B2765F">
            <w:r w:rsidRPr="00BD7B7D">
              <w:t>-</w:t>
            </w:r>
          </w:p>
        </w:tc>
      </w:tr>
      <w:tr w:rsidR="00B2765F" w14:paraId="32713758" w14:textId="77777777" w:rsidTr="005B6638">
        <w:tc>
          <w:tcPr>
            <w:tcW w:w="953" w:type="pct"/>
          </w:tcPr>
          <w:p w14:paraId="3A873E6F" w14:textId="75C889DB" w:rsidR="00B2765F" w:rsidRPr="00B2765F" w:rsidRDefault="00B2765F" w:rsidP="00B2765F">
            <w:r w:rsidRPr="00BD7B7D">
              <w:t>174</w:t>
            </w:r>
            <w:r w:rsidR="00CF4994">
              <w:t>.8</w:t>
            </w:r>
            <w:r w:rsidRPr="00BD7B7D">
              <w:t>–182</w:t>
            </w:r>
          </w:p>
        </w:tc>
        <w:tc>
          <w:tcPr>
            <w:tcW w:w="1539" w:type="pct"/>
          </w:tcPr>
          <w:p w14:paraId="7172F6C5" w14:textId="77777777" w:rsidR="00B2765F" w:rsidRPr="00B2765F" w:rsidRDefault="00B2765F" w:rsidP="00B2765F">
            <w:r w:rsidRPr="00BD7B7D">
              <w:t xml:space="preserve">RDI, LPR, CDR, </w:t>
            </w:r>
            <w:r w:rsidRPr="00B2765F">
              <w:t>RDI-S, TLPR</w:t>
            </w:r>
          </w:p>
        </w:tc>
        <w:tc>
          <w:tcPr>
            <w:tcW w:w="1098" w:type="pct"/>
          </w:tcPr>
          <w:p w14:paraId="6271EA96" w14:textId="77777777" w:rsidR="00B2765F" w:rsidRPr="00B2765F" w:rsidRDefault="00B2765F" w:rsidP="00B2765F">
            <w:r w:rsidRPr="00BD7B7D">
              <w:t>3</w:t>
            </w:r>
          </w:p>
        </w:tc>
        <w:tc>
          <w:tcPr>
            <w:tcW w:w="1410" w:type="pct"/>
          </w:tcPr>
          <w:p w14:paraId="4741629F" w14:textId="77777777" w:rsidR="00B2765F" w:rsidRPr="00B2765F" w:rsidRDefault="00B2765F" w:rsidP="00B2765F">
            <w:r w:rsidRPr="00BD7B7D">
              <w:t>4</w:t>
            </w:r>
            <w:r w:rsidR="00CF4994">
              <w:t>.8</w:t>
            </w:r>
            <w:r w:rsidRPr="00BD7B7D">
              <w:t> dB</w:t>
            </w:r>
          </w:p>
        </w:tc>
      </w:tr>
      <w:tr w:rsidR="00B2765F" w14:paraId="26CD9FE1" w14:textId="77777777" w:rsidTr="005B6638">
        <w:tc>
          <w:tcPr>
            <w:tcW w:w="953" w:type="pct"/>
          </w:tcPr>
          <w:p w14:paraId="3C64ECAE" w14:textId="02E9D125" w:rsidR="00B2765F" w:rsidRPr="00B2765F" w:rsidRDefault="00B2765F" w:rsidP="00B2765F">
            <w:r w:rsidRPr="00BD7B7D">
              <w:t>182–185</w:t>
            </w:r>
          </w:p>
        </w:tc>
        <w:tc>
          <w:tcPr>
            <w:tcW w:w="1539" w:type="pct"/>
          </w:tcPr>
          <w:p w14:paraId="06D8B485" w14:textId="77777777" w:rsidR="00B2765F" w:rsidRPr="00B2765F" w:rsidRDefault="00B2765F" w:rsidP="00B2765F">
            <w:r w:rsidRPr="00BD7B7D">
              <w:t>RDI-S</w:t>
            </w:r>
          </w:p>
        </w:tc>
        <w:tc>
          <w:tcPr>
            <w:tcW w:w="1098" w:type="pct"/>
          </w:tcPr>
          <w:p w14:paraId="4291F59C" w14:textId="77777777" w:rsidR="00B2765F" w:rsidRPr="00B2765F" w:rsidRDefault="00B2765F" w:rsidP="00B2765F">
            <w:r w:rsidRPr="00BD7B7D">
              <w:t>0</w:t>
            </w:r>
          </w:p>
        </w:tc>
        <w:tc>
          <w:tcPr>
            <w:tcW w:w="1410" w:type="pct"/>
          </w:tcPr>
          <w:p w14:paraId="74882A59" w14:textId="77777777" w:rsidR="00B2765F" w:rsidRPr="00B2765F" w:rsidRDefault="00B2765F" w:rsidP="00B2765F">
            <w:r w:rsidRPr="00BD7B7D">
              <w:t>-</w:t>
            </w:r>
          </w:p>
        </w:tc>
      </w:tr>
      <w:tr w:rsidR="00B2765F" w14:paraId="799B3C09" w14:textId="77777777" w:rsidTr="005B6638">
        <w:tc>
          <w:tcPr>
            <w:tcW w:w="953" w:type="pct"/>
          </w:tcPr>
          <w:p w14:paraId="397B44D8" w14:textId="7DC149B9" w:rsidR="00B2765F" w:rsidRPr="00B2765F" w:rsidRDefault="00B2765F" w:rsidP="00B2765F">
            <w:r w:rsidRPr="00BD7B7D">
              <w:t>185–190</w:t>
            </w:r>
          </w:p>
        </w:tc>
        <w:tc>
          <w:tcPr>
            <w:tcW w:w="1539" w:type="pct"/>
          </w:tcPr>
          <w:p w14:paraId="490CDE98" w14:textId="77777777" w:rsidR="00B2765F" w:rsidRPr="00B2765F" w:rsidRDefault="00B2765F" w:rsidP="00B2765F">
            <w:r w:rsidRPr="00BD7B7D">
              <w:t>RDI, RDI-S</w:t>
            </w:r>
          </w:p>
        </w:tc>
        <w:tc>
          <w:tcPr>
            <w:tcW w:w="1098" w:type="pct"/>
          </w:tcPr>
          <w:p w14:paraId="0DC45C0B" w14:textId="77777777" w:rsidR="00B2765F" w:rsidRPr="00B2765F" w:rsidRDefault="00B2765F" w:rsidP="00B2765F">
            <w:r w:rsidRPr="00BD7B7D">
              <w:t>1</w:t>
            </w:r>
          </w:p>
        </w:tc>
        <w:tc>
          <w:tcPr>
            <w:tcW w:w="1410" w:type="pct"/>
          </w:tcPr>
          <w:p w14:paraId="410BB7E9" w14:textId="77777777" w:rsidR="00B2765F" w:rsidRPr="00B2765F" w:rsidRDefault="00B2765F" w:rsidP="00B2765F">
            <w:r w:rsidRPr="00BD7B7D">
              <w:t>0 dB</w:t>
            </w:r>
          </w:p>
        </w:tc>
      </w:tr>
      <w:tr w:rsidR="00B2765F" w14:paraId="149CC51C" w14:textId="77777777" w:rsidTr="005B6638">
        <w:tc>
          <w:tcPr>
            <w:tcW w:w="953" w:type="pct"/>
          </w:tcPr>
          <w:p w14:paraId="535B0FAB" w14:textId="6AEE14EC" w:rsidR="00B2765F" w:rsidRPr="00B2765F" w:rsidRDefault="00B2765F" w:rsidP="00B2765F">
            <w:r w:rsidRPr="00BD7B7D">
              <w:t>190–191</w:t>
            </w:r>
            <w:r w:rsidR="00CF4994">
              <w:t>.8</w:t>
            </w:r>
          </w:p>
        </w:tc>
        <w:tc>
          <w:tcPr>
            <w:tcW w:w="1539" w:type="pct"/>
          </w:tcPr>
          <w:p w14:paraId="6774EA43" w14:textId="77777777" w:rsidR="00B2765F" w:rsidRPr="00B2765F" w:rsidRDefault="00B2765F" w:rsidP="00B2765F">
            <w:r w:rsidRPr="00BD7B7D">
              <w:t>RDI-S</w:t>
            </w:r>
          </w:p>
        </w:tc>
        <w:tc>
          <w:tcPr>
            <w:tcW w:w="1098" w:type="pct"/>
          </w:tcPr>
          <w:p w14:paraId="0B4BEFB3" w14:textId="77777777" w:rsidR="00B2765F" w:rsidRPr="00B2765F" w:rsidRDefault="00B2765F" w:rsidP="00B2765F">
            <w:r w:rsidRPr="00BD7B7D">
              <w:t>0</w:t>
            </w:r>
          </w:p>
        </w:tc>
        <w:tc>
          <w:tcPr>
            <w:tcW w:w="1410" w:type="pct"/>
          </w:tcPr>
          <w:p w14:paraId="7B3753F5" w14:textId="77777777" w:rsidR="00B2765F" w:rsidRPr="00B2765F" w:rsidRDefault="00B2765F" w:rsidP="00B2765F">
            <w:r w:rsidRPr="00BD7B7D">
              <w:t>-</w:t>
            </w:r>
          </w:p>
        </w:tc>
      </w:tr>
      <w:tr w:rsidR="00B2765F" w14:paraId="64F90A69" w14:textId="77777777" w:rsidTr="005B6638">
        <w:tc>
          <w:tcPr>
            <w:tcW w:w="953" w:type="pct"/>
          </w:tcPr>
          <w:p w14:paraId="5D427440" w14:textId="4F7043DD" w:rsidR="00B2765F" w:rsidRPr="00B2765F" w:rsidRDefault="00B2765F" w:rsidP="00B2765F">
            <w:r w:rsidRPr="00BD7B7D">
              <w:t>200–209</w:t>
            </w:r>
          </w:p>
        </w:tc>
        <w:tc>
          <w:tcPr>
            <w:tcW w:w="1539" w:type="pct"/>
          </w:tcPr>
          <w:p w14:paraId="5972941D" w14:textId="77777777" w:rsidR="00B2765F" w:rsidRPr="00B2765F" w:rsidRDefault="00B2765F" w:rsidP="00B2765F">
            <w:r w:rsidRPr="00BD7B7D">
              <w:t>RDI-S</w:t>
            </w:r>
          </w:p>
        </w:tc>
        <w:tc>
          <w:tcPr>
            <w:tcW w:w="1098" w:type="pct"/>
          </w:tcPr>
          <w:p w14:paraId="1BA906B6" w14:textId="77777777" w:rsidR="00B2765F" w:rsidRPr="00B2765F" w:rsidRDefault="00B2765F" w:rsidP="00B2765F">
            <w:r w:rsidRPr="00BD7B7D">
              <w:t>0</w:t>
            </w:r>
          </w:p>
        </w:tc>
        <w:tc>
          <w:tcPr>
            <w:tcW w:w="1410" w:type="pct"/>
          </w:tcPr>
          <w:p w14:paraId="3E73365B" w14:textId="77777777" w:rsidR="00B2765F" w:rsidRPr="00B2765F" w:rsidRDefault="00B2765F" w:rsidP="00B2765F">
            <w:r w:rsidRPr="00BD7B7D">
              <w:t>-</w:t>
            </w:r>
          </w:p>
        </w:tc>
      </w:tr>
      <w:tr w:rsidR="00B2765F" w14:paraId="3E2D4485" w14:textId="77777777" w:rsidTr="005B6638">
        <w:tc>
          <w:tcPr>
            <w:tcW w:w="953" w:type="pct"/>
          </w:tcPr>
          <w:p w14:paraId="411157AE" w14:textId="0DC8526D" w:rsidR="00B2765F" w:rsidRPr="00B2765F" w:rsidRDefault="00B2765F" w:rsidP="00B2765F">
            <w:r w:rsidRPr="00BD7B7D">
              <w:t>226–231</w:t>
            </w:r>
            <w:r w:rsidR="00CF4994">
              <w:t>.5</w:t>
            </w:r>
          </w:p>
        </w:tc>
        <w:tc>
          <w:tcPr>
            <w:tcW w:w="1539" w:type="pct"/>
          </w:tcPr>
          <w:p w14:paraId="515D7983" w14:textId="77777777" w:rsidR="00B2765F" w:rsidRPr="00B2765F" w:rsidRDefault="00B2765F" w:rsidP="00B2765F">
            <w:r w:rsidRPr="00BD7B7D">
              <w:t>RDI-S</w:t>
            </w:r>
          </w:p>
        </w:tc>
        <w:tc>
          <w:tcPr>
            <w:tcW w:w="1098" w:type="pct"/>
          </w:tcPr>
          <w:p w14:paraId="0A0B857D" w14:textId="77777777" w:rsidR="00B2765F" w:rsidRPr="00B2765F" w:rsidRDefault="00B2765F" w:rsidP="00B2765F">
            <w:r w:rsidRPr="00BD7B7D">
              <w:t>0</w:t>
            </w:r>
          </w:p>
        </w:tc>
        <w:tc>
          <w:tcPr>
            <w:tcW w:w="1410" w:type="pct"/>
          </w:tcPr>
          <w:p w14:paraId="770CB94A" w14:textId="77777777" w:rsidR="00B2765F" w:rsidRPr="00B2765F" w:rsidRDefault="00B2765F" w:rsidP="00B2765F">
            <w:r w:rsidRPr="00BD7B7D">
              <w:t>-</w:t>
            </w:r>
          </w:p>
        </w:tc>
      </w:tr>
      <w:tr w:rsidR="00B2765F" w:rsidRPr="00B50D0B" w14:paraId="7B08D68E" w14:textId="77777777" w:rsidTr="005B6638">
        <w:tc>
          <w:tcPr>
            <w:tcW w:w="953" w:type="pct"/>
          </w:tcPr>
          <w:p w14:paraId="69AA66E0" w14:textId="29C42611" w:rsidR="00B2765F" w:rsidRPr="00B2765F" w:rsidRDefault="00B2765F" w:rsidP="00B2765F">
            <w:r w:rsidRPr="00BD7B7D">
              <w:t>235–238</w:t>
            </w:r>
          </w:p>
        </w:tc>
        <w:tc>
          <w:tcPr>
            <w:tcW w:w="1539" w:type="pct"/>
          </w:tcPr>
          <w:p w14:paraId="493980EE" w14:textId="77777777" w:rsidR="00B2765F" w:rsidRPr="00B2765F" w:rsidRDefault="00B2765F" w:rsidP="00B2765F">
            <w:r w:rsidRPr="00BD7B7D">
              <w:t>RDI, LPR, CDR, RDI-S, TLPR</w:t>
            </w:r>
          </w:p>
        </w:tc>
        <w:tc>
          <w:tcPr>
            <w:tcW w:w="1098" w:type="pct"/>
          </w:tcPr>
          <w:p w14:paraId="3E141755" w14:textId="77777777" w:rsidR="00B2765F" w:rsidRPr="00B2765F" w:rsidRDefault="00B2765F" w:rsidP="00B2765F">
            <w:r w:rsidRPr="00BD7B7D">
              <w:t>3</w:t>
            </w:r>
          </w:p>
        </w:tc>
        <w:tc>
          <w:tcPr>
            <w:tcW w:w="1410" w:type="pct"/>
          </w:tcPr>
          <w:p w14:paraId="23CFEECC" w14:textId="77777777" w:rsidR="00B2765F" w:rsidRPr="00B2765F" w:rsidRDefault="00B2765F" w:rsidP="00B2765F">
            <w:r w:rsidRPr="00BD7B7D">
              <w:t>4</w:t>
            </w:r>
            <w:r w:rsidR="00CF4994">
              <w:t>.8</w:t>
            </w:r>
            <w:r w:rsidRPr="00BD7B7D">
              <w:t> dB</w:t>
            </w:r>
          </w:p>
        </w:tc>
      </w:tr>
      <w:tr w:rsidR="00B2765F" w:rsidRPr="00B50D0B" w14:paraId="126A7EC8" w14:textId="77777777" w:rsidTr="005B6638">
        <w:tc>
          <w:tcPr>
            <w:tcW w:w="953" w:type="pct"/>
          </w:tcPr>
          <w:p w14:paraId="1D1C0C9C" w14:textId="2A8F1505" w:rsidR="00B2765F" w:rsidRPr="00B2765F" w:rsidRDefault="00B2765F" w:rsidP="00B2765F">
            <w:r w:rsidRPr="00BD7B7D">
              <w:t>239–248</w:t>
            </w:r>
          </w:p>
        </w:tc>
        <w:tc>
          <w:tcPr>
            <w:tcW w:w="1539" w:type="pct"/>
          </w:tcPr>
          <w:p w14:paraId="581C7C6F" w14:textId="77777777" w:rsidR="00B2765F" w:rsidRPr="00B2765F" w:rsidRDefault="00B2765F" w:rsidP="00B2765F">
            <w:r w:rsidRPr="00BD7B7D">
              <w:t>RDI, LPR, CDR, RDI-S, TLPR</w:t>
            </w:r>
          </w:p>
        </w:tc>
        <w:tc>
          <w:tcPr>
            <w:tcW w:w="2508" w:type="pct"/>
            <w:gridSpan w:val="2"/>
          </w:tcPr>
          <w:p w14:paraId="57DE9E44" w14:textId="45855B48" w:rsidR="00B2765F" w:rsidRPr="00B2765F" w:rsidRDefault="00B2765F" w:rsidP="00B2765F">
            <w:r w:rsidRPr="00BD7B7D">
              <w:t>New frequency range acc</w:t>
            </w:r>
            <w:r w:rsidR="008162CD">
              <w:t>ording</w:t>
            </w:r>
            <w:r w:rsidRPr="00BD7B7D">
              <w:t xml:space="preserve"> to resolution 662 WRC-19. Not yet </w:t>
            </w:r>
            <w:r w:rsidRPr="00B2765F">
              <w:t>assessed.</w:t>
            </w:r>
          </w:p>
        </w:tc>
      </w:tr>
      <w:tr w:rsidR="00B2765F" w14:paraId="19EBE1EA" w14:textId="77777777" w:rsidTr="005B6638">
        <w:tc>
          <w:tcPr>
            <w:tcW w:w="953" w:type="pct"/>
          </w:tcPr>
          <w:p w14:paraId="1A8E7D99" w14:textId="288E9445" w:rsidR="00B2765F" w:rsidRPr="00B2765F" w:rsidRDefault="00B2765F" w:rsidP="00B2765F">
            <w:r w:rsidRPr="00BD7B7D">
              <w:t>250–252</w:t>
            </w:r>
          </w:p>
        </w:tc>
        <w:tc>
          <w:tcPr>
            <w:tcW w:w="1539" w:type="pct"/>
          </w:tcPr>
          <w:p w14:paraId="6775203C" w14:textId="77777777" w:rsidR="00B2765F" w:rsidRPr="00B2765F" w:rsidRDefault="00B2765F" w:rsidP="00B2765F">
            <w:r w:rsidRPr="00BD7B7D">
              <w:t>RDI-S</w:t>
            </w:r>
          </w:p>
        </w:tc>
        <w:tc>
          <w:tcPr>
            <w:tcW w:w="1098" w:type="pct"/>
          </w:tcPr>
          <w:p w14:paraId="13628CD8" w14:textId="77777777" w:rsidR="00B2765F" w:rsidRPr="00B2765F" w:rsidRDefault="00B2765F" w:rsidP="00B2765F">
            <w:r w:rsidRPr="00BD7B7D">
              <w:t>0</w:t>
            </w:r>
          </w:p>
        </w:tc>
        <w:tc>
          <w:tcPr>
            <w:tcW w:w="1410" w:type="pct"/>
          </w:tcPr>
          <w:p w14:paraId="46C1F54A" w14:textId="77777777" w:rsidR="00B2765F" w:rsidRPr="00B2765F" w:rsidRDefault="00B2765F" w:rsidP="00B2765F">
            <w:r w:rsidRPr="00BD7B7D">
              <w:t>-</w:t>
            </w:r>
          </w:p>
        </w:tc>
      </w:tr>
    </w:tbl>
    <w:p w14:paraId="0946932C" w14:textId="77777777" w:rsidR="006165A1" w:rsidRPr="006165A1" w:rsidRDefault="006165A1" w:rsidP="006165A1">
      <w:pPr>
        <w:pStyle w:val="ECCAnnexheading2"/>
        <w:rPr>
          <w:rStyle w:val="ECCParagraph"/>
          <w:rFonts w:eastAsia="Calibri"/>
        </w:rPr>
      </w:pPr>
      <w:r w:rsidRPr="006165A1">
        <w:rPr>
          <w:rStyle w:val="ECCParagraph"/>
          <w:rFonts w:eastAsia="Calibri"/>
        </w:rPr>
        <w:t>Conclusions</w:t>
      </w:r>
    </w:p>
    <w:p w14:paraId="7388A532" w14:textId="267FC62E" w:rsidR="006165A1" w:rsidRPr="00604324" w:rsidRDefault="00A26CFF" w:rsidP="006165A1">
      <w:pPr>
        <w:rPr>
          <w:rStyle w:val="ECCParagraph"/>
        </w:rPr>
      </w:pPr>
      <w:r w:rsidRPr="00A26CFF">
        <w:rPr>
          <w:rStyle w:val="ECCParagraph"/>
        </w:rPr>
        <w:t xml:space="preserve">Based on the methodology described in this annex, a single value of 12 dB </w:t>
      </w:r>
      <w:r w:rsidR="006165A1" w:rsidRPr="00604324">
        <w:rPr>
          <w:rStyle w:val="ECCParagraph"/>
        </w:rPr>
        <w:t xml:space="preserve">apportionment </w:t>
      </w:r>
      <w:r w:rsidR="00F05468">
        <w:rPr>
          <w:rStyle w:val="ECCParagraph"/>
        </w:rPr>
        <w:t>factor</w:t>
      </w:r>
      <w:r>
        <w:rPr>
          <w:rStyle w:val="ECCParagraph"/>
        </w:rPr>
        <w:t xml:space="preserve">, applied to </w:t>
      </w:r>
      <w:r w:rsidR="00F05468">
        <w:rPr>
          <w:rStyle w:val="ECCParagraph"/>
        </w:rPr>
        <w:t xml:space="preserve">each radiodetermination application individually (see </w:t>
      </w:r>
      <w:r w:rsidR="009D5FA2">
        <w:rPr>
          <w:rStyle w:val="ECCParagraph"/>
        </w:rPr>
        <w:t>section</w:t>
      </w:r>
      <w:r w:rsidR="00F05468">
        <w:rPr>
          <w:rStyle w:val="ECCParagraph"/>
        </w:rPr>
        <w:t xml:space="preserve"> </w:t>
      </w:r>
      <w:r w:rsidR="00F05468">
        <w:rPr>
          <w:rStyle w:val="ECCParagraph"/>
        </w:rPr>
        <w:fldChar w:fldCharType="begin"/>
      </w:r>
      <w:r w:rsidR="00F05468">
        <w:rPr>
          <w:rStyle w:val="ECCParagraph"/>
        </w:rPr>
        <w:instrText xml:space="preserve"> REF _Ref9415617 \r \h </w:instrText>
      </w:r>
      <w:r w:rsidR="00F05468">
        <w:rPr>
          <w:rStyle w:val="ECCParagraph"/>
        </w:rPr>
      </w:r>
      <w:r w:rsidR="00F05468">
        <w:rPr>
          <w:rStyle w:val="ECCParagraph"/>
        </w:rPr>
        <w:fldChar w:fldCharType="separate"/>
      </w:r>
      <w:r w:rsidR="004F49F9">
        <w:rPr>
          <w:rStyle w:val="ECCParagraph"/>
        </w:rPr>
        <w:t>2.2</w:t>
      </w:r>
      <w:r w:rsidR="00F05468">
        <w:rPr>
          <w:rStyle w:val="ECCParagraph"/>
        </w:rPr>
        <w:fldChar w:fldCharType="end"/>
      </w:r>
      <w:r w:rsidR="00F05468">
        <w:rPr>
          <w:rStyle w:val="ECCParagraph"/>
        </w:rPr>
        <w:t>)</w:t>
      </w:r>
      <w:r>
        <w:rPr>
          <w:rStyle w:val="ECCParagraph"/>
        </w:rPr>
        <w:t>,</w:t>
      </w:r>
      <w:r w:rsidR="00F05468">
        <w:rPr>
          <w:rStyle w:val="ECCParagraph"/>
        </w:rPr>
        <w:t xml:space="preserve"> </w:t>
      </w:r>
      <w:r w:rsidR="006165A1" w:rsidRPr="00604324">
        <w:rPr>
          <w:rStyle w:val="ECCParagraph"/>
        </w:rPr>
        <w:t xml:space="preserve">has been used in this Report based on equal apportionment between </w:t>
      </w:r>
      <w:r w:rsidR="00F05468">
        <w:rPr>
          <w:rStyle w:val="ECCParagraph"/>
        </w:rPr>
        <w:t>regular Radio S</w:t>
      </w:r>
      <w:r w:rsidR="006165A1" w:rsidRPr="00604324">
        <w:rPr>
          <w:rStyle w:val="ECCParagraph"/>
        </w:rPr>
        <w:t xml:space="preserve">ervices and further apportionment between the </w:t>
      </w:r>
      <w:r w:rsidR="00F05468">
        <w:rPr>
          <w:rStyle w:val="ECCParagraph"/>
        </w:rPr>
        <w:t>UWB</w:t>
      </w:r>
      <w:r w:rsidR="006165A1" w:rsidRPr="00604324">
        <w:rPr>
          <w:rStyle w:val="ECCParagraph"/>
        </w:rPr>
        <w:t xml:space="preserve"> radiodetermination </w:t>
      </w:r>
      <w:r w:rsidR="00F05468">
        <w:rPr>
          <w:rStyle w:val="ECCParagraph"/>
        </w:rPr>
        <w:t>applications</w:t>
      </w:r>
      <w:r w:rsidR="006165A1" w:rsidRPr="00604324">
        <w:rPr>
          <w:rStyle w:val="ECCParagraph"/>
        </w:rPr>
        <w:t xml:space="preserve"> under study. </w:t>
      </w:r>
      <w:r>
        <w:rPr>
          <w:rStyle w:val="ECCParagraph"/>
        </w:rPr>
        <w:t>T</w:t>
      </w:r>
      <w:r w:rsidR="006165A1" w:rsidRPr="00604324">
        <w:rPr>
          <w:rStyle w:val="ECCParagraph"/>
        </w:rPr>
        <w:t xml:space="preserve">his </w:t>
      </w:r>
      <w:r w:rsidR="00F05468">
        <w:rPr>
          <w:rStyle w:val="ECCParagraph"/>
        </w:rPr>
        <w:t xml:space="preserve">12 dB </w:t>
      </w:r>
      <w:r w:rsidR="006165A1" w:rsidRPr="00604324">
        <w:rPr>
          <w:rStyle w:val="ECCParagraph"/>
        </w:rPr>
        <w:t xml:space="preserve">value </w:t>
      </w:r>
      <w:r w:rsidR="006165A1">
        <w:rPr>
          <w:rStyle w:val="ECCParagraph"/>
        </w:rPr>
        <w:t>has also been used</w:t>
      </w:r>
      <w:r w:rsidR="006165A1" w:rsidRPr="00604324">
        <w:rPr>
          <w:rStyle w:val="ECCParagraph"/>
        </w:rPr>
        <w:t xml:space="preserve"> in</w:t>
      </w:r>
      <w:r w:rsidR="006165A1">
        <w:rPr>
          <w:rStyle w:val="ECCParagraph"/>
        </w:rPr>
        <w:t xml:space="preserve"> bands protected by </w:t>
      </w:r>
      <w:r w:rsidR="00F05468">
        <w:rPr>
          <w:rStyle w:val="ECCParagraph"/>
        </w:rPr>
        <w:t>RR No.</w:t>
      </w:r>
      <w:r w:rsidR="006165A1">
        <w:rPr>
          <w:rStyle w:val="ECCParagraph"/>
        </w:rPr>
        <w:t xml:space="preserve"> 5.340 </w:t>
      </w:r>
      <w:r w:rsidR="006165A1" w:rsidRPr="00604324">
        <w:rPr>
          <w:rStyle w:val="ECCParagraph"/>
        </w:rPr>
        <w:t>where the calculated margin is lower due to emissions being prohibited in those bands.</w:t>
      </w:r>
    </w:p>
    <w:p w14:paraId="47E304A3" w14:textId="77777777" w:rsidR="00A347F1" w:rsidRDefault="00A347F1" w:rsidP="006165A1">
      <w:pPr>
        <w:pStyle w:val="Caption"/>
        <w:rPr>
          <w:rStyle w:val="ECCParagraph"/>
          <w:rFonts w:eastAsia="Calibri"/>
        </w:rPr>
      </w:pPr>
    </w:p>
    <w:p w14:paraId="0604F59F" w14:textId="77777777" w:rsidR="00A347F1" w:rsidRDefault="00A347F1" w:rsidP="006165A1">
      <w:pPr>
        <w:pStyle w:val="Caption"/>
        <w:rPr>
          <w:rStyle w:val="ECCParagraph"/>
          <w:rFonts w:eastAsia="Calibri"/>
        </w:rPr>
      </w:pPr>
    </w:p>
    <w:p w14:paraId="5C36616E" w14:textId="244BABA7" w:rsidR="006165A1" w:rsidRPr="00BD7B7D" w:rsidRDefault="006165A1" w:rsidP="006165A1">
      <w:pPr>
        <w:pStyle w:val="Caption"/>
        <w:rPr>
          <w:rStyle w:val="ECCHLyellow"/>
        </w:rPr>
      </w:pPr>
      <w:r w:rsidRPr="006165A1">
        <w:rPr>
          <w:rStyle w:val="ECCParagraph"/>
          <w:rFonts w:eastAsia="Calibri"/>
        </w:rPr>
        <w:t>Table </w:t>
      </w:r>
      <w:r w:rsidRPr="006165A1">
        <w:rPr>
          <w:rStyle w:val="ECCParagraph"/>
          <w:rFonts w:eastAsia="Calibri"/>
        </w:rPr>
        <w:fldChar w:fldCharType="begin"/>
      </w:r>
      <w:r w:rsidRPr="006165A1">
        <w:rPr>
          <w:rStyle w:val="ECCParagraph"/>
          <w:rFonts w:eastAsia="Calibri"/>
        </w:rPr>
        <w:instrText xml:space="preserve"> SEQ Table \* ARABIC </w:instrText>
      </w:r>
      <w:r w:rsidRPr="006165A1">
        <w:rPr>
          <w:rStyle w:val="ECCParagraph"/>
          <w:rFonts w:eastAsia="Calibri"/>
        </w:rPr>
        <w:fldChar w:fldCharType="separate"/>
      </w:r>
      <w:r w:rsidR="004F49F9">
        <w:rPr>
          <w:rStyle w:val="ECCParagraph"/>
          <w:rFonts w:eastAsia="Calibri"/>
          <w:noProof/>
        </w:rPr>
        <w:t>140</w:t>
      </w:r>
      <w:r w:rsidRPr="006165A1">
        <w:rPr>
          <w:rStyle w:val="ECCParagraph"/>
          <w:rFonts w:eastAsia="Calibri"/>
        </w:rPr>
        <w:fldChar w:fldCharType="end"/>
      </w:r>
      <w:r w:rsidRPr="00BD7B7D">
        <w:t xml:space="preserve">: Combined </w:t>
      </w:r>
      <w:r>
        <w:t>band-by-band apportionment factors in the frequency range 114</w:t>
      </w:r>
      <w:r w:rsidR="00CF4994">
        <w:t>.2</w:t>
      </w:r>
      <w:r>
        <w:t>5-260 GHz and overall apportionment solution</w:t>
      </w:r>
    </w:p>
    <w:tbl>
      <w:tblPr>
        <w:tblStyle w:val="ECCTable-redheader"/>
        <w:tblW w:w="8784" w:type="dxa"/>
        <w:tblInd w:w="0" w:type="dxa"/>
        <w:tblLayout w:type="fixed"/>
        <w:tblLook w:val="04A0" w:firstRow="1" w:lastRow="0" w:firstColumn="1" w:lastColumn="0" w:noHBand="0" w:noVBand="1"/>
      </w:tblPr>
      <w:tblGrid>
        <w:gridCol w:w="1696"/>
        <w:gridCol w:w="1560"/>
        <w:gridCol w:w="3827"/>
        <w:gridCol w:w="1701"/>
      </w:tblGrid>
      <w:tr w:rsidR="006165A1" w:rsidRPr="00E60767" w14:paraId="31C251CD" w14:textId="77777777" w:rsidTr="009142D3">
        <w:trPr>
          <w:cnfStyle w:val="100000000000" w:firstRow="1" w:lastRow="0" w:firstColumn="0" w:lastColumn="0" w:oddVBand="0" w:evenVBand="0" w:oddHBand="0" w:evenHBand="0" w:firstRowFirstColumn="0" w:firstRowLastColumn="0" w:lastRowFirstColumn="0" w:lastRowLastColumn="0"/>
        </w:trPr>
        <w:tc>
          <w:tcPr>
            <w:tcW w:w="1696" w:type="dxa"/>
          </w:tcPr>
          <w:p w14:paraId="2D4492F4" w14:textId="77777777" w:rsidR="006165A1" w:rsidRPr="006165A1" w:rsidRDefault="006165A1" w:rsidP="006165A1">
            <w:r w:rsidRPr="006165A1">
              <w:t>Affected EESS allocation (GHz)</w:t>
            </w:r>
          </w:p>
        </w:tc>
        <w:tc>
          <w:tcPr>
            <w:tcW w:w="1560" w:type="dxa"/>
          </w:tcPr>
          <w:p w14:paraId="3AC653E3" w14:textId="77777777" w:rsidR="006165A1" w:rsidRPr="006165A1" w:rsidRDefault="006165A1" w:rsidP="006165A1">
            <w:r w:rsidRPr="006165A1">
              <w:t>Article RR 5.340 protected</w:t>
            </w:r>
          </w:p>
        </w:tc>
        <w:tc>
          <w:tcPr>
            <w:tcW w:w="3827" w:type="dxa"/>
          </w:tcPr>
          <w:p w14:paraId="658CFC9C" w14:textId="38F5BC65" w:rsidR="006165A1" w:rsidRPr="006165A1" w:rsidRDefault="006165A1" w:rsidP="006165A1">
            <w:r w:rsidRPr="006165A1">
              <w:t xml:space="preserve">Combined apportionment factor </w:t>
            </w:r>
            <w:r w:rsidR="00514C11">
              <w:t xml:space="preserve">reflecting the two approaches in </w:t>
            </w:r>
            <w:r w:rsidR="00431540">
              <w:fldChar w:fldCharType="begin"/>
            </w:r>
            <w:r w:rsidR="00431540">
              <w:instrText xml:space="preserve"> REF _Ref67661455 \h </w:instrText>
            </w:r>
            <w:r w:rsidR="00431540">
              <w:fldChar w:fldCharType="separate"/>
            </w:r>
            <w:r w:rsidR="0041125F" w:rsidRPr="002428E9">
              <w:t>Table </w:t>
            </w:r>
            <w:r w:rsidR="0041125F">
              <w:rPr>
                <w:noProof/>
              </w:rPr>
              <w:t>137</w:t>
            </w:r>
            <w:r w:rsidR="00431540">
              <w:fldChar w:fldCharType="end"/>
            </w:r>
            <w:r w:rsidR="00431540">
              <w:t xml:space="preserve"> </w:t>
            </w:r>
            <w:r w:rsidR="00514C11">
              <w:t xml:space="preserve">and </w:t>
            </w:r>
            <w:r w:rsidR="00431540">
              <w:fldChar w:fldCharType="begin"/>
            </w:r>
            <w:r w:rsidR="00431540">
              <w:instrText xml:space="preserve"> REF _Ref80883819 \h </w:instrText>
            </w:r>
            <w:r w:rsidR="00431540">
              <w:fldChar w:fldCharType="separate"/>
            </w:r>
            <w:r w:rsidR="0041125F" w:rsidRPr="00CE6F7D">
              <w:t>Table </w:t>
            </w:r>
            <w:r w:rsidR="0041125F">
              <w:rPr>
                <w:noProof/>
              </w:rPr>
              <w:t>138</w:t>
            </w:r>
            <w:r w:rsidR="00431540">
              <w:fldChar w:fldCharType="end"/>
            </w:r>
            <w:r w:rsidR="00431540">
              <w:t xml:space="preserve"> and the factors</w:t>
            </w:r>
            <w:r w:rsidR="007A6714">
              <w:t xml:space="preserve"> from </w:t>
            </w:r>
            <w:r w:rsidR="00886301">
              <w:t>UWB</w:t>
            </w:r>
            <w:r w:rsidR="007A6714">
              <w:t xml:space="preserve"> applications</w:t>
            </w:r>
            <w:r w:rsidR="00431540">
              <w:t xml:space="preserve"> in </w:t>
            </w:r>
            <w:r w:rsidR="007A6714">
              <w:fldChar w:fldCharType="begin"/>
            </w:r>
            <w:r w:rsidR="007A6714">
              <w:instrText xml:space="preserve"> REF _Ref67661456 \h </w:instrText>
            </w:r>
            <w:r w:rsidR="007A6714">
              <w:fldChar w:fldCharType="separate"/>
            </w:r>
            <w:r w:rsidR="0041125F" w:rsidRPr="00BD7B7D">
              <w:rPr>
                <w:rStyle w:val="ECCParagraph"/>
              </w:rPr>
              <w:t>Table </w:t>
            </w:r>
            <w:r w:rsidR="0041125F">
              <w:rPr>
                <w:rStyle w:val="ECCParagraph"/>
                <w:noProof/>
              </w:rPr>
              <w:t>139</w:t>
            </w:r>
            <w:r w:rsidR="007A6714">
              <w:fldChar w:fldCharType="end"/>
            </w:r>
            <w:r w:rsidR="00431540">
              <w:t xml:space="preserve"> </w:t>
            </w:r>
            <w:r w:rsidRPr="006165A1">
              <w:t>(Note</w:t>
            </w:r>
            <w:r w:rsidR="00FC764C">
              <w:t> </w:t>
            </w:r>
            <w:r w:rsidRPr="006165A1">
              <w:t>1)</w:t>
            </w:r>
          </w:p>
        </w:tc>
        <w:tc>
          <w:tcPr>
            <w:tcW w:w="1701" w:type="dxa"/>
          </w:tcPr>
          <w:p w14:paraId="6CC3E202" w14:textId="77777777" w:rsidR="006165A1" w:rsidRPr="006165A1" w:rsidRDefault="006165A1" w:rsidP="006165A1">
            <w:r w:rsidRPr="006165A1">
              <w:t>Overall apportionment factor</w:t>
            </w:r>
          </w:p>
        </w:tc>
      </w:tr>
      <w:tr w:rsidR="006165A1" w:rsidRPr="00E60767" w14:paraId="50A6CC94" w14:textId="77777777" w:rsidTr="009142D3">
        <w:tc>
          <w:tcPr>
            <w:tcW w:w="1696" w:type="dxa"/>
          </w:tcPr>
          <w:p w14:paraId="06C8EEAE" w14:textId="2CE2A9CA" w:rsidR="006165A1" w:rsidRPr="006165A1" w:rsidRDefault="006165A1" w:rsidP="003E544B">
            <w:pPr>
              <w:spacing w:before="20" w:after="20"/>
            </w:pPr>
            <w:r w:rsidRPr="006165A1">
              <w:t>114</w:t>
            </w:r>
            <w:r w:rsidR="00CF4994">
              <w:t>.2</w:t>
            </w:r>
            <w:r w:rsidRPr="006165A1">
              <w:t>5–116</w:t>
            </w:r>
          </w:p>
        </w:tc>
        <w:tc>
          <w:tcPr>
            <w:tcW w:w="1560" w:type="dxa"/>
          </w:tcPr>
          <w:p w14:paraId="65794E71" w14:textId="77777777" w:rsidR="006165A1" w:rsidRPr="006165A1" w:rsidRDefault="006165A1" w:rsidP="003E544B">
            <w:pPr>
              <w:spacing w:before="20" w:after="20"/>
            </w:pPr>
            <w:r w:rsidRPr="006165A1">
              <w:t>●</w:t>
            </w:r>
          </w:p>
        </w:tc>
        <w:tc>
          <w:tcPr>
            <w:tcW w:w="3827" w:type="dxa"/>
          </w:tcPr>
          <w:p w14:paraId="79C33EF5" w14:textId="02E96CAC" w:rsidR="007A6714" w:rsidRDefault="00431540" w:rsidP="003E544B">
            <w:pPr>
              <w:spacing w:before="20" w:after="20"/>
            </w:pPr>
            <w:r>
              <w:t>6</w:t>
            </w:r>
            <w:r w:rsidRPr="006165A1">
              <w:t> </w:t>
            </w:r>
            <w:r w:rsidR="006165A1" w:rsidRPr="006165A1">
              <w:t>dB</w:t>
            </w:r>
            <w:r w:rsidR="000B3E6E">
              <w:t xml:space="preserve"> (</w:t>
            </w:r>
            <w:r w:rsidR="007A6714">
              <w:fldChar w:fldCharType="begin"/>
            </w:r>
            <w:r w:rsidR="007A6714">
              <w:instrText xml:space="preserve"> REF _Ref67661455 \h </w:instrText>
            </w:r>
            <w:r w:rsidR="007A6714">
              <w:fldChar w:fldCharType="separate"/>
            </w:r>
            <w:r w:rsidR="0041125F" w:rsidRPr="002428E9">
              <w:t>Table </w:t>
            </w:r>
            <w:r w:rsidR="0041125F">
              <w:rPr>
                <w:noProof/>
              </w:rPr>
              <w:t>137</w:t>
            </w:r>
            <w:r w:rsidR="007A6714">
              <w:fldChar w:fldCharType="end"/>
            </w:r>
            <w:r w:rsidR="000B3E6E">
              <w:t>)</w:t>
            </w:r>
          </w:p>
          <w:p w14:paraId="52532B26" w14:textId="5DD34AAE" w:rsidR="006165A1" w:rsidRPr="006165A1" w:rsidRDefault="000B3E6E" w:rsidP="003E544B">
            <w:pPr>
              <w:spacing w:before="20" w:after="20"/>
            </w:pPr>
            <w:r>
              <w:t>3 dB (</w:t>
            </w:r>
            <w:r w:rsidR="007A6714">
              <w:fldChar w:fldCharType="begin"/>
            </w:r>
            <w:r w:rsidR="007A6714">
              <w:instrText xml:space="preserve"> REF _Ref80883819 \h </w:instrText>
            </w:r>
            <w:r w:rsidR="007A6714">
              <w:fldChar w:fldCharType="separate"/>
            </w:r>
            <w:r w:rsidR="0041125F" w:rsidRPr="00CE6F7D">
              <w:t>Table </w:t>
            </w:r>
            <w:r w:rsidR="0041125F">
              <w:rPr>
                <w:noProof/>
              </w:rPr>
              <w:t>138</w:t>
            </w:r>
            <w:r w:rsidR="007A6714">
              <w:fldChar w:fldCharType="end"/>
            </w:r>
            <w:r>
              <w:t>)</w:t>
            </w:r>
          </w:p>
        </w:tc>
        <w:tc>
          <w:tcPr>
            <w:tcW w:w="1701" w:type="dxa"/>
          </w:tcPr>
          <w:p w14:paraId="5BAB2B3E" w14:textId="77777777" w:rsidR="006165A1" w:rsidRPr="006165A1" w:rsidRDefault="006165A1" w:rsidP="003E544B">
            <w:pPr>
              <w:spacing w:before="20" w:after="20"/>
            </w:pPr>
            <w:r w:rsidRPr="006165A1">
              <w:t>12 dB</w:t>
            </w:r>
          </w:p>
        </w:tc>
      </w:tr>
      <w:tr w:rsidR="006165A1" w:rsidRPr="00E60767" w14:paraId="4920FF53" w14:textId="77777777" w:rsidTr="009142D3">
        <w:tc>
          <w:tcPr>
            <w:tcW w:w="1696" w:type="dxa"/>
          </w:tcPr>
          <w:p w14:paraId="2A03288D" w14:textId="094F5053" w:rsidR="006165A1" w:rsidRPr="006165A1" w:rsidRDefault="006165A1" w:rsidP="003E544B">
            <w:pPr>
              <w:spacing w:before="20" w:after="20"/>
            </w:pPr>
            <w:r w:rsidRPr="006165A1">
              <w:t>116–122</w:t>
            </w:r>
            <w:r w:rsidR="00CF4994">
              <w:t>.2</w:t>
            </w:r>
            <w:r w:rsidRPr="006165A1">
              <w:t>5</w:t>
            </w:r>
          </w:p>
        </w:tc>
        <w:tc>
          <w:tcPr>
            <w:tcW w:w="1560" w:type="dxa"/>
          </w:tcPr>
          <w:p w14:paraId="56377A72" w14:textId="77777777" w:rsidR="006165A1" w:rsidRPr="006165A1" w:rsidRDefault="006165A1" w:rsidP="003E544B">
            <w:pPr>
              <w:spacing w:before="20" w:after="20"/>
            </w:pPr>
          </w:p>
        </w:tc>
        <w:tc>
          <w:tcPr>
            <w:tcW w:w="3827" w:type="dxa"/>
          </w:tcPr>
          <w:p w14:paraId="29613D5C" w14:textId="2206E7EF" w:rsidR="006165A1" w:rsidRDefault="006165A1" w:rsidP="003E544B">
            <w:pPr>
              <w:spacing w:before="20" w:after="20"/>
            </w:pPr>
            <w:r w:rsidRPr="006165A1">
              <w:t>13 dB</w:t>
            </w:r>
            <w:r w:rsidR="00354D80">
              <w:t xml:space="preserve"> (</w:t>
            </w:r>
            <w:r w:rsidR="00354D80">
              <w:fldChar w:fldCharType="begin"/>
            </w:r>
            <w:r w:rsidR="00354D80">
              <w:instrText xml:space="preserve"> REF _Ref67661455 \h </w:instrText>
            </w:r>
            <w:r w:rsidR="00354D80">
              <w:fldChar w:fldCharType="separate"/>
            </w:r>
            <w:r w:rsidR="0041125F" w:rsidRPr="002428E9">
              <w:t>Table </w:t>
            </w:r>
            <w:r w:rsidR="0041125F">
              <w:rPr>
                <w:noProof/>
              </w:rPr>
              <w:t>137</w:t>
            </w:r>
            <w:r w:rsidR="00354D80">
              <w:fldChar w:fldCharType="end"/>
            </w:r>
            <w:r w:rsidR="00354D80">
              <w:t>)</w:t>
            </w:r>
          </w:p>
          <w:p w14:paraId="127BB303" w14:textId="5B856945" w:rsidR="00354D80" w:rsidRPr="006165A1" w:rsidRDefault="00354D80" w:rsidP="003E544B">
            <w:pPr>
              <w:spacing w:before="20" w:after="20"/>
            </w:pPr>
            <w:r>
              <w:t>9 dB (</w:t>
            </w:r>
            <w:r>
              <w:fldChar w:fldCharType="begin"/>
            </w:r>
            <w:r>
              <w:instrText xml:space="preserve"> REF _Ref80883819 \h </w:instrText>
            </w:r>
            <w:r>
              <w:fldChar w:fldCharType="separate"/>
            </w:r>
            <w:r w:rsidR="0041125F" w:rsidRPr="00CE6F7D">
              <w:t>Table </w:t>
            </w:r>
            <w:r w:rsidR="0041125F">
              <w:rPr>
                <w:noProof/>
              </w:rPr>
              <w:t>138</w:t>
            </w:r>
            <w:r>
              <w:fldChar w:fldCharType="end"/>
            </w:r>
            <w:r>
              <w:t>)</w:t>
            </w:r>
          </w:p>
        </w:tc>
        <w:tc>
          <w:tcPr>
            <w:tcW w:w="1701" w:type="dxa"/>
          </w:tcPr>
          <w:p w14:paraId="2E8F4399" w14:textId="77777777" w:rsidR="006165A1" w:rsidRPr="006165A1" w:rsidRDefault="006165A1" w:rsidP="003E544B">
            <w:pPr>
              <w:spacing w:before="20" w:after="20"/>
            </w:pPr>
            <w:r w:rsidRPr="006165A1">
              <w:t>12 dB</w:t>
            </w:r>
          </w:p>
        </w:tc>
      </w:tr>
      <w:tr w:rsidR="006165A1" w:rsidRPr="00E60767" w14:paraId="103F40B2" w14:textId="77777777" w:rsidTr="009142D3">
        <w:tc>
          <w:tcPr>
            <w:tcW w:w="1696" w:type="dxa"/>
          </w:tcPr>
          <w:p w14:paraId="11EFFC94" w14:textId="3ECDF6A1" w:rsidR="006165A1" w:rsidRPr="006165A1" w:rsidRDefault="006165A1" w:rsidP="003E544B">
            <w:pPr>
              <w:spacing w:before="20" w:after="20"/>
            </w:pPr>
            <w:r w:rsidRPr="006165A1">
              <w:t>148</w:t>
            </w:r>
            <w:r w:rsidR="00CF4994">
              <w:t>.5</w:t>
            </w:r>
            <w:r w:rsidRPr="006165A1">
              <w:t>–151</w:t>
            </w:r>
            <w:r w:rsidR="00CF4994">
              <w:t>.5</w:t>
            </w:r>
          </w:p>
        </w:tc>
        <w:tc>
          <w:tcPr>
            <w:tcW w:w="1560" w:type="dxa"/>
          </w:tcPr>
          <w:p w14:paraId="3EB9830C" w14:textId="77777777" w:rsidR="006165A1" w:rsidRPr="006165A1" w:rsidRDefault="006165A1" w:rsidP="003E544B">
            <w:pPr>
              <w:spacing w:before="20" w:after="20"/>
            </w:pPr>
            <w:r w:rsidRPr="006165A1">
              <w:t>●</w:t>
            </w:r>
          </w:p>
        </w:tc>
        <w:tc>
          <w:tcPr>
            <w:tcW w:w="3827" w:type="dxa"/>
          </w:tcPr>
          <w:p w14:paraId="6DE52F8F" w14:textId="14AFFA94" w:rsidR="006165A1" w:rsidRDefault="006165A1" w:rsidP="003E544B">
            <w:pPr>
              <w:spacing w:before="20" w:after="20"/>
            </w:pPr>
            <w:r w:rsidRPr="006165A1">
              <w:t>6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0C5E76BD" w14:textId="53DF6374" w:rsidR="00354D80" w:rsidRPr="006165A1" w:rsidRDefault="00354D80" w:rsidP="003E544B">
            <w:pPr>
              <w:spacing w:before="20" w:after="20"/>
            </w:pPr>
            <w:r>
              <w:t>3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1EFDF8D2" w14:textId="77777777" w:rsidR="006165A1" w:rsidRPr="006165A1" w:rsidRDefault="006165A1" w:rsidP="003E544B">
            <w:pPr>
              <w:spacing w:before="20" w:after="20"/>
            </w:pPr>
            <w:r w:rsidRPr="006165A1">
              <w:t>12 dB</w:t>
            </w:r>
          </w:p>
        </w:tc>
      </w:tr>
      <w:tr w:rsidR="006165A1" w:rsidRPr="00E60767" w14:paraId="5791200E" w14:textId="77777777" w:rsidTr="009142D3">
        <w:tc>
          <w:tcPr>
            <w:tcW w:w="1696" w:type="dxa"/>
          </w:tcPr>
          <w:p w14:paraId="65A1AD2D" w14:textId="5EBBABE2" w:rsidR="006165A1" w:rsidRPr="006165A1" w:rsidRDefault="006165A1" w:rsidP="003E544B">
            <w:pPr>
              <w:spacing w:before="20" w:after="20"/>
            </w:pPr>
            <w:r w:rsidRPr="006165A1">
              <w:t>164–167</w:t>
            </w:r>
          </w:p>
        </w:tc>
        <w:tc>
          <w:tcPr>
            <w:tcW w:w="1560" w:type="dxa"/>
          </w:tcPr>
          <w:p w14:paraId="067D8040" w14:textId="77777777" w:rsidR="006165A1" w:rsidRPr="006165A1" w:rsidRDefault="006165A1" w:rsidP="003E544B">
            <w:pPr>
              <w:spacing w:before="20" w:after="20"/>
            </w:pPr>
            <w:r w:rsidRPr="006165A1">
              <w:t>●</w:t>
            </w:r>
          </w:p>
        </w:tc>
        <w:tc>
          <w:tcPr>
            <w:tcW w:w="3827" w:type="dxa"/>
          </w:tcPr>
          <w:p w14:paraId="17ADD61E" w14:textId="16968B69" w:rsidR="006165A1" w:rsidRDefault="006165A1" w:rsidP="003E544B">
            <w:pPr>
              <w:spacing w:before="20" w:after="20"/>
            </w:pPr>
            <w:r w:rsidRPr="006165A1">
              <w:t>7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02FBFF97" w14:textId="41B6E797" w:rsidR="00354D80" w:rsidRPr="006165A1" w:rsidRDefault="00354D80" w:rsidP="003E544B">
            <w:pPr>
              <w:spacing w:before="20" w:after="20"/>
            </w:pPr>
            <w:r>
              <w:t>5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1888EA4C" w14:textId="77777777" w:rsidR="006165A1" w:rsidRPr="006165A1" w:rsidRDefault="006165A1" w:rsidP="003E544B">
            <w:pPr>
              <w:spacing w:before="20" w:after="20"/>
            </w:pPr>
            <w:r w:rsidRPr="006165A1">
              <w:t>12 dB</w:t>
            </w:r>
          </w:p>
        </w:tc>
      </w:tr>
      <w:tr w:rsidR="006165A1" w:rsidRPr="00E60767" w14:paraId="288D2022" w14:textId="77777777" w:rsidTr="009142D3">
        <w:tc>
          <w:tcPr>
            <w:tcW w:w="1696" w:type="dxa"/>
          </w:tcPr>
          <w:p w14:paraId="75879DA3" w14:textId="6EA3A4F1" w:rsidR="006165A1" w:rsidRPr="006165A1" w:rsidRDefault="006165A1" w:rsidP="003E544B">
            <w:pPr>
              <w:spacing w:before="20" w:after="20"/>
            </w:pPr>
            <w:r w:rsidRPr="006165A1">
              <w:t>174</w:t>
            </w:r>
            <w:r w:rsidR="00CF4994">
              <w:t>.8</w:t>
            </w:r>
            <w:r w:rsidRPr="006165A1">
              <w:t>–182</w:t>
            </w:r>
          </w:p>
        </w:tc>
        <w:tc>
          <w:tcPr>
            <w:tcW w:w="1560" w:type="dxa"/>
          </w:tcPr>
          <w:p w14:paraId="6EB76D46" w14:textId="77777777" w:rsidR="006165A1" w:rsidRPr="006165A1" w:rsidRDefault="006165A1" w:rsidP="003E544B">
            <w:pPr>
              <w:spacing w:before="20" w:after="20"/>
            </w:pPr>
          </w:p>
        </w:tc>
        <w:tc>
          <w:tcPr>
            <w:tcW w:w="3827" w:type="dxa"/>
          </w:tcPr>
          <w:p w14:paraId="0DE80866" w14:textId="35CBA9A6" w:rsidR="006165A1" w:rsidRDefault="006165A1" w:rsidP="003E544B">
            <w:pPr>
              <w:spacing w:before="20" w:after="20"/>
            </w:pPr>
            <w:r w:rsidRPr="006165A1">
              <w:t>13</w:t>
            </w:r>
            <w:r w:rsidR="00CF4994">
              <w:t>.3</w:t>
            </w:r>
            <w:r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1996EF2C" w14:textId="3CD11100" w:rsidR="00354D80" w:rsidRPr="006165A1" w:rsidRDefault="00354D80" w:rsidP="003E544B">
            <w:pPr>
              <w:spacing w:before="20" w:after="20"/>
            </w:pPr>
            <w:r>
              <w:t>10.8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4E6234B7" w14:textId="77777777" w:rsidR="006165A1" w:rsidRPr="006165A1" w:rsidRDefault="006165A1" w:rsidP="003E544B">
            <w:pPr>
              <w:spacing w:before="20" w:after="20"/>
            </w:pPr>
            <w:r w:rsidRPr="006165A1">
              <w:t>12 dB</w:t>
            </w:r>
          </w:p>
        </w:tc>
      </w:tr>
      <w:tr w:rsidR="006165A1" w:rsidRPr="00E60767" w14:paraId="4592B53F" w14:textId="77777777" w:rsidTr="009142D3">
        <w:tc>
          <w:tcPr>
            <w:tcW w:w="1696" w:type="dxa"/>
          </w:tcPr>
          <w:p w14:paraId="49166F0D" w14:textId="5185C35C" w:rsidR="006165A1" w:rsidRPr="006165A1" w:rsidRDefault="006165A1" w:rsidP="003E544B">
            <w:pPr>
              <w:spacing w:before="20" w:after="20"/>
            </w:pPr>
            <w:r w:rsidRPr="006165A1">
              <w:t>182–185</w:t>
            </w:r>
          </w:p>
        </w:tc>
        <w:tc>
          <w:tcPr>
            <w:tcW w:w="1560" w:type="dxa"/>
          </w:tcPr>
          <w:p w14:paraId="7CAF1020" w14:textId="77777777" w:rsidR="006165A1" w:rsidRPr="006165A1" w:rsidRDefault="006165A1" w:rsidP="003E544B">
            <w:pPr>
              <w:spacing w:before="20" w:after="20"/>
            </w:pPr>
            <w:r w:rsidRPr="006165A1">
              <w:t>●</w:t>
            </w:r>
          </w:p>
        </w:tc>
        <w:tc>
          <w:tcPr>
            <w:tcW w:w="3827" w:type="dxa"/>
          </w:tcPr>
          <w:p w14:paraId="630A83A0" w14:textId="1D6B52AE" w:rsidR="006165A1" w:rsidRDefault="003717BF" w:rsidP="003E544B">
            <w:pPr>
              <w:spacing w:before="20" w:after="20"/>
            </w:pPr>
            <w:r>
              <w:t>7.8</w:t>
            </w:r>
            <w:r w:rsidR="006165A1"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25686F76" w14:textId="3E572BA0" w:rsidR="00354D80" w:rsidRPr="006165A1" w:rsidRDefault="00863ADD" w:rsidP="003E544B">
            <w:pPr>
              <w:spacing w:before="20" w:after="20"/>
            </w:pPr>
            <w:r>
              <w:t>4.8</w:t>
            </w:r>
            <w:r w:rsidR="00354D80">
              <w:t>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354D80">
              <w:t>)</w:t>
            </w:r>
          </w:p>
        </w:tc>
        <w:tc>
          <w:tcPr>
            <w:tcW w:w="1701" w:type="dxa"/>
          </w:tcPr>
          <w:p w14:paraId="3288CFA5" w14:textId="77777777" w:rsidR="006165A1" w:rsidRPr="006165A1" w:rsidRDefault="006165A1" w:rsidP="003E544B">
            <w:pPr>
              <w:spacing w:before="20" w:after="20"/>
            </w:pPr>
            <w:r w:rsidRPr="006165A1">
              <w:t>12 dB</w:t>
            </w:r>
          </w:p>
        </w:tc>
      </w:tr>
      <w:tr w:rsidR="006165A1" w:rsidRPr="00E60767" w14:paraId="5D9B4DA2" w14:textId="77777777" w:rsidTr="009142D3">
        <w:tc>
          <w:tcPr>
            <w:tcW w:w="1696" w:type="dxa"/>
          </w:tcPr>
          <w:p w14:paraId="28401698" w14:textId="279A1206" w:rsidR="006165A1" w:rsidRPr="006165A1" w:rsidRDefault="006165A1" w:rsidP="003E544B">
            <w:pPr>
              <w:spacing w:before="20" w:after="20"/>
            </w:pPr>
            <w:r w:rsidRPr="006165A1">
              <w:t>185–190</w:t>
            </w:r>
          </w:p>
        </w:tc>
        <w:tc>
          <w:tcPr>
            <w:tcW w:w="1560" w:type="dxa"/>
          </w:tcPr>
          <w:p w14:paraId="3DAF7D7E" w14:textId="77777777" w:rsidR="006165A1" w:rsidRPr="006165A1" w:rsidRDefault="006165A1" w:rsidP="003E544B">
            <w:pPr>
              <w:spacing w:before="20" w:after="20"/>
            </w:pPr>
          </w:p>
        </w:tc>
        <w:tc>
          <w:tcPr>
            <w:tcW w:w="3827" w:type="dxa"/>
          </w:tcPr>
          <w:p w14:paraId="106E0E10" w14:textId="4F81D182" w:rsidR="006165A1" w:rsidRDefault="006165A1" w:rsidP="003E544B">
            <w:pPr>
              <w:spacing w:before="20" w:after="20"/>
            </w:pPr>
            <w:r w:rsidRPr="006165A1">
              <w:t>8</w:t>
            </w:r>
            <w:r w:rsidR="00CF4994">
              <w:t>.5</w:t>
            </w:r>
            <w:r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691E33A2" w14:textId="75CE9609" w:rsidR="00354D80" w:rsidRPr="006165A1" w:rsidRDefault="00354D80" w:rsidP="003E544B">
            <w:pPr>
              <w:spacing w:before="20" w:after="20"/>
            </w:pPr>
            <w:r>
              <w:t>6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46AFB40E" w14:textId="77777777" w:rsidR="006165A1" w:rsidRPr="006165A1" w:rsidRDefault="006165A1" w:rsidP="003E544B">
            <w:pPr>
              <w:spacing w:before="20" w:after="20"/>
            </w:pPr>
            <w:r w:rsidRPr="006165A1">
              <w:t>12 dB</w:t>
            </w:r>
          </w:p>
        </w:tc>
      </w:tr>
      <w:tr w:rsidR="006165A1" w:rsidRPr="00E60767" w14:paraId="6DB3023C" w14:textId="77777777" w:rsidTr="009142D3">
        <w:tc>
          <w:tcPr>
            <w:tcW w:w="1696" w:type="dxa"/>
          </w:tcPr>
          <w:p w14:paraId="29FE23CF" w14:textId="74890CA6" w:rsidR="006165A1" w:rsidRPr="006165A1" w:rsidRDefault="006165A1" w:rsidP="003E544B">
            <w:pPr>
              <w:spacing w:before="20" w:after="20"/>
            </w:pPr>
            <w:r w:rsidRPr="006165A1">
              <w:t>190–191</w:t>
            </w:r>
            <w:r w:rsidR="00CF4994">
              <w:t>.8</w:t>
            </w:r>
          </w:p>
        </w:tc>
        <w:tc>
          <w:tcPr>
            <w:tcW w:w="1560" w:type="dxa"/>
          </w:tcPr>
          <w:p w14:paraId="15B07B84" w14:textId="77777777" w:rsidR="006165A1" w:rsidRPr="006165A1" w:rsidRDefault="006165A1" w:rsidP="003E544B">
            <w:pPr>
              <w:spacing w:before="20" w:after="20"/>
            </w:pPr>
            <w:r w:rsidRPr="006165A1">
              <w:t>●</w:t>
            </w:r>
          </w:p>
        </w:tc>
        <w:tc>
          <w:tcPr>
            <w:tcW w:w="3827" w:type="dxa"/>
          </w:tcPr>
          <w:p w14:paraId="2E7F3D16" w14:textId="7B8630D8" w:rsidR="006165A1" w:rsidRDefault="003717BF" w:rsidP="003E544B">
            <w:pPr>
              <w:spacing w:before="20" w:after="20"/>
            </w:pPr>
            <w:r>
              <w:t>7.8</w:t>
            </w:r>
            <w:r w:rsidR="006165A1"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62574F6E" w14:textId="11ACAD7A" w:rsidR="00354D80" w:rsidRPr="006165A1" w:rsidRDefault="00863ADD" w:rsidP="003E544B">
            <w:pPr>
              <w:spacing w:before="20" w:after="20"/>
            </w:pPr>
            <w:r>
              <w:t>4.8</w:t>
            </w:r>
            <w:r w:rsidR="00354D80">
              <w:t>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354D80">
              <w:t>)</w:t>
            </w:r>
          </w:p>
        </w:tc>
        <w:tc>
          <w:tcPr>
            <w:tcW w:w="1701" w:type="dxa"/>
          </w:tcPr>
          <w:p w14:paraId="4A8F1204" w14:textId="77777777" w:rsidR="006165A1" w:rsidRPr="006165A1" w:rsidRDefault="006165A1" w:rsidP="003E544B">
            <w:pPr>
              <w:spacing w:before="20" w:after="20"/>
            </w:pPr>
            <w:r w:rsidRPr="006165A1">
              <w:t>12 dB</w:t>
            </w:r>
          </w:p>
        </w:tc>
      </w:tr>
      <w:tr w:rsidR="006165A1" w:rsidRPr="00E60767" w14:paraId="43FAF26B" w14:textId="77777777" w:rsidTr="009142D3">
        <w:tc>
          <w:tcPr>
            <w:tcW w:w="1696" w:type="dxa"/>
          </w:tcPr>
          <w:p w14:paraId="0769AF63" w14:textId="3970AF59" w:rsidR="006165A1" w:rsidRPr="006165A1" w:rsidRDefault="006165A1" w:rsidP="003E544B">
            <w:pPr>
              <w:spacing w:before="20" w:after="20"/>
            </w:pPr>
            <w:r w:rsidRPr="006165A1">
              <w:t>200–209</w:t>
            </w:r>
          </w:p>
        </w:tc>
        <w:tc>
          <w:tcPr>
            <w:tcW w:w="1560" w:type="dxa"/>
          </w:tcPr>
          <w:p w14:paraId="7C7A188A" w14:textId="77777777" w:rsidR="006165A1" w:rsidRPr="006165A1" w:rsidRDefault="006165A1" w:rsidP="003E544B">
            <w:pPr>
              <w:spacing w:before="20" w:after="20"/>
            </w:pPr>
            <w:r w:rsidRPr="006165A1">
              <w:t>●</w:t>
            </w:r>
          </w:p>
        </w:tc>
        <w:tc>
          <w:tcPr>
            <w:tcW w:w="3827" w:type="dxa"/>
          </w:tcPr>
          <w:p w14:paraId="730C7372" w14:textId="03299AC4" w:rsidR="006165A1" w:rsidRDefault="006165A1" w:rsidP="003E544B">
            <w:pPr>
              <w:spacing w:before="20" w:after="20"/>
            </w:pPr>
            <w:r w:rsidRPr="006165A1">
              <w:t>7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3FB5CC6F" w14:textId="4EE7CADC" w:rsidR="00354D80" w:rsidRPr="006165A1" w:rsidRDefault="00354D80" w:rsidP="003E544B">
            <w:pPr>
              <w:spacing w:before="20" w:after="20"/>
            </w:pPr>
            <w:r>
              <w:t>3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3C708715" w14:textId="77777777" w:rsidR="006165A1" w:rsidRPr="006165A1" w:rsidRDefault="006165A1" w:rsidP="003E544B">
            <w:pPr>
              <w:spacing w:before="20" w:after="20"/>
            </w:pPr>
            <w:r w:rsidRPr="006165A1">
              <w:t>12 dB</w:t>
            </w:r>
          </w:p>
        </w:tc>
      </w:tr>
      <w:tr w:rsidR="006165A1" w:rsidRPr="00E60767" w14:paraId="71720646" w14:textId="77777777" w:rsidTr="009142D3">
        <w:tc>
          <w:tcPr>
            <w:tcW w:w="1696" w:type="dxa"/>
          </w:tcPr>
          <w:p w14:paraId="0D32B8C8" w14:textId="34154D21" w:rsidR="006165A1" w:rsidRPr="006165A1" w:rsidRDefault="006165A1" w:rsidP="003E544B">
            <w:pPr>
              <w:spacing w:before="20" w:after="20"/>
            </w:pPr>
            <w:r w:rsidRPr="006165A1">
              <w:t>226–231</w:t>
            </w:r>
            <w:r w:rsidR="00CF4994">
              <w:t>.5</w:t>
            </w:r>
          </w:p>
        </w:tc>
        <w:tc>
          <w:tcPr>
            <w:tcW w:w="1560" w:type="dxa"/>
          </w:tcPr>
          <w:p w14:paraId="6DE79630" w14:textId="77777777" w:rsidR="006165A1" w:rsidRPr="006165A1" w:rsidRDefault="006165A1" w:rsidP="003E544B">
            <w:pPr>
              <w:spacing w:before="20" w:after="20"/>
            </w:pPr>
            <w:r w:rsidRPr="006165A1">
              <w:t>●</w:t>
            </w:r>
          </w:p>
        </w:tc>
        <w:tc>
          <w:tcPr>
            <w:tcW w:w="3827" w:type="dxa"/>
          </w:tcPr>
          <w:p w14:paraId="68799EDB" w14:textId="14F12F1D" w:rsidR="006165A1" w:rsidRDefault="006165A1" w:rsidP="003E544B">
            <w:pPr>
              <w:spacing w:before="20" w:after="20"/>
            </w:pPr>
            <w:r w:rsidRPr="006165A1">
              <w:t>6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1CD0154C" w14:textId="0C78EC59" w:rsidR="00354D80" w:rsidRPr="006165A1" w:rsidRDefault="00354D80" w:rsidP="003E544B">
            <w:pPr>
              <w:spacing w:before="20" w:after="20"/>
            </w:pPr>
            <w:r>
              <w:t>3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75CDC100" w14:textId="77777777" w:rsidR="006165A1" w:rsidRPr="006165A1" w:rsidRDefault="006165A1" w:rsidP="003E544B">
            <w:pPr>
              <w:spacing w:before="20" w:after="20"/>
            </w:pPr>
            <w:r w:rsidRPr="006165A1">
              <w:t>12 dB</w:t>
            </w:r>
          </w:p>
        </w:tc>
      </w:tr>
      <w:tr w:rsidR="006165A1" w:rsidRPr="00E60767" w14:paraId="43EF8D56" w14:textId="77777777" w:rsidTr="009142D3">
        <w:tc>
          <w:tcPr>
            <w:tcW w:w="1696" w:type="dxa"/>
          </w:tcPr>
          <w:p w14:paraId="3E678D36" w14:textId="2501BA14" w:rsidR="006165A1" w:rsidRPr="006165A1" w:rsidRDefault="006165A1" w:rsidP="003E544B">
            <w:pPr>
              <w:spacing w:before="20" w:after="20"/>
            </w:pPr>
            <w:r w:rsidRPr="006165A1">
              <w:t>235–238</w:t>
            </w:r>
          </w:p>
        </w:tc>
        <w:tc>
          <w:tcPr>
            <w:tcW w:w="1560" w:type="dxa"/>
          </w:tcPr>
          <w:p w14:paraId="25A12C1B" w14:textId="77777777" w:rsidR="006165A1" w:rsidRPr="006165A1" w:rsidRDefault="006165A1" w:rsidP="003E544B">
            <w:pPr>
              <w:spacing w:before="20" w:after="20"/>
            </w:pPr>
          </w:p>
        </w:tc>
        <w:tc>
          <w:tcPr>
            <w:tcW w:w="3827" w:type="dxa"/>
          </w:tcPr>
          <w:p w14:paraId="3325D955" w14:textId="776099A4" w:rsidR="006165A1" w:rsidRDefault="006165A1" w:rsidP="003E544B">
            <w:pPr>
              <w:spacing w:before="20" w:after="20"/>
            </w:pPr>
            <w:r w:rsidRPr="006165A1">
              <w:t>11</w:t>
            </w:r>
            <w:r w:rsidR="00CF4994">
              <w:t>.8</w:t>
            </w:r>
            <w:r w:rsidRPr="006165A1">
              <w:t>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4E0F5D55" w14:textId="3F6D4706" w:rsidR="00354D80" w:rsidRPr="006165A1" w:rsidRDefault="00354D80" w:rsidP="003E544B">
            <w:pPr>
              <w:spacing w:before="20" w:after="20"/>
            </w:pPr>
            <w:r>
              <w:t>9.8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3E7C5C59" w14:textId="77777777" w:rsidR="006165A1" w:rsidRPr="006165A1" w:rsidRDefault="006165A1" w:rsidP="003E544B">
            <w:pPr>
              <w:spacing w:before="20" w:after="20"/>
            </w:pPr>
            <w:r w:rsidRPr="006165A1">
              <w:t>12 dB</w:t>
            </w:r>
          </w:p>
        </w:tc>
      </w:tr>
      <w:tr w:rsidR="006165A1" w:rsidRPr="00E60767" w14:paraId="0BB01A44" w14:textId="77777777" w:rsidTr="009142D3">
        <w:tc>
          <w:tcPr>
            <w:tcW w:w="1696" w:type="dxa"/>
          </w:tcPr>
          <w:p w14:paraId="580DEF43" w14:textId="63656B9C" w:rsidR="006165A1" w:rsidRPr="006165A1" w:rsidRDefault="006165A1" w:rsidP="003E544B">
            <w:pPr>
              <w:spacing w:before="20" w:after="20"/>
            </w:pPr>
            <w:r w:rsidRPr="006165A1">
              <w:t>239–248</w:t>
            </w:r>
          </w:p>
        </w:tc>
        <w:tc>
          <w:tcPr>
            <w:tcW w:w="1560" w:type="dxa"/>
          </w:tcPr>
          <w:p w14:paraId="29A0C112" w14:textId="77777777" w:rsidR="006165A1" w:rsidRPr="006165A1" w:rsidRDefault="006165A1" w:rsidP="003E544B">
            <w:pPr>
              <w:spacing w:before="20" w:after="20"/>
            </w:pPr>
          </w:p>
        </w:tc>
        <w:tc>
          <w:tcPr>
            <w:tcW w:w="3827" w:type="dxa"/>
          </w:tcPr>
          <w:p w14:paraId="171BA051" w14:textId="28A92BE8" w:rsidR="006165A1" w:rsidRPr="006165A1" w:rsidRDefault="006165A1" w:rsidP="003E544B">
            <w:pPr>
              <w:spacing w:before="20" w:after="20"/>
              <w:jc w:val="left"/>
            </w:pPr>
            <w:r w:rsidRPr="006165A1">
              <w:t>New frequency range acc</w:t>
            </w:r>
            <w:r w:rsidR="008162CD">
              <w:t>ording</w:t>
            </w:r>
            <w:r w:rsidRPr="006165A1">
              <w:t xml:space="preserve"> to resolution 662 WRC-19. Not assessed</w:t>
            </w:r>
          </w:p>
        </w:tc>
        <w:tc>
          <w:tcPr>
            <w:tcW w:w="1701" w:type="dxa"/>
          </w:tcPr>
          <w:p w14:paraId="19E1EF90" w14:textId="77777777" w:rsidR="006165A1" w:rsidRPr="006165A1" w:rsidRDefault="006165A1" w:rsidP="003E544B">
            <w:pPr>
              <w:spacing w:before="20" w:after="20"/>
            </w:pPr>
            <w:r w:rsidRPr="006165A1">
              <w:t>12 dB</w:t>
            </w:r>
          </w:p>
        </w:tc>
      </w:tr>
      <w:tr w:rsidR="006165A1" w:rsidRPr="00E60767" w14:paraId="60098F2F" w14:textId="77777777" w:rsidTr="009142D3">
        <w:tc>
          <w:tcPr>
            <w:tcW w:w="1696" w:type="dxa"/>
          </w:tcPr>
          <w:p w14:paraId="7DEC69F5" w14:textId="1AB8C368" w:rsidR="006165A1" w:rsidRPr="006165A1" w:rsidRDefault="006165A1" w:rsidP="003E544B">
            <w:pPr>
              <w:spacing w:before="20" w:after="20"/>
            </w:pPr>
            <w:r w:rsidRPr="006165A1">
              <w:t>250–252</w:t>
            </w:r>
          </w:p>
        </w:tc>
        <w:tc>
          <w:tcPr>
            <w:tcW w:w="1560" w:type="dxa"/>
          </w:tcPr>
          <w:p w14:paraId="71A9D23D" w14:textId="77777777" w:rsidR="006165A1" w:rsidRPr="006165A1" w:rsidRDefault="006165A1" w:rsidP="003E544B">
            <w:pPr>
              <w:spacing w:before="20" w:after="20"/>
            </w:pPr>
            <w:r w:rsidRPr="006165A1">
              <w:t>●</w:t>
            </w:r>
          </w:p>
        </w:tc>
        <w:tc>
          <w:tcPr>
            <w:tcW w:w="3827" w:type="dxa"/>
          </w:tcPr>
          <w:p w14:paraId="1AF36047" w14:textId="6B23433D" w:rsidR="006165A1" w:rsidRDefault="006165A1" w:rsidP="003E544B">
            <w:pPr>
              <w:spacing w:before="20" w:after="20"/>
            </w:pPr>
            <w:r w:rsidRPr="006165A1">
              <w:t>6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05C14FD9" w14:textId="5D236D4C" w:rsidR="00354D80" w:rsidRPr="006165A1" w:rsidRDefault="00354D80" w:rsidP="003E544B">
            <w:pPr>
              <w:spacing w:before="20" w:after="20"/>
            </w:pPr>
            <w:r>
              <w:t>3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6420F951" w14:textId="77777777" w:rsidR="006165A1" w:rsidRPr="006165A1" w:rsidRDefault="006165A1" w:rsidP="003E544B">
            <w:pPr>
              <w:spacing w:before="20" w:after="20"/>
            </w:pPr>
            <w:r w:rsidRPr="006165A1">
              <w:t>12 dB</w:t>
            </w:r>
          </w:p>
        </w:tc>
      </w:tr>
      <w:tr w:rsidR="006165A1" w:rsidRPr="00E60767" w14:paraId="11832210" w14:textId="77777777" w:rsidTr="00876039">
        <w:tc>
          <w:tcPr>
            <w:tcW w:w="8784" w:type="dxa"/>
            <w:gridSpan w:val="4"/>
          </w:tcPr>
          <w:p w14:paraId="69C6FA74" w14:textId="058A3D0F" w:rsidR="006165A1" w:rsidRPr="00FC764C" w:rsidRDefault="006165A1" w:rsidP="00464AE0">
            <w:pPr>
              <w:pStyle w:val="ECCTablenote"/>
            </w:pPr>
            <w:r w:rsidRPr="00FC764C">
              <w:t>Note 1: The combined apportionment comprises the apportionment factor</w:t>
            </w:r>
            <w:r w:rsidR="00431540">
              <w:t>s</w:t>
            </w:r>
            <w:r w:rsidRPr="00FC764C">
              <w:t xml:space="preserve"> induced by the Radio Services identified </w:t>
            </w:r>
            <w:r w:rsidR="00591950">
              <w:t xml:space="preserve">either </w:t>
            </w:r>
            <w:r w:rsidRPr="00FC764C">
              <w:t xml:space="preserve">in </w:t>
            </w:r>
            <w:r w:rsidR="00FC764C" w:rsidRPr="00FC764C">
              <w:fldChar w:fldCharType="begin"/>
            </w:r>
            <w:r w:rsidR="00FC764C" w:rsidRPr="00FC764C">
              <w:instrText xml:space="preserve"> REF _Ref67661455 \h </w:instrText>
            </w:r>
            <w:r w:rsidR="00FC764C">
              <w:instrText xml:space="preserve"> \* MERGEFORMAT </w:instrText>
            </w:r>
            <w:r w:rsidR="00FC764C" w:rsidRPr="00FC764C">
              <w:fldChar w:fldCharType="separate"/>
            </w:r>
            <w:r w:rsidR="0041125F" w:rsidRPr="002428E9">
              <w:t>Table </w:t>
            </w:r>
            <w:r w:rsidR="0041125F">
              <w:t>137</w:t>
            </w:r>
            <w:r w:rsidR="00FC764C" w:rsidRPr="00FC764C">
              <w:fldChar w:fldCharType="end"/>
            </w:r>
            <w:r w:rsidRPr="00FC764C">
              <w:t xml:space="preserve"> </w:t>
            </w:r>
            <w:r w:rsidR="00591950">
              <w:t>or</w:t>
            </w:r>
            <w:r w:rsidR="00591950" w:rsidRPr="00FC764C">
              <w:t xml:space="preserve"> </w:t>
            </w:r>
            <w:r w:rsidR="00431540">
              <w:t xml:space="preserve">in the alternative approach shown in </w:t>
            </w:r>
            <w:r w:rsidR="00431540">
              <w:fldChar w:fldCharType="begin"/>
            </w:r>
            <w:r w:rsidR="00431540">
              <w:instrText xml:space="preserve"> REF _Ref80883819 \h </w:instrText>
            </w:r>
            <w:r w:rsidR="00431540">
              <w:fldChar w:fldCharType="separate"/>
            </w:r>
            <w:r w:rsidR="0041125F" w:rsidRPr="00CE6F7D">
              <w:t>Table </w:t>
            </w:r>
            <w:r w:rsidR="0041125F">
              <w:rPr>
                <w:noProof/>
              </w:rPr>
              <w:t>138</w:t>
            </w:r>
            <w:r w:rsidR="00431540">
              <w:fldChar w:fldCharType="end"/>
            </w:r>
            <w:r w:rsidR="00431540">
              <w:t xml:space="preserve"> and </w:t>
            </w:r>
            <w:r w:rsidRPr="00FC764C">
              <w:t xml:space="preserve">the apportionment factor induced by the </w:t>
            </w:r>
            <w:r w:rsidR="00354D80">
              <w:t>UWB</w:t>
            </w:r>
            <w:r w:rsidRPr="00FC764C">
              <w:t>-applications (</w:t>
            </w:r>
            <w:r w:rsidR="00FC764C" w:rsidRPr="00FC764C">
              <w:fldChar w:fldCharType="begin"/>
            </w:r>
            <w:r w:rsidR="00FC764C" w:rsidRPr="00FC764C">
              <w:instrText xml:space="preserve"> REF _Ref67661456 \h </w:instrText>
            </w:r>
            <w:r w:rsidR="00FC764C">
              <w:instrText xml:space="preserve"> \* MERGEFORMAT </w:instrText>
            </w:r>
            <w:r w:rsidR="00FC764C" w:rsidRPr="00FC764C">
              <w:fldChar w:fldCharType="separate"/>
            </w:r>
            <w:r w:rsidR="0041125F" w:rsidRPr="0041125F">
              <w:rPr>
                <w:rStyle w:val="ECCParagraph"/>
                <w:sz w:val="16"/>
              </w:rPr>
              <w:t>Table 139</w:t>
            </w:r>
            <w:r w:rsidR="00FC764C" w:rsidRPr="00FC764C">
              <w:fldChar w:fldCharType="end"/>
            </w:r>
            <w:r w:rsidRPr="00FC764C">
              <w:t>) considered in this Report.</w:t>
            </w:r>
          </w:p>
        </w:tc>
      </w:tr>
    </w:tbl>
    <w:p w14:paraId="6EBE8532" w14:textId="2F15071C" w:rsidR="006165A1" w:rsidRDefault="003D2CD5" w:rsidP="006E1FE1">
      <w:pPr>
        <w:rPr>
          <w:rStyle w:val="ECCParagraph"/>
        </w:rPr>
      </w:pPr>
      <w:r w:rsidRPr="0026401D">
        <w:t xml:space="preserve">Considering the alternative approaches described in section </w:t>
      </w:r>
      <w:r w:rsidR="006E1FE1">
        <w:fldChar w:fldCharType="begin"/>
      </w:r>
      <w:r w:rsidR="006E1FE1">
        <w:instrText xml:space="preserve"> REF _Ref80888409 \r \h </w:instrText>
      </w:r>
      <w:r w:rsidR="006E1FE1">
        <w:fldChar w:fldCharType="separate"/>
      </w:r>
      <w:r w:rsidR="004F49F9">
        <w:t>A8.2</w:t>
      </w:r>
      <w:r w:rsidR="006E1FE1">
        <w:fldChar w:fldCharType="end"/>
      </w:r>
      <w:r w:rsidR="006E1FE1">
        <w:t xml:space="preserve"> above</w:t>
      </w:r>
      <w:r w:rsidRPr="0026401D">
        <w:t>,</w:t>
      </w:r>
      <w:r w:rsidRPr="006E1FE1">
        <w:t xml:space="preserve"> </w:t>
      </w:r>
      <w:r w:rsidRPr="0026401D">
        <w:t>t</w:t>
      </w:r>
      <w:r w:rsidR="00803D2A" w:rsidRPr="0026401D">
        <w:t xml:space="preserve">his </w:t>
      </w:r>
      <w:r w:rsidR="006165A1" w:rsidRPr="00604324">
        <w:rPr>
          <w:rStyle w:val="ECCParagraph"/>
        </w:rPr>
        <w:t xml:space="preserve">value of 12 dB </w:t>
      </w:r>
      <w:r w:rsidR="000E69EB">
        <w:rPr>
          <w:rStyle w:val="ECCParagraph"/>
        </w:rPr>
        <w:t>may</w:t>
      </w:r>
      <w:r w:rsidR="006165A1" w:rsidRPr="00604324">
        <w:rPr>
          <w:rStyle w:val="ECCParagraph"/>
        </w:rPr>
        <w:t xml:space="preserve"> </w:t>
      </w:r>
      <w:r w:rsidR="00514C11" w:rsidRPr="0026401D">
        <w:t xml:space="preserve">therefore </w:t>
      </w:r>
      <w:r w:rsidR="006165A1" w:rsidRPr="0026401D">
        <w:t xml:space="preserve">overestimate </w:t>
      </w:r>
      <w:r w:rsidR="00514C11" w:rsidRPr="0026401D">
        <w:t>or underestimate</w:t>
      </w:r>
      <w:r w:rsidR="00514C11">
        <w:rPr>
          <w:rStyle w:val="ECCParagraph"/>
        </w:rPr>
        <w:t xml:space="preserve"> </w:t>
      </w:r>
      <w:r w:rsidR="006165A1" w:rsidRPr="00604324">
        <w:rPr>
          <w:rStyle w:val="ECCParagraph"/>
        </w:rPr>
        <w:t xml:space="preserve">the actually needed apportionment </w:t>
      </w:r>
      <w:r w:rsidR="00803D2A">
        <w:rPr>
          <w:rStyle w:val="ECCParagraph"/>
        </w:rPr>
        <w:t xml:space="preserve">but is lower than the 13 to 20 dB values previously used for UWB in </w:t>
      </w:r>
      <w:r w:rsidR="00EF3E55">
        <w:rPr>
          <w:rStyle w:val="ECCParagraph"/>
        </w:rPr>
        <w:t>Report ITU-R</w:t>
      </w:r>
      <w:r w:rsidR="00803D2A">
        <w:rPr>
          <w:rStyle w:val="ECCParagraph"/>
        </w:rPr>
        <w:t xml:space="preserve"> SM.2057 </w:t>
      </w:r>
      <w:r w:rsidR="00803D2A" w:rsidRPr="00803D2A">
        <w:rPr>
          <w:rStyle w:val="ECCParagraph"/>
        </w:rPr>
        <w:fldChar w:fldCharType="begin"/>
      </w:r>
      <w:r w:rsidR="00803D2A" w:rsidRPr="00803D2A">
        <w:rPr>
          <w:rStyle w:val="ECCParagraph"/>
        </w:rPr>
        <w:instrText xml:space="preserve"> REF  ITU_R_Rep_SM_2057 \h \w  \* MERGEFORMAT </w:instrText>
      </w:r>
      <w:r w:rsidR="00803D2A" w:rsidRPr="00803D2A">
        <w:rPr>
          <w:rStyle w:val="ECCParagraph"/>
        </w:rPr>
      </w:r>
      <w:r w:rsidR="00803D2A" w:rsidRPr="00803D2A">
        <w:rPr>
          <w:rStyle w:val="ECCParagraph"/>
        </w:rPr>
        <w:fldChar w:fldCharType="separate"/>
      </w:r>
      <w:r w:rsidR="004F49F9">
        <w:rPr>
          <w:rStyle w:val="ECCParagraph"/>
        </w:rPr>
        <w:t>[69]</w:t>
      </w:r>
      <w:r w:rsidR="00803D2A" w:rsidRPr="00803D2A">
        <w:rPr>
          <w:rStyle w:val="ECCParagraph"/>
        </w:rPr>
        <w:fldChar w:fldCharType="end"/>
      </w:r>
      <w:r w:rsidR="00803D2A">
        <w:rPr>
          <w:rStyle w:val="ECCParagraph"/>
        </w:rPr>
        <w:t>.</w:t>
      </w:r>
    </w:p>
    <w:p w14:paraId="1E08B0A6" w14:textId="77777777" w:rsidR="006D50BB" w:rsidRDefault="006D50BB" w:rsidP="0050701C">
      <w:pPr>
        <w:rPr>
          <w:rStyle w:val="ECCParagraph"/>
        </w:rPr>
      </w:pPr>
      <w:r w:rsidRPr="006D50BB">
        <w:rPr>
          <w:rStyle w:val="ECCParagraph"/>
        </w:rPr>
        <w:t xml:space="preserve">On the other hand, other studies considering other terrestrial users in </w:t>
      </w:r>
      <w:r w:rsidR="0050701C" w:rsidRPr="0050701C">
        <w:rPr>
          <w:rStyle w:val="ECCParagraph"/>
        </w:rPr>
        <w:t>ECC, ITU or in National regulatory situations have allowed a higher level of interference when looking at the overall EESS (passive) interference budget that is available and this would leave less headroom for these additional UWB sources.</w:t>
      </w:r>
    </w:p>
    <w:p w14:paraId="4E6D8FEB" w14:textId="2655D59C" w:rsidR="0050701C" w:rsidRPr="0050701C" w:rsidRDefault="006D50BB" w:rsidP="0050701C">
      <w:r>
        <w:rPr>
          <w:rStyle w:val="ECCParagraph"/>
        </w:rPr>
        <w:t>Finally</w:t>
      </w:r>
      <w:r w:rsidR="0050701C" w:rsidRPr="0050701C">
        <w:rPr>
          <w:rStyle w:val="ECCParagraph"/>
        </w:rPr>
        <w:t>, an agreement was reached between all involved UWB</w:t>
      </w:r>
      <w:r>
        <w:rPr>
          <w:rStyle w:val="ECCParagraph"/>
        </w:rPr>
        <w:t xml:space="preserve"> and EESS (passive)</w:t>
      </w:r>
      <w:r w:rsidR="0050701C" w:rsidRPr="0050701C">
        <w:rPr>
          <w:rStyle w:val="ECCParagraph"/>
        </w:rPr>
        <w:t xml:space="preserve"> stakeholders to use an overall lump-sum apportionment factor of 12 dB in this Report as a reasonable compromise, in particular when considering that it is lower than the 13 to 20 dB values previously used for UWB in </w:t>
      </w:r>
      <w:r w:rsidR="00EF3E55">
        <w:rPr>
          <w:rStyle w:val="ECCParagraph"/>
        </w:rPr>
        <w:t>Report ITU-R</w:t>
      </w:r>
      <w:r w:rsidR="0050701C" w:rsidRPr="0050701C">
        <w:rPr>
          <w:rStyle w:val="ECCParagraph"/>
        </w:rPr>
        <w:t xml:space="preserve"> SM.2057.</w:t>
      </w:r>
    </w:p>
    <w:p w14:paraId="5C370C60" w14:textId="77777777" w:rsidR="007461AF" w:rsidRDefault="00753E30" w:rsidP="007461AF">
      <w:pPr>
        <w:pStyle w:val="ECCAnnexheading1"/>
      </w:pPr>
      <w:bookmarkStart w:id="1031" w:name="_Toc127346426"/>
      <w:r>
        <w:t>Estimating</w:t>
      </w:r>
      <w:r w:rsidR="007461AF">
        <w:t xml:space="preserve"> </w:t>
      </w:r>
      <w:r>
        <w:t>the</w:t>
      </w:r>
      <w:r w:rsidR="007461AF">
        <w:t xml:space="preserve"> </w:t>
      </w:r>
      <w:r>
        <w:t>Number</w:t>
      </w:r>
      <w:r w:rsidR="007461AF">
        <w:t xml:space="preserve"> </w:t>
      </w:r>
      <w:r>
        <w:t>of</w:t>
      </w:r>
      <w:r w:rsidR="007461AF">
        <w:t xml:space="preserve"> </w:t>
      </w:r>
      <w:r>
        <w:t>Interferers</w:t>
      </w:r>
      <w:r w:rsidR="007461AF">
        <w:t xml:space="preserve"> </w:t>
      </w:r>
      <w:r>
        <w:t>in</w:t>
      </w:r>
      <w:r w:rsidR="007461AF">
        <w:t xml:space="preserve"> </w:t>
      </w:r>
      <w:r>
        <w:t>the</w:t>
      </w:r>
      <w:r w:rsidR="007461AF">
        <w:t xml:space="preserve"> </w:t>
      </w:r>
      <w:r>
        <w:t>Footprint</w:t>
      </w:r>
      <w:r w:rsidR="007461AF">
        <w:t xml:space="preserve"> </w:t>
      </w:r>
      <w:r>
        <w:t>of</w:t>
      </w:r>
      <w:r w:rsidR="007461AF">
        <w:t xml:space="preserve"> </w:t>
      </w:r>
      <w:r>
        <w:t>EESS</w:t>
      </w:r>
      <w:r w:rsidR="007461AF">
        <w:t xml:space="preserve"> (</w:t>
      </w:r>
      <w:r>
        <w:t>passive</w:t>
      </w:r>
      <w:r w:rsidR="007461AF">
        <w:t xml:space="preserve">) </w:t>
      </w:r>
      <w:r>
        <w:t>Satellites</w:t>
      </w:r>
      <w:r w:rsidR="007461AF">
        <w:t xml:space="preserve"> </w:t>
      </w:r>
      <w:r>
        <w:t>for</w:t>
      </w:r>
      <w:r w:rsidR="007461AF">
        <w:t xml:space="preserve"> </w:t>
      </w:r>
      <w:r>
        <w:t>Professional</w:t>
      </w:r>
      <w:r w:rsidR="007461AF">
        <w:t xml:space="preserve"> </w:t>
      </w:r>
      <w:r>
        <w:t>I</w:t>
      </w:r>
      <w:r w:rsidR="007461AF">
        <w:t xml:space="preserve">ndustrial </w:t>
      </w:r>
      <w:r>
        <w:t>A</w:t>
      </w:r>
      <w:r w:rsidR="007461AF">
        <w:t>pplications</w:t>
      </w:r>
      <w:bookmarkEnd w:id="1031"/>
    </w:p>
    <w:p w14:paraId="46E2AF31" w14:textId="77777777" w:rsidR="00436EDA" w:rsidRPr="00436EDA" w:rsidRDefault="00436EDA" w:rsidP="00436EDA">
      <w:pPr>
        <w:pStyle w:val="ECCAnnexheading2"/>
      </w:pPr>
      <w:r w:rsidRPr="00436EDA">
        <w:t>EXISTING MARKET ESTIMATION FOR DIFFERENT APPLICATIONS</w:t>
      </w:r>
    </w:p>
    <w:p w14:paraId="0167CF5C" w14:textId="2A3C133C" w:rsidR="007461AF" w:rsidRDefault="00436EDA" w:rsidP="00436EDA">
      <w:r>
        <w:t>F</w:t>
      </w:r>
      <w:r w:rsidRPr="00436EDA">
        <w:t xml:space="preserve">or the different radiodetermination applications covered by </w:t>
      </w:r>
      <w:r>
        <w:t xml:space="preserve">this Report </w:t>
      </w:r>
      <w:r w:rsidRPr="00436EDA">
        <w:t xml:space="preserve">an </w:t>
      </w:r>
      <w:r>
        <w:t xml:space="preserve">individual </w:t>
      </w:r>
      <w:r w:rsidRPr="00436EDA">
        <w:t>absolute number of devices has been estimated</w:t>
      </w:r>
      <w:r>
        <w:t xml:space="preserve"> in a market analysis</w:t>
      </w:r>
      <w:r w:rsidRPr="00436EDA">
        <w:t>. For tank level probing radar</w:t>
      </w:r>
      <w:r>
        <w:t xml:space="preserve"> (TLPR)</w:t>
      </w:r>
      <w:r w:rsidRPr="00436EDA">
        <w:t xml:space="preserve"> for example it is estimated that there is a worldwide market potential for 300</w:t>
      </w:r>
      <w:r w:rsidR="00CF4994">
        <w:t>000</w:t>
      </w:r>
      <w:r w:rsidRPr="00436EDA">
        <w:t xml:space="preserve"> sensors within the next five years until a market saturation takes effect. 40</w:t>
      </w:r>
      <w:r w:rsidR="00F800A2">
        <w:t>%</w:t>
      </w:r>
      <w:r w:rsidRPr="00436EDA">
        <w:t xml:space="preserve"> of the devices are expected to be sold in Europe and are moreover split into the three investigated bands for TLPR</w:t>
      </w:r>
      <w:r>
        <w:t xml:space="preserve"> (see </w:t>
      </w:r>
      <w:r w:rsidR="009D5FA2">
        <w:t>section</w:t>
      </w:r>
      <w:r>
        <w:t xml:space="preserve"> </w:t>
      </w:r>
      <w:r>
        <w:fldChar w:fldCharType="begin"/>
      </w:r>
      <w:r>
        <w:instrText xml:space="preserve"> REF _Ref63247465 \n \h </w:instrText>
      </w:r>
      <w:r>
        <w:fldChar w:fldCharType="separate"/>
      </w:r>
      <w:r w:rsidR="004F49F9">
        <w:t>2.2.7.5</w:t>
      </w:r>
      <w:r>
        <w:fldChar w:fldCharType="end"/>
      </w:r>
      <w:r>
        <w:t>)</w:t>
      </w:r>
      <w:r w:rsidRPr="00436EDA">
        <w:t>.</w:t>
      </w:r>
    </w:p>
    <w:p w14:paraId="068AA6C3" w14:textId="6C3C79FA" w:rsidR="00436EDA" w:rsidRDefault="00436EDA" w:rsidP="00436EDA">
      <w:pPr>
        <w:rPr>
          <w:rStyle w:val="ECCParagraph"/>
        </w:rPr>
      </w:pPr>
      <w:r w:rsidRPr="003C3024">
        <w:rPr>
          <w:rStyle w:val="ECCParagraph"/>
        </w:rPr>
        <w:t xml:space="preserve">It </w:t>
      </w:r>
      <w:r>
        <w:rPr>
          <w:rStyle w:val="ECCParagraph"/>
        </w:rPr>
        <w:t>can be assumed that</w:t>
      </w:r>
      <w:r w:rsidRPr="003C3024">
        <w:rPr>
          <w:rStyle w:val="ECCParagraph"/>
        </w:rPr>
        <w:t xml:space="preserve"> the individual devices of each </w:t>
      </w:r>
      <w:r>
        <w:rPr>
          <w:rStyle w:val="ECCParagraph"/>
        </w:rPr>
        <w:t xml:space="preserve">industrial </w:t>
      </w:r>
      <w:r w:rsidRPr="003C3024">
        <w:rPr>
          <w:rStyle w:val="ECCParagraph"/>
        </w:rPr>
        <w:t xml:space="preserve">sensor application will not be uniformly distributed over the European land area. </w:t>
      </w:r>
      <w:r>
        <w:rPr>
          <w:rStyle w:val="ECCParagraph"/>
        </w:rPr>
        <w:t xml:space="preserve">In </w:t>
      </w:r>
      <w:r w:rsidRPr="003C3024">
        <w:rPr>
          <w:rStyle w:val="ECCParagraph"/>
        </w:rPr>
        <w:t xml:space="preserve">the last three rows in </w:t>
      </w:r>
      <w:r>
        <w:rPr>
          <w:rStyle w:val="ECCParagraph"/>
        </w:rPr>
        <w:fldChar w:fldCharType="begin"/>
      </w:r>
      <w:r>
        <w:rPr>
          <w:rStyle w:val="ECCParagraph"/>
        </w:rPr>
        <w:instrText xml:space="preserve"> REF _Ref36126249 \h </w:instrText>
      </w:r>
      <w:r>
        <w:rPr>
          <w:rStyle w:val="ECCParagraph"/>
        </w:rPr>
      </w:r>
      <w:r>
        <w:rPr>
          <w:rStyle w:val="ECCParagraph"/>
        </w:rPr>
        <w:fldChar w:fldCharType="separate"/>
      </w:r>
      <w:r w:rsidR="0041125F" w:rsidRPr="006D6727">
        <w:rPr>
          <w:noProof/>
        </w:rPr>
        <w:t>Table </w:t>
      </w:r>
      <w:r w:rsidR="0041125F">
        <w:rPr>
          <w:noProof/>
        </w:rPr>
        <w:t>29</w:t>
      </w:r>
      <w:r>
        <w:rPr>
          <w:rStyle w:val="ECCParagraph"/>
        </w:rPr>
        <w:fldChar w:fldCharType="end"/>
      </w:r>
      <w:r w:rsidR="00091F11">
        <w:rPr>
          <w:rStyle w:val="ECCParagraph"/>
        </w:rPr>
        <w:t>,</w:t>
      </w:r>
      <w:r>
        <w:rPr>
          <w:rStyle w:val="ECCParagraph"/>
        </w:rPr>
        <w:t xml:space="preserve"> this average device density has been calculated for TLPR for every considered frequency band. These values must be further improved before they can be used in the aggregate studies.</w:t>
      </w:r>
    </w:p>
    <w:p w14:paraId="102C2C02" w14:textId="651AB39F" w:rsidR="00436EDA" w:rsidRPr="003C3024" w:rsidRDefault="00436EDA" w:rsidP="00436EDA">
      <w:pPr>
        <w:rPr>
          <w:rStyle w:val="ECCParagraph"/>
        </w:rPr>
      </w:pPr>
      <w:r w:rsidRPr="003C3024">
        <w:rPr>
          <w:rStyle w:val="ECCParagraph"/>
        </w:rPr>
        <w:t xml:space="preserve">For generic devices and devices which are marketed to residential consumers it can be expected that the highest density of devices can be found in big metropolitan areas where the density of the population is maximal. </w:t>
      </w:r>
      <w:r>
        <w:rPr>
          <w:rStyle w:val="ECCParagraph"/>
        </w:rPr>
        <w:t>One</w:t>
      </w:r>
      <w:r w:rsidRPr="003C3024">
        <w:rPr>
          <w:rStyle w:val="ECCParagraph"/>
        </w:rPr>
        <w:t xml:space="preserve"> application which belongs to this category is</w:t>
      </w:r>
      <w:r>
        <w:rPr>
          <w:rStyle w:val="ECCParagraph"/>
        </w:rPr>
        <w:t xml:space="preserve"> for example generic </w:t>
      </w:r>
      <w:r w:rsidRPr="003C3024">
        <w:rPr>
          <w:rStyle w:val="ECCParagraph"/>
        </w:rPr>
        <w:t>indoor surveillance radar (</w:t>
      </w:r>
      <w:r w:rsidR="009D5FA2">
        <w:rPr>
          <w:rStyle w:val="ECCParagraph"/>
        </w:rPr>
        <w:t>section</w:t>
      </w:r>
      <w:r w:rsidRPr="003C3024">
        <w:rPr>
          <w:rStyle w:val="ECCParagraph"/>
        </w:rPr>
        <w:t xml:space="preserve"> </w:t>
      </w:r>
      <w:r w:rsidR="00EB1E7C">
        <w:rPr>
          <w:rStyle w:val="ECCHLyellow"/>
        </w:rPr>
        <w:fldChar w:fldCharType="begin"/>
      </w:r>
      <w:r w:rsidR="00EB1E7C">
        <w:rPr>
          <w:rStyle w:val="ECCParagraph"/>
        </w:rPr>
        <w:instrText xml:space="preserve"> REF _Ref67041471 \r \h </w:instrText>
      </w:r>
      <w:r w:rsidR="00EB1E7C">
        <w:rPr>
          <w:rStyle w:val="ECCHLyellow"/>
        </w:rPr>
      </w:r>
      <w:r w:rsidR="00EB1E7C">
        <w:rPr>
          <w:rStyle w:val="ECCHLyellow"/>
        </w:rPr>
        <w:fldChar w:fldCharType="separate"/>
      </w:r>
      <w:r w:rsidR="004F49F9">
        <w:rPr>
          <w:rStyle w:val="ECCParagraph"/>
        </w:rPr>
        <w:t>2.2.1</w:t>
      </w:r>
      <w:r w:rsidR="00EB1E7C">
        <w:rPr>
          <w:rStyle w:val="ECCHLyellow"/>
        </w:rPr>
        <w:fldChar w:fldCharType="end"/>
      </w:r>
      <w:r w:rsidRPr="003C3024">
        <w:rPr>
          <w:rStyle w:val="ECCParagraph"/>
        </w:rPr>
        <w:t xml:space="preserve">). However, the same might also apply to sensors used </w:t>
      </w:r>
      <w:r>
        <w:rPr>
          <w:rStyle w:val="ECCParagraph"/>
        </w:rPr>
        <w:t>for</w:t>
      </w:r>
      <w:r w:rsidRPr="003C3024">
        <w:rPr>
          <w:rStyle w:val="ECCParagraph"/>
        </w:rPr>
        <w:t xml:space="preserve"> cars, as the car density can also be expected maximal in densely po</w:t>
      </w:r>
      <w:r>
        <w:rPr>
          <w:rStyle w:val="ECCParagraph"/>
        </w:rPr>
        <w:t>p</w:t>
      </w:r>
      <w:r w:rsidRPr="003C3024">
        <w:rPr>
          <w:rStyle w:val="ECCParagraph"/>
        </w:rPr>
        <w:t xml:space="preserve">ulated areas. The </w:t>
      </w:r>
      <w:r w:rsidR="00F90E9A">
        <w:rPr>
          <w:rStyle w:val="ECCParagraph"/>
        </w:rPr>
        <w:t xml:space="preserve">only one </w:t>
      </w:r>
      <w:r w:rsidRPr="003C3024">
        <w:rPr>
          <w:rStyle w:val="ECCParagraph"/>
        </w:rPr>
        <w:t xml:space="preserve">car application </w:t>
      </w:r>
      <w:r w:rsidR="000D1194">
        <w:rPr>
          <w:rStyle w:val="ECCParagraph"/>
        </w:rPr>
        <w:t>covered by</w:t>
      </w:r>
      <w:r w:rsidR="00EA2538">
        <w:rPr>
          <w:rStyle w:val="ECCParagraph"/>
        </w:rPr>
        <w:t xml:space="preserve"> this Report</w:t>
      </w:r>
      <w:r w:rsidRPr="003C3024">
        <w:rPr>
          <w:rStyle w:val="ECCParagraph"/>
        </w:rPr>
        <w:t xml:space="preserve"> </w:t>
      </w:r>
      <w:r w:rsidR="00F90E9A">
        <w:rPr>
          <w:rStyle w:val="ECCParagraph"/>
        </w:rPr>
        <w:t>is</w:t>
      </w:r>
      <w:r w:rsidRPr="003C3024">
        <w:rPr>
          <w:rStyle w:val="ECCParagraph"/>
        </w:rPr>
        <w:t xml:space="preserve"> short</w:t>
      </w:r>
      <w:r w:rsidR="00EA2538">
        <w:rPr>
          <w:rStyle w:val="ECCParagraph"/>
        </w:rPr>
        <w:t>-</w:t>
      </w:r>
      <w:r w:rsidRPr="003C3024">
        <w:rPr>
          <w:rStyle w:val="ECCParagraph"/>
        </w:rPr>
        <w:t>range assist for vehicles (</w:t>
      </w:r>
      <w:r w:rsidR="009D5FA2">
        <w:rPr>
          <w:rStyle w:val="ECCParagraph"/>
        </w:rPr>
        <w:t>section</w:t>
      </w:r>
      <w:r w:rsidRPr="0014576D">
        <w:rPr>
          <w:rStyle w:val="ECCParagraph"/>
        </w:rPr>
        <w:t xml:space="preserve"> </w:t>
      </w:r>
      <w:r w:rsidR="00EA2538">
        <w:rPr>
          <w:rStyle w:val="ECCParagraph"/>
        </w:rPr>
        <w:fldChar w:fldCharType="begin"/>
      </w:r>
      <w:r w:rsidR="00EA2538">
        <w:rPr>
          <w:rStyle w:val="ECCParagraph"/>
        </w:rPr>
        <w:instrText xml:space="preserve"> REF _Ref20473265 \n \h </w:instrText>
      </w:r>
      <w:r w:rsidR="00EA2538">
        <w:rPr>
          <w:rStyle w:val="ECCParagraph"/>
        </w:rPr>
      </w:r>
      <w:r w:rsidR="00EA2538">
        <w:rPr>
          <w:rStyle w:val="ECCParagraph"/>
        </w:rPr>
        <w:fldChar w:fldCharType="separate"/>
      </w:r>
      <w:r w:rsidR="004F49F9">
        <w:rPr>
          <w:rStyle w:val="ECCParagraph"/>
        </w:rPr>
        <w:t>2.2.3</w:t>
      </w:r>
      <w:r w:rsidR="00EA2538">
        <w:rPr>
          <w:rStyle w:val="ECCParagraph"/>
        </w:rPr>
        <w:fldChar w:fldCharType="end"/>
      </w:r>
      <w:r w:rsidRPr="003C3024">
        <w:rPr>
          <w:rStyle w:val="ECCParagraph"/>
        </w:rPr>
        <w:t>).</w:t>
      </w:r>
    </w:p>
    <w:p w14:paraId="09A10B4D" w14:textId="107E4FE2" w:rsidR="00436EDA" w:rsidRPr="003C3024" w:rsidRDefault="00436EDA" w:rsidP="00436EDA">
      <w:pPr>
        <w:rPr>
          <w:rStyle w:val="ECCParagraph"/>
        </w:rPr>
      </w:pPr>
      <w:r w:rsidRPr="003C3024">
        <w:rPr>
          <w:rStyle w:val="ECCParagraph"/>
        </w:rPr>
        <w:t xml:space="preserve">In ECC Report 190 </w:t>
      </w:r>
      <w:r w:rsidR="00AD64B0">
        <w:rPr>
          <w:rStyle w:val="ECCParagraph"/>
        </w:rPr>
        <w:fldChar w:fldCharType="begin"/>
      </w:r>
      <w:r w:rsidR="00AD64B0">
        <w:rPr>
          <w:rStyle w:val="ECCParagraph"/>
        </w:rPr>
        <w:instrText xml:space="preserve"> REF  ECCRep190 \h \w  \* MERGEFORMAT </w:instrText>
      </w:r>
      <w:r w:rsidR="00AD64B0">
        <w:rPr>
          <w:rStyle w:val="ECCParagraph"/>
        </w:rPr>
      </w:r>
      <w:r w:rsidR="00AD64B0">
        <w:rPr>
          <w:rStyle w:val="ECCParagraph"/>
        </w:rPr>
        <w:fldChar w:fldCharType="separate"/>
      </w:r>
      <w:r w:rsidR="004F49F9">
        <w:rPr>
          <w:rStyle w:val="ECCParagraph"/>
        </w:rPr>
        <w:t>[21]</w:t>
      </w:r>
      <w:r w:rsidR="00AD64B0">
        <w:rPr>
          <w:rStyle w:val="ECCParagraph"/>
        </w:rPr>
        <w:fldChar w:fldCharType="end"/>
      </w:r>
      <w:r w:rsidR="00AD64B0">
        <w:rPr>
          <w:rStyle w:val="ECCParagraph"/>
        </w:rPr>
        <w:t xml:space="preserve"> </w:t>
      </w:r>
      <w:r w:rsidRPr="003C3024">
        <w:rPr>
          <w:rStyle w:val="ECCParagraph"/>
        </w:rPr>
        <w:t>for generic SRDs the Paris area was consider</w:t>
      </w:r>
      <w:r>
        <w:rPr>
          <w:rStyle w:val="ECCParagraph"/>
        </w:rPr>
        <w:t>e</w:t>
      </w:r>
      <w:r w:rsidRPr="003C3024">
        <w:rPr>
          <w:rStyle w:val="ECCParagraph"/>
        </w:rPr>
        <w:t>d as an appropriate worst</w:t>
      </w:r>
      <w:r>
        <w:rPr>
          <w:rStyle w:val="ECCParagraph"/>
        </w:rPr>
        <w:t>-</w:t>
      </w:r>
      <w:r w:rsidRPr="003C3024">
        <w:rPr>
          <w:rStyle w:val="ECCParagraph"/>
        </w:rPr>
        <w:t>case scenario where a very high population density correlates directly with a high density of th</w:t>
      </w:r>
      <w:r>
        <w:rPr>
          <w:rStyle w:val="ECCParagraph"/>
        </w:rPr>
        <w:t>ese</w:t>
      </w:r>
      <w:r w:rsidRPr="003C3024">
        <w:rPr>
          <w:rStyle w:val="ECCParagraph"/>
        </w:rPr>
        <w:t xml:space="preserve"> generic devices under consideration. Table 5 in ECC Report 190 illustrates the evaluated deployment densities.</w:t>
      </w:r>
    </w:p>
    <w:p w14:paraId="023B3085" w14:textId="053CF4DD" w:rsidR="00436EDA" w:rsidRPr="00436EDA" w:rsidRDefault="00AD64B0" w:rsidP="00AD64B0">
      <w:pPr>
        <w:rPr>
          <w:rStyle w:val="ECCParagraph"/>
        </w:rPr>
      </w:pPr>
      <w:r>
        <w:rPr>
          <w:rStyle w:val="ECCParagraph"/>
        </w:rPr>
        <w:t>This Report, however,</w:t>
      </w:r>
      <w:r w:rsidR="00436EDA" w:rsidRPr="00436EDA">
        <w:rPr>
          <w:rStyle w:val="ECCParagraph"/>
        </w:rPr>
        <w:t xml:space="preserve"> also covers sensors which are solely destined for industrial use</w:t>
      </w:r>
      <w:r>
        <w:rPr>
          <w:rStyle w:val="ECCParagraph"/>
        </w:rPr>
        <w:t>, i.e. in industrial areas</w:t>
      </w:r>
      <w:r w:rsidR="00436EDA" w:rsidRPr="00436EDA">
        <w:rPr>
          <w:rStyle w:val="ECCParagraph"/>
        </w:rPr>
        <w:t>. The few applications which fall under this category are</w:t>
      </w:r>
      <w:r w:rsidR="00091F11">
        <w:rPr>
          <w:rStyle w:val="ECCParagraph"/>
        </w:rPr>
        <w:t>:</w:t>
      </w:r>
    </w:p>
    <w:p w14:paraId="33C1160C" w14:textId="798F2B34" w:rsidR="00436EDA" w:rsidRPr="00436EDA" w:rsidRDefault="00436EDA" w:rsidP="00436EDA">
      <w:pPr>
        <w:pStyle w:val="ECCBulletsLv1"/>
        <w:rPr>
          <w:rStyle w:val="ECCParagraph"/>
        </w:rPr>
      </w:pPr>
      <w:r w:rsidRPr="003C3024">
        <w:rPr>
          <w:rStyle w:val="ECCParagraph"/>
        </w:rPr>
        <w:t>Level probing radar (LPR) and tank level probing radar (TLPR)</w:t>
      </w:r>
      <w:r w:rsidR="00091F11">
        <w:rPr>
          <w:rStyle w:val="ECCParagraph"/>
        </w:rPr>
        <w:t>;</w:t>
      </w:r>
    </w:p>
    <w:p w14:paraId="11778B16" w14:textId="04797410" w:rsidR="00436EDA" w:rsidRPr="00436EDA" w:rsidRDefault="00436EDA" w:rsidP="00436EDA">
      <w:pPr>
        <w:pStyle w:val="ECCBulletsLv1"/>
        <w:rPr>
          <w:rStyle w:val="ECCParagraph"/>
        </w:rPr>
      </w:pPr>
      <w:r w:rsidRPr="003C3024">
        <w:rPr>
          <w:rStyle w:val="ECCParagraph"/>
        </w:rPr>
        <w:t>Contour detection radar</w:t>
      </w:r>
      <w:r w:rsidRPr="00436EDA">
        <w:rPr>
          <w:rStyle w:val="ECCParagraph"/>
        </w:rPr>
        <w:t xml:space="preserve"> (CDR)</w:t>
      </w:r>
      <w:r w:rsidR="00091F11">
        <w:rPr>
          <w:rStyle w:val="ECCParagraph"/>
        </w:rPr>
        <w:t>;</w:t>
      </w:r>
    </w:p>
    <w:p w14:paraId="321F748B" w14:textId="1CDF1EDF" w:rsidR="00436EDA" w:rsidRPr="00436EDA" w:rsidRDefault="00436EDA" w:rsidP="00436EDA">
      <w:pPr>
        <w:pStyle w:val="ECCBulletsLv1"/>
        <w:rPr>
          <w:rStyle w:val="ECCParagraph"/>
        </w:rPr>
      </w:pPr>
      <w:r w:rsidRPr="003C3024">
        <w:rPr>
          <w:rStyle w:val="ECCParagraph"/>
        </w:rPr>
        <w:t>Radiodetermination systems for industry automation (RDI)</w:t>
      </w:r>
      <w:r w:rsidR="00091F11">
        <w:rPr>
          <w:rStyle w:val="ECCParagraph"/>
        </w:rPr>
        <w:t>;</w:t>
      </w:r>
    </w:p>
    <w:p w14:paraId="7BC6B466" w14:textId="77777777" w:rsidR="00436EDA" w:rsidRDefault="00436EDA" w:rsidP="00436EDA">
      <w:pPr>
        <w:pStyle w:val="ECCBulletsLv1"/>
        <w:rPr>
          <w:rStyle w:val="ECCParagraph"/>
        </w:rPr>
      </w:pPr>
      <w:r w:rsidRPr="003C3024">
        <w:rPr>
          <w:rStyle w:val="ECCParagraph"/>
        </w:rPr>
        <w:t>Radiodetermination systems for industry automation in shielded environments (RDI-S)</w:t>
      </w:r>
      <w:r w:rsidRPr="00436EDA">
        <w:rPr>
          <w:rStyle w:val="ECCParagraph"/>
        </w:rPr>
        <w:t>.</w:t>
      </w:r>
    </w:p>
    <w:p w14:paraId="1103A295" w14:textId="0C966AF6" w:rsidR="00436EDA" w:rsidRPr="00436EDA" w:rsidRDefault="00436EDA" w:rsidP="00AD64B0">
      <w:pPr>
        <w:rPr>
          <w:rStyle w:val="ECCParagraph"/>
        </w:rPr>
      </w:pPr>
      <w:r w:rsidRPr="003C3024">
        <w:rPr>
          <w:rStyle w:val="ECCParagraph"/>
        </w:rPr>
        <w:t>The densities of such sensors do not correlate with the population density or the density of private households per square kilometre</w:t>
      </w:r>
      <w:r w:rsidRPr="00436EDA">
        <w:rPr>
          <w:rStyle w:val="ECCParagraph"/>
        </w:rPr>
        <w:t xml:space="preserve">. However, it can be assumed that these sensors are uniformly distributed over industrial areas as they are deployed in many different industries (please compare the description of the individual application scenarios in </w:t>
      </w:r>
      <w:r w:rsidR="009D5FA2">
        <w:rPr>
          <w:rStyle w:val="ECCParagraph"/>
        </w:rPr>
        <w:t>section</w:t>
      </w:r>
      <w:r w:rsidRPr="00436EDA">
        <w:rPr>
          <w:rStyle w:val="ECCParagraph"/>
        </w:rPr>
        <w:t xml:space="preserve"> </w:t>
      </w:r>
      <w:r w:rsidR="00AD64B0">
        <w:rPr>
          <w:rStyle w:val="ECCParagraph"/>
        </w:rPr>
        <w:fldChar w:fldCharType="begin"/>
      </w:r>
      <w:r w:rsidR="00AD64B0">
        <w:rPr>
          <w:rStyle w:val="ECCParagraph"/>
        </w:rPr>
        <w:instrText xml:space="preserve"> REF _Ref9415617 \n \h </w:instrText>
      </w:r>
      <w:r w:rsidR="00AD64B0">
        <w:rPr>
          <w:rStyle w:val="ECCParagraph"/>
        </w:rPr>
      </w:r>
      <w:r w:rsidR="00AD64B0">
        <w:rPr>
          <w:rStyle w:val="ECCParagraph"/>
        </w:rPr>
        <w:fldChar w:fldCharType="separate"/>
      </w:r>
      <w:r w:rsidR="004F49F9">
        <w:rPr>
          <w:rStyle w:val="ECCParagraph"/>
        </w:rPr>
        <w:t>2.2</w:t>
      </w:r>
      <w:r w:rsidR="00AD64B0">
        <w:rPr>
          <w:rStyle w:val="ECCParagraph"/>
        </w:rPr>
        <w:fldChar w:fldCharType="end"/>
      </w:r>
      <w:r w:rsidRPr="00436EDA">
        <w:rPr>
          <w:rStyle w:val="ECCParagraph"/>
        </w:rPr>
        <w:t>).</w:t>
      </w:r>
    </w:p>
    <w:p w14:paraId="5380F130" w14:textId="77777777" w:rsidR="00436EDA" w:rsidRDefault="00436EDA" w:rsidP="00AD64B0">
      <w:pPr>
        <w:rPr>
          <w:rStyle w:val="ECCParagraph"/>
        </w:rPr>
      </w:pPr>
      <w:r w:rsidRPr="003C3024">
        <w:rPr>
          <w:rStyle w:val="ECCParagraph"/>
        </w:rPr>
        <w:t xml:space="preserve">The </w:t>
      </w:r>
      <w:r w:rsidRPr="00436EDA">
        <w:rPr>
          <w:rStyle w:val="ECCParagraph"/>
        </w:rPr>
        <w:t xml:space="preserve">number of devices in the footprint of the satellite is therefore rather maximal in large industrial areas. </w:t>
      </w:r>
      <w:r w:rsidR="00175C99" w:rsidRPr="00436EDA">
        <w:rPr>
          <w:rStyle w:val="ECCParagraph"/>
        </w:rPr>
        <w:t>Since</w:t>
      </w:r>
      <w:r w:rsidRPr="00436EDA">
        <w:rPr>
          <w:rStyle w:val="ECCParagraph"/>
        </w:rPr>
        <w:t xml:space="preserve"> not much information is available concerning large industrial areas in Europe, the following approach is proposed in order to derive representative device densities of such industrial devices for aggregate interference studies against EESS</w:t>
      </w:r>
      <w:r w:rsidR="00AD64B0">
        <w:rPr>
          <w:rStyle w:val="ECCParagraph"/>
        </w:rPr>
        <w:t xml:space="preserve"> (passive)</w:t>
      </w:r>
      <w:r w:rsidRPr="00436EDA">
        <w:rPr>
          <w:rStyle w:val="ECCParagraph"/>
        </w:rPr>
        <w:t>.</w:t>
      </w:r>
    </w:p>
    <w:p w14:paraId="14B1AE15" w14:textId="77777777" w:rsidR="00175C99" w:rsidRPr="004D241F" w:rsidRDefault="00175C99" w:rsidP="004D241F">
      <w:pPr>
        <w:pStyle w:val="ECCAnnexheading2"/>
        <w:rPr>
          <w:rStyle w:val="Hyperlink"/>
          <w:color w:val="auto"/>
          <w:u w:val="none"/>
        </w:rPr>
      </w:pPr>
      <w:r w:rsidRPr="004D241F">
        <w:rPr>
          <w:rStyle w:val="Hyperlink"/>
          <w:color w:val="auto"/>
          <w:u w:val="none"/>
        </w:rPr>
        <w:t>procedure for estimating the number of industrial interferers in the footprints of EESS (passive) satellites</w:t>
      </w:r>
    </w:p>
    <w:p w14:paraId="7F7027D4" w14:textId="77777777" w:rsidR="007879B8" w:rsidRPr="007879B8" w:rsidRDefault="007879B8" w:rsidP="000B395B">
      <w:pPr>
        <w:pStyle w:val="ECCNumberedList"/>
        <w:numPr>
          <w:ilvl w:val="0"/>
          <w:numId w:val="10"/>
        </w:numPr>
        <w:rPr>
          <w:rStyle w:val="ECCParagraph"/>
          <w:lang w:val="da-DK"/>
        </w:rPr>
      </w:pPr>
      <w:r w:rsidRPr="007879B8">
        <w:rPr>
          <w:rStyle w:val="ECCParagraph"/>
          <w:lang w:val="da-DK"/>
        </w:rPr>
        <w:t>For European countries the fraction of the land cover used for industrial purposes in relation to the total area of the respective country could be identified for selected countries (see below).</w:t>
      </w:r>
    </w:p>
    <w:p w14:paraId="0CB4E5CE" w14:textId="3A139039" w:rsidR="007879B8" w:rsidRDefault="007879B8" w:rsidP="007879B8">
      <w:pPr>
        <w:pStyle w:val="ECCNumberedList"/>
        <w:rPr>
          <w:rStyle w:val="ECCParagraph"/>
          <w:lang w:val="da-DK"/>
        </w:rPr>
      </w:pPr>
      <w:r w:rsidRPr="007879B8">
        <w:rPr>
          <w:rStyle w:val="ECCParagraph"/>
          <w:lang w:val="da-DK"/>
        </w:rPr>
        <w:t>In France for example 5</w:t>
      </w:r>
      <w:r w:rsidR="00F800A2">
        <w:rPr>
          <w:rStyle w:val="ECCParagraph"/>
          <w:lang w:val="da-DK"/>
        </w:rPr>
        <w:t>%</w:t>
      </w:r>
      <w:r w:rsidRPr="007879B8">
        <w:rPr>
          <w:rStyle w:val="ECCParagraph"/>
          <w:lang w:val="da-DK"/>
        </w:rPr>
        <w:t xml:space="preserve"> of the total area is of artificial nature. These artificial areas further divide into “housing, services, recreation” (79</w:t>
      </w:r>
      <w:r w:rsidR="00F800A2">
        <w:rPr>
          <w:rStyle w:val="ECCParagraph"/>
          <w:lang w:val="da-DK"/>
        </w:rPr>
        <w:t>%</w:t>
      </w:r>
      <w:r w:rsidRPr="007879B8">
        <w:rPr>
          <w:rStyle w:val="ECCParagraph"/>
          <w:lang w:val="da-DK"/>
        </w:rPr>
        <w:t>), “industrial, commercial” (13</w:t>
      </w:r>
      <w:r w:rsidR="00F800A2">
        <w:rPr>
          <w:rStyle w:val="ECCParagraph"/>
          <w:lang w:val="da-DK"/>
        </w:rPr>
        <w:t>%</w:t>
      </w:r>
      <w:r w:rsidRPr="007879B8">
        <w:rPr>
          <w:rStyle w:val="ECCParagraph"/>
          <w:lang w:val="da-DK"/>
        </w:rPr>
        <w:t>), “transport networks, infrastructures” (4</w:t>
      </w:r>
      <w:r w:rsidR="00F800A2">
        <w:rPr>
          <w:rStyle w:val="ECCParagraph"/>
          <w:lang w:val="da-DK"/>
        </w:rPr>
        <w:t>%</w:t>
      </w:r>
      <w:r w:rsidRPr="007879B8">
        <w:rPr>
          <w:rStyle w:val="ECCParagraph"/>
          <w:lang w:val="da-DK"/>
        </w:rPr>
        <w:t>), “mines, quarries, waste dumpsites” (3</w:t>
      </w:r>
      <w:r w:rsidR="00F800A2">
        <w:rPr>
          <w:rStyle w:val="ECCParagraph"/>
          <w:lang w:val="da-DK"/>
        </w:rPr>
        <w:t>%</w:t>
      </w:r>
      <w:r w:rsidRPr="007879B8">
        <w:rPr>
          <w:rStyle w:val="ECCParagraph"/>
          <w:lang w:val="da-DK"/>
        </w:rPr>
        <w:t>) and “construction” (1</w:t>
      </w:r>
      <w:r w:rsidR="00F800A2">
        <w:rPr>
          <w:rStyle w:val="ECCParagraph"/>
          <w:lang w:val="da-DK"/>
        </w:rPr>
        <w:t>%</w:t>
      </w:r>
      <w:r w:rsidRPr="007879B8">
        <w:rPr>
          <w:rStyle w:val="ECCParagraph"/>
          <w:lang w:val="da-DK"/>
        </w:rPr>
        <w:t>). The four latter categories indicate areas where SRDs for industrial use, like TLPR, can be expected. This yields an overall area which is equivalent to a percentage of 1.05</w:t>
      </w:r>
      <w:r w:rsidR="00F800A2">
        <w:rPr>
          <w:rStyle w:val="ECCParagraph"/>
          <w:lang w:val="da-DK"/>
        </w:rPr>
        <w:t>%</w:t>
      </w:r>
      <w:r w:rsidRPr="007879B8">
        <w:rPr>
          <w:rStyle w:val="ECCParagraph"/>
          <w:lang w:val="da-DK"/>
        </w:rPr>
        <w:t xml:space="preserve"> of the total area of France which is used for </w:t>
      </w:r>
      <w:r>
        <w:rPr>
          <w:rStyle w:val="ECCParagraph"/>
        </w:rPr>
        <w:t xml:space="preserve">such </w:t>
      </w:r>
      <w:r w:rsidRPr="007879B8">
        <w:rPr>
          <w:rStyle w:val="ECCParagraph"/>
          <w:lang w:val="da-DK"/>
        </w:rPr>
        <w:t>industrial purposes.</w:t>
      </w:r>
    </w:p>
    <w:p w14:paraId="12E0D7FF" w14:textId="62BCE32E" w:rsidR="007879B8" w:rsidRDefault="007879B8" w:rsidP="007879B8">
      <w:pPr>
        <w:pStyle w:val="ECCNumberedList"/>
        <w:rPr>
          <w:rStyle w:val="ECCParagraph"/>
          <w:lang w:val="da-DK"/>
        </w:rPr>
      </w:pPr>
      <w:r w:rsidRPr="007879B8">
        <w:rPr>
          <w:rStyle w:val="ECCParagraph"/>
          <w:lang w:val="da-DK"/>
        </w:rPr>
        <w:t>In the five largest economies in the EU</w:t>
      </w:r>
      <w:r w:rsidR="00464AE0">
        <w:rPr>
          <w:rStyle w:val="ECCParagraph"/>
          <w:lang w:val="da-DK"/>
        </w:rPr>
        <w:t>,</w:t>
      </w:r>
      <w:r w:rsidRPr="007879B8">
        <w:rPr>
          <w:rStyle w:val="ECCParagraph"/>
          <w:lang w:val="da-DK"/>
        </w:rPr>
        <w:t xml:space="preserve"> these percentages range between 1.05</w:t>
      </w:r>
      <w:r w:rsidR="00F800A2">
        <w:rPr>
          <w:rStyle w:val="ECCParagraph"/>
          <w:lang w:val="da-DK"/>
        </w:rPr>
        <w:t>%</w:t>
      </w:r>
      <w:r w:rsidRPr="007879B8">
        <w:rPr>
          <w:rStyle w:val="ECCParagraph"/>
          <w:lang w:val="da-DK"/>
        </w:rPr>
        <w:t xml:space="preserve"> (France) and 1.82</w:t>
      </w:r>
      <w:r w:rsidR="00F800A2">
        <w:rPr>
          <w:rStyle w:val="ECCParagraph"/>
          <w:lang w:val="da-DK"/>
        </w:rPr>
        <w:t>%</w:t>
      </w:r>
      <w:r w:rsidRPr="007879B8">
        <w:rPr>
          <w:rStyle w:val="ECCParagraph"/>
          <w:lang w:val="da-DK"/>
        </w:rPr>
        <w:t xml:space="preserve"> Germany.</w:t>
      </w:r>
    </w:p>
    <w:p w14:paraId="56CB020A" w14:textId="0D86FB34" w:rsidR="007879B8" w:rsidRPr="007879B8" w:rsidRDefault="007879B8" w:rsidP="007879B8">
      <w:pPr>
        <w:pStyle w:val="Caption"/>
        <w:rPr>
          <w:rStyle w:val="ECCParagraph"/>
          <w:rFonts w:eastAsia="Calibri"/>
        </w:rPr>
      </w:pPr>
      <w:bookmarkStart w:id="1032" w:name="_Ref58226066"/>
      <w:r w:rsidRPr="007879B8">
        <w:t>Table </w:t>
      </w:r>
      <w:r>
        <w:fldChar w:fldCharType="begin"/>
      </w:r>
      <w:r>
        <w:instrText>SEQ Table \* ARABIC</w:instrText>
      </w:r>
      <w:r>
        <w:fldChar w:fldCharType="separate"/>
      </w:r>
      <w:r w:rsidR="004F49F9">
        <w:rPr>
          <w:noProof/>
        </w:rPr>
        <w:t>141</w:t>
      </w:r>
      <w:r>
        <w:fldChar w:fldCharType="end"/>
      </w:r>
      <w:bookmarkEnd w:id="1032"/>
      <w:r w:rsidRPr="007879B8">
        <w:t>: Fractions of industrial land cover on total area</w:t>
      </w:r>
    </w:p>
    <w:tbl>
      <w:tblPr>
        <w:tblStyle w:val="ECCTable-redheader"/>
        <w:tblW w:w="0" w:type="auto"/>
        <w:tblInd w:w="0" w:type="dxa"/>
        <w:tblLook w:val="04A0" w:firstRow="1" w:lastRow="0" w:firstColumn="1" w:lastColumn="0" w:noHBand="0" w:noVBand="1"/>
      </w:tblPr>
      <w:tblGrid>
        <w:gridCol w:w="1696"/>
        <w:gridCol w:w="2977"/>
        <w:gridCol w:w="2835"/>
      </w:tblGrid>
      <w:tr w:rsidR="007879B8" w14:paraId="057FA840" w14:textId="77777777" w:rsidTr="00A3522D">
        <w:trPr>
          <w:cnfStyle w:val="100000000000" w:firstRow="1" w:lastRow="0" w:firstColumn="0" w:lastColumn="0" w:oddVBand="0" w:evenVBand="0" w:oddHBand="0" w:evenHBand="0" w:firstRowFirstColumn="0" w:firstRowLastColumn="0" w:lastRowFirstColumn="0" w:lastRowLastColumn="0"/>
        </w:trPr>
        <w:tc>
          <w:tcPr>
            <w:tcW w:w="1696" w:type="dxa"/>
          </w:tcPr>
          <w:p w14:paraId="451A2082" w14:textId="77777777" w:rsidR="007879B8" w:rsidRPr="007879B8" w:rsidRDefault="007879B8" w:rsidP="00464AE0">
            <w:pPr>
              <w:pStyle w:val="ECCTablenote"/>
              <w:rPr>
                <w:rStyle w:val="ECCParagraph"/>
              </w:rPr>
            </w:pPr>
            <w:r w:rsidRPr="007879B8">
              <w:rPr>
                <w:rStyle w:val="ECCParagraph"/>
              </w:rPr>
              <w:t>County</w:t>
            </w:r>
          </w:p>
        </w:tc>
        <w:tc>
          <w:tcPr>
            <w:tcW w:w="2977" w:type="dxa"/>
          </w:tcPr>
          <w:p w14:paraId="165E0421" w14:textId="77777777" w:rsidR="007879B8" w:rsidRPr="007879B8" w:rsidRDefault="007879B8" w:rsidP="00A3522D">
            <w:pPr>
              <w:pStyle w:val="ECCTablenote"/>
              <w:spacing w:before="120" w:after="120"/>
              <w:jc w:val="both"/>
              <w:rPr>
                <w:rStyle w:val="ECCParagraph"/>
                <w:b w:val="0"/>
                <w:color w:val="auto"/>
                <w:lang w:eastAsia="en-US" w:bidi="ar-SA"/>
              </w:rPr>
            </w:pPr>
            <w:r w:rsidRPr="0094478C">
              <w:rPr>
                <w:rStyle w:val="ECCParagraph"/>
              </w:rPr>
              <w:t xml:space="preserve">Percentage of industrial </w:t>
            </w:r>
            <w:r w:rsidRPr="007879B8">
              <w:rPr>
                <w:rStyle w:val="ECCParagraph"/>
              </w:rPr>
              <w:t>land cover to total area</w:t>
            </w:r>
          </w:p>
        </w:tc>
        <w:tc>
          <w:tcPr>
            <w:tcW w:w="2835" w:type="dxa"/>
          </w:tcPr>
          <w:p w14:paraId="2FD124DB" w14:textId="77777777" w:rsidR="007879B8" w:rsidRPr="007879B8" w:rsidRDefault="007879B8" w:rsidP="00A3522D">
            <w:pPr>
              <w:pStyle w:val="ECCTablenote"/>
              <w:jc w:val="both"/>
              <w:rPr>
                <w:rStyle w:val="ECCParagraph"/>
                <w:b w:val="0"/>
                <w:color w:val="auto"/>
                <w:lang w:eastAsia="en-US" w:bidi="ar-SA"/>
              </w:rPr>
            </w:pPr>
            <w:r w:rsidRPr="0094478C">
              <w:rPr>
                <w:rStyle w:val="ECCParagraph"/>
              </w:rPr>
              <w:t xml:space="preserve">Relation of total </w:t>
            </w:r>
            <w:r w:rsidRPr="007879B8">
              <w:rPr>
                <w:rStyle w:val="ECCParagraph"/>
              </w:rPr>
              <w:t>area to industrial land cover</w:t>
            </w:r>
          </w:p>
        </w:tc>
      </w:tr>
      <w:tr w:rsidR="007879B8" w14:paraId="333DA5F4" w14:textId="77777777" w:rsidTr="00A3522D">
        <w:tc>
          <w:tcPr>
            <w:tcW w:w="1696" w:type="dxa"/>
          </w:tcPr>
          <w:p w14:paraId="0D6645B1" w14:textId="77777777" w:rsidR="007879B8" w:rsidRPr="007879B8" w:rsidRDefault="007879B8" w:rsidP="00A3522D">
            <w:pPr>
              <w:pStyle w:val="ECCTablenote"/>
              <w:spacing w:before="60" w:after="60"/>
              <w:rPr>
                <w:rStyle w:val="ECCParagraph"/>
                <w:szCs w:val="22"/>
                <w:lang w:eastAsia="en-US" w:bidi="ar-SA"/>
              </w:rPr>
            </w:pPr>
            <w:r w:rsidRPr="007879B8">
              <w:rPr>
                <w:rStyle w:val="ECCParagraph"/>
              </w:rPr>
              <w:t>Germany</w:t>
            </w:r>
          </w:p>
        </w:tc>
        <w:tc>
          <w:tcPr>
            <w:tcW w:w="2977" w:type="dxa"/>
          </w:tcPr>
          <w:p w14:paraId="278C51BF" w14:textId="7C9D5C4A" w:rsidR="007879B8" w:rsidRPr="007879B8" w:rsidRDefault="007879B8" w:rsidP="00A3522D">
            <w:pPr>
              <w:pStyle w:val="ECCTablenote"/>
              <w:spacing w:before="60" w:after="60"/>
              <w:rPr>
                <w:rStyle w:val="ECCParagraph"/>
                <w:lang w:eastAsia="en-US" w:bidi="ar-SA"/>
              </w:rPr>
            </w:pPr>
            <w:r w:rsidRPr="007879B8">
              <w:rPr>
                <w:rStyle w:val="ECCParagraph"/>
              </w:rPr>
              <w:t>1.82</w:t>
            </w:r>
            <w:r w:rsidR="00F800A2">
              <w:rPr>
                <w:rStyle w:val="ECCParagraph"/>
              </w:rPr>
              <w:t>%</w:t>
            </w:r>
          </w:p>
        </w:tc>
        <w:tc>
          <w:tcPr>
            <w:tcW w:w="2835" w:type="dxa"/>
          </w:tcPr>
          <w:p w14:paraId="4D28D9F0" w14:textId="3BEA833C" w:rsidR="007879B8" w:rsidRPr="007879B8" w:rsidRDefault="007879B8" w:rsidP="00A3522D">
            <w:pPr>
              <w:pStyle w:val="ECCTablenote"/>
              <w:spacing w:before="60" w:after="60"/>
              <w:rPr>
                <w:rStyle w:val="ECCParagraph"/>
                <w:lang w:eastAsia="en-US" w:bidi="ar-SA"/>
              </w:rPr>
            </w:pPr>
            <w:r w:rsidRPr="007879B8">
              <w:rPr>
                <w:rStyle w:val="ECCParagraph"/>
              </w:rPr>
              <w:t>1/(1.82</w:t>
            </w:r>
            <w:r w:rsidR="00F800A2">
              <w:rPr>
                <w:rStyle w:val="ECCParagraph"/>
              </w:rPr>
              <w:t>%</w:t>
            </w:r>
            <w:r w:rsidRPr="007879B8">
              <w:rPr>
                <w:rStyle w:val="ECCParagraph"/>
              </w:rPr>
              <w:t>) = 55.0</w:t>
            </w:r>
          </w:p>
        </w:tc>
      </w:tr>
      <w:tr w:rsidR="007879B8" w14:paraId="2934D40C" w14:textId="77777777" w:rsidTr="00A3522D">
        <w:tc>
          <w:tcPr>
            <w:tcW w:w="1696" w:type="dxa"/>
          </w:tcPr>
          <w:p w14:paraId="5F144C58" w14:textId="77777777" w:rsidR="007879B8" w:rsidRPr="007879B8" w:rsidRDefault="007879B8" w:rsidP="00A3522D">
            <w:pPr>
              <w:pStyle w:val="ECCTablenote"/>
              <w:spacing w:before="60" w:after="60"/>
              <w:rPr>
                <w:rStyle w:val="ECCParagraph"/>
                <w:szCs w:val="22"/>
                <w:lang w:eastAsia="en-US" w:bidi="ar-SA"/>
              </w:rPr>
            </w:pPr>
            <w:r w:rsidRPr="007879B8">
              <w:rPr>
                <w:rStyle w:val="ECCParagraph"/>
              </w:rPr>
              <w:t>United Kingdom</w:t>
            </w:r>
          </w:p>
        </w:tc>
        <w:tc>
          <w:tcPr>
            <w:tcW w:w="2977" w:type="dxa"/>
          </w:tcPr>
          <w:p w14:paraId="28C1A97B" w14:textId="2EB9747B" w:rsidR="007879B8" w:rsidRPr="007879B8" w:rsidRDefault="007879B8" w:rsidP="00A3522D">
            <w:pPr>
              <w:pStyle w:val="ECCTablenote"/>
              <w:spacing w:before="60" w:after="60"/>
              <w:rPr>
                <w:rStyle w:val="ECCParagraph"/>
                <w:lang w:eastAsia="en-US" w:bidi="ar-SA"/>
              </w:rPr>
            </w:pPr>
            <w:r w:rsidRPr="007879B8">
              <w:rPr>
                <w:rStyle w:val="ECCParagraph"/>
              </w:rPr>
              <w:t>1.48</w:t>
            </w:r>
            <w:r w:rsidR="00F800A2">
              <w:rPr>
                <w:rStyle w:val="ECCParagraph"/>
              </w:rPr>
              <w:t>%</w:t>
            </w:r>
          </w:p>
        </w:tc>
        <w:tc>
          <w:tcPr>
            <w:tcW w:w="2835" w:type="dxa"/>
          </w:tcPr>
          <w:p w14:paraId="288FA189" w14:textId="1BB66ACD" w:rsidR="007879B8" w:rsidRPr="007879B8" w:rsidRDefault="007879B8" w:rsidP="00A3522D">
            <w:pPr>
              <w:pStyle w:val="ECCTablenote"/>
              <w:spacing w:before="60" w:after="60"/>
              <w:rPr>
                <w:rStyle w:val="ECCParagraph"/>
                <w:lang w:eastAsia="en-US" w:bidi="ar-SA"/>
              </w:rPr>
            </w:pPr>
            <w:r w:rsidRPr="007879B8">
              <w:rPr>
                <w:rStyle w:val="ECCParagraph"/>
              </w:rPr>
              <w:t>1/(1.48</w:t>
            </w:r>
            <w:r w:rsidR="00F800A2">
              <w:rPr>
                <w:rStyle w:val="ECCParagraph"/>
              </w:rPr>
              <w:t>%</w:t>
            </w:r>
            <w:r w:rsidRPr="007879B8">
              <w:rPr>
                <w:rStyle w:val="ECCParagraph"/>
              </w:rPr>
              <w:t>) = 67.6</w:t>
            </w:r>
          </w:p>
        </w:tc>
      </w:tr>
      <w:tr w:rsidR="007879B8" w14:paraId="24F83108" w14:textId="77777777" w:rsidTr="00A3522D">
        <w:tc>
          <w:tcPr>
            <w:tcW w:w="1696" w:type="dxa"/>
          </w:tcPr>
          <w:p w14:paraId="6AB78A94" w14:textId="77777777" w:rsidR="007879B8" w:rsidRPr="007879B8" w:rsidRDefault="007879B8" w:rsidP="00A3522D">
            <w:pPr>
              <w:pStyle w:val="ECCTablenote"/>
              <w:spacing w:before="60" w:after="60"/>
              <w:rPr>
                <w:rStyle w:val="ECCParagraph"/>
                <w:szCs w:val="22"/>
                <w:lang w:eastAsia="en-US" w:bidi="ar-SA"/>
              </w:rPr>
            </w:pPr>
            <w:r w:rsidRPr="007879B8">
              <w:rPr>
                <w:rStyle w:val="ECCParagraph"/>
              </w:rPr>
              <w:t>France</w:t>
            </w:r>
          </w:p>
        </w:tc>
        <w:tc>
          <w:tcPr>
            <w:tcW w:w="2977" w:type="dxa"/>
          </w:tcPr>
          <w:p w14:paraId="1E4C2EC7" w14:textId="402C0554" w:rsidR="007879B8" w:rsidRPr="007879B8" w:rsidRDefault="007879B8" w:rsidP="00A3522D">
            <w:pPr>
              <w:pStyle w:val="ECCTablenote"/>
              <w:spacing w:before="60" w:after="60"/>
              <w:rPr>
                <w:rStyle w:val="ECCParagraph"/>
                <w:lang w:eastAsia="en-US" w:bidi="ar-SA"/>
              </w:rPr>
            </w:pPr>
            <w:r w:rsidRPr="007879B8">
              <w:rPr>
                <w:rStyle w:val="ECCParagraph"/>
              </w:rPr>
              <w:t>1.05</w:t>
            </w:r>
            <w:r w:rsidR="00F800A2">
              <w:rPr>
                <w:rStyle w:val="ECCParagraph"/>
              </w:rPr>
              <w:t>%</w:t>
            </w:r>
          </w:p>
        </w:tc>
        <w:tc>
          <w:tcPr>
            <w:tcW w:w="2835" w:type="dxa"/>
          </w:tcPr>
          <w:p w14:paraId="6BAB480E" w14:textId="73D52C99" w:rsidR="007879B8" w:rsidRPr="007879B8" w:rsidRDefault="007879B8" w:rsidP="00A3522D">
            <w:pPr>
              <w:pStyle w:val="ECCTablenote"/>
              <w:spacing w:before="60" w:after="60"/>
              <w:rPr>
                <w:rStyle w:val="ECCParagraph"/>
                <w:lang w:eastAsia="en-US" w:bidi="ar-SA"/>
              </w:rPr>
            </w:pPr>
            <w:r w:rsidRPr="007879B8">
              <w:rPr>
                <w:rStyle w:val="ECCParagraph"/>
              </w:rPr>
              <w:t>1/(1.05</w:t>
            </w:r>
            <w:r w:rsidR="00F800A2">
              <w:rPr>
                <w:rStyle w:val="ECCParagraph"/>
              </w:rPr>
              <w:t>%</w:t>
            </w:r>
            <w:r w:rsidRPr="007879B8">
              <w:rPr>
                <w:rStyle w:val="ECCParagraph"/>
              </w:rPr>
              <w:t>) = 95.2</w:t>
            </w:r>
          </w:p>
        </w:tc>
      </w:tr>
      <w:tr w:rsidR="007879B8" w14:paraId="57C87372" w14:textId="77777777" w:rsidTr="00A3522D">
        <w:tc>
          <w:tcPr>
            <w:tcW w:w="1696" w:type="dxa"/>
          </w:tcPr>
          <w:p w14:paraId="607DC1C4" w14:textId="77777777" w:rsidR="007879B8" w:rsidRPr="007879B8" w:rsidRDefault="007879B8" w:rsidP="00A3522D">
            <w:pPr>
              <w:pStyle w:val="ECCTablenote"/>
              <w:spacing w:before="60" w:after="60"/>
              <w:rPr>
                <w:rStyle w:val="ECCParagraph"/>
                <w:szCs w:val="22"/>
                <w:lang w:eastAsia="en-US" w:bidi="ar-SA"/>
              </w:rPr>
            </w:pPr>
            <w:r w:rsidRPr="007879B8">
              <w:rPr>
                <w:rStyle w:val="ECCParagraph"/>
              </w:rPr>
              <w:t>Italy</w:t>
            </w:r>
          </w:p>
        </w:tc>
        <w:tc>
          <w:tcPr>
            <w:tcW w:w="2977" w:type="dxa"/>
          </w:tcPr>
          <w:p w14:paraId="537F6F71" w14:textId="541CD58E" w:rsidR="007879B8" w:rsidRPr="007879B8" w:rsidRDefault="007879B8" w:rsidP="00A3522D">
            <w:pPr>
              <w:pStyle w:val="ECCTablenote"/>
              <w:spacing w:before="60" w:after="60"/>
              <w:rPr>
                <w:rStyle w:val="ECCParagraph"/>
                <w:lang w:eastAsia="en-US" w:bidi="ar-SA"/>
              </w:rPr>
            </w:pPr>
            <w:r w:rsidRPr="007879B8">
              <w:rPr>
                <w:rStyle w:val="ECCParagraph"/>
              </w:rPr>
              <w:t>1.25</w:t>
            </w:r>
            <w:r w:rsidR="00F800A2">
              <w:rPr>
                <w:rStyle w:val="ECCParagraph"/>
              </w:rPr>
              <w:t>%</w:t>
            </w:r>
          </w:p>
        </w:tc>
        <w:tc>
          <w:tcPr>
            <w:tcW w:w="2835" w:type="dxa"/>
          </w:tcPr>
          <w:p w14:paraId="5AE329D3" w14:textId="713978AE" w:rsidR="007879B8" w:rsidRPr="007879B8" w:rsidRDefault="007879B8" w:rsidP="00A3522D">
            <w:pPr>
              <w:pStyle w:val="ECCTablenote"/>
              <w:spacing w:before="60" w:after="60"/>
              <w:rPr>
                <w:rStyle w:val="ECCParagraph"/>
                <w:lang w:eastAsia="en-US" w:bidi="ar-SA"/>
              </w:rPr>
            </w:pPr>
            <w:r w:rsidRPr="007879B8">
              <w:rPr>
                <w:rStyle w:val="ECCParagraph"/>
              </w:rPr>
              <w:t>1/(1.25</w:t>
            </w:r>
            <w:r w:rsidR="00F800A2">
              <w:rPr>
                <w:rStyle w:val="ECCParagraph"/>
              </w:rPr>
              <w:t>%</w:t>
            </w:r>
            <w:r w:rsidRPr="007879B8">
              <w:rPr>
                <w:rStyle w:val="ECCParagraph"/>
              </w:rPr>
              <w:t>) = 80.0</w:t>
            </w:r>
          </w:p>
        </w:tc>
      </w:tr>
      <w:tr w:rsidR="007879B8" w14:paraId="3D5CD3AE" w14:textId="77777777" w:rsidTr="00A3522D">
        <w:tc>
          <w:tcPr>
            <w:tcW w:w="1696" w:type="dxa"/>
          </w:tcPr>
          <w:p w14:paraId="4001B68E" w14:textId="77777777" w:rsidR="007879B8" w:rsidRPr="007879B8" w:rsidRDefault="007879B8" w:rsidP="00A3522D">
            <w:pPr>
              <w:pStyle w:val="ECCTablenote"/>
              <w:spacing w:before="60" w:after="60"/>
              <w:rPr>
                <w:rStyle w:val="ECCParagraph"/>
                <w:szCs w:val="22"/>
                <w:lang w:eastAsia="en-US" w:bidi="ar-SA"/>
              </w:rPr>
            </w:pPr>
            <w:r w:rsidRPr="007879B8">
              <w:rPr>
                <w:rStyle w:val="ECCParagraph"/>
              </w:rPr>
              <w:t>Spain</w:t>
            </w:r>
          </w:p>
        </w:tc>
        <w:tc>
          <w:tcPr>
            <w:tcW w:w="2977" w:type="dxa"/>
          </w:tcPr>
          <w:p w14:paraId="1CC52CC5" w14:textId="77777777" w:rsidR="007879B8" w:rsidRPr="007879B8" w:rsidRDefault="007879B8" w:rsidP="00A3522D">
            <w:pPr>
              <w:pStyle w:val="ECCTablenote"/>
              <w:spacing w:before="60" w:after="60"/>
            </w:pPr>
            <w:r w:rsidRPr="007879B8">
              <w:rPr>
                <w:rStyle w:val="ECCParagraph"/>
              </w:rPr>
              <w:t>1.23%</w:t>
            </w:r>
          </w:p>
        </w:tc>
        <w:tc>
          <w:tcPr>
            <w:tcW w:w="2835" w:type="dxa"/>
          </w:tcPr>
          <w:p w14:paraId="53534A79" w14:textId="44D7B215" w:rsidR="007879B8" w:rsidRPr="007879B8" w:rsidRDefault="007879B8" w:rsidP="00A3522D">
            <w:pPr>
              <w:pStyle w:val="ECCTablenote"/>
              <w:spacing w:before="60" w:after="60"/>
              <w:rPr>
                <w:rStyle w:val="ECCParagraph"/>
                <w:lang w:eastAsia="en-US" w:bidi="ar-SA"/>
              </w:rPr>
            </w:pPr>
            <w:r w:rsidRPr="007879B8">
              <w:rPr>
                <w:rStyle w:val="ECCParagraph"/>
              </w:rPr>
              <w:t>1/(1.23</w:t>
            </w:r>
            <w:r w:rsidR="00F800A2">
              <w:rPr>
                <w:rStyle w:val="ECCParagraph"/>
              </w:rPr>
              <w:t>%</w:t>
            </w:r>
            <w:r w:rsidRPr="007879B8">
              <w:rPr>
                <w:rStyle w:val="ECCParagraph"/>
              </w:rPr>
              <w:t>) = 81.3</w:t>
            </w:r>
          </w:p>
        </w:tc>
      </w:tr>
    </w:tbl>
    <w:p w14:paraId="2D319E3E" w14:textId="21D7A7AC" w:rsidR="007879B8" w:rsidRPr="007879B8" w:rsidRDefault="007879B8" w:rsidP="007879B8">
      <w:pPr>
        <w:pStyle w:val="ECCNumberedList"/>
        <w:rPr>
          <w:rStyle w:val="ECCParagraph"/>
        </w:rPr>
      </w:pPr>
      <w:r>
        <w:rPr>
          <w:rStyle w:val="ECCParagraph"/>
        </w:rPr>
        <w:t xml:space="preserve">For the aggregate studies against EESS victims it is assumed that all industrial SRDs are aggregated in industrial areas and that the footprint of the satellite is targeting only such industrial areas no matter how large this footprint </w:t>
      </w:r>
      <w:r w:rsidRPr="007879B8">
        <w:rPr>
          <w:rStyle w:val="ECCParagraph"/>
        </w:rPr>
        <w:t>of the satellite is. It should be noted that for relatively small satellite footprints in the range of up to 50 km² this assumption might be quite reasonable. However, it should also be emphasized that for larger footprints (up to 2</w:t>
      </w:r>
      <w:r w:rsidR="00CF4994">
        <w:rPr>
          <w:rStyle w:val="ECCParagraph"/>
        </w:rPr>
        <w:t>0</w:t>
      </w:r>
      <w:r w:rsidRPr="007879B8">
        <w:rPr>
          <w:rStyle w:val="ECCParagraph"/>
        </w:rPr>
        <w:t xml:space="preserve">00 km²) this assumption might overestimate the absolute number of SRDs in the footprint of the satellite as there are no industrial areas in Europe </w:t>
      </w:r>
      <w:r>
        <w:rPr>
          <w:rStyle w:val="ECCParagraph"/>
        </w:rPr>
        <w:t>with that enormous size.</w:t>
      </w:r>
    </w:p>
    <w:p w14:paraId="639076CE" w14:textId="6948355E" w:rsidR="007879B8" w:rsidRPr="007879B8" w:rsidRDefault="007879B8" w:rsidP="007879B8">
      <w:pPr>
        <w:pStyle w:val="ECCNumberedList"/>
        <w:rPr>
          <w:rStyle w:val="ECCParagraph"/>
        </w:rPr>
      </w:pPr>
      <w:r w:rsidRPr="007879B8">
        <w:rPr>
          <w:rStyle w:val="ECCParagraph"/>
        </w:rPr>
        <w:t xml:space="preserve">In order to project the country-specific industrial land cover fraction to whole Europe, a relation of 75 is proposed which lies </w:t>
      </w:r>
      <w:r>
        <w:rPr>
          <w:rStyle w:val="ECCParagraph"/>
        </w:rPr>
        <w:t xml:space="preserve">roughly </w:t>
      </w:r>
      <w:r w:rsidRPr="007879B8">
        <w:rPr>
          <w:rStyle w:val="ECCParagraph"/>
        </w:rPr>
        <w:t>in the middle between the values of Germany (55) and France (95.2). This proposal implicitly assumes that 1.33</w:t>
      </w:r>
      <w:r w:rsidR="00F800A2">
        <w:rPr>
          <w:rStyle w:val="ECCParagraph"/>
        </w:rPr>
        <w:t>%</w:t>
      </w:r>
      <w:r w:rsidRPr="007879B8">
        <w:rPr>
          <w:rStyle w:val="ECCParagraph"/>
        </w:rPr>
        <w:t xml:space="preserve"> of the total European land area is covered by industry.</w:t>
      </w:r>
    </w:p>
    <w:p w14:paraId="382AA536" w14:textId="77777777" w:rsidR="007879B8" w:rsidRPr="007879B8" w:rsidRDefault="007879B8" w:rsidP="007879B8">
      <w:pPr>
        <w:pStyle w:val="ECCNumberedList"/>
        <w:rPr>
          <w:rStyle w:val="ECCParagraph"/>
        </w:rPr>
      </w:pPr>
      <w:bookmarkStart w:id="1033" w:name="_Ref63253509"/>
      <w:r w:rsidRPr="007879B8">
        <w:rPr>
          <w:rStyle w:val="ECCParagraph"/>
        </w:rPr>
        <w:t xml:space="preserve">In order to estimate the relevant device densities for the aggregate studies, the uniform device density over the total European area must be </w:t>
      </w:r>
      <w:r>
        <w:rPr>
          <w:rStyle w:val="ECCParagraph"/>
        </w:rPr>
        <w:t xml:space="preserve">consequently </w:t>
      </w:r>
      <w:r w:rsidRPr="007879B8">
        <w:rPr>
          <w:rStyle w:val="ECCParagraph"/>
        </w:rPr>
        <w:t>weighted (multiplied) with this factor of 75.</w:t>
      </w:r>
      <w:bookmarkEnd w:id="1033"/>
    </w:p>
    <w:p w14:paraId="5710E36E" w14:textId="09062FC1" w:rsidR="00D016F6" w:rsidRDefault="00EE4508" w:rsidP="00EE4508">
      <w:pPr>
        <w:pStyle w:val="ECCNumberedList"/>
        <w:rPr>
          <w:rStyle w:val="ECCParagraph"/>
        </w:rPr>
      </w:pPr>
      <w:r>
        <w:rPr>
          <w:rStyle w:val="ECCParagraph"/>
        </w:rPr>
        <w:t xml:space="preserve">In order to increase the confidence of the outlined </w:t>
      </w:r>
      <w:r w:rsidR="0024468D">
        <w:rPr>
          <w:rStyle w:val="ECCParagraph"/>
        </w:rPr>
        <w:t xml:space="preserve">device density </w:t>
      </w:r>
      <w:r>
        <w:rPr>
          <w:rStyle w:val="ECCParagraph"/>
        </w:rPr>
        <w:t xml:space="preserve">estimation a further </w:t>
      </w:r>
      <w:r w:rsidR="005A3070">
        <w:rPr>
          <w:rStyle w:val="ECCParagraph"/>
        </w:rPr>
        <w:t>range approach up to</w:t>
      </w:r>
      <w:r>
        <w:rPr>
          <w:rStyle w:val="ECCParagraph"/>
        </w:rPr>
        <w:t xml:space="preserve"> the factor </w:t>
      </w:r>
      <w:r w:rsidR="005A3070">
        <w:rPr>
          <w:rStyle w:val="ECCParagraph"/>
        </w:rPr>
        <w:t xml:space="preserve">of 2 x </w:t>
      </w:r>
      <w:r w:rsidR="002D7628">
        <w:rPr>
          <w:rStyle w:val="ECCParagraph"/>
        </w:rPr>
        <w:t>75</w:t>
      </w:r>
      <w:r w:rsidR="005A3070">
        <w:rPr>
          <w:rStyle w:val="ECCParagraph"/>
        </w:rPr>
        <w:t xml:space="preserve"> = 150</w:t>
      </w:r>
      <w:r w:rsidR="002D7628">
        <w:rPr>
          <w:rStyle w:val="ECCParagraph"/>
        </w:rPr>
        <w:t xml:space="preserve"> </w:t>
      </w:r>
      <w:r w:rsidR="005A3070">
        <w:rPr>
          <w:rStyle w:val="ECCParagraph"/>
        </w:rPr>
        <w:t>(see</w:t>
      </w:r>
      <w:r>
        <w:rPr>
          <w:rStyle w:val="ECCParagraph"/>
        </w:rPr>
        <w:t xml:space="preserve"> </w:t>
      </w:r>
      <w:r w:rsidR="002D7628">
        <w:rPr>
          <w:rStyle w:val="ECCParagraph"/>
        </w:rPr>
        <w:t xml:space="preserve">item </w:t>
      </w:r>
      <w:r w:rsidR="002D7628">
        <w:rPr>
          <w:rStyle w:val="ECCParagraph"/>
        </w:rPr>
        <w:fldChar w:fldCharType="begin"/>
      </w:r>
      <w:r w:rsidR="002D7628">
        <w:rPr>
          <w:rStyle w:val="ECCParagraph"/>
        </w:rPr>
        <w:instrText xml:space="preserve"> REF _Ref63253509 \r \h </w:instrText>
      </w:r>
      <w:r w:rsidR="002D7628">
        <w:rPr>
          <w:rStyle w:val="ECCParagraph"/>
        </w:rPr>
      </w:r>
      <w:r w:rsidR="002D7628">
        <w:rPr>
          <w:rStyle w:val="ECCParagraph"/>
        </w:rPr>
        <w:fldChar w:fldCharType="separate"/>
      </w:r>
      <w:r w:rsidR="004F49F9">
        <w:rPr>
          <w:rStyle w:val="ECCParagraph"/>
        </w:rPr>
        <w:t>6</w:t>
      </w:r>
      <w:r w:rsidR="002D7628">
        <w:rPr>
          <w:rStyle w:val="ECCParagraph"/>
        </w:rPr>
        <w:fldChar w:fldCharType="end"/>
      </w:r>
      <w:r w:rsidR="005A3070">
        <w:rPr>
          <w:rStyle w:val="ECCParagraph"/>
        </w:rPr>
        <w:t xml:space="preserve"> before)</w:t>
      </w:r>
      <w:r w:rsidR="002D7628">
        <w:rPr>
          <w:rStyle w:val="ECCParagraph"/>
        </w:rPr>
        <w:t xml:space="preserve"> sh</w:t>
      </w:r>
      <w:r w:rsidR="005A3070">
        <w:rPr>
          <w:rStyle w:val="ECCParagraph"/>
        </w:rPr>
        <w:t>all</w:t>
      </w:r>
      <w:r w:rsidR="002D7628">
        <w:rPr>
          <w:rStyle w:val="ECCParagraph"/>
        </w:rPr>
        <w:t xml:space="preserve"> be </w:t>
      </w:r>
      <w:r w:rsidR="005A3070">
        <w:rPr>
          <w:rStyle w:val="ECCParagraph"/>
        </w:rPr>
        <w:t>checked for the wors</w:t>
      </w:r>
      <w:r w:rsidR="00086E4D">
        <w:rPr>
          <w:rStyle w:val="ECCParagraph"/>
        </w:rPr>
        <w:t xml:space="preserve">t </w:t>
      </w:r>
      <w:r w:rsidR="005A3070">
        <w:rPr>
          <w:rStyle w:val="ECCParagraph"/>
        </w:rPr>
        <w:t>cases.</w:t>
      </w:r>
    </w:p>
    <w:p w14:paraId="3DF1D27F" w14:textId="06432170" w:rsidR="00D016F6" w:rsidRPr="00D016F6" w:rsidRDefault="00D016F6" w:rsidP="00EB1E7C">
      <w:pPr>
        <w:rPr>
          <w:rStyle w:val="ECCParagraph"/>
        </w:rPr>
      </w:pPr>
      <w:r w:rsidRPr="00D016F6">
        <w:rPr>
          <w:rStyle w:val="ECCParagraph"/>
        </w:rPr>
        <w:t>Example:</w:t>
      </w:r>
      <w:r w:rsidR="00EB1E7C">
        <w:rPr>
          <w:rStyle w:val="ECCParagraph"/>
        </w:rPr>
        <w:t xml:space="preserve"> </w:t>
      </w:r>
      <w:r w:rsidRPr="00D016F6">
        <w:rPr>
          <w:rStyle w:val="ECCParagraph"/>
        </w:rPr>
        <w:t xml:space="preserve">For TLPR in the band 116 to 148.5 GHz the average device density in Europe with uniform distribution is calculated to be 0.0057 devices/km² (see </w:t>
      </w:r>
      <w:r w:rsidRPr="00D016F6">
        <w:rPr>
          <w:rStyle w:val="ECCParagraph"/>
        </w:rPr>
        <w:fldChar w:fldCharType="begin"/>
      </w:r>
      <w:r w:rsidRPr="00D016F6">
        <w:rPr>
          <w:rStyle w:val="ECCParagraph"/>
        </w:rPr>
        <w:instrText xml:space="preserve"> REF _Ref36126249 \h </w:instrText>
      </w:r>
      <w:r>
        <w:rPr>
          <w:rStyle w:val="ECCParagraph"/>
        </w:rPr>
        <w:instrText xml:space="preserve"> \* MERGEFORMAT </w:instrText>
      </w:r>
      <w:r w:rsidRPr="00D016F6">
        <w:rPr>
          <w:rStyle w:val="ECCParagraph"/>
        </w:rPr>
      </w:r>
      <w:r w:rsidRPr="00D016F6">
        <w:rPr>
          <w:rStyle w:val="ECCParagraph"/>
        </w:rPr>
        <w:fldChar w:fldCharType="separate"/>
      </w:r>
      <w:r w:rsidR="0041125F" w:rsidRPr="006D6727">
        <w:t>Table </w:t>
      </w:r>
      <w:r w:rsidR="0041125F">
        <w:t>29</w:t>
      </w:r>
      <w:r w:rsidRPr="00D016F6">
        <w:rPr>
          <w:rStyle w:val="ECCParagraph"/>
        </w:rPr>
        <w:fldChar w:fldCharType="end"/>
      </w:r>
      <w:r w:rsidRPr="00D016F6">
        <w:rPr>
          <w:rStyle w:val="ECCParagraph"/>
        </w:rPr>
        <w:t>). Provided the fact that TLPR devices are only deployed in industrial areas this value has to be weighted with the introduced factor</w:t>
      </w:r>
      <w:r w:rsidR="00F2593F">
        <w:rPr>
          <w:rStyle w:val="ECCParagraph"/>
        </w:rPr>
        <w:t>s</w:t>
      </w:r>
      <w:r w:rsidRPr="00D016F6">
        <w:rPr>
          <w:rStyle w:val="ECCParagraph"/>
        </w:rPr>
        <w:t xml:space="preserve"> of 75</w:t>
      </w:r>
      <w:r w:rsidR="00586F32">
        <w:rPr>
          <w:rStyle w:val="ECCParagraph"/>
        </w:rPr>
        <w:t xml:space="preserve"> and 150</w:t>
      </w:r>
      <w:r w:rsidRPr="00D016F6">
        <w:rPr>
          <w:rStyle w:val="ECCParagraph"/>
        </w:rPr>
        <w:t>. This yields an assumed device density in industrial areas (and thus also as assumed in the footprint of the EESS satellite) of 0.4</w:t>
      </w:r>
      <w:r w:rsidR="00C26C44">
        <w:rPr>
          <w:rStyle w:val="ECCParagraph"/>
        </w:rPr>
        <w:t>28</w:t>
      </w:r>
      <w:r w:rsidRPr="00D016F6">
        <w:rPr>
          <w:rStyle w:val="ECCParagraph"/>
        </w:rPr>
        <w:t> devices/km²</w:t>
      </w:r>
      <w:r w:rsidR="00586F32">
        <w:rPr>
          <w:rStyle w:val="ECCParagraph"/>
        </w:rPr>
        <w:t xml:space="preserve"> </w:t>
      </w:r>
      <w:r w:rsidR="00F2593F">
        <w:rPr>
          <w:rStyle w:val="ECCParagraph"/>
        </w:rPr>
        <w:t xml:space="preserve">up </w:t>
      </w:r>
      <w:r w:rsidR="00586F32">
        <w:rPr>
          <w:rStyle w:val="ECCParagraph"/>
        </w:rPr>
        <w:t>to 0.855 devices/km²</w:t>
      </w:r>
      <w:r w:rsidRPr="00D016F6">
        <w:rPr>
          <w:rStyle w:val="ECCParagraph"/>
        </w:rPr>
        <w:t>.</w:t>
      </w:r>
    </w:p>
    <w:p w14:paraId="01251C52" w14:textId="77777777" w:rsidR="004D241F" w:rsidRDefault="00D016F6" w:rsidP="004D241F">
      <w:pPr>
        <w:rPr>
          <w:rStyle w:val="ECCParagraph"/>
        </w:rPr>
      </w:pPr>
      <w:r w:rsidRPr="00D016F6">
        <w:rPr>
          <w:rStyle w:val="ECCParagraph"/>
        </w:rPr>
        <w:t xml:space="preserve">For the nadir scanner N1 in the band 148.5 to 151.5 GHz for example the IFOV at the outer position is 759 km² (see technical details of EESS Sensor N1 in the Report). Consequently, the absolute number of TLPR devices in the footprint of the EESS satellite would be </w:t>
      </w:r>
      <w:r w:rsidR="00F2593F">
        <w:rPr>
          <w:rStyle w:val="ECCParagraph"/>
        </w:rPr>
        <w:t xml:space="preserve">between </w:t>
      </w:r>
      <w:r w:rsidRPr="00D016F6">
        <w:rPr>
          <w:rStyle w:val="ECCParagraph"/>
        </w:rPr>
        <w:t>0.4</w:t>
      </w:r>
      <w:r w:rsidR="00C26C44">
        <w:rPr>
          <w:rStyle w:val="ECCParagraph"/>
        </w:rPr>
        <w:t>28</w:t>
      </w:r>
      <w:r w:rsidRPr="00D016F6">
        <w:rPr>
          <w:rStyle w:val="ECCParagraph"/>
        </w:rPr>
        <w:t> devices/km² x 759 km² = 32</w:t>
      </w:r>
      <w:r w:rsidR="00C26C44">
        <w:rPr>
          <w:rStyle w:val="ECCParagraph"/>
        </w:rPr>
        <w:t>5</w:t>
      </w:r>
      <w:r w:rsidRPr="00D016F6">
        <w:rPr>
          <w:rStyle w:val="ECCParagraph"/>
        </w:rPr>
        <w:t> devices</w:t>
      </w:r>
      <w:r w:rsidR="00F2593F">
        <w:rPr>
          <w:rStyle w:val="ECCParagraph"/>
        </w:rPr>
        <w:t xml:space="preserve"> and </w:t>
      </w:r>
      <w:r w:rsidR="00275844" w:rsidRPr="00D016F6">
        <w:rPr>
          <w:rStyle w:val="ECCParagraph"/>
        </w:rPr>
        <w:t>0.</w:t>
      </w:r>
      <w:r w:rsidR="00275844">
        <w:rPr>
          <w:rStyle w:val="ECCParagraph"/>
        </w:rPr>
        <w:t>855</w:t>
      </w:r>
      <w:r w:rsidR="00275844" w:rsidRPr="00D016F6">
        <w:rPr>
          <w:rStyle w:val="ECCParagraph"/>
        </w:rPr>
        <w:t xml:space="preserve"> devices/km² x 759 km² </w:t>
      </w:r>
      <w:r w:rsidR="00275844">
        <w:rPr>
          <w:rStyle w:val="ECCParagraph"/>
        </w:rPr>
        <w:t xml:space="preserve">= </w:t>
      </w:r>
      <w:r w:rsidR="00C26C44">
        <w:rPr>
          <w:rStyle w:val="ECCParagraph"/>
        </w:rPr>
        <w:t>649</w:t>
      </w:r>
      <w:r w:rsidR="00BC36A7">
        <w:rPr>
          <w:rStyle w:val="ECCParagraph"/>
        </w:rPr>
        <w:t> </w:t>
      </w:r>
      <w:r w:rsidR="00C26C44">
        <w:rPr>
          <w:rStyle w:val="ECCParagraph"/>
        </w:rPr>
        <w:t>devices.</w:t>
      </w:r>
      <w:bookmarkStart w:id="1034" w:name="_Ref66453649"/>
    </w:p>
    <w:p w14:paraId="07BC2286" w14:textId="77777777" w:rsidR="00D867E7" w:rsidRDefault="008C4A24" w:rsidP="00D867E7">
      <w:pPr>
        <w:pStyle w:val="ECCAnnexheading1"/>
        <w:rPr>
          <w:rStyle w:val="ECCParagraph"/>
        </w:rPr>
      </w:pPr>
      <w:bookmarkStart w:id="1035" w:name="_Ref68944596"/>
      <w:bookmarkStart w:id="1036" w:name="_Toc127346427"/>
      <w:r>
        <w:rPr>
          <w:rStyle w:val="ECCParagraph"/>
        </w:rPr>
        <w:t>RDI-S</w:t>
      </w:r>
      <w:r w:rsidR="002423AF">
        <w:rPr>
          <w:rStyle w:val="ECCParagraph"/>
        </w:rPr>
        <w:t xml:space="preserve"> </w:t>
      </w:r>
      <w:r>
        <w:rPr>
          <w:rStyle w:val="ECCParagraph"/>
        </w:rPr>
        <w:t>Limit</w:t>
      </w:r>
      <w:r w:rsidR="002423AF">
        <w:rPr>
          <w:rStyle w:val="ECCParagraph"/>
        </w:rPr>
        <w:t xml:space="preserve"> </w:t>
      </w:r>
      <w:r>
        <w:rPr>
          <w:rStyle w:val="ECCParagraph"/>
        </w:rPr>
        <w:t>Masks</w:t>
      </w:r>
      <w:bookmarkEnd w:id="1035"/>
      <w:bookmarkEnd w:id="1036"/>
    </w:p>
    <w:bookmarkEnd w:id="1034"/>
    <w:p w14:paraId="57853304" w14:textId="77777777" w:rsidR="00D867E7" w:rsidRDefault="00D867E7" w:rsidP="00675C8E">
      <w:pPr>
        <w:jc w:val="center"/>
      </w:pPr>
      <w:r>
        <w:rPr>
          <w:noProof/>
          <w:lang w:val="de-DE" w:eastAsia="de-DE"/>
        </w:rPr>
        <w:drawing>
          <wp:inline distT="0" distB="0" distL="0" distR="0" wp14:anchorId="680CD6E7" wp14:editId="48411B96">
            <wp:extent cx="7608436" cy="4448434"/>
            <wp:effectExtent l="0" t="1270" r="0"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rotWithShape="1">
                    <a:blip r:embed="rId219"/>
                    <a:srcRect l="8046" t="-3418" r="8786" b="6174"/>
                    <a:stretch/>
                  </pic:blipFill>
                  <pic:spPr bwMode="auto">
                    <a:xfrm rot="16200000">
                      <a:off x="0" y="0"/>
                      <a:ext cx="7656770" cy="4476694"/>
                    </a:xfrm>
                    <a:prstGeom prst="rect">
                      <a:avLst/>
                    </a:prstGeom>
                    <a:ln>
                      <a:noFill/>
                    </a:ln>
                    <a:extLst>
                      <a:ext uri="{53640926-AAD7-44D8-BBD7-CCE9431645EC}">
                        <a14:shadowObscured xmlns:a14="http://schemas.microsoft.com/office/drawing/2010/main"/>
                      </a:ext>
                    </a:extLst>
                  </pic:spPr>
                </pic:pic>
              </a:graphicData>
            </a:graphic>
          </wp:inline>
        </w:drawing>
      </w:r>
    </w:p>
    <w:p w14:paraId="2C02F89C" w14:textId="0431427C" w:rsidR="00611033" w:rsidRPr="00611033" w:rsidRDefault="0017737C" w:rsidP="00611033">
      <w:pPr>
        <w:pStyle w:val="Caption"/>
        <w:rPr>
          <w:lang w:val="en-GB"/>
        </w:rPr>
      </w:pPr>
      <w:r w:rsidRPr="0017737C">
        <w:t>Figure </w:t>
      </w:r>
      <w:r>
        <w:fldChar w:fldCharType="begin"/>
      </w:r>
      <w:r>
        <w:instrText>SEQ Figure \* ARABIC</w:instrText>
      </w:r>
      <w:r>
        <w:fldChar w:fldCharType="separate"/>
      </w:r>
      <w:r w:rsidR="004F49F9">
        <w:rPr>
          <w:noProof/>
        </w:rPr>
        <w:t>130</w:t>
      </w:r>
      <w:r>
        <w:fldChar w:fldCharType="end"/>
      </w:r>
      <w:r w:rsidRPr="0017737C">
        <w:t xml:space="preserve">: RDI-S limit masks (the suggested maximum mean e.i.r.p. density and the maximum peak e.i.r.p. limits shown in </w:t>
      </w:r>
      <w:r w:rsidRPr="0017737C">
        <w:rPr>
          <w:rStyle w:val="ECCParagraph"/>
          <w:b w:val="0"/>
          <w:bCs w:val="0"/>
        </w:rPr>
        <w:fldChar w:fldCharType="begin"/>
      </w:r>
      <w:r w:rsidRPr="0017737C">
        <w:rPr>
          <w:rStyle w:val="ECCParagraph"/>
        </w:rPr>
        <w:instrText xml:space="preserve"> REF _Ref66370698 \h </w:instrText>
      </w:r>
      <w:r w:rsidR="00611033">
        <w:rPr>
          <w:rStyle w:val="ECCParagraph"/>
          <w:b w:val="0"/>
          <w:bCs w:val="0"/>
        </w:rPr>
        <w:instrText xml:space="preserve"> \* MERGEFORMAT </w:instrText>
      </w:r>
      <w:r w:rsidRPr="0017737C">
        <w:rPr>
          <w:rStyle w:val="ECCParagraph"/>
          <w:b w:val="0"/>
          <w:bCs w:val="0"/>
        </w:rPr>
      </w:r>
      <w:r w:rsidRPr="0017737C">
        <w:rPr>
          <w:rStyle w:val="ECCParagraph"/>
          <w:b w:val="0"/>
          <w:bCs w:val="0"/>
        </w:rPr>
        <w:fldChar w:fldCharType="separate"/>
      </w:r>
      <w:r w:rsidR="0041125F" w:rsidRPr="00BB41AD">
        <w:t>Table </w:t>
      </w:r>
      <w:r w:rsidR="0041125F">
        <w:t>9</w:t>
      </w:r>
      <w:r w:rsidRPr="0017737C">
        <w:rPr>
          <w:rStyle w:val="ECCParagraph"/>
          <w:b w:val="0"/>
          <w:bCs w:val="0"/>
        </w:rPr>
        <w:fldChar w:fldCharType="end"/>
      </w:r>
      <w:r w:rsidRPr="0017737C">
        <w:rPr>
          <w:rStyle w:val="ECCParagraph"/>
        </w:rPr>
        <w:t xml:space="preserve"> </w:t>
      </w:r>
      <w:r w:rsidRPr="0017737C">
        <w:t>are illustrated in the solid black and dashed black lines, respectively)</w:t>
      </w:r>
    </w:p>
    <w:p w14:paraId="090833DE" w14:textId="77777777" w:rsidR="00505F01" w:rsidRDefault="008C4A24" w:rsidP="00505F01">
      <w:pPr>
        <w:pStyle w:val="ECCAnnexheading1"/>
        <w:rPr>
          <w:rStyle w:val="ECCParagraph"/>
        </w:rPr>
      </w:pPr>
      <w:bookmarkStart w:id="1037" w:name="_Toc127346428"/>
      <w:r>
        <w:rPr>
          <w:rStyle w:val="ECCParagraph"/>
        </w:rPr>
        <w:t>Atmospheric</w:t>
      </w:r>
      <w:r w:rsidR="008337AD">
        <w:rPr>
          <w:rStyle w:val="ECCParagraph"/>
        </w:rPr>
        <w:t xml:space="preserve"> </w:t>
      </w:r>
      <w:r>
        <w:rPr>
          <w:rStyle w:val="ECCParagraph"/>
        </w:rPr>
        <w:t>Model</w:t>
      </w:r>
      <w:r w:rsidR="008337AD">
        <w:rPr>
          <w:rStyle w:val="ECCParagraph"/>
        </w:rPr>
        <w:t xml:space="preserve"> </w:t>
      </w:r>
      <w:r>
        <w:rPr>
          <w:rStyle w:val="ECCParagraph"/>
        </w:rPr>
        <w:t>used</w:t>
      </w:r>
      <w:r w:rsidR="008337AD">
        <w:rPr>
          <w:rStyle w:val="ECCParagraph"/>
        </w:rPr>
        <w:t xml:space="preserve"> </w:t>
      </w:r>
      <w:r>
        <w:rPr>
          <w:rStyle w:val="ECCParagraph"/>
        </w:rPr>
        <w:t>to</w:t>
      </w:r>
      <w:r w:rsidR="008337AD">
        <w:rPr>
          <w:rStyle w:val="ECCParagraph"/>
        </w:rPr>
        <w:t xml:space="preserve"> </w:t>
      </w:r>
      <w:r>
        <w:rPr>
          <w:rStyle w:val="ECCParagraph"/>
        </w:rPr>
        <w:t>Calculate</w:t>
      </w:r>
      <w:r w:rsidR="008337AD">
        <w:rPr>
          <w:rStyle w:val="ECCParagraph"/>
        </w:rPr>
        <w:t xml:space="preserve"> </w:t>
      </w:r>
      <w:r>
        <w:rPr>
          <w:rStyle w:val="ECCParagraph"/>
        </w:rPr>
        <w:t>Absorption</w:t>
      </w:r>
      <w:r w:rsidR="008337AD">
        <w:rPr>
          <w:rStyle w:val="ECCParagraph"/>
        </w:rPr>
        <w:t xml:space="preserve"> </w:t>
      </w:r>
      <w:r>
        <w:rPr>
          <w:rStyle w:val="ECCParagraph"/>
        </w:rPr>
        <w:t>by</w:t>
      </w:r>
      <w:r w:rsidR="008337AD">
        <w:rPr>
          <w:rStyle w:val="ECCParagraph"/>
        </w:rPr>
        <w:t xml:space="preserve"> </w:t>
      </w:r>
      <w:r>
        <w:rPr>
          <w:rStyle w:val="ECCParagraph"/>
        </w:rPr>
        <w:t>Gases</w:t>
      </w:r>
      <w:bookmarkEnd w:id="1037"/>
    </w:p>
    <w:p w14:paraId="1ABA9229" w14:textId="1CA56DB5" w:rsidR="008337AD" w:rsidRPr="00235223" w:rsidRDefault="008337AD" w:rsidP="00235223">
      <w:bookmarkStart w:id="1038" w:name="_Hlk67922822"/>
      <w:r w:rsidRPr="00235223">
        <w:t>As part of the calibration of a RAS station, the precipitable water vapo</w:t>
      </w:r>
      <w:r w:rsidR="00235223">
        <w:t>u</w:t>
      </w:r>
      <w:r w:rsidRPr="00235223">
        <w:t xml:space="preserve">r content of the atmosphere is monitored. </w:t>
      </w:r>
      <w:r w:rsidR="00235223" w:rsidRPr="00235223">
        <w:fldChar w:fldCharType="begin"/>
      </w:r>
      <w:r w:rsidR="00235223" w:rsidRPr="00235223">
        <w:instrText xml:space="preserve"> REF _Ref66964292 \h </w:instrText>
      </w:r>
      <w:r w:rsidR="00235223">
        <w:instrText xml:space="preserve"> \* MERGEFORMAT </w:instrText>
      </w:r>
      <w:r w:rsidR="00235223" w:rsidRPr="00235223">
        <w:fldChar w:fldCharType="separate"/>
      </w:r>
      <w:r w:rsidR="0041125F" w:rsidRPr="005C5944">
        <w:t>Figure</w:t>
      </w:r>
      <w:r w:rsidR="0041125F">
        <w:t> 131</w:t>
      </w:r>
      <w:r w:rsidR="00235223" w:rsidRPr="00235223">
        <w:fldChar w:fldCharType="end"/>
      </w:r>
      <w:r w:rsidR="00235223" w:rsidRPr="00235223">
        <w:t xml:space="preserve"> </w:t>
      </w:r>
      <w:r w:rsidRPr="00235223">
        <w:t xml:space="preserve">shows the distribution of </w:t>
      </w:r>
      <w:r w:rsidR="00235223">
        <w:t xml:space="preserve">the </w:t>
      </w:r>
      <w:r w:rsidRPr="00235223">
        <w:t>precipitable water vapo</w:t>
      </w:r>
      <w:r w:rsidR="00235223">
        <w:t>u</w:t>
      </w:r>
      <w:r w:rsidRPr="00235223">
        <w:t xml:space="preserve">r content for the years 2007/2008 </w:t>
      </w:r>
      <w:r w:rsidR="00235223">
        <w:t>which is</w:t>
      </w:r>
      <w:r w:rsidRPr="00235223">
        <w:t xml:space="preserve"> representative of typical weather conditions at the NOEMA site. On</w:t>
      </w:r>
      <w:r w:rsidR="00235223">
        <w:t>e</w:t>
      </w:r>
      <w:r w:rsidRPr="00235223">
        <w:t xml:space="preserve"> can see that in winter</w:t>
      </w:r>
      <w:r w:rsidR="00235223">
        <w:t>time</w:t>
      </w:r>
      <w:r w:rsidRPr="00235223">
        <w:t xml:space="preserve"> (dark blue curve), the </w:t>
      </w:r>
      <w:r w:rsidR="00235223" w:rsidRPr="00235223">
        <w:t>precipitable water vapo</w:t>
      </w:r>
      <w:r w:rsidR="00235223">
        <w:t>u</w:t>
      </w:r>
      <w:r w:rsidR="00235223" w:rsidRPr="00235223">
        <w:t>r</w:t>
      </w:r>
      <w:r w:rsidRPr="00235223">
        <w:t xml:space="preserve"> is lower than 1</w:t>
      </w:r>
      <w:r w:rsidR="00235223">
        <w:t> </w:t>
      </w:r>
      <w:r w:rsidRPr="00235223">
        <w:t xml:space="preserve">mm </w:t>
      </w:r>
      <w:r w:rsidR="00235223">
        <w:t xml:space="preserve">in </w:t>
      </w:r>
      <w:r w:rsidRPr="00235223">
        <w:t>25</w:t>
      </w:r>
      <w:r w:rsidR="00F800A2">
        <w:t>%</w:t>
      </w:r>
      <w:r w:rsidRPr="00235223">
        <w:t xml:space="preserve"> of the time and lower than 2</w:t>
      </w:r>
      <w:r w:rsidR="00235223">
        <w:t> </w:t>
      </w:r>
      <w:r w:rsidRPr="00235223">
        <w:t xml:space="preserve">mm </w:t>
      </w:r>
      <w:r w:rsidR="00235223">
        <w:t xml:space="preserve">in </w:t>
      </w:r>
      <w:r w:rsidRPr="00235223">
        <w:t>50</w:t>
      </w:r>
      <w:r w:rsidR="00F800A2">
        <w:t>%</w:t>
      </w:r>
      <w:r w:rsidRPr="00235223">
        <w:t xml:space="preserve"> of the time (top panel).</w:t>
      </w:r>
    </w:p>
    <w:p w14:paraId="0285DF74" w14:textId="77777777" w:rsidR="008337AD" w:rsidRDefault="008337AD" w:rsidP="00B11A28">
      <w:pPr>
        <w:pStyle w:val="Caption"/>
      </w:pPr>
      <w:r w:rsidRPr="008337AD">
        <w:rPr>
          <w:noProof/>
          <w:lang w:val="de-DE" w:eastAsia="de-DE"/>
        </w:rPr>
        <w:drawing>
          <wp:inline distT="0" distB="0" distL="0" distR="5080" wp14:anchorId="5EF2F053" wp14:editId="28FA9498">
            <wp:extent cx="6120765" cy="3074035"/>
            <wp:effectExtent l="0" t="0" r="0" b="0"/>
            <wp:docPr id="52" name="Image2" descr="Rep 12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descr="Rep 123_2"/>
                    <pic:cNvPicPr>
                      <a:picLocks noChangeAspect="1" noChangeArrowheads="1"/>
                    </pic:cNvPicPr>
                  </pic:nvPicPr>
                  <pic:blipFill>
                    <a:blip r:embed="rId220"/>
                    <a:stretch>
                      <a:fillRect/>
                    </a:stretch>
                  </pic:blipFill>
                  <pic:spPr bwMode="auto">
                    <a:xfrm>
                      <a:off x="0" y="0"/>
                      <a:ext cx="6120765" cy="3074035"/>
                    </a:xfrm>
                    <a:prstGeom prst="rect">
                      <a:avLst/>
                    </a:prstGeom>
                  </pic:spPr>
                </pic:pic>
              </a:graphicData>
            </a:graphic>
          </wp:inline>
        </w:drawing>
      </w:r>
    </w:p>
    <w:p w14:paraId="64DA0D3A" w14:textId="51E2A360" w:rsidR="00884F91" w:rsidRDefault="00884F91" w:rsidP="00884F91">
      <w:pPr>
        <w:pStyle w:val="Caption"/>
      </w:pPr>
      <w:bookmarkStart w:id="1039" w:name="_Ref66964292"/>
      <w:r w:rsidRPr="005C5944">
        <w:t>Figure</w:t>
      </w:r>
      <w:r w:rsidR="0017737C">
        <w:t> </w:t>
      </w:r>
      <w:r w:rsidRPr="00D867E7">
        <w:fldChar w:fldCharType="begin"/>
      </w:r>
      <w:r>
        <w:instrText xml:space="preserve"> SEQ Figure \* ARABIC </w:instrText>
      </w:r>
      <w:r w:rsidRPr="00D867E7">
        <w:fldChar w:fldCharType="separate"/>
      </w:r>
      <w:r w:rsidR="004F49F9">
        <w:rPr>
          <w:noProof/>
        </w:rPr>
        <w:t>131</w:t>
      </w:r>
      <w:r w:rsidRPr="00D867E7">
        <w:fldChar w:fldCharType="end"/>
      </w:r>
      <w:bookmarkEnd w:id="1039"/>
      <w:r w:rsidRPr="00A3020D">
        <w:t xml:space="preserve">: </w:t>
      </w:r>
      <w:r>
        <w:t>Distribution of water vapour at the NOEMA site</w:t>
      </w:r>
    </w:p>
    <w:p w14:paraId="1C3A4ABC" w14:textId="05051579" w:rsidR="00884F91" w:rsidRDefault="00884F91" w:rsidP="00884F91">
      <w:r>
        <w:t xml:space="preserve">In </w:t>
      </w:r>
      <w:r w:rsidR="00235223">
        <w:rPr>
          <w:rStyle w:val="ECCHLyellow"/>
        </w:rPr>
        <w:fldChar w:fldCharType="begin"/>
      </w:r>
      <w:r w:rsidR="00235223">
        <w:instrText xml:space="preserve"> REF _Ref66964543 \h </w:instrText>
      </w:r>
      <w:r w:rsidR="00235223">
        <w:rPr>
          <w:rStyle w:val="ECCHLyellow"/>
        </w:rPr>
      </w:r>
      <w:r w:rsidR="00235223">
        <w:rPr>
          <w:rStyle w:val="ECCHLyellow"/>
        </w:rPr>
        <w:fldChar w:fldCharType="separate"/>
      </w:r>
      <w:r w:rsidR="0041125F" w:rsidRPr="005C5944">
        <w:t>Figure</w:t>
      </w:r>
      <w:r w:rsidR="0041125F">
        <w:t> </w:t>
      </w:r>
      <w:r w:rsidR="0041125F">
        <w:rPr>
          <w:noProof/>
        </w:rPr>
        <w:t>132</w:t>
      </w:r>
      <w:r w:rsidR="00235223">
        <w:rPr>
          <w:rStyle w:val="ECCHLyellow"/>
        </w:rPr>
        <w:fldChar w:fldCharType="end"/>
      </w:r>
      <w:r>
        <w:t xml:space="preserve">, the integrated vertical water vapor content of the mid-latitude atmosphere reference model (in red) and of the high-latitude reference model from </w:t>
      </w:r>
      <w:r w:rsidR="00235223">
        <w:t xml:space="preserve">Recommendation </w:t>
      </w:r>
      <w:r>
        <w:t>ITU-R P.835-6</w:t>
      </w:r>
      <w:r w:rsidR="00235223">
        <w:t xml:space="preserve"> </w:t>
      </w:r>
      <w:r w:rsidR="00140870">
        <w:rPr>
          <w:rStyle w:val="ECCParagraph"/>
        </w:rPr>
        <w:fldChar w:fldCharType="begin"/>
      </w:r>
      <w:r w:rsidR="00140870">
        <w:rPr>
          <w:rStyle w:val="ECCParagraph"/>
        </w:rPr>
        <w:instrText xml:space="preserve"> REF  ITU_R_P_835_6 \h \w  \* MERGEFORMAT </w:instrText>
      </w:r>
      <w:r w:rsidR="00140870">
        <w:rPr>
          <w:rStyle w:val="ECCParagraph"/>
        </w:rPr>
      </w:r>
      <w:r w:rsidR="00140870">
        <w:rPr>
          <w:rStyle w:val="ECCParagraph"/>
        </w:rPr>
        <w:fldChar w:fldCharType="separate"/>
      </w:r>
      <w:r w:rsidR="004F49F9">
        <w:rPr>
          <w:rStyle w:val="ECCParagraph"/>
        </w:rPr>
        <w:t>[29]</w:t>
      </w:r>
      <w:r w:rsidR="00140870">
        <w:rPr>
          <w:rStyle w:val="ECCParagraph"/>
        </w:rPr>
        <w:fldChar w:fldCharType="end"/>
      </w:r>
      <w:r>
        <w:t xml:space="preserve"> as a function of </w:t>
      </w:r>
      <w:r w:rsidR="00235223">
        <w:t xml:space="preserve">the </w:t>
      </w:r>
      <w:r>
        <w:t>altitude</w:t>
      </w:r>
      <w:r w:rsidR="00235223">
        <w:t xml:space="preserve"> is shown</w:t>
      </w:r>
      <w:r>
        <w:t>. At the NOEMA altitude (2560</w:t>
      </w:r>
      <w:r w:rsidR="00F41C48">
        <w:t> </w:t>
      </w:r>
      <w:r>
        <w:t xml:space="preserve">m, shown as a vertical dashed line), the </w:t>
      </w:r>
      <w:r w:rsidR="00F41C48" w:rsidRPr="00235223">
        <w:t>precipitable water vapo</w:t>
      </w:r>
      <w:r w:rsidR="00F41C48">
        <w:t>u</w:t>
      </w:r>
      <w:r w:rsidR="00F41C48" w:rsidRPr="00235223">
        <w:t>r</w:t>
      </w:r>
      <w:r>
        <w:t xml:space="preserve"> is 2.55</w:t>
      </w:r>
      <w:r w:rsidR="00F41C48">
        <w:t> </w:t>
      </w:r>
      <w:r>
        <w:t>mm for the mid-latitude winter</w:t>
      </w:r>
      <w:r w:rsidR="00F41C48">
        <w:t xml:space="preserve"> and </w:t>
      </w:r>
      <w:r>
        <w:t>1.45</w:t>
      </w:r>
      <w:r w:rsidR="00F41C48">
        <w:t> </w:t>
      </w:r>
      <w:r>
        <w:t>mm for the high-latitude winter. So, the high-latitude winter is not even accounting for the 25</w:t>
      </w:r>
      <w:r w:rsidR="00E91B50">
        <w:t>%</w:t>
      </w:r>
      <w:r>
        <w:t xml:space="preserve"> best observing conditions in winter, where the propagation is </w:t>
      </w:r>
      <w:r w:rsidR="00F41C48">
        <w:t>favoured</w:t>
      </w:r>
      <w:r>
        <w:t xml:space="preserve"> by lower atmospheric gas absorption and hence interferences more likely to occur.</w:t>
      </w:r>
    </w:p>
    <w:p w14:paraId="0351BE8E" w14:textId="77777777" w:rsidR="008337AD" w:rsidRDefault="008337AD" w:rsidP="008337AD">
      <w:pPr>
        <w:pStyle w:val="Caption"/>
        <w:rPr>
          <w:lang w:val="en-GB"/>
        </w:rPr>
      </w:pPr>
      <w:r w:rsidRPr="008337AD">
        <w:rPr>
          <w:noProof/>
          <w:lang w:val="de-DE" w:eastAsia="de-DE"/>
        </w:rPr>
        <w:drawing>
          <wp:inline distT="0" distB="0" distL="0" distR="5080" wp14:anchorId="30234909" wp14:editId="54B5B27D">
            <wp:extent cx="5072380" cy="2496185"/>
            <wp:effectExtent l="0" t="0" r="0" b="0"/>
            <wp:docPr id="68" name="Image3" descr="Rep 12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descr="Rep 123_2"/>
                    <pic:cNvPicPr>
                      <a:picLocks noChangeAspect="1" noChangeArrowheads="1"/>
                    </pic:cNvPicPr>
                  </pic:nvPicPr>
                  <pic:blipFill>
                    <a:blip r:embed="rId221"/>
                    <a:stretch>
                      <a:fillRect/>
                    </a:stretch>
                  </pic:blipFill>
                  <pic:spPr bwMode="auto">
                    <a:xfrm>
                      <a:off x="0" y="0"/>
                      <a:ext cx="5072380" cy="2496185"/>
                    </a:xfrm>
                    <a:prstGeom prst="rect">
                      <a:avLst/>
                    </a:prstGeom>
                  </pic:spPr>
                </pic:pic>
              </a:graphicData>
            </a:graphic>
          </wp:inline>
        </w:drawing>
      </w:r>
    </w:p>
    <w:p w14:paraId="72080029" w14:textId="1926898A" w:rsidR="00884F91" w:rsidRDefault="00884F91" w:rsidP="00884F91">
      <w:pPr>
        <w:pStyle w:val="Caption"/>
      </w:pPr>
      <w:bookmarkStart w:id="1040" w:name="_Ref66964543"/>
      <w:r w:rsidRPr="005C5944">
        <w:t>Figure</w:t>
      </w:r>
      <w:r w:rsidR="0017737C">
        <w:t> </w:t>
      </w:r>
      <w:r w:rsidRPr="00D867E7">
        <w:fldChar w:fldCharType="begin"/>
      </w:r>
      <w:r>
        <w:instrText xml:space="preserve"> SEQ Figure \* ARABIC </w:instrText>
      </w:r>
      <w:r w:rsidRPr="00D867E7">
        <w:fldChar w:fldCharType="separate"/>
      </w:r>
      <w:r w:rsidR="004F49F9">
        <w:rPr>
          <w:noProof/>
        </w:rPr>
        <w:t>132</w:t>
      </w:r>
      <w:r w:rsidRPr="00D867E7">
        <w:fldChar w:fldCharType="end"/>
      </w:r>
      <w:bookmarkEnd w:id="1040"/>
      <w:r w:rsidRPr="00A3020D">
        <w:t xml:space="preserve">: </w:t>
      </w:r>
      <w:r w:rsidRPr="00884F91">
        <w:t>Vertically integrated reference models from ITU-R P.835-6</w:t>
      </w:r>
    </w:p>
    <w:p w14:paraId="37FB160A" w14:textId="06B6F1CC" w:rsidR="00884F91" w:rsidRDefault="00884F91" w:rsidP="00884F91">
      <w:r>
        <w:t>The situation of the IRAM 30</w:t>
      </w:r>
      <w:r w:rsidR="00140870">
        <w:t> </w:t>
      </w:r>
      <w:r>
        <w:t>m telescope</w:t>
      </w:r>
      <w:r w:rsidR="00140870">
        <w:t xml:space="preserve"> is a bit different.</w:t>
      </w:r>
      <w:r>
        <w:t xml:space="preserve"> </w:t>
      </w:r>
      <w:r w:rsidR="00140870">
        <w:t>Here</w:t>
      </w:r>
      <w:r>
        <w:t xml:space="preserve"> the precipitable water vapor is lower than 3</w:t>
      </w:r>
      <w:r w:rsidR="00140870">
        <w:t> </w:t>
      </w:r>
      <w:r>
        <w:t>mm for 25</w:t>
      </w:r>
      <w:r w:rsidR="00E91B50">
        <w:t>%</w:t>
      </w:r>
      <w:r>
        <w:t xml:space="preserve"> of the time.</w:t>
      </w:r>
    </w:p>
    <w:p w14:paraId="368952D4" w14:textId="0A7BEE17" w:rsidR="00884F91" w:rsidRPr="00884F91" w:rsidRDefault="00884F91" w:rsidP="00884F91">
      <w:r>
        <w:t>So, given the observed water vapor distributions for the 30</w:t>
      </w:r>
      <w:r w:rsidR="00140870">
        <w:t> </w:t>
      </w:r>
      <w:r>
        <w:t>m and NOEMA telescopes, it is reasonable to use the mid-latitude winter for the 30</w:t>
      </w:r>
      <w:r w:rsidR="00140870">
        <w:t> </w:t>
      </w:r>
      <w:r>
        <w:t xml:space="preserve">m and the high-latitude winter for NOEMA. </w:t>
      </w:r>
      <w:r w:rsidR="00140870">
        <w:t>It is a fact,</w:t>
      </w:r>
      <w:r>
        <w:t xml:space="preserve"> however</w:t>
      </w:r>
      <w:r w:rsidR="00140870">
        <w:t>,</w:t>
      </w:r>
      <w:r>
        <w:t xml:space="preserve"> that in some conditions that occur typically </w:t>
      </w:r>
      <w:r w:rsidR="00B04FCF">
        <w:t xml:space="preserve">in </w:t>
      </w:r>
      <w:r>
        <w:t>10</w:t>
      </w:r>
      <w:r w:rsidR="00F800A2">
        <w:t>%</w:t>
      </w:r>
      <w:r>
        <w:t xml:space="preserve"> of the </w:t>
      </w:r>
      <w:r w:rsidR="00AB7D0D">
        <w:t>wintertime</w:t>
      </w:r>
      <w:r>
        <w:t xml:space="preserve"> for NOEMA, the water vapor content is much lower than that of the high-latitude winter</w:t>
      </w:r>
      <w:r w:rsidR="00B04FCF">
        <w:t xml:space="preserve"> (&lt;0.75 mm)</w:t>
      </w:r>
      <w:r>
        <w:t>. This means that the use of the mid-latitude winter for the 30</w:t>
      </w:r>
      <w:r w:rsidR="00140870">
        <w:t> </w:t>
      </w:r>
      <w:r>
        <w:t xml:space="preserve">m and high-latitude winter for NOEMA does not constitute a worst-case scenario and that in the best winter observing conditions (which is the most precious observatory time), the atmospheric gas absorption will be lower than considered in this </w:t>
      </w:r>
      <w:r w:rsidR="00140870">
        <w:t>R</w:t>
      </w:r>
      <w:r>
        <w:t>eport.</w:t>
      </w:r>
    </w:p>
    <w:p w14:paraId="4D3B56A6" w14:textId="463E5FCA" w:rsidR="00D852D9" w:rsidRDefault="00D852D9" w:rsidP="007743C1">
      <w:pPr>
        <w:pStyle w:val="ECCAnnexheading1"/>
      </w:pPr>
      <w:bookmarkStart w:id="1041" w:name="_Toc127346429"/>
      <w:bookmarkStart w:id="1042" w:name="_Hlk67922906"/>
      <w:bookmarkEnd w:id="983"/>
      <w:bookmarkEnd w:id="984"/>
      <w:bookmarkEnd w:id="1038"/>
      <w:r>
        <w:t>List of References</w:t>
      </w:r>
      <w:bookmarkEnd w:id="1041"/>
    </w:p>
    <w:p w14:paraId="61EDB254" w14:textId="77777777" w:rsidR="002C4507" w:rsidRPr="002C4507" w:rsidRDefault="002C4507" w:rsidP="002C4507"/>
    <w:p w14:paraId="7877EAA7" w14:textId="3EA596B9" w:rsidR="008A54FC" w:rsidRPr="006D6727" w:rsidRDefault="00CA0F88" w:rsidP="00F96A5B">
      <w:pPr>
        <w:pStyle w:val="ECCReference"/>
        <w:spacing w:after="60"/>
        <w:rPr>
          <w:noProof/>
        </w:rPr>
      </w:pPr>
      <w:bookmarkStart w:id="1043" w:name="ETSITR103498"/>
      <w:bookmarkStart w:id="1044" w:name="_Ref88213795"/>
      <w:bookmarkEnd w:id="1043"/>
      <w:r w:rsidRPr="006D6727">
        <w:rPr>
          <w:noProof/>
        </w:rPr>
        <w:t>ETSI TR 103 498</w:t>
      </w:r>
      <w:r w:rsidR="003817EE">
        <w:rPr>
          <w:noProof/>
        </w:rPr>
        <w:t>:</w:t>
      </w:r>
      <w:r w:rsidRPr="006D6727">
        <w:rPr>
          <w:noProof/>
        </w:rPr>
        <w:t xml:space="preserve"> "System Reference document (SRdoc); Short Range Devices (SRD) using Ultra Wide Band (UWB); Transmission characteristics; Radiodetermination applications within the frequency range 120 GHz to 260 GHz"</w:t>
      </w:r>
      <w:bookmarkEnd w:id="1044"/>
    </w:p>
    <w:p w14:paraId="2B720C65" w14:textId="2F1581C0" w:rsidR="009B4850" w:rsidRPr="006D6727" w:rsidRDefault="00A956B5" w:rsidP="00F96A5B">
      <w:pPr>
        <w:pStyle w:val="ECCReference"/>
        <w:spacing w:after="60"/>
        <w:rPr>
          <w:rStyle w:val="Hyperlink"/>
          <w:noProof/>
          <w:color w:val="auto"/>
          <w:u w:val="none"/>
        </w:rPr>
      </w:pPr>
      <w:bookmarkStart w:id="1045" w:name="EFIS"/>
      <w:bookmarkStart w:id="1046" w:name="_Ref2068628"/>
      <w:bookmarkEnd w:id="1045"/>
      <w:r w:rsidRPr="006D6727">
        <w:rPr>
          <w:noProof/>
        </w:rPr>
        <w:t>ECO Frequency Information System, available online at:</w:t>
      </w:r>
      <w:r w:rsidR="00544304" w:rsidRPr="00544304">
        <w:t xml:space="preserve"> </w:t>
      </w:r>
      <w:hyperlink r:id="rId222" w:history="1">
        <w:r w:rsidR="00C35059" w:rsidRPr="004C79C4">
          <w:rPr>
            <w:rStyle w:val="Hyperlink"/>
            <w:noProof/>
          </w:rPr>
          <w:t>https://efis.cept.org/</w:t>
        </w:r>
      </w:hyperlink>
      <w:bookmarkEnd w:id="1046"/>
    </w:p>
    <w:bookmarkStart w:id="1047" w:name="ERCRep025"/>
    <w:bookmarkStart w:id="1048" w:name="_Ref2792479"/>
    <w:bookmarkEnd w:id="1047"/>
    <w:p w14:paraId="51523EC1" w14:textId="4807481A" w:rsidR="002A2B98" w:rsidRPr="006D6727" w:rsidRDefault="007A769F" w:rsidP="00F96A5B">
      <w:pPr>
        <w:pStyle w:val="ECCReference"/>
        <w:spacing w:after="60"/>
        <w:rPr>
          <w:noProof/>
        </w:rPr>
      </w:pPr>
      <w:r>
        <w:rPr>
          <w:noProof/>
        </w:rPr>
        <w:fldChar w:fldCharType="begin"/>
      </w:r>
      <w:r>
        <w:rPr>
          <w:noProof/>
        </w:rPr>
        <w:instrText>HYPERLINK "https://docdb.cept.org/document/593"</w:instrText>
      </w:r>
      <w:r>
        <w:rPr>
          <w:noProof/>
        </w:rPr>
      </w:r>
      <w:r>
        <w:rPr>
          <w:noProof/>
        </w:rPr>
        <w:fldChar w:fldCharType="separate"/>
      </w:r>
      <w:r>
        <w:rPr>
          <w:rStyle w:val="Hyperlink"/>
          <w:noProof/>
        </w:rPr>
        <w:t>ERC Report 025</w:t>
      </w:r>
      <w:r>
        <w:rPr>
          <w:noProof/>
        </w:rPr>
        <w:fldChar w:fldCharType="end"/>
      </w:r>
      <w:r w:rsidR="002A2B98" w:rsidRPr="006D6727">
        <w:rPr>
          <w:noProof/>
        </w:rPr>
        <w:t>: "The European Table of Frequency Allocations and Applications in the frequency range 8.3 kHz to 3000 GHz</w:t>
      </w:r>
      <w:bookmarkEnd w:id="1048"/>
      <w:r w:rsidR="002A2B98" w:rsidRPr="006D6727">
        <w:rPr>
          <w:noProof/>
        </w:rPr>
        <w:t xml:space="preserve"> (ECA Table)"</w:t>
      </w:r>
      <w:r w:rsidR="001A4708">
        <w:rPr>
          <w:noProof/>
        </w:rPr>
        <w:t xml:space="preserve">, approved </w:t>
      </w:r>
      <w:r w:rsidR="008234DE">
        <w:rPr>
          <w:noProof/>
        </w:rPr>
        <w:t xml:space="preserve">June </w:t>
      </w:r>
      <w:r w:rsidR="001A4708">
        <w:rPr>
          <w:noProof/>
        </w:rPr>
        <w:t xml:space="preserve">1994 and latest amended </w:t>
      </w:r>
      <w:r w:rsidR="008234DE">
        <w:rPr>
          <w:noProof/>
        </w:rPr>
        <w:t>October 2021</w:t>
      </w:r>
    </w:p>
    <w:bookmarkStart w:id="1049" w:name="ECCRep139"/>
    <w:bookmarkStart w:id="1050" w:name="_Ref3585849"/>
    <w:bookmarkEnd w:id="1049"/>
    <w:p w14:paraId="5B3E5791" w14:textId="44FCF252" w:rsidR="002A2B98" w:rsidRPr="00217333" w:rsidRDefault="007E7976" w:rsidP="00F96A5B">
      <w:pPr>
        <w:pStyle w:val="ECCReference"/>
        <w:spacing w:after="60"/>
        <w:rPr>
          <w:rStyle w:val="Hyperlink"/>
          <w:noProof/>
          <w:color w:val="auto"/>
          <w:u w:val="none"/>
        </w:rPr>
      </w:pPr>
      <w:r>
        <w:rPr>
          <w:rStyle w:val="ECCParagraph"/>
          <w:noProof/>
        </w:rPr>
        <w:fldChar w:fldCharType="begin"/>
      </w:r>
      <w:r>
        <w:rPr>
          <w:rStyle w:val="ECCParagraph"/>
          <w:noProof/>
        </w:rPr>
        <w:instrText>HYPERLINK "https://docdb.cept.org/document/247"</w:instrText>
      </w:r>
      <w:r>
        <w:rPr>
          <w:rStyle w:val="ECCParagraph"/>
          <w:noProof/>
        </w:rPr>
      </w:r>
      <w:r>
        <w:rPr>
          <w:rStyle w:val="ECCParagraph"/>
          <w:noProof/>
        </w:rPr>
        <w:fldChar w:fldCharType="separate"/>
      </w:r>
      <w:r>
        <w:rPr>
          <w:rStyle w:val="Hyperlink"/>
          <w:noProof/>
        </w:rPr>
        <w:t>ECC Report 139</w:t>
      </w:r>
      <w:r>
        <w:rPr>
          <w:rStyle w:val="ECCParagraph"/>
          <w:noProof/>
        </w:rPr>
        <w:fldChar w:fldCharType="end"/>
      </w:r>
      <w:r>
        <w:rPr>
          <w:rStyle w:val="ECCParagraph"/>
          <w:noProof/>
        </w:rPr>
        <w:t xml:space="preserve">: </w:t>
      </w:r>
      <w:r w:rsidR="00516815" w:rsidRPr="00217333">
        <w:rPr>
          <w:rStyle w:val="ECCParagraph"/>
          <w:noProof/>
        </w:rPr>
        <w:t>"Impact of Level Probing Radars using Ultra-WideBand technology on radiocommunications services"</w:t>
      </w:r>
      <w:r w:rsidR="003817EE">
        <w:rPr>
          <w:rStyle w:val="ECCParagraph"/>
          <w:noProof/>
        </w:rPr>
        <w:t>, approved February 2010</w:t>
      </w:r>
      <w:bookmarkEnd w:id="1050"/>
    </w:p>
    <w:p w14:paraId="530BE6CC" w14:textId="44026B02" w:rsidR="002317C2" w:rsidRPr="006D6727" w:rsidRDefault="002317C2" w:rsidP="00F96A5B">
      <w:pPr>
        <w:pStyle w:val="ECCReference"/>
        <w:spacing w:after="60"/>
        <w:rPr>
          <w:noProof/>
        </w:rPr>
      </w:pPr>
      <w:bookmarkStart w:id="1051" w:name="ERCREC74_01"/>
      <w:bookmarkStart w:id="1052" w:name="CRAF_Handbook"/>
      <w:bookmarkStart w:id="1053" w:name="ETSIEN302729"/>
      <w:bookmarkEnd w:id="1051"/>
      <w:bookmarkEnd w:id="1052"/>
      <w:bookmarkEnd w:id="1053"/>
      <w:r w:rsidRPr="006D6727">
        <w:rPr>
          <w:noProof/>
        </w:rPr>
        <w:t>ETSI EN 302 729</w:t>
      </w:r>
      <w:r w:rsidR="00544304">
        <w:rPr>
          <w:noProof/>
        </w:rPr>
        <w:t>:</w:t>
      </w:r>
      <w:r w:rsidRPr="006D6727">
        <w:rPr>
          <w:noProof/>
        </w:rPr>
        <w:t xml:space="preserve"> "Short Range Devices (SRD); Level probing Radar (LPR) equipment operating in the frequency ranges 6 GHz to 8</w:t>
      </w:r>
      <w:r w:rsidR="00CF4994">
        <w:rPr>
          <w:noProof/>
        </w:rPr>
        <w:t>.5</w:t>
      </w:r>
      <w:r w:rsidRPr="006D6727">
        <w:rPr>
          <w:noProof/>
        </w:rPr>
        <w:t> GHz, 24</w:t>
      </w:r>
      <w:r w:rsidR="00CF4994">
        <w:rPr>
          <w:noProof/>
        </w:rPr>
        <w:t>.0</w:t>
      </w:r>
      <w:r w:rsidRPr="006D6727">
        <w:rPr>
          <w:noProof/>
        </w:rPr>
        <w:t>5 GHz to 26</w:t>
      </w:r>
      <w:r w:rsidR="00CF4994">
        <w:rPr>
          <w:noProof/>
        </w:rPr>
        <w:t>.5</w:t>
      </w:r>
      <w:r w:rsidRPr="006D6727">
        <w:rPr>
          <w:noProof/>
        </w:rPr>
        <w:t> GHz, 57 GHz to 64 GHz, 75 GHz to 85 GHz; Harmonised Standard covering the essential requirements of article 3.2 of the Directive 2014/53/EU"</w:t>
      </w:r>
    </w:p>
    <w:p w14:paraId="0AA1FA1A" w14:textId="136F3A90" w:rsidR="00DB7764" w:rsidRPr="00985920" w:rsidRDefault="00DB7764" w:rsidP="00985920">
      <w:pPr>
        <w:pStyle w:val="ECCReference"/>
        <w:spacing w:after="60"/>
        <w:rPr>
          <w:rStyle w:val="Hyperlink"/>
          <w:noProof/>
          <w:color w:val="auto"/>
          <w:u w:val="none"/>
        </w:rPr>
      </w:pPr>
      <w:bookmarkStart w:id="1054" w:name="PAsurvey"/>
      <w:bookmarkEnd w:id="1054"/>
      <w:r w:rsidRPr="006D6727">
        <w:rPr>
          <w:noProof/>
        </w:rPr>
        <w:t xml:space="preserve">Hua Wang, Fei Wang, Huy Thong Nguyen, Sensen Li, Tzu-Yuan Huang, Amr S. Ahmed, Michael Edward Duffy Smith, Naga Sasikanth Mannem, and Jeongseok Lee, "Power Amplifiers Performance Survey 2000-Present" [Online]. Available: </w:t>
      </w:r>
      <w:hyperlink r:id="rId223" w:history="1">
        <w:r w:rsidR="00985920" w:rsidRPr="004C79C4">
          <w:rPr>
            <w:rStyle w:val="Hyperlink"/>
            <w:noProof/>
          </w:rPr>
          <w:t>https://gems.ece.gatech.edu/PA_survey.html</w:t>
        </w:r>
      </w:hyperlink>
    </w:p>
    <w:p w14:paraId="030470B2" w14:textId="03068AD0" w:rsidR="00F86D86" w:rsidRPr="006D6727" w:rsidRDefault="008E6AF6" w:rsidP="00F96A5B">
      <w:pPr>
        <w:pStyle w:val="ECCReference"/>
        <w:spacing w:after="60"/>
        <w:rPr>
          <w:noProof/>
        </w:rPr>
      </w:pPr>
      <w:bookmarkStart w:id="1055" w:name="ETSITR302372"/>
      <w:bookmarkEnd w:id="1055"/>
      <w:r w:rsidRPr="006D6727">
        <w:rPr>
          <w:noProof/>
        </w:rPr>
        <w:t>ETSI EN 302 372 V2.1.1 (2016-10)</w:t>
      </w:r>
      <w:r w:rsidR="003817EE">
        <w:rPr>
          <w:noProof/>
        </w:rPr>
        <w:t>:</w:t>
      </w:r>
      <w:r w:rsidR="00F86D86" w:rsidRPr="006D6727">
        <w:rPr>
          <w:noProof/>
        </w:rPr>
        <w:t xml:space="preserve"> "Short Range Devices (SRD); Tank Level Probing Radar (TLPR) equipment operating in the frequency ranges 4</w:t>
      </w:r>
      <w:r w:rsidR="00CF4994">
        <w:rPr>
          <w:noProof/>
        </w:rPr>
        <w:t>.5</w:t>
      </w:r>
      <w:r w:rsidR="00F86D86" w:rsidRPr="006D6727">
        <w:rPr>
          <w:noProof/>
        </w:rPr>
        <w:t> GHz to 7 GHz, 8</w:t>
      </w:r>
      <w:r w:rsidR="00CF4994">
        <w:rPr>
          <w:noProof/>
        </w:rPr>
        <w:t>.5</w:t>
      </w:r>
      <w:r w:rsidR="00F86D86" w:rsidRPr="006D6727">
        <w:rPr>
          <w:noProof/>
        </w:rPr>
        <w:t xml:space="preserve"> GHz to 10</w:t>
      </w:r>
      <w:r w:rsidR="00CF4994">
        <w:rPr>
          <w:noProof/>
        </w:rPr>
        <w:t>.6</w:t>
      </w:r>
      <w:r w:rsidR="00F86D86" w:rsidRPr="006D6727">
        <w:rPr>
          <w:noProof/>
        </w:rPr>
        <w:t xml:space="preserve"> GHz, 24</w:t>
      </w:r>
      <w:r w:rsidR="00CF4994">
        <w:rPr>
          <w:noProof/>
        </w:rPr>
        <w:t>.0</w:t>
      </w:r>
      <w:r w:rsidR="00F86D86" w:rsidRPr="006D6727">
        <w:rPr>
          <w:noProof/>
        </w:rPr>
        <w:t>5 GHz to 27 GHz, 57 GHz to 64 GHz, 75 GHz to 85 GHz; Harmonised Standard covering the essential requirements of article 3.2 of the Directive 2014/53/EU"</w:t>
      </w:r>
    </w:p>
    <w:p w14:paraId="5C640772" w14:textId="153CCE5E" w:rsidR="00EB79D9" w:rsidRPr="006D6727" w:rsidRDefault="003E3E37" w:rsidP="00F96A5B">
      <w:pPr>
        <w:pStyle w:val="ECCReference"/>
        <w:spacing w:after="60"/>
        <w:rPr>
          <w:noProof/>
        </w:rPr>
      </w:pPr>
      <w:bookmarkStart w:id="1056" w:name="RAS_Handbook"/>
      <w:bookmarkEnd w:id="1056"/>
      <w:r>
        <w:rPr>
          <w:noProof/>
        </w:rPr>
        <w:t>“</w:t>
      </w:r>
      <w:r w:rsidR="00EB79D9" w:rsidRPr="006D6727">
        <w:rPr>
          <w:noProof/>
        </w:rPr>
        <w:t>Handbook on Radio Astronomy</w:t>
      </w:r>
      <w:r>
        <w:rPr>
          <w:noProof/>
        </w:rPr>
        <w:t>”</w:t>
      </w:r>
      <w:r w:rsidR="00EB79D9" w:rsidRPr="006D6727">
        <w:rPr>
          <w:noProof/>
        </w:rPr>
        <w:t>, Third Edition of 2013, ITU Radiocommunication Bureau</w:t>
      </w:r>
    </w:p>
    <w:p w14:paraId="047E95C2" w14:textId="280DCA4E" w:rsidR="00EB79D9" w:rsidRPr="006D6727" w:rsidRDefault="00EB79D9" w:rsidP="00F96A5B">
      <w:pPr>
        <w:pStyle w:val="ECCReference"/>
        <w:spacing w:after="60"/>
        <w:rPr>
          <w:noProof/>
        </w:rPr>
      </w:pPr>
      <w:bookmarkStart w:id="1057" w:name="ITU_R_RA_769_2"/>
      <w:bookmarkEnd w:id="1057"/>
      <w:r w:rsidRPr="006D6727">
        <w:rPr>
          <w:noProof/>
        </w:rPr>
        <w:t xml:space="preserve">Recommendation ITU-R RA.769-2: </w:t>
      </w:r>
      <w:r w:rsidR="003817EE">
        <w:rPr>
          <w:noProof/>
        </w:rPr>
        <w:t>“</w:t>
      </w:r>
      <w:r w:rsidR="006A1FE8" w:rsidRPr="006D6727">
        <w:rPr>
          <w:noProof/>
        </w:rPr>
        <w:t>P</w:t>
      </w:r>
      <w:r w:rsidRPr="006D6727">
        <w:rPr>
          <w:noProof/>
        </w:rPr>
        <w:t>rotection criteria used for radio astronomical measurements</w:t>
      </w:r>
      <w:r w:rsidR="003817EE">
        <w:rPr>
          <w:noProof/>
        </w:rPr>
        <w:t>”</w:t>
      </w:r>
    </w:p>
    <w:p w14:paraId="0743E8D4" w14:textId="3C776656" w:rsidR="00EB79D9" w:rsidRPr="006D6727" w:rsidRDefault="00EB79D9" w:rsidP="00F96A5B">
      <w:pPr>
        <w:pStyle w:val="ECCReference"/>
        <w:spacing w:after="60"/>
        <w:rPr>
          <w:noProof/>
        </w:rPr>
      </w:pPr>
      <w:bookmarkStart w:id="1058" w:name="ITU_R_F_758_6"/>
      <w:bookmarkEnd w:id="1058"/>
      <w:r w:rsidRPr="006D6727">
        <w:rPr>
          <w:noProof/>
        </w:rPr>
        <w:t>Recommendation ITU-R F.758-</w:t>
      </w:r>
      <w:r w:rsidR="00E50E62" w:rsidRPr="006D6727">
        <w:rPr>
          <w:noProof/>
        </w:rPr>
        <w:t>7</w:t>
      </w:r>
      <w:r w:rsidRPr="006D6727">
        <w:rPr>
          <w:noProof/>
        </w:rPr>
        <w:t xml:space="preserve">: </w:t>
      </w:r>
      <w:r w:rsidR="003817EE">
        <w:rPr>
          <w:noProof/>
        </w:rPr>
        <w:t>“</w:t>
      </w:r>
      <w:r w:rsidRPr="006D6727">
        <w:rPr>
          <w:noProof/>
        </w:rPr>
        <w:t>System parameters and considerations in the development of criteria for sharing or compatibility between digital fixed wireless systems in the fixed service and systems in other services and other sources of interference</w:t>
      </w:r>
      <w:r w:rsidR="003817EE">
        <w:rPr>
          <w:noProof/>
        </w:rPr>
        <w:t>”</w:t>
      </w:r>
    </w:p>
    <w:p w14:paraId="5347CD14" w14:textId="020E7AB3" w:rsidR="00EB79D9" w:rsidRPr="006D6727" w:rsidRDefault="00EB79D9" w:rsidP="00F96A5B">
      <w:pPr>
        <w:pStyle w:val="ECCReference"/>
        <w:spacing w:after="60"/>
        <w:rPr>
          <w:noProof/>
        </w:rPr>
      </w:pPr>
      <w:bookmarkStart w:id="1059" w:name="ITU_R_F_2416_0"/>
      <w:bookmarkEnd w:id="1059"/>
      <w:r w:rsidRPr="006D6727">
        <w:rPr>
          <w:noProof/>
        </w:rPr>
        <w:t xml:space="preserve">Report ITU-R F.2416-0: </w:t>
      </w:r>
      <w:r w:rsidR="003E3E37">
        <w:rPr>
          <w:noProof/>
        </w:rPr>
        <w:t>“</w:t>
      </w:r>
      <w:r w:rsidRPr="006D6727">
        <w:rPr>
          <w:noProof/>
        </w:rPr>
        <w:t>Technical and operational characteristics and applications of the point-to-point fixed service applications operating in the frequency band 275-450 GHz</w:t>
      </w:r>
      <w:r w:rsidR="003E3E37">
        <w:rPr>
          <w:noProof/>
        </w:rPr>
        <w:t>”</w:t>
      </w:r>
    </w:p>
    <w:p w14:paraId="04935DB9" w14:textId="770FAC03" w:rsidR="00EB79D9" w:rsidRPr="006D6727" w:rsidRDefault="00EB79D9" w:rsidP="00F96A5B">
      <w:pPr>
        <w:pStyle w:val="ECCReference"/>
        <w:spacing w:after="60"/>
        <w:rPr>
          <w:noProof/>
        </w:rPr>
      </w:pPr>
      <w:bookmarkStart w:id="1060" w:name="ITU_R_RS_2017_0"/>
      <w:bookmarkEnd w:id="1060"/>
      <w:r w:rsidRPr="006D6727">
        <w:rPr>
          <w:noProof/>
        </w:rPr>
        <w:t xml:space="preserve">Recommendation ITU-R RS.2017-0: </w:t>
      </w:r>
      <w:r w:rsidR="003E3E37">
        <w:rPr>
          <w:noProof/>
        </w:rPr>
        <w:t>“</w:t>
      </w:r>
      <w:r w:rsidRPr="006D6727">
        <w:rPr>
          <w:noProof/>
        </w:rPr>
        <w:t>Performance and interference criteria for satellite passive remote sensing</w:t>
      </w:r>
      <w:r w:rsidR="003E3E37">
        <w:rPr>
          <w:noProof/>
        </w:rPr>
        <w:t>”</w:t>
      </w:r>
    </w:p>
    <w:p w14:paraId="247F3370" w14:textId="2F46DDC3" w:rsidR="00EB79D9" w:rsidRPr="006D6727" w:rsidRDefault="00EB79D9" w:rsidP="00F96A5B">
      <w:pPr>
        <w:pStyle w:val="ECCReference"/>
        <w:spacing w:after="60"/>
        <w:rPr>
          <w:noProof/>
        </w:rPr>
      </w:pPr>
      <w:bookmarkStart w:id="1061" w:name="ITU_R_RS_1861"/>
      <w:bookmarkEnd w:id="1061"/>
      <w:r w:rsidRPr="006D6727">
        <w:rPr>
          <w:noProof/>
        </w:rPr>
        <w:t xml:space="preserve">Recommendation ITU-R RS.1861: </w:t>
      </w:r>
      <w:r w:rsidR="003E3E37">
        <w:rPr>
          <w:noProof/>
        </w:rPr>
        <w:t>“</w:t>
      </w:r>
      <w:r w:rsidRPr="006D6727">
        <w:rPr>
          <w:noProof/>
        </w:rPr>
        <w:t>Typical technical and operational characteristics of Earth exploration-satellite service (passive) systems using allocations between 1.4 and 275 GHz</w:t>
      </w:r>
      <w:r w:rsidR="003E3E37">
        <w:rPr>
          <w:noProof/>
        </w:rPr>
        <w:t>”</w:t>
      </w:r>
    </w:p>
    <w:p w14:paraId="3EE51020" w14:textId="4CB64041" w:rsidR="00EB79D9" w:rsidRPr="006D6727" w:rsidRDefault="00EB79D9" w:rsidP="00F96A5B">
      <w:pPr>
        <w:pStyle w:val="ECCReference"/>
        <w:spacing w:after="60"/>
        <w:rPr>
          <w:noProof/>
        </w:rPr>
      </w:pPr>
      <w:bookmarkStart w:id="1062" w:name="ITU_R_RS_515_5"/>
      <w:bookmarkEnd w:id="1062"/>
      <w:r w:rsidRPr="006D6727">
        <w:rPr>
          <w:noProof/>
        </w:rPr>
        <w:t xml:space="preserve">Recommendation ITU-R RS.515-5: </w:t>
      </w:r>
      <w:r w:rsidR="003E3E37">
        <w:rPr>
          <w:noProof/>
        </w:rPr>
        <w:t>“</w:t>
      </w:r>
      <w:r w:rsidRPr="006D6727">
        <w:rPr>
          <w:noProof/>
        </w:rPr>
        <w:t>Frequency bands and bandwidths used for satellite passive remote sensing</w:t>
      </w:r>
      <w:r w:rsidR="003E3E37">
        <w:rPr>
          <w:noProof/>
        </w:rPr>
        <w:t>”</w:t>
      </w:r>
    </w:p>
    <w:p w14:paraId="74A87D8E" w14:textId="06CBE338" w:rsidR="00EB79D9" w:rsidRPr="006D6727" w:rsidRDefault="00EB79D9" w:rsidP="00F96A5B">
      <w:pPr>
        <w:pStyle w:val="ECCReference"/>
        <w:spacing w:after="60"/>
        <w:rPr>
          <w:noProof/>
        </w:rPr>
      </w:pPr>
      <w:bookmarkStart w:id="1063" w:name="ITU_R_F_2323_0"/>
      <w:bookmarkEnd w:id="1063"/>
      <w:r w:rsidRPr="006D6727">
        <w:rPr>
          <w:noProof/>
        </w:rPr>
        <w:t xml:space="preserve">Report ITU-R F.2323-0: </w:t>
      </w:r>
      <w:r w:rsidR="003E3E37">
        <w:rPr>
          <w:noProof/>
        </w:rPr>
        <w:t>“</w:t>
      </w:r>
      <w:r w:rsidRPr="006D6727">
        <w:rPr>
          <w:noProof/>
        </w:rPr>
        <w:t>Fixed service use and future trends</w:t>
      </w:r>
      <w:r w:rsidR="003E3E37">
        <w:rPr>
          <w:noProof/>
        </w:rPr>
        <w:t>”</w:t>
      </w:r>
    </w:p>
    <w:p w14:paraId="7EE599EE" w14:textId="759939CA" w:rsidR="00D60540" w:rsidRPr="006D6727" w:rsidRDefault="00437C69" w:rsidP="00437C69">
      <w:pPr>
        <w:pStyle w:val="ECCReference"/>
        <w:spacing w:after="60"/>
        <w:rPr>
          <w:noProof/>
        </w:rPr>
      </w:pPr>
      <w:bookmarkStart w:id="1064" w:name="Amateur_Handbook"/>
      <w:bookmarkEnd w:id="1064"/>
      <w:r w:rsidRPr="006D6727">
        <w:rPr>
          <w:noProof/>
        </w:rPr>
        <w:t>ITU Radiocommunication Bureau</w:t>
      </w:r>
      <w:r>
        <w:rPr>
          <w:noProof/>
        </w:rPr>
        <w:t xml:space="preserve">: </w:t>
      </w:r>
      <w:r w:rsidR="003E3E37">
        <w:rPr>
          <w:noProof/>
        </w:rPr>
        <w:t>“</w:t>
      </w:r>
      <w:r w:rsidR="00EB79D9" w:rsidRPr="006D6727">
        <w:rPr>
          <w:noProof/>
        </w:rPr>
        <w:t>Handbook on Amateur and amateur-satellite services</w:t>
      </w:r>
      <w:r w:rsidR="003E3E37">
        <w:rPr>
          <w:noProof/>
        </w:rPr>
        <w:t>”</w:t>
      </w:r>
      <w:r w:rsidR="00EB79D9" w:rsidRPr="006D6727">
        <w:rPr>
          <w:noProof/>
        </w:rPr>
        <w:t xml:space="preserve">, Edition of 2014, </w:t>
      </w:r>
    </w:p>
    <w:bookmarkStart w:id="1065" w:name="ECCRep064"/>
    <w:bookmarkStart w:id="1066" w:name="_Ref126740821"/>
    <w:bookmarkEnd w:id="1065"/>
    <w:p w14:paraId="494F4EA6" w14:textId="3A00D232" w:rsidR="00EB79D9" w:rsidRPr="006D6727" w:rsidRDefault="00BD1F06" w:rsidP="00F96A5B">
      <w:pPr>
        <w:pStyle w:val="ECCReference"/>
        <w:spacing w:after="60"/>
        <w:rPr>
          <w:noProof/>
        </w:rPr>
      </w:pPr>
      <w:r>
        <w:rPr>
          <w:rStyle w:val="ECCParagraph"/>
          <w:noProof/>
        </w:rPr>
        <w:fldChar w:fldCharType="begin"/>
      </w:r>
      <w:r>
        <w:rPr>
          <w:rStyle w:val="ECCParagraph"/>
          <w:noProof/>
        </w:rPr>
        <w:instrText>HYPERLINK "https://docdb.cept.org/document/174"</w:instrText>
      </w:r>
      <w:r>
        <w:rPr>
          <w:rStyle w:val="ECCParagraph"/>
          <w:noProof/>
        </w:rPr>
      </w:r>
      <w:r>
        <w:rPr>
          <w:rStyle w:val="ECCParagraph"/>
          <w:noProof/>
        </w:rPr>
        <w:fldChar w:fldCharType="separate"/>
      </w:r>
      <w:r>
        <w:rPr>
          <w:rStyle w:val="Hyperlink"/>
          <w:noProof/>
        </w:rPr>
        <w:t>ECC Report 64:</w:t>
      </w:r>
      <w:r>
        <w:rPr>
          <w:rStyle w:val="ECCParagraph"/>
          <w:noProof/>
        </w:rPr>
        <w:fldChar w:fldCharType="end"/>
      </w:r>
      <w:r>
        <w:rPr>
          <w:rStyle w:val="ECCParagraph"/>
          <w:noProof/>
        </w:rPr>
        <w:t xml:space="preserve"> </w:t>
      </w:r>
      <w:r w:rsidR="00D60540" w:rsidRPr="006D6727">
        <w:rPr>
          <w:rStyle w:val="ECCParagraph"/>
          <w:noProof/>
        </w:rPr>
        <w:t>"The protection requirements of Radiocommunications systems below 10.6 GHz from generic UWB applications"</w:t>
      </w:r>
      <w:r>
        <w:rPr>
          <w:rStyle w:val="ECCParagraph"/>
          <w:noProof/>
        </w:rPr>
        <w:t xml:space="preserve">, approved </w:t>
      </w:r>
      <w:r w:rsidR="00653622">
        <w:rPr>
          <w:rStyle w:val="ECCParagraph"/>
          <w:noProof/>
        </w:rPr>
        <w:t>February 2005</w:t>
      </w:r>
      <w:bookmarkEnd w:id="1066"/>
      <w:r w:rsidR="00EB79D9" w:rsidRPr="006D6727">
        <w:rPr>
          <w:noProof/>
        </w:rPr>
        <w:fldChar w:fldCharType="begin"/>
      </w:r>
      <w:r w:rsidR="00EB79D9" w:rsidRPr="006D6727">
        <w:rPr>
          <w:noProof/>
        </w:rPr>
        <w:instrText xml:space="preserve"> REF ERCREC74_01 \h </w:instrText>
      </w:r>
      <w:r w:rsidR="00EB79D9" w:rsidRPr="006D6727">
        <w:rPr>
          <w:noProof/>
        </w:rPr>
      </w:r>
      <w:r w:rsidR="00EB79D9" w:rsidRPr="006D6727">
        <w:rPr>
          <w:noProof/>
        </w:rPr>
        <w:fldChar w:fldCharType="end"/>
      </w:r>
      <w:r w:rsidR="00EB79D9" w:rsidRPr="006D6727">
        <w:rPr>
          <w:noProof/>
        </w:rPr>
        <w:fldChar w:fldCharType="begin"/>
      </w:r>
      <w:r w:rsidR="00EB79D9" w:rsidRPr="006D6727">
        <w:rPr>
          <w:noProof/>
        </w:rPr>
        <w:instrText xml:space="preserve"> REF ITU_R_RS_2017_0 \h </w:instrText>
      </w:r>
      <w:r w:rsidR="00EB79D9" w:rsidRPr="006D6727">
        <w:rPr>
          <w:noProof/>
        </w:rPr>
      </w:r>
      <w:r w:rsidR="00EB79D9" w:rsidRPr="006D6727">
        <w:rPr>
          <w:noProof/>
        </w:rPr>
        <w:fldChar w:fldCharType="end"/>
      </w:r>
    </w:p>
    <w:bookmarkStart w:id="1067" w:name="ECCRep282"/>
    <w:bookmarkEnd w:id="1067"/>
    <w:p w14:paraId="028914A5" w14:textId="50781196" w:rsidR="00C528B8" w:rsidRPr="006D6727" w:rsidRDefault="00653622" w:rsidP="00F96A5B">
      <w:pPr>
        <w:pStyle w:val="ECCReference"/>
        <w:spacing w:after="60"/>
        <w:rPr>
          <w:noProof/>
        </w:rPr>
      </w:pPr>
      <w:r>
        <w:rPr>
          <w:noProof/>
        </w:rPr>
        <w:fldChar w:fldCharType="begin"/>
      </w:r>
      <w:r>
        <w:rPr>
          <w:noProof/>
        </w:rPr>
        <w:instrText>HYPERLINK "https://docdb.cept.org/document/6034"</w:instrText>
      </w:r>
      <w:r>
        <w:rPr>
          <w:noProof/>
        </w:rPr>
      </w:r>
      <w:r>
        <w:rPr>
          <w:noProof/>
        </w:rPr>
        <w:fldChar w:fldCharType="separate"/>
      </w:r>
      <w:r>
        <w:rPr>
          <w:rStyle w:val="Hyperlink"/>
          <w:noProof/>
        </w:rPr>
        <w:t>ECC Report 282</w:t>
      </w:r>
      <w:r>
        <w:rPr>
          <w:noProof/>
        </w:rPr>
        <w:fldChar w:fldCharType="end"/>
      </w:r>
      <w:r w:rsidR="00C528B8" w:rsidRPr="006D6727">
        <w:rPr>
          <w:noProof/>
        </w:rPr>
        <w:t xml:space="preserve">: </w:t>
      </w:r>
      <w:r w:rsidR="00EF3E55">
        <w:rPr>
          <w:noProof/>
        </w:rPr>
        <w:t>“</w:t>
      </w:r>
      <w:r w:rsidR="00C528B8" w:rsidRPr="006D6727">
        <w:rPr>
          <w:noProof/>
        </w:rPr>
        <w:t>Point-to-point Radio Links in the Frequency Ranges 92</w:t>
      </w:r>
      <w:r w:rsidR="00C528B8" w:rsidRPr="006D6727">
        <w:rPr>
          <w:rFonts w:cs="Arial"/>
          <w:noProof/>
        </w:rPr>
        <w:t>−</w:t>
      </w:r>
      <w:r w:rsidR="00C528B8" w:rsidRPr="006D6727">
        <w:rPr>
          <w:noProof/>
        </w:rPr>
        <w:t>114.25 GHz and 130</w:t>
      </w:r>
      <w:r w:rsidR="00C528B8" w:rsidRPr="006D6727">
        <w:rPr>
          <w:rFonts w:cs="Arial"/>
          <w:noProof/>
        </w:rPr>
        <w:t>−</w:t>
      </w:r>
      <w:r w:rsidR="00C528B8" w:rsidRPr="006D6727">
        <w:rPr>
          <w:noProof/>
        </w:rPr>
        <w:t>174.8 GHz</w:t>
      </w:r>
      <w:r w:rsidR="00EF3E55">
        <w:rPr>
          <w:noProof/>
        </w:rPr>
        <w:t>”</w:t>
      </w:r>
      <w:r>
        <w:rPr>
          <w:noProof/>
        </w:rPr>
        <w:t xml:space="preserve">, approved </w:t>
      </w:r>
      <w:r w:rsidR="008F3DB9">
        <w:rPr>
          <w:noProof/>
        </w:rPr>
        <w:t>September 2018</w:t>
      </w:r>
    </w:p>
    <w:p w14:paraId="5FE9A55A" w14:textId="4992F555" w:rsidR="00C528B8" w:rsidRPr="006D6727" w:rsidRDefault="00C528B8" w:rsidP="00F96A5B">
      <w:pPr>
        <w:pStyle w:val="ECCReference"/>
        <w:spacing w:after="60"/>
        <w:rPr>
          <w:noProof/>
        </w:rPr>
      </w:pPr>
      <w:bookmarkStart w:id="1068" w:name="ITU_R_F_2107_2"/>
      <w:bookmarkEnd w:id="1068"/>
      <w:r w:rsidRPr="006D6727">
        <w:rPr>
          <w:noProof/>
        </w:rPr>
        <w:t xml:space="preserve">Report ITU-R F.2107-2: </w:t>
      </w:r>
      <w:r w:rsidR="008F3DB9">
        <w:rPr>
          <w:noProof/>
        </w:rPr>
        <w:t>“</w:t>
      </w:r>
      <w:r w:rsidRPr="006D6727">
        <w:rPr>
          <w:noProof/>
        </w:rPr>
        <w:t>Characteristics and applications of fixed wireless systems operating in frequency ranges between 57 GHz and 134 GHz</w:t>
      </w:r>
      <w:r w:rsidR="008F3DB9">
        <w:rPr>
          <w:noProof/>
        </w:rPr>
        <w:t>”</w:t>
      </w:r>
    </w:p>
    <w:p w14:paraId="21795C5E" w14:textId="25DAA3B5" w:rsidR="001B13C5" w:rsidRPr="006D6727" w:rsidRDefault="004D415F" w:rsidP="00F96A5B">
      <w:pPr>
        <w:pStyle w:val="ECCReference"/>
        <w:spacing w:after="60"/>
        <w:rPr>
          <w:noProof/>
        </w:rPr>
      </w:pPr>
      <w:bookmarkStart w:id="1069" w:name="ITU_R_M_1044_2"/>
      <w:bookmarkEnd w:id="1069"/>
      <w:r w:rsidRPr="006D6727">
        <w:rPr>
          <w:noProof/>
        </w:rPr>
        <w:t xml:space="preserve">Recommendation ITU-R M.1044-2: </w:t>
      </w:r>
      <w:r w:rsidR="008F3DB9">
        <w:rPr>
          <w:noProof/>
        </w:rPr>
        <w:t>“</w:t>
      </w:r>
      <w:r w:rsidR="00D3107C" w:rsidRPr="006D6727">
        <w:rPr>
          <w:noProof/>
        </w:rPr>
        <w:t>Frequency sharing criteria in the amateur and amateur-satellite service</w:t>
      </w:r>
      <w:r w:rsidR="008F3DB9">
        <w:rPr>
          <w:noProof/>
        </w:rPr>
        <w:t>”</w:t>
      </w:r>
    </w:p>
    <w:bookmarkStart w:id="1070" w:name="ITU_R_RS_1066"/>
    <w:bookmarkStart w:id="1071" w:name="ITU_R_RS_1416"/>
    <w:bookmarkStart w:id="1072" w:name="ITU_R_RS_2105_0"/>
    <w:bookmarkStart w:id="1073" w:name="ECCRep190"/>
    <w:bookmarkStart w:id="1074" w:name="_Ref126740813"/>
    <w:bookmarkEnd w:id="1070"/>
    <w:bookmarkEnd w:id="1071"/>
    <w:bookmarkEnd w:id="1072"/>
    <w:bookmarkEnd w:id="1073"/>
    <w:p w14:paraId="74EDE373" w14:textId="11B5B9B1" w:rsidR="00F709D4" w:rsidRPr="006D6727" w:rsidRDefault="007B365F" w:rsidP="00F96A5B">
      <w:pPr>
        <w:pStyle w:val="ECCReference"/>
        <w:spacing w:after="60"/>
        <w:rPr>
          <w:noProof/>
        </w:rPr>
      </w:pPr>
      <w:r>
        <w:rPr>
          <w:noProof/>
        </w:rPr>
        <w:fldChar w:fldCharType="begin"/>
      </w:r>
      <w:r>
        <w:rPr>
          <w:noProof/>
        </w:rPr>
        <w:instrText>HYPERLINK "https://docdb.cept.org/document/297"</w:instrText>
      </w:r>
      <w:r>
        <w:rPr>
          <w:noProof/>
        </w:rPr>
      </w:r>
      <w:r>
        <w:rPr>
          <w:noProof/>
        </w:rPr>
        <w:fldChar w:fldCharType="separate"/>
      </w:r>
      <w:r>
        <w:rPr>
          <w:rStyle w:val="Hyperlink"/>
          <w:noProof/>
        </w:rPr>
        <w:t>ECC Report 190</w:t>
      </w:r>
      <w:r>
        <w:rPr>
          <w:noProof/>
        </w:rPr>
        <w:fldChar w:fldCharType="end"/>
      </w:r>
      <w:r w:rsidR="00F709D4" w:rsidRPr="006D6727">
        <w:rPr>
          <w:noProof/>
        </w:rPr>
        <w:t xml:space="preserve">: </w:t>
      </w:r>
      <w:r w:rsidR="008F3DB9">
        <w:rPr>
          <w:noProof/>
        </w:rPr>
        <w:t>“</w:t>
      </w:r>
      <w:r w:rsidR="00F709D4" w:rsidRPr="006D6727">
        <w:rPr>
          <w:noProof/>
        </w:rPr>
        <w:t>Compatibility between Short-Range Devices (SRD) and EESS (passive) in the 122 to 122.25 GHz band</w:t>
      </w:r>
      <w:r w:rsidR="008F3DB9">
        <w:rPr>
          <w:noProof/>
        </w:rPr>
        <w:t>”</w:t>
      </w:r>
      <w:r>
        <w:rPr>
          <w:noProof/>
        </w:rPr>
        <w:t>, approved May 2013</w:t>
      </w:r>
      <w:bookmarkEnd w:id="1074"/>
    </w:p>
    <w:bookmarkStart w:id="1075" w:name="ECCRec_18_01"/>
    <w:bookmarkStart w:id="1076" w:name="_Ref88126535"/>
    <w:bookmarkEnd w:id="1075"/>
    <w:p w14:paraId="653B990D" w14:textId="71D2D081" w:rsidR="001D1C03" w:rsidRPr="006D6727" w:rsidRDefault="00CC1A11" w:rsidP="00F96A5B">
      <w:pPr>
        <w:pStyle w:val="ECCReference"/>
        <w:spacing w:after="60"/>
        <w:rPr>
          <w:noProof/>
        </w:rPr>
      </w:pPr>
      <w:r>
        <w:rPr>
          <w:noProof/>
        </w:rPr>
        <w:fldChar w:fldCharType="begin"/>
      </w:r>
      <w:r>
        <w:rPr>
          <w:noProof/>
        </w:rPr>
        <w:instrText>HYPERLINK "https://docdb.cept.org/document/2012"</w:instrText>
      </w:r>
      <w:r>
        <w:rPr>
          <w:noProof/>
        </w:rPr>
      </w:r>
      <w:r>
        <w:rPr>
          <w:noProof/>
        </w:rPr>
        <w:fldChar w:fldCharType="separate"/>
      </w:r>
      <w:r>
        <w:rPr>
          <w:rStyle w:val="Hyperlink"/>
          <w:noProof/>
        </w:rPr>
        <w:t>ECC Recommendation (18)01</w:t>
      </w:r>
      <w:r>
        <w:rPr>
          <w:noProof/>
        </w:rPr>
        <w:fldChar w:fldCharType="end"/>
      </w:r>
      <w:r w:rsidR="009D25DA" w:rsidRPr="006D6727">
        <w:rPr>
          <w:noProof/>
        </w:rPr>
        <w:t xml:space="preserve">: </w:t>
      </w:r>
      <w:r w:rsidR="00FA7EC9">
        <w:rPr>
          <w:noProof/>
        </w:rPr>
        <w:t>“</w:t>
      </w:r>
      <w:r w:rsidR="009D25DA" w:rsidRPr="006D6727">
        <w:rPr>
          <w:noProof/>
        </w:rPr>
        <w:t xml:space="preserve">Radio frequency channel/block arrangements for </w:t>
      </w:r>
      <w:r w:rsidR="005B2194">
        <w:rPr>
          <w:noProof/>
        </w:rPr>
        <w:t>“</w:t>
      </w:r>
      <w:r w:rsidR="009D25DA" w:rsidRPr="006D6727">
        <w:rPr>
          <w:noProof/>
        </w:rPr>
        <w:t>Fixed Service systems operating in the bands 130</w:t>
      </w:r>
      <w:r w:rsidR="009D25DA" w:rsidRPr="006D6727">
        <w:rPr>
          <w:rFonts w:cs="Arial"/>
          <w:noProof/>
        </w:rPr>
        <w:t>−</w:t>
      </w:r>
      <w:r w:rsidR="009D25DA" w:rsidRPr="006D6727">
        <w:rPr>
          <w:noProof/>
        </w:rPr>
        <w:t>148.5 GHz, 151.5</w:t>
      </w:r>
      <w:r w:rsidR="009D25DA" w:rsidRPr="006D6727">
        <w:rPr>
          <w:rFonts w:cs="Arial"/>
          <w:noProof/>
        </w:rPr>
        <w:t>−</w:t>
      </w:r>
      <w:r w:rsidR="009D25DA" w:rsidRPr="006D6727">
        <w:rPr>
          <w:noProof/>
        </w:rPr>
        <w:t>164 GHz and 167</w:t>
      </w:r>
      <w:r w:rsidR="009D25DA" w:rsidRPr="006D6727">
        <w:rPr>
          <w:rFonts w:cs="Arial"/>
          <w:noProof/>
        </w:rPr>
        <w:t>−</w:t>
      </w:r>
      <w:r w:rsidR="009D25DA" w:rsidRPr="006D6727">
        <w:rPr>
          <w:noProof/>
        </w:rPr>
        <w:t>174.8 GHz</w:t>
      </w:r>
      <w:r w:rsidR="005B2194">
        <w:rPr>
          <w:noProof/>
        </w:rPr>
        <w:t>”, approved</w:t>
      </w:r>
      <w:r w:rsidR="005B2194" w:rsidRPr="005B2194">
        <w:t xml:space="preserve"> </w:t>
      </w:r>
      <w:r w:rsidR="005B2194" w:rsidRPr="005B2194">
        <w:rPr>
          <w:noProof/>
        </w:rPr>
        <w:t>April 2018</w:t>
      </w:r>
      <w:bookmarkEnd w:id="1076"/>
    </w:p>
    <w:p w14:paraId="3A6B85AE" w14:textId="604A7B72" w:rsidR="00D60540" w:rsidRPr="006D6727" w:rsidRDefault="001D1C03" w:rsidP="00F96A5B">
      <w:pPr>
        <w:pStyle w:val="ECCReference"/>
        <w:spacing w:after="60"/>
        <w:rPr>
          <w:noProof/>
        </w:rPr>
      </w:pPr>
      <w:bookmarkStart w:id="1077" w:name="ITU_R_P_2109_0"/>
      <w:bookmarkEnd w:id="1077"/>
      <w:r w:rsidRPr="006D6727">
        <w:rPr>
          <w:noProof/>
        </w:rPr>
        <w:t xml:space="preserve">Recommendation ITU-R </w:t>
      </w:r>
      <w:r w:rsidR="008656D2">
        <w:t>P</w:t>
      </w:r>
      <w:r w:rsidRPr="006D6727">
        <w:rPr>
          <w:noProof/>
        </w:rPr>
        <w:t>.2109-</w:t>
      </w:r>
      <w:r w:rsidR="00F07161">
        <w:t>1</w:t>
      </w:r>
      <w:r w:rsidRPr="006D6727">
        <w:rPr>
          <w:noProof/>
        </w:rPr>
        <w:t xml:space="preserve">: </w:t>
      </w:r>
      <w:r w:rsidR="00CC1A11">
        <w:rPr>
          <w:noProof/>
        </w:rPr>
        <w:t>“</w:t>
      </w:r>
      <w:r w:rsidRPr="006D6727">
        <w:rPr>
          <w:noProof/>
        </w:rPr>
        <w:t>Prediction of building entry loss</w:t>
      </w:r>
      <w:r w:rsidR="00CC1A11">
        <w:rPr>
          <w:noProof/>
        </w:rPr>
        <w:t>”</w:t>
      </w:r>
    </w:p>
    <w:p w14:paraId="49F424A6" w14:textId="246EBFD3" w:rsidR="00F2092B" w:rsidRPr="006D6727" w:rsidRDefault="003B2815" w:rsidP="00F96A5B">
      <w:pPr>
        <w:pStyle w:val="ECCReference"/>
        <w:spacing w:after="60"/>
        <w:rPr>
          <w:noProof/>
        </w:rPr>
      </w:pPr>
      <w:bookmarkStart w:id="1078" w:name="ITU_R_M_2057"/>
      <w:bookmarkEnd w:id="1078"/>
      <w:r w:rsidRPr="006D6727">
        <w:rPr>
          <w:noProof/>
        </w:rPr>
        <w:t xml:space="preserve">Recommendation ITU-R M.2057: </w:t>
      </w:r>
      <w:r w:rsidR="00CC1A11">
        <w:rPr>
          <w:noProof/>
        </w:rPr>
        <w:t>“</w:t>
      </w:r>
      <w:r w:rsidRPr="006D6727">
        <w:rPr>
          <w:noProof/>
        </w:rPr>
        <w:t>Systems characteristics of automotive radars operating in the frequency band 76-81 GHz for intelligent transport systems applications</w:t>
      </w:r>
      <w:r w:rsidR="00CC1A11">
        <w:rPr>
          <w:noProof/>
        </w:rPr>
        <w:t>”</w:t>
      </w:r>
    </w:p>
    <w:p w14:paraId="362ED63D" w14:textId="3D9C9B24" w:rsidR="008966B3" w:rsidRPr="006D6727" w:rsidRDefault="003C63E5" w:rsidP="00F96A5B">
      <w:pPr>
        <w:pStyle w:val="ECCReference"/>
        <w:spacing w:after="60"/>
        <w:rPr>
          <w:noProof/>
        </w:rPr>
      </w:pPr>
      <w:bookmarkStart w:id="1079" w:name="ITU_R_P_2108_0"/>
      <w:bookmarkEnd w:id="1079"/>
      <w:r w:rsidRPr="006D6727">
        <w:rPr>
          <w:noProof/>
        </w:rPr>
        <w:t xml:space="preserve">Recommendation ITU-R P.2108-0: </w:t>
      </w:r>
      <w:r w:rsidR="00CC1A11">
        <w:rPr>
          <w:noProof/>
        </w:rPr>
        <w:t>“</w:t>
      </w:r>
      <w:r w:rsidRPr="006D6727">
        <w:rPr>
          <w:noProof/>
        </w:rPr>
        <w:t>Prediction of clutter loss</w:t>
      </w:r>
      <w:r w:rsidR="00CC1A11">
        <w:rPr>
          <w:noProof/>
        </w:rPr>
        <w:t>”</w:t>
      </w:r>
    </w:p>
    <w:bookmarkStart w:id="1080" w:name="ECCDec_07_01"/>
    <w:bookmarkEnd w:id="1080"/>
    <w:p w14:paraId="3DDDA526" w14:textId="30853B7B" w:rsidR="005F399F" w:rsidRPr="006D6727" w:rsidRDefault="006831DD" w:rsidP="00F96A5B">
      <w:pPr>
        <w:pStyle w:val="ECCReference"/>
        <w:spacing w:after="60"/>
        <w:rPr>
          <w:noProof/>
        </w:rPr>
      </w:pPr>
      <w:r>
        <w:rPr>
          <w:noProof/>
        </w:rPr>
        <w:fldChar w:fldCharType="begin"/>
      </w:r>
      <w:r>
        <w:rPr>
          <w:noProof/>
        </w:rPr>
        <w:instrText>HYPERLINK "https://docdb.cept.org/document/407"</w:instrText>
      </w:r>
      <w:r>
        <w:rPr>
          <w:noProof/>
        </w:rPr>
      </w:r>
      <w:r>
        <w:rPr>
          <w:noProof/>
        </w:rPr>
        <w:fldChar w:fldCharType="separate"/>
      </w:r>
      <w:r>
        <w:rPr>
          <w:rStyle w:val="Hyperlink"/>
          <w:noProof/>
        </w:rPr>
        <w:t>ECC Decision(07)01</w:t>
      </w:r>
      <w:r>
        <w:rPr>
          <w:noProof/>
        </w:rPr>
        <w:fldChar w:fldCharType="end"/>
      </w:r>
      <w:r w:rsidR="008966B3" w:rsidRPr="006D6727">
        <w:rPr>
          <w:noProof/>
        </w:rPr>
        <w:t xml:space="preserve">: </w:t>
      </w:r>
      <w:r w:rsidR="002F5EEC">
        <w:rPr>
          <w:noProof/>
        </w:rPr>
        <w:t>“T</w:t>
      </w:r>
      <w:r w:rsidR="008966B3" w:rsidRPr="006D6727">
        <w:rPr>
          <w:noProof/>
        </w:rPr>
        <w:t>he harmonised use, exemption from individual licensing and free circulation of Material Sensing Devices using Ultra-Wideband (UWB) technology</w:t>
      </w:r>
      <w:r w:rsidR="002F5EEC">
        <w:rPr>
          <w:noProof/>
        </w:rPr>
        <w:t>”</w:t>
      </w:r>
      <w:r w:rsidR="008966B3" w:rsidRPr="006D6727">
        <w:rPr>
          <w:noProof/>
        </w:rPr>
        <w:t xml:space="preserve"> </w:t>
      </w:r>
      <w:r w:rsidR="00CC1A11">
        <w:rPr>
          <w:noProof/>
        </w:rPr>
        <w:t xml:space="preserve">appproved </w:t>
      </w:r>
      <w:r w:rsidR="00CC1A11" w:rsidRPr="00CC1A11">
        <w:rPr>
          <w:noProof/>
        </w:rPr>
        <w:t>March 2007</w:t>
      </w:r>
      <w:r>
        <w:rPr>
          <w:noProof/>
        </w:rPr>
        <w:t xml:space="preserve"> and latest </w:t>
      </w:r>
      <w:r w:rsidR="008966B3" w:rsidRPr="006D6727">
        <w:rPr>
          <w:noProof/>
        </w:rPr>
        <w:t>March 2019</w:t>
      </w:r>
    </w:p>
    <w:p w14:paraId="7B15651D" w14:textId="6DB50E68" w:rsidR="005F399F" w:rsidRPr="006D6727" w:rsidRDefault="005F399F" w:rsidP="00F96A5B">
      <w:pPr>
        <w:pStyle w:val="ECCReference"/>
        <w:spacing w:after="60"/>
        <w:rPr>
          <w:noProof/>
        </w:rPr>
      </w:pPr>
      <w:bookmarkStart w:id="1081" w:name="ITU_R_P_452_16"/>
      <w:bookmarkEnd w:id="1081"/>
      <w:r w:rsidRPr="006D6727">
        <w:rPr>
          <w:noProof/>
        </w:rPr>
        <w:t xml:space="preserve">Recommendation ITU-R P.452-16: </w:t>
      </w:r>
      <w:r w:rsidR="002F5EEC">
        <w:rPr>
          <w:noProof/>
        </w:rPr>
        <w:t>“</w:t>
      </w:r>
      <w:r w:rsidRPr="006D6727">
        <w:rPr>
          <w:noProof/>
        </w:rPr>
        <w:t>Prediction procedure for the evaluation of interference between stations on the surface of the Earth frequencies above about 0.1 GHz</w:t>
      </w:r>
      <w:r w:rsidR="002F5EEC">
        <w:rPr>
          <w:noProof/>
        </w:rPr>
        <w:t>”</w:t>
      </w:r>
    </w:p>
    <w:p w14:paraId="7ED50038" w14:textId="42A8997E" w:rsidR="003B7105" w:rsidRPr="006D6727" w:rsidRDefault="00FB5E7D" w:rsidP="00F96A5B">
      <w:pPr>
        <w:pStyle w:val="ECCReference"/>
        <w:spacing w:after="60"/>
        <w:rPr>
          <w:noProof/>
        </w:rPr>
      </w:pPr>
      <w:bookmarkStart w:id="1082" w:name="ITU_R_P_676_12"/>
      <w:bookmarkEnd w:id="1082"/>
      <w:r w:rsidRPr="006D6727">
        <w:rPr>
          <w:noProof/>
        </w:rPr>
        <w:t xml:space="preserve">Recommendation ITU-R P.676-12: </w:t>
      </w:r>
      <w:r w:rsidR="002F5EEC">
        <w:rPr>
          <w:noProof/>
        </w:rPr>
        <w:t>“</w:t>
      </w:r>
      <w:r w:rsidRPr="006D6727">
        <w:rPr>
          <w:noProof/>
        </w:rPr>
        <w:t>Attenuation by atmospheric gases and related effects</w:t>
      </w:r>
      <w:r w:rsidR="002F5EEC">
        <w:rPr>
          <w:noProof/>
        </w:rPr>
        <w:t>”</w:t>
      </w:r>
    </w:p>
    <w:p w14:paraId="4C7659C2" w14:textId="09C89D9C" w:rsidR="009865B0" w:rsidRPr="006D6727" w:rsidRDefault="003B7105" w:rsidP="00F96A5B">
      <w:pPr>
        <w:pStyle w:val="ECCReference"/>
        <w:spacing w:after="60"/>
        <w:rPr>
          <w:rStyle w:val="ECCParagraph"/>
          <w:noProof/>
        </w:rPr>
      </w:pPr>
      <w:bookmarkStart w:id="1083" w:name="ITU_R_P_835_6"/>
      <w:bookmarkEnd w:id="1083"/>
      <w:r w:rsidRPr="006D6727">
        <w:rPr>
          <w:rStyle w:val="ECCParagraph"/>
          <w:noProof/>
        </w:rPr>
        <w:t xml:space="preserve">Recommendation ITU-R P.835-6: </w:t>
      </w:r>
      <w:r w:rsidR="000C3B6C">
        <w:rPr>
          <w:rStyle w:val="ECCParagraph"/>
          <w:noProof/>
        </w:rPr>
        <w:t>“</w:t>
      </w:r>
      <w:r w:rsidRPr="006D6727">
        <w:rPr>
          <w:rStyle w:val="ECCParagraph"/>
          <w:noProof/>
        </w:rPr>
        <w:t>Reference standard atmospheres</w:t>
      </w:r>
      <w:r w:rsidR="000C3B6C">
        <w:rPr>
          <w:rStyle w:val="ECCParagraph"/>
          <w:noProof/>
        </w:rPr>
        <w:t>”</w:t>
      </w:r>
    </w:p>
    <w:bookmarkStart w:id="1084" w:name="uni_koeln_molecules"/>
    <w:bookmarkEnd w:id="1084"/>
    <w:p w14:paraId="5D65AA1A" w14:textId="2FE332FC" w:rsidR="00143BE7" w:rsidRPr="00143BE7" w:rsidRDefault="00143BE7" w:rsidP="00143BE7">
      <w:pPr>
        <w:pStyle w:val="ECCReference"/>
        <w:spacing w:after="60"/>
        <w:rPr>
          <w:rStyle w:val="Hyperlink"/>
          <w:noProof/>
          <w:color w:val="auto"/>
          <w:u w:val="none"/>
        </w:rPr>
      </w:pPr>
      <w:r>
        <w:fldChar w:fldCharType="begin"/>
      </w:r>
      <w:r>
        <w:instrText xml:space="preserve"> HYPERLINK "</w:instrText>
      </w:r>
      <w:r w:rsidRPr="00B50185">
        <w:instrText>https://cdms.astro.uni-koeln.de/</w:instrText>
      </w:r>
      <w:r>
        <w:instrText xml:space="preserve">" </w:instrText>
      </w:r>
      <w:r>
        <w:fldChar w:fldCharType="separate"/>
      </w:r>
      <w:r w:rsidRPr="00C76483">
        <w:rPr>
          <w:rStyle w:val="Hyperlink"/>
        </w:rPr>
        <w:t>https://cdms.astro.uni-koeln.de/</w:t>
      </w:r>
      <w:r>
        <w:fldChar w:fldCharType="end"/>
      </w:r>
    </w:p>
    <w:p w14:paraId="7FE02A68" w14:textId="40CE3E40" w:rsidR="00476197" w:rsidRPr="006D6727" w:rsidRDefault="00D97AAA" w:rsidP="00F96A5B">
      <w:pPr>
        <w:pStyle w:val="ECCReference"/>
        <w:spacing w:after="60"/>
        <w:rPr>
          <w:rStyle w:val="ECCParagraph"/>
          <w:noProof/>
        </w:rPr>
      </w:pPr>
      <w:bookmarkStart w:id="1085" w:name="ITU_R_RA_314_10"/>
      <w:bookmarkStart w:id="1086" w:name="_Hlk36537516"/>
      <w:bookmarkEnd w:id="1085"/>
      <w:r w:rsidRPr="006D6727">
        <w:rPr>
          <w:rStyle w:val="ECCParagraph"/>
          <w:noProof/>
        </w:rPr>
        <w:t xml:space="preserve">Recommendation ITU-R RA.314-10: </w:t>
      </w:r>
      <w:r w:rsidR="000C3B6C">
        <w:rPr>
          <w:rStyle w:val="ECCParagraph"/>
          <w:noProof/>
        </w:rPr>
        <w:t>“</w:t>
      </w:r>
      <w:r w:rsidRPr="006D6727">
        <w:rPr>
          <w:noProof/>
        </w:rPr>
        <w:t>Preferred frequency bands for radio astronomical measurements</w:t>
      </w:r>
      <w:r w:rsidR="000C3B6C">
        <w:rPr>
          <w:rStyle w:val="ECCParagraph"/>
          <w:noProof/>
        </w:rPr>
        <w:t>”</w:t>
      </w:r>
    </w:p>
    <w:p w14:paraId="55C7DF2D" w14:textId="11274578" w:rsidR="00476197" w:rsidRPr="006D6727" w:rsidRDefault="00476197" w:rsidP="00F96A5B">
      <w:pPr>
        <w:pStyle w:val="ECCReference"/>
        <w:spacing w:after="60"/>
        <w:rPr>
          <w:rStyle w:val="ECCParagraph"/>
          <w:noProof/>
        </w:rPr>
      </w:pPr>
      <w:bookmarkStart w:id="1087" w:name="ITU_R_P_525_3"/>
      <w:bookmarkEnd w:id="1086"/>
      <w:bookmarkEnd w:id="1087"/>
      <w:r w:rsidRPr="006D6727">
        <w:rPr>
          <w:rStyle w:val="ECCParagraph"/>
          <w:noProof/>
        </w:rPr>
        <w:t xml:space="preserve">Recommendation ITU-R P.525-3: </w:t>
      </w:r>
      <w:r w:rsidR="000C3B6C">
        <w:rPr>
          <w:rStyle w:val="ECCParagraph"/>
          <w:noProof/>
        </w:rPr>
        <w:t>“</w:t>
      </w:r>
      <w:r w:rsidRPr="006D6727">
        <w:rPr>
          <w:rStyle w:val="ECCParagraph"/>
          <w:noProof/>
        </w:rPr>
        <w:t>Calculation of free-space attenuation</w:t>
      </w:r>
      <w:r w:rsidR="000C3B6C">
        <w:rPr>
          <w:rStyle w:val="ECCParagraph"/>
          <w:noProof/>
        </w:rPr>
        <w:t>”</w:t>
      </w:r>
      <w:r w:rsidRPr="006D6727">
        <w:rPr>
          <w:rStyle w:val="ECCParagraph"/>
          <w:noProof/>
        </w:rPr>
        <w:t>.</w:t>
      </w:r>
    </w:p>
    <w:p w14:paraId="6FC9A3E0" w14:textId="757A98E4" w:rsidR="00720689" w:rsidRPr="006D6727" w:rsidRDefault="00476197" w:rsidP="00F96A5B">
      <w:pPr>
        <w:pStyle w:val="ECCReference"/>
        <w:spacing w:after="60"/>
        <w:rPr>
          <w:rStyle w:val="ECCParagraph"/>
          <w:noProof/>
        </w:rPr>
      </w:pPr>
      <w:bookmarkStart w:id="1088" w:name="ITU_R_P_526_14"/>
      <w:bookmarkEnd w:id="1088"/>
      <w:r w:rsidRPr="006D6727">
        <w:rPr>
          <w:rStyle w:val="ECCParagraph"/>
          <w:noProof/>
        </w:rPr>
        <w:t xml:space="preserve">Recommandation ITU-R P.526-14: </w:t>
      </w:r>
      <w:r w:rsidR="000C3B6C">
        <w:rPr>
          <w:rStyle w:val="ECCParagraph"/>
          <w:noProof/>
        </w:rPr>
        <w:t>“</w:t>
      </w:r>
      <w:r w:rsidRPr="006D6727">
        <w:rPr>
          <w:rStyle w:val="ECCParagraph"/>
          <w:noProof/>
        </w:rPr>
        <w:t>Propagation by diffraction</w:t>
      </w:r>
      <w:r w:rsidR="000C3B6C">
        <w:rPr>
          <w:rStyle w:val="ECCParagraph"/>
          <w:noProof/>
        </w:rPr>
        <w:t>”</w:t>
      </w:r>
    </w:p>
    <w:p w14:paraId="25A0C31C" w14:textId="6F70883B" w:rsidR="00720689" w:rsidRPr="006D6727" w:rsidRDefault="000C3B6C" w:rsidP="00F96A5B">
      <w:pPr>
        <w:pStyle w:val="ECCReference"/>
        <w:spacing w:after="60"/>
        <w:rPr>
          <w:rStyle w:val="ECCParagraph"/>
          <w:noProof/>
        </w:rPr>
      </w:pPr>
      <w:bookmarkStart w:id="1089" w:name="_Ref90642878"/>
      <w:r w:rsidRPr="000C3B6C">
        <w:rPr>
          <w:rStyle w:val="ECCParagraph"/>
          <w:noProof/>
        </w:rPr>
        <w:t>Microwave Limb Sounder (MLS)</w:t>
      </w:r>
      <w:r>
        <w:rPr>
          <w:rStyle w:val="ECCParagraph"/>
          <w:noProof/>
        </w:rPr>
        <w:t xml:space="preserve"> Jet Propulsion Laboratory (</w:t>
      </w:r>
      <w:hyperlink r:id="rId224" w:history="1">
        <w:r w:rsidRPr="000C3B6C">
          <w:rPr>
            <w:rStyle w:val="Hyperlink"/>
            <w:noProof/>
          </w:rPr>
          <w:t>https://mls.jpl.nasa.gov/</w:t>
        </w:r>
      </w:hyperlink>
      <w:r>
        <w:rPr>
          <w:rStyle w:val="ECCParagraph"/>
          <w:noProof/>
        </w:rPr>
        <w:t>)</w:t>
      </w:r>
      <w:bookmarkEnd w:id="1089"/>
    </w:p>
    <w:p w14:paraId="2369D108" w14:textId="5E40E6BE" w:rsidR="00BA15B2" w:rsidRPr="00B77129" w:rsidRDefault="00BA15B2" w:rsidP="00F96A5B">
      <w:pPr>
        <w:pStyle w:val="ECCReference"/>
        <w:spacing w:after="60"/>
        <w:rPr>
          <w:noProof/>
        </w:rPr>
      </w:pPr>
      <w:bookmarkStart w:id="1090" w:name="Surface_Roughness"/>
      <w:bookmarkEnd w:id="1090"/>
      <w:r w:rsidRPr="009E1BE6">
        <w:rPr>
          <w:noProof/>
          <w:lang w:val="de-DE"/>
        </w:rPr>
        <w:t xml:space="preserve">P. A. Scharf; J. Iberle; H. Mantz; Th. </w:t>
      </w:r>
      <w:r w:rsidRPr="00B77129">
        <w:rPr>
          <w:noProof/>
        </w:rPr>
        <w:t xml:space="preserve">Walter; C. Waldschmidt: </w:t>
      </w:r>
      <w:r w:rsidR="000C3B6C" w:rsidRPr="00B77129">
        <w:rPr>
          <w:noProof/>
        </w:rPr>
        <w:t>“</w:t>
      </w:r>
      <w:hyperlink r:id="rId225" w:history="1">
        <w:r w:rsidRPr="00B77129">
          <w:rPr>
            <w:noProof/>
          </w:rPr>
          <w:t>Multiband Microwave Sensing for Surface Roughness Classification</w:t>
        </w:r>
      </w:hyperlink>
      <w:r w:rsidR="000C3B6C" w:rsidRPr="00B77129">
        <w:rPr>
          <w:noProof/>
        </w:rPr>
        <w:t>”</w:t>
      </w:r>
      <w:r w:rsidRPr="00B77129">
        <w:rPr>
          <w:noProof/>
        </w:rPr>
        <w:t>, IEEE/MTT-S International Microwave Symposium – IMS 2018</w:t>
      </w:r>
    </w:p>
    <w:p w14:paraId="2D84DACD" w14:textId="15984A32" w:rsidR="00BA15B2" w:rsidRPr="006D6727" w:rsidRDefault="00BA15B2" w:rsidP="00F96A5B">
      <w:pPr>
        <w:pStyle w:val="ECCReference"/>
        <w:spacing w:after="60"/>
        <w:rPr>
          <w:rStyle w:val="ECCParagraph"/>
          <w:noProof/>
        </w:rPr>
      </w:pPr>
      <w:bookmarkStart w:id="1091" w:name="water_permittivity"/>
      <w:bookmarkEnd w:id="1091"/>
      <w:r w:rsidRPr="006D6727">
        <w:rPr>
          <w:noProof/>
        </w:rPr>
        <w:t xml:space="preserve">H. J. Liebe; G. A. Hufford; T. Manabe: </w:t>
      </w:r>
      <w:r w:rsidR="000C3B6C">
        <w:rPr>
          <w:noProof/>
        </w:rPr>
        <w:t>“</w:t>
      </w:r>
      <w:r w:rsidRPr="006D6727">
        <w:rPr>
          <w:noProof/>
        </w:rPr>
        <w:t>A model for the complex permittivity of water at frequencies below 1 THz</w:t>
      </w:r>
      <w:r w:rsidR="000C3B6C">
        <w:rPr>
          <w:noProof/>
        </w:rPr>
        <w:t>”</w:t>
      </w:r>
      <w:r w:rsidRPr="006D6727">
        <w:rPr>
          <w:noProof/>
        </w:rPr>
        <w:t>, International Journal of Infrared and Millimeter Waves, July 1991, volume 12, Issue 7, pp 659 – 675</w:t>
      </w:r>
    </w:p>
    <w:p w14:paraId="5CCABB78" w14:textId="0E631451" w:rsidR="00FD4BCF" w:rsidRPr="006D6727" w:rsidRDefault="00FD4BCF" w:rsidP="00F96A5B">
      <w:pPr>
        <w:pStyle w:val="ECCReference"/>
        <w:spacing w:after="60"/>
        <w:rPr>
          <w:noProof/>
        </w:rPr>
      </w:pPr>
      <w:bookmarkStart w:id="1092" w:name="high_reliability_reflector_antenna"/>
      <w:bookmarkEnd w:id="1092"/>
      <w:r w:rsidRPr="006D6727">
        <w:rPr>
          <w:noProof/>
        </w:rPr>
        <w:t>Measurements and Simulations Correlation of High Reliability Reflector Antenna, 2016 10th European Conference on Antennas and Propagation (EuCAP), Davos</w:t>
      </w:r>
    </w:p>
    <w:p w14:paraId="6886D1FE" w14:textId="77777777" w:rsidR="00FD4BCF" w:rsidRPr="006D6727" w:rsidRDefault="00FD4BCF" w:rsidP="00F96A5B">
      <w:pPr>
        <w:pStyle w:val="ECCReference"/>
        <w:spacing w:after="60"/>
        <w:rPr>
          <w:noProof/>
        </w:rPr>
      </w:pPr>
      <w:bookmarkStart w:id="1093" w:name="dielectric_travelling_wave_antenna"/>
      <w:bookmarkEnd w:id="1093"/>
      <w:r w:rsidRPr="006D6727">
        <w:rPr>
          <w:noProof/>
        </w:rPr>
        <w:t>Dielectric Travelling Wave Antennas Incorporating Cylindrical Inserts with Tapered Cavities, 2009 3rd European Conference on Antennas and Propagation, Berlin.</w:t>
      </w:r>
    </w:p>
    <w:p w14:paraId="1732F097" w14:textId="77777777" w:rsidR="00FD4BCF" w:rsidRPr="006D6727" w:rsidRDefault="00FD4BCF" w:rsidP="00F96A5B">
      <w:pPr>
        <w:pStyle w:val="ECCReference"/>
        <w:spacing w:after="60"/>
        <w:rPr>
          <w:noProof/>
        </w:rPr>
      </w:pPr>
      <w:bookmarkStart w:id="1094" w:name="dielectric_lens_based_antenna"/>
      <w:bookmarkEnd w:id="1094"/>
      <w:r w:rsidRPr="006D6727">
        <w:rPr>
          <w:noProof/>
        </w:rPr>
        <w:t>A Dielectric Lens-Based Antenna Concept for High Precision Industrial Radar Measurements at 24GHz, 2012 42nd European Microwave Conference, Amsterdam.</w:t>
      </w:r>
    </w:p>
    <w:p w14:paraId="1844993D" w14:textId="77777777" w:rsidR="00FD4BCF" w:rsidRPr="006D6727" w:rsidRDefault="00FD4BCF" w:rsidP="00F96A5B">
      <w:pPr>
        <w:pStyle w:val="ECCReference"/>
        <w:spacing w:after="60"/>
        <w:rPr>
          <w:noProof/>
        </w:rPr>
      </w:pPr>
      <w:bookmarkStart w:id="1095" w:name="dielectric_and_conductor_loss"/>
      <w:bookmarkEnd w:id="1095"/>
      <w:r w:rsidRPr="006D6727">
        <w:rPr>
          <w:noProof/>
        </w:rPr>
        <w:t>Dielectric and Conductor-Loss Characterization and Measurements on Electronic Packaging Materials, NIST Technical Note 1520.</w:t>
      </w:r>
    </w:p>
    <w:p w14:paraId="1AB77E79" w14:textId="77777777" w:rsidR="00FD4BCF" w:rsidRPr="006D6727" w:rsidRDefault="00FD4BCF" w:rsidP="00F96A5B">
      <w:pPr>
        <w:pStyle w:val="ECCReference"/>
        <w:spacing w:after="60"/>
        <w:rPr>
          <w:rStyle w:val="ECCParagraph"/>
          <w:noProof/>
        </w:rPr>
      </w:pPr>
      <w:bookmarkStart w:id="1096" w:name="complex_permittivity"/>
      <w:bookmarkEnd w:id="1096"/>
      <w:r w:rsidRPr="006D6727">
        <w:rPr>
          <w:noProof/>
        </w:rPr>
        <w:t>Millimeter-Wave Measurement of Complex Permittivity by Perturbation Method Using Open Resonator, 2008 IEEE TRANSACTIONS ON INSTRUMENTATION AND MEASUREMENT</w:t>
      </w:r>
      <w:r w:rsidRPr="006D6727">
        <w:rPr>
          <w:rStyle w:val="ECCParagraph"/>
          <w:noProof/>
        </w:rPr>
        <w:t xml:space="preserve"> </w:t>
      </w:r>
    </w:p>
    <w:p w14:paraId="0C7B9C1C" w14:textId="77777777" w:rsidR="003833B2" w:rsidRPr="006D6727" w:rsidRDefault="003833B2" w:rsidP="00F96A5B">
      <w:pPr>
        <w:pStyle w:val="ECCReference"/>
        <w:spacing w:after="60"/>
        <w:rPr>
          <w:noProof/>
        </w:rPr>
      </w:pPr>
      <w:bookmarkStart w:id="1097" w:name="complex_permittivity_measurements"/>
      <w:bookmarkEnd w:id="1097"/>
      <w:r w:rsidRPr="006D6727">
        <w:rPr>
          <w:noProof/>
        </w:rPr>
        <w:t>Complex Permittivity Measurements of Dielectrics for Space Antenna Radome and Substrates in X-band, TUBITAK Space Technologies Research Institute, Ankara, TURKEY.</w:t>
      </w:r>
    </w:p>
    <w:p w14:paraId="7D20A1D4" w14:textId="77777777" w:rsidR="003833B2" w:rsidRPr="006D6727" w:rsidRDefault="003833B2" w:rsidP="00F96A5B">
      <w:pPr>
        <w:pStyle w:val="ECCReference"/>
        <w:spacing w:after="60"/>
        <w:rPr>
          <w:noProof/>
        </w:rPr>
      </w:pPr>
      <w:bookmarkStart w:id="1098" w:name="characterization_dielectric_materials"/>
      <w:bookmarkEnd w:id="1098"/>
      <w:r w:rsidRPr="006D6727">
        <w:rPr>
          <w:noProof/>
        </w:rPr>
        <w:t>Millimeter-Wave Characterization of Dielectric Materials Using Calibrated FMCW Transceivers, IEEE TRANSACTIONS ON MICROWAVE THEORY AND TECHNIQUES, VOL. 66, NO. 8, AUGUST 2018</w:t>
      </w:r>
    </w:p>
    <w:p w14:paraId="67ED430A" w14:textId="77777777" w:rsidR="003833B2" w:rsidRPr="006D6727" w:rsidRDefault="003833B2" w:rsidP="00F96A5B">
      <w:pPr>
        <w:pStyle w:val="ECCReference"/>
        <w:spacing w:after="60"/>
        <w:rPr>
          <w:noProof/>
        </w:rPr>
      </w:pPr>
      <w:bookmarkStart w:id="1099" w:name="measurement_dielectric_material_prop"/>
      <w:bookmarkEnd w:id="1099"/>
      <w:r w:rsidRPr="006D6727">
        <w:rPr>
          <w:noProof/>
        </w:rPr>
        <w:t>Measurement of Dielectric Material Properties, Application Note ROHDE &amp; SCHWARZ, 04/2012</w:t>
      </w:r>
    </w:p>
    <w:p w14:paraId="1431CEBF" w14:textId="5431D186" w:rsidR="008436F1" w:rsidRPr="006D6727" w:rsidRDefault="008436F1" w:rsidP="0037097D">
      <w:pPr>
        <w:pStyle w:val="ECCReference"/>
        <w:spacing w:after="60"/>
        <w:rPr>
          <w:noProof/>
        </w:rPr>
      </w:pPr>
      <w:bookmarkStart w:id="1100" w:name="ALMA"/>
      <w:bookmarkEnd w:id="1100"/>
      <w:r w:rsidRPr="006D6727">
        <w:rPr>
          <w:noProof/>
        </w:rPr>
        <w:t xml:space="preserve">Atacama Large Millimeter/submillimeter Array (ALMA); </w:t>
      </w:r>
      <w:hyperlink r:id="rId226" w:history="1">
        <w:r w:rsidR="0037097D" w:rsidRPr="004C79C4">
          <w:rPr>
            <w:rStyle w:val="Hyperlink"/>
            <w:noProof/>
          </w:rPr>
          <w:t>https://almascience.eso.org/</w:t>
        </w:r>
      </w:hyperlink>
    </w:p>
    <w:bookmarkStart w:id="1101" w:name="ECCRec_18_02"/>
    <w:bookmarkEnd w:id="1101"/>
    <w:p w14:paraId="55D52F61" w14:textId="663D7757" w:rsidR="00CE6841" w:rsidRPr="006D6727" w:rsidRDefault="007E1702" w:rsidP="00F96A5B">
      <w:pPr>
        <w:pStyle w:val="ECCReference"/>
        <w:spacing w:after="60"/>
        <w:rPr>
          <w:noProof/>
        </w:rPr>
      </w:pPr>
      <w:r>
        <w:rPr>
          <w:noProof/>
        </w:rPr>
        <w:fldChar w:fldCharType="begin"/>
      </w:r>
      <w:r>
        <w:rPr>
          <w:noProof/>
        </w:rPr>
        <w:instrText>HYPERLINK "https://docdb.cept.org/document/6037"</w:instrText>
      </w:r>
      <w:r>
        <w:rPr>
          <w:noProof/>
        </w:rPr>
      </w:r>
      <w:r>
        <w:rPr>
          <w:noProof/>
        </w:rPr>
        <w:fldChar w:fldCharType="separate"/>
      </w:r>
      <w:r>
        <w:rPr>
          <w:rStyle w:val="Hyperlink"/>
          <w:noProof/>
        </w:rPr>
        <w:t>ECC Recommendation (18)02</w:t>
      </w:r>
      <w:r>
        <w:rPr>
          <w:noProof/>
        </w:rPr>
        <w:fldChar w:fldCharType="end"/>
      </w:r>
      <w:r w:rsidR="00CE6841" w:rsidRPr="006D6727">
        <w:rPr>
          <w:noProof/>
        </w:rPr>
        <w:t xml:space="preserve">: </w:t>
      </w:r>
      <w:r>
        <w:rPr>
          <w:noProof/>
        </w:rPr>
        <w:t>“</w:t>
      </w:r>
      <w:r w:rsidR="00CE6841" w:rsidRPr="006D6727">
        <w:rPr>
          <w:noProof/>
        </w:rPr>
        <w:t>Radio frequency channel/block arrangements for Fixed Service systems operating in the bands 92-94 GHz, 94.1-100 GHz, 102-109.5 GHz and 111.8-114.25 GHz</w:t>
      </w:r>
      <w:r>
        <w:rPr>
          <w:noProof/>
        </w:rPr>
        <w:t>”, approved September 2018</w:t>
      </w:r>
    </w:p>
    <w:p w14:paraId="6E878CB4" w14:textId="67848BBD" w:rsidR="00497310" w:rsidRPr="006D6727" w:rsidRDefault="00497310" w:rsidP="00F96A5B">
      <w:pPr>
        <w:pStyle w:val="ECCReference"/>
        <w:spacing w:after="60"/>
        <w:rPr>
          <w:noProof/>
        </w:rPr>
      </w:pPr>
      <w:bookmarkStart w:id="1102" w:name="ITU_R_F_699_8"/>
      <w:bookmarkEnd w:id="1102"/>
      <w:r w:rsidRPr="006D6727">
        <w:rPr>
          <w:noProof/>
        </w:rPr>
        <w:t xml:space="preserve">Recommendation ITU-R F.699-8: </w:t>
      </w:r>
      <w:r w:rsidR="007E1702">
        <w:rPr>
          <w:noProof/>
        </w:rPr>
        <w:t>“</w:t>
      </w:r>
      <w:r w:rsidRPr="006D6727">
        <w:rPr>
          <w:noProof/>
        </w:rPr>
        <w:t>Reference radiation patterns for fixed wireless system antennas for use in coordination studies and interference assessment in the frequency range from 100 MHz to 86 GHz</w:t>
      </w:r>
      <w:r w:rsidR="007E1702">
        <w:rPr>
          <w:noProof/>
        </w:rPr>
        <w:t>”</w:t>
      </w:r>
    </w:p>
    <w:p w14:paraId="612DC7E1" w14:textId="62F1C6C5" w:rsidR="00497310" w:rsidRPr="006D6727" w:rsidRDefault="00497310" w:rsidP="00F96A5B">
      <w:pPr>
        <w:pStyle w:val="ECCReference"/>
        <w:spacing w:after="60"/>
        <w:rPr>
          <w:noProof/>
        </w:rPr>
      </w:pPr>
      <w:bookmarkStart w:id="1103" w:name="ITU_R_F_1245_3"/>
      <w:bookmarkEnd w:id="1103"/>
      <w:r w:rsidRPr="006D6727">
        <w:rPr>
          <w:noProof/>
        </w:rPr>
        <w:t xml:space="preserve">Recommendation ITU-R F.1245-3: </w:t>
      </w:r>
      <w:r w:rsidR="007E1702">
        <w:rPr>
          <w:noProof/>
        </w:rPr>
        <w:t>“</w:t>
      </w:r>
      <w:r w:rsidRPr="006D6727">
        <w:rPr>
          <w:noProof/>
        </w:rPr>
        <w:t>Mathematical model of average and related radiation patterns for point-to-point fixed wireless system antennas for use in interference assessment in the frequency range from 1 GHz to 86 GHz</w:t>
      </w:r>
      <w:r w:rsidR="007E1702">
        <w:rPr>
          <w:noProof/>
        </w:rPr>
        <w:t>”</w:t>
      </w:r>
    </w:p>
    <w:p w14:paraId="3459F18F" w14:textId="4E527F3A" w:rsidR="00480507" w:rsidRPr="006D6727" w:rsidRDefault="00E052F6" w:rsidP="00F96A5B">
      <w:pPr>
        <w:pStyle w:val="ECCReference"/>
        <w:spacing w:after="60"/>
        <w:rPr>
          <w:rStyle w:val="ECCParagraph"/>
          <w:noProof/>
        </w:rPr>
      </w:pPr>
      <w:bookmarkStart w:id="1104" w:name="ETSIEN302217"/>
      <w:bookmarkEnd w:id="1104"/>
      <w:r w:rsidRPr="006D6727">
        <w:rPr>
          <w:rStyle w:val="ECCParagraph"/>
          <w:noProof/>
        </w:rPr>
        <w:t xml:space="preserve">ETSI EN 302 217-4 V2.1.1 (2017-05): </w:t>
      </w:r>
      <w:r w:rsidR="001922E2">
        <w:rPr>
          <w:rStyle w:val="ECCParagraph"/>
          <w:noProof/>
        </w:rPr>
        <w:t>“</w:t>
      </w:r>
      <w:r w:rsidRPr="006D6727">
        <w:rPr>
          <w:rStyle w:val="ECCParagraph"/>
          <w:noProof/>
        </w:rPr>
        <w:t>Fixed Radio Systems; Characteristics and requirements for point-to-point equipment and antennas; Part 4: Antennas</w:t>
      </w:r>
      <w:r w:rsidR="001922E2">
        <w:rPr>
          <w:rStyle w:val="ECCParagraph"/>
          <w:noProof/>
        </w:rPr>
        <w:t>”</w:t>
      </w:r>
    </w:p>
    <w:p w14:paraId="7994C739" w14:textId="4DE7A72A" w:rsidR="00480507" w:rsidRPr="006D6727" w:rsidRDefault="00480507" w:rsidP="00F96A5B">
      <w:pPr>
        <w:pStyle w:val="ECCReference"/>
        <w:spacing w:after="60"/>
        <w:rPr>
          <w:rStyle w:val="ECCParagraph"/>
          <w:noProof/>
        </w:rPr>
      </w:pPr>
      <w:r w:rsidRPr="006D6727">
        <w:rPr>
          <w:rStyle w:val="ECCParagraph"/>
          <w:noProof/>
        </w:rPr>
        <w:t>Farr, T. G., Rosen, P. A., Caro, E., Crippen, R., Duren, R., Hensley, S., Kobrick, M., Paller, M., Rodriguez, E., Roth, L., Seal, D., Shaffer, S., Shimada, J., Umland, J., Werner, M., Oskin, M., Burbank, D., and Alsdorf, D.: The Shuttle Radar Topography Mission, Reviews of Geophysics, 45, https://doi.org/10.1029/2005RG000183, rG2004, 2007</w:t>
      </w:r>
    </w:p>
    <w:p w14:paraId="5BABD276" w14:textId="254B6645" w:rsidR="00C50FFF" w:rsidRPr="006D6727" w:rsidRDefault="00C50FFF" w:rsidP="00F96A5B">
      <w:pPr>
        <w:pStyle w:val="ECCReference"/>
        <w:spacing w:after="60"/>
        <w:rPr>
          <w:rStyle w:val="ECCParagraph"/>
          <w:noProof/>
        </w:rPr>
      </w:pPr>
      <w:bookmarkStart w:id="1105" w:name="Save_Energy_New_Windows"/>
      <w:bookmarkEnd w:id="1105"/>
      <w:r w:rsidRPr="006D6727">
        <w:rPr>
          <w:rStyle w:val="ECCParagraph"/>
          <w:noProof/>
        </w:rPr>
        <w:t xml:space="preserve">Save more energy with new windows, Window and Façade Association (Verband Fenster + Fassade, VFF) and Federal Flat Glass Association (Bundesverband Flachglas, BF) available at </w:t>
      </w:r>
      <w:hyperlink r:id="rId227" w:history="1">
        <w:r w:rsidRPr="006D6727">
          <w:rPr>
            <w:rStyle w:val="ECCParagraph"/>
            <w:noProof/>
          </w:rPr>
          <w:t>https://www.bundesverband-flachglas.de/downloads/studien/</w:t>
        </w:r>
      </w:hyperlink>
    </w:p>
    <w:p w14:paraId="69B5E357" w14:textId="21441036" w:rsidR="00C50FFF" w:rsidRPr="006D6727" w:rsidRDefault="00C50FFF" w:rsidP="00F96A5B">
      <w:pPr>
        <w:pStyle w:val="ECCReference"/>
        <w:spacing w:after="60"/>
        <w:rPr>
          <w:rStyle w:val="ECCParagraph"/>
          <w:noProof/>
        </w:rPr>
      </w:pPr>
      <w:bookmarkStart w:id="1106" w:name="Window_replacement"/>
      <w:bookmarkEnd w:id="1106"/>
      <w:r w:rsidRPr="006D6727">
        <w:rPr>
          <w:rStyle w:val="ECCParagraph"/>
          <w:noProof/>
        </w:rPr>
        <w:t>Minimum performance requirements for window replacement in the residential sector, ECOFYS</w:t>
      </w:r>
    </w:p>
    <w:p w14:paraId="01DF5EB8" w14:textId="0C6EC2C3" w:rsidR="00C50FFF" w:rsidRPr="006D6727" w:rsidRDefault="00C50FFF" w:rsidP="00F96A5B">
      <w:pPr>
        <w:pStyle w:val="ECCReference"/>
        <w:spacing w:after="60"/>
        <w:rPr>
          <w:rStyle w:val="ECCParagraph"/>
          <w:noProof/>
        </w:rPr>
      </w:pPr>
      <w:bookmarkStart w:id="1107" w:name="Directive_2010_31_EU"/>
      <w:bookmarkEnd w:id="1107"/>
      <w:r w:rsidRPr="006D6727">
        <w:rPr>
          <w:rStyle w:val="ECCParagraph"/>
          <w:noProof/>
        </w:rPr>
        <w:t>Directive 2010/31/EU of the European Parliament and of the Council of 19 May 2010 on the energy performance of buildings</w:t>
      </w:r>
    </w:p>
    <w:p w14:paraId="714171B6" w14:textId="77777777" w:rsidR="00C50FFF" w:rsidRPr="006D6727" w:rsidRDefault="00C50FFF" w:rsidP="00F96A5B">
      <w:pPr>
        <w:pStyle w:val="ECCReference"/>
        <w:spacing w:after="60"/>
        <w:rPr>
          <w:rStyle w:val="ECCParagraph"/>
          <w:noProof/>
        </w:rPr>
      </w:pPr>
      <w:bookmarkStart w:id="1108" w:name="Directive_2018_844"/>
      <w:bookmarkEnd w:id="1108"/>
      <w:r w:rsidRPr="006D6727">
        <w:rPr>
          <w:rStyle w:val="ECCParagraph"/>
          <w:noProof/>
        </w:rPr>
        <w:t>Directive (EU) 2018/844 of the European Parliament and of the Council of 30 May 2018 amending Directive 2010/31/EU on the energy performance of buildings and Directive 2012/27/EU on energy efficiency</w:t>
      </w:r>
    </w:p>
    <w:p w14:paraId="76B44E26" w14:textId="77777777" w:rsidR="00C50FFF" w:rsidRPr="006D6727" w:rsidRDefault="00C50FFF" w:rsidP="00F96A5B">
      <w:pPr>
        <w:pStyle w:val="ECCReference"/>
        <w:spacing w:after="60"/>
        <w:rPr>
          <w:rStyle w:val="ECCParagraph"/>
          <w:noProof/>
        </w:rPr>
      </w:pPr>
      <w:bookmarkStart w:id="1109" w:name="Directive_2012_27_EU"/>
      <w:bookmarkEnd w:id="1109"/>
      <w:r w:rsidRPr="006D6727">
        <w:rPr>
          <w:rStyle w:val="ECCParagraph"/>
          <w:noProof/>
        </w:rPr>
        <w:t>Directive 2012/27/EU of the European Parliament and of the Council of 25 October 2012 on energy efficiency</w:t>
      </w:r>
    </w:p>
    <w:p w14:paraId="7E270275" w14:textId="62F24563" w:rsidR="00007CD3" w:rsidRPr="006D6727" w:rsidRDefault="00007CD3" w:rsidP="00F96A5B">
      <w:pPr>
        <w:pStyle w:val="ECCReference"/>
        <w:spacing w:after="60"/>
        <w:rPr>
          <w:rStyle w:val="ECCParagraph"/>
          <w:noProof/>
        </w:rPr>
      </w:pPr>
      <w:bookmarkStart w:id="1110" w:name="ITU_R_M_1732_2"/>
      <w:bookmarkEnd w:id="1110"/>
      <w:r w:rsidRPr="006D6727">
        <w:rPr>
          <w:rStyle w:val="ECCParagraph"/>
          <w:noProof/>
        </w:rPr>
        <w:t xml:space="preserve">Recommendation ITU-R M.1732-2: </w:t>
      </w:r>
      <w:r w:rsidR="001B10E6">
        <w:rPr>
          <w:rStyle w:val="ECCParagraph"/>
          <w:noProof/>
        </w:rPr>
        <w:t>“</w:t>
      </w:r>
      <w:r w:rsidRPr="006D6727">
        <w:rPr>
          <w:rStyle w:val="ECCParagraph"/>
          <w:noProof/>
        </w:rPr>
        <w:t>Characteristics of systems operating in the amateur and amateur-satellite services for use in sharing studies</w:t>
      </w:r>
      <w:r w:rsidR="001B10E6">
        <w:rPr>
          <w:rStyle w:val="ECCParagraph"/>
          <w:noProof/>
        </w:rPr>
        <w:t>”</w:t>
      </w:r>
    </w:p>
    <w:p w14:paraId="3996500B" w14:textId="035CE4C6" w:rsidR="00007CD3" w:rsidRPr="006D6727" w:rsidRDefault="00007CD3" w:rsidP="00F96A5B">
      <w:pPr>
        <w:pStyle w:val="ECCReference"/>
        <w:spacing w:after="60"/>
        <w:rPr>
          <w:rStyle w:val="ECCParagraph"/>
          <w:noProof/>
        </w:rPr>
      </w:pPr>
      <w:bookmarkStart w:id="1111" w:name="ITU_R_M_1808_1"/>
      <w:bookmarkEnd w:id="1111"/>
      <w:r w:rsidRPr="006D6727">
        <w:rPr>
          <w:rStyle w:val="ECCParagraph"/>
          <w:noProof/>
        </w:rPr>
        <w:t xml:space="preserve">Recommendation ITU-R M.1808-1: </w:t>
      </w:r>
      <w:r w:rsidR="001B10E6">
        <w:rPr>
          <w:rStyle w:val="ECCParagraph"/>
          <w:noProof/>
        </w:rPr>
        <w:t>“</w:t>
      </w:r>
      <w:r w:rsidRPr="006D6727">
        <w:rPr>
          <w:noProof/>
        </w:rPr>
        <w:t>Technical and operational characteristics of conventional and trunked land mobile systems operating in the mobile service allocations below 869 MHz to be used in sharing studies in bands below 960 MHz</w:t>
      </w:r>
      <w:r w:rsidR="001B10E6">
        <w:rPr>
          <w:noProof/>
        </w:rPr>
        <w:t>”</w:t>
      </w:r>
    </w:p>
    <w:p w14:paraId="5689947B" w14:textId="1DC1326F" w:rsidR="00C5140E" w:rsidRPr="006D6727" w:rsidRDefault="00C5140E" w:rsidP="00F96A5B">
      <w:pPr>
        <w:pStyle w:val="ECCReference"/>
        <w:spacing w:after="60"/>
        <w:rPr>
          <w:rStyle w:val="ECCParagraph"/>
          <w:noProof/>
        </w:rPr>
      </w:pPr>
      <w:bookmarkStart w:id="1112" w:name="ITU_R_P_833_9"/>
      <w:bookmarkEnd w:id="1112"/>
      <w:r w:rsidRPr="006D6727">
        <w:rPr>
          <w:rStyle w:val="ECCParagraph"/>
          <w:noProof/>
        </w:rPr>
        <w:t xml:space="preserve">Recommendation ITU-R P.833-9: </w:t>
      </w:r>
      <w:r w:rsidR="001B10E6">
        <w:rPr>
          <w:rStyle w:val="ECCParagraph"/>
          <w:noProof/>
        </w:rPr>
        <w:t>“</w:t>
      </w:r>
      <w:r w:rsidRPr="006D6727">
        <w:rPr>
          <w:rStyle w:val="ECCParagraph"/>
          <w:noProof/>
        </w:rPr>
        <w:t>Attenuation in vegetation</w:t>
      </w:r>
      <w:r w:rsidR="001B10E6">
        <w:rPr>
          <w:rStyle w:val="ECCParagraph"/>
          <w:noProof/>
        </w:rPr>
        <w:t>”</w:t>
      </w:r>
    </w:p>
    <w:p w14:paraId="77120E65" w14:textId="17B89023" w:rsidR="00A92A21" w:rsidRPr="006D6727" w:rsidRDefault="00A92A21" w:rsidP="00F96A5B">
      <w:pPr>
        <w:pStyle w:val="ECCReference"/>
        <w:spacing w:after="60"/>
        <w:rPr>
          <w:rStyle w:val="ECCParagraph"/>
          <w:noProof/>
        </w:rPr>
      </w:pPr>
      <w:bookmarkStart w:id="1113" w:name="ITU_R_P_1410_5"/>
      <w:bookmarkEnd w:id="1113"/>
      <w:r w:rsidRPr="006D6727">
        <w:rPr>
          <w:rStyle w:val="ECCParagraph"/>
          <w:noProof/>
        </w:rPr>
        <w:t xml:space="preserve">Recommendation ITU-R P.1410-5: </w:t>
      </w:r>
      <w:r w:rsidR="001B10E6">
        <w:rPr>
          <w:rStyle w:val="ECCParagraph"/>
          <w:noProof/>
        </w:rPr>
        <w:t>“</w:t>
      </w:r>
      <w:r w:rsidRPr="006D6727">
        <w:rPr>
          <w:rStyle w:val="ECCParagraph"/>
          <w:noProof/>
        </w:rPr>
        <w:t>Propagation data and prediction methods required for the design of terrestrial broadband radio access systems operating in a frequency range from 3 to 60</w:t>
      </w:r>
      <w:r w:rsidR="00AF3B80">
        <w:rPr>
          <w:rStyle w:val="ECCParagraph"/>
        </w:rPr>
        <w:t> </w:t>
      </w:r>
      <w:r w:rsidRPr="006D6727">
        <w:rPr>
          <w:rStyle w:val="ECCParagraph"/>
          <w:noProof/>
        </w:rPr>
        <w:t>GHz</w:t>
      </w:r>
      <w:r w:rsidR="001B10E6">
        <w:rPr>
          <w:rStyle w:val="ECCParagraph"/>
          <w:noProof/>
        </w:rPr>
        <w:t>”</w:t>
      </w:r>
    </w:p>
    <w:bookmarkStart w:id="1114" w:name="ECCRep111"/>
    <w:bookmarkEnd w:id="1114"/>
    <w:p w14:paraId="0ABF1F1F" w14:textId="053213EB" w:rsidR="00F42763" w:rsidRPr="00F42763" w:rsidRDefault="009D668D" w:rsidP="00F96A5B">
      <w:pPr>
        <w:pStyle w:val="ECCReference"/>
        <w:spacing w:after="60"/>
        <w:rPr>
          <w:rStyle w:val="ECCParagraph"/>
        </w:rPr>
      </w:pPr>
      <w:r>
        <w:fldChar w:fldCharType="begin"/>
      </w:r>
      <w:r>
        <w:instrText>HYPERLINK "https://docdb.cept.org/document/219"</w:instrText>
      </w:r>
      <w:r>
        <w:fldChar w:fldCharType="separate"/>
      </w:r>
      <w:r>
        <w:rPr>
          <w:rStyle w:val="Hyperlink"/>
        </w:rPr>
        <w:t>ECC Report 111</w:t>
      </w:r>
      <w:r>
        <w:fldChar w:fldCharType="end"/>
      </w:r>
      <w:r w:rsidR="00996BA5" w:rsidRPr="00996BA5">
        <w:t xml:space="preserve">: </w:t>
      </w:r>
      <w:r>
        <w:t>“</w:t>
      </w:r>
      <w:r w:rsidR="00F42763" w:rsidRPr="00F42763">
        <w:t>Compatibility studies between Ground Based Synthetic Aperture Radar (GBSAR) and existing services in the range 17.1 GHz to 17.3</w:t>
      </w:r>
      <w:r w:rsidR="00AF3B80">
        <w:t> </w:t>
      </w:r>
      <w:r w:rsidR="00F42763" w:rsidRPr="00F42763">
        <w:t>GHz</w:t>
      </w:r>
      <w:r w:rsidR="00F42763" w:rsidRPr="00F42763">
        <w:rPr>
          <w:rStyle w:val="ECCParagraph"/>
        </w:rPr>
        <w:fldChar w:fldCharType="begin"/>
      </w:r>
      <w:r w:rsidR="00F42763" w:rsidRPr="00F42763">
        <w:rPr>
          <w:rStyle w:val="ECCParagraph"/>
        </w:rPr>
        <w:instrText xml:space="preserve"> REF ECCRep282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ECCRep282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ECCRep282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ETSITR103498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ETSIEN302729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ETSIEN302729  \* MERGEFORMAT </w:instrText>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ETSITR103498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ETSITR103498 \h  \* MERGEFORMAT </w:instrText>
      </w:r>
      <w:r w:rsidR="00F42763" w:rsidRPr="00F42763">
        <w:rPr>
          <w:rStyle w:val="ECCParagraph"/>
        </w:rPr>
      </w:r>
      <w:r w:rsidR="00F42763" w:rsidRPr="00F42763">
        <w:rPr>
          <w:rStyle w:val="ECCParagraph"/>
        </w:rPr>
        <w:fldChar w:fldCharType="end"/>
      </w:r>
      <w:r>
        <w:rPr>
          <w:rStyle w:val="ECCParagraph"/>
        </w:rPr>
        <w:t>”</w:t>
      </w:r>
      <w:r w:rsidR="00402F27">
        <w:rPr>
          <w:rStyle w:val="ECCParagraph"/>
        </w:rPr>
        <w:t>, approved September 2007</w:t>
      </w:r>
    </w:p>
    <w:bookmarkStart w:id="1115" w:name="ECCRep315"/>
    <w:bookmarkEnd w:id="1115"/>
    <w:p w14:paraId="6119A76D" w14:textId="6B864F11" w:rsidR="002C3267" w:rsidRDefault="00CA0335" w:rsidP="00F96A5B">
      <w:pPr>
        <w:pStyle w:val="ECCReference"/>
        <w:spacing w:after="60"/>
      </w:pPr>
      <w:r>
        <w:rPr>
          <w:rStyle w:val="ECCParagraph"/>
        </w:rPr>
        <w:fldChar w:fldCharType="begin"/>
      </w:r>
      <w:r>
        <w:rPr>
          <w:rStyle w:val="ECCParagraph"/>
        </w:rPr>
        <w:instrText>HYPERLINK "https://docdb.cept.org/document/14485"</w:instrText>
      </w:r>
      <w:r>
        <w:rPr>
          <w:rStyle w:val="ECCParagraph"/>
        </w:rPr>
      </w:r>
      <w:r>
        <w:rPr>
          <w:rStyle w:val="ECCParagraph"/>
        </w:rPr>
        <w:fldChar w:fldCharType="separate"/>
      </w:r>
      <w:r>
        <w:rPr>
          <w:rStyle w:val="Hyperlink"/>
        </w:rPr>
        <w:t>ECC Report 315</w:t>
      </w:r>
      <w:r>
        <w:rPr>
          <w:rStyle w:val="ECCParagraph"/>
        </w:rPr>
        <w:fldChar w:fldCharType="end"/>
      </w:r>
      <w:r w:rsidR="00996BA5">
        <w:rPr>
          <w:rStyle w:val="ECCParagraph"/>
        </w:rPr>
        <w:t xml:space="preserve">: </w:t>
      </w:r>
      <w:r w:rsidR="00F97862">
        <w:rPr>
          <w:rStyle w:val="ECCParagraph"/>
        </w:rPr>
        <w:t>“</w:t>
      </w:r>
      <w:r w:rsidR="00996BA5" w:rsidRPr="00996BA5">
        <w:t>Feasibility of spectrum sharing between High-Definition Ground Based Synthetic Aperture Radar (HD-GBSAR) application using 1</w:t>
      </w:r>
      <w:r w:rsidR="00AF3B80">
        <w:t> </w:t>
      </w:r>
      <w:r w:rsidR="00996BA5" w:rsidRPr="00996BA5">
        <w:t>GHz bandwidth within 74-81</w:t>
      </w:r>
      <w:r w:rsidR="00AF3B80">
        <w:t> </w:t>
      </w:r>
      <w:r w:rsidR="00996BA5" w:rsidRPr="00996BA5">
        <w:t>GHz and existing services and applications</w:t>
      </w:r>
      <w:r w:rsidR="00F97862">
        <w:t>”</w:t>
      </w:r>
      <w:r>
        <w:t>, approved May 2020</w:t>
      </w:r>
    </w:p>
    <w:p w14:paraId="3038DF29" w14:textId="2487D178" w:rsidR="0065716D" w:rsidRPr="0065716D" w:rsidRDefault="00413855" w:rsidP="00F97862">
      <w:pPr>
        <w:pStyle w:val="ECCReference"/>
        <w:spacing w:after="60"/>
        <w:jc w:val="left"/>
        <w:rPr>
          <w:rStyle w:val="ECCParagraph"/>
        </w:rPr>
      </w:pPr>
      <w:bookmarkStart w:id="1116" w:name="Limb_sounding_satellite"/>
      <w:bookmarkEnd w:id="1116"/>
      <w:r w:rsidRPr="0065716D">
        <w:rPr>
          <w:rStyle w:val="ECCParagraph"/>
        </w:rPr>
        <w:t xml:space="preserve">THE ATMOSPHERIC LIMB SOUNDING SATELLITE (ALISS) ", Siores E. Christopher (Environment and Climate Change Canada), Murtagh Donald (Chalmers University of Technology), Piekutowski Thomas (Canadian space agency) et all. Paper available through </w:t>
      </w:r>
      <w:hyperlink r:id="rId228" w:history="1">
        <w:r w:rsidRPr="0065716D">
          <w:rPr>
            <w:rStyle w:val="ECCParagraph"/>
          </w:rPr>
          <w:t>https://www.researchgate.net/publication/282886083</w:t>
        </w:r>
      </w:hyperlink>
    </w:p>
    <w:p w14:paraId="10D5E437" w14:textId="0A7C474F" w:rsidR="009D23D5" w:rsidRPr="009D23D5" w:rsidRDefault="009D23D5" w:rsidP="00F96A5B">
      <w:pPr>
        <w:pStyle w:val="ECCReference"/>
        <w:spacing w:after="60"/>
        <w:rPr>
          <w:rStyle w:val="ECCParagraph"/>
        </w:rPr>
      </w:pPr>
      <w:bookmarkStart w:id="1117" w:name="FMCW_Radar_240GHz"/>
      <w:bookmarkEnd w:id="1117"/>
      <w:r w:rsidRPr="009D23D5">
        <w:rPr>
          <w:rStyle w:val="ECCParagraph"/>
        </w:rPr>
        <w:t>S. Thomas, C. Bredendiek and N. Pohl, "A SiGe-Based 240-GHz FMCW Radar System for High-Resolution Measurements," in IEEE Transactions on Microwave Theory and Techniques, vol. 67, no. 11, pp. 4599-4609, Nov. 2019, doi: 10.1109/TMTT.2019.2916851</w:t>
      </w:r>
    </w:p>
    <w:p w14:paraId="78A0CDEC" w14:textId="5CC851E0" w:rsidR="009D23D5" w:rsidRPr="009D23D5" w:rsidRDefault="009D23D5" w:rsidP="00F96A5B">
      <w:pPr>
        <w:pStyle w:val="ECCReference"/>
        <w:spacing w:after="60"/>
        <w:rPr>
          <w:rStyle w:val="ECCParagraph"/>
        </w:rPr>
      </w:pPr>
      <w:bookmarkStart w:id="1118" w:name="FMCW_Radar_Sensor"/>
      <w:bookmarkEnd w:id="1118"/>
      <w:r w:rsidRPr="009D23D5">
        <w:t>L. Piotrowsky, T. Jaeschke, S. Kueppers, J. Siska and N. Pohl, "Enabling High Accuracy Distance Measurements With FMCW Radar Sensors," in IEEE Transactions on Microwave Theory and Techniques, vol. 67, no. 12, pp. 5360-5371, Dec. 2019, doi: 10.1109/TMTT.2019.2930504</w:t>
      </w:r>
    </w:p>
    <w:p w14:paraId="4C08BC90" w14:textId="0BF9F6B7" w:rsidR="004303A0" w:rsidRPr="004303A0" w:rsidRDefault="004303A0" w:rsidP="00F96A5B">
      <w:pPr>
        <w:pStyle w:val="ECCReference"/>
        <w:spacing w:after="60"/>
      </w:pPr>
      <w:bookmarkStart w:id="1119" w:name="LFM_ranging_radar"/>
      <w:bookmarkEnd w:id="1119"/>
      <w:r w:rsidRPr="004303A0">
        <w:t>H. A. Ahmed, A. N. Hafez, and A. H. Khalil, “Novel technique for reducing effects of non-linear frequency sweeps in LFM ranging radars,” in 2009 4th International Design and Test Workshop (IDT)</w:t>
      </w:r>
    </w:p>
    <w:p w14:paraId="0636B476" w14:textId="0F7A7305" w:rsidR="00F71B56" w:rsidRDefault="004303A0" w:rsidP="00F96A5B">
      <w:pPr>
        <w:pStyle w:val="ECCReference"/>
        <w:spacing w:after="60"/>
      </w:pPr>
      <w:bookmarkStart w:id="1120" w:name="fractional_N_PLL"/>
      <w:bookmarkEnd w:id="1120"/>
      <w:r w:rsidRPr="004303A0">
        <w:t>H. J. Ng, A. Fischer, R. Feger, R. Stuhlberger, L. Maurer, and A. Stelzer, “A DLL-supported, low phase noise fractional-N PLL with a wideband VCO and a highly linear frequency ramp generator for FMCW radars,” IEEE Transactions on Circuits and Systems I: Regular Papers, vol. 60, no. 12, pp. 3289–3302, 2013.Nov 2009, pp. 1–5</w:t>
      </w:r>
    </w:p>
    <w:p w14:paraId="7BB5C5AA" w14:textId="679B448E" w:rsidR="005B5782" w:rsidRDefault="00F71B56" w:rsidP="00F96A5B">
      <w:pPr>
        <w:pStyle w:val="ECCReference"/>
        <w:spacing w:after="60"/>
      </w:pPr>
      <w:bookmarkStart w:id="1121" w:name="Window_functions"/>
      <w:bookmarkEnd w:id="1121"/>
      <w:r w:rsidRPr="00E91B9E">
        <w:t>F. J. Harris, "On the use of windows for harmonic analysis with the discrete Fourier transform," in Proceedings of the IEEE, vol. 66, no. 1, pp. 51-83, Jan. 1978, doi: 10.1109/PROC.1978.10837</w:t>
      </w:r>
    </w:p>
    <w:bookmarkStart w:id="1122" w:name="ECCRep123"/>
    <w:bookmarkEnd w:id="1122"/>
    <w:p w14:paraId="076D10CF" w14:textId="131AF929" w:rsidR="00BD371E" w:rsidRDefault="007E1662" w:rsidP="00F96A5B">
      <w:pPr>
        <w:pStyle w:val="ECCReference"/>
        <w:spacing w:after="60"/>
      </w:pPr>
      <w:r>
        <w:fldChar w:fldCharType="begin"/>
      </w:r>
      <w:r>
        <w:instrText>HYPERLINK "https://docdb.cept.org/document/231"</w:instrText>
      </w:r>
      <w:r>
        <w:fldChar w:fldCharType="separate"/>
      </w:r>
      <w:r>
        <w:rPr>
          <w:rStyle w:val="Hyperlink"/>
        </w:rPr>
        <w:t>ECC Report 123</w:t>
      </w:r>
      <w:r>
        <w:fldChar w:fldCharType="end"/>
      </w:r>
      <w:r w:rsidR="005B5782" w:rsidRPr="005B5782">
        <w:t xml:space="preserve">: </w:t>
      </w:r>
      <w:r w:rsidR="00F73FEE">
        <w:t>“</w:t>
      </w:r>
      <w:r w:rsidR="005B5782" w:rsidRPr="005B5782">
        <w:t>The impact of Object Discrimination and Characterization (ODC) applications using Ultra-Wideband (UWB) technology on radio services</w:t>
      </w:r>
      <w:r w:rsidR="00F73FEE">
        <w:t>”</w:t>
      </w:r>
    </w:p>
    <w:p w14:paraId="7E2A8706" w14:textId="03F11AA7" w:rsidR="00451BA7" w:rsidRDefault="00BD371E">
      <w:pPr>
        <w:pStyle w:val="ECCReference"/>
        <w:spacing w:after="60"/>
        <w:rPr>
          <w:rStyle w:val="ECCParagraph"/>
        </w:rPr>
      </w:pPr>
      <w:bookmarkStart w:id="1123" w:name="ITU_R_Rep_SM_2057"/>
      <w:bookmarkEnd w:id="1123"/>
      <w:r w:rsidRPr="00BD371E">
        <w:rPr>
          <w:rStyle w:val="ECCParagraph"/>
        </w:rPr>
        <w:t>R</w:t>
      </w:r>
      <w:r>
        <w:rPr>
          <w:rStyle w:val="ECCParagraph"/>
        </w:rPr>
        <w:t>eport</w:t>
      </w:r>
      <w:r w:rsidRPr="00BD371E">
        <w:rPr>
          <w:rStyle w:val="ECCParagraph"/>
        </w:rPr>
        <w:t xml:space="preserve"> ITU-R </w:t>
      </w:r>
      <w:r>
        <w:rPr>
          <w:rStyle w:val="ECCParagraph"/>
        </w:rPr>
        <w:t>SM</w:t>
      </w:r>
      <w:r w:rsidRPr="00BD371E">
        <w:rPr>
          <w:rStyle w:val="ECCParagraph"/>
        </w:rPr>
        <w:t>.</w:t>
      </w:r>
      <w:r>
        <w:rPr>
          <w:rStyle w:val="ECCParagraph"/>
        </w:rPr>
        <w:t>2057</w:t>
      </w:r>
      <w:r w:rsidRPr="00BD371E">
        <w:rPr>
          <w:rStyle w:val="ECCParagraph"/>
        </w:rPr>
        <w:t xml:space="preserve">: </w:t>
      </w:r>
      <w:r w:rsidR="00F73FEE">
        <w:rPr>
          <w:rStyle w:val="ECCParagraph"/>
        </w:rPr>
        <w:t>“</w:t>
      </w:r>
      <w:r w:rsidRPr="00BD371E">
        <w:rPr>
          <w:lang w:eastAsia="en-US"/>
        </w:rPr>
        <w:t>Studies related to the impact of devices using ultra-wideband</w:t>
      </w:r>
      <w:r w:rsidR="005C3D16">
        <w:t xml:space="preserve"> </w:t>
      </w:r>
      <w:r w:rsidRPr="00BD371E">
        <w:rPr>
          <w:lang w:eastAsia="en-US"/>
        </w:rPr>
        <w:t>technology on radiocommunication services</w:t>
      </w:r>
      <w:r w:rsidR="00F73FEE">
        <w:rPr>
          <w:lang w:eastAsia="en-US"/>
        </w:rPr>
        <w:t>”</w:t>
      </w:r>
      <w:r w:rsidR="007E1662">
        <w:rPr>
          <w:lang w:eastAsia="en-US"/>
        </w:rPr>
        <w:t>, approved September 2008</w:t>
      </w:r>
      <w:r w:rsidR="00F42763">
        <w:rPr>
          <w:rStyle w:val="ECCParagraph"/>
          <w:noProof/>
        </w:rPr>
        <w:fldChar w:fldCharType="begin"/>
      </w:r>
      <w:r w:rsidR="00F42763">
        <w:rPr>
          <w:rStyle w:val="ECCParagraph"/>
          <w:noProof/>
        </w:rPr>
        <w:instrText xml:space="preserve"> REF ECCRep111 \h </w:instrText>
      </w:r>
      <w:r w:rsidR="00F42763">
        <w:rPr>
          <w:rStyle w:val="ECCParagraph"/>
          <w:noProof/>
        </w:rPr>
      </w:r>
      <w:r w:rsidR="00F42763">
        <w:rPr>
          <w:rStyle w:val="ECCParagraph"/>
          <w:noProof/>
        </w:rPr>
        <w:fldChar w:fldCharType="end"/>
      </w:r>
      <w:r w:rsidR="00F42763">
        <w:rPr>
          <w:rStyle w:val="ECCParagraph"/>
          <w:noProof/>
        </w:rPr>
        <w:fldChar w:fldCharType="begin"/>
      </w:r>
      <w:r w:rsidR="00F42763">
        <w:rPr>
          <w:rStyle w:val="ECCParagraph"/>
          <w:noProof/>
        </w:rPr>
        <w:instrText xml:space="preserve"> REF ECCRep111 \h </w:instrText>
      </w:r>
      <w:r w:rsidR="00F42763">
        <w:rPr>
          <w:rStyle w:val="ECCParagraph"/>
          <w:noProof/>
        </w:rPr>
      </w:r>
      <w:r w:rsidR="00F42763">
        <w:rPr>
          <w:rStyle w:val="ECCParagraph"/>
          <w:noProof/>
        </w:rPr>
        <w:fldChar w:fldCharType="end"/>
      </w:r>
      <w:r w:rsidR="00842BEB" w:rsidRPr="006D6727">
        <w:rPr>
          <w:rStyle w:val="ECCParagraph"/>
          <w:noProof/>
        </w:rPr>
        <w:fldChar w:fldCharType="begin"/>
      </w:r>
      <w:r w:rsidR="00842BEB" w:rsidRPr="006D6727">
        <w:rPr>
          <w:rStyle w:val="ECCParagraph"/>
          <w:noProof/>
        </w:rPr>
        <w:instrText xml:space="preserve"> REF ECCRep282 \h </w:instrText>
      </w:r>
      <w:r w:rsidR="00D97AAA" w:rsidRPr="006D6727">
        <w:rPr>
          <w:rStyle w:val="ECCParagraph"/>
          <w:noProof/>
        </w:rPr>
        <w:instrText xml:space="preserve"> \* MERGEFORMAT </w:instrText>
      </w:r>
      <w:r w:rsidR="00842BEB" w:rsidRPr="006D6727">
        <w:rPr>
          <w:rStyle w:val="ECCParagraph"/>
          <w:noProof/>
        </w:rPr>
      </w:r>
      <w:r w:rsidR="00842BEB" w:rsidRPr="006D6727">
        <w:rPr>
          <w:rStyle w:val="ECCParagraph"/>
          <w:noProof/>
        </w:rPr>
        <w:fldChar w:fldCharType="end"/>
      </w:r>
      <w:r w:rsidR="00842BEB" w:rsidRPr="006D6727">
        <w:rPr>
          <w:rStyle w:val="ECCParagraph"/>
          <w:noProof/>
        </w:rPr>
        <w:fldChar w:fldCharType="begin"/>
      </w:r>
      <w:r w:rsidR="00842BEB" w:rsidRPr="006D6727">
        <w:rPr>
          <w:rStyle w:val="ECCParagraph"/>
          <w:noProof/>
        </w:rPr>
        <w:instrText xml:space="preserve"> REF ECCRep282 \h </w:instrText>
      </w:r>
      <w:r w:rsidR="00D97AAA" w:rsidRPr="006D6727">
        <w:rPr>
          <w:rStyle w:val="ECCParagraph"/>
          <w:noProof/>
        </w:rPr>
        <w:instrText xml:space="preserve"> \* MERGEFORMAT </w:instrText>
      </w:r>
      <w:r w:rsidR="00842BEB" w:rsidRPr="006D6727">
        <w:rPr>
          <w:rStyle w:val="ECCParagraph"/>
          <w:noProof/>
        </w:rPr>
      </w:r>
      <w:r w:rsidR="00842BEB" w:rsidRPr="006D6727">
        <w:rPr>
          <w:rStyle w:val="ECCParagraph"/>
          <w:noProof/>
        </w:rPr>
        <w:fldChar w:fldCharType="end"/>
      </w:r>
      <w:r w:rsidR="00842BEB" w:rsidRPr="006D6727">
        <w:rPr>
          <w:rStyle w:val="ECCParagraph"/>
          <w:noProof/>
        </w:rPr>
        <w:fldChar w:fldCharType="begin"/>
      </w:r>
      <w:r w:rsidR="00842BEB" w:rsidRPr="006D6727">
        <w:rPr>
          <w:rStyle w:val="ECCParagraph"/>
          <w:noProof/>
        </w:rPr>
        <w:instrText xml:space="preserve"> REF ECCRep282 \h </w:instrText>
      </w:r>
      <w:r w:rsidR="00D97AAA" w:rsidRPr="006D6727">
        <w:rPr>
          <w:rStyle w:val="ECCParagraph"/>
          <w:noProof/>
        </w:rPr>
        <w:instrText xml:space="preserve"> \* MERGEFORMAT </w:instrText>
      </w:r>
      <w:r w:rsidR="00842BEB" w:rsidRPr="006D6727">
        <w:rPr>
          <w:rStyle w:val="ECCParagraph"/>
          <w:noProof/>
        </w:rPr>
      </w:r>
      <w:r w:rsidR="00842BEB" w:rsidRPr="006D6727">
        <w:rPr>
          <w:rStyle w:val="ECCParagraph"/>
          <w:noProof/>
        </w:rPr>
        <w:fldChar w:fldCharType="end"/>
      </w:r>
      <w:r w:rsidR="00DF3A69" w:rsidRPr="006D6727">
        <w:rPr>
          <w:rStyle w:val="ECCParagraph"/>
          <w:noProof/>
        </w:rPr>
        <w:fldChar w:fldCharType="begin"/>
      </w:r>
      <w:r w:rsidR="00DF3A69" w:rsidRPr="006D6727">
        <w:rPr>
          <w:rStyle w:val="ECCParagraph"/>
          <w:noProof/>
        </w:rPr>
        <w:instrText xml:space="preserve"> REF ETSITR103498 \h </w:instrText>
      </w:r>
      <w:r w:rsidR="00D97AAA" w:rsidRPr="006D6727">
        <w:rPr>
          <w:rStyle w:val="ECCParagraph"/>
          <w:noProof/>
        </w:rPr>
        <w:instrText xml:space="preserve"> \* MERGEFORMAT </w:instrText>
      </w:r>
      <w:r w:rsidR="00DF3A69" w:rsidRPr="006D6727">
        <w:rPr>
          <w:rStyle w:val="ECCParagraph"/>
          <w:noProof/>
        </w:rPr>
      </w:r>
      <w:r w:rsidR="00DF3A69" w:rsidRPr="006D6727">
        <w:rPr>
          <w:rStyle w:val="ECCParagraph"/>
          <w:noProof/>
        </w:rPr>
        <w:fldChar w:fldCharType="end"/>
      </w:r>
      <w:r w:rsidR="00B13A70" w:rsidRPr="006D6727">
        <w:rPr>
          <w:rStyle w:val="ECCParagraph"/>
          <w:noProof/>
        </w:rPr>
        <w:fldChar w:fldCharType="begin"/>
      </w:r>
      <w:r w:rsidR="00B13A70" w:rsidRPr="006D6727">
        <w:rPr>
          <w:rStyle w:val="ECCParagraph"/>
          <w:noProof/>
        </w:rPr>
        <w:instrText xml:space="preserve"> REF ETSIEN302729 \h </w:instrText>
      </w:r>
      <w:r w:rsidR="00D97AAA" w:rsidRPr="006D6727">
        <w:rPr>
          <w:rStyle w:val="ECCParagraph"/>
          <w:noProof/>
        </w:rPr>
        <w:instrText xml:space="preserve"> \* MERGEFORMAT </w:instrText>
      </w:r>
      <w:r w:rsidR="00B13A70" w:rsidRPr="006D6727">
        <w:rPr>
          <w:rStyle w:val="ECCParagraph"/>
          <w:noProof/>
        </w:rPr>
      </w:r>
      <w:r w:rsidR="00B13A70" w:rsidRPr="006D6727">
        <w:rPr>
          <w:rStyle w:val="ECCParagraph"/>
          <w:noProof/>
        </w:rPr>
        <w:fldChar w:fldCharType="end"/>
      </w:r>
      <w:r w:rsidR="00B13A70" w:rsidRPr="006D6727">
        <w:rPr>
          <w:rStyle w:val="ECCParagraph"/>
          <w:noProof/>
        </w:rPr>
        <w:fldChar w:fldCharType="begin"/>
      </w:r>
      <w:r w:rsidR="00B13A70" w:rsidRPr="006D6727">
        <w:rPr>
          <w:rStyle w:val="ECCParagraph"/>
          <w:noProof/>
        </w:rPr>
        <w:instrText xml:space="preserve"> REF ETSIEN302729 </w:instrText>
      </w:r>
      <w:r w:rsidR="00D97AAA" w:rsidRPr="006D6727">
        <w:rPr>
          <w:rStyle w:val="ECCParagraph"/>
          <w:noProof/>
        </w:rPr>
        <w:instrText xml:space="preserve"> \* MERGEFORMAT </w:instrText>
      </w:r>
      <w:r w:rsidR="00B13A70" w:rsidRPr="006D6727">
        <w:rPr>
          <w:rStyle w:val="ECCParagraph"/>
          <w:noProof/>
        </w:rPr>
        <w:fldChar w:fldCharType="end"/>
      </w:r>
      <w:r w:rsidR="008D18EE" w:rsidRPr="006D6727">
        <w:rPr>
          <w:rStyle w:val="ECCParagraph"/>
          <w:noProof/>
        </w:rPr>
        <w:fldChar w:fldCharType="begin"/>
      </w:r>
      <w:r w:rsidR="008D18EE" w:rsidRPr="006D6727">
        <w:rPr>
          <w:rStyle w:val="ECCParagraph"/>
          <w:noProof/>
        </w:rPr>
        <w:instrText xml:space="preserve"> REF ETSITR103498 \h </w:instrText>
      </w:r>
      <w:r w:rsidR="00D97AAA" w:rsidRPr="006D6727">
        <w:rPr>
          <w:rStyle w:val="ECCParagraph"/>
          <w:noProof/>
        </w:rPr>
        <w:instrText xml:space="preserve"> \* MERGEFORMAT </w:instrText>
      </w:r>
      <w:r w:rsidR="008D18EE" w:rsidRPr="006D6727">
        <w:rPr>
          <w:rStyle w:val="ECCParagraph"/>
          <w:noProof/>
        </w:rPr>
      </w:r>
      <w:r w:rsidR="008D18EE" w:rsidRPr="006D6727">
        <w:rPr>
          <w:rStyle w:val="ECCParagraph"/>
          <w:noProof/>
        </w:rPr>
        <w:fldChar w:fldCharType="end"/>
      </w:r>
      <w:r w:rsidR="008D18EE" w:rsidRPr="006D6727">
        <w:rPr>
          <w:rStyle w:val="ECCParagraph"/>
          <w:noProof/>
        </w:rPr>
        <w:fldChar w:fldCharType="begin"/>
      </w:r>
      <w:r w:rsidR="008D18EE" w:rsidRPr="006D6727">
        <w:rPr>
          <w:rStyle w:val="ECCParagraph"/>
          <w:noProof/>
        </w:rPr>
        <w:instrText xml:space="preserve"> REF ETSITR103498 \h </w:instrText>
      </w:r>
      <w:r w:rsidR="00D97AAA" w:rsidRPr="006D6727">
        <w:rPr>
          <w:rStyle w:val="ECCParagraph"/>
          <w:noProof/>
        </w:rPr>
        <w:instrText xml:space="preserve"> \* MERGEFORMAT </w:instrText>
      </w:r>
      <w:r w:rsidR="008D18EE" w:rsidRPr="006D6727">
        <w:rPr>
          <w:rStyle w:val="ECCParagraph"/>
          <w:noProof/>
        </w:rPr>
      </w:r>
      <w:r w:rsidR="008D18EE" w:rsidRPr="006D6727">
        <w:rPr>
          <w:rStyle w:val="ECCParagraph"/>
          <w:noProof/>
        </w:rPr>
        <w:fldChar w:fldCharType="end"/>
      </w:r>
      <w:bookmarkEnd w:id="1042"/>
    </w:p>
    <w:bookmarkStart w:id="1124" w:name="ECCRep302"/>
    <w:bookmarkStart w:id="1125" w:name="_Ref88224248"/>
    <w:bookmarkStart w:id="1126" w:name="_Ref126740783"/>
    <w:bookmarkEnd w:id="1124"/>
    <w:p w14:paraId="6C3115BA" w14:textId="2D4822D6" w:rsidR="00BF5F3C" w:rsidRDefault="00792E5B">
      <w:pPr>
        <w:pStyle w:val="ECCReference"/>
        <w:spacing w:after="60"/>
      </w:pPr>
      <w:r>
        <w:rPr>
          <w:rStyle w:val="ECCParagraph"/>
        </w:rPr>
        <w:fldChar w:fldCharType="begin"/>
      </w:r>
      <w:r>
        <w:rPr>
          <w:rStyle w:val="ECCParagraph"/>
        </w:rPr>
        <w:instrText>HYPERLINK "https://docdb.cept.org/document/10170"</w:instrText>
      </w:r>
      <w:r>
        <w:rPr>
          <w:rStyle w:val="ECCParagraph"/>
        </w:rPr>
      </w:r>
      <w:r>
        <w:rPr>
          <w:rStyle w:val="ECCParagraph"/>
        </w:rPr>
        <w:fldChar w:fldCharType="separate"/>
      </w:r>
      <w:r>
        <w:rPr>
          <w:rStyle w:val="Hyperlink"/>
        </w:rPr>
        <w:t>ECC Report 302:</w:t>
      </w:r>
      <w:r>
        <w:rPr>
          <w:rStyle w:val="ECCParagraph"/>
        </w:rPr>
        <w:fldChar w:fldCharType="end"/>
      </w:r>
      <w:r>
        <w:rPr>
          <w:rStyle w:val="ECCParagraph"/>
        </w:rPr>
        <w:t xml:space="preserve"> </w:t>
      </w:r>
      <w:bookmarkEnd w:id="1125"/>
      <w:r w:rsidR="00063269">
        <w:rPr>
          <w:rStyle w:val="ECCParagraph"/>
        </w:rPr>
        <w:t>“</w:t>
      </w:r>
      <w:r w:rsidR="00063269">
        <w:t>Sharing and compatibility studies related to Wireless Access Systems including Radio Local Area Networks (WAS/RLAN) in the frequency band 5925-6425 MHz”</w:t>
      </w:r>
      <w:r w:rsidR="007E1662">
        <w:t>, approved May 2019</w:t>
      </w:r>
      <w:bookmarkEnd w:id="1126"/>
    </w:p>
    <w:p w14:paraId="5B02C010" w14:textId="6EE7A13F" w:rsidR="00257CF0" w:rsidRDefault="00257CF0">
      <w:pPr>
        <w:pStyle w:val="ECCReference"/>
        <w:spacing w:after="60"/>
      </w:pPr>
      <w:bookmarkStart w:id="1127" w:name="ITURR"/>
      <w:bookmarkStart w:id="1128" w:name="_Ref127346430"/>
      <w:bookmarkEnd w:id="1127"/>
      <w:r>
        <w:t>ITU Radio R</w:t>
      </w:r>
      <w:r w:rsidR="00361DFB">
        <w:t>e</w:t>
      </w:r>
      <w:r>
        <w:t>gulations, Edition 2020</w:t>
      </w:r>
      <w:bookmarkEnd w:id="1128"/>
    </w:p>
    <w:bookmarkStart w:id="1129" w:name="ECCRep351"/>
    <w:bookmarkEnd w:id="1129"/>
    <w:p w14:paraId="12094EF1" w14:textId="486568A4" w:rsidR="00257CF0" w:rsidRPr="00257CF0" w:rsidRDefault="00F007F3" w:rsidP="00257CF0">
      <w:pPr>
        <w:pStyle w:val="ECCReference"/>
        <w:rPr>
          <w:rStyle w:val="ECCParagraph"/>
        </w:rPr>
      </w:pPr>
      <w:r>
        <w:fldChar w:fldCharType="begin"/>
      </w:r>
      <w:r>
        <w:instrText>HYPERLINK "https://docdb.cept.org/document/28588"</w:instrText>
      </w:r>
      <w:r>
        <w:fldChar w:fldCharType="separate"/>
      </w:r>
      <w:r>
        <w:rPr>
          <w:rStyle w:val="Hyperlink"/>
        </w:rPr>
        <w:t>ECC Report 351</w:t>
      </w:r>
      <w:r>
        <w:fldChar w:fldCharType="end"/>
      </w:r>
      <w:r w:rsidR="00257CF0" w:rsidRPr="00257CF0">
        <w:rPr>
          <w:rStyle w:val="ECCParagraph"/>
        </w:rPr>
        <w:t xml:space="preserve">: "UWB radiodetermination applications within the frequency range 116 GHz to 148.5 GHz for vehicular use", approved </w:t>
      </w:r>
      <w:r w:rsidR="0025339C">
        <w:rPr>
          <w:rStyle w:val="ECCParagraph"/>
        </w:rPr>
        <w:t>February 2023</w:t>
      </w:r>
    </w:p>
    <w:p w14:paraId="7E07E0B4" w14:textId="049F1C48" w:rsidR="002507A4" w:rsidRPr="006D6727" w:rsidRDefault="002507A4" w:rsidP="00F87F33">
      <w:pPr>
        <w:pStyle w:val="ECCReference"/>
        <w:numPr>
          <w:ilvl w:val="0"/>
          <w:numId w:val="0"/>
        </w:numPr>
        <w:rPr>
          <w:rStyle w:val="ECCParagraph"/>
        </w:rPr>
      </w:pPr>
    </w:p>
    <w:sectPr w:rsidR="002507A4" w:rsidRPr="006D6727" w:rsidSect="009B022D">
      <w:headerReference w:type="even" r:id="rId229"/>
      <w:headerReference w:type="default" r:id="rId230"/>
      <w:footerReference w:type="even" r:id="rId231"/>
      <w:footerReference w:type="default" r:id="rId232"/>
      <w:headerReference w:type="first" r:id="rId233"/>
      <w:footerReference w:type="first" r:id="rId234"/>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75977F" w14:textId="77777777" w:rsidR="00062D84" w:rsidRDefault="00062D84" w:rsidP="004930E1">
      <w:r>
        <w:separator/>
      </w:r>
    </w:p>
    <w:p w14:paraId="5941AE4A" w14:textId="77777777" w:rsidR="00062D84" w:rsidRDefault="00062D84" w:rsidP="004930E1"/>
  </w:endnote>
  <w:endnote w:type="continuationSeparator" w:id="0">
    <w:p w14:paraId="65936C97" w14:textId="77777777" w:rsidR="00062D84" w:rsidRDefault="00062D84" w:rsidP="004930E1">
      <w:r>
        <w:continuationSeparator/>
      </w:r>
    </w:p>
    <w:p w14:paraId="63B9D4BD" w14:textId="77777777" w:rsidR="00062D84" w:rsidRDefault="00062D84" w:rsidP="004930E1"/>
  </w:endnote>
  <w:endnote w:type="continuationNotice" w:id="1">
    <w:p w14:paraId="43A046CA" w14:textId="77777777" w:rsidR="00062D84" w:rsidRDefault="00062D84">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FF850" w14:textId="77777777" w:rsidR="00E70E36" w:rsidRDefault="00E70E36">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6F828" w14:textId="77777777" w:rsidR="00E70E36" w:rsidRDefault="00E70E36">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55A06" w14:textId="77777777" w:rsidR="00E70E36" w:rsidRDefault="00E70E36">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5E508" w14:textId="77777777" w:rsidR="00062D84" w:rsidRPr="00F7440E" w:rsidRDefault="00062D84" w:rsidP="004930E1">
      <w:pPr>
        <w:pStyle w:val="FootnoteText"/>
      </w:pPr>
      <w:r>
        <w:separator/>
      </w:r>
    </w:p>
  </w:footnote>
  <w:footnote w:type="continuationSeparator" w:id="0">
    <w:p w14:paraId="2645E8CE" w14:textId="77777777" w:rsidR="00062D84" w:rsidRPr="00F7440E" w:rsidRDefault="00062D84" w:rsidP="004930E1">
      <w:r>
        <w:continuationSeparator/>
      </w:r>
    </w:p>
  </w:footnote>
  <w:footnote w:type="continuationNotice" w:id="1">
    <w:p w14:paraId="341CF137" w14:textId="77777777" w:rsidR="00062D84" w:rsidRPr="00CD07E7" w:rsidRDefault="00062D84" w:rsidP="004930E1"/>
  </w:footnote>
  <w:footnote w:id="2">
    <w:p w14:paraId="5BF6ED3C" w14:textId="4DCF0F09" w:rsidR="00E70E36" w:rsidRDefault="00E70E36">
      <w:pPr>
        <w:pStyle w:val="FootnoteText"/>
      </w:pPr>
      <w:r>
        <w:rPr>
          <w:rStyle w:val="FootnoteReference"/>
        </w:rPr>
        <w:footnoteRef/>
      </w:r>
      <w:r>
        <w:t xml:space="preserve"> In ETSI TR 103 498 </w:t>
      </w:r>
      <w:r>
        <w:fldChar w:fldCharType="begin"/>
      </w:r>
      <w:r>
        <w:instrText xml:space="preserve"> REF _Ref88213795 \r \h </w:instrText>
      </w:r>
      <w:r>
        <w:fldChar w:fldCharType="separate"/>
      </w:r>
      <w:r>
        <w:t>[1]</w:t>
      </w:r>
      <w:r>
        <w:fldChar w:fldCharType="end"/>
      </w:r>
      <w:r>
        <w:t>, this application is named "Side-view assist and ambient monitoring for vehicles and autonomous systems".</w:t>
      </w:r>
    </w:p>
  </w:footnote>
  <w:footnote w:id="3">
    <w:p w14:paraId="2AF80E29" w14:textId="77777777" w:rsidR="00E70E36" w:rsidRPr="00105036" w:rsidRDefault="00E70E36" w:rsidP="00A90F22">
      <w:pPr>
        <w:pStyle w:val="FootnoteText"/>
        <w:rPr>
          <w:lang w:val="en-US"/>
        </w:rPr>
      </w:pPr>
      <w:r>
        <w:rPr>
          <w:rStyle w:val="FootnoteReference"/>
        </w:rPr>
        <w:footnoteRef/>
      </w:r>
      <w:r w:rsidRPr="00761526">
        <w:rPr>
          <w:lang w:val="en-US"/>
        </w:rPr>
        <w:t xml:space="preserve"> Companies involved in this assessment: 2pi-Labs GmbH and VEGA Grieshaber KG.</w:t>
      </w:r>
    </w:p>
  </w:footnote>
  <w:footnote w:id="4">
    <w:p w14:paraId="1024CCC7" w14:textId="77777777" w:rsidR="00E70E36" w:rsidRPr="00977AA2" w:rsidRDefault="00E70E36" w:rsidP="00ED16F7">
      <w:pPr>
        <w:pStyle w:val="FootnoteText"/>
        <w:rPr>
          <w:lang w:val="en-GB"/>
        </w:rPr>
      </w:pPr>
      <w:r>
        <w:rPr>
          <w:rStyle w:val="FootnoteReference"/>
        </w:rPr>
        <w:footnoteRef/>
      </w:r>
      <w:r w:rsidRPr="00504028">
        <w:rPr>
          <w:lang w:val="en-US"/>
        </w:rPr>
        <w:t xml:space="preserve"> </w:t>
      </w:r>
      <w:r w:rsidRPr="00504028">
        <w:rPr>
          <w:lang w:val="en-US"/>
        </w:rPr>
        <w:tab/>
        <w:t>However, in those higher bands, the typical FS bandwidth can be considered of 1000</w:t>
      </w:r>
      <w:r w:rsidRPr="00FB1857">
        <w:rPr>
          <w:lang w:val="en-GB"/>
        </w:rPr>
        <w:t> </w:t>
      </w:r>
      <w:r w:rsidRPr="00504028">
        <w:rPr>
          <w:lang w:val="en-US"/>
        </w:rPr>
        <w:t>MHz; therefore, in principle, the same limitation (+5</w:t>
      </w:r>
      <w:r w:rsidRPr="00FB1857">
        <w:rPr>
          <w:lang w:val="en-GB"/>
        </w:rPr>
        <w:t> </w:t>
      </w:r>
      <w:r w:rsidRPr="00504028">
        <w:rPr>
          <w:lang w:val="en-US"/>
        </w:rPr>
        <w:t>dB) should be evaluated within 1000</w:t>
      </w:r>
      <w:r w:rsidRPr="00FB1857">
        <w:rPr>
          <w:lang w:val="en-GB"/>
        </w:rPr>
        <w:t> </w:t>
      </w:r>
      <w:r w:rsidRPr="00504028">
        <w:rPr>
          <w:lang w:val="en-US"/>
        </w:rPr>
        <w:t>MHz rather than 50. Provided that the "N" increases as 10logB, while I</w:t>
      </w:r>
      <w:r w:rsidRPr="002959BB">
        <w:rPr>
          <w:vertAlign w:val="subscript"/>
          <w:lang w:val="en-US"/>
        </w:rPr>
        <w:t>peak</w:t>
      </w:r>
      <w:r w:rsidRPr="00504028">
        <w:rPr>
          <w:lang w:val="en-US"/>
        </w:rPr>
        <w:t xml:space="preserve"> would increase with higher rate (ideally as 20logB), the peak limitation would become even tighter (or in any case closer to the real UWB peak, being the FS </w:t>
      </w:r>
      <w:r w:rsidRPr="00FB1857">
        <w:rPr>
          <w:lang w:val="en-GB"/>
        </w:rPr>
        <w:t>BW</w:t>
      </w:r>
      <w:r w:rsidRPr="00504028">
        <w:rPr>
          <w:lang w:val="en-US"/>
        </w:rPr>
        <w:t xml:space="preserve"> comparable to UWB BW).</w:t>
      </w:r>
    </w:p>
  </w:footnote>
  <w:footnote w:id="5">
    <w:p w14:paraId="6ED0B6AC" w14:textId="77777777" w:rsidR="00E70E36" w:rsidRPr="00FB1857" w:rsidRDefault="00E70E36" w:rsidP="0032221D">
      <w:pPr>
        <w:pStyle w:val="FootnoteText"/>
        <w:rPr>
          <w:lang w:val="en-GB"/>
        </w:rPr>
      </w:pPr>
      <w:r>
        <w:rPr>
          <w:rStyle w:val="FootnoteReference"/>
        </w:rPr>
        <w:footnoteRef/>
      </w:r>
      <w:r w:rsidRPr="00FB1857">
        <w:rPr>
          <w:lang w:val="en-GB"/>
        </w:rPr>
        <w:t xml:space="preserve"> The antenna heights in the urban area are estimated in the range 6-25 m.</w:t>
      </w:r>
    </w:p>
  </w:footnote>
  <w:footnote w:id="6">
    <w:p w14:paraId="57FCD028" w14:textId="77777777" w:rsidR="00E70E36" w:rsidRPr="00FB1857" w:rsidRDefault="00E70E36" w:rsidP="0032221D">
      <w:pPr>
        <w:pStyle w:val="FootnoteText"/>
        <w:rPr>
          <w:lang w:val="en-GB"/>
        </w:rPr>
      </w:pPr>
      <w:r w:rsidRPr="0032221D">
        <w:rPr>
          <w:rStyle w:val="FootnoteReference"/>
          <w:sz w:val="16"/>
          <w:vertAlign w:val="baseline"/>
        </w:rPr>
        <w:footnoteRef/>
      </w:r>
      <w:r w:rsidRPr="00FB1857">
        <w:rPr>
          <w:lang w:val="en-GB"/>
        </w:rPr>
        <w:t xml:space="preserve"> In order to taking in account the different urban areas around the world, it is assumed that a typical elevation would be less than ±20 degrees. The elevation angles of the antenna are calculated from the antenna height of FS stations and the distance between FS links. Although the distance between the base stations in the dense urban area is also indicated to be 200 m, the distance range of 100-300 m is assumed to be used for calculation of elevation angle of antenna.</w:t>
      </w:r>
    </w:p>
  </w:footnote>
  <w:footnote w:id="7">
    <w:p w14:paraId="18CA691F" w14:textId="77777777" w:rsidR="00E70E36" w:rsidRPr="00830F4B" w:rsidRDefault="00E70E36" w:rsidP="00FF50FD">
      <w:pPr>
        <w:pStyle w:val="FootnoteText"/>
      </w:pPr>
      <w:r>
        <w:rPr>
          <w:rStyle w:val="FootnoteReference"/>
        </w:rPr>
        <w:footnoteRef/>
      </w:r>
      <w:r>
        <w:t xml:space="preserve"> Institut National de l’Information Géographique et Forestière</w:t>
      </w:r>
    </w:p>
  </w:footnote>
  <w:footnote w:id="8">
    <w:p w14:paraId="282F94E4" w14:textId="4306FD08" w:rsidR="00E70E36" w:rsidRPr="00C54CE3" w:rsidRDefault="00E70E36" w:rsidP="00A55F24">
      <w:pPr>
        <w:pStyle w:val="FootnoteText"/>
        <w:rPr>
          <w:lang w:val="en-US"/>
        </w:rPr>
      </w:pPr>
      <w:r>
        <w:rPr>
          <w:rStyle w:val="FootnoteReference"/>
        </w:rPr>
        <w:footnoteRef/>
      </w:r>
      <w:r w:rsidRPr="00960371">
        <w:rPr>
          <w:lang w:val="en-GB"/>
        </w:rPr>
        <w:t xml:space="preserve"> </w:t>
      </w:r>
      <w:r w:rsidRPr="00C54CE3">
        <w:rPr>
          <w:lang w:val="en-US"/>
        </w:rPr>
        <w:t>Disregarding polari</w:t>
      </w:r>
      <w:r>
        <w:rPr>
          <w:lang w:val="en-US"/>
        </w:rPr>
        <w:t>s</w:t>
      </w:r>
      <w:r w:rsidRPr="00C54CE3">
        <w:rPr>
          <w:lang w:val="en-US"/>
        </w:rPr>
        <w:t>ation coupling loss, scattering i</w:t>
      </w:r>
      <w:r>
        <w:rPr>
          <w:lang w:val="en-US"/>
        </w:rPr>
        <w:t>n the path, beam spreading loss, multipath loss (radar rays reflected from the ground), clutter loss, building entry loss.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85566" w14:textId="7DC13A6F" w:rsidR="00E70E36" w:rsidRPr="00AD1BE1" w:rsidRDefault="00E70E36" w:rsidP="00AD1BE1">
    <w:pPr>
      <w:pStyle w:val="ECCpageHeader"/>
    </w:pPr>
    <w:r w:rsidRPr="00AD1BE1">
      <w:t xml:space="preserve">ECC REPORT </w:t>
    </w:r>
    <w:r>
      <w:t>334</w:t>
    </w:r>
    <w:r w:rsidRPr="00AD1BE1">
      <w:t xml:space="preserve"> - Page </w:t>
    </w:r>
    <w:r w:rsidRPr="00AD1BE1">
      <w:fldChar w:fldCharType="begin"/>
    </w:r>
    <w:r w:rsidRPr="00AD1BE1">
      <w:instrText xml:space="preserve"> PAGE  \* Arabic  \* MERGEFORMAT </w:instrText>
    </w:r>
    <w:r w:rsidRPr="00AD1BE1">
      <w:fldChar w:fldCharType="separate"/>
    </w:r>
    <w:r w:rsidR="00B40B0F">
      <w:rPr>
        <w:noProof/>
      </w:rPr>
      <w:t>58</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A9EF0" w14:textId="79790ED8" w:rsidR="00E70E36" w:rsidRDefault="00E70E36" w:rsidP="001B2925">
    <w:pPr>
      <w:pStyle w:val="ECCpageHeader"/>
    </w:pPr>
    <w:r w:rsidRPr="00966560">
      <w:rPr>
        <w:lang w:val="en-GB"/>
      </w:rPr>
      <w:tab/>
    </w:r>
    <w:r w:rsidRPr="00966560">
      <w:rPr>
        <w:lang w:val="en-GB"/>
      </w:rPr>
      <w:tab/>
      <w:t>ECC REPORT</w:t>
    </w:r>
    <w:r>
      <w:t xml:space="preserve"> 334</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B40B0F">
      <w:rPr>
        <w:noProof/>
        <w:lang w:val="en-GB"/>
      </w:rPr>
      <w:t>57</w:t>
    </w:r>
    <w:r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8BEB3" w14:textId="15EFBD4D" w:rsidR="00E70E36" w:rsidRPr="005611D0" w:rsidRDefault="00E70E36" w:rsidP="009B022D">
    <w:pPr>
      <w:pStyle w:val="ECCpageHeader"/>
    </w:pPr>
    <w:r w:rsidRPr="00F7440E">
      <w:rPr>
        <w:noProof/>
        <w:lang w:val="de-DE" w:eastAsia="de-DE"/>
      </w:rPr>
      <w:drawing>
        <wp:anchor distT="0" distB="0" distL="114300" distR="114300" simplePos="0" relativeHeight="251658241" behindDoc="0" locked="0" layoutInCell="1" allowOverlap="1" wp14:anchorId="16B6FD0A" wp14:editId="05162F25">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de-DE" w:eastAsia="de-DE"/>
      </w:rPr>
      <w:drawing>
        <wp:anchor distT="0" distB="0" distL="114300" distR="114300" simplePos="0" relativeHeight="251658240" behindDoc="0" locked="0" layoutInCell="1" allowOverlap="1" wp14:anchorId="3F1B4EFF" wp14:editId="15B25B17">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42A8C2E7" w14:textId="77777777" w:rsidR="00E70E36" w:rsidRPr="005611D0" w:rsidRDefault="00E70E36" w:rsidP="000F0A57">
    <w:pPr>
      <w:pStyle w:val="ECCpageHeader"/>
    </w:pPr>
  </w:p>
  <w:p w14:paraId="5F49E4B8" w14:textId="77777777" w:rsidR="00E70E36" w:rsidRPr="005611D0" w:rsidRDefault="00E70E36" w:rsidP="000F0A57">
    <w:pPr>
      <w:pStyle w:val="ECCpageHeader"/>
    </w:pPr>
  </w:p>
  <w:p w14:paraId="30D847A7" w14:textId="28BD6D2A" w:rsidR="00E70E36" w:rsidRPr="005611D0" w:rsidRDefault="00E70E36" w:rsidP="000F0A57">
    <w:pPr>
      <w:pStyle w:val="ECCpageHeader"/>
    </w:pPr>
  </w:p>
  <w:p w14:paraId="74419F37" w14:textId="77777777" w:rsidR="00E70E36" w:rsidRPr="005611D0" w:rsidRDefault="00E70E36"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B4A7C"/>
    <w:multiLevelType w:val="hybridMultilevel"/>
    <w:tmpl w:val="378C4EAC"/>
    <w:lvl w:ilvl="0" w:tplc="999EBEE6">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12F4188"/>
    <w:multiLevelType w:val="multilevel"/>
    <w:tmpl w:val="F1FACA8E"/>
    <w:lvl w:ilvl="0">
      <w:start w:val="1"/>
      <w:numFmt w:val="decimal"/>
      <w:pStyle w:val="ECCAnnexheading1"/>
      <w:suff w:val="space"/>
      <w:lvlText w:val="ANNEX %1:"/>
      <w:lvlJc w:val="left"/>
      <w:pPr>
        <w:ind w:left="1843"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2A0A7C33"/>
    <w:multiLevelType w:val="hybridMultilevel"/>
    <w:tmpl w:val="B8344D4E"/>
    <w:lvl w:ilvl="0" w:tplc="418ABDA8">
      <w:start w:val="1"/>
      <w:numFmt w:val="decimal"/>
      <w:pStyle w:val="ECCEditorsNote"/>
      <w:lvlText w:val="Editor's Note %1:"/>
      <w:lvlJc w:val="left"/>
      <w:pPr>
        <w:tabs>
          <w:tab w:val="num" w:pos="1559"/>
        </w:tabs>
        <w:ind w:left="1559" w:hanging="1559"/>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 w15:restartNumberingAfterBreak="0">
    <w:nsid w:val="35B7706D"/>
    <w:multiLevelType w:val="hybridMultilevel"/>
    <w:tmpl w:val="A59CE8E4"/>
    <w:lvl w:ilvl="0" w:tplc="0AE6647E">
      <w:numFmt w:val="bullet"/>
      <w:lvlText w:val="•"/>
      <w:lvlJc w:val="left"/>
      <w:pPr>
        <w:ind w:left="708" w:hanging="708"/>
      </w:pPr>
      <w:rPr>
        <w:rFonts w:ascii="Arial" w:eastAsia="Times New Roman"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 w15:restartNumberingAfterBreak="0">
    <w:nsid w:val="3D163F7A"/>
    <w:multiLevelType w:val="multilevel"/>
    <w:tmpl w:val="4664D9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lang w:val="en-GB"/>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1431"/>
        </w:tabs>
        <w:ind w:left="1431" w:hanging="864"/>
      </w:pPr>
      <w:rPr>
        <w:rFonts w:ascii="Arial" w:hAnsi="Arial" w:hint="default"/>
        <w:b w:val="0"/>
        <w:i/>
        <w:sz w:val="20"/>
        <w:lang w:val="en-US"/>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num w:numId="1" w16cid:durableId="917708102">
    <w:abstractNumId w:val="1"/>
  </w:num>
  <w:num w:numId="2" w16cid:durableId="557279170">
    <w:abstractNumId w:val="0"/>
  </w:num>
  <w:num w:numId="3" w16cid:durableId="1365595901">
    <w:abstractNumId w:val="7"/>
  </w:num>
  <w:num w:numId="4" w16cid:durableId="815149323">
    <w:abstractNumId w:val="3"/>
  </w:num>
  <w:num w:numId="5" w16cid:durableId="345402155">
    <w:abstractNumId w:val="6"/>
  </w:num>
  <w:num w:numId="6" w16cid:durableId="1006059675">
    <w:abstractNumId w:val="5"/>
  </w:num>
  <w:num w:numId="7" w16cid:durableId="990527178">
    <w:abstractNumId w:val="2"/>
  </w:num>
  <w:num w:numId="8" w16cid:durableId="7494251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690890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145621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049142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0676309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269342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13616987">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29hQcLmh3SLU0N40gxVx60dpMMC0/emWG80CEGN2H7xLwLV/EU8lx7Avsmmlgcc+GPxUdzsociRadQXpT7+Jjg==" w:salt="bEIzNDnsV7yMH1ue2+ib+g=="/>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3C8"/>
    <w:rsid w:val="000013E4"/>
    <w:rsid w:val="00001B6D"/>
    <w:rsid w:val="00001CAD"/>
    <w:rsid w:val="000020DA"/>
    <w:rsid w:val="0000210F"/>
    <w:rsid w:val="00002214"/>
    <w:rsid w:val="00002287"/>
    <w:rsid w:val="0000231A"/>
    <w:rsid w:val="00002352"/>
    <w:rsid w:val="000027A9"/>
    <w:rsid w:val="000029D3"/>
    <w:rsid w:val="000033B3"/>
    <w:rsid w:val="00003763"/>
    <w:rsid w:val="00004AC0"/>
    <w:rsid w:val="00005BB8"/>
    <w:rsid w:val="00005D31"/>
    <w:rsid w:val="00005DC2"/>
    <w:rsid w:val="000061E0"/>
    <w:rsid w:val="00006530"/>
    <w:rsid w:val="00007398"/>
    <w:rsid w:val="00007765"/>
    <w:rsid w:val="00007943"/>
    <w:rsid w:val="00007CD3"/>
    <w:rsid w:val="00007CF9"/>
    <w:rsid w:val="0001112E"/>
    <w:rsid w:val="00011163"/>
    <w:rsid w:val="000113D4"/>
    <w:rsid w:val="000115B0"/>
    <w:rsid w:val="0001168A"/>
    <w:rsid w:val="00011766"/>
    <w:rsid w:val="00011827"/>
    <w:rsid w:val="000118CC"/>
    <w:rsid w:val="0001262A"/>
    <w:rsid w:val="00012D1D"/>
    <w:rsid w:val="00012E3B"/>
    <w:rsid w:val="00012FD8"/>
    <w:rsid w:val="000141AA"/>
    <w:rsid w:val="000141B2"/>
    <w:rsid w:val="00015546"/>
    <w:rsid w:val="00015564"/>
    <w:rsid w:val="0001653B"/>
    <w:rsid w:val="00016831"/>
    <w:rsid w:val="00016A74"/>
    <w:rsid w:val="0002003B"/>
    <w:rsid w:val="000200F6"/>
    <w:rsid w:val="00020116"/>
    <w:rsid w:val="00020178"/>
    <w:rsid w:val="0002055D"/>
    <w:rsid w:val="0002062F"/>
    <w:rsid w:val="00020C1B"/>
    <w:rsid w:val="000215C5"/>
    <w:rsid w:val="00021945"/>
    <w:rsid w:val="00021DD2"/>
    <w:rsid w:val="00021F85"/>
    <w:rsid w:val="0002217A"/>
    <w:rsid w:val="000222A7"/>
    <w:rsid w:val="00022A49"/>
    <w:rsid w:val="00022AE8"/>
    <w:rsid w:val="0002322C"/>
    <w:rsid w:val="000232DC"/>
    <w:rsid w:val="000232FF"/>
    <w:rsid w:val="0002349D"/>
    <w:rsid w:val="00023726"/>
    <w:rsid w:val="00023DE4"/>
    <w:rsid w:val="000246D0"/>
    <w:rsid w:val="0002476D"/>
    <w:rsid w:val="000249B4"/>
    <w:rsid w:val="00025216"/>
    <w:rsid w:val="00025499"/>
    <w:rsid w:val="00025825"/>
    <w:rsid w:val="00025D11"/>
    <w:rsid w:val="000260A5"/>
    <w:rsid w:val="000266A5"/>
    <w:rsid w:val="0002699E"/>
    <w:rsid w:val="00027197"/>
    <w:rsid w:val="00027623"/>
    <w:rsid w:val="000278F9"/>
    <w:rsid w:val="00027B50"/>
    <w:rsid w:val="00027D80"/>
    <w:rsid w:val="00027D84"/>
    <w:rsid w:val="00030087"/>
    <w:rsid w:val="00030A8E"/>
    <w:rsid w:val="00030ACB"/>
    <w:rsid w:val="00030FDB"/>
    <w:rsid w:val="000312C5"/>
    <w:rsid w:val="00031497"/>
    <w:rsid w:val="000317C3"/>
    <w:rsid w:val="00031A36"/>
    <w:rsid w:val="00031BF1"/>
    <w:rsid w:val="00031DBD"/>
    <w:rsid w:val="000322A1"/>
    <w:rsid w:val="00032E26"/>
    <w:rsid w:val="000333CF"/>
    <w:rsid w:val="00033D50"/>
    <w:rsid w:val="00033F6C"/>
    <w:rsid w:val="00034148"/>
    <w:rsid w:val="000348E8"/>
    <w:rsid w:val="00034D9D"/>
    <w:rsid w:val="00035154"/>
    <w:rsid w:val="000356A4"/>
    <w:rsid w:val="00035820"/>
    <w:rsid w:val="00035AA7"/>
    <w:rsid w:val="0003655F"/>
    <w:rsid w:val="000368BF"/>
    <w:rsid w:val="00036CC5"/>
    <w:rsid w:val="00036FBC"/>
    <w:rsid w:val="000377A6"/>
    <w:rsid w:val="00037B2E"/>
    <w:rsid w:val="00037CBA"/>
    <w:rsid w:val="00037D48"/>
    <w:rsid w:val="00040716"/>
    <w:rsid w:val="0004195B"/>
    <w:rsid w:val="0004199B"/>
    <w:rsid w:val="00041A18"/>
    <w:rsid w:val="00041DED"/>
    <w:rsid w:val="000429AB"/>
    <w:rsid w:val="0004318E"/>
    <w:rsid w:val="000432D8"/>
    <w:rsid w:val="0004406D"/>
    <w:rsid w:val="00044715"/>
    <w:rsid w:val="00045AF2"/>
    <w:rsid w:val="00046498"/>
    <w:rsid w:val="000467B2"/>
    <w:rsid w:val="00047477"/>
    <w:rsid w:val="00047847"/>
    <w:rsid w:val="00047EA7"/>
    <w:rsid w:val="00050337"/>
    <w:rsid w:val="00050968"/>
    <w:rsid w:val="0005109E"/>
    <w:rsid w:val="00051488"/>
    <w:rsid w:val="000516CD"/>
    <w:rsid w:val="000521AE"/>
    <w:rsid w:val="0005242D"/>
    <w:rsid w:val="00052482"/>
    <w:rsid w:val="00053323"/>
    <w:rsid w:val="000533C8"/>
    <w:rsid w:val="00053C7C"/>
    <w:rsid w:val="00054122"/>
    <w:rsid w:val="000541D1"/>
    <w:rsid w:val="00054695"/>
    <w:rsid w:val="0005493C"/>
    <w:rsid w:val="00054EBC"/>
    <w:rsid w:val="00055727"/>
    <w:rsid w:val="00055736"/>
    <w:rsid w:val="00055AC1"/>
    <w:rsid w:val="00055F24"/>
    <w:rsid w:val="000566AB"/>
    <w:rsid w:val="000568FE"/>
    <w:rsid w:val="00056EE5"/>
    <w:rsid w:val="0005768B"/>
    <w:rsid w:val="00057A28"/>
    <w:rsid w:val="00060882"/>
    <w:rsid w:val="000609CE"/>
    <w:rsid w:val="00060AEF"/>
    <w:rsid w:val="00060E12"/>
    <w:rsid w:val="00061C8D"/>
    <w:rsid w:val="00061DBE"/>
    <w:rsid w:val="00062201"/>
    <w:rsid w:val="00062502"/>
    <w:rsid w:val="00062A04"/>
    <w:rsid w:val="00062ABB"/>
    <w:rsid w:val="00062D84"/>
    <w:rsid w:val="00063269"/>
    <w:rsid w:val="00063434"/>
    <w:rsid w:val="000638B7"/>
    <w:rsid w:val="00063D1D"/>
    <w:rsid w:val="00063E9E"/>
    <w:rsid w:val="00064123"/>
    <w:rsid w:val="00064700"/>
    <w:rsid w:val="000653D8"/>
    <w:rsid w:val="000656A6"/>
    <w:rsid w:val="0006596A"/>
    <w:rsid w:val="000664EC"/>
    <w:rsid w:val="000668DD"/>
    <w:rsid w:val="00066DF4"/>
    <w:rsid w:val="00066F44"/>
    <w:rsid w:val="00066FA4"/>
    <w:rsid w:val="00067793"/>
    <w:rsid w:val="0006784F"/>
    <w:rsid w:val="00067936"/>
    <w:rsid w:val="00067D12"/>
    <w:rsid w:val="0007044B"/>
    <w:rsid w:val="000705D8"/>
    <w:rsid w:val="0007071F"/>
    <w:rsid w:val="00070AD4"/>
    <w:rsid w:val="00070E5F"/>
    <w:rsid w:val="00070FDA"/>
    <w:rsid w:val="0007138D"/>
    <w:rsid w:val="00071410"/>
    <w:rsid w:val="000723A1"/>
    <w:rsid w:val="000735CE"/>
    <w:rsid w:val="00073AB7"/>
    <w:rsid w:val="00073DEC"/>
    <w:rsid w:val="00073E00"/>
    <w:rsid w:val="0007434A"/>
    <w:rsid w:val="000748CB"/>
    <w:rsid w:val="00074B8A"/>
    <w:rsid w:val="00074E15"/>
    <w:rsid w:val="0007526D"/>
    <w:rsid w:val="000758BD"/>
    <w:rsid w:val="00075A5F"/>
    <w:rsid w:val="00076C11"/>
    <w:rsid w:val="00076E53"/>
    <w:rsid w:val="00076F75"/>
    <w:rsid w:val="000771EF"/>
    <w:rsid w:val="0007759B"/>
    <w:rsid w:val="00077B9B"/>
    <w:rsid w:val="00080032"/>
    <w:rsid w:val="00080052"/>
    <w:rsid w:val="0008016D"/>
    <w:rsid w:val="00080487"/>
    <w:rsid w:val="000804B1"/>
    <w:rsid w:val="00080667"/>
    <w:rsid w:val="00080D4D"/>
    <w:rsid w:val="00080D86"/>
    <w:rsid w:val="000812B4"/>
    <w:rsid w:val="0008137F"/>
    <w:rsid w:val="00081D86"/>
    <w:rsid w:val="0008235C"/>
    <w:rsid w:val="00082680"/>
    <w:rsid w:val="00082A89"/>
    <w:rsid w:val="00082DD7"/>
    <w:rsid w:val="000836D6"/>
    <w:rsid w:val="000839A0"/>
    <w:rsid w:val="000844B7"/>
    <w:rsid w:val="00084DB1"/>
    <w:rsid w:val="0008504F"/>
    <w:rsid w:val="000859E8"/>
    <w:rsid w:val="0008683A"/>
    <w:rsid w:val="00086E4D"/>
    <w:rsid w:val="00087348"/>
    <w:rsid w:val="00087B6E"/>
    <w:rsid w:val="0009107C"/>
    <w:rsid w:val="00091300"/>
    <w:rsid w:val="0009158D"/>
    <w:rsid w:val="00091986"/>
    <w:rsid w:val="00091B0E"/>
    <w:rsid w:val="00091F11"/>
    <w:rsid w:val="00092215"/>
    <w:rsid w:val="00092356"/>
    <w:rsid w:val="00092514"/>
    <w:rsid w:val="0009267E"/>
    <w:rsid w:val="000926DB"/>
    <w:rsid w:val="00092B3E"/>
    <w:rsid w:val="00092B8C"/>
    <w:rsid w:val="000932E4"/>
    <w:rsid w:val="00093460"/>
    <w:rsid w:val="000937D5"/>
    <w:rsid w:val="000937ED"/>
    <w:rsid w:val="00093D3E"/>
    <w:rsid w:val="00093F1B"/>
    <w:rsid w:val="000946A0"/>
    <w:rsid w:val="00094AAC"/>
    <w:rsid w:val="0009544C"/>
    <w:rsid w:val="00095620"/>
    <w:rsid w:val="00095906"/>
    <w:rsid w:val="00095E0C"/>
    <w:rsid w:val="00095E2B"/>
    <w:rsid w:val="00096242"/>
    <w:rsid w:val="000966A9"/>
    <w:rsid w:val="000967A9"/>
    <w:rsid w:val="00097F30"/>
    <w:rsid w:val="00097F64"/>
    <w:rsid w:val="000A0243"/>
    <w:rsid w:val="000A0C46"/>
    <w:rsid w:val="000A0D30"/>
    <w:rsid w:val="000A14D9"/>
    <w:rsid w:val="000A1854"/>
    <w:rsid w:val="000A19D0"/>
    <w:rsid w:val="000A24AE"/>
    <w:rsid w:val="000A2689"/>
    <w:rsid w:val="000A28F4"/>
    <w:rsid w:val="000A3479"/>
    <w:rsid w:val="000A347D"/>
    <w:rsid w:val="000A3803"/>
    <w:rsid w:val="000A3940"/>
    <w:rsid w:val="000A40FA"/>
    <w:rsid w:val="000A41EB"/>
    <w:rsid w:val="000A55EF"/>
    <w:rsid w:val="000A5740"/>
    <w:rsid w:val="000A59E1"/>
    <w:rsid w:val="000A5A80"/>
    <w:rsid w:val="000A6164"/>
    <w:rsid w:val="000A621B"/>
    <w:rsid w:val="000A69BD"/>
    <w:rsid w:val="000A6AD3"/>
    <w:rsid w:val="000A6AE4"/>
    <w:rsid w:val="000A6C77"/>
    <w:rsid w:val="000A6EC9"/>
    <w:rsid w:val="000A78B5"/>
    <w:rsid w:val="000A7C65"/>
    <w:rsid w:val="000A7E55"/>
    <w:rsid w:val="000B0239"/>
    <w:rsid w:val="000B0807"/>
    <w:rsid w:val="000B097F"/>
    <w:rsid w:val="000B0C4D"/>
    <w:rsid w:val="000B0F16"/>
    <w:rsid w:val="000B1E91"/>
    <w:rsid w:val="000B24FE"/>
    <w:rsid w:val="000B255D"/>
    <w:rsid w:val="000B2FA6"/>
    <w:rsid w:val="000B3246"/>
    <w:rsid w:val="000B325B"/>
    <w:rsid w:val="000B32EE"/>
    <w:rsid w:val="000B33D4"/>
    <w:rsid w:val="000B35CE"/>
    <w:rsid w:val="000B395B"/>
    <w:rsid w:val="000B3DFC"/>
    <w:rsid w:val="000B3E6E"/>
    <w:rsid w:val="000B4739"/>
    <w:rsid w:val="000B4DA6"/>
    <w:rsid w:val="000B4DEF"/>
    <w:rsid w:val="000B54DE"/>
    <w:rsid w:val="000B5C0D"/>
    <w:rsid w:val="000B5C7A"/>
    <w:rsid w:val="000B6236"/>
    <w:rsid w:val="000B6D45"/>
    <w:rsid w:val="000B6EA6"/>
    <w:rsid w:val="000B70EA"/>
    <w:rsid w:val="000B71B1"/>
    <w:rsid w:val="000C028F"/>
    <w:rsid w:val="000C0374"/>
    <w:rsid w:val="000C0631"/>
    <w:rsid w:val="000C0FB3"/>
    <w:rsid w:val="000C10DF"/>
    <w:rsid w:val="000C1AE9"/>
    <w:rsid w:val="000C2154"/>
    <w:rsid w:val="000C24A8"/>
    <w:rsid w:val="000C297F"/>
    <w:rsid w:val="000C2C9D"/>
    <w:rsid w:val="000C3B0E"/>
    <w:rsid w:val="000C3B6C"/>
    <w:rsid w:val="000C3E76"/>
    <w:rsid w:val="000C44C9"/>
    <w:rsid w:val="000C4D2C"/>
    <w:rsid w:val="000C54C9"/>
    <w:rsid w:val="000C5917"/>
    <w:rsid w:val="000C59DD"/>
    <w:rsid w:val="000C6778"/>
    <w:rsid w:val="000C71E3"/>
    <w:rsid w:val="000C7399"/>
    <w:rsid w:val="000C7612"/>
    <w:rsid w:val="000D0BBA"/>
    <w:rsid w:val="000D1194"/>
    <w:rsid w:val="000D1710"/>
    <w:rsid w:val="000D183B"/>
    <w:rsid w:val="000D22D4"/>
    <w:rsid w:val="000D257B"/>
    <w:rsid w:val="000D2CD1"/>
    <w:rsid w:val="000D2E40"/>
    <w:rsid w:val="000D2FEF"/>
    <w:rsid w:val="000D36B2"/>
    <w:rsid w:val="000D3766"/>
    <w:rsid w:val="000D43BB"/>
    <w:rsid w:val="000D4983"/>
    <w:rsid w:val="000D4F33"/>
    <w:rsid w:val="000D5670"/>
    <w:rsid w:val="000D58EB"/>
    <w:rsid w:val="000D5D5F"/>
    <w:rsid w:val="000D6477"/>
    <w:rsid w:val="000D6BAC"/>
    <w:rsid w:val="000D78AC"/>
    <w:rsid w:val="000D7977"/>
    <w:rsid w:val="000D7C2C"/>
    <w:rsid w:val="000E0F26"/>
    <w:rsid w:val="000E1581"/>
    <w:rsid w:val="000E1AAC"/>
    <w:rsid w:val="000E241F"/>
    <w:rsid w:val="000E2720"/>
    <w:rsid w:val="000E293C"/>
    <w:rsid w:val="000E348F"/>
    <w:rsid w:val="000E36C1"/>
    <w:rsid w:val="000E37F2"/>
    <w:rsid w:val="000E3E18"/>
    <w:rsid w:val="000E42F5"/>
    <w:rsid w:val="000E4ED2"/>
    <w:rsid w:val="000E5604"/>
    <w:rsid w:val="000E567A"/>
    <w:rsid w:val="000E5896"/>
    <w:rsid w:val="000E5D93"/>
    <w:rsid w:val="000E5DC9"/>
    <w:rsid w:val="000E6338"/>
    <w:rsid w:val="000E69EB"/>
    <w:rsid w:val="000E69EF"/>
    <w:rsid w:val="000E6AFD"/>
    <w:rsid w:val="000E6B5D"/>
    <w:rsid w:val="000F0282"/>
    <w:rsid w:val="000F0589"/>
    <w:rsid w:val="000F0594"/>
    <w:rsid w:val="000F0A57"/>
    <w:rsid w:val="000F0CA8"/>
    <w:rsid w:val="000F0CDF"/>
    <w:rsid w:val="000F1278"/>
    <w:rsid w:val="000F1822"/>
    <w:rsid w:val="000F2168"/>
    <w:rsid w:val="000F24F5"/>
    <w:rsid w:val="000F2715"/>
    <w:rsid w:val="000F2730"/>
    <w:rsid w:val="000F2A21"/>
    <w:rsid w:val="000F2ED9"/>
    <w:rsid w:val="000F2FC1"/>
    <w:rsid w:val="000F3024"/>
    <w:rsid w:val="000F3296"/>
    <w:rsid w:val="000F3C42"/>
    <w:rsid w:val="000F3FFB"/>
    <w:rsid w:val="000F432A"/>
    <w:rsid w:val="000F53F2"/>
    <w:rsid w:val="000F5D33"/>
    <w:rsid w:val="000F6890"/>
    <w:rsid w:val="000F6B70"/>
    <w:rsid w:val="000F6BEC"/>
    <w:rsid w:val="000F6C1B"/>
    <w:rsid w:val="000F6E3D"/>
    <w:rsid w:val="000F6EE8"/>
    <w:rsid w:val="000F706A"/>
    <w:rsid w:val="000F7147"/>
    <w:rsid w:val="000F7180"/>
    <w:rsid w:val="000F7232"/>
    <w:rsid w:val="000F74A5"/>
    <w:rsid w:val="000F7774"/>
    <w:rsid w:val="000F778A"/>
    <w:rsid w:val="000F77B8"/>
    <w:rsid w:val="000F77B9"/>
    <w:rsid w:val="000F7970"/>
    <w:rsid w:val="000F7DCA"/>
    <w:rsid w:val="001002CD"/>
    <w:rsid w:val="001006CA"/>
    <w:rsid w:val="00100F8B"/>
    <w:rsid w:val="0010176B"/>
    <w:rsid w:val="00102172"/>
    <w:rsid w:val="0010240A"/>
    <w:rsid w:val="0010256A"/>
    <w:rsid w:val="001030FB"/>
    <w:rsid w:val="00103415"/>
    <w:rsid w:val="001034B8"/>
    <w:rsid w:val="00103930"/>
    <w:rsid w:val="00103A06"/>
    <w:rsid w:val="00103D12"/>
    <w:rsid w:val="001042A5"/>
    <w:rsid w:val="00104FC8"/>
    <w:rsid w:val="00105737"/>
    <w:rsid w:val="00105D83"/>
    <w:rsid w:val="001062CF"/>
    <w:rsid w:val="00106B8B"/>
    <w:rsid w:val="0010762D"/>
    <w:rsid w:val="00107888"/>
    <w:rsid w:val="00107AA7"/>
    <w:rsid w:val="00107CD2"/>
    <w:rsid w:val="001101F9"/>
    <w:rsid w:val="00110652"/>
    <w:rsid w:val="00110689"/>
    <w:rsid w:val="0011098A"/>
    <w:rsid w:val="00111243"/>
    <w:rsid w:val="00111B5C"/>
    <w:rsid w:val="00111B95"/>
    <w:rsid w:val="00112324"/>
    <w:rsid w:val="001126DB"/>
    <w:rsid w:val="00112FB9"/>
    <w:rsid w:val="00113590"/>
    <w:rsid w:val="00113A68"/>
    <w:rsid w:val="00113CB7"/>
    <w:rsid w:val="00113DBB"/>
    <w:rsid w:val="00114068"/>
    <w:rsid w:val="00114106"/>
    <w:rsid w:val="0011412E"/>
    <w:rsid w:val="00114627"/>
    <w:rsid w:val="00114C9F"/>
    <w:rsid w:val="00114F7A"/>
    <w:rsid w:val="00115513"/>
    <w:rsid w:val="00116D28"/>
    <w:rsid w:val="00116E52"/>
    <w:rsid w:val="001174C7"/>
    <w:rsid w:val="0011798B"/>
    <w:rsid w:val="00117C37"/>
    <w:rsid w:val="00117D96"/>
    <w:rsid w:val="001203C9"/>
    <w:rsid w:val="00120401"/>
    <w:rsid w:val="00120A17"/>
    <w:rsid w:val="00120B30"/>
    <w:rsid w:val="00121091"/>
    <w:rsid w:val="00121560"/>
    <w:rsid w:val="0012294C"/>
    <w:rsid w:val="0012306F"/>
    <w:rsid w:val="001230DD"/>
    <w:rsid w:val="001237B7"/>
    <w:rsid w:val="00124079"/>
    <w:rsid w:val="0012447A"/>
    <w:rsid w:val="001245A8"/>
    <w:rsid w:val="00124C19"/>
    <w:rsid w:val="00124F42"/>
    <w:rsid w:val="0012563F"/>
    <w:rsid w:val="00125829"/>
    <w:rsid w:val="00125FD4"/>
    <w:rsid w:val="001260FF"/>
    <w:rsid w:val="00126974"/>
    <w:rsid w:val="00126B02"/>
    <w:rsid w:val="00127016"/>
    <w:rsid w:val="0012710C"/>
    <w:rsid w:val="00127A01"/>
    <w:rsid w:val="0013054D"/>
    <w:rsid w:val="00130641"/>
    <w:rsid w:val="0013139F"/>
    <w:rsid w:val="0013154F"/>
    <w:rsid w:val="00132877"/>
    <w:rsid w:val="00133966"/>
    <w:rsid w:val="00133ED7"/>
    <w:rsid w:val="001345B3"/>
    <w:rsid w:val="00134996"/>
    <w:rsid w:val="001349A1"/>
    <w:rsid w:val="00134DC1"/>
    <w:rsid w:val="00135074"/>
    <w:rsid w:val="00135494"/>
    <w:rsid w:val="00135CD4"/>
    <w:rsid w:val="00136FB2"/>
    <w:rsid w:val="00137FAF"/>
    <w:rsid w:val="00137FE9"/>
    <w:rsid w:val="001406F6"/>
    <w:rsid w:val="00140870"/>
    <w:rsid w:val="00140FED"/>
    <w:rsid w:val="00142957"/>
    <w:rsid w:val="001429D5"/>
    <w:rsid w:val="00142AA0"/>
    <w:rsid w:val="00142B18"/>
    <w:rsid w:val="00143648"/>
    <w:rsid w:val="00143A47"/>
    <w:rsid w:val="00143AE8"/>
    <w:rsid w:val="00143B25"/>
    <w:rsid w:val="00143BE7"/>
    <w:rsid w:val="00143CCA"/>
    <w:rsid w:val="00143E61"/>
    <w:rsid w:val="0014426A"/>
    <w:rsid w:val="001444A8"/>
    <w:rsid w:val="00144A89"/>
    <w:rsid w:val="0014508E"/>
    <w:rsid w:val="0014528D"/>
    <w:rsid w:val="00145455"/>
    <w:rsid w:val="00145B1D"/>
    <w:rsid w:val="0014621D"/>
    <w:rsid w:val="00146858"/>
    <w:rsid w:val="00146AED"/>
    <w:rsid w:val="00150604"/>
    <w:rsid w:val="0015071D"/>
    <w:rsid w:val="00150CF7"/>
    <w:rsid w:val="00151BD1"/>
    <w:rsid w:val="00151CDD"/>
    <w:rsid w:val="00151EE3"/>
    <w:rsid w:val="001520AB"/>
    <w:rsid w:val="00152530"/>
    <w:rsid w:val="001526A2"/>
    <w:rsid w:val="0015272F"/>
    <w:rsid w:val="00152735"/>
    <w:rsid w:val="00152DFC"/>
    <w:rsid w:val="0015335B"/>
    <w:rsid w:val="00153711"/>
    <w:rsid w:val="00153C67"/>
    <w:rsid w:val="00154061"/>
    <w:rsid w:val="00154341"/>
    <w:rsid w:val="001543F5"/>
    <w:rsid w:val="0015474A"/>
    <w:rsid w:val="00154A27"/>
    <w:rsid w:val="00154D17"/>
    <w:rsid w:val="00154DCA"/>
    <w:rsid w:val="00154F0A"/>
    <w:rsid w:val="00154F52"/>
    <w:rsid w:val="00155203"/>
    <w:rsid w:val="0015522A"/>
    <w:rsid w:val="001555E1"/>
    <w:rsid w:val="0015562D"/>
    <w:rsid w:val="001558BF"/>
    <w:rsid w:val="0015618F"/>
    <w:rsid w:val="00156314"/>
    <w:rsid w:val="00156952"/>
    <w:rsid w:val="00156CF7"/>
    <w:rsid w:val="00157C3F"/>
    <w:rsid w:val="001601CF"/>
    <w:rsid w:val="00160AE0"/>
    <w:rsid w:val="00160AF3"/>
    <w:rsid w:val="00160B62"/>
    <w:rsid w:val="00160CD4"/>
    <w:rsid w:val="00160EA0"/>
    <w:rsid w:val="0016172D"/>
    <w:rsid w:val="0016186A"/>
    <w:rsid w:val="00161CED"/>
    <w:rsid w:val="00161EC3"/>
    <w:rsid w:val="0016205E"/>
    <w:rsid w:val="001625BE"/>
    <w:rsid w:val="001628CF"/>
    <w:rsid w:val="00162F11"/>
    <w:rsid w:val="00163064"/>
    <w:rsid w:val="001639AE"/>
    <w:rsid w:val="00163E1A"/>
    <w:rsid w:val="0016429C"/>
    <w:rsid w:val="001642A7"/>
    <w:rsid w:val="00164373"/>
    <w:rsid w:val="001649FD"/>
    <w:rsid w:val="001657FA"/>
    <w:rsid w:val="00165EA2"/>
    <w:rsid w:val="00166085"/>
    <w:rsid w:val="00166545"/>
    <w:rsid w:val="001669D0"/>
    <w:rsid w:val="00166CB8"/>
    <w:rsid w:val="0017043C"/>
    <w:rsid w:val="00170637"/>
    <w:rsid w:val="0017069F"/>
    <w:rsid w:val="001709B9"/>
    <w:rsid w:val="00170B47"/>
    <w:rsid w:val="00170BE1"/>
    <w:rsid w:val="00170E1E"/>
    <w:rsid w:val="00170FFD"/>
    <w:rsid w:val="00171AB8"/>
    <w:rsid w:val="00172343"/>
    <w:rsid w:val="00172479"/>
    <w:rsid w:val="00172538"/>
    <w:rsid w:val="00172B28"/>
    <w:rsid w:val="00172F06"/>
    <w:rsid w:val="00173096"/>
    <w:rsid w:val="00173764"/>
    <w:rsid w:val="00173DDA"/>
    <w:rsid w:val="00173E6C"/>
    <w:rsid w:val="00174992"/>
    <w:rsid w:val="001757AB"/>
    <w:rsid w:val="00175C99"/>
    <w:rsid w:val="001767AD"/>
    <w:rsid w:val="00176D0F"/>
    <w:rsid w:val="00176D87"/>
    <w:rsid w:val="001771F2"/>
    <w:rsid w:val="00177302"/>
    <w:rsid w:val="0017737C"/>
    <w:rsid w:val="001773C2"/>
    <w:rsid w:val="00177E9E"/>
    <w:rsid w:val="0018058B"/>
    <w:rsid w:val="001808A0"/>
    <w:rsid w:val="00181559"/>
    <w:rsid w:val="001826BC"/>
    <w:rsid w:val="00182755"/>
    <w:rsid w:val="001831F8"/>
    <w:rsid w:val="00183356"/>
    <w:rsid w:val="001837AC"/>
    <w:rsid w:val="00183FE0"/>
    <w:rsid w:val="001844E6"/>
    <w:rsid w:val="001846F5"/>
    <w:rsid w:val="00184788"/>
    <w:rsid w:val="00184985"/>
    <w:rsid w:val="0018553F"/>
    <w:rsid w:val="00185693"/>
    <w:rsid w:val="00185B7F"/>
    <w:rsid w:val="00185CDE"/>
    <w:rsid w:val="001863BB"/>
    <w:rsid w:val="0018678D"/>
    <w:rsid w:val="001867DE"/>
    <w:rsid w:val="001867E1"/>
    <w:rsid w:val="0018681B"/>
    <w:rsid w:val="00186D43"/>
    <w:rsid w:val="00186EAC"/>
    <w:rsid w:val="00186F14"/>
    <w:rsid w:val="00187F06"/>
    <w:rsid w:val="00187F6C"/>
    <w:rsid w:val="00190948"/>
    <w:rsid w:val="001909F5"/>
    <w:rsid w:val="00190B9B"/>
    <w:rsid w:val="001919BF"/>
    <w:rsid w:val="00191AB7"/>
    <w:rsid w:val="00191D39"/>
    <w:rsid w:val="001922E2"/>
    <w:rsid w:val="00192B13"/>
    <w:rsid w:val="00193400"/>
    <w:rsid w:val="001934A8"/>
    <w:rsid w:val="00193576"/>
    <w:rsid w:val="001935BA"/>
    <w:rsid w:val="00193778"/>
    <w:rsid w:val="001943EB"/>
    <w:rsid w:val="00194647"/>
    <w:rsid w:val="00194F5D"/>
    <w:rsid w:val="00195143"/>
    <w:rsid w:val="00195544"/>
    <w:rsid w:val="001957F0"/>
    <w:rsid w:val="00197131"/>
    <w:rsid w:val="001972CD"/>
    <w:rsid w:val="001976F2"/>
    <w:rsid w:val="00197774"/>
    <w:rsid w:val="00197775"/>
    <w:rsid w:val="001A0192"/>
    <w:rsid w:val="001A0310"/>
    <w:rsid w:val="001A0D69"/>
    <w:rsid w:val="001A1868"/>
    <w:rsid w:val="001A1BCC"/>
    <w:rsid w:val="001A2F4C"/>
    <w:rsid w:val="001A3351"/>
    <w:rsid w:val="001A3608"/>
    <w:rsid w:val="001A36BB"/>
    <w:rsid w:val="001A3E80"/>
    <w:rsid w:val="001A41EB"/>
    <w:rsid w:val="001A4708"/>
    <w:rsid w:val="001A4805"/>
    <w:rsid w:val="001A4A65"/>
    <w:rsid w:val="001A5515"/>
    <w:rsid w:val="001A5DD3"/>
    <w:rsid w:val="001A6515"/>
    <w:rsid w:val="001A67E3"/>
    <w:rsid w:val="001A681D"/>
    <w:rsid w:val="001A6FA4"/>
    <w:rsid w:val="001A7077"/>
    <w:rsid w:val="001A7C18"/>
    <w:rsid w:val="001A7FAB"/>
    <w:rsid w:val="001B01B2"/>
    <w:rsid w:val="001B0CBB"/>
    <w:rsid w:val="001B10E6"/>
    <w:rsid w:val="001B10FF"/>
    <w:rsid w:val="001B12B7"/>
    <w:rsid w:val="001B13C5"/>
    <w:rsid w:val="001B18C0"/>
    <w:rsid w:val="001B190A"/>
    <w:rsid w:val="001B1AC5"/>
    <w:rsid w:val="001B2869"/>
    <w:rsid w:val="001B2889"/>
    <w:rsid w:val="001B2925"/>
    <w:rsid w:val="001B2D0B"/>
    <w:rsid w:val="001B35EB"/>
    <w:rsid w:val="001B3CCA"/>
    <w:rsid w:val="001B3E0C"/>
    <w:rsid w:val="001B4B54"/>
    <w:rsid w:val="001B4BB4"/>
    <w:rsid w:val="001B5108"/>
    <w:rsid w:val="001B5658"/>
    <w:rsid w:val="001B5732"/>
    <w:rsid w:val="001B5EB7"/>
    <w:rsid w:val="001B5FDE"/>
    <w:rsid w:val="001B61C8"/>
    <w:rsid w:val="001B6F5C"/>
    <w:rsid w:val="001B73C1"/>
    <w:rsid w:val="001B740D"/>
    <w:rsid w:val="001C07A6"/>
    <w:rsid w:val="001C1693"/>
    <w:rsid w:val="001C1E03"/>
    <w:rsid w:val="001C1F17"/>
    <w:rsid w:val="001C2CA3"/>
    <w:rsid w:val="001C301D"/>
    <w:rsid w:val="001C3098"/>
    <w:rsid w:val="001C30A8"/>
    <w:rsid w:val="001C368D"/>
    <w:rsid w:val="001C4622"/>
    <w:rsid w:val="001C46A1"/>
    <w:rsid w:val="001C4DEC"/>
    <w:rsid w:val="001C52CF"/>
    <w:rsid w:val="001C66BB"/>
    <w:rsid w:val="001C67F1"/>
    <w:rsid w:val="001C6F5E"/>
    <w:rsid w:val="001C7288"/>
    <w:rsid w:val="001C7617"/>
    <w:rsid w:val="001C797E"/>
    <w:rsid w:val="001C7A01"/>
    <w:rsid w:val="001C7D7C"/>
    <w:rsid w:val="001C7E88"/>
    <w:rsid w:val="001D0664"/>
    <w:rsid w:val="001D12BB"/>
    <w:rsid w:val="001D136E"/>
    <w:rsid w:val="001D15CA"/>
    <w:rsid w:val="001D1747"/>
    <w:rsid w:val="001D178A"/>
    <w:rsid w:val="001D1C03"/>
    <w:rsid w:val="001D1C93"/>
    <w:rsid w:val="001D255D"/>
    <w:rsid w:val="001D3156"/>
    <w:rsid w:val="001D330D"/>
    <w:rsid w:val="001D3D93"/>
    <w:rsid w:val="001D3EB8"/>
    <w:rsid w:val="001D4D07"/>
    <w:rsid w:val="001D4EE1"/>
    <w:rsid w:val="001D576E"/>
    <w:rsid w:val="001D5F17"/>
    <w:rsid w:val="001D62F1"/>
    <w:rsid w:val="001D6CF5"/>
    <w:rsid w:val="001D7416"/>
    <w:rsid w:val="001D74F5"/>
    <w:rsid w:val="001D7996"/>
    <w:rsid w:val="001D7B8F"/>
    <w:rsid w:val="001D7D78"/>
    <w:rsid w:val="001D7EDB"/>
    <w:rsid w:val="001E0203"/>
    <w:rsid w:val="001E09F4"/>
    <w:rsid w:val="001E0CE7"/>
    <w:rsid w:val="001E2A0A"/>
    <w:rsid w:val="001E2CCB"/>
    <w:rsid w:val="001E3318"/>
    <w:rsid w:val="001E3C36"/>
    <w:rsid w:val="001E4428"/>
    <w:rsid w:val="001E4680"/>
    <w:rsid w:val="001E4C54"/>
    <w:rsid w:val="001E56B1"/>
    <w:rsid w:val="001E5B1C"/>
    <w:rsid w:val="001E5DF5"/>
    <w:rsid w:val="001E63CD"/>
    <w:rsid w:val="001E6928"/>
    <w:rsid w:val="001E69D6"/>
    <w:rsid w:val="001E6B60"/>
    <w:rsid w:val="001E6D49"/>
    <w:rsid w:val="001E78F4"/>
    <w:rsid w:val="001F00A7"/>
    <w:rsid w:val="001F1332"/>
    <w:rsid w:val="001F1447"/>
    <w:rsid w:val="001F147D"/>
    <w:rsid w:val="001F15A3"/>
    <w:rsid w:val="001F1625"/>
    <w:rsid w:val="001F1A9C"/>
    <w:rsid w:val="001F23A0"/>
    <w:rsid w:val="001F26FA"/>
    <w:rsid w:val="001F27EA"/>
    <w:rsid w:val="001F3451"/>
    <w:rsid w:val="001F3BF4"/>
    <w:rsid w:val="001F3D58"/>
    <w:rsid w:val="001F4E85"/>
    <w:rsid w:val="001F507F"/>
    <w:rsid w:val="001F50EF"/>
    <w:rsid w:val="001F5600"/>
    <w:rsid w:val="001F56F5"/>
    <w:rsid w:val="001F60CD"/>
    <w:rsid w:val="001F6109"/>
    <w:rsid w:val="001F64B8"/>
    <w:rsid w:val="001F69A2"/>
    <w:rsid w:val="001F7213"/>
    <w:rsid w:val="00200134"/>
    <w:rsid w:val="00200700"/>
    <w:rsid w:val="0020079A"/>
    <w:rsid w:val="002007B3"/>
    <w:rsid w:val="0020100B"/>
    <w:rsid w:val="0020161D"/>
    <w:rsid w:val="00201DB3"/>
    <w:rsid w:val="00202419"/>
    <w:rsid w:val="002035AE"/>
    <w:rsid w:val="0020365B"/>
    <w:rsid w:val="00204003"/>
    <w:rsid w:val="002046CE"/>
    <w:rsid w:val="00204D53"/>
    <w:rsid w:val="00205343"/>
    <w:rsid w:val="002057B0"/>
    <w:rsid w:val="00205F02"/>
    <w:rsid w:val="002067F7"/>
    <w:rsid w:val="00207F88"/>
    <w:rsid w:val="002100D5"/>
    <w:rsid w:val="00210414"/>
    <w:rsid w:val="0021070A"/>
    <w:rsid w:val="00210D1C"/>
    <w:rsid w:val="0021100F"/>
    <w:rsid w:val="002117E8"/>
    <w:rsid w:val="00211F2A"/>
    <w:rsid w:val="00212017"/>
    <w:rsid w:val="0021324D"/>
    <w:rsid w:val="002136BF"/>
    <w:rsid w:val="00213722"/>
    <w:rsid w:val="00213B79"/>
    <w:rsid w:val="00213C49"/>
    <w:rsid w:val="0021439D"/>
    <w:rsid w:val="0021446F"/>
    <w:rsid w:val="00214645"/>
    <w:rsid w:val="0021487D"/>
    <w:rsid w:val="00214A9F"/>
    <w:rsid w:val="00214AB3"/>
    <w:rsid w:val="00214CBB"/>
    <w:rsid w:val="00215592"/>
    <w:rsid w:val="0021652E"/>
    <w:rsid w:val="002169BF"/>
    <w:rsid w:val="00216ACE"/>
    <w:rsid w:val="00216FC6"/>
    <w:rsid w:val="00217333"/>
    <w:rsid w:val="0021773B"/>
    <w:rsid w:val="002178DD"/>
    <w:rsid w:val="0021793D"/>
    <w:rsid w:val="002200DC"/>
    <w:rsid w:val="00220299"/>
    <w:rsid w:val="002205D8"/>
    <w:rsid w:val="00220B7A"/>
    <w:rsid w:val="0022135A"/>
    <w:rsid w:val="0022141A"/>
    <w:rsid w:val="00221542"/>
    <w:rsid w:val="00221DDA"/>
    <w:rsid w:val="0022206F"/>
    <w:rsid w:val="002221FC"/>
    <w:rsid w:val="00222C49"/>
    <w:rsid w:val="00222C6B"/>
    <w:rsid w:val="00222F9E"/>
    <w:rsid w:val="002234F3"/>
    <w:rsid w:val="00223A3F"/>
    <w:rsid w:val="00223B5B"/>
    <w:rsid w:val="00223EDA"/>
    <w:rsid w:val="00224160"/>
    <w:rsid w:val="00225548"/>
    <w:rsid w:val="00225556"/>
    <w:rsid w:val="00225645"/>
    <w:rsid w:val="002256B4"/>
    <w:rsid w:val="0022583C"/>
    <w:rsid w:val="002259BC"/>
    <w:rsid w:val="00225F8F"/>
    <w:rsid w:val="0022617E"/>
    <w:rsid w:val="00226B2A"/>
    <w:rsid w:val="00227516"/>
    <w:rsid w:val="00227752"/>
    <w:rsid w:val="00227AE9"/>
    <w:rsid w:val="00227F4C"/>
    <w:rsid w:val="00227F57"/>
    <w:rsid w:val="002302A9"/>
    <w:rsid w:val="0023046B"/>
    <w:rsid w:val="00230D95"/>
    <w:rsid w:val="00231610"/>
    <w:rsid w:val="0023164E"/>
    <w:rsid w:val="002317C2"/>
    <w:rsid w:val="00231B6E"/>
    <w:rsid w:val="00231C8B"/>
    <w:rsid w:val="00231E9D"/>
    <w:rsid w:val="002326BB"/>
    <w:rsid w:val="00233B5C"/>
    <w:rsid w:val="00233CC4"/>
    <w:rsid w:val="00233CEE"/>
    <w:rsid w:val="00233D7F"/>
    <w:rsid w:val="00233F58"/>
    <w:rsid w:val="00234415"/>
    <w:rsid w:val="00234994"/>
    <w:rsid w:val="002349EB"/>
    <w:rsid w:val="00234CF6"/>
    <w:rsid w:val="00234DAE"/>
    <w:rsid w:val="00234E26"/>
    <w:rsid w:val="00235223"/>
    <w:rsid w:val="002352EB"/>
    <w:rsid w:val="0023614E"/>
    <w:rsid w:val="0023626B"/>
    <w:rsid w:val="00236279"/>
    <w:rsid w:val="0023690B"/>
    <w:rsid w:val="00237C9E"/>
    <w:rsid w:val="00240289"/>
    <w:rsid w:val="00240396"/>
    <w:rsid w:val="00240A13"/>
    <w:rsid w:val="00241300"/>
    <w:rsid w:val="0024172D"/>
    <w:rsid w:val="00241987"/>
    <w:rsid w:val="00241B3A"/>
    <w:rsid w:val="00241D0B"/>
    <w:rsid w:val="002423AF"/>
    <w:rsid w:val="002424BF"/>
    <w:rsid w:val="002428E9"/>
    <w:rsid w:val="002433E4"/>
    <w:rsid w:val="00243602"/>
    <w:rsid w:val="00243A68"/>
    <w:rsid w:val="00243A8C"/>
    <w:rsid w:val="00243B6B"/>
    <w:rsid w:val="0024468D"/>
    <w:rsid w:val="00245186"/>
    <w:rsid w:val="00245242"/>
    <w:rsid w:val="00245F4A"/>
    <w:rsid w:val="00246519"/>
    <w:rsid w:val="00246594"/>
    <w:rsid w:val="0024694C"/>
    <w:rsid w:val="00247B20"/>
    <w:rsid w:val="00247C31"/>
    <w:rsid w:val="00247C46"/>
    <w:rsid w:val="00247CD9"/>
    <w:rsid w:val="00247F48"/>
    <w:rsid w:val="00247F85"/>
    <w:rsid w:val="00250192"/>
    <w:rsid w:val="002502BC"/>
    <w:rsid w:val="002507A4"/>
    <w:rsid w:val="00251CD0"/>
    <w:rsid w:val="00252171"/>
    <w:rsid w:val="00252185"/>
    <w:rsid w:val="002525F4"/>
    <w:rsid w:val="0025282B"/>
    <w:rsid w:val="002531CB"/>
    <w:rsid w:val="00253229"/>
    <w:rsid w:val="0025339C"/>
    <w:rsid w:val="002535AF"/>
    <w:rsid w:val="002536B8"/>
    <w:rsid w:val="00253B01"/>
    <w:rsid w:val="00253F35"/>
    <w:rsid w:val="002541E1"/>
    <w:rsid w:val="00254740"/>
    <w:rsid w:val="00254EDE"/>
    <w:rsid w:val="00255231"/>
    <w:rsid w:val="0025546E"/>
    <w:rsid w:val="002554C6"/>
    <w:rsid w:val="00255A85"/>
    <w:rsid w:val="00255FFA"/>
    <w:rsid w:val="002563E1"/>
    <w:rsid w:val="00257A86"/>
    <w:rsid w:val="00257CF0"/>
    <w:rsid w:val="00260248"/>
    <w:rsid w:val="00260C6D"/>
    <w:rsid w:val="002620A7"/>
    <w:rsid w:val="0026220A"/>
    <w:rsid w:val="00262A67"/>
    <w:rsid w:val="00262A71"/>
    <w:rsid w:val="00262B3D"/>
    <w:rsid w:val="00262FBE"/>
    <w:rsid w:val="00263912"/>
    <w:rsid w:val="00263CBB"/>
    <w:rsid w:val="0026401D"/>
    <w:rsid w:val="00264464"/>
    <w:rsid w:val="00264622"/>
    <w:rsid w:val="002648A8"/>
    <w:rsid w:val="00264B60"/>
    <w:rsid w:val="00265735"/>
    <w:rsid w:val="00265D27"/>
    <w:rsid w:val="0026629A"/>
    <w:rsid w:val="002666B9"/>
    <w:rsid w:val="0026680D"/>
    <w:rsid w:val="002668D6"/>
    <w:rsid w:val="00266DF5"/>
    <w:rsid w:val="002678E3"/>
    <w:rsid w:val="002700E9"/>
    <w:rsid w:val="002701E2"/>
    <w:rsid w:val="002706F3"/>
    <w:rsid w:val="00271405"/>
    <w:rsid w:val="0027234D"/>
    <w:rsid w:val="00272510"/>
    <w:rsid w:val="0027321C"/>
    <w:rsid w:val="00273A8A"/>
    <w:rsid w:val="00274A0C"/>
    <w:rsid w:val="00274F84"/>
    <w:rsid w:val="002755F2"/>
    <w:rsid w:val="0027583E"/>
    <w:rsid w:val="00275844"/>
    <w:rsid w:val="00275CFE"/>
    <w:rsid w:val="002769A6"/>
    <w:rsid w:val="0027707F"/>
    <w:rsid w:val="00277285"/>
    <w:rsid w:val="0027739D"/>
    <w:rsid w:val="00277626"/>
    <w:rsid w:val="0027787F"/>
    <w:rsid w:val="00277A76"/>
    <w:rsid w:val="00277E42"/>
    <w:rsid w:val="00280188"/>
    <w:rsid w:val="002801A7"/>
    <w:rsid w:val="0028060B"/>
    <w:rsid w:val="0028120C"/>
    <w:rsid w:val="00281262"/>
    <w:rsid w:val="0028290E"/>
    <w:rsid w:val="00282D6D"/>
    <w:rsid w:val="00283013"/>
    <w:rsid w:val="0028308C"/>
    <w:rsid w:val="00283417"/>
    <w:rsid w:val="00284277"/>
    <w:rsid w:val="002849D2"/>
    <w:rsid w:val="00284F9D"/>
    <w:rsid w:val="002852BD"/>
    <w:rsid w:val="002855CB"/>
    <w:rsid w:val="00285A2E"/>
    <w:rsid w:val="00285CBA"/>
    <w:rsid w:val="00285EDD"/>
    <w:rsid w:val="00286076"/>
    <w:rsid w:val="00286089"/>
    <w:rsid w:val="00286439"/>
    <w:rsid w:val="00286C50"/>
    <w:rsid w:val="002874CD"/>
    <w:rsid w:val="002876E6"/>
    <w:rsid w:val="002903CF"/>
    <w:rsid w:val="0029041B"/>
    <w:rsid w:val="00290484"/>
    <w:rsid w:val="002905F5"/>
    <w:rsid w:val="0029151E"/>
    <w:rsid w:val="00291D72"/>
    <w:rsid w:val="0029216B"/>
    <w:rsid w:val="002925FD"/>
    <w:rsid w:val="00292C34"/>
    <w:rsid w:val="0029320E"/>
    <w:rsid w:val="00293240"/>
    <w:rsid w:val="002937DA"/>
    <w:rsid w:val="00293893"/>
    <w:rsid w:val="00293942"/>
    <w:rsid w:val="00294031"/>
    <w:rsid w:val="0029422D"/>
    <w:rsid w:val="002946FB"/>
    <w:rsid w:val="00294FF9"/>
    <w:rsid w:val="0029546E"/>
    <w:rsid w:val="00295827"/>
    <w:rsid w:val="002959BB"/>
    <w:rsid w:val="00295F16"/>
    <w:rsid w:val="002960DF"/>
    <w:rsid w:val="0029656A"/>
    <w:rsid w:val="00296640"/>
    <w:rsid w:val="00296C44"/>
    <w:rsid w:val="0029731E"/>
    <w:rsid w:val="0029762D"/>
    <w:rsid w:val="0029798B"/>
    <w:rsid w:val="002A0122"/>
    <w:rsid w:val="002A033F"/>
    <w:rsid w:val="002A09BD"/>
    <w:rsid w:val="002A0ADD"/>
    <w:rsid w:val="002A16B4"/>
    <w:rsid w:val="002A1BC4"/>
    <w:rsid w:val="002A2B98"/>
    <w:rsid w:val="002A2C9B"/>
    <w:rsid w:val="002A3059"/>
    <w:rsid w:val="002A3280"/>
    <w:rsid w:val="002A3B02"/>
    <w:rsid w:val="002A4480"/>
    <w:rsid w:val="002A4704"/>
    <w:rsid w:val="002A4809"/>
    <w:rsid w:val="002A572C"/>
    <w:rsid w:val="002A5F7E"/>
    <w:rsid w:val="002A6111"/>
    <w:rsid w:val="002A6130"/>
    <w:rsid w:val="002A630A"/>
    <w:rsid w:val="002A6919"/>
    <w:rsid w:val="002A6BCE"/>
    <w:rsid w:val="002A6C81"/>
    <w:rsid w:val="002A708B"/>
    <w:rsid w:val="002A7A81"/>
    <w:rsid w:val="002A7E15"/>
    <w:rsid w:val="002B070E"/>
    <w:rsid w:val="002B0803"/>
    <w:rsid w:val="002B08A0"/>
    <w:rsid w:val="002B0A51"/>
    <w:rsid w:val="002B0AA6"/>
    <w:rsid w:val="002B0F06"/>
    <w:rsid w:val="002B1220"/>
    <w:rsid w:val="002B15C6"/>
    <w:rsid w:val="002B1968"/>
    <w:rsid w:val="002B1BDF"/>
    <w:rsid w:val="002B1C11"/>
    <w:rsid w:val="002B1E78"/>
    <w:rsid w:val="002B2F8C"/>
    <w:rsid w:val="002B337B"/>
    <w:rsid w:val="002B428D"/>
    <w:rsid w:val="002B42A0"/>
    <w:rsid w:val="002B48DB"/>
    <w:rsid w:val="002B4D9B"/>
    <w:rsid w:val="002B4F38"/>
    <w:rsid w:val="002B560B"/>
    <w:rsid w:val="002B6395"/>
    <w:rsid w:val="002B6985"/>
    <w:rsid w:val="002B6BBE"/>
    <w:rsid w:val="002B7491"/>
    <w:rsid w:val="002B7532"/>
    <w:rsid w:val="002B7C91"/>
    <w:rsid w:val="002B7CFD"/>
    <w:rsid w:val="002B7E97"/>
    <w:rsid w:val="002B7EAE"/>
    <w:rsid w:val="002B7ED3"/>
    <w:rsid w:val="002B7F79"/>
    <w:rsid w:val="002C096F"/>
    <w:rsid w:val="002C0B97"/>
    <w:rsid w:val="002C0F69"/>
    <w:rsid w:val="002C1B83"/>
    <w:rsid w:val="002C1E9A"/>
    <w:rsid w:val="002C2D2E"/>
    <w:rsid w:val="002C2EED"/>
    <w:rsid w:val="002C3256"/>
    <w:rsid w:val="002C3267"/>
    <w:rsid w:val="002C32D3"/>
    <w:rsid w:val="002C391F"/>
    <w:rsid w:val="002C3C0F"/>
    <w:rsid w:val="002C4194"/>
    <w:rsid w:val="002C44FE"/>
    <w:rsid w:val="002C4507"/>
    <w:rsid w:val="002C45CB"/>
    <w:rsid w:val="002C6386"/>
    <w:rsid w:val="002C6515"/>
    <w:rsid w:val="002C68A0"/>
    <w:rsid w:val="002C6AF1"/>
    <w:rsid w:val="002C6B7A"/>
    <w:rsid w:val="002C6DC3"/>
    <w:rsid w:val="002C74FF"/>
    <w:rsid w:val="002C7681"/>
    <w:rsid w:val="002C7E54"/>
    <w:rsid w:val="002C7E84"/>
    <w:rsid w:val="002D0378"/>
    <w:rsid w:val="002D06C0"/>
    <w:rsid w:val="002D12F4"/>
    <w:rsid w:val="002D145F"/>
    <w:rsid w:val="002D1B0D"/>
    <w:rsid w:val="002D1D63"/>
    <w:rsid w:val="002D1FA9"/>
    <w:rsid w:val="002D21D8"/>
    <w:rsid w:val="002D2424"/>
    <w:rsid w:val="002D2A8D"/>
    <w:rsid w:val="002D3EB0"/>
    <w:rsid w:val="002D3EF7"/>
    <w:rsid w:val="002D40F6"/>
    <w:rsid w:val="002D48C1"/>
    <w:rsid w:val="002D4968"/>
    <w:rsid w:val="002D50A3"/>
    <w:rsid w:val="002D59D5"/>
    <w:rsid w:val="002D5D88"/>
    <w:rsid w:val="002D691C"/>
    <w:rsid w:val="002D72FE"/>
    <w:rsid w:val="002D7486"/>
    <w:rsid w:val="002D7628"/>
    <w:rsid w:val="002D7767"/>
    <w:rsid w:val="002D7993"/>
    <w:rsid w:val="002E0A60"/>
    <w:rsid w:val="002E0B4D"/>
    <w:rsid w:val="002E1170"/>
    <w:rsid w:val="002E1285"/>
    <w:rsid w:val="002E146C"/>
    <w:rsid w:val="002E1B15"/>
    <w:rsid w:val="002E2355"/>
    <w:rsid w:val="002E27F9"/>
    <w:rsid w:val="002E2C15"/>
    <w:rsid w:val="002E3843"/>
    <w:rsid w:val="002E3DB7"/>
    <w:rsid w:val="002E4B85"/>
    <w:rsid w:val="002E4C38"/>
    <w:rsid w:val="002E5439"/>
    <w:rsid w:val="002E5986"/>
    <w:rsid w:val="002E6095"/>
    <w:rsid w:val="002E7172"/>
    <w:rsid w:val="002E7E49"/>
    <w:rsid w:val="002E7ED0"/>
    <w:rsid w:val="002F09A8"/>
    <w:rsid w:val="002F0C27"/>
    <w:rsid w:val="002F0E78"/>
    <w:rsid w:val="002F0F7B"/>
    <w:rsid w:val="002F10BB"/>
    <w:rsid w:val="002F1FEF"/>
    <w:rsid w:val="002F21C4"/>
    <w:rsid w:val="002F2BB5"/>
    <w:rsid w:val="002F2E42"/>
    <w:rsid w:val="002F3D79"/>
    <w:rsid w:val="002F3DB3"/>
    <w:rsid w:val="002F429F"/>
    <w:rsid w:val="002F5296"/>
    <w:rsid w:val="002F5359"/>
    <w:rsid w:val="002F5B24"/>
    <w:rsid w:val="002F5BBF"/>
    <w:rsid w:val="002F5CC3"/>
    <w:rsid w:val="002F5EEC"/>
    <w:rsid w:val="002F6180"/>
    <w:rsid w:val="002F65CA"/>
    <w:rsid w:val="002F6723"/>
    <w:rsid w:val="002F6F99"/>
    <w:rsid w:val="002F7A43"/>
    <w:rsid w:val="0030040E"/>
    <w:rsid w:val="00300D3F"/>
    <w:rsid w:val="00300D7E"/>
    <w:rsid w:val="00301833"/>
    <w:rsid w:val="00301E99"/>
    <w:rsid w:val="00302781"/>
    <w:rsid w:val="00302F3D"/>
    <w:rsid w:val="00303189"/>
    <w:rsid w:val="003036F6"/>
    <w:rsid w:val="00303BE0"/>
    <w:rsid w:val="00304566"/>
    <w:rsid w:val="00304639"/>
    <w:rsid w:val="00304AD3"/>
    <w:rsid w:val="00304FD7"/>
    <w:rsid w:val="00305154"/>
    <w:rsid w:val="003053EC"/>
    <w:rsid w:val="00305656"/>
    <w:rsid w:val="00306FD7"/>
    <w:rsid w:val="00307477"/>
    <w:rsid w:val="00307A79"/>
    <w:rsid w:val="00307D82"/>
    <w:rsid w:val="00310332"/>
    <w:rsid w:val="00310783"/>
    <w:rsid w:val="003109F4"/>
    <w:rsid w:val="00310B9E"/>
    <w:rsid w:val="00310D32"/>
    <w:rsid w:val="0031107D"/>
    <w:rsid w:val="00311789"/>
    <w:rsid w:val="00311FA4"/>
    <w:rsid w:val="00312231"/>
    <w:rsid w:val="00313222"/>
    <w:rsid w:val="0031335C"/>
    <w:rsid w:val="00313806"/>
    <w:rsid w:val="003141AC"/>
    <w:rsid w:val="00314369"/>
    <w:rsid w:val="0031457F"/>
    <w:rsid w:val="003148AD"/>
    <w:rsid w:val="00314B0A"/>
    <w:rsid w:val="00315846"/>
    <w:rsid w:val="00315992"/>
    <w:rsid w:val="00315BC4"/>
    <w:rsid w:val="0031614E"/>
    <w:rsid w:val="00316273"/>
    <w:rsid w:val="003165AE"/>
    <w:rsid w:val="00316C48"/>
    <w:rsid w:val="003173EA"/>
    <w:rsid w:val="0031748A"/>
    <w:rsid w:val="00317732"/>
    <w:rsid w:val="00317D96"/>
    <w:rsid w:val="003204D5"/>
    <w:rsid w:val="003206D1"/>
    <w:rsid w:val="00321B6C"/>
    <w:rsid w:val="00321BD2"/>
    <w:rsid w:val="0032221D"/>
    <w:rsid w:val="003226D8"/>
    <w:rsid w:val="003227A2"/>
    <w:rsid w:val="003229A9"/>
    <w:rsid w:val="00322E6A"/>
    <w:rsid w:val="00323527"/>
    <w:rsid w:val="003235E9"/>
    <w:rsid w:val="00323A77"/>
    <w:rsid w:val="00323AB8"/>
    <w:rsid w:val="00323DA8"/>
    <w:rsid w:val="00324BB2"/>
    <w:rsid w:val="00324F53"/>
    <w:rsid w:val="003253D6"/>
    <w:rsid w:val="003256BC"/>
    <w:rsid w:val="0032571C"/>
    <w:rsid w:val="00325814"/>
    <w:rsid w:val="00325ED6"/>
    <w:rsid w:val="003261B3"/>
    <w:rsid w:val="003264F8"/>
    <w:rsid w:val="00326CFA"/>
    <w:rsid w:val="00327776"/>
    <w:rsid w:val="00327B21"/>
    <w:rsid w:val="00327F34"/>
    <w:rsid w:val="00330188"/>
    <w:rsid w:val="003305E8"/>
    <w:rsid w:val="003306EF"/>
    <w:rsid w:val="00330A8B"/>
    <w:rsid w:val="003314A0"/>
    <w:rsid w:val="003315E5"/>
    <w:rsid w:val="00332677"/>
    <w:rsid w:val="00332BFF"/>
    <w:rsid w:val="00334134"/>
    <w:rsid w:val="00334239"/>
    <w:rsid w:val="00334375"/>
    <w:rsid w:val="00334519"/>
    <w:rsid w:val="00334871"/>
    <w:rsid w:val="00334C67"/>
    <w:rsid w:val="00334E99"/>
    <w:rsid w:val="00334FF6"/>
    <w:rsid w:val="003360BC"/>
    <w:rsid w:val="00336212"/>
    <w:rsid w:val="0033678D"/>
    <w:rsid w:val="00337006"/>
    <w:rsid w:val="00337071"/>
    <w:rsid w:val="0033742A"/>
    <w:rsid w:val="00337AB4"/>
    <w:rsid w:val="00337AD7"/>
    <w:rsid w:val="00340362"/>
    <w:rsid w:val="00340728"/>
    <w:rsid w:val="00340B38"/>
    <w:rsid w:val="00340BFB"/>
    <w:rsid w:val="00341C6C"/>
    <w:rsid w:val="003422C5"/>
    <w:rsid w:val="00342E06"/>
    <w:rsid w:val="00342E7D"/>
    <w:rsid w:val="003435BD"/>
    <w:rsid w:val="00343F16"/>
    <w:rsid w:val="0034451B"/>
    <w:rsid w:val="003445E6"/>
    <w:rsid w:val="003446CC"/>
    <w:rsid w:val="00345219"/>
    <w:rsid w:val="003452CD"/>
    <w:rsid w:val="003459D4"/>
    <w:rsid w:val="00345AC4"/>
    <w:rsid w:val="00345B3A"/>
    <w:rsid w:val="0034625D"/>
    <w:rsid w:val="003465C8"/>
    <w:rsid w:val="003467EB"/>
    <w:rsid w:val="00346DF1"/>
    <w:rsid w:val="003473B7"/>
    <w:rsid w:val="00347985"/>
    <w:rsid w:val="003479BC"/>
    <w:rsid w:val="00347CE7"/>
    <w:rsid w:val="00350017"/>
    <w:rsid w:val="0035003F"/>
    <w:rsid w:val="0035039A"/>
    <w:rsid w:val="003505D1"/>
    <w:rsid w:val="003506C0"/>
    <w:rsid w:val="003507C1"/>
    <w:rsid w:val="00350B7E"/>
    <w:rsid w:val="00350C07"/>
    <w:rsid w:val="00350C7B"/>
    <w:rsid w:val="00351099"/>
    <w:rsid w:val="003513C3"/>
    <w:rsid w:val="003515E3"/>
    <w:rsid w:val="00351784"/>
    <w:rsid w:val="00351B74"/>
    <w:rsid w:val="00351D69"/>
    <w:rsid w:val="0035298F"/>
    <w:rsid w:val="00352B49"/>
    <w:rsid w:val="00353EF3"/>
    <w:rsid w:val="00353F12"/>
    <w:rsid w:val="00354156"/>
    <w:rsid w:val="003547C6"/>
    <w:rsid w:val="00354AD3"/>
    <w:rsid w:val="00354D80"/>
    <w:rsid w:val="00354E64"/>
    <w:rsid w:val="00354E72"/>
    <w:rsid w:val="00355206"/>
    <w:rsid w:val="00355627"/>
    <w:rsid w:val="0035566D"/>
    <w:rsid w:val="00355C86"/>
    <w:rsid w:val="00356437"/>
    <w:rsid w:val="003566EC"/>
    <w:rsid w:val="00356D18"/>
    <w:rsid w:val="003574B7"/>
    <w:rsid w:val="00357B3E"/>
    <w:rsid w:val="00360525"/>
    <w:rsid w:val="00360DB7"/>
    <w:rsid w:val="00361238"/>
    <w:rsid w:val="00361AC1"/>
    <w:rsid w:val="00361DFB"/>
    <w:rsid w:val="00361E7C"/>
    <w:rsid w:val="00362053"/>
    <w:rsid w:val="00362400"/>
    <w:rsid w:val="003624AD"/>
    <w:rsid w:val="003625E6"/>
    <w:rsid w:val="00362626"/>
    <w:rsid w:val="003628DE"/>
    <w:rsid w:val="00362C9C"/>
    <w:rsid w:val="0036357F"/>
    <w:rsid w:val="003639F0"/>
    <w:rsid w:val="00363BDD"/>
    <w:rsid w:val="00363C7B"/>
    <w:rsid w:val="00363CDE"/>
    <w:rsid w:val="003643D5"/>
    <w:rsid w:val="003644CE"/>
    <w:rsid w:val="003645AF"/>
    <w:rsid w:val="0036474C"/>
    <w:rsid w:val="003647AB"/>
    <w:rsid w:val="0036594D"/>
    <w:rsid w:val="00365DE5"/>
    <w:rsid w:val="00366171"/>
    <w:rsid w:val="0036627C"/>
    <w:rsid w:val="00366471"/>
    <w:rsid w:val="00366623"/>
    <w:rsid w:val="003668E9"/>
    <w:rsid w:val="00366997"/>
    <w:rsid w:val="00366C38"/>
    <w:rsid w:val="003673E5"/>
    <w:rsid w:val="00367567"/>
    <w:rsid w:val="00367621"/>
    <w:rsid w:val="00367701"/>
    <w:rsid w:val="00367747"/>
    <w:rsid w:val="0037007B"/>
    <w:rsid w:val="0037037E"/>
    <w:rsid w:val="00370655"/>
    <w:rsid w:val="003707F0"/>
    <w:rsid w:val="0037097D"/>
    <w:rsid w:val="00371138"/>
    <w:rsid w:val="003717BF"/>
    <w:rsid w:val="0037189D"/>
    <w:rsid w:val="00371982"/>
    <w:rsid w:val="0037445F"/>
    <w:rsid w:val="00374968"/>
    <w:rsid w:val="00374CD1"/>
    <w:rsid w:val="00374EF0"/>
    <w:rsid w:val="0037507A"/>
    <w:rsid w:val="003752C9"/>
    <w:rsid w:val="00375988"/>
    <w:rsid w:val="003760DE"/>
    <w:rsid w:val="003762CE"/>
    <w:rsid w:val="00376EC1"/>
    <w:rsid w:val="00376FD7"/>
    <w:rsid w:val="0037753B"/>
    <w:rsid w:val="003777AE"/>
    <w:rsid w:val="003778B0"/>
    <w:rsid w:val="00377932"/>
    <w:rsid w:val="0038006D"/>
    <w:rsid w:val="0038057B"/>
    <w:rsid w:val="00380FC4"/>
    <w:rsid w:val="003810D1"/>
    <w:rsid w:val="00381169"/>
    <w:rsid w:val="00381326"/>
    <w:rsid w:val="003813A0"/>
    <w:rsid w:val="003817EE"/>
    <w:rsid w:val="00381AA3"/>
    <w:rsid w:val="00382813"/>
    <w:rsid w:val="003829EB"/>
    <w:rsid w:val="003830DD"/>
    <w:rsid w:val="003832A1"/>
    <w:rsid w:val="003833B2"/>
    <w:rsid w:val="0038358E"/>
    <w:rsid w:val="00383808"/>
    <w:rsid w:val="00383820"/>
    <w:rsid w:val="00383AE3"/>
    <w:rsid w:val="003841AF"/>
    <w:rsid w:val="003843D5"/>
    <w:rsid w:val="0038443D"/>
    <w:rsid w:val="0038478E"/>
    <w:rsid w:val="003848BC"/>
    <w:rsid w:val="00384BE9"/>
    <w:rsid w:val="00384C58"/>
    <w:rsid w:val="003850CE"/>
    <w:rsid w:val="0038527A"/>
    <w:rsid w:val="00385C8E"/>
    <w:rsid w:val="003860CD"/>
    <w:rsid w:val="00387417"/>
    <w:rsid w:val="003876FE"/>
    <w:rsid w:val="00387974"/>
    <w:rsid w:val="00387AB8"/>
    <w:rsid w:val="00387DDE"/>
    <w:rsid w:val="00387EFB"/>
    <w:rsid w:val="003903A5"/>
    <w:rsid w:val="00390608"/>
    <w:rsid w:val="00390F05"/>
    <w:rsid w:val="00391441"/>
    <w:rsid w:val="00391A01"/>
    <w:rsid w:val="00391AA5"/>
    <w:rsid w:val="00391B3A"/>
    <w:rsid w:val="003924D6"/>
    <w:rsid w:val="00392B6B"/>
    <w:rsid w:val="00392DDE"/>
    <w:rsid w:val="003931F0"/>
    <w:rsid w:val="003941A2"/>
    <w:rsid w:val="003941AD"/>
    <w:rsid w:val="00394C18"/>
    <w:rsid w:val="00394DCE"/>
    <w:rsid w:val="00395309"/>
    <w:rsid w:val="003959EE"/>
    <w:rsid w:val="00395C19"/>
    <w:rsid w:val="0039616D"/>
    <w:rsid w:val="003962EC"/>
    <w:rsid w:val="00396361"/>
    <w:rsid w:val="00396936"/>
    <w:rsid w:val="00396C50"/>
    <w:rsid w:val="003A01A2"/>
    <w:rsid w:val="003A0261"/>
    <w:rsid w:val="003A04EE"/>
    <w:rsid w:val="003A0A9A"/>
    <w:rsid w:val="003A0B5D"/>
    <w:rsid w:val="003A0EB5"/>
    <w:rsid w:val="003A1421"/>
    <w:rsid w:val="003A1CBD"/>
    <w:rsid w:val="003A1F1B"/>
    <w:rsid w:val="003A33AE"/>
    <w:rsid w:val="003A39A9"/>
    <w:rsid w:val="003A4177"/>
    <w:rsid w:val="003A4274"/>
    <w:rsid w:val="003A47A0"/>
    <w:rsid w:val="003A4E87"/>
    <w:rsid w:val="003A4EB9"/>
    <w:rsid w:val="003A5613"/>
    <w:rsid w:val="003A5711"/>
    <w:rsid w:val="003A652E"/>
    <w:rsid w:val="003A6650"/>
    <w:rsid w:val="003A6973"/>
    <w:rsid w:val="003A6D9D"/>
    <w:rsid w:val="003A6E26"/>
    <w:rsid w:val="003A6E77"/>
    <w:rsid w:val="003A76DB"/>
    <w:rsid w:val="003A7AC6"/>
    <w:rsid w:val="003A7DA7"/>
    <w:rsid w:val="003B0185"/>
    <w:rsid w:val="003B040D"/>
    <w:rsid w:val="003B0D16"/>
    <w:rsid w:val="003B0D35"/>
    <w:rsid w:val="003B0F6D"/>
    <w:rsid w:val="003B0FDF"/>
    <w:rsid w:val="003B108E"/>
    <w:rsid w:val="003B1140"/>
    <w:rsid w:val="003B1553"/>
    <w:rsid w:val="003B1AE6"/>
    <w:rsid w:val="003B2815"/>
    <w:rsid w:val="003B3041"/>
    <w:rsid w:val="003B3797"/>
    <w:rsid w:val="003B3E51"/>
    <w:rsid w:val="003B41C7"/>
    <w:rsid w:val="003B46D7"/>
    <w:rsid w:val="003B49A1"/>
    <w:rsid w:val="003B5771"/>
    <w:rsid w:val="003B6259"/>
    <w:rsid w:val="003B6EBD"/>
    <w:rsid w:val="003B7105"/>
    <w:rsid w:val="003B75E0"/>
    <w:rsid w:val="003C03FC"/>
    <w:rsid w:val="003C2E94"/>
    <w:rsid w:val="003C3610"/>
    <w:rsid w:val="003C3B68"/>
    <w:rsid w:val="003C3D14"/>
    <w:rsid w:val="003C4FA9"/>
    <w:rsid w:val="003C4FD3"/>
    <w:rsid w:val="003C567B"/>
    <w:rsid w:val="003C63E5"/>
    <w:rsid w:val="003C64D9"/>
    <w:rsid w:val="003C7175"/>
    <w:rsid w:val="003C7249"/>
    <w:rsid w:val="003C778D"/>
    <w:rsid w:val="003D00FF"/>
    <w:rsid w:val="003D10B0"/>
    <w:rsid w:val="003D163A"/>
    <w:rsid w:val="003D1768"/>
    <w:rsid w:val="003D1880"/>
    <w:rsid w:val="003D19C6"/>
    <w:rsid w:val="003D19D2"/>
    <w:rsid w:val="003D1B8A"/>
    <w:rsid w:val="003D1E9D"/>
    <w:rsid w:val="003D2AC0"/>
    <w:rsid w:val="003D2CD5"/>
    <w:rsid w:val="003D3022"/>
    <w:rsid w:val="003D3B99"/>
    <w:rsid w:val="003D4333"/>
    <w:rsid w:val="003D46D0"/>
    <w:rsid w:val="003D4825"/>
    <w:rsid w:val="003D5257"/>
    <w:rsid w:val="003D58FE"/>
    <w:rsid w:val="003D62CF"/>
    <w:rsid w:val="003D713C"/>
    <w:rsid w:val="003D7C7C"/>
    <w:rsid w:val="003E0065"/>
    <w:rsid w:val="003E0160"/>
    <w:rsid w:val="003E02F1"/>
    <w:rsid w:val="003E0CEB"/>
    <w:rsid w:val="003E0FA9"/>
    <w:rsid w:val="003E1072"/>
    <w:rsid w:val="003E1163"/>
    <w:rsid w:val="003E165E"/>
    <w:rsid w:val="003E1DBB"/>
    <w:rsid w:val="003E2E42"/>
    <w:rsid w:val="003E396C"/>
    <w:rsid w:val="003E3BF2"/>
    <w:rsid w:val="003E3E37"/>
    <w:rsid w:val="003E405F"/>
    <w:rsid w:val="003E417C"/>
    <w:rsid w:val="003E444F"/>
    <w:rsid w:val="003E4854"/>
    <w:rsid w:val="003E4BC1"/>
    <w:rsid w:val="003E524F"/>
    <w:rsid w:val="003E5265"/>
    <w:rsid w:val="003E53D2"/>
    <w:rsid w:val="003E544B"/>
    <w:rsid w:val="003E54FA"/>
    <w:rsid w:val="003E5746"/>
    <w:rsid w:val="003E5C71"/>
    <w:rsid w:val="003E6A1F"/>
    <w:rsid w:val="003E70E0"/>
    <w:rsid w:val="003E7792"/>
    <w:rsid w:val="003E78C6"/>
    <w:rsid w:val="003E7FD1"/>
    <w:rsid w:val="003F0948"/>
    <w:rsid w:val="003F0ACF"/>
    <w:rsid w:val="003F1287"/>
    <w:rsid w:val="003F25E8"/>
    <w:rsid w:val="003F2917"/>
    <w:rsid w:val="003F3A9E"/>
    <w:rsid w:val="003F4919"/>
    <w:rsid w:val="003F4A78"/>
    <w:rsid w:val="003F53B8"/>
    <w:rsid w:val="003F5A1F"/>
    <w:rsid w:val="003F5CB3"/>
    <w:rsid w:val="003F6076"/>
    <w:rsid w:val="003F645A"/>
    <w:rsid w:val="003F66B4"/>
    <w:rsid w:val="003F6EF4"/>
    <w:rsid w:val="003F723A"/>
    <w:rsid w:val="003F7360"/>
    <w:rsid w:val="003F741C"/>
    <w:rsid w:val="003F7491"/>
    <w:rsid w:val="003F7DA9"/>
    <w:rsid w:val="003F7EDB"/>
    <w:rsid w:val="004002C0"/>
    <w:rsid w:val="00400F45"/>
    <w:rsid w:val="00401526"/>
    <w:rsid w:val="00401F93"/>
    <w:rsid w:val="004020F4"/>
    <w:rsid w:val="00402885"/>
    <w:rsid w:val="00402F27"/>
    <w:rsid w:val="004032E3"/>
    <w:rsid w:val="00403736"/>
    <w:rsid w:val="00403CE6"/>
    <w:rsid w:val="0040429E"/>
    <w:rsid w:val="00404588"/>
    <w:rsid w:val="00405B69"/>
    <w:rsid w:val="00405E54"/>
    <w:rsid w:val="004064EB"/>
    <w:rsid w:val="0040653E"/>
    <w:rsid w:val="004069E9"/>
    <w:rsid w:val="00406C88"/>
    <w:rsid w:val="0040715F"/>
    <w:rsid w:val="0040779D"/>
    <w:rsid w:val="004103CA"/>
    <w:rsid w:val="00410416"/>
    <w:rsid w:val="004104C8"/>
    <w:rsid w:val="00410D02"/>
    <w:rsid w:val="00410DCC"/>
    <w:rsid w:val="00410DEC"/>
    <w:rsid w:val="004110CA"/>
    <w:rsid w:val="004111EC"/>
    <w:rsid w:val="0041125F"/>
    <w:rsid w:val="0041160E"/>
    <w:rsid w:val="00411A51"/>
    <w:rsid w:val="00411CF8"/>
    <w:rsid w:val="00411EAC"/>
    <w:rsid w:val="00412289"/>
    <w:rsid w:val="0041258F"/>
    <w:rsid w:val="00412999"/>
    <w:rsid w:val="00413855"/>
    <w:rsid w:val="004139F0"/>
    <w:rsid w:val="00414077"/>
    <w:rsid w:val="00414569"/>
    <w:rsid w:val="004146E0"/>
    <w:rsid w:val="00414DAA"/>
    <w:rsid w:val="00414F3A"/>
    <w:rsid w:val="00415408"/>
    <w:rsid w:val="00415D21"/>
    <w:rsid w:val="00415D60"/>
    <w:rsid w:val="0041617D"/>
    <w:rsid w:val="004162F9"/>
    <w:rsid w:val="00416BD9"/>
    <w:rsid w:val="00417B0E"/>
    <w:rsid w:val="00420135"/>
    <w:rsid w:val="00421EA0"/>
    <w:rsid w:val="00422348"/>
    <w:rsid w:val="00422A4E"/>
    <w:rsid w:val="00423139"/>
    <w:rsid w:val="00423344"/>
    <w:rsid w:val="0042340A"/>
    <w:rsid w:val="00423B46"/>
    <w:rsid w:val="00423E82"/>
    <w:rsid w:val="0042511E"/>
    <w:rsid w:val="00426005"/>
    <w:rsid w:val="0042651D"/>
    <w:rsid w:val="00427425"/>
    <w:rsid w:val="004303A0"/>
    <w:rsid w:val="004303E8"/>
    <w:rsid w:val="0043098E"/>
    <w:rsid w:val="00430D48"/>
    <w:rsid w:val="00430E8B"/>
    <w:rsid w:val="00431162"/>
    <w:rsid w:val="00431540"/>
    <w:rsid w:val="00431962"/>
    <w:rsid w:val="00431DA3"/>
    <w:rsid w:val="004327AD"/>
    <w:rsid w:val="00432851"/>
    <w:rsid w:val="00432875"/>
    <w:rsid w:val="00432B38"/>
    <w:rsid w:val="00433980"/>
    <w:rsid w:val="00434A21"/>
    <w:rsid w:val="0043593A"/>
    <w:rsid w:val="00435D5B"/>
    <w:rsid w:val="00436A47"/>
    <w:rsid w:val="00436EDA"/>
    <w:rsid w:val="004371ED"/>
    <w:rsid w:val="00437302"/>
    <w:rsid w:val="00437342"/>
    <w:rsid w:val="00437A1A"/>
    <w:rsid w:val="00437C69"/>
    <w:rsid w:val="004402EC"/>
    <w:rsid w:val="00440447"/>
    <w:rsid w:val="00440C26"/>
    <w:rsid w:val="004410DD"/>
    <w:rsid w:val="00441195"/>
    <w:rsid w:val="00441FBC"/>
    <w:rsid w:val="004422ED"/>
    <w:rsid w:val="00442828"/>
    <w:rsid w:val="00442C78"/>
    <w:rsid w:val="004431EA"/>
    <w:rsid w:val="00443482"/>
    <w:rsid w:val="004438B2"/>
    <w:rsid w:val="004448DF"/>
    <w:rsid w:val="0044499A"/>
    <w:rsid w:val="00444AF1"/>
    <w:rsid w:val="00444CF5"/>
    <w:rsid w:val="00446428"/>
    <w:rsid w:val="00446511"/>
    <w:rsid w:val="00446907"/>
    <w:rsid w:val="00446C91"/>
    <w:rsid w:val="00446E4C"/>
    <w:rsid w:val="00446EFC"/>
    <w:rsid w:val="00447126"/>
    <w:rsid w:val="00447AB5"/>
    <w:rsid w:val="00447DCF"/>
    <w:rsid w:val="004500C3"/>
    <w:rsid w:val="00450126"/>
    <w:rsid w:val="00450308"/>
    <w:rsid w:val="00450C80"/>
    <w:rsid w:val="0045173F"/>
    <w:rsid w:val="004517BF"/>
    <w:rsid w:val="004518E9"/>
    <w:rsid w:val="00451A53"/>
    <w:rsid w:val="00451BA7"/>
    <w:rsid w:val="00451C4E"/>
    <w:rsid w:val="00451CBC"/>
    <w:rsid w:val="00451CE9"/>
    <w:rsid w:val="00451F35"/>
    <w:rsid w:val="00451FC3"/>
    <w:rsid w:val="00452134"/>
    <w:rsid w:val="00452391"/>
    <w:rsid w:val="0045309F"/>
    <w:rsid w:val="004548FE"/>
    <w:rsid w:val="0045522F"/>
    <w:rsid w:val="004552CE"/>
    <w:rsid w:val="0045589C"/>
    <w:rsid w:val="00455EAE"/>
    <w:rsid w:val="004563EF"/>
    <w:rsid w:val="0045676E"/>
    <w:rsid w:val="004568B4"/>
    <w:rsid w:val="00456ACD"/>
    <w:rsid w:val="00456BF8"/>
    <w:rsid w:val="00457056"/>
    <w:rsid w:val="00457763"/>
    <w:rsid w:val="00457AD1"/>
    <w:rsid w:val="00457F8D"/>
    <w:rsid w:val="004607A2"/>
    <w:rsid w:val="004608D3"/>
    <w:rsid w:val="00460D39"/>
    <w:rsid w:val="00461020"/>
    <w:rsid w:val="004615F1"/>
    <w:rsid w:val="00461D0F"/>
    <w:rsid w:val="00461D7A"/>
    <w:rsid w:val="00461F55"/>
    <w:rsid w:val="00462368"/>
    <w:rsid w:val="00462534"/>
    <w:rsid w:val="00462712"/>
    <w:rsid w:val="0046281A"/>
    <w:rsid w:val="00462A55"/>
    <w:rsid w:val="00462AF3"/>
    <w:rsid w:val="00462F10"/>
    <w:rsid w:val="004632D3"/>
    <w:rsid w:val="00463610"/>
    <w:rsid w:val="00463DA2"/>
    <w:rsid w:val="00463ECB"/>
    <w:rsid w:val="0046427F"/>
    <w:rsid w:val="0046428B"/>
    <w:rsid w:val="00464ADF"/>
    <w:rsid w:val="00464AE0"/>
    <w:rsid w:val="00465013"/>
    <w:rsid w:val="0046537B"/>
    <w:rsid w:val="00465A13"/>
    <w:rsid w:val="00465A40"/>
    <w:rsid w:val="00465E1E"/>
    <w:rsid w:val="00465F13"/>
    <w:rsid w:val="00466605"/>
    <w:rsid w:val="00466B60"/>
    <w:rsid w:val="00467B28"/>
    <w:rsid w:val="00470F3A"/>
    <w:rsid w:val="00471073"/>
    <w:rsid w:val="00471329"/>
    <w:rsid w:val="00471691"/>
    <w:rsid w:val="00471F0A"/>
    <w:rsid w:val="00471F81"/>
    <w:rsid w:val="00472115"/>
    <w:rsid w:val="0047249F"/>
    <w:rsid w:val="0047279D"/>
    <w:rsid w:val="004727C3"/>
    <w:rsid w:val="00472B9F"/>
    <w:rsid w:val="00472E25"/>
    <w:rsid w:val="004731DD"/>
    <w:rsid w:val="00473856"/>
    <w:rsid w:val="00473AE5"/>
    <w:rsid w:val="0047486A"/>
    <w:rsid w:val="00474EC7"/>
    <w:rsid w:val="00475399"/>
    <w:rsid w:val="00475926"/>
    <w:rsid w:val="00475E54"/>
    <w:rsid w:val="00476197"/>
    <w:rsid w:val="004764B5"/>
    <w:rsid w:val="004764D2"/>
    <w:rsid w:val="00476C26"/>
    <w:rsid w:val="00476CED"/>
    <w:rsid w:val="004773A4"/>
    <w:rsid w:val="0047767D"/>
    <w:rsid w:val="0047784A"/>
    <w:rsid w:val="00477961"/>
    <w:rsid w:val="00477E54"/>
    <w:rsid w:val="0048040D"/>
    <w:rsid w:val="004804DE"/>
    <w:rsid w:val="00480507"/>
    <w:rsid w:val="00480DAA"/>
    <w:rsid w:val="00481170"/>
    <w:rsid w:val="00481617"/>
    <w:rsid w:val="00481F65"/>
    <w:rsid w:val="00482A12"/>
    <w:rsid w:val="00482B35"/>
    <w:rsid w:val="004831C3"/>
    <w:rsid w:val="00483229"/>
    <w:rsid w:val="004838B5"/>
    <w:rsid w:val="00484082"/>
    <w:rsid w:val="00484308"/>
    <w:rsid w:val="004843B6"/>
    <w:rsid w:val="00484B7E"/>
    <w:rsid w:val="0048516F"/>
    <w:rsid w:val="00485497"/>
    <w:rsid w:val="00485665"/>
    <w:rsid w:val="00485A44"/>
    <w:rsid w:val="00485C7B"/>
    <w:rsid w:val="00485D77"/>
    <w:rsid w:val="004865BC"/>
    <w:rsid w:val="0048667E"/>
    <w:rsid w:val="00486B6D"/>
    <w:rsid w:val="00486DD0"/>
    <w:rsid w:val="00487B6E"/>
    <w:rsid w:val="00487D23"/>
    <w:rsid w:val="00487F3D"/>
    <w:rsid w:val="004906C8"/>
    <w:rsid w:val="004909E6"/>
    <w:rsid w:val="00491490"/>
    <w:rsid w:val="00491977"/>
    <w:rsid w:val="00491E70"/>
    <w:rsid w:val="0049265D"/>
    <w:rsid w:val="0049279F"/>
    <w:rsid w:val="004930E1"/>
    <w:rsid w:val="004935A0"/>
    <w:rsid w:val="00493B46"/>
    <w:rsid w:val="0049420D"/>
    <w:rsid w:val="00494270"/>
    <w:rsid w:val="00495823"/>
    <w:rsid w:val="0049594D"/>
    <w:rsid w:val="004963C7"/>
    <w:rsid w:val="004966B3"/>
    <w:rsid w:val="00496781"/>
    <w:rsid w:val="004969B4"/>
    <w:rsid w:val="00497310"/>
    <w:rsid w:val="00497690"/>
    <w:rsid w:val="00497742"/>
    <w:rsid w:val="004A0381"/>
    <w:rsid w:val="004A0651"/>
    <w:rsid w:val="004A0680"/>
    <w:rsid w:val="004A0E79"/>
    <w:rsid w:val="004A1090"/>
    <w:rsid w:val="004A10D6"/>
    <w:rsid w:val="004A1329"/>
    <w:rsid w:val="004A1876"/>
    <w:rsid w:val="004A1B0B"/>
    <w:rsid w:val="004A1DDC"/>
    <w:rsid w:val="004A28FB"/>
    <w:rsid w:val="004A3B00"/>
    <w:rsid w:val="004A463C"/>
    <w:rsid w:val="004A4880"/>
    <w:rsid w:val="004A4BC3"/>
    <w:rsid w:val="004A4D61"/>
    <w:rsid w:val="004A5560"/>
    <w:rsid w:val="004A5810"/>
    <w:rsid w:val="004A5A8E"/>
    <w:rsid w:val="004A6EA1"/>
    <w:rsid w:val="004A6EAE"/>
    <w:rsid w:val="004A6EBD"/>
    <w:rsid w:val="004A72E1"/>
    <w:rsid w:val="004A743B"/>
    <w:rsid w:val="004A7A13"/>
    <w:rsid w:val="004A7AD4"/>
    <w:rsid w:val="004B03C2"/>
    <w:rsid w:val="004B07D7"/>
    <w:rsid w:val="004B1C79"/>
    <w:rsid w:val="004B230C"/>
    <w:rsid w:val="004B2A8A"/>
    <w:rsid w:val="004B2D66"/>
    <w:rsid w:val="004B300C"/>
    <w:rsid w:val="004B4009"/>
    <w:rsid w:val="004B42D0"/>
    <w:rsid w:val="004B437B"/>
    <w:rsid w:val="004B4C8B"/>
    <w:rsid w:val="004B4D7A"/>
    <w:rsid w:val="004B515F"/>
    <w:rsid w:val="004B5231"/>
    <w:rsid w:val="004B5C3F"/>
    <w:rsid w:val="004B5CC3"/>
    <w:rsid w:val="004B5F29"/>
    <w:rsid w:val="004B6884"/>
    <w:rsid w:val="004B6CBC"/>
    <w:rsid w:val="004B7A9C"/>
    <w:rsid w:val="004B7D02"/>
    <w:rsid w:val="004B7F22"/>
    <w:rsid w:val="004B7F8C"/>
    <w:rsid w:val="004C011F"/>
    <w:rsid w:val="004C02A7"/>
    <w:rsid w:val="004C103F"/>
    <w:rsid w:val="004C1073"/>
    <w:rsid w:val="004C10B7"/>
    <w:rsid w:val="004C12C9"/>
    <w:rsid w:val="004C1652"/>
    <w:rsid w:val="004C1844"/>
    <w:rsid w:val="004C22B2"/>
    <w:rsid w:val="004C24E0"/>
    <w:rsid w:val="004C27ED"/>
    <w:rsid w:val="004C2D83"/>
    <w:rsid w:val="004C302F"/>
    <w:rsid w:val="004C32C6"/>
    <w:rsid w:val="004C4345"/>
    <w:rsid w:val="004C4A2E"/>
    <w:rsid w:val="004C5101"/>
    <w:rsid w:val="004C531A"/>
    <w:rsid w:val="004C5357"/>
    <w:rsid w:val="004C5E97"/>
    <w:rsid w:val="004C6134"/>
    <w:rsid w:val="004C6669"/>
    <w:rsid w:val="004C6CE2"/>
    <w:rsid w:val="004C71E9"/>
    <w:rsid w:val="004C733E"/>
    <w:rsid w:val="004C7709"/>
    <w:rsid w:val="004C7A1F"/>
    <w:rsid w:val="004D00D6"/>
    <w:rsid w:val="004D0256"/>
    <w:rsid w:val="004D09C3"/>
    <w:rsid w:val="004D0D81"/>
    <w:rsid w:val="004D0EC2"/>
    <w:rsid w:val="004D11E8"/>
    <w:rsid w:val="004D1266"/>
    <w:rsid w:val="004D1BED"/>
    <w:rsid w:val="004D2112"/>
    <w:rsid w:val="004D2163"/>
    <w:rsid w:val="004D241F"/>
    <w:rsid w:val="004D26D4"/>
    <w:rsid w:val="004D2920"/>
    <w:rsid w:val="004D37F3"/>
    <w:rsid w:val="004D382C"/>
    <w:rsid w:val="004D39AB"/>
    <w:rsid w:val="004D415F"/>
    <w:rsid w:val="004D4201"/>
    <w:rsid w:val="004D4B0B"/>
    <w:rsid w:val="004D51F5"/>
    <w:rsid w:val="004D58F2"/>
    <w:rsid w:val="004D678C"/>
    <w:rsid w:val="004D6B10"/>
    <w:rsid w:val="004D74A0"/>
    <w:rsid w:val="004D7B97"/>
    <w:rsid w:val="004D7E4E"/>
    <w:rsid w:val="004E0271"/>
    <w:rsid w:val="004E057E"/>
    <w:rsid w:val="004E0616"/>
    <w:rsid w:val="004E11E2"/>
    <w:rsid w:val="004E193E"/>
    <w:rsid w:val="004E19B2"/>
    <w:rsid w:val="004E1F30"/>
    <w:rsid w:val="004E227B"/>
    <w:rsid w:val="004E2418"/>
    <w:rsid w:val="004E2734"/>
    <w:rsid w:val="004E2ADF"/>
    <w:rsid w:val="004E2C98"/>
    <w:rsid w:val="004E2D14"/>
    <w:rsid w:val="004E2E56"/>
    <w:rsid w:val="004E31DB"/>
    <w:rsid w:val="004E3586"/>
    <w:rsid w:val="004E36C2"/>
    <w:rsid w:val="004E3A3C"/>
    <w:rsid w:val="004E3FD0"/>
    <w:rsid w:val="004E44C8"/>
    <w:rsid w:val="004E46A0"/>
    <w:rsid w:val="004E4979"/>
    <w:rsid w:val="004E4A66"/>
    <w:rsid w:val="004E53BE"/>
    <w:rsid w:val="004E5BC5"/>
    <w:rsid w:val="004E5C5C"/>
    <w:rsid w:val="004E60FD"/>
    <w:rsid w:val="004E61C4"/>
    <w:rsid w:val="004E6233"/>
    <w:rsid w:val="004E6C6A"/>
    <w:rsid w:val="004E6DEC"/>
    <w:rsid w:val="004E70B5"/>
    <w:rsid w:val="004E7C39"/>
    <w:rsid w:val="004E7F82"/>
    <w:rsid w:val="004F0077"/>
    <w:rsid w:val="004F01A5"/>
    <w:rsid w:val="004F04C8"/>
    <w:rsid w:val="004F08A3"/>
    <w:rsid w:val="004F14A4"/>
    <w:rsid w:val="004F1887"/>
    <w:rsid w:val="004F2896"/>
    <w:rsid w:val="004F2BEC"/>
    <w:rsid w:val="004F39D1"/>
    <w:rsid w:val="004F3A87"/>
    <w:rsid w:val="004F3AE8"/>
    <w:rsid w:val="004F3B30"/>
    <w:rsid w:val="004F496E"/>
    <w:rsid w:val="004F49D8"/>
    <w:rsid w:val="004F49F9"/>
    <w:rsid w:val="004F4F25"/>
    <w:rsid w:val="004F509E"/>
    <w:rsid w:val="004F5139"/>
    <w:rsid w:val="004F54FB"/>
    <w:rsid w:val="004F566E"/>
    <w:rsid w:val="004F5971"/>
    <w:rsid w:val="004F5C54"/>
    <w:rsid w:val="004F5C68"/>
    <w:rsid w:val="004F5E90"/>
    <w:rsid w:val="004F600C"/>
    <w:rsid w:val="004F691F"/>
    <w:rsid w:val="004F72D2"/>
    <w:rsid w:val="004F7830"/>
    <w:rsid w:val="004F7BB5"/>
    <w:rsid w:val="004F7D02"/>
    <w:rsid w:val="00500616"/>
    <w:rsid w:val="0050092B"/>
    <w:rsid w:val="00500CBB"/>
    <w:rsid w:val="00500EA0"/>
    <w:rsid w:val="00501001"/>
    <w:rsid w:val="00501009"/>
    <w:rsid w:val="00501992"/>
    <w:rsid w:val="00501E8C"/>
    <w:rsid w:val="005022D5"/>
    <w:rsid w:val="005022DC"/>
    <w:rsid w:val="00502387"/>
    <w:rsid w:val="00502572"/>
    <w:rsid w:val="00502683"/>
    <w:rsid w:val="0050273B"/>
    <w:rsid w:val="00502877"/>
    <w:rsid w:val="00502B92"/>
    <w:rsid w:val="00502D3C"/>
    <w:rsid w:val="00504B84"/>
    <w:rsid w:val="0050572F"/>
    <w:rsid w:val="0050578D"/>
    <w:rsid w:val="00505F01"/>
    <w:rsid w:val="005060FE"/>
    <w:rsid w:val="00506913"/>
    <w:rsid w:val="00506A14"/>
    <w:rsid w:val="00506E5F"/>
    <w:rsid w:val="0050701C"/>
    <w:rsid w:val="005074A8"/>
    <w:rsid w:val="00510577"/>
    <w:rsid w:val="00510B33"/>
    <w:rsid w:val="00510BB8"/>
    <w:rsid w:val="00510D1C"/>
    <w:rsid w:val="005120C0"/>
    <w:rsid w:val="00512203"/>
    <w:rsid w:val="0051238F"/>
    <w:rsid w:val="00512DFE"/>
    <w:rsid w:val="005131C9"/>
    <w:rsid w:val="005132D5"/>
    <w:rsid w:val="00513532"/>
    <w:rsid w:val="005138CB"/>
    <w:rsid w:val="0051390F"/>
    <w:rsid w:val="00513BA2"/>
    <w:rsid w:val="0051457B"/>
    <w:rsid w:val="00514B51"/>
    <w:rsid w:val="00514C11"/>
    <w:rsid w:val="005157A5"/>
    <w:rsid w:val="00516311"/>
    <w:rsid w:val="0051641D"/>
    <w:rsid w:val="00516632"/>
    <w:rsid w:val="00516815"/>
    <w:rsid w:val="005168D5"/>
    <w:rsid w:val="00516A46"/>
    <w:rsid w:val="00516CCC"/>
    <w:rsid w:val="00516EE9"/>
    <w:rsid w:val="00517C18"/>
    <w:rsid w:val="00520077"/>
    <w:rsid w:val="005209BD"/>
    <w:rsid w:val="00521350"/>
    <w:rsid w:val="005214DB"/>
    <w:rsid w:val="00521B5C"/>
    <w:rsid w:val="00521BF7"/>
    <w:rsid w:val="00521D56"/>
    <w:rsid w:val="0052241F"/>
    <w:rsid w:val="0052244D"/>
    <w:rsid w:val="005225E4"/>
    <w:rsid w:val="00522B2E"/>
    <w:rsid w:val="00522F63"/>
    <w:rsid w:val="00524BA8"/>
    <w:rsid w:val="00524EED"/>
    <w:rsid w:val="00524F58"/>
    <w:rsid w:val="00525320"/>
    <w:rsid w:val="00525C83"/>
    <w:rsid w:val="0052698A"/>
    <w:rsid w:val="00526C3D"/>
    <w:rsid w:val="005270E8"/>
    <w:rsid w:val="00527100"/>
    <w:rsid w:val="0052763C"/>
    <w:rsid w:val="00527E25"/>
    <w:rsid w:val="00530210"/>
    <w:rsid w:val="0053062A"/>
    <w:rsid w:val="0053099A"/>
    <w:rsid w:val="00530C48"/>
    <w:rsid w:val="005312A1"/>
    <w:rsid w:val="005317DC"/>
    <w:rsid w:val="005321F7"/>
    <w:rsid w:val="005322CC"/>
    <w:rsid w:val="0053235B"/>
    <w:rsid w:val="00532517"/>
    <w:rsid w:val="0053259F"/>
    <w:rsid w:val="005329B2"/>
    <w:rsid w:val="00532B62"/>
    <w:rsid w:val="00532D3E"/>
    <w:rsid w:val="00533319"/>
    <w:rsid w:val="0053370D"/>
    <w:rsid w:val="005337F6"/>
    <w:rsid w:val="00534A61"/>
    <w:rsid w:val="00535050"/>
    <w:rsid w:val="005354CF"/>
    <w:rsid w:val="00535564"/>
    <w:rsid w:val="005357AB"/>
    <w:rsid w:val="00536827"/>
    <w:rsid w:val="00536F3C"/>
    <w:rsid w:val="0053700D"/>
    <w:rsid w:val="00537C3F"/>
    <w:rsid w:val="005409A1"/>
    <w:rsid w:val="00540D50"/>
    <w:rsid w:val="00540D91"/>
    <w:rsid w:val="00540F0B"/>
    <w:rsid w:val="00540FA1"/>
    <w:rsid w:val="00541086"/>
    <w:rsid w:val="00541097"/>
    <w:rsid w:val="005412B0"/>
    <w:rsid w:val="005414E8"/>
    <w:rsid w:val="005418C0"/>
    <w:rsid w:val="0054260E"/>
    <w:rsid w:val="00542C7B"/>
    <w:rsid w:val="0054329E"/>
    <w:rsid w:val="005432E9"/>
    <w:rsid w:val="00543BB7"/>
    <w:rsid w:val="00543DCF"/>
    <w:rsid w:val="00544304"/>
    <w:rsid w:val="00544FE8"/>
    <w:rsid w:val="0054513B"/>
    <w:rsid w:val="005451C9"/>
    <w:rsid w:val="00545306"/>
    <w:rsid w:val="005463EA"/>
    <w:rsid w:val="0054716B"/>
    <w:rsid w:val="005471A6"/>
    <w:rsid w:val="00547374"/>
    <w:rsid w:val="00547A80"/>
    <w:rsid w:val="00547C0B"/>
    <w:rsid w:val="005509B4"/>
    <w:rsid w:val="00550B9E"/>
    <w:rsid w:val="00550D79"/>
    <w:rsid w:val="00550F16"/>
    <w:rsid w:val="00550F62"/>
    <w:rsid w:val="00551556"/>
    <w:rsid w:val="00551B33"/>
    <w:rsid w:val="0055302F"/>
    <w:rsid w:val="005530CF"/>
    <w:rsid w:val="00553452"/>
    <w:rsid w:val="00553A32"/>
    <w:rsid w:val="00553F53"/>
    <w:rsid w:val="005544E4"/>
    <w:rsid w:val="00554750"/>
    <w:rsid w:val="00554771"/>
    <w:rsid w:val="00554F1E"/>
    <w:rsid w:val="0055564C"/>
    <w:rsid w:val="0055594C"/>
    <w:rsid w:val="00555999"/>
    <w:rsid w:val="005559AC"/>
    <w:rsid w:val="00555FB3"/>
    <w:rsid w:val="00556D71"/>
    <w:rsid w:val="0055769C"/>
    <w:rsid w:val="005577D4"/>
    <w:rsid w:val="00557B5A"/>
    <w:rsid w:val="00557C04"/>
    <w:rsid w:val="005611D0"/>
    <w:rsid w:val="00561A7F"/>
    <w:rsid w:val="00561B72"/>
    <w:rsid w:val="00561BB3"/>
    <w:rsid w:val="00561C38"/>
    <w:rsid w:val="00562682"/>
    <w:rsid w:val="00562890"/>
    <w:rsid w:val="005633A8"/>
    <w:rsid w:val="0056361A"/>
    <w:rsid w:val="005637E1"/>
    <w:rsid w:val="00563DDD"/>
    <w:rsid w:val="005649A5"/>
    <w:rsid w:val="00564E12"/>
    <w:rsid w:val="0056596B"/>
    <w:rsid w:val="00565BE5"/>
    <w:rsid w:val="0056651A"/>
    <w:rsid w:val="005668B2"/>
    <w:rsid w:val="00566BD4"/>
    <w:rsid w:val="00566D98"/>
    <w:rsid w:val="00566E91"/>
    <w:rsid w:val="005670AA"/>
    <w:rsid w:val="005676A2"/>
    <w:rsid w:val="005707B8"/>
    <w:rsid w:val="005707C0"/>
    <w:rsid w:val="00570976"/>
    <w:rsid w:val="005717DA"/>
    <w:rsid w:val="005717FF"/>
    <w:rsid w:val="005720CB"/>
    <w:rsid w:val="005722ED"/>
    <w:rsid w:val="00572496"/>
    <w:rsid w:val="00572632"/>
    <w:rsid w:val="00573384"/>
    <w:rsid w:val="005734C9"/>
    <w:rsid w:val="005737B9"/>
    <w:rsid w:val="00573B3D"/>
    <w:rsid w:val="00574143"/>
    <w:rsid w:val="00574E37"/>
    <w:rsid w:val="005754A6"/>
    <w:rsid w:val="005755DD"/>
    <w:rsid w:val="005756CD"/>
    <w:rsid w:val="0057592A"/>
    <w:rsid w:val="00575CA0"/>
    <w:rsid w:val="005769FE"/>
    <w:rsid w:val="00576E2F"/>
    <w:rsid w:val="0057725F"/>
    <w:rsid w:val="0057739C"/>
    <w:rsid w:val="00577476"/>
    <w:rsid w:val="0057766B"/>
    <w:rsid w:val="00577918"/>
    <w:rsid w:val="00577A6D"/>
    <w:rsid w:val="00577CAF"/>
    <w:rsid w:val="00580223"/>
    <w:rsid w:val="005809AD"/>
    <w:rsid w:val="00580BB4"/>
    <w:rsid w:val="00581142"/>
    <w:rsid w:val="005811C9"/>
    <w:rsid w:val="005813BA"/>
    <w:rsid w:val="00581649"/>
    <w:rsid w:val="00581672"/>
    <w:rsid w:val="00581848"/>
    <w:rsid w:val="00581BBC"/>
    <w:rsid w:val="005820DD"/>
    <w:rsid w:val="00582507"/>
    <w:rsid w:val="0058279B"/>
    <w:rsid w:val="005831AC"/>
    <w:rsid w:val="00584116"/>
    <w:rsid w:val="00584133"/>
    <w:rsid w:val="00584216"/>
    <w:rsid w:val="005842B5"/>
    <w:rsid w:val="005842D2"/>
    <w:rsid w:val="00584332"/>
    <w:rsid w:val="005844BC"/>
    <w:rsid w:val="00584C9A"/>
    <w:rsid w:val="00584D2D"/>
    <w:rsid w:val="00585498"/>
    <w:rsid w:val="00585833"/>
    <w:rsid w:val="00585A6D"/>
    <w:rsid w:val="00585F83"/>
    <w:rsid w:val="00586360"/>
    <w:rsid w:val="00586949"/>
    <w:rsid w:val="00586A33"/>
    <w:rsid w:val="00586A5E"/>
    <w:rsid w:val="00586BFD"/>
    <w:rsid w:val="00586CFC"/>
    <w:rsid w:val="00586F32"/>
    <w:rsid w:val="005872B3"/>
    <w:rsid w:val="00587453"/>
    <w:rsid w:val="00587A5D"/>
    <w:rsid w:val="00587ED6"/>
    <w:rsid w:val="00590D73"/>
    <w:rsid w:val="005918EC"/>
    <w:rsid w:val="00591950"/>
    <w:rsid w:val="00591E62"/>
    <w:rsid w:val="005928BB"/>
    <w:rsid w:val="00592A58"/>
    <w:rsid w:val="00593B25"/>
    <w:rsid w:val="00593C24"/>
    <w:rsid w:val="00593CF4"/>
    <w:rsid w:val="00594186"/>
    <w:rsid w:val="0059419B"/>
    <w:rsid w:val="00595160"/>
    <w:rsid w:val="005952E4"/>
    <w:rsid w:val="0059540A"/>
    <w:rsid w:val="00595D4F"/>
    <w:rsid w:val="005965E1"/>
    <w:rsid w:val="00596610"/>
    <w:rsid w:val="005967D0"/>
    <w:rsid w:val="00597016"/>
    <w:rsid w:val="00597409"/>
    <w:rsid w:val="0059762F"/>
    <w:rsid w:val="00597995"/>
    <w:rsid w:val="00597E38"/>
    <w:rsid w:val="005A05D1"/>
    <w:rsid w:val="005A14B5"/>
    <w:rsid w:val="005A1A0B"/>
    <w:rsid w:val="005A1CD1"/>
    <w:rsid w:val="005A21DD"/>
    <w:rsid w:val="005A24BE"/>
    <w:rsid w:val="005A26CE"/>
    <w:rsid w:val="005A28DF"/>
    <w:rsid w:val="005A2E8C"/>
    <w:rsid w:val="005A3070"/>
    <w:rsid w:val="005A346E"/>
    <w:rsid w:val="005A3598"/>
    <w:rsid w:val="005A3EAC"/>
    <w:rsid w:val="005A456E"/>
    <w:rsid w:val="005A4986"/>
    <w:rsid w:val="005A4A70"/>
    <w:rsid w:val="005A4D14"/>
    <w:rsid w:val="005A5056"/>
    <w:rsid w:val="005A5261"/>
    <w:rsid w:val="005A5372"/>
    <w:rsid w:val="005A53B8"/>
    <w:rsid w:val="005A55E4"/>
    <w:rsid w:val="005A630C"/>
    <w:rsid w:val="005A6337"/>
    <w:rsid w:val="005A67A3"/>
    <w:rsid w:val="005A6B1E"/>
    <w:rsid w:val="005A72C8"/>
    <w:rsid w:val="005A74EE"/>
    <w:rsid w:val="005A7B4A"/>
    <w:rsid w:val="005A7ECA"/>
    <w:rsid w:val="005A7F8A"/>
    <w:rsid w:val="005B002D"/>
    <w:rsid w:val="005B1438"/>
    <w:rsid w:val="005B1990"/>
    <w:rsid w:val="005B1B2E"/>
    <w:rsid w:val="005B1C49"/>
    <w:rsid w:val="005B202B"/>
    <w:rsid w:val="005B20CF"/>
    <w:rsid w:val="005B2194"/>
    <w:rsid w:val="005B2B2B"/>
    <w:rsid w:val="005B2CDE"/>
    <w:rsid w:val="005B3219"/>
    <w:rsid w:val="005B375C"/>
    <w:rsid w:val="005B3B0F"/>
    <w:rsid w:val="005B4515"/>
    <w:rsid w:val="005B5003"/>
    <w:rsid w:val="005B5782"/>
    <w:rsid w:val="005B5C98"/>
    <w:rsid w:val="005B6223"/>
    <w:rsid w:val="005B6386"/>
    <w:rsid w:val="005B6638"/>
    <w:rsid w:val="005B6843"/>
    <w:rsid w:val="005B6ACC"/>
    <w:rsid w:val="005B6CB5"/>
    <w:rsid w:val="005B6CB8"/>
    <w:rsid w:val="005B6EDA"/>
    <w:rsid w:val="005B705C"/>
    <w:rsid w:val="005B765D"/>
    <w:rsid w:val="005B7664"/>
    <w:rsid w:val="005B7667"/>
    <w:rsid w:val="005B76E0"/>
    <w:rsid w:val="005B78A6"/>
    <w:rsid w:val="005B7EDF"/>
    <w:rsid w:val="005C04E9"/>
    <w:rsid w:val="005C06A1"/>
    <w:rsid w:val="005C0DCD"/>
    <w:rsid w:val="005C0ED8"/>
    <w:rsid w:val="005C0FE4"/>
    <w:rsid w:val="005C1059"/>
    <w:rsid w:val="005C10EB"/>
    <w:rsid w:val="005C129A"/>
    <w:rsid w:val="005C16E3"/>
    <w:rsid w:val="005C18FE"/>
    <w:rsid w:val="005C1E7B"/>
    <w:rsid w:val="005C220C"/>
    <w:rsid w:val="005C246A"/>
    <w:rsid w:val="005C269F"/>
    <w:rsid w:val="005C2939"/>
    <w:rsid w:val="005C37AD"/>
    <w:rsid w:val="005C3B01"/>
    <w:rsid w:val="005C3D16"/>
    <w:rsid w:val="005C3EB3"/>
    <w:rsid w:val="005C4136"/>
    <w:rsid w:val="005C4465"/>
    <w:rsid w:val="005C4748"/>
    <w:rsid w:val="005C4D2C"/>
    <w:rsid w:val="005C5944"/>
    <w:rsid w:val="005C5A96"/>
    <w:rsid w:val="005C6C2A"/>
    <w:rsid w:val="005C6C73"/>
    <w:rsid w:val="005C7501"/>
    <w:rsid w:val="005C771D"/>
    <w:rsid w:val="005C7905"/>
    <w:rsid w:val="005C7DFA"/>
    <w:rsid w:val="005D0613"/>
    <w:rsid w:val="005D07AF"/>
    <w:rsid w:val="005D08B5"/>
    <w:rsid w:val="005D09A0"/>
    <w:rsid w:val="005D0D2E"/>
    <w:rsid w:val="005D1365"/>
    <w:rsid w:val="005D1796"/>
    <w:rsid w:val="005D24D5"/>
    <w:rsid w:val="005D2599"/>
    <w:rsid w:val="005D371D"/>
    <w:rsid w:val="005D3BD7"/>
    <w:rsid w:val="005D43E0"/>
    <w:rsid w:val="005D5924"/>
    <w:rsid w:val="005D5C81"/>
    <w:rsid w:val="005D627A"/>
    <w:rsid w:val="005D6F50"/>
    <w:rsid w:val="005E069D"/>
    <w:rsid w:val="005E11EE"/>
    <w:rsid w:val="005E1945"/>
    <w:rsid w:val="005E19D3"/>
    <w:rsid w:val="005E1D61"/>
    <w:rsid w:val="005E1EF0"/>
    <w:rsid w:val="005E2622"/>
    <w:rsid w:val="005E2974"/>
    <w:rsid w:val="005E2DA2"/>
    <w:rsid w:val="005E2E7A"/>
    <w:rsid w:val="005E2E9C"/>
    <w:rsid w:val="005E2EFD"/>
    <w:rsid w:val="005E370D"/>
    <w:rsid w:val="005E46B7"/>
    <w:rsid w:val="005E4BFD"/>
    <w:rsid w:val="005E4C52"/>
    <w:rsid w:val="005E5019"/>
    <w:rsid w:val="005E5374"/>
    <w:rsid w:val="005E5663"/>
    <w:rsid w:val="005E5875"/>
    <w:rsid w:val="005E58AC"/>
    <w:rsid w:val="005E5B67"/>
    <w:rsid w:val="005E629A"/>
    <w:rsid w:val="005E689E"/>
    <w:rsid w:val="005E6F70"/>
    <w:rsid w:val="005E6F9A"/>
    <w:rsid w:val="005E71F3"/>
    <w:rsid w:val="005E7390"/>
    <w:rsid w:val="005E7495"/>
    <w:rsid w:val="005E7A6A"/>
    <w:rsid w:val="005F0275"/>
    <w:rsid w:val="005F10A5"/>
    <w:rsid w:val="005F127E"/>
    <w:rsid w:val="005F1928"/>
    <w:rsid w:val="005F1A01"/>
    <w:rsid w:val="005F1D38"/>
    <w:rsid w:val="005F204C"/>
    <w:rsid w:val="005F2C88"/>
    <w:rsid w:val="005F2DD3"/>
    <w:rsid w:val="005F2E12"/>
    <w:rsid w:val="005F399F"/>
    <w:rsid w:val="005F39BC"/>
    <w:rsid w:val="005F402B"/>
    <w:rsid w:val="005F457E"/>
    <w:rsid w:val="005F4B94"/>
    <w:rsid w:val="005F4DC4"/>
    <w:rsid w:val="005F4E53"/>
    <w:rsid w:val="005F50C3"/>
    <w:rsid w:val="005F5593"/>
    <w:rsid w:val="005F560F"/>
    <w:rsid w:val="005F643A"/>
    <w:rsid w:val="005F6A70"/>
    <w:rsid w:val="005F6F79"/>
    <w:rsid w:val="005F7474"/>
    <w:rsid w:val="005F75E0"/>
    <w:rsid w:val="005F7B32"/>
    <w:rsid w:val="005F7EFA"/>
    <w:rsid w:val="005F7F4E"/>
    <w:rsid w:val="00600688"/>
    <w:rsid w:val="00600A24"/>
    <w:rsid w:val="00601762"/>
    <w:rsid w:val="00601DF6"/>
    <w:rsid w:val="006024A1"/>
    <w:rsid w:val="00602AA2"/>
    <w:rsid w:val="0060356F"/>
    <w:rsid w:val="00603D55"/>
    <w:rsid w:val="00604190"/>
    <w:rsid w:val="006042D2"/>
    <w:rsid w:val="00604951"/>
    <w:rsid w:val="00604D64"/>
    <w:rsid w:val="00605764"/>
    <w:rsid w:val="006059FF"/>
    <w:rsid w:val="00605B74"/>
    <w:rsid w:val="00605B90"/>
    <w:rsid w:val="00605D3C"/>
    <w:rsid w:val="00605EC8"/>
    <w:rsid w:val="00606612"/>
    <w:rsid w:val="00606D37"/>
    <w:rsid w:val="006072D3"/>
    <w:rsid w:val="006072F7"/>
    <w:rsid w:val="00607567"/>
    <w:rsid w:val="00607BDB"/>
    <w:rsid w:val="00610C68"/>
    <w:rsid w:val="00610E6E"/>
    <w:rsid w:val="00611008"/>
    <w:rsid w:val="00611033"/>
    <w:rsid w:val="006118AA"/>
    <w:rsid w:val="006127FF"/>
    <w:rsid w:val="00612F49"/>
    <w:rsid w:val="0061313F"/>
    <w:rsid w:val="00613AC4"/>
    <w:rsid w:val="0061450F"/>
    <w:rsid w:val="00614829"/>
    <w:rsid w:val="00614FE9"/>
    <w:rsid w:val="00615632"/>
    <w:rsid w:val="0061571C"/>
    <w:rsid w:val="00615740"/>
    <w:rsid w:val="0061621C"/>
    <w:rsid w:val="006165A1"/>
    <w:rsid w:val="00616942"/>
    <w:rsid w:val="006171C2"/>
    <w:rsid w:val="0061749C"/>
    <w:rsid w:val="006176F7"/>
    <w:rsid w:val="006177F2"/>
    <w:rsid w:val="006201EF"/>
    <w:rsid w:val="00620EDE"/>
    <w:rsid w:val="00620F2C"/>
    <w:rsid w:val="00621312"/>
    <w:rsid w:val="00621C12"/>
    <w:rsid w:val="00622992"/>
    <w:rsid w:val="00622CB3"/>
    <w:rsid w:val="00622D5C"/>
    <w:rsid w:val="00623A49"/>
    <w:rsid w:val="00623BC3"/>
    <w:rsid w:val="00623E18"/>
    <w:rsid w:val="006242DB"/>
    <w:rsid w:val="006246EC"/>
    <w:rsid w:val="0062479A"/>
    <w:rsid w:val="00624807"/>
    <w:rsid w:val="00625C5D"/>
    <w:rsid w:val="00627269"/>
    <w:rsid w:val="006274F8"/>
    <w:rsid w:val="00627EAE"/>
    <w:rsid w:val="00630BD3"/>
    <w:rsid w:val="00630FB9"/>
    <w:rsid w:val="006312D0"/>
    <w:rsid w:val="0063171C"/>
    <w:rsid w:val="00631F30"/>
    <w:rsid w:val="006324F3"/>
    <w:rsid w:val="00632954"/>
    <w:rsid w:val="006329A5"/>
    <w:rsid w:val="006336BF"/>
    <w:rsid w:val="00633A34"/>
    <w:rsid w:val="00633BC5"/>
    <w:rsid w:val="00634246"/>
    <w:rsid w:val="0063475A"/>
    <w:rsid w:val="00634A52"/>
    <w:rsid w:val="00634AE2"/>
    <w:rsid w:val="00634B20"/>
    <w:rsid w:val="00634DEF"/>
    <w:rsid w:val="006353CB"/>
    <w:rsid w:val="006355CF"/>
    <w:rsid w:val="00635615"/>
    <w:rsid w:val="006358A7"/>
    <w:rsid w:val="00635A22"/>
    <w:rsid w:val="00635C0B"/>
    <w:rsid w:val="00635D2D"/>
    <w:rsid w:val="00635DA2"/>
    <w:rsid w:val="0063646B"/>
    <w:rsid w:val="00636CB8"/>
    <w:rsid w:val="00636EAC"/>
    <w:rsid w:val="0063705D"/>
    <w:rsid w:val="006370C2"/>
    <w:rsid w:val="00637193"/>
    <w:rsid w:val="0063756E"/>
    <w:rsid w:val="0063777F"/>
    <w:rsid w:val="00637D77"/>
    <w:rsid w:val="0064003C"/>
    <w:rsid w:val="00640396"/>
    <w:rsid w:val="00640F0C"/>
    <w:rsid w:val="00640FA8"/>
    <w:rsid w:val="006417F8"/>
    <w:rsid w:val="00642083"/>
    <w:rsid w:val="0064254A"/>
    <w:rsid w:val="006426F0"/>
    <w:rsid w:val="00642B37"/>
    <w:rsid w:val="00642C73"/>
    <w:rsid w:val="00643303"/>
    <w:rsid w:val="00643D04"/>
    <w:rsid w:val="00643FF4"/>
    <w:rsid w:val="006446EE"/>
    <w:rsid w:val="00645272"/>
    <w:rsid w:val="00645467"/>
    <w:rsid w:val="006465F5"/>
    <w:rsid w:val="00646D9D"/>
    <w:rsid w:val="0064788E"/>
    <w:rsid w:val="0065017D"/>
    <w:rsid w:val="0065114A"/>
    <w:rsid w:val="0065139C"/>
    <w:rsid w:val="00651404"/>
    <w:rsid w:val="0065195B"/>
    <w:rsid w:val="006519C3"/>
    <w:rsid w:val="00651A0D"/>
    <w:rsid w:val="00651E0E"/>
    <w:rsid w:val="0065225C"/>
    <w:rsid w:val="006526EE"/>
    <w:rsid w:val="006526F4"/>
    <w:rsid w:val="00652A7B"/>
    <w:rsid w:val="00653622"/>
    <w:rsid w:val="006538B5"/>
    <w:rsid w:val="00653BEC"/>
    <w:rsid w:val="00654096"/>
    <w:rsid w:val="0065412E"/>
    <w:rsid w:val="006545E9"/>
    <w:rsid w:val="0065550D"/>
    <w:rsid w:val="006556D8"/>
    <w:rsid w:val="00656091"/>
    <w:rsid w:val="00656759"/>
    <w:rsid w:val="00656893"/>
    <w:rsid w:val="006569ED"/>
    <w:rsid w:val="0065716D"/>
    <w:rsid w:val="006571E8"/>
    <w:rsid w:val="00657AB2"/>
    <w:rsid w:val="00657C13"/>
    <w:rsid w:val="00657C16"/>
    <w:rsid w:val="0066054D"/>
    <w:rsid w:val="00660A27"/>
    <w:rsid w:val="00661120"/>
    <w:rsid w:val="0066124C"/>
    <w:rsid w:val="006617C0"/>
    <w:rsid w:val="006620B1"/>
    <w:rsid w:val="006623BB"/>
    <w:rsid w:val="006624BE"/>
    <w:rsid w:val="006627CB"/>
    <w:rsid w:val="00662FA9"/>
    <w:rsid w:val="00663C50"/>
    <w:rsid w:val="00663D74"/>
    <w:rsid w:val="0066400A"/>
    <w:rsid w:val="00664295"/>
    <w:rsid w:val="00664382"/>
    <w:rsid w:val="006649F8"/>
    <w:rsid w:val="00664D56"/>
    <w:rsid w:val="00664DE6"/>
    <w:rsid w:val="0066535C"/>
    <w:rsid w:val="00665364"/>
    <w:rsid w:val="0066563A"/>
    <w:rsid w:val="00665D62"/>
    <w:rsid w:val="00665DA2"/>
    <w:rsid w:val="00666AC7"/>
    <w:rsid w:val="00666F55"/>
    <w:rsid w:val="00667141"/>
    <w:rsid w:val="00667466"/>
    <w:rsid w:val="00667634"/>
    <w:rsid w:val="00667AEA"/>
    <w:rsid w:val="00667B22"/>
    <w:rsid w:val="00667B35"/>
    <w:rsid w:val="00670EA2"/>
    <w:rsid w:val="0067131A"/>
    <w:rsid w:val="006713AF"/>
    <w:rsid w:val="0067198B"/>
    <w:rsid w:val="00671A3D"/>
    <w:rsid w:val="00671B4D"/>
    <w:rsid w:val="00671FF1"/>
    <w:rsid w:val="00672614"/>
    <w:rsid w:val="00672A16"/>
    <w:rsid w:val="00673661"/>
    <w:rsid w:val="006739E2"/>
    <w:rsid w:val="00673A9B"/>
    <w:rsid w:val="00673B1D"/>
    <w:rsid w:val="00673CC7"/>
    <w:rsid w:val="00673F59"/>
    <w:rsid w:val="00675736"/>
    <w:rsid w:val="00675744"/>
    <w:rsid w:val="00675C8E"/>
    <w:rsid w:val="0067654F"/>
    <w:rsid w:val="00676684"/>
    <w:rsid w:val="00676784"/>
    <w:rsid w:val="00676AC6"/>
    <w:rsid w:val="0067749D"/>
    <w:rsid w:val="00677764"/>
    <w:rsid w:val="006806AE"/>
    <w:rsid w:val="00680743"/>
    <w:rsid w:val="00680EDF"/>
    <w:rsid w:val="0068121F"/>
    <w:rsid w:val="00681407"/>
    <w:rsid w:val="00681669"/>
    <w:rsid w:val="00681AA6"/>
    <w:rsid w:val="00681B9F"/>
    <w:rsid w:val="00681CC5"/>
    <w:rsid w:val="00681CCC"/>
    <w:rsid w:val="006828FF"/>
    <w:rsid w:val="00682A78"/>
    <w:rsid w:val="0068319F"/>
    <w:rsid w:val="006831DD"/>
    <w:rsid w:val="00683D71"/>
    <w:rsid w:val="006848FD"/>
    <w:rsid w:val="00685221"/>
    <w:rsid w:val="006856B1"/>
    <w:rsid w:val="00685790"/>
    <w:rsid w:val="0068629F"/>
    <w:rsid w:val="00686983"/>
    <w:rsid w:val="00686BE7"/>
    <w:rsid w:val="00686C97"/>
    <w:rsid w:val="00687665"/>
    <w:rsid w:val="006876A8"/>
    <w:rsid w:val="006877B3"/>
    <w:rsid w:val="00690F39"/>
    <w:rsid w:val="0069133D"/>
    <w:rsid w:val="00691A65"/>
    <w:rsid w:val="00691EA2"/>
    <w:rsid w:val="00692175"/>
    <w:rsid w:val="006934CC"/>
    <w:rsid w:val="006935C5"/>
    <w:rsid w:val="00694055"/>
    <w:rsid w:val="006944AE"/>
    <w:rsid w:val="006945CC"/>
    <w:rsid w:val="00694683"/>
    <w:rsid w:val="00694986"/>
    <w:rsid w:val="00694BB4"/>
    <w:rsid w:val="00695280"/>
    <w:rsid w:val="006959C3"/>
    <w:rsid w:val="00696C79"/>
    <w:rsid w:val="0069707C"/>
    <w:rsid w:val="0069731C"/>
    <w:rsid w:val="006974D6"/>
    <w:rsid w:val="00697764"/>
    <w:rsid w:val="006A01FC"/>
    <w:rsid w:val="006A0994"/>
    <w:rsid w:val="006A0DF4"/>
    <w:rsid w:val="006A0FB9"/>
    <w:rsid w:val="006A1C68"/>
    <w:rsid w:val="006A1CE5"/>
    <w:rsid w:val="006A1FE8"/>
    <w:rsid w:val="006A2261"/>
    <w:rsid w:val="006A35D8"/>
    <w:rsid w:val="006A3782"/>
    <w:rsid w:val="006A3F79"/>
    <w:rsid w:val="006A4675"/>
    <w:rsid w:val="006A49B2"/>
    <w:rsid w:val="006A49E3"/>
    <w:rsid w:val="006A4AAE"/>
    <w:rsid w:val="006A4AF6"/>
    <w:rsid w:val="006A4EA9"/>
    <w:rsid w:val="006A5492"/>
    <w:rsid w:val="006A55E4"/>
    <w:rsid w:val="006A6083"/>
    <w:rsid w:val="006A703B"/>
    <w:rsid w:val="006A70A1"/>
    <w:rsid w:val="006A70DD"/>
    <w:rsid w:val="006A7650"/>
    <w:rsid w:val="006A7B22"/>
    <w:rsid w:val="006A7D9D"/>
    <w:rsid w:val="006A7EF3"/>
    <w:rsid w:val="006B0C93"/>
    <w:rsid w:val="006B0DAD"/>
    <w:rsid w:val="006B0E9B"/>
    <w:rsid w:val="006B193D"/>
    <w:rsid w:val="006B1E55"/>
    <w:rsid w:val="006B1EFD"/>
    <w:rsid w:val="006B2462"/>
    <w:rsid w:val="006B258D"/>
    <w:rsid w:val="006B2771"/>
    <w:rsid w:val="006B2F3A"/>
    <w:rsid w:val="006B3817"/>
    <w:rsid w:val="006B3820"/>
    <w:rsid w:val="006B3F7B"/>
    <w:rsid w:val="006B3FAF"/>
    <w:rsid w:val="006B40EA"/>
    <w:rsid w:val="006B4563"/>
    <w:rsid w:val="006B4C22"/>
    <w:rsid w:val="006B5CDD"/>
    <w:rsid w:val="006B7173"/>
    <w:rsid w:val="006B745A"/>
    <w:rsid w:val="006C0659"/>
    <w:rsid w:val="006C0A29"/>
    <w:rsid w:val="006C14E4"/>
    <w:rsid w:val="006C1A28"/>
    <w:rsid w:val="006C1B08"/>
    <w:rsid w:val="006C1DE3"/>
    <w:rsid w:val="006C1F7D"/>
    <w:rsid w:val="006C2051"/>
    <w:rsid w:val="006C221B"/>
    <w:rsid w:val="006C3204"/>
    <w:rsid w:val="006C3411"/>
    <w:rsid w:val="006C3B6D"/>
    <w:rsid w:val="006C3BE5"/>
    <w:rsid w:val="006C3C89"/>
    <w:rsid w:val="006C576B"/>
    <w:rsid w:val="006C59A6"/>
    <w:rsid w:val="006C5A63"/>
    <w:rsid w:val="006C5DAB"/>
    <w:rsid w:val="006C6943"/>
    <w:rsid w:val="006C6DA8"/>
    <w:rsid w:val="006C7281"/>
    <w:rsid w:val="006C762D"/>
    <w:rsid w:val="006C7A08"/>
    <w:rsid w:val="006C7F61"/>
    <w:rsid w:val="006D021D"/>
    <w:rsid w:val="006D0A8B"/>
    <w:rsid w:val="006D0B06"/>
    <w:rsid w:val="006D1CA5"/>
    <w:rsid w:val="006D1EE9"/>
    <w:rsid w:val="006D26BA"/>
    <w:rsid w:val="006D27A3"/>
    <w:rsid w:val="006D376A"/>
    <w:rsid w:val="006D3B8A"/>
    <w:rsid w:val="006D407F"/>
    <w:rsid w:val="006D50BB"/>
    <w:rsid w:val="006D54B4"/>
    <w:rsid w:val="006D6727"/>
    <w:rsid w:val="006D6FFF"/>
    <w:rsid w:val="006D76FA"/>
    <w:rsid w:val="006D7772"/>
    <w:rsid w:val="006D784E"/>
    <w:rsid w:val="006D79F2"/>
    <w:rsid w:val="006E0B2E"/>
    <w:rsid w:val="006E10C9"/>
    <w:rsid w:val="006E1361"/>
    <w:rsid w:val="006E138F"/>
    <w:rsid w:val="006E1FE1"/>
    <w:rsid w:val="006E207B"/>
    <w:rsid w:val="006E24A9"/>
    <w:rsid w:val="006E2694"/>
    <w:rsid w:val="006E2B9F"/>
    <w:rsid w:val="006E2D6C"/>
    <w:rsid w:val="006E2E38"/>
    <w:rsid w:val="006E2FE0"/>
    <w:rsid w:val="006E3BEF"/>
    <w:rsid w:val="006E469C"/>
    <w:rsid w:val="006E572E"/>
    <w:rsid w:val="006E5889"/>
    <w:rsid w:val="006E653D"/>
    <w:rsid w:val="006E68A3"/>
    <w:rsid w:val="006E7277"/>
    <w:rsid w:val="006E7FA9"/>
    <w:rsid w:val="006F0442"/>
    <w:rsid w:val="006F05EB"/>
    <w:rsid w:val="006F0B44"/>
    <w:rsid w:val="006F0F43"/>
    <w:rsid w:val="006F1132"/>
    <w:rsid w:val="006F1455"/>
    <w:rsid w:val="006F183F"/>
    <w:rsid w:val="006F1928"/>
    <w:rsid w:val="006F19FD"/>
    <w:rsid w:val="006F2303"/>
    <w:rsid w:val="006F2785"/>
    <w:rsid w:val="006F2890"/>
    <w:rsid w:val="006F33D4"/>
    <w:rsid w:val="006F499A"/>
    <w:rsid w:val="006F4C2F"/>
    <w:rsid w:val="006F56E7"/>
    <w:rsid w:val="006F5F79"/>
    <w:rsid w:val="006F6E5F"/>
    <w:rsid w:val="006F7199"/>
    <w:rsid w:val="006F78F5"/>
    <w:rsid w:val="006F7C64"/>
    <w:rsid w:val="006F7F91"/>
    <w:rsid w:val="007000CD"/>
    <w:rsid w:val="007004EA"/>
    <w:rsid w:val="0070095E"/>
    <w:rsid w:val="00700A67"/>
    <w:rsid w:val="00700E2B"/>
    <w:rsid w:val="00701131"/>
    <w:rsid w:val="007013C3"/>
    <w:rsid w:val="0070148E"/>
    <w:rsid w:val="00701787"/>
    <w:rsid w:val="00701A41"/>
    <w:rsid w:val="00702168"/>
    <w:rsid w:val="00702174"/>
    <w:rsid w:val="00702C3A"/>
    <w:rsid w:val="00703216"/>
    <w:rsid w:val="0070323B"/>
    <w:rsid w:val="0070341C"/>
    <w:rsid w:val="0070369C"/>
    <w:rsid w:val="007037B0"/>
    <w:rsid w:val="00703DDC"/>
    <w:rsid w:val="0070505E"/>
    <w:rsid w:val="0070509A"/>
    <w:rsid w:val="007051D0"/>
    <w:rsid w:val="007056E3"/>
    <w:rsid w:val="00705821"/>
    <w:rsid w:val="00706A9A"/>
    <w:rsid w:val="0071013C"/>
    <w:rsid w:val="0071027C"/>
    <w:rsid w:val="00710295"/>
    <w:rsid w:val="007103E5"/>
    <w:rsid w:val="00710533"/>
    <w:rsid w:val="00710730"/>
    <w:rsid w:val="00710CEF"/>
    <w:rsid w:val="00711659"/>
    <w:rsid w:val="0071191E"/>
    <w:rsid w:val="00712060"/>
    <w:rsid w:val="007121A4"/>
    <w:rsid w:val="00712302"/>
    <w:rsid w:val="00712C23"/>
    <w:rsid w:val="0071311C"/>
    <w:rsid w:val="00713CCD"/>
    <w:rsid w:val="00713D7C"/>
    <w:rsid w:val="00714081"/>
    <w:rsid w:val="0071447C"/>
    <w:rsid w:val="0071447F"/>
    <w:rsid w:val="00714955"/>
    <w:rsid w:val="007149E1"/>
    <w:rsid w:val="00714AA8"/>
    <w:rsid w:val="00715359"/>
    <w:rsid w:val="007160BE"/>
    <w:rsid w:val="00716313"/>
    <w:rsid w:val="00716378"/>
    <w:rsid w:val="00716A3A"/>
    <w:rsid w:val="00716EF0"/>
    <w:rsid w:val="007177B3"/>
    <w:rsid w:val="00717C09"/>
    <w:rsid w:val="00717E80"/>
    <w:rsid w:val="00720499"/>
    <w:rsid w:val="00720689"/>
    <w:rsid w:val="0072078C"/>
    <w:rsid w:val="00720CCB"/>
    <w:rsid w:val="00721142"/>
    <w:rsid w:val="0072119B"/>
    <w:rsid w:val="00721BFE"/>
    <w:rsid w:val="007226EA"/>
    <w:rsid w:val="00722C1B"/>
    <w:rsid w:val="00722CDE"/>
    <w:rsid w:val="00722F65"/>
    <w:rsid w:val="00723300"/>
    <w:rsid w:val="00723D23"/>
    <w:rsid w:val="00724AB5"/>
    <w:rsid w:val="00724B7E"/>
    <w:rsid w:val="00724C97"/>
    <w:rsid w:val="00724CE2"/>
    <w:rsid w:val="007255A3"/>
    <w:rsid w:val="007256D2"/>
    <w:rsid w:val="007257CD"/>
    <w:rsid w:val="00725D1B"/>
    <w:rsid w:val="007261C8"/>
    <w:rsid w:val="0072620C"/>
    <w:rsid w:val="00726341"/>
    <w:rsid w:val="00726A38"/>
    <w:rsid w:val="007277E7"/>
    <w:rsid w:val="00727B3F"/>
    <w:rsid w:val="007300F7"/>
    <w:rsid w:val="00730AEA"/>
    <w:rsid w:val="00730CF1"/>
    <w:rsid w:val="00731858"/>
    <w:rsid w:val="00731A67"/>
    <w:rsid w:val="0073228B"/>
    <w:rsid w:val="007326E5"/>
    <w:rsid w:val="00733230"/>
    <w:rsid w:val="007334C3"/>
    <w:rsid w:val="00733E7C"/>
    <w:rsid w:val="00734007"/>
    <w:rsid w:val="00734216"/>
    <w:rsid w:val="00734384"/>
    <w:rsid w:val="007344AF"/>
    <w:rsid w:val="0073450A"/>
    <w:rsid w:val="00734566"/>
    <w:rsid w:val="00734691"/>
    <w:rsid w:val="007348AE"/>
    <w:rsid w:val="00734A4F"/>
    <w:rsid w:val="007351FD"/>
    <w:rsid w:val="007358B7"/>
    <w:rsid w:val="00735BAE"/>
    <w:rsid w:val="00735C2F"/>
    <w:rsid w:val="00735E09"/>
    <w:rsid w:val="00736638"/>
    <w:rsid w:val="00736859"/>
    <w:rsid w:val="00736CC3"/>
    <w:rsid w:val="00736CCB"/>
    <w:rsid w:val="00737907"/>
    <w:rsid w:val="00740075"/>
    <w:rsid w:val="007414C6"/>
    <w:rsid w:val="00741B74"/>
    <w:rsid w:val="00741CE3"/>
    <w:rsid w:val="00742974"/>
    <w:rsid w:val="00743066"/>
    <w:rsid w:val="00743314"/>
    <w:rsid w:val="00743853"/>
    <w:rsid w:val="0074473A"/>
    <w:rsid w:val="0074493E"/>
    <w:rsid w:val="00744BFE"/>
    <w:rsid w:val="0074537A"/>
    <w:rsid w:val="00745708"/>
    <w:rsid w:val="007459E2"/>
    <w:rsid w:val="00745F6B"/>
    <w:rsid w:val="007460FE"/>
    <w:rsid w:val="00746145"/>
    <w:rsid w:val="007461AF"/>
    <w:rsid w:val="00746422"/>
    <w:rsid w:val="0074645F"/>
    <w:rsid w:val="0074674A"/>
    <w:rsid w:val="00746AC9"/>
    <w:rsid w:val="00746C00"/>
    <w:rsid w:val="00747744"/>
    <w:rsid w:val="00750257"/>
    <w:rsid w:val="00750BAB"/>
    <w:rsid w:val="00751A8F"/>
    <w:rsid w:val="00751C8E"/>
    <w:rsid w:val="00751D49"/>
    <w:rsid w:val="0075252F"/>
    <w:rsid w:val="007525DA"/>
    <w:rsid w:val="007527F2"/>
    <w:rsid w:val="00752CEF"/>
    <w:rsid w:val="00752D6E"/>
    <w:rsid w:val="007531CE"/>
    <w:rsid w:val="007533FB"/>
    <w:rsid w:val="00753C8F"/>
    <w:rsid w:val="00753E30"/>
    <w:rsid w:val="007542CE"/>
    <w:rsid w:val="00754503"/>
    <w:rsid w:val="00754860"/>
    <w:rsid w:val="00755416"/>
    <w:rsid w:val="00755525"/>
    <w:rsid w:val="00755979"/>
    <w:rsid w:val="00755F73"/>
    <w:rsid w:val="007561EC"/>
    <w:rsid w:val="00756B8D"/>
    <w:rsid w:val="00756CF1"/>
    <w:rsid w:val="00757134"/>
    <w:rsid w:val="007575C0"/>
    <w:rsid w:val="00757669"/>
    <w:rsid w:val="00757F24"/>
    <w:rsid w:val="00757FF6"/>
    <w:rsid w:val="00760912"/>
    <w:rsid w:val="00761B17"/>
    <w:rsid w:val="00761B32"/>
    <w:rsid w:val="007628F1"/>
    <w:rsid w:val="00762B9D"/>
    <w:rsid w:val="00762BCC"/>
    <w:rsid w:val="00762C49"/>
    <w:rsid w:val="0076329E"/>
    <w:rsid w:val="00763329"/>
    <w:rsid w:val="007633A4"/>
    <w:rsid w:val="00763BA3"/>
    <w:rsid w:val="00764217"/>
    <w:rsid w:val="00764E06"/>
    <w:rsid w:val="0076570B"/>
    <w:rsid w:val="00765B66"/>
    <w:rsid w:val="007660EC"/>
    <w:rsid w:val="00766519"/>
    <w:rsid w:val="00766875"/>
    <w:rsid w:val="0076693F"/>
    <w:rsid w:val="00766BFA"/>
    <w:rsid w:val="0076722D"/>
    <w:rsid w:val="00767398"/>
    <w:rsid w:val="007676A0"/>
    <w:rsid w:val="00767888"/>
    <w:rsid w:val="00767A21"/>
    <w:rsid w:val="00767B61"/>
    <w:rsid w:val="00767BB2"/>
    <w:rsid w:val="00767BFC"/>
    <w:rsid w:val="00770533"/>
    <w:rsid w:val="0077059C"/>
    <w:rsid w:val="0077098A"/>
    <w:rsid w:val="00770AD7"/>
    <w:rsid w:val="00770F81"/>
    <w:rsid w:val="00771406"/>
    <w:rsid w:val="0077159C"/>
    <w:rsid w:val="00771684"/>
    <w:rsid w:val="0077243A"/>
    <w:rsid w:val="007724A7"/>
    <w:rsid w:val="00772513"/>
    <w:rsid w:val="00773169"/>
    <w:rsid w:val="007733E7"/>
    <w:rsid w:val="00774214"/>
    <w:rsid w:val="007743C1"/>
    <w:rsid w:val="00774425"/>
    <w:rsid w:val="00774A58"/>
    <w:rsid w:val="00774ADD"/>
    <w:rsid w:val="007750CF"/>
    <w:rsid w:val="00775E4E"/>
    <w:rsid w:val="00775F11"/>
    <w:rsid w:val="00776523"/>
    <w:rsid w:val="0077658F"/>
    <w:rsid w:val="0077671C"/>
    <w:rsid w:val="00776CA7"/>
    <w:rsid w:val="007772FC"/>
    <w:rsid w:val="0078033A"/>
    <w:rsid w:val="00780376"/>
    <w:rsid w:val="0078083A"/>
    <w:rsid w:val="00780EE3"/>
    <w:rsid w:val="00780F8D"/>
    <w:rsid w:val="007814A0"/>
    <w:rsid w:val="007821F7"/>
    <w:rsid w:val="0078227B"/>
    <w:rsid w:val="00782850"/>
    <w:rsid w:val="00782957"/>
    <w:rsid w:val="00782AF3"/>
    <w:rsid w:val="00782C88"/>
    <w:rsid w:val="00782D7F"/>
    <w:rsid w:val="007831BE"/>
    <w:rsid w:val="007831EE"/>
    <w:rsid w:val="0078365F"/>
    <w:rsid w:val="00783DC9"/>
    <w:rsid w:val="007845E2"/>
    <w:rsid w:val="0078591E"/>
    <w:rsid w:val="00785D14"/>
    <w:rsid w:val="007863E6"/>
    <w:rsid w:val="00786422"/>
    <w:rsid w:val="00786BFD"/>
    <w:rsid w:val="00786D6F"/>
    <w:rsid w:val="007876E0"/>
    <w:rsid w:val="007877D6"/>
    <w:rsid w:val="007879B8"/>
    <w:rsid w:val="00787B4B"/>
    <w:rsid w:val="007901AE"/>
    <w:rsid w:val="00790D9B"/>
    <w:rsid w:val="00790E3C"/>
    <w:rsid w:val="00791229"/>
    <w:rsid w:val="00791554"/>
    <w:rsid w:val="00791AAC"/>
    <w:rsid w:val="00791D2C"/>
    <w:rsid w:val="00791FC4"/>
    <w:rsid w:val="00792182"/>
    <w:rsid w:val="007921A1"/>
    <w:rsid w:val="007928B1"/>
    <w:rsid w:val="00792A18"/>
    <w:rsid w:val="00792C49"/>
    <w:rsid w:val="00792E5B"/>
    <w:rsid w:val="00793100"/>
    <w:rsid w:val="007939C6"/>
    <w:rsid w:val="00793AFC"/>
    <w:rsid w:val="00794422"/>
    <w:rsid w:val="007948D2"/>
    <w:rsid w:val="00794C51"/>
    <w:rsid w:val="00794DA6"/>
    <w:rsid w:val="00795182"/>
    <w:rsid w:val="0079584B"/>
    <w:rsid w:val="007968BF"/>
    <w:rsid w:val="0079743F"/>
    <w:rsid w:val="00797D4C"/>
    <w:rsid w:val="007A0A16"/>
    <w:rsid w:val="007A0C77"/>
    <w:rsid w:val="007A1250"/>
    <w:rsid w:val="007A163F"/>
    <w:rsid w:val="007A1EDD"/>
    <w:rsid w:val="007A20F2"/>
    <w:rsid w:val="007A2FB7"/>
    <w:rsid w:val="007A361F"/>
    <w:rsid w:val="007A372A"/>
    <w:rsid w:val="007A3E45"/>
    <w:rsid w:val="007A4134"/>
    <w:rsid w:val="007A4275"/>
    <w:rsid w:val="007A436A"/>
    <w:rsid w:val="007A45DC"/>
    <w:rsid w:val="007A467F"/>
    <w:rsid w:val="007A46C3"/>
    <w:rsid w:val="007A4F98"/>
    <w:rsid w:val="007A5FC4"/>
    <w:rsid w:val="007A6714"/>
    <w:rsid w:val="007A6EFD"/>
    <w:rsid w:val="007A742B"/>
    <w:rsid w:val="007A769F"/>
    <w:rsid w:val="007A793D"/>
    <w:rsid w:val="007B00F3"/>
    <w:rsid w:val="007B02EA"/>
    <w:rsid w:val="007B05AA"/>
    <w:rsid w:val="007B06EC"/>
    <w:rsid w:val="007B10D1"/>
    <w:rsid w:val="007B154D"/>
    <w:rsid w:val="007B190A"/>
    <w:rsid w:val="007B2418"/>
    <w:rsid w:val="007B2AFF"/>
    <w:rsid w:val="007B3580"/>
    <w:rsid w:val="007B365F"/>
    <w:rsid w:val="007B373E"/>
    <w:rsid w:val="007B3F9D"/>
    <w:rsid w:val="007B41E3"/>
    <w:rsid w:val="007B4984"/>
    <w:rsid w:val="007B4BAB"/>
    <w:rsid w:val="007B5116"/>
    <w:rsid w:val="007B5157"/>
    <w:rsid w:val="007B5285"/>
    <w:rsid w:val="007B5599"/>
    <w:rsid w:val="007B565D"/>
    <w:rsid w:val="007B5AAD"/>
    <w:rsid w:val="007B6440"/>
    <w:rsid w:val="007B66A0"/>
    <w:rsid w:val="007B698B"/>
    <w:rsid w:val="007C0AE4"/>
    <w:rsid w:val="007C0C1B"/>
    <w:rsid w:val="007C0E7E"/>
    <w:rsid w:val="007C0F11"/>
    <w:rsid w:val="007C1181"/>
    <w:rsid w:val="007C1DB6"/>
    <w:rsid w:val="007C2789"/>
    <w:rsid w:val="007C2B16"/>
    <w:rsid w:val="007C2E17"/>
    <w:rsid w:val="007C32AC"/>
    <w:rsid w:val="007C32BF"/>
    <w:rsid w:val="007C3679"/>
    <w:rsid w:val="007C3724"/>
    <w:rsid w:val="007C3932"/>
    <w:rsid w:val="007C3A48"/>
    <w:rsid w:val="007C3BF5"/>
    <w:rsid w:val="007C3D00"/>
    <w:rsid w:val="007C4091"/>
    <w:rsid w:val="007C4098"/>
    <w:rsid w:val="007C479C"/>
    <w:rsid w:val="007C50A8"/>
    <w:rsid w:val="007C5559"/>
    <w:rsid w:val="007C5588"/>
    <w:rsid w:val="007C5F01"/>
    <w:rsid w:val="007C61B1"/>
    <w:rsid w:val="007C65EF"/>
    <w:rsid w:val="007C7596"/>
    <w:rsid w:val="007C7620"/>
    <w:rsid w:val="007C7A26"/>
    <w:rsid w:val="007C7E46"/>
    <w:rsid w:val="007C7FAA"/>
    <w:rsid w:val="007D06F4"/>
    <w:rsid w:val="007D08AC"/>
    <w:rsid w:val="007D0A03"/>
    <w:rsid w:val="007D0AC6"/>
    <w:rsid w:val="007D1195"/>
    <w:rsid w:val="007D1388"/>
    <w:rsid w:val="007D17C5"/>
    <w:rsid w:val="007D1C82"/>
    <w:rsid w:val="007D1DD1"/>
    <w:rsid w:val="007D2202"/>
    <w:rsid w:val="007D2420"/>
    <w:rsid w:val="007D2558"/>
    <w:rsid w:val="007D32A2"/>
    <w:rsid w:val="007D38EB"/>
    <w:rsid w:val="007D4201"/>
    <w:rsid w:val="007D52EC"/>
    <w:rsid w:val="007D5560"/>
    <w:rsid w:val="007D584E"/>
    <w:rsid w:val="007D58DE"/>
    <w:rsid w:val="007D5B81"/>
    <w:rsid w:val="007D6196"/>
    <w:rsid w:val="007D633A"/>
    <w:rsid w:val="007D66D5"/>
    <w:rsid w:val="007D73D0"/>
    <w:rsid w:val="007D7B0D"/>
    <w:rsid w:val="007D7F32"/>
    <w:rsid w:val="007D7F8E"/>
    <w:rsid w:val="007E0369"/>
    <w:rsid w:val="007E053D"/>
    <w:rsid w:val="007E05A6"/>
    <w:rsid w:val="007E07FC"/>
    <w:rsid w:val="007E0D13"/>
    <w:rsid w:val="007E118C"/>
    <w:rsid w:val="007E1323"/>
    <w:rsid w:val="007E1662"/>
    <w:rsid w:val="007E16BF"/>
    <w:rsid w:val="007E1702"/>
    <w:rsid w:val="007E1959"/>
    <w:rsid w:val="007E1D59"/>
    <w:rsid w:val="007E2326"/>
    <w:rsid w:val="007E2B2D"/>
    <w:rsid w:val="007E2DE1"/>
    <w:rsid w:val="007E3ABC"/>
    <w:rsid w:val="007E3BCC"/>
    <w:rsid w:val="007E3C16"/>
    <w:rsid w:val="007E43B6"/>
    <w:rsid w:val="007E4FCF"/>
    <w:rsid w:val="007E50F1"/>
    <w:rsid w:val="007E5260"/>
    <w:rsid w:val="007E6110"/>
    <w:rsid w:val="007E62F3"/>
    <w:rsid w:val="007E7976"/>
    <w:rsid w:val="007E7BB5"/>
    <w:rsid w:val="007F03CC"/>
    <w:rsid w:val="007F0893"/>
    <w:rsid w:val="007F0A42"/>
    <w:rsid w:val="007F1971"/>
    <w:rsid w:val="007F1B2E"/>
    <w:rsid w:val="007F1CEE"/>
    <w:rsid w:val="007F1CEF"/>
    <w:rsid w:val="007F2083"/>
    <w:rsid w:val="007F25A2"/>
    <w:rsid w:val="007F2974"/>
    <w:rsid w:val="007F2C87"/>
    <w:rsid w:val="007F2F14"/>
    <w:rsid w:val="007F3990"/>
    <w:rsid w:val="007F3ED0"/>
    <w:rsid w:val="007F4B08"/>
    <w:rsid w:val="007F5237"/>
    <w:rsid w:val="007F5450"/>
    <w:rsid w:val="007F5937"/>
    <w:rsid w:val="007F5E7B"/>
    <w:rsid w:val="007F683D"/>
    <w:rsid w:val="007F6C44"/>
    <w:rsid w:val="007F6E63"/>
    <w:rsid w:val="007F7F8A"/>
    <w:rsid w:val="00800A1B"/>
    <w:rsid w:val="00801241"/>
    <w:rsid w:val="00801DCB"/>
    <w:rsid w:val="008021CA"/>
    <w:rsid w:val="00802698"/>
    <w:rsid w:val="008029B0"/>
    <w:rsid w:val="00802AE5"/>
    <w:rsid w:val="0080333B"/>
    <w:rsid w:val="00803D2A"/>
    <w:rsid w:val="008045F1"/>
    <w:rsid w:val="00804798"/>
    <w:rsid w:val="00804994"/>
    <w:rsid w:val="00804D56"/>
    <w:rsid w:val="00805B7F"/>
    <w:rsid w:val="00806F39"/>
    <w:rsid w:val="008073E2"/>
    <w:rsid w:val="00807CB3"/>
    <w:rsid w:val="00807F5A"/>
    <w:rsid w:val="00810393"/>
    <w:rsid w:val="00810653"/>
    <w:rsid w:val="008126E5"/>
    <w:rsid w:val="008129F0"/>
    <w:rsid w:val="0081338D"/>
    <w:rsid w:val="00813C6B"/>
    <w:rsid w:val="00813C7D"/>
    <w:rsid w:val="00814A0E"/>
    <w:rsid w:val="00815085"/>
    <w:rsid w:val="0081509F"/>
    <w:rsid w:val="00815E78"/>
    <w:rsid w:val="008162CD"/>
    <w:rsid w:val="008165A6"/>
    <w:rsid w:val="00817A7E"/>
    <w:rsid w:val="008200B3"/>
    <w:rsid w:val="00820760"/>
    <w:rsid w:val="008210E3"/>
    <w:rsid w:val="0082180C"/>
    <w:rsid w:val="008224AD"/>
    <w:rsid w:val="008226F3"/>
    <w:rsid w:val="00822801"/>
    <w:rsid w:val="008229AE"/>
    <w:rsid w:val="008234DE"/>
    <w:rsid w:val="00823DF9"/>
    <w:rsid w:val="0082412C"/>
    <w:rsid w:val="008244DD"/>
    <w:rsid w:val="00824A9C"/>
    <w:rsid w:val="00824D20"/>
    <w:rsid w:val="00825289"/>
    <w:rsid w:val="0082594A"/>
    <w:rsid w:val="00825B58"/>
    <w:rsid w:val="00825F19"/>
    <w:rsid w:val="00827FB6"/>
    <w:rsid w:val="00830146"/>
    <w:rsid w:val="00830241"/>
    <w:rsid w:val="008305D6"/>
    <w:rsid w:val="008308E2"/>
    <w:rsid w:val="008309FD"/>
    <w:rsid w:val="0083124B"/>
    <w:rsid w:val="008314A4"/>
    <w:rsid w:val="00832163"/>
    <w:rsid w:val="008326E5"/>
    <w:rsid w:val="00832E5D"/>
    <w:rsid w:val="00833017"/>
    <w:rsid w:val="0083311B"/>
    <w:rsid w:val="008331B8"/>
    <w:rsid w:val="00833663"/>
    <w:rsid w:val="00833747"/>
    <w:rsid w:val="008337AD"/>
    <w:rsid w:val="008341FB"/>
    <w:rsid w:val="00834406"/>
    <w:rsid w:val="00834F91"/>
    <w:rsid w:val="008352C6"/>
    <w:rsid w:val="008352D4"/>
    <w:rsid w:val="008353FF"/>
    <w:rsid w:val="0083546B"/>
    <w:rsid w:val="00835835"/>
    <w:rsid w:val="00835F97"/>
    <w:rsid w:val="00836586"/>
    <w:rsid w:val="00837537"/>
    <w:rsid w:val="0083790E"/>
    <w:rsid w:val="00837C0A"/>
    <w:rsid w:val="008405D2"/>
    <w:rsid w:val="00840688"/>
    <w:rsid w:val="00841535"/>
    <w:rsid w:val="00841814"/>
    <w:rsid w:val="00841C88"/>
    <w:rsid w:val="00841D39"/>
    <w:rsid w:val="00841F35"/>
    <w:rsid w:val="008420CA"/>
    <w:rsid w:val="008425F1"/>
    <w:rsid w:val="00842766"/>
    <w:rsid w:val="008428EC"/>
    <w:rsid w:val="00842BEB"/>
    <w:rsid w:val="0084305D"/>
    <w:rsid w:val="008436F1"/>
    <w:rsid w:val="00843C38"/>
    <w:rsid w:val="00843E5A"/>
    <w:rsid w:val="00843EE7"/>
    <w:rsid w:val="00843F6C"/>
    <w:rsid w:val="0084404D"/>
    <w:rsid w:val="0084462F"/>
    <w:rsid w:val="00844B11"/>
    <w:rsid w:val="00844CC3"/>
    <w:rsid w:val="00845164"/>
    <w:rsid w:val="00845663"/>
    <w:rsid w:val="008459EC"/>
    <w:rsid w:val="00845C70"/>
    <w:rsid w:val="008460AD"/>
    <w:rsid w:val="008464A0"/>
    <w:rsid w:val="008465EF"/>
    <w:rsid w:val="00846741"/>
    <w:rsid w:val="00846D2C"/>
    <w:rsid w:val="00847546"/>
    <w:rsid w:val="008478BC"/>
    <w:rsid w:val="00847966"/>
    <w:rsid w:val="00847F46"/>
    <w:rsid w:val="0085067D"/>
    <w:rsid w:val="0085068C"/>
    <w:rsid w:val="00850814"/>
    <w:rsid w:val="00850E19"/>
    <w:rsid w:val="008516A9"/>
    <w:rsid w:val="008517EB"/>
    <w:rsid w:val="00851E15"/>
    <w:rsid w:val="00851E9A"/>
    <w:rsid w:val="0085216D"/>
    <w:rsid w:val="00852AB4"/>
    <w:rsid w:val="00852E13"/>
    <w:rsid w:val="00853782"/>
    <w:rsid w:val="00853A4D"/>
    <w:rsid w:val="00853CB0"/>
    <w:rsid w:val="00854314"/>
    <w:rsid w:val="0085559A"/>
    <w:rsid w:val="00855CAF"/>
    <w:rsid w:val="0085622D"/>
    <w:rsid w:val="00856633"/>
    <w:rsid w:val="0085682E"/>
    <w:rsid w:val="00856A6B"/>
    <w:rsid w:val="00856ADA"/>
    <w:rsid w:val="008576C0"/>
    <w:rsid w:val="00857709"/>
    <w:rsid w:val="00860518"/>
    <w:rsid w:val="00860848"/>
    <w:rsid w:val="0086094D"/>
    <w:rsid w:val="00860D40"/>
    <w:rsid w:val="0086111E"/>
    <w:rsid w:val="00861149"/>
    <w:rsid w:val="00861677"/>
    <w:rsid w:val="00861B8A"/>
    <w:rsid w:val="00861CEF"/>
    <w:rsid w:val="0086216C"/>
    <w:rsid w:val="00862180"/>
    <w:rsid w:val="00862AAE"/>
    <w:rsid w:val="00863947"/>
    <w:rsid w:val="00863A3B"/>
    <w:rsid w:val="00863ADD"/>
    <w:rsid w:val="00864380"/>
    <w:rsid w:val="00864CA3"/>
    <w:rsid w:val="008655F6"/>
    <w:rsid w:val="0086560B"/>
    <w:rsid w:val="008656D2"/>
    <w:rsid w:val="00865BEB"/>
    <w:rsid w:val="00866726"/>
    <w:rsid w:val="00866A74"/>
    <w:rsid w:val="00866CE6"/>
    <w:rsid w:val="008674EC"/>
    <w:rsid w:val="00867E6A"/>
    <w:rsid w:val="00867FAF"/>
    <w:rsid w:val="00870104"/>
    <w:rsid w:val="008701DE"/>
    <w:rsid w:val="00870352"/>
    <w:rsid w:val="00870529"/>
    <w:rsid w:val="00870537"/>
    <w:rsid w:val="00870723"/>
    <w:rsid w:val="008708E5"/>
    <w:rsid w:val="0087099E"/>
    <w:rsid w:val="00870DFA"/>
    <w:rsid w:val="0087111A"/>
    <w:rsid w:val="00871263"/>
    <w:rsid w:val="008713E2"/>
    <w:rsid w:val="008713FD"/>
    <w:rsid w:val="00871686"/>
    <w:rsid w:val="00871FD1"/>
    <w:rsid w:val="00872019"/>
    <w:rsid w:val="0087209E"/>
    <w:rsid w:val="00872382"/>
    <w:rsid w:val="008725E9"/>
    <w:rsid w:val="0087269B"/>
    <w:rsid w:val="00872B10"/>
    <w:rsid w:val="00872BE8"/>
    <w:rsid w:val="00873319"/>
    <w:rsid w:val="00873FE8"/>
    <w:rsid w:val="00874785"/>
    <w:rsid w:val="00874EC2"/>
    <w:rsid w:val="00875076"/>
    <w:rsid w:val="0087556C"/>
    <w:rsid w:val="00876039"/>
    <w:rsid w:val="00876F35"/>
    <w:rsid w:val="008773DC"/>
    <w:rsid w:val="00880677"/>
    <w:rsid w:val="008809E2"/>
    <w:rsid w:val="00880CFC"/>
    <w:rsid w:val="00880E48"/>
    <w:rsid w:val="00880FB3"/>
    <w:rsid w:val="00881380"/>
    <w:rsid w:val="00881B36"/>
    <w:rsid w:val="00882086"/>
    <w:rsid w:val="008826FB"/>
    <w:rsid w:val="00882B57"/>
    <w:rsid w:val="00882BA7"/>
    <w:rsid w:val="008831EE"/>
    <w:rsid w:val="008833D8"/>
    <w:rsid w:val="00884098"/>
    <w:rsid w:val="008841EA"/>
    <w:rsid w:val="008841F5"/>
    <w:rsid w:val="008847E6"/>
    <w:rsid w:val="00884F91"/>
    <w:rsid w:val="0088525B"/>
    <w:rsid w:val="00885BAE"/>
    <w:rsid w:val="00886301"/>
    <w:rsid w:val="0088687C"/>
    <w:rsid w:val="00886932"/>
    <w:rsid w:val="00886BEB"/>
    <w:rsid w:val="00886ED5"/>
    <w:rsid w:val="008871A0"/>
    <w:rsid w:val="00887207"/>
    <w:rsid w:val="00887B3F"/>
    <w:rsid w:val="00890B13"/>
    <w:rsid w:val="008912FE"/>
    <w:rsid w:val="00891349"/>
    <w:rsid w:val="00891737"/>
    <w:rsid w:val="00891764"/>
    <w:rsid w:val="00891D99"/>
    <w:rsid w:val="00891ED3"/>
    <w:rsid w:val="00892231"/>
    <w:rsid w:val="00892268"/>
    <w:rsid w:val="00892947"/>
    <w:rsid w:val="0089328B"/>
    <w:rsid w:val="00894D41"/>
    <w:rsid w:val="0089506C"/>
    <w:rsid w:val="008953F3"/>
    <w:rsid w:val="008959C0"/>
    <w:rsid w:val="00895BF7"/>
    <w:rsid w:val="0089630B"/>
    <w:rsid w:val="008963CD"/>
    <w:rsid w:val="00896468"/>
    <w:rsid w:val="008965AD"/>
    <w:rsid w:val="008966B3"/>
    <w:rsid w:val="00896E99"/>
    <w:rsid w:val="00896F31"/>
    <w:rsid w:val="008974AD"/>
    <w:rsid w:val="008A023E"/>
    <w:rsid w:val="008A0602"/>
    <w:rsid w:val="008A0674"/>
    <w:rsid w:val="008A10D8"/>
    <w:rsid w:val="008A1261"/>
    <w:rsid w:val="008A155F"/>
    <w:rsid w:val="008A1A00"/>
    <w:rsid w:val="008A245D"/>
    <w:rsid w:val="008A2884"/>
    <w:rsid w:val="008A2916"/>
    <w:rsid w:val="008A3B60"/>
    <w:rsid w:val="008A4B0A"/>
    <w:rsid w:val="008A4CF6"/>
    <w:rsid w:val="008A4DDB"/>
    <w:rsid w:val="008A54FC"/>
    <w:rsid w:val="008A62D1"/>
    <w:rsid w:val="008A649D"/>
    <w:rsid w:val="008A6A23"/>
    <w:rsid w:val="008A7536"/>
    <w:rsid w:val="008A7E30"/>
    <w:rsid w:val="008B01E9"/>
    <w:rsid w:val="008B06B3"/>
    <w:rsid w:val="008B0788"/>
    <w:rsid w:val="008B11CA"/>
    <w:rsid w:val="008B16F5"/>
    <w:rsid w:val="008B28BC"/>
    <w:rsid w:val="008B2E13"/>
    <w:rsid w:val="008B4117"/>
    <w:rsid w:val="008B4B45"/>
    <w:rsid w:val="008B4C72"/>
    <w:rsid w:val="008B501D"/>
    <w:rsid w:val="008B5291"/>
    <w:rsid w:val="008B54C1"/>
    <w:rsid w:val="008B5F06"/>
    <w:rsid w:val="008B5FAD"/>
    <w:rsid w:val="008B628F"/>
    <w:rsid w:val="008B676B"/>
    <w:rsid w:val="008B70CD"/>
    <w:rsid w:val="008B73F2"/>
    <w:rsid w:val="008B7983"/>
    <w:rsid w:val="008B7A9F"/>
    <w:rsid w:val="008B7DD1"/>
    <w:rsid w:val="008C0183"/>
    <w:rsid w:val="008C01E2"/>
    <w:rsid w:val="008C023F"/>
    <w:rsid w:val="008C0C50"/>
    <w:rsid w:val="008C0C73"/>
    <w:rsid w:val="008C119E"/>
    <w:rsid w:val="008C1224"/>
    <w:rsid w:val="008C1756"/>
    <w:rsid w:val="008C1ABF"/>
    <w:rsid w:val="008C2294"/>
    <w:rsid w:val="008C2639"/>
    <w:rsid w:val="008C27F5"/>
    <w:rsid w:val="008C2C85"/>
    <w:rsid w:val="008C2E08"/>
    <w:rsid w:val="008C2EBB"/>
    <w:rsid w:val="008C3351"/>
    <w:rsid w:val="008C3529"/>
    <w:rsid w:val="008C45BB"/>
    <w:rsid w:val="008C4625"/>
    <w:rsid w:val="008C4A24"/>
    <w:rsid w:val="008C4ABA"/>
    <w:rsid w:val="008C5281"/>
    <w:rsid w:val="008C6A52"/>
    <w:rsid w:val="008C6A78"/>
    <w:rsid w:val="008C6A8E"/>
    <w:rsid w:val="008C6C09"/>
    <w:rsid w:val="008C6E0D"/>
    <w:rsid w:val="008C6EE6"/>
    <w:rsid w:val="008C6FE9"/>
    <w:rsid w:val="008C7CE0"/>
    <w:rsid w:val="008D0086"/>
    <w:rsid w:val="008D05DE"/>
    <w:rsid w:val="008D0D92"/>
    <w:rsid w:val="008D141C"/>
    <w:rsid w:val="008D18EE"/>
    <w:rsid w:val="008D1A03"/>
    <w:rsid w:val="008D2C13"/>
    <w:rsid w:val="008D37F3"/>
    <w:rsid w:val="008D39F3"/>
    <w:rsid w:val="008D3D18"/>
    <w:rsid w:val="008D3F77"/>
    <w:rsid w:val="008D4C84"/>
    <w:rsid w:val="008D53EC"/>
    <w:rsid w:val="008D5823"/>
    <w:rsid w:val="008D5E69"/>
    <w:rsid w:val="008D6C4C"/>
    <w:rsid w:val="008D6E1F"/>
    <w:rsid w:val="008D75DA"/>
    <w:rsid w:val="008D78C3"/>
    <w:rsid w:val="008D7957"/>
    <w:rsid w:val="008D7C5B"/>
    <w:rsid w:val="008E01D1"/>
    <w:rsid w:val="008E0701"/>
    <w:rsid w:val="008E0779"/>
    <w:rsid w:val="008E09A5"/>
    <w:rsid w:val="008E0D82"/>
    <w:rsid w:val="008E0F75"/>
    <w:rsid w:val="008E11E2"/>
    <w:rsid w:val="008E15C3"/>
    <w:rsid w:val="008E1B1B"/>
    <w:rsid w:val="008E1F0B"/>
    <w:rsid w:val="008E24B7"/>
    <w:rsid w:val="008E24FD"/>
    <w:rsid w:val="008E2EF4"/>
    <w:rsid w:val="008E4281"/>
    <w:rsid w:val="008E4DE6"/>
    <w:rsid w:val="008E5164"/>
    <w:rsid w:val="008E5365"/>
    <w:rsid w:val="008E543E"/>
    <w:rsid w:val="008E5B96"/>
    <w:rsid w:val="008E6109"/>
    <w:rsid w:val="008E615B"/>
    <w:rsid w:val="008E658F"/>
    <w:rsid w:val="008E6AF6"/>
    <w:rsid w:val="008E6C59"/>
    <w:rsid w:val="008E70C3"/>
    <w:rsid w:val="008E72AC"/>
    <w:rsid w:val="008E7912"/>
    <w:rsid w:val="008E7F28"/>
    <w:rsid w:val="008F0630"/>
    <w:rsid w:val="008F0769"/>
    <w:rsid w:val="008F07A7"/>
    <w:rsid w:val="008F0A88"/>
    <w:rsid w:val="008F0B8C"/>
    <w:rsid w:val="008F113C"/>
    <w:rsid w:val="008F1B01"/>
    <w:rsid w:val="008F2337"/>
    <w:rsid w:val="008F23C1"/>
    <w:rsid w:val="008F2A8B"/>
    <w:rsid w:val="008F2FA5"/>
    <w:rsid w:val="008F34CA"/>
    <w:rsid w:val="008F3829"/>
    <w:rsid w:val="008F3C23"/>
    <w:rsid w:val="008F3DB9"/>
    <w:rsid w:val="008F3E72"/>
    <w:rsid w:val="008F3E8B"/>
    <w:rsid w:val="008F47AB"/>
    <w:rsid w:val="008F4A90"/>
    <w:rsid w:val="008F54DE"/>
    <w:rsid w:val="008F59B5"/>
    <w:rsid w:val="008F5ACD"/>
    <w:rsid w:val="008F5F7E"/>
    <w:rsid w:val="008F64FB"/>
    <w:rsid w:val="008F7939"/>
    <w:rsid w:val="00901078"/>
    <w:rsid w:val="00901329"/>
    <w:rsid w:val="00901BE8"/>
    <w:rsid w:val="00901C5F"/>
    <w:rsid w:val="00901F1E"/>
    <w:rsid w:val="0090239E"/>
    <w:rsid w:val="00902844"/>
    <w:rsid w:val="009029AD"/>
    <w:rsid w:val="00903DC6"/>
    <w:rsid w:val="0090444C"/>
    <w:rsid w:val="0090446F"/>
    <w:rsid w:val="0090450F"/>
    <w:rsid w:val="00904E7A"/>
    <w:rsid w:val="009051AC"/>
    <w:rsid w:val="009057F0"/>
    <w:rsid w:val="009060F2"/>
    <w:rsid w:val="0090688F"/>
    <w:rsid w:val="00906950"/>
    <w:rsid w:val="00906957"/>
    <w:rsid w:val="0090726D"/>
    <w:rsid w:val="00907448"/>
    <w:rsid w:val="00907A5D"/>
    <w:rsid w:val="009100A5"/>
    <w:rsid w:val="009103CE"/>
    <w:rsid w:val="00910F77"/>
    <w:rsid w:val="00911313"/>
    <w:rsid w:val="00911900"/>
    <w:rsid w:val="00911FDE"/>
    <w:rsid w:val="009124A1"/>
    <w:rsid w:val="00912544"/>
    <w:rsid w:val="00912683"/>
    <w:rsid w:val="009128CA"/>
    <w:rsid w:val="00912C6D"/>
    <w:rsid w:val="00913405"/>
    <w:rsid w:val="00913969"/>
    <w:rsid w:val="00914057"/>
    <w:rsid w:val="009142D3"/>
    <w:rsid w:val="00914AB0"/>
    <w:rsid w:val="00914C9C"/>
    <w:rsid w:val="009154FF"/>
    <w:rsid w:val="009156A7"/>
    <w:rsid w:val="00915943"/>
    <w:rsid w:val="00916202"/>
    <w:rsid w:val="009166E4"/>
    <w:rsid w:val="0091705E"/>
    <w:rsid w:val="009170EA"/>
    <w:rsid w:val="009178AB"/>
    <w:rsid w:val="00917DE1"/>
    <w:rsid w:val="0092076F"/>
    <w:rsid w:val="009208C5"/>
    <w:rsid w:val="00920CF3"/>
    <w:rsid w:val="00920F05"/>
    <w:rsid w:val="00921967"/>
    <w:rsid w:val="00921A48"/>
    <w:rsid w:val="00921AFB"/>
    <w:rsid w:val="00921BC4"/>
    <w:rsid w:val="009225E7"/>
    <w:rsid w:val="00922728"/>
    <w:rsid w:val="00922999"/>
    <w:rsid w:val="00922E9E"/>
    <w:rsid w:val="0092380C"/>
    <w:rsid w:val="00923922"/>
    <w:rsid w:val="00923C0F"/>
    <w:rsid w:val="00923EFA"/>
    <w:rsid w:val="0092478C"/>
    <w:rsid w:val="009247E4"/>
    <w:rsid w:val="00924959"/>
    <w:rsid w:val="00924FB5"/>
    <w:rsid w:val="009250FB"/>
    <w:rsid w:val="00925325"/>
    <w:rsid w:val="0092787F"/>
    <w:rsid w:val="00927CF6"/>
    <w:rsid w:val="00930439"/>
    <w:rsid w:val="00930B1F"/>
    <w:rsid w:val="00932CBC"/>
    <w:rsid w:val="00933094"/>
    <w:rsid w:val="0093311C"/>
    <w:rsid w:val="00933260"/>
    <w:rsid w:val="009334AF"/>
    <w:rsid w:val="00933F15"/>
    <w:rsid w:val="00933F76"/>
    <w:rsid w:val="009342C5"/>
    <w:rsid w:val="009345D6"/>
    <w:rsid w:val="009345D9"/>
    <w:rsid w:val="0093489C"/>
    <w:rsid w:val="0093522D"/>
    <w:rsid w:val="00935BB9"/>
    <w:rsid w:val="00935CE4"/>
    <w:rsid w:val="00936361"/>
    <w:rsid w:val="009364EE"/>
    <w:rsid w:val="00936702"/>
    <w:rsid w:val="00936BC7"/>
    <w:rsid w:val="00936C7D"/>
    <w:rsid w:val="009370E4"/>
    <w:rsid w:val="0093729A"/>
    <w:rsid w:val="009376F5"/>
    <w:rsid w:val="00937AEB"/>
    <w:rsid w:val="00937E85"/>
    <w:rsid w:val="0094000B"/>
    <w:rsid w:val="009410BC"/>
    <w:rsid w:val="0094133F"/>
    <w:rsid w:val="00941453"/>
    <w:rsid w:val="00941D3A"/>
    <w:rsid w:val="00942684"/>
    <w:rsid w:val="00942B34"/>
    <w:rsid w:val="00942C1B"/>
    <w:rsid w:val="00942C3F"/>
    <w:rsid w:val="00942CB6"/>
    <w:rsid w:val="00942D51"/>
    <w:rsid w:val="0094336C"/>
    <w:rsid w:val="00943D97"/>
    <w:rsid w:val="00943E30"/>
    <w:rsid w:val="009441EA"/>
    <w:rsid w:val="009443CE"/>
    <w:rsid w:val="00944439"/>
    <w:rsid w:val="0094497A"/>
    <w:rsid w:val="00945A7C"/>
    <w:rsid w:val="00945D52"/>
    <w:rsid w:val="00945F69"/>
    <w:rsid w:val="009465E0"/>
    <w:rsid w:val="00946672"/>
    <w:rsid w:val="00946B42"/>
    <w:rsid w:val="00947273"/>
    <w:rsid w:val="0094776A"/>
    <w:rsid w:val="009478CA"/>
    <w:rsid w:val="009502C9"/>
    <w:rsid w:val="00950477"/>
    <w:rsid w:val="00950953"/>
    <w:rsid w:val="009514E9"/>
    <w:rsid w:val="00951A42"/>
    <w:rsid w:val="00951B3A"/>
    <w:rsid w:val="00952266"/>
    <w:rsid w:val="00952431"/>
    <w:rsid w:val="0095250E"/>
    <w:rsid w:val="009531C0"/>
    <w:rsid w:val="00953419"/>
    <w:rsid w:val="009534CF"/>
    <w:rsid w:val="0095359A"/>
    <w:rsid w:val="00953838"/>
    <w:rsid w:val="00953B29"/>
    <w:rsid w:val="009540E2"/>
    <w:rsid w:val="00954533"/>
    <w:rsid w:val="0095461E"/>
    <w:rsid w:val="00954BB6"/>
    <w:rsid w:val="00954CC5"/>
    <w:rsid w:val="00955330"/>
    <w:rsid w:val="00955573"/>
    <w:rsid w:val="00955C01"/>
    <w:rsid w:val="00955C2F"/>
    <w:rsid w:val="00955F93"/>
    <w:rsid w:val="00956184"/>
    <w:rsid w:val="00956565"/>
    <w:rsid w:val="009566DC"/>
    <w:rsid w:val="00956BB2"/>
    <w:rsid w:val="00956E73"/>
    <w:rsid w:val="009570EE"/>
    <w:rsid w:val="00957309"/>
    <w:rsid w:val="009576EE"/>
    <w:rsid w:val="009578CD"/>
    <w:rsid w:val="0095793E"/>
    <w:rsid w:val="00960386"/>
    <w:rsid w:val="00960492"/>
    <w:rsid w:val="00960972"/>
    <w:rsid w:val="00960974"/>
    <w:rsid w:val="00960A13"/>
    <w:rsid w:val="00961EA5"/>
    <w:rsid w:val="009620A2"/>
    <w:rsid w:val="00962148"/>
    <w:rsid w:val="00962482"/>
    <w:rsid w:val="00962C49"/>
    <w:rsid w:val="00963676"/>
    <w:rsid w:val="009643F9"/>
    <w:rsid w:val="00964E97"/>
    <w:rsid w:val="00964F76"/>
    <w:rsid w:val="0096541B"/>
    <w:rsid w:val="009654A2"/>
    <w:rsid w:val="00965693"/>
    <w:rsid w:val="00965C8C"/>
    <w:rsid w:val="009662E3"/>
    <w:rsid w:val="00966560"/>
    <w:rsid w:val="009666BA"/>
    <w:rsid w:val="00966BFB"/>
    <w:rsid w:val="00966C49"/>
    <w:rsid w:val="00966DD9"/>
    <w:rsid w:val="009672F9"/>
    <w:rsid w:val="0096742B"/>
    <w:rsid w:val="00967BEC"/>
    <w:rsid w:val="00970160"/>
    <w:rsid w:val="0097019D"/>
    <w:rsid w:val="00970769"/>
    <w:rsid w:val="00970F6E"/>
    <w:rsid w:val="00971077"/>
    <w:rsid w:val="009711B3"/>
    <w:rsid w:val="0097151E"/>
    <w:rsid w:val="00971656"/>
    <w:rsid w:val="00971D0B"/>
    <w:rsid w:val="009724DA"/>
    <w:rsid w:val="00972D55"/>
    <w:rsid w:val="00972E9D"/>
    <w:rsid w:val="00973423"/>
    <w:rsid w:val="009734B0"/>
    <w:rsid w:val="0097359A"/>
    <w:rsid w:val="00973765"/>
    <w:rsid w:val="0097495F"/>
    <w:rsid w:val="00975254"/>
    <w:rsid w:val="00975C9A"/>
    <w:rsid w:val="00976E86"/>
    <w:rsid w:val="00977D61"/>
    <w:rsid w:val="0098093D"/>
    <w:rsid w:val="00980A43"/>
    <w:rsid w:val="00980DFC"/>
    <w:rsid w:val="00981314"/>
    <w:rsid w:val="00981F71"/>
    <w:rsid w:val="00982433"/>
    <w:rsid w:val="00982B3A"/>
    <w:rsid w:val="00982D20"/>
    <w:rsid w:val="00982EC6"/>
    <w:rsid w:val="00983735"/>
    <w:rsid w:val="0098386B"/>
    <w:rsid w:val="00984310"/>
    <w:rsid w:val="0098458E"/>
    <w:rsid w:val="00984A7F"/>
    <w:rsid w:val="0098550B"/>
    <w:rsid w:val="009855D4"/>
    <w:rsid w:val="009856BC"/>
    <w:rsid w:val="00985920"/>
    <w:rsid w:val="00986012"/>
    <w:rsid w:val="009865B0"/>
    <w:rsid w:val="00986677"/>
    <w:rsid w:val="00986955"/>
    <w:rsid w:val="0098699E"/>
    <w:rsid w:val="00987317"/>
    <w:rsid w:val="0098743E"/>
    <w:rsid w:val="009877C7"/>
    <w:rsid w:val="00987C14"/>
    <w:rsid w:val="00987D4A"/>
    <w:rsid w:val="009901E6"/>
    <w:rsid w:val="0099154F"/>
    <w:rsid w:val="009916C5"/>
    <w:rsid w:val="009917E5"/>
    <w:rsid w:val="0099195A"/>
    <w:rsid w:val="00991AA2"/>
    <w:rsid w:val="00991B65"/>
    <w:rsid w:val="00992843"/>
    <w:rsid w:val="00992D16"/>
    <w:rsid w:val="00992D41"/>
    <w:rsid w:val="0099331E"/>
    <w:rsid w:val="00993800"/>
    <w:rsid w:val="0099421C"/>
    <w:rsid w:val="0099423F"/>
    <w:rsid w:val="009943E0"/>
    <w:rsid w:val="009948D5"/>
    <w:rsid w:val="00994C1E"/>
    <w:rsid w:val="00994C2A"/>
    <w:rsid w:val="00995788"/>
    <w:rsid w:val="00995DE9"/>
    <w:rsid w:val="00995FDF"/>
    <w:rsid w:val="0099623A"/>
    <w:rsid w:val="00996459"/>
    <w:rsid w:val="00996A23"/>
    <w:rsid w:val="00996BA5"/>
    <w:rsid w:val="00996EC0"/>
    <w:rsid w:val="00997055"/>
    <w:rsid w:val="00997CAA"/>
    <w:rsid w:val="009A0031"/>
    <w:rsid w:val="009A00CF"/>
    <w:rsid w:val="009A019A"/>
    <w:rsid w:val="009A0CCD"/>
    <w:rsid w:val="009A0E7A"/>
    <w:rsid w:val="009A1018"/>
    <w:rsid w:val="009A18E2"/>
    <w:rsid w:val="009A2224"/>
    <w:rsid w:val="009A2A1F"/>
    <w:rsid w:val="009A2BB1"/>
    <w:rsid w:val="009A2BBA"/>
    <w:rsid w:val="009A2F3A"/>
    <w:rsid w:val="009A3E8D"/>
    <w:rsid w:val="009A4086"/>
    <w:rsid w:val="009A4372"/>
    <w:rsid w:val="009A4799"/>
    <w:rsid w:val="009A49AC"/>
    <w:rsid w:val="009A4A26"/>
    <w:rsid w:val="009A547B"/>
    <w:rsid w:val="009A5B23"/>
    <w:rsid w:val="009A614C"/>
    <w:rsid w:val="009A618B"/>
    <w:rsid w:val="009A628E"/>
    <w:rsid w:val="009A62D2"/>
    <w:rsid w:val="009A66F5"/>
    <w:rsid w:val="009A7A45"/>
    <w:rsid w:val="009B022D"/>
    <w:rsid w:val="009B0749"/>
    <w:rsid w:val="009B1148"/>
    <w:rsid w:val="009B17F8"/>
    <w:rsid w:val="009B19F6"/>
    <w:rsid w:val="009B234A"/>
    <w:rsid w:val="009B2883"/>
    <w:rsid w:val="009B2A7A"/>
    <w:rsid w:val="009B31CD"/>
    <w:rsid w:val="009B3413"/>
    <w:rsid w:val="009B34BE"/>
    <w:rsid w:val="009B359F"/>
    <w:rsid w:val="009B369B"/>
    <w:rsid w:val="009B40A5"/>
    <w:rsid w:val="009B4139"/>
    <w:rsid w:val="009B442A"/>
    <w:rsid w:val="009B4850"/>
    <w:rsid w:val="009B4BA1"/>
    <w:rsid w:val="009B4D30"/>
    <w:rsid w:val="009B5E12"/>
    <w:rsid w:val="009B5F8C"/>
    <w:rsid w:val="009B64A5"/>
    <w:rsid w:val="009B67A5"/>
    <w:rsid w:val="009B6964"/>
    <w:rsid w:val="009B6FFD"/>
    <w:rsid w:val="009B7090"/>
    <w:rsid w:val="009B70A4"/>
    <w:rsid w:val="009B7337"/>
    <w:rsid w:val="009B7459"/>
    <w:rsid w:val="009B7536"/>
    <w:rsid w:val="009B78D8"/>
    <w:rsid w:val="009B7906"/>
    <w:rsid w:val="009B7CA6"/>
    <w:rsid w:val="009C02F7"/>
    <w:rsid w:val="009C0477"/>
    <w:rsid w:val="009C0680"/>
    <w:rsid w:val="009C0AE4"/>
    <w:rsid w:val="009C0EF6"/>
    <w:rsid w:val="009C1141"/>
    <w:rsid w:val="009C1E6D"/>
    <w:rsid w:val="009C2172"/>
    <w:rsid w:val="009C2182"/>
    <w:rsid w:val="009C3803"/>
    <w:rsid w:val="009C3E37"/>
    <w:rsid w:val="009C441B"/>
    <w:rsid w:val="009C4793"/>
    <w:rsid w:val="009C5031"/>
    <w:rsid w:val="009C513F"/>
    <w:rsid w:val="009C5740"/>
    <w:rsid w:val="009C57B9"/>
    <w:rsid w:val="009C5D06"/>
    <w:rsid w:val="009C6289"/>
    <w:rsid w:val="009C658D"/>
    <w:rsid w:val="009C6CA3"/>
    <w:rsid w:val="009C74EC"/>
    <w:rsid w:val="009C7D5D"/>
    <w:rsid w:val="009D10E0"/>
    <w:rsid w:val="009D12EB"/>
    <w:rsid w:val="009D1882"/>
    <w:rsid w:val="009D1C71"/>
    <w:rsid w:val="009D1EC2"/>
    <w:rsid w:val="009D2100"/>
    <w:rsid w:val="009D23D5"/>
    <w:rsid w:val="009D25DA"/>
    <w:rsid w:val="009D26C7"/>
    <w:rsid w:val="009D2934"/>
    <w:rsid w:val="009D2C13"/>
    <w:rsid w:val="009D2C95"/>
    <w:rsid w:val="009D2F56"/>
    <w:rsid w:val="009D3418"/>
    <w:rsid w:val="009D35A1"/>
    <w:rsid w:val="009D3BA5"/>
    <w:rsid w:val="009D453F"/>
    <w:rsid w:val="009D45EA"/>
    <w:rsid w:val="009D460D"/>
    <w:rsid w:val="009D4BA1"/>
    <w:rsid w:val="009D54E0"/>
    <w:rsid w:val="009D55D8"/>
    <w:rsid w:val="009D5C29"/>
    <w:rsid w:val="009D5EF6"/>
    <w:rsid w:val="009D5FA2"/>
    <w:rsid w:val="009D629B"/>
    <w:rsid w:val="009D668D"/>
    <w:rsid w:val="009D686A"/>
    <w:rsid w:val="009D6F54"/>
    <w:rsid w:val="009D708E"/>
    <w:rsid w:val="009D7ADE"/>
    <w:rsid w:val="009D7D5A"/>
    <w:rsid w:val="009E00E9"/>
    <w:rsid w:val="009E04C3"/>
    <w:rsid w:val="009E05FC"/>
    <w:rsid w:val="009E0678"/>
    <w:rsid w:val="009E1BE6"/>
    <w:rsid w:val="009E244B"/>
    <w:rsid w:val="009E2E3E"/>
    <w:rsid w:val="009E3548"/>
    <w:rsid w:val="009E3D0E"/>
    <w:rsid w:val="009E47EB"/>
    <w:rsid w:val="009E49DE"/>
    <w:rsid w:val="009E4E3D"/>
    <w:rsid w:val="009E4E69"/>
    <w:rsid w:val="009E4F24"/>
    <w:rsid w:val="009E5161"/>
    <w:rsid w:val="009E59DE"/>
    <w:rsid w:val="009E5B54"/>
    <w:rsid w:val="009E5DA3"/>
    <w:rsid w:val="009E5DBD"/>
    <w:rsid w:val="009E5F30"/>
    <w:rsid w:val="009E60C3"/>
    <w:rsid w:val="009E64F3"/>
    <w:rsid w:val="009E66ED"/>
    <w:rsid w:val="009E678F"/>
    <w:rsid w:val="009E6A7E"/>
    <w:rsid w:val="009E7DD8"/>
    <w:rsid w:val="009E7F22"/>
    <w:rsid w:val="009F21AB"/>
    <w:rsid w:val="009F293C"/>
    <w:rsid w:val="009F2E22"/>
    <w:rsid w:val="009F2ED7"/>
    <w:rsid w:val="009F3A37"/>
    <w:rsid w:val="009F3C71"/>
    <w:rsid w:val="009F4619"/>
    <w:rsid w:val="009F46E5"/>
    <w:rsid w:val="009F491A"/>
    <w:rsid w:val="009F5394"/>
    <w:rsid w:val="009F5500"/>
    <w:rsid w:val="009F5DAF"/>
    <w:rsid w:val="009F61D6"/>
    <w:rsid w:val="009F6423"/>
    <w:rsid w:val="009F6EA2"/>
    <w:rsid w:val="009F7700"/>
    <w:rsid w:val="009F7DA8"/>
    <w:rsid w:val="00A00297"/>
    <w:rsid w:val="00A0043A"/>
    <w:rsid w:val="00A00BDB"/>
    <w:rsid w:val="00A00D5E"/>
    <w:rsid w:val="00A011FC"/>
    <w:rsid w:val="00A01440"/>
    <w:rsid w:val="00A01688"/>
    <w:rsid w:val="00A01870"/>
    <w:rsid w:val="00A02090"/>
    <w:rsid w:val="00A020F3"/>
    <w:rsid w:val="00A026EE"/>
    <w:rsid w:val="00A02FD2"/>
    <w:rsid w:val="00A02FEA"/>
    <w:rsid w:val="00A03731"/>
    <w:rsid w:val="00A03DAF"/>
    <w:rsid w:val="00A055AE"/>
    <w:rsid w:val="00A060A7"/>
    <w:rsid w:val="00A061CE"/>
    <w:rsid w:val="00A0629A"/>
    <w:rsid w:val="00A065D9"/>
    <w:rsid w:val="00A067E1"/>
    <w:rsid w:val="00A068C6"/>
    <w:rsid w:val="00A07295"/>
    <w:rsid w:val="00A07321"/>
    <w:rsid w:val="00A076B5"/>
    <w:rsid w:val="00A07C6F"/>
    <w:rsid w:val="00A119A7"/>
    <w:rsid w:val="00A11D9E"/>
    <w:rsid w:val="00A1203C"/>
    <w:rsid w:val="00A12108"/>
    <w:rsid w:val="00A1220A"/>
    <w:rsid w:val="00A12E69"/>
    <w:rsid w:val="00A13085"/>
    <w:rsid w:val="00A13778"/>
    <w:rsid w:val="00A139D2"/>
    <w:rsid w:val="00A13C9A"/>
    <w:rsid w:val="00A1483A"/>
    <w:rsid w:val="00A14B9C"/>
    <w:rsid w:val="00A154A5"/>
    <w:rsid w:val="00A1573E"/>
    <w:rsid w:val="00A17F69"/>
    <w:rsid w:val="00A2037B"/>
    <w:rsid w:val="00A20627"/>
    <w:rsid w:val="00A2099D"/>
    <w:rsid w:val="00A210FA"/>
    <w:rsid w:val="00A21AB9"/>
    <w:rsid w:val="00A21F2E"/>
    <w:rsid w:val="00A221C4"/>
    <w:rsid w:val="00A221E3"/>
    <w:rsid w:val="00A2220E"/>
    <w:rsid w:val="00A227C5"/>
    <w:rsid w:val="00A227DD"/>
    <w:rsid w:val="00A228E4"/>
    <w:rsid w:val="00A22BD9"/>
    <w:rsid w:val="00A2310B"/>
    <w:rsid w:val="00A23174"/>
    <w:rsid w:val="00A23769"/>
    <w:rsid w:val="00A23870"/>
    <w:rsid w:val="00A23A58"/>
    <w:rsid w:val="00A23B10"/>
    <w:rsid w:val="00A23B98"/>
    <w:rsid w:val="00A24E00"/>
    <w:rsid w:val="00A256BC"/>
    <w:rsid w:val="00A2585F"/>
    <w:rsid w:val="00A25B88"/>
    <w:rsid w:val="00A25C81"/>
    <w:rsid w:val="00A25D57"/>
    <w:rsid w:val="00A26010"/>
    <w:rsid w:val="00A266C9"/>
    <w:rsid w:val="00A26AC6"/>
    <w:rsid w:val="00A26CC0"/>
    <w:rsid w:val="00A26CFF"/>
    <w:rsid w:val="00A274DB"/>
    <w:rsid w:val="00A27874"/>
    <w:rsid w:val="00A30068"/>
    <w:rsid w:val="00A3020D"/>
    <w:rsid w:val="00A30783"/>
    <w:rsid w:val="00A308E5"/>
    <w:rsid w:val="00A30DC7"/>
    <w:rsid w:val="00A32AF4"/>
    <w:rsid w:val="00A32B01"/>
    <w:rsid w:val="00A32F79"/>
    <w:rsid w:val="00A33058"/>
    <w:rsid w:val="00A33071"/>
    <w:rsid w:val="00A33A08"/>
    <w:rsid w:val="00A34219"/>
    <w:rsid w:val="00A3437E"/>
    <w:rsid w:val="00A347BB"/>
    <w:rsid w:val="00A347F1"/>
    <w:rsid w:val="00A349A9"/>
    <w:rsid w:val="00A34A20"/>
    <w:rsid w:val="00A34D36"/>
    <w:rsid w:val="00A34F2A"/>
    <w:rsid w:val="00A3522D"/>
    <w:rsid w:val="00A35E43"/>
    <w:rsid w:val="00A3604E"/>
    <w:rsid w:val="00A36061"/>
    <w:rsid w:val="00A362D3"/>
    <w:rsid w:val="00A3649B"/>
    <w:rsid w:val="00A36C8C"/>
    <w:rsid w:val="00A371E7"/>
    <w:rsid w:val="00A3777E"/>
    <w:rsid w:val="00A402B4"/>
    <w:rsid w:val="00A40EFE"/>
    <w:rsid w:val="00A4149B"/>
    <w:rsid w:val="00A42A8E"/>
    <w:rsid w:val="00A42C77"/>
    <w:rsid w:val="00A42CE0"/>
    <w:rsid w:val="00A43042"/>
    <w:rsid w:val="00A44046"/>
    <w:rsid w:val="00A44695"/>
    <w:rsid w:val="00A45A5A"/>
    <w:rsid w:val="00A45C1C"/>
    <w:rsid w:val="00A45E2D"/>
    <w:rsid w:val="00A46B08"/>
    <w:rsid w:val="00A46F7A"/>
    <w:rsid w:val="00A46FDC"/>
    <w:rsid w:val="00A476D1"/>
    <w:rsid w:val="00A5025E"/>
    <w:rsid w:val="00A5077F"/>
    <w:rsid w:val="00A507FD"/>
    <w:rsid w:val="00A51089"/>
    <w:rsid w:val="00A51E08"/>
    <w:rsid w:val="00A51E48"/>
    <w:rsid w:val="00A527B4"/>
    <w:rsid w:val="00A5289C"/>
    <w:rsid w:val="00A52978"/>
    <w:rsid w:val="00A52D6F"/>
    <w:rsid w:val="00A52E0C"/>
    <w:rsid w:val="00A533B4"/>
    <w:rsid w:val="00A53969"/>
    <w:rsid w:val="00A53C0B"/>
    <w:rsid w:val="00A53C41"/>
    <w:rsid w:val="00A53D12"/>
    <w:rsid w:val="00A54E43"/>
    <w:rsid w:val="00A55DEC"/>
    <w:rsid w:val="00A55F24"/>
    <w:rsid w:val="00A56190"/>
    <w:rsid w:val="00A56581"/>
    <w:rsid w:val="00A567B1"/>
    <w:rsid w:val="00A56E2A"/>
    <w:rsid w:val="00A57DB4"/>
    <w:rsid w:val="00A603D0"/>
    <w:rsid w:val="00A60473"/>
    <w:rsid w:val="00A610D6"/>
    <w:rsid w:val="00A611EA"/>
    <w:rsid w:val="00A61E46"/>
    <w:rsid w:val="00A626FB"/>
    <w:rsid w:val="00A62E50"/>
    <w:rsid w:val="00A6324A"/>
    <w:rsid w:val="00A6411D"/>
    <w:rsid w:val="00A64DFF"/>
    <w:rsid w:val="00A64EFF"/>
    <w:rsid w:val="00A66113"/>
    <w:rsid w:val="00A66164"/>
    <w:rsid w:val="00A66B9D"/>
    <w:rsid w:val="00A66C1E"/>
    <w:rsid w:val="00A66F5B"/>
    <w:rsid w:val="00A67283"/>
    <w:rsid w:val="00A704F6"/>
    <w:rsid w:val="00A706D7"/>
    <w:rsid w:val="00A708E3"/>
    <w:rsid w:val="00A70ECB"/>
    <w:rsid w:val="00A70FA2"/>
    <w:rsid w:val="00A71510"/>
    <w:rsid w:val="00A71F6E"/>
    <w:rsid w:val="00A72763"/>
    <w:rsid w:val="00A72A0A"/>
    <w:rsid w:val="00A72F44"/>
    <w:rsid w:val="00A73298"/>
    <w:rsid w:val="00A73773"/>
    <w:rsid w:val="00A749CA"/>
    <w:rsid w:val="00A74C9D"/>
    <w:rsid w:val="00A755DC"/>
    <w:rsid w:val="00A761BF"/>
    <w:rsid w:val="00A76B4B"/>
    <w:rsid w:val="00A77AF7"/>
    <w:rsid w:val="00A800A2"/>
    <w:rsid w:val="00A80464"/>
    <w:rsid w:val="00A80876"/>
    <w:rsid w:val="00A81176"/>
    <w:rsid w:val="00A819FB"/>
    <w:rsid w:val="00A81B7C"/>
    <w:rsid w:val="00A8216F"/>
    <w:rsid w:val="00A831A2"/>
    <w:rsid w:val="00A8399F"/>
    <w:rsid w:val="00A83D97"/>
    <w:rsid w:val="00A83DEE"/>
    <w:rsid w:val="00A84261"/>
    <w:rsid w:val="00A84C53"/>
    <w:rsid w:val="00A85189"/>
    <w:rsid w:val="00A85480"/>
    <w:rsid w:val="00A85630"/>
    <w:rsid w:val="00A85787"/>
    <w:rsid w:val="00A85F8B"/>
    <w:rsid w:val="00A8613D"/>
    <w:rsid w:val="00A90402"/>
    <w:rsid w:val="00A90736"/>
    <w:rsid w:val="00A90997"/>
    <w:rsid w:val="00A90DE3"/>
    <w:rsid w:val="00A90F22"/>
    <w:rsid w:val="00A913E4"/>
    <w:rsid w:val="00A91515"/>
    <w:rsid w:val="00A916BE"/>
    <w:rsid w:val="00A919DD"/>
    <w:rsid w:val="00A9221A"/>
    <w:rsid w:val="00A92598"/>
    <w:rsid w:val="00A92929"/>
    <w:rsid w:val="00A92A21"/>
    <w:rsid w:val="00A92F64"/>
    <w:rsid w:val="00A932A4"/>
    <w:rsid w:val="00A932E1"/>
    <w:rsid w:val="00A9337B"/>
    <w:rsid w:val="00A9390C"/>
    <w:rsid w:val="00A93F20"/>
    <w:rsid w:val="00A94124"/>
    <w:rsid w:val="00A9497C"/>
    <w:rsid w:val="00A94AE8"/>
    <w:rsid w:val="00A953ED"/>
    <w:rsid w:val="00A956B5"/>
    <w:rsid w:val="00A95ACB"/>
    <w:rsid w:val="00A95D7E"/>
    <w:rsid w:val="00A96340"/>
    <w:rsid w:val="00A96536"/>
    <w:rsid w:val="00A96E40"/>
    <w:rsid w:val="00A9754A"/>
    <w:rsid w:val="00A97571"/>
    <w:rsid w:val="00A97942"/>
    <w:rsid w:val="00A97E0B"/>
    <w:rsid w:val="00AA00EE"/>
    <w:rsid w:val="00AA079B"/>
    <w:rsid w:val="00AA086A"/>
    <w:rsid w:val="00AA09F6"/>
    <w:rsid w:val="00AA0C2F"/>
    <w:rsid w:val="00AA0E73"/>
    <w:rsid w:val="00AA0EB5"/>
    <w:rsid w:val="00AA1B3E"/>
    <w:rsid w:val="00AA1C86"/>
    <w:rsid w:val="00AA2461"/>
    <w:rsid w:val="00AA2D79"/>
    <w:rsid w:val="00AA306E"/>
    <w:rsid w:val="00AA355D"/>
    <w:rsid w:val="00AA3617"/>
    <w:rsid w:val="00AA36EA"/>
    <w:rsid w:val="00AA3D92"/>
    <w:rsid w:val="00AA5483"/>
    <w:rsid w:val="00AA5AB2"/>
    <w:rsid w:val="00AA6503"/>
    <w:rsid w:val="00AA6915"/>
    <w:rsid w:val="00AA6B22"/>
    <w:rsid w:val="00AA6BAD"/>
    <w:rsid w:val="00AA70A3"/>
    <w:rsid w:val="00AA70C3"/>
    <w:rsid w:val="00AA72E0"/>
    <w:rsid w:val="00AA7870"/>
    <w:rsid w:val="00AA7E09"/>
    <w:rsid w:val="00AB04A1"/>
    <w:rsid w:val="00AB0CED"/>
    <w:rsid w:val="00AB1B81"/>
    <w:rsid w:val="00AB2745"/>
    <w:rsid w:val="00AB2771"/>
    <w:rsid w:val="00AB338A"/>
    <w:rsid w:val="00AB3658"/>
    <w:rsid w:val="00AB49D2"/>
    <w:rsid w:val="00AB4D88"/>
    <w:rsid w:val="00AB527D"/>
    <w:rsid w:val="00AB5727"/>
    <w:rsid w:val="00AB5E00"/>
    <w:rsid w:val="00AB624D"/>
    <w:rsid w:val="00AB6939"/>
    <w:rsid w:val="00AB7101"/>
    <w:rsid w:val="00AB7106"/>
    <w:rsid w:val="00AB7755"/>
    <w:rsid w:val="00AB7D0D"/>
    <w:rsid w:val="00AC0112"/>
    <w:rsid w:val="00AC0418"/>
    <w:rsid w:val="00AC0492"/>
    <w:rsid w:val="00AC0D90"/>
    <w:rsid w:val="00AC0EA5"/>
    <w:rsid w:val="00AC113E"/>
    <w:rsid w:val="00AC121B"/>
    <w:rsid w:val="00AC1A0F"/>
    <w:rsid w:val="00AC2565"/>
    <w:rsid w:val="00AC2686"/>
    <w:rsid w:val="00AC29D1"/>
    <w:rsid w:val="00AC327F"/>
    <w:rsid w:val="00AC3DBA"/>
    <w:rsid w:val="00AC3DFA"/>
    <w:rsid w:val="00AC3F2F"/>
    <w:rsid w:val="00AC40DD"/>
    <w:rsid w:val="00AC48C1"/>
    <w:rsid w:val="00AC4D62"/>
    <w:rsid w:val="00AC4D6F"/>
    <w:rsid w:val="00AC5355"/>
    <w:rsid w:val="00AC54ED"/>
    <w:rsid w:val="00AC6B02"/>
    <w:rsid w:val="00AC6E38"/>
    <w:rsid w:val="00AD059F"/>
    <w:rsid w:val="00AD0687"/>
    <w:rsid w:val="00AD089B"/>
    <w:rsid w:val="00AD19AC"/>
    <w:rsid w:val="00AD1BE1"/>
    <w:rsid w:val="00AD1DB7"/>
    <w:rsid w:val="00AD1FE4"/>
    <w:rsid w:val="00AD2F35"/>
    <w:rsid w:val="00AD305D"/>
    <w:rsid w:val="00AD318F"/>
    <w:rsid w:val="00AD341A"/>
    <w:rsid w:val="00AD3622"/>
    <w:rsid w:val="00AD3643"/>
    <w:rsid w:val="00AD37F0"/>
    <w:rsid w:val="00AD3A1F"/>
    <w:rsid w:val="00AD3AE0"/>
    <w:rsid w:val="00AD3D70"/>
    <w:rsid w:val="00AD4762"/>
    <w:rsid w:val="00AD4BBA"/>
    <w:rsid w:val="00AD4E36"/>
    <w:rsid w:val="00AD526D"/>
    <w:rsid w:val="00AD59A5"/>
    <w:rsid w:val="00AD64B0"/>
    <w:rsid w:val="00AD66E4"/>
    <w:rsid w:val="00AD680A"/>
    <w:rsid w:val="00AD6A51"/>
    <w:rsid w:val="00AD6EC5"/>
    <w:rsid w:val="00AD7257"/>
    <w:rsid w:val="00AD73DB"/>
    <w:rsid w:val="00AD7ADF"/>
    <w:rsid w:val="00AD7E8E"/>
    <w:rsid w:val="00AD7F75"/>
    <w:rsid w:val="00AE0451"/>
    <w:rsid w:val="00AE0944"/>
    <w:rsid w:val="00AE172A"/>
    <w:rsid w:val="00AE1A18"/>
    <w:rsid w:val="00AE2096"/>
    <w:rsid w:val="00AE22C2"/>
    <w:rsid w:val="00AE24D0"/>
    <w:rsid w:val="00AE24F2"/>
    <w:rsid w:val="00AE26F5"/>
    <w:rsid w:val="00AE28F3"/>
    <w:rsid w:val="00AE29A3"/>
    <w:rsid w:val="00AE2AB8"/>
    <w:rsid w:val="00AE4440"/>
    <w:rsid w:val="00AE4642"/>
    <w:rsid w:val="00AE47F1"/>
    <w:rsid w:val="00AE5BFB"/>
    <w:rsid w:val="00AE71AF"/>
    <w:rsid w:val="00AE7255"/>
    <w:rsid w:val="00AE7FA7"/>
    <w:rsid w:val="00AF03D1"/>
    <w:rsid w:val="00AF0F6E"/>
    <w:rsid w:val="00AF1808"/>
    <w:rsid w:val="00AF18DB"/>
    <w:rsid w:val="00AF1D31"/>
    <w:rsid w:val="00AF2D0C"/>
    <w:rsid w:val="00AF340C"/>
    <w:rsid w:val="00AF3980"/>
    <w:rsid w:val="00AF3B30"/>
    <w:rsid w:val="00AF3B80"/>
    <w:rsid w:val="00AF3DE2"/>
    <w:rsid w:val="00AF4BCC"/>
    <w:rsid w:val="00AF4C0E"/>
    <w:rsid w:val="00AF4C95"/>
    <w:rsid w:val="00AF68E7"/>
    <w:rsid w:val="00AF6935"/>
    <w:rsid w:val="00AF7317"/>
    <w:rsid w:val="00AF737D"/>
    <w:rsid w:val="00AF7758"/>
    <w:rsid w:val="00AF7F42"/>
    <w:rsid w:val="00B004D0"/>
    <w:rsid w:val="00B00A5F"/>
    <w:rsid w:val="00B00AE3"/>
    <w:rsid w:val="00B00BFB"/>
    <w:rsid w:val="00B01B13"/>
    <w:rsid w:val="00B01C07"/>
    <w:rsid w:val="00B02E44"/>
    <w:rsid w:val="00B03302"/>
    <w:rsid w:val="00B03C79"/>
    <w:rsid w:val="00B04FCF"/>
    <w:rsid w:val="00B05A90"/>
    <w:rsid w:val="00B05C23"/>
    <w:rsid w:val="00B07713"/>
    <w:rsid w:val="00B104E8"/>
    <w:rsid w:val="00B10DD3"/>
    <w:rsid w:val="00B10F29"/>
    <w:rsid w:val="00B1162C"/>
    <w:rsid w:val="00B117F1"/>
    <w:rsid w:val="00B11A28"/>
    <w:rsid w:val="00B11E91"/>
    <w:rsid w:val="00B12545"/>
    <w:rsid w:val="00B1265C"/>
    <w:rsid w:val="00B12848"/>
    <w:rsid w:val="00B13532"/>
    <w:rsid w:val="00B13A6F"/>
    <w:rsid w:val="00B13A70"/>
    <w:rsid w:val="00B13FB9"/>
    <w:rsid w:val="00B14E5E"/>
    <w:rsid w:val="00B15593"/>
    <w:rsid w:val="00B156B4"/>
    <w:rsid w:val="00B15780"/>
    <w:rsid w:val="00B15E8C"/>
    <w:rsid w:val="00B175CE"/>
    <w:rsid w:val="00B17CDB"/>
    <w:rsid w:val="00B20F0C"/>
    <w:rsid w:val="00B20F40"/>
    <w:rsid w:val="00B2114F"/>
    <w:rsid w:val="00B21A3A"/>
    <w:rsid w:val="00B21C38"/>
    <w:rsid w:val="00B22022"/>
    <w:rsid w:val="00B22FD0"/>
    <w:rsid w:val="00B239E3"/>
    <w:rsid w:val="00B242BE"/>
    <w:rsid w:val="00B24364"/>
    <w:rsid w:val="00B244D7"/>
    <w:rsid w:val="00B2468C"/>
    <w:rsid w:val="00B24923"/>
    <w:rsid w:val="00B24F7A"/>
    <w:rsid w:val="00B25267"/>
    <w:rsid w:val="00B25338"/>
    <w:rsid w:val="00B25581"/>
    <w:rsid w:val="00B25619"/>
    <w:rsid w:val="00B25910"/>
    <w:rsid w:val="00B26070"/>
    <w:rsid w:val="00B26220"/>
    <w:rsid w:val="00B26462"/>
    <w:rsid w:val="00B265FE"/>
    <w:rsid w:val="00B2663C"/>
    <w:rsid w:val="00B26973"/>
    <w:rsid w:val="00B26C74"/>
    <w:rsid w:val="00B26E77"/>
    <w:rsid w:val="00B2765F"/>
    <w:rsid w:val="00B301B8"/>
    <w:rsid w:val="00B30D3B"/>
    <w:rsid w:val="00B30EE2"/>
    <w:rsid w:val="00B31046"/>
    <w:rsid w:val="00B31460"/>
    <w:rsid w:val="00B314D3"/>
    <w:rsid w:val="00B329DB"/>
    <w:rsid w:val="00B32C21"/>
    <w:rsid w:val="00B32C94"/>
    <w:rsid w:val="00B3325B"/>
    <w:rsid w:val="00B3337C"/>
    <w:rsid w:val="00B33C23"/>
    <w:rsid w:val="00B33C24"/>
    <w:rsid w:val="00B33EBE"/>
    <w:rsid w:val="00B343B4"/>
    <w:rsid w:val="00B345BA"/>
    <w:rsid w:val="00B34ABF"/>
    <w:rsid w:val="00B34F10"/>
    <w:rsid w:val="00B35AD4"/>
    <w:rsid w:val="00B35E91"/>
    <w:rsid w:val="00B40103"/>
    <w:rsid w:val="00B4094A"/>
    <w:rsid w:val="00B40B0F"/>
    <w:rsid w:val="00B40C71"/>
    <w:rsid w:val="00B41035"/>
    <w:rsid w:val="00B41FD8"/>
    <w:rsid w:val="00B42060"/>
    <w:rsid w:val="00B422F6"/>
    <w:rsid w:val="00B424EF"/>
    <w:rsid w:val="00B42C2E"/>
    <w:rsid w:val="00B432D4"/>
    <w:rsid w:val="00B43A27"/>
    <w:rsid w:val="00B43AA6"/>
    <w:rsid w:val="00B43C56"/>
    <w:rsid w:val="00B443B2"/>
    <w:rsid w:val="00B445C8"/>
    <w:rsid w:val="00B45594"/>
    <w:rsid w:val="00B4567C"/>
    <w:rsid w:val="00B45AFD"/>
    <w:rsid w:val="00B45D12"/>
    <w:rsid w:val="00B45DBA"/>
    <w:rsid w:val="00B463DC"/>
    <w:rsid w:val="00B465A9"/>
    <w:rsid w:val="00B4712C"/>
    <w:rsid w:val="00B471BC"/>
    <w:rsid w:val="00B4778A"/>
    <w:rsid w:val="00B47B92"/>
    <w:rsid w:val="00B50075"/>
    <w:rsid w:val="00B50185"/>
    <w:rsid w:val="00B50560"/>
    <w:rsid w:val="00B51767"/>
    <w:rsid w:val="00B51949"/>
    <w:rsid w:val="00B51F23"/>
    <w:rsid w:val="00B52A92"/>
    <w:rsid w:val="00B5315C"/>
    <w:rsid w:val="00B53578"/>
    <w:rsid w:val="00B53AE8"/>
    <w:rsid w:val="00B53CD6"/>
    <w:rsid w:val="00B54028"/>
    <w:rsid w:val="00B54296"/>
    <w:rsid w:val="00B542FB"/>
    <w:rsid w:val="00B5526C"/>
    <w:rsid w:val="00B559D7"/>
    <w:rsid w:val="00B55D52"/>
    <w:rsid w:val="00B56032"/>
    <w:rsid w:val="00B5671D"/>
    <w:rsid w:val="00B567F2"/>
    <w:rsid w:val="00B56A38"/>
    <w:rsid w:val="00B56B92"/>
    <w:rsid w:val="00B57042"/>
    <w:rsid w:val="00B571C6"/>
    <w:rsid w:val="00B576D7"/>
    <w:rsid w:val="00B602D6"/>
    <w:rsid w:val="00B604E3"/>
    <w:rsid w:val="00B607BE"/>
    <w:rsid w:val="00B608B6"/>
    <w:rsid w:val="00B60A1C"/>
    <w:rsid w:val="00B60D25"/>
    <w:rsid w:val="00B612B3"/>
    <w:rsid w:val="00B61760"/>
    <w:rsid w:val="00B61952"/>
    <w:rsid w:val="00B61C8C"/>
    <w:rsid w:val="00B61F8C"/>
    <w:rsid w:val="00B62276"/>
    <w:rsid w:val="00B63366"/>
    <w:rsid w:val="00B6338B"/>
    <w:rsid w:val="00B6384F"/>
    <w:rsid w:val="00B63F0E"/>
    <w:rsid w:val="00B648E2"/>
    <w:rsid w:val="00B649C2"/>
    <w:rsid w:val="00B654DB"/>
    <w:rsid w:val="00B656F5"/>
    <w:rsid w:val="00B65C18"/>
    <w:rsid w:val="00B65CC0"/>
    <w:rsid w:val="00B65DEF"/>
    <w:rsid w:val="00B65F61"/>
    <w:rsid w:val="00B66621"/>
    <w:rsid w:val="00B66ACF"/>
    <w:rsid w:val="00B66DE2"/>
    <w:rsid w:val="00B67AE6"/>
    <w:rsid w:val="00B67DE4"/>
    <w:rsid w:val="00B70A0B"/>
    <w:rsid w:val="00B70CCB"/>
    <w:rsid w:val="00B70F29"/>
    <w:rsid w:val="00B70F40"/>
    <w:rsid w:val="00B7115C"/>
    <w:rsid w:val="00B712F4"/>
    <w:rsid w:val="00B73138"/>
    <w:rsid w:val="00B73819"/>
    <w:rsid w:val="00B7391C"/>
    <w:rsid w:val="00B7393F"/>
    <w:rsid w:val="00B739D0"/>
    <w:rsid w:val="00B74272"/>
    <w:rsid w:val="00B74852"/>
    <w:rsid w:val="00B75905"/>
    <w:rsid w:val="00B76403"/>
    <w:rsid w:val="00B766AB"/>
    <w:rsid w:val="00B767D3"/>
    <w:rsid w:val="00B76A98"/>
    <w:rsid w:val="00B77126"/>
    <w:rsid w:val="00B77129"/>
    <w:rsid w:val="00B772A1"/>
    <w:rsid w:val="00B77354"/>
    <w:rsid w:val="00B7788D"/>
    <w:rsid w:val="00B77EDE"/>
    <w:rsid w:val="00B807CB"/>
    <w:rsid w:val="00B80892"/>
    <w:rsid w:val="00B80B5F"/>
    <w:rsid w:val="00B80EB3"/>
    <w:rsid w:val="00B817A8"/>
    <w:rsid w:val="00B8193F"/>
    <w:rsid w:val="00B81C65"/>
    <w:rsid w:val="00B81E5F"/>
    <w:rsid w:val="00B82629"/>
    <w:rsid w:val="00B82735"/>
    <w:rsid w:val="00B8282F"/>
    <w:rsid w:val="00B82B6A"/>
    <w:rsid w:val="00B830B3"/>
    <w:rsid w:val="00B830E8"/>
    <w:rsid w:val="00B83652"/>
    <w:rsid w:val="00B83CE5"/>
    <w:rsid w:val="00B83E57"/>
    <w:rsid w:val="00B83F80"/>
    <w:rsid w:val="00B8479E"/>
    <w:rsid w:val="00B84996"/>
    <w:rsid w:val="00B84ADE"/>
    <w:rsid w:val="00B851A5"/>
    <w:rsid w:val="00B8524F"/>
    <w:rsid w:val="00B856BB"/>
    <w:rsid w:val="00B86323"/>
    <w:rsid w:val="00B868AE"/>
    <w:rsid w:val="00B8696A"/>
    <w:rsid w:val="00B905B2"/>
    <w:rsid w:val="00B9069B"/>
    <w:rsid w:val="00B90849"/>
    <w:rsid w:val="00B908A8"/>
    <w:rsid w:val="00B90C87"/>
    <w:rsid w:val="00B91440"/>
    <w:rsid w:val="00B91BF1"/>
    <w:rsid w:val="00B92306"/>
    <w:rsid w:val="00B9233B"/>
    <w:rsid w:val="00B9235D"/>
    <w:rsid w:val="00B9271C"/>
    <w:rsid w:val="00B92861"/>
    <w:rsid w:val="00B92AB8"/>
    <w:rsid w:val="00B92F48"/>
    <w:rsid w:val="00B93483"/>
    <w:rsid w:val="00B934C7"/>
    <w:rsid w:val="00B93974"/>
    <w:rsid w:val="00B943B6"/>
    <w:rsid w:val="00B94B72"/>
    <w:rsid w:val="00B951B8"/>
    <w:rsid w:val="00B9584C"/>
    <w:rsid w:val="00B95C53"/>
    <w:rsid w:val="00B960F4"/>
    <w:rsid w:val="00B9668F"/>
    <w:rsid w:val="00B9676F"/>
    <w:rsid w:val="00B96B89"/>
    <w:rsid w:val="00B973D5"/>
    <w:rsid w:val="00BA077C"/>
    <w:rsid w:val="00BA0F1A"/>
    <w:rsid w:val="00BA15B2"/>
    <w:rsid w:val="00BA1761"/>
    <w:rsid w:val="00BA2E36"/>
    <w:rsid w:val="00BA37A9"/>
    <w:rsid w:val="00BA4434"/>
    <w:rsid w:val="00BA468C"/>
    <w:rsid w:val="00BA4FFD"/>
    <w:rsid w:val="00BA57C2"/>
    <w:rsid w:val="00BA5806"/>
    <w:rsid w:val="00BA6464"/>
    <w:rsid w:val="00BA6606"/>
    <w:rsid w:val="00BA6EAD"/>
    <w:rsid w:val="00BA71FF"/>
    <w:rsid w:val="00BA7622"/>
    <w:rsid w:val="00BA77E8"/>
    <w:rsid w:val="00BA7A69"/>
    <w:rsid w:val="00BB001F"/>
    <w:rsid w:val="00BB0742"/>
    <w:rsid w:val="00BB087F"/>
    <w:rsid w:val="00BB0BC4"/>
    <w:rsid w:val="00BB0F1B"/>
    <w:rsid w:val="00BB1190"/>
    <w:rsid w:val="00BB15E2"/>
    <w:rsid w:val="00BB1946"/>
    <w:rsid w:val="00BB27EC"/>
    <w:rsid w:val="00BB2805"/>
    <w:rsid w:val="00BB2DE0"/>
    <w:rsid w:val="00BB3344"/>
    <w:rsid w:val="00BB3C5F"/>
    <w:rsid w:val="00BB41AD"/>
    <w:rsid w:val="00BB45C5"/>
    <w:rsid w:val="00BB55F8"/>
    <w:rsid w:val="00BB568E"/>
    <w:rsid w:val="00BB5733"/>
    <w:rsid w:val="00BB59EC"/>
    <w:rsid w:val="00BB5BB1"/>
    <w:rsid w:val="00BB5F41"/>
    <w:rsid w:val="00BB6BCC"/>
    <w:rsid w:val="00BB6BF9"/>
    <w:rsid w:val="00BB6EA2"/>
    <w:rsid w:val="00BB7121"/>
    <w:rsid w:val="00BB73B8"/>
    <w:rsid w:val="00BB753F"/>
    <w:rsid w:val="00BB7720"/>
    <w:rsid w:val="00BC0239"/>
    <w:rsid w:val="00BC03FD"/>
    <w:rsid w:val="00BC08AA"/>
    <w:rsid w:val="00BC0BF2"/>
    <w:rsid w:val="00BC0C97"/>
    <w:rsid w:val="00BC0DA6"/>
    <w:rsid w:val="00BC0FBC"/>
    <w:rsid w:val="00BC18E0"/>
    <w:rsid w:val="00BC32E2"/>
    <w:rsid w:val="00BC34EE"/>
    <w:rsid w:val="00BC36A7"/>
    <w:rsid w:val="00BC4586"/>
    <w:rsid w:val="00BC4ADC"/>
    <w:rsid w:val="00BC5A93"/>
    <w:rsid w:val="00BC68C3"/>
    <w:rsid w:val="00BC6CF1"/>
    <w:rsid w:val="00BC703A"/>
    <w:rsid w:val="00BC7579"/>
    <w:rsid w:val="00BD04EE"/>
    <w:rsid w:val="00BD097E"/>
    <w:rsid w:val="00BD0B4B"/>
    <w:rsid w:val="00BD0FFE"/>
    <w:rsid w:val="00BD181A"/>
    <w:rsid w:val="00BD1A0B"/>
    <w:rsid w:val="00BD1A1D"/>
    <w:rsid w:val="00BD1F06"/>
    <w:rsid w:val="00BD22F8"/>
    <w:rsid w:val="00BD235D"/>
    <w:rsid w:val="00BD27DA"/>
    <w:rsid w:val="00BD2815"/>
    <w:rsid w:val="00BD28DF"/>
    <w:rsid w:val="00BD329A"/>
    <w:rsid w:val="00BD371E"/>
    <w:rsid w:val="00BD3A94"/>
    <w:rsid w:val="00BD42A4"/>
    <w:rsid w:val="00BD470E"/>
    <w:rsid w:val="00BD4855"/>
    <w:rsid w:val="00BD5994"/>
    <w:rsid w:val="00BD5A09"/>
    <w:rsid w:val="00BD5DB7"/>
    <w:rsid w:val="00BD622A"/>
    <w:rsid w:val="00BD67B8"/>
    <w:rsid w:val="00BD6876"/>
    <w:rsid w:val="00BD6D95"/>
    <w:rsid w:val="00BD6DC6"/>
    <w:rsid w:val="00BD7B7D"/>
    <w:rsid w:val="00BE053A"/>
    <w:rsid w:val="00BE06B9"/>
    <w:rsid w:val="00BE070B"/>
    <w:rsid w:val="00BE1081"/>
    <w:rsid w:val="00BE157A"/>
    <w:rsid w:val="00BE1ADB"/>
    <w:rsid w:val="00BE1D8F"/>
    <w:rsid w:val="00BE1EA9"/>
    <w:rsid w:val="00BE2864"/>
    <w:rsid w:val="00BE29DD"/>
    <w:rsid w:val="00BE2C53"/>
    <w:rsid w:val="00BE3957"/>
    <w:rsid w:val="00BE44BA"/>
    <w:rsid w:val="00BE46E1"/>
    <w:rsid w:val="00BE573E"/>
    <w:rsid w:val="00BE5C97"/>
    <w:rsid w:val="00BE5D31"/>
    <w:rsid w:val="00BE5FEA"/>
    <w:rsid w:val="00BE647E"/>
    <w:rsid w:val="00BE677A"/>
    <w:rsid w:val="00BE696F"/>
    <w:rsid w:val="00BE6B13"/>
    <w:rsid w:val="00BE73C5"/>
    <w:rsid w:val="00BE752A"/>
    <w:rsid w:val="00BE7B1A"/>
    <w:rsid w:val="00BF0AD7"/>
    <w:rsid w:val="00BF0DF7"/>
    <w:rsid w:val="00BF1133"/>
    <w:rsid w:val="00BF11E2"/>
    <w:rsid w:val="00BF174D"/>
    <w:rsid w:val="00BF1D3B"/>
    <w:rsid w:val="00BF34F9"/>
    <w:rsid w:val="00BF3B6D"/>
    <w:rsid w:val="00BF4052"/>
    <w:rsid w:val="00BF4054"/>
    <w:rsid w:val="00BF40B2"/>
    <w:rsid w:val="00BF4110"/>
    <w:rsid w:val="00BF4190"/>
    <w:rsid w:val="00BF4776"/>
    <w:rsid w:val="00BF4777"/>
    <w:rsid w:val="00BF498A"/>
    <w:rsid w:val="00BF4A4B"/>
    <w:rsid w:val="00BF4E7D"/>
    <w:rsid w:val="00BF54B5"/>
    <w:rsid w:val="00BF5A8E"/>
    <w:rsid w:val="00BF5BCB"/>
    <w:rsid w:val="00BF5F3C"/>
    <w:rsid w:val="00BF662C"/>
    <w:rsid w:val="00BF6AA3"/>
    <w:rsid w:val="00BF6F8C"/>
    <w:rsid w:val="00BF731D"/>
    <w:rsid w:val="00BF73F9"/>
    <w:rsid w:val="00BF7764"/>
    <w:rsid w:val="00BF78CD"/>
    <w:rsid w:val="00BF7BF1"/>
    <w:rsid w:val="00BF7F35"/>
    <w:rsid w:val="00C0005D"/>
    <w:rsid w:val="00C00565"/>
    <w:rsid w:val="00C012DC"/>
    <w:rsid w:val="00C01D2B"/>
    <w:rsid w:val="00C01E1E"/>
    <w:rsid w:val="00C02FFC"/>
    <w:rsid w:val="00C03833"/>
    <w:rsid w:val="00C03B1F"/>
    <w:rsid w:val="00C03D0D"/>
    <w:rsid w:val="00C04A3D"/>
    <w:rsid w:val="00C04AD2"/>
    <w:rsid w:val="00C04DB6"/>
    <w:rsid w:val="00C04F8D"/>
    <w:rsid w:val="00C05F5E"/>
    <w:rsid w:val="00C064BA"/>
    <w:rsid w:val="00C06F7F"/>
    <w:rsid w:val="00C076BF"/>
    <w:rsid w:val="00C07C80"/>
    <w:rsid w:val="00C07FD2"/>
    <w:rsid w:val="00C10ABA"/>
    <w:rsid w:val="00C10D21"/>
    <w:rsid w:val="00C116C9"/>
    <w:rsid w:val="00C11711"/>
    <w:rsid w:val="00C1207D"/>
    <w:rsid w:val="00C122ED"/>
    <w:rsid w:val="00C124D3"/>
    <w:rsid w:val="00C12619"/>
    <w:rsid w:val="00C12B36"/>
    <w:rsid w:val="00C13B75"/>
    <w:rsid w:val="00C13DF1"/>
    <w:rsid w:val="00C14147"/>
    <w:rsid w:val="00C149C3"/>
    <w:rsid w:val="00C14A3D"/>
    <w:rsid w:val="00C152AF"/>
    <w:rsid w:val="00C15AEE"/>
    <w:rsid w:val="00C160C7"/>
    <w:rsid w:val="00C167FF"/>
    <w:rsid w:val="00C1689A"/>
    <w:rsid w:val="00C178FC"/>
    <w:rsid w:val="00C17AC7"/>
    <w:rsid w:val="00C20467"/>
    <w:rsid w:val="00C20BBB"/>
    <w:rsid w:val="00C21227"/>
    <w:rsid w:val="00C212B5"/>
    <w:rsid w:val="00C21316"/>
    <w:rsid w:val="00C218D8"/>
    <w:rsid w:val="00C219C1"/>
    <w:rsid w:val="00C22C90"/>
    <w:rsid w:val="00C22D27"/>
    <w:rsid w:val="00C2372C"/>
    <w:rsid w:val="00C23DD1"/>
    <w:rsid w:val="00C240BC"/>
    <w:rsid w:val="00C249DC"/>
    <w:rsid w:val="00C24B2F"/>
    <w:rsid w:val="00C25220"/>
    <w:rsid w:val="00C2527D"/>
    <w:rsid w:val="00C2562B"/>
    <w:rsid w:val="00C25ED0"/>
    <w:rsid w:val="00C25F81"/>
    <w:rsid w:val="00C25FB6"/>
    <w:rsid w:val="00C261C2"/>
    <w:rsid w:val="00C2621E"/>
    <w:rsid w:val="00C26398"/>
    <w:rsid w:val="00C2679A"/>
    <w:rsid w:val="00C268D4"/>
    <w:rsid w:val="00C26A37"/>
    <w:rsid w:val="00C26C3D"/>
    <w:rsid w:val="00C26C44"/>
    <w:rsid w:val="00C27361"/>
    <w:rsid w:val="00C2766B"/>
    <w:rsid w:val="00C27A95"/>
    <w:rsid w:val="00C27F02"/>
    <w:rsid w:val="00C302BF"/>
    <w:rsid w:val="00C302D6"/>
    <w:rsid w:val="00C30B64"/>
    <w:rsid w:val="00C31706"/>
    <w:rsid w:val="00C31854"/>
    <w:rsid w:val="00C31ECE"/>
    <w:rsid w:val="00C323BE"/>
    <w:rsid w:val="00C32605"/>
    <w:rsid w:val="00C32A0C"/>
    <w:rsid w:val="00C330C0"/>
    <w:rsid w:val="00C3384C"/>
    <w:rsid w:val="00C33873"/>
    <w:rsid w:val="00C33C27"/>
    <w:rsid w:val="00C34996"/>
    <w:rsid w:val="00C34C90"/>
    <w:rsid w:val="00C35059"/>
    <w:rsid w:val="00C350B6"/>
    <w:rsid w:val="00C3549A"/>
    <w:rsid w:val="00C357A9"/>
    <w:rsid w:val="00C35F5D"/>
    <w:rsid w:val="00C36BEA"/>
    <w:rsid w:val="00C36E6C"/>
    <w:rsid w:val="00C37718"/>
    <w:rsid w:val="00C40222"/>
    <w:rsid w:val="00C407F9"/>
    <w:rsid w:val="00C4082C"/>
    <w:rsid w:val="00C4086A"/>
    <w:rsid w:val="00C40949"/>
    <w:rsid w:val="00C409A0"/>
    <w:rsid w:val="00C41236"/>
    <w:rsid w:val="00C418C5"/>
    <w:rsid w:val="00C41A4D"/>
    <w:rsid w:val="00C42080"/>
    <w:rsid w:val="00C4237E"/>
    <w:rsid w:val="00C424ED"/>
    <w:rsid w:val="00C42625"/>
    <w:rsid w:val="00C42727"/>
    <w:rsid w:val="00C42773"/>
    <w:rsid w:val="00C4290E"/>
    <w:rsid w:val="00C439E3"/>
    <w:rsid w:val="00C43ED2"/>
    <w:rsid w:val="00C44908"/>
    <w:rsid w:val="00C44F0E"/>
    <w:rsid w:val="00C4636E"/>
    <w:rsid w:val="00C467E5"/>
    <w:rsid w:val="00C468F9"/>
    <w:rsid w:val="00C46955"/>
    <w:rsid w:val="00C46BC5"/>
    <w:rsid w:val="00C46DF9"/>
    <w:rsid w:val="00C46F72"/>
    <w:rsid w:val="00C4709B"/>
    <w:rsid w:val="00C471CC"/>
    <w:rsid w:val="00C47A5D"/>
    <w:rsid w:val="00C504F4"/>
    <w:rsid w:val="00C50600"/>
    <w:rsid w:val="00C50BEE"/>
    <w:rsid w:val="00C50D6B"/>
    <w:rsid w:val="00C50FFF"/>
    <w:rsid w:val="00C5140E"/>
    <w:rsid w:val="00C515A4"/>
    <w:rsid w:val="00C520C7"/>
    <w:rsid w:val="00C521B0"/>
    <w:rsid w:val="00C521C5"/>
    <w:rsid w:val="00C52329"/>
    <w:rsid w:val="00C528B8"/>
    <w:rsid w:val="00C5300F"/>
    <w:rsid w:val="00C53097"/>
    <w:rsid w:val="00C532D0"/>
    <w:rsid w:val="00C533AF"/>
    <w:rsid w:val="00C53811"/>
    <w:rsid w:val="00C53C39"/>
    <w:rsid w:val="00C54DD6"/>
    <w:rsid w:val="00C55817"/>
    <w:rsid w:val="00C55E19"/>
    <w:rsid w:val="00C56900"/>
    <w:rsid w:val="00C571F9"/>
    <w:rsid w:val="00C57C8C"/>
    <w:rsid w:val="00C57E85"/>
    <w:rsid w:val="00C57F58"/>
    <w:rsid w:val="00C604C2"/>
    <w:rsid w:val="00C60666"/>
    <w:rsid w:val="00C60E83"/>
    <w:rsid w:val="00C61139"/>
    <w:rsid w:val="00C61908"/>
    <w:rsid w:val="00C621AD"/>
    <w:rsid w:val="00C62798"/>
    <w:rsid w:val="00C62B11"/>
    <w:rsid w:val="00C62DBF"/>
    <w:rsid w:val="00C6310A"/>
    <w:rsid w:val="00C63DF4"/>
    <w:rsid w:val="00C64463"/>
    <w:rsid w:val="00C647C1"/>
    <w:rsid w:val="00C64ABC"/>
    <w:rsid w:val="00C64F6D"/>
    <w:rsid w:val="00C65BB4"/>
    <w:rsid w:val="00C65FC1"/>
    <w:rsid w:val="00C66255"/>
    <w:rsid w:val="00C662E6"/>
    <w:rsid w:val="00C665BE"/>
    <w:rsid w:val="00C666E7"/>
    <w:rsid w:val="00C6750A"/>
    <w:rsid w:val="00C67606"/>
    <w:rsid w:val="00C6792F"/>
    <w:rsid w:val="00C70222"/>
    <w:rsid w:val="00C70410"/>
    <w:rsid w:val="00C70F7F"/>
    <w:rsid w:val="00C71382"/>
    <w:rsid w:val="00C713F2"/>
    <w:rsid w:val="00C724C3"/>
    <w:rsid w:val="00C7256E"/>
    <w:rsid w:val="00C728CF"/>
    <w:rsid w:val="00C72D9E"/>
    <w:rsid w:val="00C7380E"/>
    <w:rsid w:val="00C73CF8"/>
    <w:rsid w:val="00C73D32"/>
    <w:rsid w:val="00C73DCF"/>
    <w:rsid w:val="00C74911"/>
    <w:rsid w:val="00C74956"/>
    <w:rsid w:val="00C74DE7"/>
    <w:rsid w:val="00C7511A"/>
    <w:rsid w:val="00C759CD"/>
    <w:rsid w:val="00C762A7"/>
    <w:rsid w:val="00C769F5"/>
    <w:rsid w:val="00C76F68"/>
    <w:rsid w:val="00C77464"/>
    <w:rsid w:val="00C8071C"/>
    <w:rsid w:val="00C80A06"/>
    <w:rsid w:val="00C80AFC"/>
    <w:rsid w:val="00C810F6"/>
    <w:rsid w:val="00C810FC"/>
    <w:rsid w:val="00C816A3"/>
    <w:rsid w:val="00C816CB"/>
    <w:rsid w:val="00C81A52"/>
    <w:rsid w:val="00C81AF3"/>
    <w:rsid w:val="00C8225B"/>
    <w:rsid w:val="00C82461"/>
    <w:rsid w:val="00C8403B"/>
    <w:rsid w:val="00C8458F"/>
    <w:rsid w:val="00C85D0A"/>
    <w:rsid w:val="00C8612D"/>
    <w:rsid w:val="00C869E5"/>
    <w:rsid w:val="00C86A0E"/>
    <w:rsid w:val="00C86B82"/>
    <w:rsid w:val="00C87083"/>
    <w:rsid w:val="00C90386"/>
    <w:rsid w:val="00C90401"/>
    <w:rsid w:val="00C910D2"/>
    <w:rsid w:val="00C91ADB"/>
    <w:rsid w:val="00C91E3B"/>
    <w:rsid w:val="00C91E6F"/>
    <w:rsid w:val="00C91ECF"/>
    <w:rsid w:val="00C92628"/>
    <w:rsid w:val="00C92B7D"/>
    <w:rsid w:val="00C93C10"/>
    <w:rsid w:val="00C943B8"/>
    <w:rsid w:val="00C947D4"/>
    <w:rsid w:val="00C94809"/>
    <w:rsid w:val="00C94DCB"/>
    <w:rsid w:val="00C95253"/>
    <w:rsid w:val="00C9582C"/>
    <w:rsid w:val="00C95BFB"/>
    <w:rsid w:val="00C96242"/>
    <w:rsid w:val="00C963FA"/>
    <w:rsid w:val="00C967E1"/>
    <w:rsid w:val="00C97EB9"/>
    <w:rsid w:val="00CA0335"/>
    <w:rsid w:val="00CA07CC"/>
    <w:rsid w:val="00CA0902"/>
    <w:rsid w:val="00CA0F88"/>
    <w:rsid w:val="00CA1480"/>
    <w:rsid w:val="00CA1907"/>
    <w:rsid w:val="00CA1EAB"/>
    <w:rsid w:val="00CA25B5"/>
    <w:rsid w:val="00CA2A03"/>
    <w:rsid w:val="00CA2E09"/>
    <w:rsid w:val="00CA3A62"/>
    <w:rsid w:val="00CA3DAA"/>
    <w:rsid w:val="00CA41E1"/>
    <w:rsid w:val="00CA4B21"/>
    <w:rsid w:val="00CA4D57"/>
    <w:rsid w:val="00CA4FCE"/>
    <w:rsid w:val="00CA5072"/>
    <w:rsid w:val="00CA50AE"/>
    <w:rsid w:val="00CA54A4"/>
    <w:rsid w:val="00CA5635"/>
    <w:rsid w:val="00CA5782"/>
    <w:rsid w:val="00CA59F1"/>
    <w:rsid w:val="00CA5A0A"/>
    <w:rsid w:val="00CA5F8F"/>
    <w:rsid w:val="00CA63E1"/>
    <w:rsid w:val="00CA64BD"/>
    <w:rsid w:val="00CA72F1"/>
    <w:rsid w:val="00CA73C8"/>
    <w:rsid w:val="00CA788D"/>
    <w:rsid w:val="00CA7CE6"/>
    <w:rsid w:val="00CB021A"/>
    <w:rsid w:val="00CB0493"/>
    <w:rsid w:val="00CB0603"/>
    <w:rsid w:val="00CB0771"/>
    <w:rsid w:val="00CB07AD"/>
    <w:rsid w:val="00CB1090"/>
    <w:rsid w:val="00CB1A7C"/>
    <w:rsid w:val="00CB26D1"/>
    <w:rsid w:val="00CB2D28"/>
    <w:rsid w:val="00CB2E43"/>
    <w:rsid w:val="00CB344F"/>
    <w:rsid w:val="00CB355A"/>
    <w:rsid w:val="00CB3EE5"/>
    <w:rsid w:val="00CB41F1"/>
    <w:rsid w:val="00CB499C"/>
    <w:rsid w:val="00CB5E32"/>
    <w:rsid w:val="00CB5FB5"/>
    <w:rsid w:val="00CB6069"/>
    <w:rsid w:val="00CB6088"/>
    <w:rsid w:val="00CB6310"/>
    <w:rsid w:val="00CB7130"/>
    <w:rsid w:val="00CB747B"/>
    <w:rsid w:val="00CB7A0E"/>
    <w:rsid w:val="00CB7D71"/>
    <w:rsid w:val="00CB7E3E"/>
    <w:rsid w:val="00CC06E2"/>
    <w:rsid w:val="00CC0958"/>
    <w:rsid w:val="00CC0C67"/>
    <w:rsid w:val="00CC1593"/>
    <w:rsid w:val="00CC1889"/>
    <w:rsid w:val="00CC1A11"/>
    <w:rsid w:val="00CC1A56"/>
    <w:rsid w:val="00CC1CA1"/>
    <w:rsid w:val="00CC1F01"/>
    <w:rsid w:val="00CC204A"/>
    <w:rsid w:val="00CC22FB"/>
    <w:rsid w:val="00CC2396"/>
    <w:rsid w:val="00CC2496"/>
    <w:rsid w:val="00CC2DDC"/>
    <w:rsid w:val="00CC3744"/>
    <w:rsid w:val="00CC3AA8"/>
    <w:rsid w:val="00CC3DEB"/>
    <w:rsid w:val="00CC4344"/>
    <w:rsid w:val="00CC4B62"/>
    <w:rsid w:val="00CC516F"/>
    <w:rsid w:val="00CC547D"/>
    <w:rsid w:val="00CC5A6F"/>
    <w:rsid w:val="00CC618A"/>
    <w:rsid w:val="00CC760F"/>
    <w:rsid w:val="00CC7EDF"/>
    <w:rsid w:val="00CD03F7"/>
    <w:rsid w:val="00CD0633"/>
    <w:rsid w:val="00CD07E7"/>
    <w:rsid w:val="00CD0832"/>
    <w:rsid w:val="00CD125E"/>
    <w:rsid w:val="00CD1387"/>
    <w:rsid w:val="00CD17B5"/>
    <w:rsid w:val="00CD1F81"/>
    <w:rsid w:val="00CD290C"/>
    <w:rsid w:val="00CD2C21"/>
    <w:rsid w:val="00CD3536"/>
    <w:rsid w:val="00CD35F4"/>
    <w:rsid w:val="00CD381B"/>
    <w:rsid w:val="00CD3AC1"/>
    <w:rsid w:val="00CD42DE"/>
    <w:rsid w:val="00CD43DE"/>
    <w:rsid w:val="00CD4541"/>
    <w:rsid w:val="00CD48BF"/>
    <w:rsid w:val="00CD531D"/>
    <w:rsid w:val="00CD539C"/>
    <w:rsid w:val="00CD590D"/>
    <w:rsid w:val="00CD5BB5"/>
    <w:rsid w:val="00CD61BA"/>
    <w:rsid w:val="00CD627E"/>
    <w:rsid w:val="00CD664F"/>
    <w:rsid w:val="00CD680F"/>
    <w:rsid w:val="00CD6BD2"/>
    <w:rsid w:val="00CD73F6"/>
    <w:rsid w:val="00CD7D8D"/>
    <w:rsid w:val="00CD7F7A"/>
    <w:rsid w:val="00CE00AF"/>
    <w:rsid w:val="00CE066C"/>
    <w:rsid w:val="00CE08E3"/>
    <w:rsid w:val="00CE0C82"/>
    <w:rsid w:val="00CE0F3D"/>
    <w:rsid w:val="00CE13F8"/>
    <w:rsid w:val="00CE1F8E"/>
    <w:rsid w:val="00CE21BE"/>
    <w:rsid w:val="00CE265F"/>
    <w:rsid w:val="00CE271A"/>
    <w:rsid w:val="00CE2D90"/>
    <w:rsid w:val="00CE340B"/>
    <w:rsid w:val="00CE364C"/>
    <w:rsid w:val="00CE3C1C"/>
    <w:rsid w:val="00CE4456"/>
    <w:rsid w:val="00CE4572"/>
    <w:rsid w:val="00CE4CFF"/>
    <w:rsid w:val="00CE533C"/>
    <w:rsid w:val="00CE5486"/>
    <w:rsid w:val="00CE5B08"/>
    <w:rsid w:val="00CE5EEB"/>
    <w:rsid w:val="00CE6371"/>
    <w:rsid w:val="00CE63E7"/>
    <w:rsid w:val="00CE6841"/>
    <w:rsid w:val="00CE6951"/>
    <w:rsid w:val="00CE6A86"/>
    <w:rsid w:val="00CE6B22"/>
    <w:rsid w:val="00CE6F7D"/>
    <w:rsid w:val="00CE6FF5"/>
    <w:rsid w:val="00CE755A"/>
    <w:rsid w:val="00CF0121"/>
    <w:rsid w:val="00CF0AC0"/>
    <w:rsid w:val="00CF0B4C"/>
    <w:rsid w:val="00CF150D"/>
    <w:rsid w:val="00CF180D"/>
    <w:rsid w:val="00CF1E1C"/>
    <w:rsid w:val="00CF220C"/>
    <w:rsid w:val="00CF249D"/>
    <w:rsid w:val="00CF2565"/>
    <w:rsid w:val="00CF2AFD"/>
    <w:rsid w:val="00CF3207"/>
    <w:rsid w:val="00CF3342"/>
    <w:rsid w:val="00CF3436"/>
    <w:rsid w:val="00CF3693"/>
    <w:rsid w:val="00CF38B1"/>
    <w:rsid w:val="00CF3E70"/>
    <w:rsid w:val="00CF45D7"/>
    <w:rsid w:val="00CF4621"/>
    <w:rsid w:val="00CF4994"/>
    <w:rsid w:val="00CF5125"/>
    <w:rsid w:val="00CF5245"/>
    <w:rsid w:val="00CF5839"/>
    <w:rsid w:val="00CF61A9"/>
    <w:rsid w:val="00CF6716"/>
    <w:rsid w:val="00CF68BD"/>
    <w:rsid w:val="00CF70DD"/>
    <w:rsid w:val="00D00055"/>
    <w:rsid w:val="00D00688"/>
    <w:rsid w:val="00D0088C"/>
    <w:rsid w:val="00D00F8E"/>
    <w:rsid w:val="00D01428"/>
    <w:rsid w:val="00D016F6"/>
    <w:rsid w:val="00D0211C"/>
    <w:rsid w:val="00D0283F"/>
    <w:rsid w:val="00D02868"/>
    <w:rsid w:val="00D02F49"/>
    <w:rsid w:val="00D03101"/>
    <w:rsid w:val="00D034D1"/>
    <w:rsid w:val="00D03905"/>
    <w:rsid w:val="00D03A08"/>
    <w:rsid w:val="00D03C7B"/>
    <w:rsid w:val="00D03E24"/>
    <w:rsid w:val="00D0433A"/>
    <w:rsid w:val="00D043CD"/>
    <w:rsid w:val="00D04596"/>
    <w:rsid w:val="00D04605"/>
    <w:rsid w:val="00D0514C"/>
    <w:rsid w:val="00D051AF"/>
    <w:rsid w:val="00D051EE"/>
    <w:rsid w:val="00D05582"/>
    <w:rsid w:val="00D05BB1"/>
    <w:rsid w:val="00D05C4C"/>
    <w:rsid w:val="00D06455"/>
    <w:rsid w:val="00D064C5"/>
    <w:rsid w:val="00D06683"/>
    <w:rsid w:val="00D068AC"/>
    <w:rsid w:val="00D06CF8"/>
    <w:rsid w:val="00D076FC"/>
    <w:rsid w:val="00D07773"/>
    <w:rsid w:val="00D07B1A"/>
    <w:rsid w:val="00D07C54"/>
    <w:rsid w:val="00D07DA3"/>
    <w:rsid w:val="00D07E94"/>
    <w:rsid w:val="00D10820"/>
    <w:rsid w:val="00D10B91"/>
    <w:rsid w:val="00D10CC0"/>
    <w:rsid w:val="00D1167E"/>
    <w:rsid w:val="00D1176C"/>
    <w:rsid w:val="00D117B2"/>
    <w:rsid w:val="00D11B53"/>
    <w:rsid w:val="00D122E5"/>
    <w:rsid w:val="00D12A67"/>
    <w:rsid w:val="00D12A9C"/>
    <w:rsid w:val="00D13A50"/>
    <w:rsid w:val="00D13A64"/>
    <w:rsid w:val="00D13BB8"/>
    <w:rsid w:val="00D13EB5"/>
    <w:rsid w:val="00D147B5"/>
    <w:rsid w:val="00D14A4D"/>
    <w:rsid w:val="00D14B1F"/>
    <w:rsid w:val="00D14FB4"/>
    <w:rsid w:val="00D1596B"/>
    <w:rsid w:val="00D166BB"/>
    <w:rsid w:val="00D1685B"/>
    <w:rsid w:val="00D1785A"/>
    <w:rsid w:val="00D20341"/>
    <w:rsid w:val="00D205AA"/>
    <w:rsid w:val="00D216A8"/>
    <w:rsid w:val="00D224E9"/>
    <w:rsid w:val="00D226A0"/>
    <w:rsid w:val="00D227C9"/>
    <w:rsid w:val="00D22BD8"/>
    <w:rsid w:val="00D234E7"/>
    <w:rsid w:val="00D23B4A"/>
    <w:rsid w:val="00D23C45"/>
    <w:rsid w:val="00D2461C"/>
    <w:rsid w:val="00D24832"/>
    <w:rsid w:val="00D25107"/>
    <w:rsid w:val="00D25CA9"/>
    <w:rsid w:val="00D2648C"/>
    <w:rsid w:val="00D265BF"/>
    <w:rsid w:val="00D26767"/>
    <w:rsid w:val="00D26849"/>
    <w:rsid w:val="00D270B1"/>
    <w:rsid w:val="00D2717C"/>
    <w:rsid w:val="00D274C3"/>
    <w:rsid w:val="00D276E9"/>
    <w:rsid w:val="00D27A4D"/>
    <w:rsid w:val="00D27BF9"/>
    <w:rsid w:val="00D27CE4"/>
    <w:rsid w:val="00D30960"/>
    <w:rsid w:val="00D30B33"/>
    <w:rsid w:val="00D30E46"/>
    <w:rsid w:val="00D30E6F"/>
    <w:rsid w:val="00D30EE2"/>
    <w:rsid w:val="00D30EEA"/>
    <w:rsid w:val="00D3107C"/>
    <w:rsid w:val="00D312C2"/>
    <w:rsid w:val="00D31DC1"/>
    <w:rsid w:val="00D32C40"/>
    <w:rsid w:val="00D32F60"/>
    <w:rsid w:val="00D341A8"/>
    <w:rsid w:val="00D3444E"/>
    <w:rsid w:val="00D3461B"/>
    <w:rsid w:val="00D34AA2"/>
    <w:rsid w:val="00D34B13"/>
    <w:rsid w:val="00D355B4"/>
    <w:rsid w:val="00D3589C"/>
    <w:rsid w:val="00D35CDE"/>
    <w:rsid w:val="00D362BD"/>
    <w:rsid w:val="00D362CE"/>
    <w:rsid w:val="00D36559"/>
    <w:rsid w:val="00D36AFF"/>
    <w:rsid w:val="00D371AD"/>
    <w:rsid w:val="00D3766A"/>
    <w:rsid w:val="00D37F88"/>
    <w:rsid w:val="00D404AF"/>
    <w:rsid w:val="00D4074A"/>
    <w:rsid w:val="00D416DA"/>
    <w:rsid w:val="00D41925"/>
    <w:rsid w:val="00D4218E"/>
    <w:rsid w:val="00D421AB"/>
    <w:rsid w:val="00D42596"/>
    <w:rsid w:val="00D426FC"/>
    <w:rsid w:val="00D42D7E"/>
    <w:rsid w:val="00D43017"/>
    <w:rsid w:val="00D439AE"/>
    <w:rsid w:val="00D43D1D"/>
    <w:rsid w:val="00D440C6"/>
    <w:rsid w:val="00D44178"/>
    <w:rsid w:val="00D4445E"/>
    <w:rsid w:val="00D448EF"/>
    <w:rsid w:val="00D44B5B"/>
    <w:rsid w:val="00D44BF8"/>
    <w:rsid w:val="00D44EB9"/>
    <w:rsid w:val="00D45A14"/>
    <w:rsid w:val="00D45AC2"/>
    <w:rsid w:val="00D45E6C"/>
    <w:rsid w:val="00D462E6"/>
    <w:rsid w:val="00D477A3"/>
    <w:rsid w:val="00D47EF6"/>
    <w:rsid w:val="00D47F84"/>
    <w:rsid w:val="00D50050"/>
    <w:rsid w:val="00D504A7"/>
    <w:rsid w:val="00D50562"/>
    <w:rsid w:val="00D5075D"/>
    <w:rsid w:val="00D509F8"/>
    <w:rsid w:val="00D50AC8"/>
    <w:rsid w:val="00D51277"/>
    <w:rsid w:val="00D51A09"/>
    <w:rsid w:val="00D51B7E"/>
    <w:rsid w:val="00D5224C"/>
    <w:rsid w:val="00D528B6"/>
    <w:rsid w:val="00D529FE"/>
    <w:rsid w:val="00D5415E"/>
    <w:rsid w:val="00D54CFA"/>
    <w:rsid w:val="00D5518F"/>
    <w:rsid w:val="00D55A69"/>
    <w:rsid w:val="00D55B14"/>
    <w:rsid w:val="00D56624"/>
    <w:rsid w:val="00D56D0B"/>
    <w:rsid w:val="00D56DC2"/>
    <w:rsid w:val="00D574DA"/>
    <w:rsid w:val="00D575AF"/>
    <w:rsid w:val="00D579DF"/>
    <w:rsid w:val="00D57F82"/>
    <w:rsid w:val="00D60430"/>
    <w:rsid w:val="00D60540"/>
    <w:rsid w:val="00D60A44"/>
    <w:rsid w:val="00D60F6C"/>
    <w:rsid w:val="00D61104"/>
    <w:rsid w:val="00D61559"/>
    <w:rsid w:val="00D61749"/>
    <w:rsid w:val="00D62139"/>
    <w:rsid w:val="00D62E86"/>
    <w:rsid w:val="00D62ECF"/>
    <w:rsid w:val="00D63744"/>
    <w:rsid w:val="00D63B2E"/>
    <w:rsid w:val="00D63D83"/>
    <w:rsid w:val="00D64078"/>
    <w:rsid w:val="00D64092"/>
    <w:rsid w:val="00D64192"/>
    <w:rsid w:val="00D6470E"/>
    <w:rsid w:val="00D647BA"/>
    <w:rsid w:val="00D649D7"/>
    <w:rsid w:val="00D64BC6"/>
    <w:rsid w:val="00D64C08"/>
    <w:rsid w:val="00D6594A"/>
    <w:rsid w:val="00D66ACB"/>
    <w:rsid w:val="00D66E5E"/>
    <w:rsid w:val="00D679DF"/>
    <w:rsid w:val="00D67C69"/>
    <w:rsid w:val="00D707EC"/>
    <w:rsid w:val="00D70800"/>
    <w:rsid w:val="00D70AB3"/>
    <w:rsid w:val="00D70C9A"/>
    <w:rsid w:val="00D71148"/>
    <w:rsid w:val="00D7135E"/>
    <w:rsid w:val="00D71CFA"/>
    <w:rsid w:val="00D71F0A"/>
    <w:rsid w:val="00D7237F"/>
    <w:rsid w:val="00D723DF"/>
    <w:rsid w:val="00D72B6B"/>
    <w:rsid w:val="00D72FDB"/>
    <w:rsid w:val="00D7314F"/>
    <w:rsid w:val="00D7333B"/>
    <w:rsid w:val="00D735FC"/>
    <w:rsid w:val="00D73742"/>
    <w:rsid w:val="00D73752"/>
    <w:rsid w:val="00D7390F"/>
    <w:rsid w:val="00D73E3B"/>
    <w:rsid w:val="00D74223"/>
    <w:rsid w:val="00D74253"/>
    <w:rsid w:val="00D74288"/>
    <w:rsid w:val="00D748A0"/>
    <w:rsid w:val="00D74BC2"/>
    <w:rsid w:val="00D74D34"/>
    <w:rsid w:val="00D74F04"/>
    <w:rsid w:val="00D74FBC"/>
    <w:rsid w:val="00D7537F"/>
    <w:rsid w:val="00D756C9"/>
    <w:rsid w:val="00D758F2"/>
    <w:rsid w:val="00D75FEA"/>
    <w:rsid w:val="00D76320"/>
    <w:rsid w:val="00D763ED"/>
    <w:rsid w:val="00D763F5"/>
    <w:rsid w:val="00D76BF0"/>
    <w:rsid w:val="00D7720A"/>
    <w:rsid w:val="00D77369"/>
    <w:rsid w:val="00D77408"/>
    <w:rsid w:val="00D776B1"/>
    <w:rsid w:val="00D777E6"/>
    <w:rsid w:val="00D77CA4"/>
    <w:rsid w:val="00D77E15"/>
    <w:rsid w:val="00D803AF"/>
    <w:rsid w:val="00D81463"/>
    <w:rsid w:val="00D81968"/>
    <w:rsid w:val="00D81BA8"/>
    <w:rsid w:val="00D824B8"/>
    <w:rsid w:val="00D827F6"/>
    <w:rsid w:val="00D828D3"/>
    <w:rsid w:val="00D835D6"/>
    <w:rsid w:val="00D83730"/>
    <w:rsid w:val="00D83909"/>
    <w:rsid w:val="00D83D76"/>
    <w:rsid w:val="00D8409F"/>
    <w:rsid w:val="00D842AB"/>
    <w:rsid w:val="00D851B5"/>
    <w:rsid w:val="00D852D9"/>
    <w:rsid w:val="00D8559F"/>
    <w:rsid w:val="00D85C74"/>
    <w:rsid w:val="00D86561"/>
    <w:rsid w:val="00D867E7"/>
    <w:rsid w:val="00D8693B"/>
    <w:rsid w:val="00D87039"/>
    <w:rsid w:val="00D87754"/>
    <w:rsid w:val="00D90126"/>
    <w:rsid w:val="00D9036B"/>
    <w:rsid w:val="00D90E1D"/>
    <w:rsid w:val="00D90EE6"/>
    <w:rsid w:val="00D91212"/>
    <w:rsid w:val="00D91240"/>
    <w:rsid w:val="00D91275"/>
    <w:rsid w:val="00D91B4B"/>
    <w:rsid w:val="00D91DA7"/>
    <w:rsid w:val="00D91E16"/>
    <w:rsid w:val="00D91ED6"/>
    <w:rsid w:val="00D91ED7"/>
    <w:rsid w:val="00D92BEC"/>
    <w:rsid w:val="00D930F9"/>
    <w:rsid w:val="00D93343"/>
    <w:rsid w:val="00D945AA"/>
    <w:rsid w:val="00D94709"/>
    <w:rsid w:val="00D94720"/>
    <w:rsid w:val="00D95241"/>
    <w:rsid w:val="00D952CF"/>
    <w:rsid w:val="00D953E3"/>
    <w:rsid w:val="00D956AE"/>
    <w:rsid w:val="00D9594E"/>
    <w:rsid w:val="00D95D0B"/>
    <w:rsid w:val="00D95DF9"/>
    <w:rsid w:val="00D962A3"/>
    <w:rsid w:val="00D965E7"/>
    <w:rsid w:val="00D96AF2"/>
    <w:rsid w:val="00D97018"/>
    <w:rsid w:val="00D97904"/>
    <w:rsid w:val="00D979C5"/>
    <w:rsid w:val="00D97AAA"/>
    <w:rsid w:val="00D97EE9"/>
    <w:rsid w:val="00D97F5D"/>
    <w:rsid w:val="00DA03FF"/>
    <w:rsid w:val="00DA07B5"/>
    <w:rsid w:val="00DA18F2"/>
    <w:rsid w:val="00DA1B0F"/>
    <w:rsid w:val="00DA1E61"/>
    <w:rsid w:val="00DA1FDC"/>
    <w:rsid w:val="00DA25D2"/>
    <w:rsid w:val="00DA2BF7"/>
    <w:rsid w:val="00DA3555"/>
    <w:rsid w:val="00DA43AF"/>
    <w:rsid w:val="00DA4704"/>
    <w:rsid w:val="00DA4C34"/>
    <w:rsid w:val="00DA5877"/>
    <w:rsid w:val="00DA5924"/>
    <w:rsid w:val="00DA59E5"/>
    <w:rsid w:val="00DA5A20"/>
    <w:rsid w:val="00DA6092"/>
    <w:rsid w:val="00DA66C3"/>
    <w:rsid w:val="00DA672A"/>
    <w:rsid w:val="00DA6736"/>
    <w:rsid w:val="00DA6BEF"/>
    <w:rsid w:val="00DA6C69"/>
    <w:rsid w:val="00DA6D1D"/>
    <w:rsid w:val="00DA6EFE"/>
    <w:rsid w:val="00DA7184"/>
    <w:rsid w:val="00DA7885"/>
    <w:rsid w:val="00DA7BA5"/>
    <w:rsid w:val="00DA7EDB"/>
    <w:rsid w:val="00DB00E5"/>
    <w:rsid w:val="00DB1429"/>
    <w:rsid w:val="00DB17F9"/>
    <w:rsid w:val="00DB195A"/>
    <w:rsid w:val="00DB2CAF"/>
    <w:rsid w:val="00DB2DF5"/>
    <w:rsid w:val="00DB2E7F"/>
    <w:rsid w:val="00DB3279"/>
    <w:rsid w:val="00DB32E6"/>
    <w:rsid w:val="00DB4333"/>
    <w:rsid w:val="00DB4AB6"/>
    <w:rsid w:val="00DB55EF"/>
    <w:rsid w:val="00DB62F5"/>
    <w:rsid w:val="00DB63FF"/>
    <w:rsid w:val="00DB6501"/>
    <w:rsid w:val="00DB6A96"/>
    <w:rsid w:val="00DB6AC4"/>
    <w:rsid w:val="00DB6C49"/>
    <w:rsid w:val="00DB6CA2"/>
    <w:rsid w:val="00DB7764"/>
    <w:rsid w:val="00DB7BA4"/>
    <w:rsid w:val="00DB7C44"/>
    <w:rsid w:val="00DB7E99"/>
    <w:rsid w:val="00DC00FB"/>
    <w:rsid w:val="00DC0F24"/>
    <w:rsid w:val="00DC12C3"/>
    <w:rsid w:val="00DC2075"/>
    <w:rsid w:val="00DC23BB"/>
    <w:rsid w:val="00DC28BD"/>
    <w:rsid w:val="00DC2B87"/>
    <w:rsid w:val="00DC2C19"/>
    <w:rsid w:val="00DC3504"/>
    <w:rsid w:val="00DC3940"/>
    <w:rsid w:val="00DC3BA9"/>
    <w:rsid w:val="00DC4364"/>
    <w:rsid w:val="00DC4AE1"/>
    <w:rsid w:val="00DC5020"/>
    <w:rsid w:val="00DC5972"/>
    <w:rsid w:val="00DC5B27"/>
    <w:rsid w:val="00DC5B6D"/>
    <w:rsid w:val="00DC5F0E"/>
    <w:rsid w:val="00DC6B10"/>
    <w:rsid w:val="00DC6D92"/>
    <w:rsid w:val="00DC6F0C"/>
    <w:rsid w:val="00DC6FF1"/>
    <w:rsid w:val="00DC71B6"/>
    <w:rsid w:val="00DC7852"/>
    <w:rsid w:val="00DC7D40"/>
    <w:rsid w:val="00DD04D9"/>
    <w:rsid w:val="00DD0888"/>
    <w:rsid w:val="00DD0C7D"/>
    <w:rsid w:val="00DD0E6D"/>
    <w:rsid w:val="00DD1096"/>
    <w:rsid w:val="00DD1A24"/>
    <w:rsid w:val="00DD1CCF"/>
    <w:rsid w:val="00DD21BD"/>
    <w:rsid w:val="00DD24BD"/>
    <w:rsid w:val="00DD3050"/>
    <w:rsid w:val="00DD36B8"/>
    <w:rsid w:val="00DD3A33"/>
    <w:rsid w:val="00DD3DBF"/>
    <w:rsid w:val="00DD47D1"/>
    <w:rsid w:val="00DD48CA"/>
    <w:rsid w:val="00DD4DCC"/>
    <w:rsid w:val="00DD4F3F"/>
    <w:rsid w:val="00DD51FB"/>
    <w:rsid w:val="00DD57B8"/>
    <w:rsid w:val="00DD5E14"/>
    <w:rsid w:val="00DD5ED7"/>
    <w:rsid w:val="00DD6197"/>
    <w:rsid w:val="00DD632E"/>
    <w:rsid w:val="00DD63EE"/>
    <w:rsid w:val="00DD64AF"/>
    <w:rsid w:val="00DD6973"/>
    <w:rsid w:val="00DD6DE8"/>
    <w:rsid w:val="00DD7088"/>
    <w:rsid w:val="00DD7459"/>
    <w:rsid w:val="00DD7858"/>
    <w:rsid w:val="00DD7BED"/>
    <w:rsid w:val="00DE044E"/>
    <w:rsid w:val="00DE09B8"/>
    <w:rsid w:val="00DE0D1F"/>
    <w:rsid w:val="00DE18D9"/>
    <w:rsid w:val="00DE1ABA"/>
    <w:rsid w:val="00DE285F"/>
    <w:rsid w:val="00DE30D2"/>
    <w:rsid w:val="00DE33C1"/>
    <w:rsid w:val="00DE3753"/>
    <w:rsid w:val="00DE37FD"/>
    <w:rsid w:val="00DE3BA7"/>
    <w:rsid w:val="00DE4191"/>
    <w:rsid w:val="00DE4AE2"/>
    <w:rsid w:val="00DE4CF7"/>
    <w:rsid w:val="00DE4E32"/>
    <w:rsid w:val="00DE5003"/>
    <w:rsid w:val="00DE575D"/>
    <w:rsid w:val="00DE5964"/>
    <w:rsid w:val="00DE5D38"/>
    <w:rsid w:val="00DE7052"/>
    <w:rsid w:val="00DE7686"/>
    <w:rsid w:val="00DF0156"/>
    <w:rsid w:val="00DF07E2"/>
    <w:rsid w:val="00DF093A"/>
    <w:rsid w:val="00DF0CA4"/>
    <w:rsid w:val="00DF1580"/>
    <w:rsid w:val="00DF1C7B"/>
    <w:rsid w:val="00DF2376"/>
    <w:rsid w:val="00DF23B3"/>
    <w:rsid w:val="00DF2525"/>
    <w:rsid w:val="00DF26DC"/>
    <w:rsid w:val="00DF2C67"/>
    <w:rsid w:val="00DF2D28"/>
    <w:rsid w:val="00DF2DDD"/>
    <w:rsid w:val="00DF3A69"/>
    <w:rsid w:val="00DF3AE2"/>
    <w:rsid w:val="00DF4682"/>
    <w:rsid w:val="00DF4ACF"/>
    <w:rsid w:val="00DF4C64"/>
    <w:rsid w:val="00DF500D"/>
    <w:rsid w:val="00DF576F"/>
    <w:rsid w:val="00DF58BC"/>
    <w:rsid w:val="00DF5DBB"/>
    <w:rsid w:val="00DF5DE8"/>
    <w:rsid w:val="00DF6761"/>
    <w:rsid w:val="00DF6983"/>
    <w:rsid w:val="00DF76FC"/>
    <w:rsid w:val="00DF7D1E"/>
    <w:rsid w:val="00DF7D21"/>
    <w:rsid w:val="00DF7D9D"/>
    <w:rsid w:val="00DF7DC0"/>
    <w:rsid w:val="00E00189"/>
    <w:rsid w:val="00E0072E"/>
    <w:rsid w:val="00E00A3C"/>
    <w:rsid w:val="00E0156D"/>
    <w:rsid w:val="00E0162F"/>
    <w:rsid w:val="00E01BA0"/>
    <w:rsid w:val="00E01F71"/>
    <w:rsid w:val="00E0215A"/>
    <w:rsid w:val="00E0222C"/>
    <w:rsid w:val="00E02C62"/>
    <w:rsid w:val="00E02E43"/>
    <w:rsid w:val="00E0337E"/>
    <w:rsid w:val="00E039A3"/>
    <w:rsid w:val="00E03A92"/>
    <w:rsid w:val="00E03B89"/>
    <w:rsid w:val="00E04AF8"/>
    <w:rsid w:val="00E052F6"/>
    <w:rsid w:val="00E0550D"/>
    <w:rsid w:val="00E055C6"/>
    <w:rsid w:val="00E059C5"/>
    <w:rsid w:val="00E05BD7"/>
    <w:rsid w:val="00E05FA8"/>
    <w:rsid w:val="00E06337"/>
    <w:rsid w:val="00E06886"/>
    <w:rsid w:val="00E06C2B"/>
    <w:rsid w:val="00E07F5A"/>
    <w:rsid w:val="00E107A7"/>
    <w:rsid w:val="00E1095B"/>
    <w:rsid w:val="00E10CDA"/>
    <w:rsid w:val="00E10D1F"/>
    <w:rsid w:val="00E112A1"/>
    <w:rsid w:val="00E1178B"/>
    <w:rsid w:val="00E118CC"/>
    <w:rsid w:val="00E11AAA"/>
    <w:rsid w:val="00E11B5A"/>
    <w:rsid w:val="00E11D7E"/>
    <w:rsid w:val="00E12029"/>
    <w:rsid w:val="00E120C4"/>
    <w:rsid w:val="00E123F5"/>
    <w:rsid w:val="00E12417"/>
    <w:rsid w:val="00E12AF5"/>
    <w:rsid w:val="00E12D9D"/>
    <w:rsid w:val="00E12E76"/>
    <w:rsid w:val="00E1358C"/>
    <w:rsid w:val="00E13D13"/>
    <w:rsid w:val="00E14334"/>
    <w:rsid w:val="00E143C5"/>
    <w:rsid w:val="00E14686"/>
    <w:rsid w:val="00E14C3C"/>
    <w:rsid w:val="00E14D8E"/>
    <w:rsid w:val="00E163BE"/>
    <w:rsid w:val="00E16FA3"/>
    <w:rsid w:val="00E1768E"/>
    <w:rsid w:val="00E17917"/>
    <w:rsid w:val="00E17A9C"/>
    <w:rsid w:val="00E17F3E"/>
    <w:rsid w:val="00E217CF"/>
    <w:rsid w:val="00E21BF4"/>
    <w:rsid w:val="00E21F5F"/>
    <w:rsid w:val="00E224B0"/>
    <w:rsid w:val="00E2257A"/>
    <w:rsid w:val="00E22965"/>
    <w:rsid w:val="00E22A65"/>
    <w:rsid w:val="00E22BA1"/>
    <w:rsid w:val="00E2303A"/>
    <w:rsid w:val="00E23172"/>
    <w:rsid w:val="00E232F8"/>
    <w:rsid w:val="00E24C33"/>
    <w:rsid w:val="00E24D89"/>
    <w:rsid w:val="00E253D6"/>
    <w:rsid w:val="00E25724"/>
    <w:rsid w:val="00E25C24"/>
    <w:rsid w:val="00E25E2D"/>
    <w:rsid w:val="00E263D3"/>
    <w:rsid w:val="00E27132"/>
    <w:rsid w:val="00E275E7"/>
    <w:rsid w:val="00E276ED"/>
    <w:rsid w:val="00E27914"/>
    <w:rsid w:val="00E300BC"/>
    <w:rsid w:val="00E30111"/>
    <w:rsid w:val="00E306B7"/>
    <w:rsid w:val="00E30A04"/>
    <w:rsid w:val="00E31695"/>
    <w:rsid w:val="00E31BDE"/>
    <w:rsid w:val="00E31EFE"/>
    <w:rsid w:val="00E329F7"/>
    <w:rsid w:val="00E32A50"/>
    <w:rsid w:val="00E333D4"/>
    <w:rsid w:val="00E33A4E"/>
    <w:rsid w:val="00E33DB6"/>
    <w:rsid w:val="00E3426B"/>
    <w:rsid w:val="00E343BD"/>
    <w:rsid w:val="00E348D9"/>
    <w:rsid w:val="00E34AB2"/>
    <w:rsid w:val="00E35199"/>
    <w:rsid w:val="00E3565F"/>
    <w:rsid w:val="00E35D3D"/>
    <w:rsid w:val="00E3611B"/>
    <w:rsid w:val="00E363F2"/>
    <w:rsid w:val="00E363FD"/>
    <w:rsid w:val="00E36601"/>
    <w:rsid w:val="00E366F3"/>
    <w:rsid w:val="00E36A95"/>
    <w:rsid w:val="00E36ED7"/>
    <w:rsid w:val="00E3731D"/>
    <w:rsid w:val="00E374BA"/>
    <w:rsid w:val="00E378F8"/>
    <w:rsid w:val="00E37FB2"/>
    <w:rsid w:val="00E40284"/>
    <w:rsid w:val="00E408FC"/>
    <w:rsid w:val="00E409DD"/>
    <w:rsid w:val="00E41A02"/>
    <w:rsid w:val="00E421AD"/>
    <w:rsid w:val="00E4245B"/>
    <w:rsid w:val="00E42F7A"/>
    <w:rsid w:val="00E43A6F"/>
    <w:rsid w:val="00E44628"/>
    <w:rsid w:val="00E4494E"/>
    <w:rsid w:val="00E44EA9"/>
    <w:rsid w:val="00E45B44"/>
    <w:rsid w:val="00E45EC6"/>
    <w:rsid w:val="00E4615B"/>
    <w:rsid w:val="00E461F5"/>
    <w:rsid w:val="00E4625D"/>
    <w:rsid w:val="00E46311"/>
    <w:rsid w:val="00E46566"/>
    <w:rsid w:val="00E47391"/>
    <w:rsid w:val="00E474FB"/>
    <w:rsid w:val="00E5022F"/>
    <w:rsid w:val="00E502C6"/>
    <w:rsid w:val="00E50337"/>
    <w:rsid w:val="00E50E62"/>
    <w:rsid w:val="00E513BD"/>
    <w:rsid w:val="00E5175D"/>
    <w:rsid w:val="00E51B82"/>
    <w:rsid w:val="00E51DEB"/>
    <w:rsid w:val="00E51E42"/>
    <w:rsid w:val="00E52287"/>
    <w:rsid w:val="00E52D95"/>
    <w:rsid w:val="00E53800"/>
    <w:rsid w:val="00E53993"/>
    <w:rsid w:val="00E53B7C"/>
    <w:rsid w:val="00E53C45"/>
    <w:rsid w:val="00E54C04"/>
    <w:rsid w:val="00E54E4B"/>
    <w:rsid w:val="00E54F44"/>
    <w:rsid w:val="00E55534"/>
    <w:rsid w:val="00E560A1"/>
    <w:rsid w:val="00E56527"/>
    <w:rsid w:val="00E56E8C"/>
    <w:rsid w:val="00E57083"/>
    <w:rsid w:val="00E576B3"/>
    <w:rsid w:val="00E576F8"/>
    <w:rsid w:val="00E57A77"/>
    <w:rsid w:val="00E60351"/>
    <w:rsid w:val="00E605CC"/>
    <w:rsid w:val="00E60D5B"/>
    <w:rsid w:val="00E60EB8"/>
    <w:rsid w:val="00E615C9"/>
    <w:rsid w:val="00E61647"/>
    <w:rsid w:val="00E61B4B"/>
    <w:rsid w:val="00E621F1"/>
    <w:rsid w:val="00E622D5"/>
    <w:rsid w:val="00E623BE"/>
    <w:rsid w:val="00E62582"/>
    <w:rsid w:val="00E62D8C"/>
    <w:rsid w:val="00E63742"/>
    <w:rsid w:val="00E63B1A"/>
    <w:rsid w:val="00E63E92"/>
    <w:rsid w:val="00E640BE"/>
    <w:rsid w:val="00E6433F"/>
    <w:rsid w:val="00E6434C"/>
    <w:rsid w:val="00E644C6"/>
    <w:rsid w:val="00E644DC"/>
    <w:rsid w:val="00E64A1E"/>
    <w:rsid w:val="00E651F1"/>
    <w:rsid w:val="00E65996"/>
    <w:rsid w:val="00E668CE"/>
    <w:rsid w:val="00E66954"/>
    <w:rsid w:val="00E66D69"/>
    <w:rsid w:val="00E67090"/>
    <w:rsid w:val="00E70E36"/>
    <w:rsid w:val="00E71AE7"/>
    <w:rsid w:val="00E7212C"/>
    <w:rsid w:val="00E721C5"/>
    <w:rsid w:val="00E72A48"/>
    <w:rsid w:val="00E72C26"/>
    <w:rsid w:val="00E72FB0"/>
    <w:rsid w:val="00E73084"/>
    <w:rsid w:val="00E73D32"/>
    <w:rsid w:val="00E744AA"/>
    <w:rsid w:val="00E746F4"/>
    <w:rsid w:val="00E752E6"/>
    <w:rsid w:val="00E75976"/>
    <w:rsid w:val="00E75BA8"/>
    <w:rsid w:val="00E75D2A"/>
    <w:rsid w:val="00E75FA4"/>
    <w:rsid w:val="00E76003"/>
    <w:rsid w:val="00E765BE"/>
    <w:rsid w:val="00E766DB"/>
    <w:rsid w:val="00E76B64"/>
    <w:rsid w:val="00E76E23"/>
    <w:rsid w:val="00E77186"/>
    <w:rsid w:val="00E80035"/>
    <w:rsid w:val="00E802DC"/>
    <w:rsid w:val="00E8045A"/>
    <w:rsid w:val="00E80538"/>
    <w:rsid w:val="00E81753"/>
    <w:rsid w:val="00E82290"/>
    <w:rsid w:val="00E824B2"/>
    <w:rsid w:val="00E82B9F"/>
    <w:rsid w:val="00E83890"/>
    <w:rsid w:val="00E83DFA"/>
    <w:rsid w:val="00E8443D"/>
    <w:rsid w:val="00E84799"/>
    <w:rsid w:val="00E84B84"/>
    <w:rsid w:val="00E84D40"/>
    <w:rsid w:val="00E84DB9"/>
    <w:rsid w:val="00E84F9B"/>
    <w:rsid w:val="00E85257"/>
    <w:rsid w:val="00E8535E"/>
    <w:rsid w:val="00E85F1A"/>
    <w:rsid w:val="00E8664F"/>
    <w:rsid w:val="00E86B77"/>
    <w:rsid w:val="00E86DF7"/>
    <w:rsid w:val="00E870EE"/>
    <w:rsid w:val="00E8722D"/>
    <w:rsid w:val="00E87619"/>
    <w:rsid w:val="00E87984"/>
    <w:rsid w:val="00E87C19"/>
    <w:rsid w:val="00E90244"/>
    <w:rsid w:val="00E90E0E"/>
    <w:rsid w:val="00E9143F"/>
    <w:rsid w:val="00E91B50"/>
    <w:rsid w:val="00E91C75"/>
    <w:rsid w:val="00E92465"/>
    <w:rsid w:val="00E9259D"/>
    <w:rsid w:val="00E92BA8"/>
    <w:rsid w:val="00E93547"/>
    <w:rsid w:val="00E93A67"/>
    <w:rsid w:val="00E93A86"/>
    <w:rsid w:val="00E93E00"/>
    <w:rsid w:val="00E945C4"/>
    <w:rsid w:val="00E945F4"/>
    <w:rsid w:val="00E94795"/>
    <w:rsid w:val="00E949D9"/>
    <w:rsid w:val="00E94EF2"/>
    <w:rsid w:val="00E9514E"/>
    <w:rsid w:val="00E9567F"/>
    <w:rsid w:val="00E95A77"/>
    <w:rsid w:val="00E972B8"/>
    <w:rsid w:val="00E979AE"/>
    <w:rsid w:val="00EA0374"/>
    <w:rsid w:val="00EA0488"/>
    <w:rsid w:val="00EA11AB"/>
    <w:rsid w:val="00EA11B9"/>
    <w:rsid w:val="00EA1F26"/>
    <w:rsid w:val="00EA2538"/>
    <w:rsid w:val="00EA2D08"/>
    <w:rsid w:val="00EA2ED5"/>
    <w:rsid w:val="00EA3388"/>
    <w:rsid w:val="00EA4FF7"/>
    <w:rsid w:val="00EA52BA"/>
    <w:rsid w:val="00EA5B2E"/>
    <w:rsid w:val="00EA5B43"/>
    <w:rsid w:val="00EA6088"/>
    <w:rsid w:val="00EA6756"/>
    <w:rsid w:val="00EA69A6"/>
    <w:rsid w:val="00EA6D63"/>
    <w:rsid w:val="00EA7E70"/>
    <w:rsid w:val="00EB0C7A"/>
    <w:rsid w:val="00EB0F9A"/>
    <w:rsid w:val="00EB114C"/>
    <w:rsid w:val="00EB115C"/>
    <w:rsid w:val="00EB12EB"/>
    <w:rsid w:val="00EB1589"/>
    <w:rsid w:val="00EB16C1"/>
    <w:rsid w:val="00EB1B4A"/>
    <w:rsid w:val="00EB1CEE"/>
    <w:rsid w:val="00EB1E7C"/>
    <w:rsid w:val="00EB1F1B"/>
    <w:rsid w:val="00EB1F5F"/>
    <w:rsid w:val="00EB211C"/>
    <w:rsid w:val="00EB21DB"/>
    <w:rsid w:val="00EB239D"/>
    <w:rsid w:val="00EB279C"/>
    <w:rsid w:val="00EB2E12"/>
    <w:rsid w:val="00EB3992"/>
    <w:rsid w:val="00EB3FA9"/>
    <w:rsid w:val="00EB46D0"/>
    <w:rsid w:val="00EB4E57"/>
    <w:rsid w:val="00EB50A7"/>
    <w:rsid w:val="00EB5E6C"/>
    <w:rsid w:val="00EB630F"/>
    <w:rsid w:val="00EB63EE"/>
    <w:rsid w:val="00EB71F6"/>
    <w:rsid w:val="00EB79D9"/>
    <w:rsid w:val="00EB7A69"/>
    <w:rsid w:val="00EB7ABE"/>
    <w:rsid w:val="00EC03E9"/>
    <w:rsid w:val="00EC0620"/>
    <w:rsid w:val="00EC1460"/>
    <w:rsid w:val="00EC1675"/>
    <w:rsid w:val="00EC1921"/>
    <w:rsid w:val="00EC1A2C"/>
    <w:rsid w:val="00EC239A"/>
    <w:rsid w:val="00EC2649"/>
    <w:rsid w:val="00EC26A3"/>
    <w:rsid w:val="00EC2BCB"/>
    <w:rsid w:val="00EC31B6"/>
    <w:rsid w:val="00EC3704"/>
    <w:rsid w:val="00EC3838"/>
    <w:rsid w:val="00EC3CD4"/>
    <w:rsid w:val="00EC4118"/>
    <w:rsid w:val="00EC48BA"/>
    <w:rsid w:val="00EC5463"/>
    <w:rsid w:val="00EC5BF2"/>
    <w:rsid w:val="00EC5C48"/>
    <w:rsid w:val="00EC5CA6"/>
    <w:rsid w:val="00EC5F4F"/>
    <w:rsid w:val="00EC614C"/>
    <w:rsid w:val="00EC6945"/>
    <w:rsid w:val="00EC6AF1"/>
    <w:rsid w:val="00EC6B48"/>
    <w:rsid w:val="00EC6D5B"/>
    <w:rsid w:val="00EC7164"/>
    <w:rsid w:val="00EC7362"/>
    <w:rsid w:val="00EC7A70"/>
    <w:rsid w:val="00EC7CD5"/>
    <w:rsid w:val="00ED0009"/>
    <w:rsid w:val="00ED0530"/>
    <w:rsid w:val="00ED0931"/>
    <w:rsid w:val="00ED0C5D"/>
    <w:rsid w:val="00ED15D7"/>
    <w:rsid w:val="00ED16F7"/>
    <w:rsid w:val="00ED19AD"/>
    <w:rsid w:val="00ED25AF"/>
    <w:rsid w:val="00ED261D"/>
    <w:rsid w:val="00ED2931"/>
    <w:rsid w:val="00ED2C10"/>
    <w:rsid w:val="00ED344D"/>
    <w:rsid w:val="00ED3835"/>
    <w:rsid w:val="00ED38F8"/>
    <w:rsid w:val="00ED3928"/>
    <w:rsid w:val="00ED410D"/>
    <w:rsid w:val="00ED45DD"/>
    <w:rsid w:val="00ED478F"/>
    <w:rsid w:val="00ED4A0B"/>
    <w:rsid w:val="00ED5112"/>
    <w:rsid w:val="00ED5B11"/>
    <w:rsid w:val="00ED5B75"/>
    <w:rsid w:val="00ED5E6D"/>
    <w:rsid w:val="00ED5FBE"/>
    <w:rsid w:val="00ED63D6"/>
    <w:rsid w:val="00ED64DA"/>
    <w:rsid w:val="00ED6564"/>
    <w:rsid w:val="00ED6848"/>
    <w:rsid w:val="00ED69E3"/>
    <w:rsid w:val="00ED7232"/>
    <w:rsid w:val="00ED73AF"/>
    <w:rsid w:val="00ED741D"/>
    <w:rsid w:val="00EE08A4"/>
    <w:rsid w:val="00EE1E5F"/>
    <w:rsid w:val="00EE1E67"/>
    <w:rsid w:val="00EE1FAB"/>
    <w:rsid w:val="00EE202A"/>
    <w:rsid w:val="00EE22D9"/>
    <w:rsid w:val="00EE27D6"/>
    <w:rsid w:val="00EE28C7"/>
    <w:rsid w:val="00EE2AE2"/>
    <w:rsid w:val="00EE2C22"/>
    <w:rsid w:val="00EE2C4D"/>
    <w:rsid w:val="00EE43FB"/>
    <w:rsid w:val="00EE4508"/>
    <w:rsid w:val="00EE4749"/>
    <w:rsid w:val="00EE4B67"/>
    <w:rsid w:val="00EE4DE0"/>
    <w:rsid w:val="00EE4E78"/>
    <w:rsid w:val="00EE4EB3"/>
    <w:rsid w:val="00EE4FD4"/>
    <w:rsid w:val="00EE55E4"/>
    <w:rsid w:val="00EE57C8"/>
    <w:rsid w:val="00EE5E96"/>
    <w:rsid w:val="00EE63DC"/>
    <w:rsid w:val="00EE651F"/>
    <w:rsid w:val="00EE6666"/>
    <w:rsid w:val="00EE6A03"/>
    <w:rsid w:val="00EE6F35"/>
    <w:rsid w:val="00EE6FFD"/>
    <w:rsid w:val="00EE7337"/>
    <w:rsid w:val="00EE7AD4"/>
    <w:rsid w:val="00EE7F5D"/>
    <w:rsid w:val="00EF0583"/>
    <w:rsid w:val="00EF12C9"/>
    <w:rsid w:val="00EF1A7E"/>
    <w:rsid w:val="00EF2264"/>
    <w:rsid w:val="00EF24B4"/>
    <w:rsid w:val="00EF2609"/>
    <w:rsid w:val="00EF2CBA"/>
    <w:rsid w:val="00EF399E"/>
    <w:rsid w:val="00EF3E55"/>
    <w:rsid w:val="00EF40D0"/>
    <w:rsid w:val="00EF4B37"/>
    <w:rsid w:val="00EF4DAB"/>
    <w:rsid w:val="00EF4FC0"/>
    <w:rsid w:val="00EF5090"/>
    <w:rsid w:val="00EF5973"/>
    <w:rsid w:val="00EF5B7C"/>
    <w:rsid w:val="00EF5BD9"/>
    <w:rsid w:val="00EF658E"/>
    <w:rsid w:val="00EF6D7B"/>
    <w:rsid w:val="00EF7239"/>
    <w:rsid w:val="00EF7281"/>
    <w:rsid w:val="00EF7334"/>
    <w:rsid w:val="00EF7518"/>
    <w:rsid w:val="00EF7957"/>
    <w:rsid w:val="00F007F3"/>
    <w:rsid w:val="00F00EA5"/>
    <w:rsid w:val="00F0123C"/>
    <w:rsid w:val="00F01250"/>
    <w:rsid w:val="00F013D6"/>
    <w:rsid w:val="00F01450"/>
    <w:rsid w:val="00F0173D"/>
    <w:rsid w:val="00F01F37"/>
    <w:rsid w:val="00F02F82"/>
    <w:rsid w:val="00F03D1E"/>
    <w:rsid w:val="00F0431B"/>
    <w:rsid w:val="00F048F9"/>
    <w:rsid w:val="00F04EE2"/>
    <w:rsid w:val="00F05175"/>
    <w:rsid w:val="00F0521E"/>
    <w:rsid w:val="00F05281"/>
    <w:rsid w:val="00F05376"/>
    <w:rsid w:val="00F0540D"/>
    <w:rsid w:val="00F05468"/>
    <w:rsid w:val="00F05581"/>
    <w:rsid w:val="00F057A3"/>
    <w:rsid w:val="00F064F2"/>
    <w:rsid w:val="00F068DE"/>
    <w:rsid w:val="00F06C4B"/>
    <w:rsid w:val="00F06D3D"/>
    <w:rsid w:val="00F06FC1"/>
    <w:rsid w:val="00F07161"/>
    <w:rsid w:val="00F07206"/>
    <w:rsid w:val="00F10C69"/>
    <w:rsid w:val="00F112B7"/>
    <w:rsid w:val="00F11421"/>
    <w:rsid w:val="00F1167F"/>
    <w:rsid w:val="00F11998"/>
    <w:rsid w:val="00F11B8D"/>
    <w:rsid w:val="00F11EDF"/>
    <w:rsid w:val="00F12169"/>
    <w:rsid w:val="00F12DA9"/>
    <w:rsid w:val="00F13407"/>
    <w:rsid w:val="00F13B2E"/>
    <w:rsid w:val="00F140D4"/>
    <w:rsid w:val="00F1439D"/>
    <w:rsid w:val="00F15558"/>
    <w:rsid w:val="00F157E0"/>
    <w:rsid w:val="00F159BC"/>
    <w:rsid w:val="00F15B7C"/>
    <w:rsid w:val="00F161E5"/>
    <w:rsid w:val="00F16CF8"/>
    <w:rsid w:val="00F17570"/>
    <w:rsid w:val="00F2092B"/>
    <w:rsid w:val="00F212EB"/>
    <w:rsid w:val="00F21442"/>
    <w:rsid w:val="00F21606"/>
    <w:rsid w:val="00F21FE3"/>
    <w:rsid w:val="00F221DC"/>
    <w:rsid w:val="00F2221F"/>
    <w:rsid w:val="00F224F3"/>
    <w:rsid w:val="00F225B2"/>
    <w:rsid w:val="00F227AA"/>
    <w:rsid w:val="00F22BC0"/>
    <w:rsid w:val="00F22FC9"/>
    <w:rsid w:val="00F234F0"/>
    <w:rsid w:val="00F23A3D"/>
    <w:rsid w:val="00F23D13"/>
    <w:rsid w:val="00F24BC7"/>
    <w:rsid w:val="00F24DFC"/>
    <w:rsid w:val="00F24FAF"/>
    <w:rsid w:val="00F2568D"/>
    <w:rsid w:val="00F2593F"/>
    <w:rsid w:val="00F26770"/>
    <w:rsid w:val="00F26965"/>
    <w:rsid w:val="00F26CD5"/>
    <w:rsid w:val="00F275B7"/>
    <w:rsid w:val="00F278F6"/>
    <w:rsid w:val="00F27B77"/>
    <w:rsid w:val="00F27C72"/>
    <w:rsid w:val="00F30B40"/>
    <w:rsid w:val="00F30BD7"/>
    <w:rsid w:val="00F3122D"/>
    <w:rsid w:val="00F31513"/>
    <w:rsid w:val="00F31771"/>
    <w:rsid w:val="00F3186D"/>
    <w:rsid w:val="00F319E9"/>
    <w:rsid w:val="00F31C1A"/>
    <w:rsid w:val="00F31C7A"/>
    <w:rsid w:val="00F323C8"/>
    <w:rsid w:val="00F3281C"/>
    <w:rsid w:val="00F329B7"/>
    <w:rsid w:val="00F32AB9"/>
    <w:rsid w:val="00F32F0D"/>
    <w:rsid w:val="00F334A6"/>
    <w:rsid w:val="00F3367C"/>
    <w:rsid w:val="00F33AEA"/>
    <w:rsid w:val="00F34504"/>
    <w:rsid w:val="00F345AE"/>
    <w:rsid w:val="00F34FF6"/>
    <w:rsid w:val="00F35332"/>
    <w:rsid w:val="00F3537E"/>
    <w:rsid w:val="00F356CD"/>
    <w:rsid w:val="00F35BC8"/>
    <w:rsid w:val="00F36EC7"/>
    <w:rsid w:val="00F3705D"/>
    <w:rsid w:val="00F3721C"/>
    <w:rsid w:val="00F37503"/>
    <w:rsid w:val="00F37D72"/>
    <w:rsid w:val="00F401A1"/>
    <w:rsid w:val="00F40215"/>
    <w:rsid w:val="00F40392"/>
    <w:rsid w:val="00F40538"/>
    <w:rsid w:val="00F406B6"/>
    <w:rsid w:val="00F40EED"/>
    <w:rsid w:val="00F415FE"/>
    <w:rsid w:val="00F4185F"/>
    <w:rsid w:val="00F418EB"/>
    <w:rsid w:val="00F41C48"/>
    <w:rsid w:val="00F4228F"/>
    <w:rsid w:val="00F42763"/>
    <w:rsid w:val="00F42F66"/>
    <w:rsid w:val="00F43005"/>
    <w:rsid w:val="00F43A04"/>
    <w:rsid w:val="00F43E24"/>
    <w:rsid w:val="00F4442F"/>
    <w:rsid w:val="00F44703"/>
    <w:rsid w:val="00F44788"/>
    <w:rsid w:val="00F45550"/>
    <w:rsid w:val="00F45755"/>
    <w:rsid w:val="00F457BF"/>
    <w:rsid w:val="00F459B7"/>
    <w:rsid w:val="00F45D88"/>
    <w:rsid w:val="00F465D3"/>
    <w:rsid w:val="00F47F8E"/>
    <w:rsid w:val="00F5014E"/>
    <w:rsid w:val="00F506B4"/>
    <w:rsid w:val="00F506EF"/>
    <w:rsid w:val="00F50DA8"/>
    <w:rsid w:val="00F50E3C"/>
    <w:rsid w:val="00F510B3"/>
    <w:rsid w:val="00F51BD6"/>
    <w:rsid w:val="00F51F0C"/>
    <w:rsid w:val="00F51FE8"/>
    <w:rsid w:val="00F528BF"/>
    <w:rsid w:val="00F5369F"/>
    <w:rsid w:val="00F53DA8"/>
    <w:rsid w:val="00F53F91"/>
    <w:rsid w:val="00F549F1"/>
    <w:rsid w:val="00F54AB6"/>
    <w:rsid w:val="00F54B33"/>
    <w:rsid w:val="00F54F20"/>
    <w:rsid w:val="00F55560"/>
    <w:rsid w:val="00F55BD0"/>
    <w:rsid w:val="00F55F3A"/>
    <w:rsid w:val="00F56CA0"/>
    <w:rsid w:val="00F56F06"/>
    <w:rsid w:val="00F56F62"/>
    <w:rsid w:val="00F573FB"/>
    <w:rsid w:val="00F576D4"/>
    <w:rsid w:val="00F57794"/>
    <w:rsid w:val="00F57A68"/>
    <w:rsid w:val="00F600CF"/>
    <w:rsid w:val="00F603F7"/>
    <w:rsid w:val="00F606FA"/>
    <w:rsid w:val="00F60E6E"/>
    <w:rsid w:val="00F60F66"/>
    <w:rsid w:val="00F60FDA"/>
    <w:rsid w:val="00F61BBF"/>
    <w:rsid w:val="00F61C4F"/>
    <w:rsid w:val="00F6203C"/>
    <w:rsid w:val="00F622FB"/>
    <w:rsid w:val="00F628F6"/>
    <w:rsid w:val="00F629F8"/>
    <w:rsid w:val="00F63B3F"/>
    <w:rsid w:val="00F64F63"/>
    <w:rsid w:val="00F650AC"/>
    <w:rsid w:val="00F654B9"/>
    <w:rsid w:val="00F65688"/>
    <w:rsid w:val="00F66159"/>
    <w:rsid w:val="00F66E28"/>
    <w:rsid w:val="00F66F92"/>
    <w:rsid w:val="00F67BA1"/>
    <w:rsid w:val="00F67E65"/>
    <w:rsid w:val="00F70010"/>
    <w:rsid w:val="00F7042A"/>
    <w:rsid w:val="00F708AD"/>
    <w:rsid w:val="00F709D4"/>
    <w:rsid w:val="00F70D0F"/>
    <w:rsid w:val="00F713F7"/>
    <w:rsid w:val="00F71618"/>
    <w:rsid w:val="00F7198A"/>
    <w:rsid w:val="00F71B56"/>
    <w:rsid w:val="00F71F48"/>
    <w:rsid w:val="00F721C6"/>
    <w:rsid w:val="00F72233"/>
    <w:rsid w:val="00F73815"/>
    <w:rsid w:val="00F73AC3"/>
    <w:rsid w:val="00F73FEE"/>
    <w:rsid w:val="00F74027"/>
    <w:rsid w:val="00F74173"/>
    <w:rsid w:val="00F7440E"/>
    <w:rsid w:val="00F748DC"/>
    <w:rsid w:val="00F7570D"/>
    <w:rsid w:val="00F75859"/>
    <w:rsid w:val="00F75B58"/>
    <w:rsid w:val="00F75C7D"/>
    <w:rsid w:val="00F7604B"/>
    <w:rsid w:val="00F763DD"/>
    <w:rsid w:val="00F765CE"/>
    <w:rsid w:val="00F76653"/>
    <w:rsid w:val="00F7695E"/>
    <w:rsid w:val="00F76D64"/>
    <w:rsid w:val="00F77680"/>
    <w:rsid w:val="00F7770D"/>
    <w:rsid w:val="00F778AC"/>
    <w:rsid w:val="00F7799A"/>
    <w:rsid w:val="00F77BA0"/>
    <w:rsid w:val="00F800A2"/>
    <w:rsid w:val="00F80179"/>
    <w:rsid w:val="00F8075F"/>
    <w:rsid w:val="00F807E5"/>
    <w:rsid w:val="00F817F4"/>
    <w:rsid w:val="00F81EA4"/>
    <w:rsid w:val="00F81EFB"/>
    <w:rsid w:val="00F8221C"/>
    <w:rsid w:val="00F8231A"/>
    <w:rsid w:val="00F823E5"/>
    <w:rsid w:val="00F831C4"/>
    <w:rsid w:val="00F839E3"/>
    <w:rsid w:val="00F83BE6"/>
    <w:rsid w:val="00F846B0"/>
    <w:rsid w:val="00F84742"/>
    <w:rsid w:val="00F852E2"/>
    <w:rsid w:val="00F85BC9"/>
    <w:rsid w:val="00F86593"/>
    <w:rsid w:val="00F866BD"/>
    <w:rsid w:val="00F86A71"/>
    <w:rsid w:val="00F86D86"/>
    <w:rsid w:val="00F86E63"/>
    <w:rsid w:val="00F86E79"/>
    <w:rsid w:val="00F87B02"/>
    <w:rsid w:val="00F87F33"/>
    <w:rsid w:val="00F90E9A"/>
    <w:rsid w:val="00F912AB"/>
    <w:rsid w:val="00F91756"/>
    <w:rsid w:val="00F919C3"/>
    <w:rsid w:val="00F91E20"/>
    <w:rsid w:val="00F924D6"/>
    <w:rsid w:val="00F93115"/>
    <w:rsid w:val="00F9388C"/>
    <w:rsid w:val="00F93B5F"/>
    <w:rsid w:val="00F93EFA"/>
    <w:rsid w:val="00F94D26"/>
    <w:rsid w:val="00F94E83"/>
    <w:rsid w:val="00F950DE"/>
    <w:rsid w:val="00F95393"/>
    <w:rsid w:val="00F953C4"/>
    <w:rsid w:val="00F95FD4"/>
    <w:rsid w:val="00F96235"/>
    <w:rsid w:val="00F9649D"/>
    <w:rsid w:val="00F96554"/>
    <w:rsid w:val="00F96A12"/>
    <w:rsid w:val="00F96A5B"/>
    <w:rsid w:val="00F96B33"/>
    <w:rsid w:val="00F971F0"/>
    <w:rsid w:val="00F97304"/>
    <w:rsid w:val="00F97499"/>
    <w:rsid w:val="00F97862"/>
    <w:rsid w:val="00FA0482"/>
    <w:rsid w:val="00FA0A1D"/>
    <w:rsid w:val="00FA3648"/>
    <w:rsid w:val="00FA3B3D"/>
    <w:rsid w:val="00FA41F2"/>
    <w:rsid w:val="00FA456F"/>
    <w:rsid w:val="00FA4707"/>
    <w:rsid w:val="00FA48C6"/>
    <w:rsid w:val="00FA4D93"/>
    <w:rsid w:val="00FA5792"/>
    <w:rsid w:val="00FA5825"/>
    <w:rsid w:val="00FA5983"/>
    <w:rsid w:val="00FA5A87"/>
    <w:rsid w:val="00FA5BBF"/>
    <w:rsid w:val="00FA614E"/>
    <w:rsid w:val="00FA6458"/>
    <w:rsid w:val="00FA647F"/>
    <w:rsid w:val="00FA7152"/>
    <w:rsid w:val="00FA7EC9"/>
    <w:rsid w:val="00FB04BE"/>
    <w:rsid w:val="00FB07A4"/>
    <w:rsid w:val="00FB07D5"/>
    <w:rsid w:val="00FB139F"/>
    <w:rsid w:val="00FB17E0"/>
    <w:rsid w:val="00FB1857"/>
    <w:rsid w:val="00FB1DAD"/>
    <w:rsid w:val="00FB200D"/>
    <w:rsid w:val="00FB2159"/>
    <w:rsid w:val="00FB26D1"/>
    <w:rsid w:val="00FB2B66"/>
    <w:rsid w:val="00FB2F58"/>
    <w:rsid w:val="00FB31B2"/>
    <w:rsid w:val="00FB34DC"/>
    <w:rsid w:val="00FB3571"/>
    <w:rsid w:val="00FB40E6"/>
    <w:rsid w:val="00FB4A3D"/>
    <w:rsid w:val="00FB4AA8"/>
    <w:rsid w:val="00FB4F1D"/>
    <w:rsid w:val="00FB500F"/>
    <w:rsid w:val="00FB517F"/>
    <w:rsid w:val="00FB5423"/>
    <w:rsid w:val="00FB5E7D"/>
    <w:rsid w:val="00FB643C"/>
    <w:rsid w:val="00FB65B0"/>
    <w:rsid w:val="00FB67ED"/>
    <w:rsid w:val="00FB69A9"/>
    <w:rsid w:val="00FB6D4B"/>
    <w:rsid w:val="00FB75A9"/>
    <w:rsid w:val="00FC0DCD"/>
    <w:rsid w:val="00FC0E14"/>
    <w:rsid w:val="00FC0F49"/>
    <w:rsid w:val="00FC1C92"/>
    <w:rsid w:val="00FC1FF5"/>
    <w:rsid w:val="00FC2606"/>
    <w:rsid w:val="00FC2942"/>
    <w:rsid w:val="00FC2944"/>
    <w:rsid w:val="00FC30E0"/>
    <w:rsid w:val="00FC3627"/>
    <w:rsid w:val="00FC3D87"/>
    <w:rsid w:val="00FC3ED4"/>
    <w:rsid w:val="00FC41AA"/>
    <w:rsid w:val="00FC469D"/>
    <w:rsid w:val="00FC471D"/>
    <w:rsid w:val="00FC4BBF"/>
    <w:rsid w:val="00FC4DF7"/>
    <w:rsid w:val="00FC515D"/>
    <w:rsid w:val="00FC5171"/>
    <w:rsid w:val="00FC56C7"/>
    <w:rsid w:val="00FC57C8"/>
    <w:rsid w:val="00FC5F1B"/>
    <w:rsid w:val="00FC63B5"/>
    <w:rsid w:val="00FC6404"/>
    <w:rsid w:val="00FC683D"/>
    <w:rsid w:val="00FC764C"/>
    <w:rsid w:val="00FC7A0F"/>
    <w:rsid w:val="00FD010D"/>
    <w:rsid w:val="00FD0670"/>
    <w:rsid w:val="00FD0723"/>
    <w:rsid w:val="00FD1694"/>
    <w:rsid w:val="00FD17DC"/>
    <w:rsid w:val="00FD1F66"/>
    <w:rsid w:val="00FD2711"/>
    <w:rsid w:val="00FD2A2D"/>
    <w:rsid w:val="00FD2DBD"/>
    <w:rsid w:val="00FD2E0B"/>
    <w:rsid w:val="00FD32D0"/>
    <w:rsid w:val="00FD37FE"/>
    <w:rsid w:val="00FD3D6B"/>
    <w:rsid w:val="00FD44A3"/>
    <w:rsid w:val="00FD458E"/>
    <w:rsid w:val="00FD4BCF"/>
    <w:rsid w:val="00FD5490"/>
    <w:rsid w:val="00FD57BA"/>
    <w:rsid w:val="00FD6209"/>
    <w:rsid w:val="00FD6690"/>
    <w:rsid w:val="00FD674E"/>
    <w:rsid w:val="00FD6ACF"/>
    <w:rsid w:val="00FD716E"/>
    <w:rsid w:val="00FD7685"/>
    <w:rsid w:val="00FD7A4E"/>
    <w:rsid w:val="00FD7B2B"/>
    <w:rsid w:val="00FE0418"/>
    <w:rsid w:val="00FE093A"/>
    <w:rsid w:val="00FE0A6C"/>
    <w:rsid w:val="00FE1139"/>
    <w:rsid w:val="00FE1233"/>
    <w:rsid w:val="00FE228D"/>
    <w:rsid w:val="00FE2505"/>
    <w:rsid w:val="00FE2B1E"/>
    <w:rsid w:val="00FE2C10"/>
    <w:rsid w:val="00FE2D9A"/>
    <w:rsid w:val="00FE3515"/>
    <w:rsid w:val="00FE38FD"/>
    <w:rsid w:val="00FE3928"/>
    <w:rsid w:val="00FE3A10"/>
    <w:rsid w:val="00FE3CC3"/>
    <w:rsid w:val="00FE3E84"/>
    <w:rsid w:val="00FE4024"/>
    <w:rsid w:val="00FE4045"/>
    <w:rsid w:val="00FE4087"/>
    <w:rsid w:val="00FE533D"/>
    <w:rsid w:val="00FE5B9A"/>
    <w:rsid w:val="00FE6809"/>
    <w:rsid w:val="00FE697C"/>
    <w:rsid w:val="00FE69C9"/>
    <w:rsid w:val="00FE6A80"/>
    <w:rsid w:val="00FE6C07"/>
    <w:rsid w:val="00FE6C25"/>
    <w:rsid w:val="00FE6D17"/>
    <w:rsid w:val="00FE765D"/>
    <w:rsid w:val="00FE7D1A"/>
    <w:rsid w:val="00FE7EEC"/>
    <w:rsid w:val="00FF004A"/>
    <w:rsid w:val="00FF0420"/>
    <w:rsid w:val="00FF0978"/>
    <w:rsid w:val="00FF0FE4"/>
    <w:rsid w:val="00FF12D5"/>
    <w:rsid w:val="00FF14DD"/>
    <w:rsid w:val="00FF166B"/>
    <w:rsid w:val="00FF1BA3"/>
    <w:rsid w:val="00FF276B"/>
    <w:rsid w:val="00FF2D2B"/>
    <w:rsid w:val="00FF2DDA"/>
    <w:rsid w:val="00FF3075"/>
    <w:rsid w:val="00FF31A5"/>
    <w:rsid w:val="00FF3751"/>
    <w:rsid w:val="00FF3783"/>
    <w:rsid w:val="00FF4580"/>
    <w:rsid w:val="00FF4711"/>
    <w:rsid w:val="00FF4F65"/>
    <w:rsid w:val="00FF50FD"/>
    <w:rsid w:val="00FF5163"/>
    <w:rsid w:val="00FF56C8"/>
    <w:rsid w:val="00FF6014"/>
    <w:rsid w:val="00FF6099"/>
    <w:rsid w:val="00FF6C00"/>
    <w:rsid w:val="00FF7401"/>
    <w:rsid w:val="00FF7CD2"/>
    <w:rsid w:val="00FF7E31"/>
    <w:rsid w:val="00FF7F89"/>
    <w:rsid w:val="5F98746D"/>
    <w:rsid w:val="63E12D69"/>
    <w:rsid w:val="657B058C"/>
  </w:rsids>
  <m:mathPr>
    <m:mathFont m:val="Cambria Math"/>
    <m:brkBin m:val="before"/>
    <m:brkBinSub m:val="--"/>
    <m:smallFrac m:val="0"/>
    <m:dispDef m:val="0"/>
    <m:lMargin m:val="0"/>
    <m:rMargin m:val="0"/>
    <m:defJc m:val="centerGroup"/>
    <m:wrapRight/>
    <m:intLim m:val="subSup"/>
    <m:naryLim m:val="subSup"/>
  </m:mathPr>
  <w:themeFontLang w:val="en-GB"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5DA2DBDD"/>
  <w15:docId w15:val="{DCC5ADE6-CE26-421D-AAA7-412655011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451C4E"/>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794C51"/>
    <w:pPr>
      <w:numPr>
        <w:ilvl w:val="3"/>
        <w:numId w:val="6"/>
      </w:numPr>
      <w:spacing w:before="360"/>
      <w:ind w:left="862" w:hanging="862"/>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C53097"/>
    <w:pPr>
      <w:keepNext/>
      <w:pageBreakBefore/>
      <w:numPr>
        <w:numId w:val="1"/>
      </w:numPr>
      <w:ind w:left="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FootnoteText">
    <w:name w:val="footnote text"/>
    <w:aliases w:val="ECC Footnote,footnote text1,footnote text2,footnote text3,footnote text4,footnote text5,footnote text6,footnote text7,footnote text11,footnote text21,footnote text31,footnote text41,footnote text51,footnote text61,footnote text8"/>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character" w:customStyle="1" w:styleId="FootnoteTextChar">
    <w:name w:val="Footnote Text Char"/>
    <w:aliases w:val="ECC Footnote Char,footnote text1 Char,footnote text2 Char,footnote text3 Char,footnote text4 Char,footnote text5 Char,footnote text6 Char,footnote text7 Char,footnote text11 Char,footnote text21 Char,footnote text31 Char"/>
    <w:basedOn w:val="DefaultParagraphFont"/>
    <w:link w:val="FootnoteText"/>
    <w:rsid w:val="00CD1F81"/>
    <w:rPr>
      <w:rFonts w:eastAsia="Calibri"/>
      <w:sz w:val="16"/>
      <w:szCs w:val="16"/>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Appel note de bas de p"/>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464AE0"/>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bidi="th-TH"/>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ListNumber4">
    <w:name w:val="List Number 4"/>
    <w:basedOn w:val="Normal"/>
    <w:uiPriority w:val="99"/>
    <w:semiHidden/>
    <w:unhideWhenUsed/>
    <w:locked/>
    <w:rsid w:val="00EE5E96"/>
    <w:pPr>
      <w:ind w:left="360" w:hanging="360"/>
      <w:contextualSpacing/>
    </w:pPr>
  </w:style>
  <w:style w:type="paragraph" w:styleId="NormalWeb">
    <w:name w:val="Normal (Web)"/>
    <w:basedOn w:val="Normal"/>
    <w:uiPriority w:val="99"/>
    <w:semiHidden/>
    <w:unhideWhenUsed/>
    <w:locked/>
    <w:rsid w:val="00EE5E96"/>
    <w:rPr>
      <w:rFonts w:ascii="Times New Roman" w:hAnsi="Times New Roman"/>
      <w:sz w:val="24"/>
      <w:szCs w:val="24"/>
    </w:rPr>
  </w:style>
  <w:style w:type="character" w:styleId="CommentReference">
    <w:name w:val="annotation reference"/>
    <w:basedOn w:val="DefaultParagraphFont"/>
    <w:uiPriority w:val="99"/>
    <w:semiHidden/>
    <w:unhideWhenUsed/>
    <w:locked/>
    <w:rsid w:val="00AD37F0"/>
    <w:rPr>
      <w:sz w:val="16"/>
      <w:szCs w:val="16"/>
    </w:rPr>
  </w:style>
  <w:style w:type="paragraph" w:styleId="CommentText">
    <w:name w:val="annotation text"/>
    <w:basedOn w:val="Normal"/>
    <w:link w:val="CommentTextChar"/>
    <w:uiPriority w:val="99"/>
    <w:unhideWhenUsed/>
    <w:locked/>
    <w:rsid w:val="00AD37F0"/>
    <w:rPr>
      <w:szCs w:val="20"/>
    </w:rPr>
  </w:style>
  <w:style w:type="character" w:customStyle="1" w:styleId="CommentTextChar">
    <w:name w:val="Comment Text Char"/>
    <w:basedOn w:val="DefaultParagraphFont"/>
    <w:link w:val="CommentText"/>
    <w:uiPriority w:val="99"/>
    <w:rsid w:val="00AD37F0"/>
    <w:rPr>
      <w:rFonts w:eastAsia="Calibri"/>
      <w:lang w:val="en-GB"/>
    </w:rPr>
  </w:style>
  <w:style w:type="paragraph" w:styleId="CommentSubject">
    <w:name w:val="annotation subject"/>
    <w:basedOn w:val="CommentText"/>
    <w:next w:val="CommentText"/>
    <w:link w:val="CommentSubjectChar"/>
    <w:uiPriority w:val="99"/>
    <w:semiHidden/>
    <w:unhideWhenUsed/>
    <w:locked/>
    <w:rsid w:val="00AD37F0"/>
    <w:rPr>
      <w:b/>
      <w:bCs/>
    </w:rPr>
  </w:style>
  <w:style w:type="character" w:customStyle="1" w:styleId="CommentSubjectChar">
    <w:name w:val="Comment Subject Char"/>
    <w:basedOn w:val="CommentTextChar"/>
    <w:link w:val="CommentSubject"/>
    <w:uiPriority w:val="99"/>
    <w:semiHidden/>
    <w:rsid w:val="00AD37F0"/>
    <w:rPr>
      <w:rFonts w:eastAsia="Calibri"/>
      <w:b/>
      <w:bCs/>
      <w:lang w:val="en-GB"/>
    </w:rPr>
  </w:style>
  <w:style w:type="character" w:styleId="HTMLSample">
    <w:name w:val="HTML Sample"/>
    <w:basedOn w:val="DefaultParagraphFont"/>
    <w:uiPriority w:val="99"/>
    <w:semiHidden/>
    <w:unhideWhenUsed/>
    <w:locked/>
    <w:rsid w:val="0087111A"/>
    <w:rPr>
      <w:rFonts w:ascii="Consolas" w:hAnsi="Consolas"/>
      <w:sz w:val="24"/>
      <w:szCs w:val="24"/>
    </w:rPr>
  </w:style>
  <w:style w:type="character" w:customStyle="1" w:styleId="UnresolvedMention1">
    <w:name w:val="Unresolved Mention1"/>
    <w:basedOn w:val="DefaultParagraphFont"/>
    <w:uiPriority w:val="99"/>
    <w:semiHidden/>
    <w:unhideWhenUsed/>
    <w:rsid w:val="008A62D1"/>
    <w:rPr>
      <w:color w:val="605E5C"/>
      <w:shd w:val="clear" w:color="auto" w:fill="E1DFDD"/>
    </w:rPr>
  </w:style>
  <w:style w:type="character" w:styleId="PlaceholderText">
    <w:name w:val="Placeholder Text"/>
    <w:basedOn w:val="DefaultParagraphFont"/>
    <w:uiPriority w:val="99"/>
    <w:semiHidden/>
    <w:locked/>
    <w:rsid w:val="00B51949"/>
    <w:rPr>
      <w:color w:val="808080"/>
    </w:rPr>
  </w:style>
  <w:style w:type="table" w:customStyle="1" w:styleId="TableGridLight1">
    <w:name w:val="Table Grid Light1"/>
    <w:basedOn w:val="TableNormal"/>
    <w:uiPriority w:val="40"/>
    <w:rsid w:val="00430D48"/>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DA6736"/>
    <w:rPr>
      <w:color w:val="605E5C"/>
      <w:shd w:val="clear" w:color="auto" w:fill="E1DFDD"/>
    </w:rPr>
  </w:style>
  <w:style w:type="character" w:styleId="FollowedHyperlink">
    <w:name w:val="FollowedHyperlink"/>
    <w:basedOn w:val="DefaultParagraphFont"/>
    <w:uiPriority w:val="99"/>
    <w:semiHidden/>
    <w:unhideWhenUsed/>
    <w:locked/>
    <w:rsid w:val="009865B0"/>
    <w:rPr>
      <w:color w:val="800080" w:themeColor="followedHyperlink"/>
      <w:u w:val="single"/>
    </w:rPr>
  </w:style>
  <w:style w:type="paragraph" w:styleId="Revision">
    <w:name w:val="Revision"/>
    <w:hidden/>
    <w:uiPriority w:val="99"/>
    <w:semiHidden/>
    <w:rsid w:val="007344AF"/>
    <w:pPr>
      <w:spacing w:before="0" w:after="0"/>
      <w:jc w:val="left"/>
    </w:pPr>
    <w:rPr>
      <w:rFonts w:eastAsia="Calibri"/>
      <w:szCs w:val="22"/>
      <w:lang w:val="en-GB"/>
    </w:rPr>
  </w:style>
  <w:style w:type="character" w:customStyle="1" w:styleId="UnresolvedMention3">
    <w:name w:val="Unresolved Mention3"/>
    <w:basedOn w:val="DefaultParagraphFont"/>
    <w:uiPriority w:val="99"/>
    <w:semiHidden/>
    <w:unhideWhenUsed/>
    <w:rsid w:val="00BF54B5"/>
    <w:rPr>
      <w:color w:val="605E5C"/>
      <w:shd w:val="clear" w:color="auto" w:fill="E1DFDD"/>
    </w:rPr>
  </w:style>
  <w:style w:type="paragraph" w:styleId="EndnoteText">
    <w:name w:val="endnote text"/>
    <w:basedOn w:val="Normal"/>
    <w:link w:val="EndnoteTextChar"/>
    <w:uiPriority w:val="99"/>
    <w:semiHidden/>
    <w:unhideWhenUsed/>
    <w:locked/>
    <w:rsid w:val="00334519"/>
    <w:pPr>
      <w:spacing w:before="0" w:after="0"/>
    </w:pPr>
    <w:rPr>
      <w:szCs w:val="20"/>
    </w:rPr>
  </w:style>
  <w:style w:type="character" w:customStyle="1" w:styleId="EndnoteTextChar">
    <w:name w:val="Endnote Text Char"/>
    <w:basedOn w:val="DefaultParagraphFont"/>
    <w:link w:val="EndnoteText"/>
    <w:uiPriority w:val="99"/>
    <w:semiHidden/>
    <w:rsid w:val="00334519"/>
    <w:rPr>
      <w:rFonts w:eastAsia="Calibri"/>
      <w:lang w:val="en-GB"/>
    </w:rPr>
  </w:style>
  <w:style w:type="character" w:styleId="EndnoteReference">
    <w:name w:val="endnote reference"/>
    <w:basedOn w:val="DefaultParagraphFont"/>
    <w:uiPriority w:val="99"/>
    <w:semiHidden/>
    <w:unhideWhenUsed/>
    <w:locked/>
    <w:rsid w:val="00334519"/>
    <w:rPr>
      <w:vertAlign w:val="superscript"/>
    </w:rPr>
  </w:style>
  <w:style w:type="paragraph" w:styleId="Title">
    <w:name w:val="Title"/>
    <w:basedOn w:val="Normal"/>
    <w:next w:val="Normal"/>
    <w:link w:val="TitleChar"/>
    <w:uiPriority w:val="10"/>
    <w:qFormat/>
    <w:locked/>
    <w:rsid w:val="00BB41AD"/>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41AD"/>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locked/>
    <w:rsid w:val="00BB41AD"/>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BB41AD"/>
    <w:rPr>
      <w:rFonts w:asciiTheme="minorHAnsi" w:eastAsiaTheme="minorEastAsia" w:hAnsiTheme="minorHAnsi" w:cstheme="minorBidi"/>
      <w:color w:val="5A5A5A" w:themeColor="text1" w:themeTint="A5"/>
      <w:spacing w:val="15"/>
      <w:sz w:val="22"/>
      <w:szCs w:val="22"/>
      <w:lang w:val="en-GB"/>
    </w:rPr>
  </w:style>
  <w:style w:type="paragraph" w:styleId="HTMLPreformatted">
    <w:name w:val="HTML Preformatted"/>
    <w:basedOn w:val="Normal"/>
    <w:link w:val="HTMLPreformattedChar"/>
    <w:uiPriority w:val="99"/>
    <w:semiHidden/>
    <w:unhideWhenUsed/>
    <w:locked/>
    <w:rsid w:val="00BB41AD"/>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BB41AD"/>
    <w:rPr>
      <w:rFonts w:ascii="Consolas" w:eastAsia="Calibri" w:hAnsi="Consolas"/>
      <w:lang w:val="en-GB"/>
    </w:rPr>
  </w:style>
  <w:style w:type="character" w:styleId="SubtleEmphasis">
    <w:name w:val="Subtle Emphasis"/>
    <w:basedOn w:val="DefaultParagraphFont"/>
    <w:uiPriority w:val="19"/>
    <w:qFormat/>
    <w:locked/>
    <w:rsid w:val="00BB41AD"/>
    <w:rPr>
      <w:i/>
      <w:iCs/>
      <w:color w:val="404040" w:themeColor="text1" w:themeTint="BF"/>
    </w:rPr>
  </w:style>
  <w:style w:type="character" w:customStyle="1" w:styleId="UnresolvedMention4">
    <w:name w:val="Unresolved Mention4"/>
    <w:basedOn w:val="DefaultParagraphFont"/>
    <w:uiPriority w:val="99"/>
    <w:semiHidden/>
    <w:unhideWhenUsed/>
    <w:rsid w:val="00417B0E"/>
    <w:rPr>
      <w:color w:val="605E5C"/>
      <w:shd w:val="clear" w:color="auto" w:fill="E1DFDD"/>
    </w:rPr>
  </w:style>
  <w:style w:type="character" w:customStyle="1" w:styleId="UnresolvedMention5">
    <w:name w:val="Unresolved Mention5"/>
    <w:basedOn w:val="DefaultParagraphFont"/>
    <w:uiPriority w:val="99"/>
    <w:semiHidden/>
    <w:unhideWhenUsed/>
    <w:rsid w:val="00A2585F"/>
    <w:rPr>
      <w:color w:val="605E5C"/>
      <w:shd w:val="clear" w:color="auto" w:fill="E1DFDD"/>
    </w:rPr>
  </w:style>
  <w:style w:type="paragraph" w:styleId="BodyText">
    <w:name w:val="Body Text"/>
    <w:basedOn w:val="Normal"/>
    <w:link w:val="BodyTextChar"/>
    <w:uiPriority w:val="99"/>
    <w:semiHidden/>
    <w:unhideWhenUsed/>
    <w:locked/>
    <w:rsid w:val="005B1B2E"/>
    <w:pPr>
      <w:spacing w:after="120"/>
    </w:pPr>
  </w:style>
  <w:style w:type="character" w:customStyle="1" w:styleId="BodyTextChar">
    <w:name w:val="Body Text Char"/>
    <w:basedOn w:val="DefaultParagraphFont"/>
    <w:link w:val="BodyText"/>
    <w:uiPriority w:val="99"/>
    <w:semiHidden/>
    <w:rsid w:val="005B1B2E"/>
    <w:rPr>
      <w:rFonts w:eastAsia="Calibri"/>
      <w:szCs w:val="22"/>
      <w:lang w:val="en-GB"/>
    </w:rPr>
  </w:style>
  <w:style w:type="character" w:styleId="UnresolvedMention">
    <w:name w:val="Unresolved Mention"/>
    <w:basedOn w:val="DefaultParagraphFont"/>
    <w:uiPriority w:val="99"/>
    <w:semiHidden/>
    <w:unhideWhenUsed/>
    <w:rsid w:val="004F49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20678">
      <w:bodyDiv w:val="1"/>
      <w:marLeft w:val="0"/>
      <w:marRight w:val="0"/>
      <w:marTop w:val="0"/>
      <w:marBottom w:val="0"/>
      <w:divBdr>
        <w:top w:val="none" w:sz="0" w:space="0" w:color="auto"/>
        <w:left w:val="none" w:sz="0" w:space="0" w:color="auto"/>
        <w:bottom w:val="none" w:sz="0" w:space="0" w:color="auto"/>
        <w:right w:val="none" w:sz="0" w:space="0" w:color="auto"/>
      </w:divBdr>
    </w:div>
    <w:div w:id="106589064">
      <w:bodyDiv w:val="1"/>
      <w:marLeft w:val="0"/>
      <w:marRight w:val="0"/>
      <w:marTop w:val="0"/>
      <w:marBottom w:val="0"/>
      <w:divBdr>
        <w:top w:val="none" w:sz="0" w:space="0" w:color="auto"/>
        <w:left w:val="none" w:sz="0" w:space="0" w:color="auto"/>
        <w:bottom w:val="none" w:sz="0" w:space="0" w:color="auto"/>
        <w:right w:val="none" w:sz="0" w:space="0" w:color="auto"/>
      </w:divBdr>
    </w:div>
    <w:div w:id="114327201">
      <w:bodyDiv w:val="1"/>
      <w:marLeft w:val="0"/>
      <w:marRight w:val="0"/>
      <w:marTop w:val="0"/>
      <w:marBottom w:val="0"/>
      <w:divBdr>
        <w:top w:val="none" w:sz="0" w:space="0" w:color="auto"/>
        <w:left w:val="none" w:sz="0" w:space="0" w:color="auto"/>
        <w:bottom w:val="none" w:sz="0" w:space="0" w:color="auto"/>
        <w:right w:val="none" w:sz="0" w:space="0" w:color="auto"/>
      </w:divBdr>
    </w:div>
    <w:div w:id="171535460">
      <w:bodyDiv w:val="1"/>
      <w:marLeft w:val="0"/>
      <w:marRight w:val="0"/>
      <w:marTop w:val="0"/>
      <w:marBottom w:val="0"/>
      <w:divBdr>
        <w:top w:val="none" w:sz="0" w:space="0" w:color="auto"/>
        <w:left w:val="none" w:sz="0" w:space="0" w:color="auto"/>
        <w:bottom w:val="none" w:sz="0" w:space="0" w:color="auto"/>
        <w:right w:val="none" w:sz="0" w:space="0" w:color="auto"/>
      </w:divBdr>
    </w:div>
    <w:div w:id="231283738">
      <w:bodyDiv w:val="1"/>
      <w:marLeft w:val="0"/>
      <w:marRight w:val="0"/>
      <w:marTop w:val="0"/>
      <w:marBottom w:val="0"/>
      <w:divBdr>
        <w:top w:val="none" w:sz="0" w:space="0" w:color="auto"/>
        <w:left w:val="none" w:sz="0" w:space="0" w:color="auto"/>
        <w:bottom w:val="none" w:sz="0" w:space="0" w:color="auto"/>
        <w:right w:val="none" w:sz="0" w:space="0" w:color="auto"/>
      </w:divBdr>
    </w:div>
    <w:div w:id="389613859">
      <w:bodyDiv w:val="1"/>
      <w:marLeft w:val="45"/>
      <w:marRight w:val="45"/>
      <w:marTop w:val="45"/>
      <w:marBottom w:val="45"/>
      <w:divBdr>
        <w:top w:val="none" w:sz="0" w:space="0" w:color="auto"/>
        <w:left w:val="none" w:sz="0" w:space="0" w:color="auto"/>
        <w:bottom w:val="none" w:sz="0" w:space="0" w:color="auto"/>
        <w:right w:val="none" w:sz="0" w:space="0" w:color="auto"/>
      </w:divBdr>
      <w:divsChild>
        <w:div w:id="2126925496">
          <w:marLeft w:val="0"/>
          <w:marRight w:val="0"/>
          <w:marTop w:val="0"/>
          <w:marBottom w:val="75"/>
          <w:divBdr>
            <w:top w:val="none" w:sz="0" w:space="0" w:color="auto"/>
            <w:left w:val="none" w:sz="0" w:space="0" w:color="auto"/>
            <w:bottom w:val="none" w:sz="0" w:space="0" w:color="auto"/>
            <w:right w:val="none" w:sz="0" w:space="0" w:color="auto"/>
          </w:divBdr>
        </w:div>
      </w:divsChild>
    </w:div>
    <w:div w:id="439758033">
      <w:bodyDiv w:val="1"/>
      <w:marLeft w:val="0"/>
      <w:marRight w:val="0"/>
      <w:marTop w:val="0"/>
      <w:marBottom w:val="0"/>
      <w:divBdr>
        <w:top w:val="none" w:sz="0" w:space="0" w:color="auto"/>
        <w:left w:val="none" w:sz="0" w:space="0" w:color="auto"/>
        <w:bottom w:val="none" w:sz="0" w:space="0" w:color="auto"/>
        <w:right w:val="none" w:sz="0" w:space="0" w:color="auto"/>
      </w:divBdr>
    </w:div>
    <w:div w:id="543370783">
      <w:bodyDiv w:val="1"/>
      <w:marLeft w:val="0"/>
      <w:marRight w:val="0"/>
      <w:marTop w:val="0"/>
      <w:marBottom w:val="0"/>
      <w:divBdr>
        <w:top w:val="none" w:sz="0" w:space="0" w:color="auto"/>
        <w:left w:val="none" w:sz="0" w:space="0" w:color="auto"/>
        <w:bottom w:val="none" w:sz="0" w:space="0" w:color="auto"/>
        <w:right w:val="none" w:sz="0" w:space="0" w:color="auto"/>
      </w:divBdr>
    </w:div>
    <w:div w:id="548030877">
      <w:bodyDiv w:val="1"/>
      <w:marLeft w:val="0"/>
      <w:marRight w:val="0"/>
      <w:marTop w:val="0"/>
      <w:marBottom w:val="0"/>
      <w:divBdr>
        <w:top w:val="none" w:sz="0" w:space="0" w:color="auto"/>
        <w:left w:val="none" w:sz="0" w:space="0" w:color="auto"/>
        <w:bottom w:val="none" w:sz="0" w:space="0" w:color="auto"/>
        <w:right w:val="none" w:sz="0" w:space="0" w:color="auto"/>
      </w:divBdr>
    </w:div>
    <w:div w:id="597367438">
      <w:bodyDiv w:val="1"/>
      <w:marLeft w:val="0"/>
      <w:marRight w:val="0"/>
      <w:marTop w:val="0"/>
      <w:marBottom w:val="0"/>
      <w:divBdr>
        <w:top w:val="none" w:sz="0" w:space="0" w:color="auto"/>
        <w:left w:val="none" w:sz="0" w:space="0" w:color="auto"/>
        <w:bottom w:val="none" w:sz="0" w:space="0" w:color="auto"/>
        <w:right w:val="none" w:sz="0" w:space="0" w:color="auto"/>
      </w:divBdr>
    </w:div>
    <w:div w:id="647825181">
      <w:bodyDiv w:val="1"/>
      <w:marLeft w:val="0"/>
      <w:marRight w:val="0"/>
      <w:marTop w:val="0"/>
      <w:marBottom w:val="0"/>
      <w:divBdr>
        <w:top w:val="none" w:sz="0" w:space="0" w:color="auto"/>
        <w:left w:val="none" w:sz="0" w:space="0" w:color="auto"/>
        <w:bottom w:val="none" w:sz="0" w:space="0" w:color="auto"/>
        <w:right w:val="none" w:sz="0" w:space="0" w:color="auto"/>
      </w:divBdr>
    </w:div>
    <w:div w:id="784543779">
      <w:bodyDiv w:val="1"/>
      <w:marLeft w:val="0"/>
      <w:marRight w:val="0"/>
      <w:marTop w:val="0"/>
      <w:marBottom w:val="0"/>
      <w:divBdr>
        <w:top w:val="none" w:sz="0" w:space="0" w:color="auto"/>
        <w:left w:val="none" w:sz="0" w:space="0" w:color="auto"/>
        <w:bottom w:val="none" w:sz="0" w:space="0" w:color="auto"/>
        <w:right w:val="none" w:sz="0" w:space="0" w:color="auto"/>
      </w:divBdr>
    </w:div>
    <w:div w:id="790133120">
      <w:bodyDiv w:val="1"/>
      <w:marLeft w:val="0"/>
      <w:marRight w:val="0"/>
      <w:marTop w:val="0"/>
      <w:marBottom w:val="0"/>
      <w:divBdr>
        <w:top w:val="none" w:sz="0" w:space="0" w:color="auto"/>
        <w:left w:val="none" w:sz="0" w:space="0" w:color="auto"/>
        <w:bottom w:val="none" w:sz="0" w:space="0" w:color="auto"/>
        <w:right w:val="none" w:sz="0" w:space="0" w:color="auto"/>
      </w:divBdr>
    </w:div>
    <w:div w:id="858082186">
      <w:bodyDiv w:val="1"/>
      <w:marLeft w:val="45"/>
      <w:marRight w:val="45"/>
      <w:marTop w:val="45"/>
      <w:marBottom w:val="45"/>
      <w:divBdr>
        <w:top w:val="none" w:sz="0" w:space="0" w:color="auto"/>
        <w:left w:val="none" w:sz="0" w:space="0" w:color="auto"/>
        <w:bottom w:val="none" w:sz="0" w:space="0" w:color="auto"/>
        <w:right w:val="none" w:sz="0" w:space="0" w:color="auto"/>
      </w:divBdr>
      <w:divsChild>
        <w:div w:id="1669209461">
          <w:marLeft w:val="0"/>
          <w:marRight w:val="0"/>
          <w:marTop w:val="0"/>
          <w:marBottom w:val="75"/>
          <w:divBdr>
            <w:top w:val="none" w:sz="0" w:space="0" w:color="auto"/>
            <w:left w:val="none" w:sz="0" w:space="0" w:color="auto"/>
            <w:bottom w:val="none" w:sz="0" w:space="0" w:color="auto"/>
            <w:right w:val="none" w:sz="0" w:space="0" w:color="auto"/>
          </w:divBdr>
        </w:div>
      </w:divsChild>
    </w:div>
    <w:div w:id="948699433">
      <w:bodyDiv w:val="1"/>
      <w:marLeft w:val="0"/>
      <w:marRight w:val="0"/>
      <w:marTop w:val="0"/>
      <w:marBottom w:val="0"/>
      <w:divBdr>
        <w:top w:val="none" w:sz="0" w:space="0" w:color="auto"/>
        <w:left w:val="none" w:sz="0" w:space="0" w:color="auto"/>
        <w:bottom w:val="none" w:sz="0" w:space="0" w:color="auto"/>
        <w:right w:val="none" w:sz="0" w:space="0" w:color="auto"/>
      </w:divBdr>
    </w:div>
    <w:div w:id="1018701738">
      <w:bodyDiv w:val="1"/>
      <w:marLeft w:val="0"/>
      <w:marRight w:val="0"/>
      <w:marTop w:val="0"/>
      <w:marBottom w:val="0"/>
      <w:divBdr>
        <w:top w:val="none" w:sz="0" w:space="0" w:color="auto"/>
        <w:left w:val="none" w:sz="0" w:space="0" w:color="auto"/>
        <w:bottom w:val="none" w:sz="0" w:space="0" w:color="auto"/>
        <w:right w:val="none" w:sz="0" w:space="0" w:color="auto"/>
      </w:divBdr>
    </w:div>
    <w:div w:id="1040547232">
      <w:bodyDiv w:val="1"/>
      <w:marLeft w:val="0"/>
      <w:marRight w:val="0"/>
      <w:marTop w:val="0"/>
      <w:marBottom w:val="0"/>
      <w:divBdr>
        <w:top w:val="none" w:sz="0" w:space="0" w:color="auto"/>
        <w:left w:val="none" w:sz="0" w:space="0" w:color="auto"/>
        <w:bottom w:val="none" w:sz="0" w:space="0" w:color="auto"/>
        <w:right w:val="none" w:sz="0" w:space="0" w:color="auto"/>
      </w:divBdr>
    </w:div>
    <w:div w:id="1058629131">
      <w:bodyDiv w:val="1"/>
      <w:marLeft w:val="0"/>
      <w:marRight w:val="0"/>
      <w:marTop w:val="0"/>
      <w:marBottom w:val="0"/>
      <w:divBdr>
        <w:top w:val="none" w:sz="0" w:space="0" w:color="auto"/>
        <w:left w:val="none" w:sz="0" w:space="0" w:color="auto"/>
        <w:bottom w:val="none" w:sz="0" w:space="0" w:color="auto"/>
        <w:right w:val="none" w:sz="0" w:space="0" w:color="auto"/>
      </w:divBdr>
    </w:div>
    <w:div w:id="1156413219">
      <w:bodyDiv w:val="1"/>
      <w:marLeft w:val="0"/>
      <w:marRight w:val="0"/>
      <w:marTop w:val="0"/>
      <w:marBottom w:val="0"/>
      <w:divBdr>
        <w:top w:val="none" w:sz="0" w:space="0" w:color="auto"/>
        <w:left w:val="none" w:sz="0" w:space="0" w:color="auto"/>
        <w:bottom w:val="none" w:sz="0" w:space="0" w:color="auto"/>
        <w:right w:val="none" w:sz="0" w:space="0" w:color="auto"/>
      </w:divBdr>
    </w:div>
    <w:div w:id="1196112245">
      <w:bodyDiv w:val="1"/>
      <w:marLeft w:val="0"/>
      <w:marRight w:val="0"/>
      <w:marTop w:val="0"/>
      <w:marBottom w:val="0"/>
      <w:divBdr>
        <w:top w:val="none" w:sz="0" w:space="0" w:color="auto"/>
        <w:left w:val="none" w:sz="0" w:space="0" w:color="auto"/>
        <w:bottom w:val="none" w:sz="0" w:space="0" w:color="auto"/>
        <w:right w:val="none" w:sz="0" w:space="0" w:color="auto"/>
      </w:divBdr>
    </w:div>
    <w:div w:id="1286230538">
      <w:bodyDiv w:val="1"/>
      <w:marLeft w:val="0"/>
      <w:marRight w:val="0"/>
      <w:marTop w:val="0"/>
      <w:marBottom w:val="0"/>
      <w:divBdr>
        <w:top w:val="none" w:sz="0" w:space="0" w:color="auto"/>
        <w:left w:val="none" w:sz="0" w:space="0" w:color="auto"/>
        <w:bottom w:val="none" w:sz="0" w:space="0" w:color="auto"/>
        <w:right w:val="none" w:sz="0" w:space="0" w:color="auto"/>
      </w:divBdr>
    </w:div>
    <w:div w:id="1326324654">
      <w:bodyDiv w:val="1"/>
      <w:marLeft w:val="0"/>
      <w:marRight w:val="0"/>
      <w:marTop w:val="0"/>
      <w:marBottom w:val="0"/>
      <w:divBdr>
        <w:top w:val="none" w:sz="0" w:space="0" w:color="auto"/>
        <w:left w:val="none" w:sz="0" w:space="0" w:color="auto"/>
        <w:bottom w:val="none" w:sz="0" w:space="0" w:color="auto"/>
        <w:right w:val="none" w:sz="0" w:space="0" w:color="auto"/>
      </w:divBdr>
    </w:div>
    <w:div w:id="1337001212">
      <w:bodyDiv w:val="1"/>
      <w:marLeft w:val="0"/>
      <w:marRight w:val="0"/>
      <w:marTop w:val="0"/>
      <w:marBottom w:val="0"/>
      <w:divBdr>
        <w:top w:val="none" w:sz="0" w:space="0" w:color="auto"/>
        <w:left w:val="none" w:sz="0" w:space="0" w:color="auto"/>
        <w:bottom w:val="none" w:sz="0" w:space="0" w:color="auto"/>
        <w:right w:val="none" w:sz="0" w:space="0" w:color="auto"/>
      </w:divBdr>
    </w:div>
    <w:div w:id="1516460767">
      <w:bodyDiv w:val="1"/>
      <w:marLeft w:val="0"/>
      <w:marRight w:val="0"/>
      <w:marTop w:val="0"/>
      <w:marBottom w:val="0"/>
      <w:divBdr>
        <w:top w:val="none" w:sz="0" w:space="0" w:color="auto"/>
        <w:left w:val="none" w:sz="0" w:space="0" w:color="auto"/>
        <w:bottom w:val="none" w:sz="0" w:space="0" w:color="auto"/>
        <w:right w:val="none" w:sz="0" w:space="0" w:color="auto"/>
      </w:divBdr>
    </w:div>
    <w:div w:id="1636446747">
      <w:bodyDiv w:val="1"/>
      <w:marLeft w:val="0"/>
      <w:marRight w:val="0"/>
      <w:marTop w:val="0"/>
      <w:marBottom w:val="0"/>
      <w:divBdr>
        <w:top w:val="none" w:sz="0" w:space="0" w:color="auto"/>
        <w:left w:val="none" w:sz="0" w:space="0" w:color="auto"/>
        <w:bottom w:val="none" w:sz="0" w:space="0" w:color="auto"/>
        <w:right w:val="none" w:sz="0" w:space="0" w:color="auto"/>
      </w:divBdr>
    </w:div>
    <w:div w:id="1646619377">
      <w:bodyDiv w:val="1"/>
      <w:marLeft w:val="0"/>
      <w:marRight w:val="0"/>
      <w:marTop w:val="0"/>
      <w:marBottom w:val="0"/>
      <w:divBdr>
        <w:top w:val="none" w:sz="0" w:space="0" w:color="auto"/>
        <w:left w:val="none" w:sz="0" w:space="0" w:color="auto"/>
        <w:bottom w:val="none" w:sz="0" w:space="0" w:color="auto"/>
        <w:right w:val="none" w:sz="0" w:space="0" w:color="auto"/>
      </w:divBdr>
    </w:div>
    <w:div w:id="1652175155">
      <w:bodyDiv w:val="1"/>
      <w:marLeft w:val="0"/>
      <w:marRight w:val="0"/>
      <w:marTop w:val="0"/>
      <w:marBottom w:val="0"/>
      <w:divBdr>
        <w:top w:val="none" w:sz="0" w:space="0" w:color="auto"/>
        <w:left w:val="none" w:sz="0" w:space="0" w:color="auto"/>
        <w:bottom w:val="none" w:sz="0" w:space="0" w:color="auto"/>
        <w:right w:val="none" w:sz="0" w:space="0" w:color="auto"/>
      </w:divBdr>
    </w:div>
    <w:div w:id="1671983873">
      <w:bodyDiv w:val="1"/>
      <w:marLeft w:val="0"/>
      <w:marRight w:val="0"/>
      <w:marTop w:val="0"/>
      <w:marBottom w:val="0"/>
      <w:divBdr>
        <w:top w:val="none" w:sz="0" w:space="0" w:color="auto"/>
        <w:left w:val="none" w:sz="0" w:space="0" w:color="auto"/>
        <w:bottom w:val="none" w:sz="0" w:space="0" w:color="auto"/>
        <w:right w:val="none" w:sz="0" w:space="0" w:color="auto"/>
      </w:divBdr>
    </w:div>
    <w:div w:id="1722099631">
      <w:bodyDiv w:val="1"/>
      <w:marLeft w:val="0"/>
      <w:marRight w:val="0"/>
      <w:marTop w:val="0"/>
      <w:marBottom w:val="0"/>
      <w:divBdr>
        <w:top w:val="none" w:sz="0" w:space="0" w:color="auto"/>
        <w:left w:val="none" w:sz="0" w:space="0" w:color="auto"/>
        <w:bottom w:val="none" w:sz="0" w:space="0" w:color="auto"/>
        <w:right w:val="none" w:sz="0" w:space="0" w:color="auto"/>
      </w:divBdr>
    </w:div>
    <w:div w:id="1732775866">
      <w:bodyDiv w:val="1"/>
      <w:marLeft w:val="0"/>
      <w:marRight w:val="0"/>
      <w:marTop w:val="0"/>
      <w:marBottom w:val="0"/>
      <w:divBdr>
        <w:top w:val="none" w:sz="0" w:space="0" w:color="auto"/>
        <w:left w:val="none" w:sz="0" w:space="0" w:color="auto"/>
        <w:bottom w:val="none" w:sz="0" w:space="0" w:color="auto"/>
        <w:right w:val="none" w:sz="0" w:space="0" w:color="auto"/>
      </w:divBdr>
    </w:div>
    <w:div w:id="1761294016">
      <w:bodyDiv w:val="1"/>
      <w:marLeft w:val="0"/>
      <w:marRight w:val="0"/>
      <w:marTop w:val="0"/>
      <w:marBottom w:val="0"/>
      <w:divBdr>
        <w:top w:val="none" w:sz="0" w:space="0" w:color="auto"/>
        <w:left w:val="none" w:sz="0" w:space="0" w:color="auto"/>
        <w:bottom w:val="none" w:sz="0" w:space="0" w:color="auto"/>
        <w:right w:val="none" w:sz="0" w:space="0" w:color="auto"/>
      </w:divBdr>
    </w:div>
    <w:div w:id="1948779880">
      <w:bodyDiv w:val="1"/>
      <w:marLeft w:val="0"/>
      <w:marRight w:val="0"/>
      <w:marTop w:val="0"/>
      <w:marBottom w:val="0"/>
      <w:divBdr>
        <w:top w:val="none" w:sz="0" w:space="0" w:color="auto"/>
        <w:left w:val="none" w:sz="0" w:space="0" w:color="auto"/>
        <w:bottom w:val="none" w:sz="0" w:space="0" w:color="auto"/>
        <w:right w:val="none" w:sz="0" w:space="0" w:color="auto"/>
      </w:divBdr>
    </w:div>
    <w:div w:id="1956129412">
      <w:bodyDiv w:val="1"/>
      <w:marLeft w:val="0"/>
      <w:marRight w:val="0"/>
      <w:marTop w:val="0"/>
      <w:marBottom w:val="0"/>
      <w:divBdr>
        <w:top w:val="none" w:sz="0" w:space="0" w:color="auto"/>
        <w:left w:val="none" w:sz="0" w:space="0" w:color="auto"/>
        <w:bottom w:val="none" w:sz="0" w:space="0" w:color="auto"/>
        <w:right w:val="none" w:sz="0" w:space="0" w:color="auto"/>
      </w:divBdr>
    </w:div>
    <w:div w:id="2072774434">
      <w:bodyDiv w:val="1"/>
      <w:marLeft w:val="0"/>
      <w:marRight w:val="0"/>
      <w:marTop w:val="0"/>
      <w:marBottom w:val="0"/>
      <w:divBdr>
        <w:top w:val="none" w:sz="0" w:space="0" w:color="auto"/>
        <w:left w:val="none" w:sz="0" w:space="0" w:color="auto"/>
        <w:bottom w:val="none" w:sz="0" w:space="0" w:color="auto"/>
        <w:right w:val="none" w:sz="0" w:space="0" w:color="auto"/>
      </w:divBdr>
    </w:div>
    <w:div w:id="2081053932">
      <w:bodyDiv w:val="1"/>
      <w:marLeft w:val="0"/>
      <w:marRight w:val="0"/>
      <w:marTop w:val="0"/>
      <w:marBottom w:val="0"/>
      <w:divBdr>
        <w:top w:val="none" w:sz="0" w:space="0" w:color="auto"/>
        <w:left w:val="none" w:sz="0" w:space="0" w:color="auto"/>
        <w:bottom w:val="none" w:sz="0" w:space="0" w:color="auto"/>
        <w:right w:val="none" w:sz="0" w:space="0" w:color="auto"/>
      </w:divBdr>
    </w:div>
    <w:div w:id="2117141451">
      <w:bodyDiv w:val="1"/>
      <w:marLeft w:val="0"/>
      <w:marRight w:val="0"/>
      <w:marTop w:val="0"/>
      <w:marBottom w:val="0"/>
      <w:divBdr>
        <w:top w:val="none" w:sz="0" w:space="0" w:color="auto"/>
        <w:left w:val="none" w:sz="0" w:space="0" w:color="auto"/>
        <w:bottom w:val="none" w:sz="0" w:space="0" w:color="auto"/>
        <w:right w:val="none" w:sz="0" w:space="0" w:color="auto"/>
      </w:divBdr>
    </w:div>
    <w:div w:id="2119520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emf"/><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1.jpeg"/><Relationship Id="rId159" Type="http://schemas.openxmlformats.org/officeDocument/2006/relationships/hyperlink" Target="https://docdb.cept.org/document/26187" TargetMode="External"/><Relationship Id="rId170" Type="http://schemas.openxmlformats.org/officeDocument/2006/relationships/hyperlink" Target="https://docdb.cept.org/document/26187" TargetMode="External"/><Relationship Id="rId191" Type="http://schemas.microsoft.com/office/2007/relationships/hdphoto" Target="media/hdphoto1.wdp"/><Relationship Id="rId205" Type="http://schemas.openxmlformats.org/officeDocument/2006/relationships/image" Target="media/image167.emf"/><Relationship Id="rId226" Type="http://schemas.openxmlformats.org/officeDocument/2006/relationships/hyperlink" Target="https://almascience.eso.org/" TargetMode="External"/><Relationship Id="rId107" Type="http://schemas.openxmlformats.org/officeDocument/2006/relationships/image" Target="media/image96.png"/><Relationship Id="rId11" Type="http://schemas.openxmlformats.org/officeDocument/2006/relationships/image" Target="media/image1.emf"/><Relationship Id="rId32" Type="http://schemas.openxmlformats.org/officeDocument/2006/relationships/image" Target="media/image21.emf"/><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hyperlink" Target="https://docdb.cept.org/document/26187" TargetMode="External"/><Relationship Id="rId149" Type="http://schemas.openxmlformats.org/officeDocument/2006/relationships/image" Target="media/image132.jp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hyperlink" Target="https://docdb.cept.org/document/26187" TargetMode="External"/><Relationship Id="rId181" Type="http://schemas.openxmlformats.org/officeDocument/2006/relationships/image" Target="media/image144.png"/><Relationship Id="rId216" Type="http://schemas.openxmlformats.org/officeDocument/2006/relationships/image" Target="media/image178.jpe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5.png"/><Relationship Id="rId139" Type="http://schemas.openxmlformats.org/officeDocument/2006/relationships/image" Target="media/image122.jpeg"/><Relationship Id="rId85" Type="http://schemas.openxmlformats.org/officeDocument/2006/relationships/image" Target="media/image74.png"/><Relationship Id="rId150" Type="http://schemas.openxmlformats.org/officeDocument/2006/relationships/image" Target="media/image133.jpg"/><Relationship Id="rId171" Type="http://schemas.openxmlformats.org/officeDocument/2006/relationships/hyperlink" Target="https://docdb.cept.org/document/26187" TargetMode="External"/><Relationship Id="rId192" Type="http://schemas.openxmlformats.org/officeDocument/2006/relationships/image" Target="media/image154.jpeg"/><Relationship Id="rId206" Type="http://schemas.openxmlformats.org/officeDocument/2006/relationships/image" Target="media/image168.png"/><Relationship Id="rId227" Type="http://schemas.openxmlformats.org/officeDocument/2006/relationships/hyperlink" Target="https://www.bundesverband-flachglas.de/downloads/studien/" TargetMode="External"/><Relationship Id="rId12" Type="http://schemas.openxmlformats.org/officeDocument/2006/relationships/hyperlink" Target="https://dict.leo.org/englisch-deutsch/peculiarity" TargetMode="External"/><Relationship Id="rId33" Type="http://schemas.openxmlformats.org/officeDocument/2006/relationships/image" Target="media/image22.emf"/><Relationship Id="rId108" Type="http://schemas.openxmlformats.org/officeDocument/2006/relationships/image" Target="media/image97.png"/><Relationship Id="rId129" Type="http://schemas.openxmlformats.org/officeDocument/2006/relationships/hyperlink" Target="https://docdb.cept.org/document/26187" TargetMode="External"/><Relationship Id="rId54" Type="http://schemas.openxmlformats.org/officeDocument/2006/relationships/image" Target="media/image43.png"/><Relationship Id="rId75" Type="http://schemas.openxmlformats.org/officeDocument/2006/relationships/image" Target="media/image64.jpeg"/><Relationship Id="rId96" Type="http://schemas.openxmlformats.org/officeDocument/2006/relationships/image" Target="media/image85.png"/><Relationship Id="rId140" Type="http://schemas.openxmlformats.org/officeDocument/2006/relationships/image" Target="media/image123.jpg"/><Relationship Id="rId161" Type="http://schemas.openxmlformats.org/officeDocument/2006/relationships/hyperlink" Target="https://docdb.cept.org/document/26187" TargetMode="External"/><Relationship Id="rId182" Type="http://schemas.openxmlformats.org/officeDocument/2006/relationships/image" Target="media/image145.png"/><Relationship Id="rId217" Type="http://schemas.openxmlformats.org/officeDocument/2006/relationships/image" Target="media/image179.jpeg"/><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6.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3.jpeg"/><Relationship Id="rId151" Type="http://schemas.openxmlformats.org/officeDocument/2006/relationships/image" Target="media/image134.jpg"/><Relationship Id="rId172" Type="http://schemas.openxmlformats.org/officeDocument/2006/relationships/hyperlink" Target="https://docdb.cept.org/document/26187" TargetMode="External"/><Relationship Id="rId193" Type="http://schemas.openxmlformats.org/officeDocument/2006/relationships/image" Target="media/image155.jpeg"/><Relationship Id="rId207" Type="http://schemas.openxmlformats.org/officeDocument/2006/relationships/image" Target="media/image169.png"/><Relationship Id="rId228" Type="http://schemas.openxmlformats.org/officeDocument/2006/relationships/hyperlink" Target="https://www.researchgate.net/publication/282886083" TargetMode="External"/><Relationship Id="rId13" Type="http://schemas.openxmlformats.org/officeDocument/2006/relationships/image" Target="media/image2.jpg"/><Relationship Id="rId109" Type="http://schemas.openxmlformats.org/officeDocument/2006/relationships/image" Target="media/image98.png"/><Relationship Id="rId34" Type="http://schemas.openxmlformats.org/officeDocument/2006/relationships/image" Target="media/image23.emf"/><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7.png"/><Relationship Id="rId141" Type="http://schemas.openxmlformats.org/officeDocument/2006/relationships/image" Target="media/image124.jpg"/><Relationship Id="rId7" Type="http://schemas.openxmlformats.org/officeDocument/2006/relationships/settings" Target="settings.xml"/><Relationship Id="rId162" Type="http://schemas.openxmlformats.org/officeDocument/2006/relationships/hyperlink" Target="https://docdb.cept.org/document/26187" TargetMode="External"/><Relationship Id="rId183" Type="http://schemas.openxmlformats.org/officeDocument/2006/relationships/image" Target="media/image146.png"/><Relationship Id="rId218" Type="http://schemas.openxmlformats.org/officeDocument/2006/relationships/image" Target="media/image180.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14.jpeg"/><Relationship Id="rId152" Type="http://schemas.openxmlformats.org/officeDocument/2006/relationships/image" Target="media/image135.jpeg"/><Relationship Id="rId173" Type="http://schemas.openxmlformats.org/officeDocument/2006/relationships/hyperlink" Target="https://docdb.cept.org/document/26187" TargetMode="External"/><Relationship Id="rId194" Type="http://schemas.openxmlformats.org/officeDocument/2006/relationships/image" Target="media/image156.png"/><Relationship Id="rId208" Type="http://schemas.openxmlformats.org/officeDocument/2006/relationships/image" Target="media/image170.emf"/><Relationship Id="rId229" Type="http://schemas.openxmlformats.org/officeDocument/2006/relationships/header" Target="header1.xml"/><Relationship Id="rId14" Type="http://schemas.openxmlformats.org/officeDocument/2006/relationships/image" Target="media/image3.emf"/><Relationship Id="rId35" Type="http://schemas.openxmlformats.org/officeDocument/2006/relationships/image" Target="media/image24.emf"/><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jpeg"/><Relationship Id="rId121" Type="http://schemas.openxmlformats.org/officeDocument/2006/relationships/image" Target="media/image108.emf"/><Relationship Id="rId142" Type="http://schemas.openxmlformats.org/officeDocument/2006/relationships/image" Target="media/image125.jpg"/><Relationship Id="rId163" Type="http://schemas.openxmlformats.org/officeDocument/2006/relationships/hyperlink" Target="https://docdb.cept.org/document/26187" TargetMode="External"/><Relationship Id="rId184" Type="http://schemas.openxmlformats.org/officeDocument/2006/relationships/image" Target="media/image147.jpeg"/><Relationship Id="rId219" Type="http://schemas.openxmlformats.org/officeDocument/2006/relationships/image" Target="media/image181.png"/><Relationship Id="rId230" Type="http://schemas.openxmlformats.org/officeDocument/2006/relationships/header" Target="header2.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15.jpg"/><Relationship Id="rId153" Type="http://schemas.openxmlformats.org/officeDocument/2006/relationships/image" Target="media/image136.jpeg"/><Relationship Id="rId174" Type="http://schemas.openxmlformats.org/officeDocument/2006/relationships/hyperlink" Target="https://docdb.cept.org/document/26187" TargetMode="External"/><Relationship Id="rId179" Type="http://schemas.openxmlformats.org/officeDocument/2006/relationships/image" Target="media/image142.png"/><Relationship Id="rId195" Type="http://schemas.openxmlformats.org/officeDocument/2006/relationships/image" Target="media/image157.png"/><Relationship Id="rId209" Type="http://schemas.openxmlformats.org/officeDocument/2006/relationships/image" Target="media/image171.emf"/><Relationship Id="rId190" Type="http://schemas.openxmlformats.org/officeDocument/2006/relationships/image" Target="media/image153.png"/><Relationship Id="rId204" Type="http://schemas.openxmlformats.org/officeDocument/2006/relationships/image" Target="media/image166.png"/><Relationship Id="rId220" Type="http://schemas.openxmlformats.org/officeDocument/2006/relationships/image" Target="media/image182.png"/><Relationship Id="rId225" Type="http://schemas.openxmlformats.org/officeDocument/2006/relationships/hyperlink" Target="https://ieeexplore.ieee.org/document/8439245/" TargetMode="External"/><Relationship Id="rId15" Type="http://schemas.openxmlformats.org/officeDocument/2006/relationships/image" Target="media/image4.emf"/><Relationship Id="rId36" Type="http://schemas.openxmlformats.org/officeDocument/2006/relationships/image" Target="media/image25.emf"/><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hyperlink" Target="https://docdb.cept.org/document/26187" TargetMode="External"/><Relationship Id="rId10" Type="http://schemas.openxmlformats.org/officeDocument/2006/relationships/endnotes" Target="endnotes.xml"/><Relationship Id="rId31" Type="http://schemas.openxmlformats.org/officeDocument/2006/relationships/image" Target="media/image20.emf"/><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9.emf"/><Relationship Id="rId143" Type="http://schemas.openxmlformats.org/officeDocument/2006/relationships/image" Target="media/image126.jpg"/><Relationship Id="rId148" Type="http://schemas.openxmlformats.org/officeDocument/2006/relationships/image" Target="media/image131.jpg"/><Relationship Id="rId164" Type="http://schemas.openxmlformats.org/officeDocument/2006/relationships/hyperlink" Target="https://docdb.cept.org/document/26187" TargetMode="External"/><Relationship Id="rId169" Type="http://schemas.openxmlformats.org/officeDocument/2006/relationships/hyperlink" Target="https://docdb.cept.org/document/26187" TargetMode="External"/><Relationship Id="rId185" Type="http://schemas.openxmlformats.org/officeDocument/2006/relationships/image" Target="media/image148.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3.png"/><Relationship Id="rId210" Type="http://schemas.openxmlformats.org/officeDocument/2006/relationships/image" Target="media/image172.png"/><Relationship Id="rId215" Type="http://schemas.openxmlformats.org/officeDocument/2006/relationships/image" Target="media/image177.png"/><Relationship Id="rId236" Type="http://schemas.openxmlformats.org/officeDocument/2006/relationships/theme" Target="theme/theme1.xml"/><Relationship Id="rId26" Type="http://schemas.openxmlformats.org/officeDocument/2006/relationships/image" Target="media/image15.png"/><Relationship Id="rId231" Type="http://schemas.openxmlformats.org/officeDocument/2006/relationships/footer" Target="footer1.xm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16.jpg"/><Relationship Id="rId154" Type="http://schemas.openxmlformats.org/officeDocument/2006/relationships/image" Target="media/image137.jpeg"/><Relationship Id="rId175" Type="http://schemas.openxmlformats.org/officeDocument/2006/relationships/hyperlink" Target="https://docdb.cept.org/document/26187" TargetMode="External"/><Relationship Id="rId196" Type="http://schemas.openxmlformats.org/officeDocument/2006/relationships/image" Target="media/image158.png"/><Relationship Id="rId200" Type="http://schemas.openxmlformats.org/officeDocument/2006/relationships/image" Target="media/image162.jpeg"/><Relationship Id="rId16" Type="http://schemas.openxmlformats.org/officeDocument/2006/relationships/image" Target="media/image5.png"/><Relationship Id="rId221" Type="http://schemas.openxmlformats.org/officeDocument/2006/relationships/image" Target="media/image183.png"/><Relationship Id="rId37" Type="http://schemas.openxmlformats.org/officeDocument/2006/relationships/image" Target="media/image26.emf"/><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0.emf"/><Relationship Id="rId144" Type="http://schemas.openxmlformats.org/officeDocument/2006/relationships/image" Target="media/image127.jpeg"/><Relationship Id="rId90" Type="http://schemas.openxmlformats.org/officeDocument/2006/relationships/image" Target="media/image79.png"/><Relationship Id="rId165" Type="http://schemas.openxmlformats.org/officeDocument/2006/relationships/hyperlink" Target="https://docdb.cept.org/document/26187" TargetMode="External"/><Relationship Id="rId186" Type="http://schemas.openxmlformats.org/officeDocument/2006/relationships/image" Target="media/image149.jpeg"/><Relationship Id="rId211" Type="http://schemas.openxmlformats.org/officeDocument/2006/relationships/image" Target="media/image173.png"/><Relationship Id="rId232" Type="http://schemas.openxmlformats.org/officeDocument/2006/relationships/footer" Target="footer2.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17.jpeg"/><Relationship Id="rId80" Type="http://schemas.openxmlformats.org/officeDocument/2006/relationships/image" Target="media/image69.png"/><Relationship Id="rId155" Type="http://schemas.openxmlformats.org/officeDocument/2006/relationships/image" Target="media/image138.jpeg"/><Relationship Id="rId176" Type="http://schemas.openxmlformats.org/officeDocument/2006/relationships/hyperlink" Target="https://docdb.cept.org/document/26187" TargetMode="External"/><Relationship Id="rId197" Type="http://schemas.openxmlformats.org/officeDocument/2006/relationships/image" Target="media/image159.png"/><Relationship Id="rId201" Type="http://schemas.openxmlformats.org/officeDocument/2006/relationships/image" Target="media/image163.emf"/><Relationship Id="rId222" Type="http://schemas.openxmlformats.org/officeDocument/2006/relationships/hyperlink" Target="https://efis.cept.org/" TargetMode="Externa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1.emf"/><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28.jpeg"/><Relationship Id="rId166" Type="http://schemas.openxmlformats.org/officeDocument/2006/relationships/hyperlink" Target="https://docdb.cept.org/document/26187" TargetMode="External"/><Relationship Id="rId187" Type="http://schemas.openxmlformats.org/officeDocument/2006/relationships/image" Target="media/image150.jpeg"/><Relationship Id="rId1" Type="http://schemas.openxmlformats.org/officeDocument/2006/relationships/customXml" Target="../customXml/item1.xml"/><Relationship Id="rId212" Type="http://schemas.openxmlformats.org/officeDocument/2006/relationships/image" Target="media/image174.emf"/><Relationship Id="rId233" Type="http://schemas.openxmlformats.org/officeDocument/2006/relationships/header" Target="header3.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18.jpeg"/><Relationship Id="rId156" Type="http://schemas.openxmlformats.org/officeDocument/2006/relationships/image" Target="media/image139.jpg"/><Relationship Id="rId177" Type="http://schemas.openxmlformats.org/officeDocument/2006/relationships/hyperlink" Target="https://docdb.cept.org/document/26187" TargetMode="External"/><Relationship Id="rId198" Type="http://schemas.openxmlformats.org/officeDocument/2006/relationships/image" Target="media/image160.png"/><Relationship Id="rId202" Type="http://schemas.openxmlformats.org/officeDocument/2006/relationships/image" Target="media/image164.jpeg"/><Relationship Id="rId223" Type="http://schemas.openxmlformats.org/officeDocument/2006/relationships/hyperlink" Target="https://gems.ece.gatech.edu/PA_survey.html" TargetMode="External"/><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2.emf"/><Relationship Id="rId146" Type="http://schemas.openxmlformats.org/officeDocument/2006/relationships/image" Target="media/image129.jpeg"/><Relationship Id="rId167" Type="http://schemas.openxmlformats.org/officeDocument/2006/relationships/hyperlink" Target="https://docdb.cept.org/document/26187" TargetMode="External"/><Relationship Id="rId188" Type="http://schemas.openxmlformats.org/officeDocument/2006/relationships/image" Target="media/image151.jpe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175.emf"/><Relationship Id="rId234"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hyperlink" Target="https://docdb.cept.org/document/26187" TargetMode="External"/><Relationship Id="rId136" Type="http://schemas.openxmlformats.org/officeDocument/2006/relationships/image" Target="media/image119.jpg"/><Relationship Id="rId157" Type="http://schemas.openxmlformats.org/officeDocument/2006/relationships/image" Target="media/image140.jpg"/><Relationship Id="rId178" Type="http://schemas.openxmlformats.org/officeDocument/2006/relationships/image" Target="media/image141.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61.jpeg"/><Relationship Id="rId203" Type="http://schemas.openxmlformats.org/officeDocument/2006/relationships/image" Target="media/image165.emf"/><Relationship Id="rId19" Type="http://schemas.openxmlformats.org/officeDocument/2006/relationships/image" Target="media/image8.png"/><Relationship Id="rId224" Type="http://schemas.openxmlformats.org/officeDocument/2006/relationships/hyperlink" Target="https://mls.jpl.nasa.gov/" TargetMode="External"/><Relationship Id="rId30" Type="http://schemas.openxmlformats.org/officeDocument/2006/relationships/image" Target="media/image19.emf"/><Relationship Id="rId105" Type="http://schemas.openxmlformats.org/officeDocument/2006/relationships/image" Target="media/image94.png"/><Relationship Id="rId126" Type="http://schemas.openxmlformats.org/officeDocument/2006/relationships/hyperlink" Target="https://docdb.cept.org/document/26187" TargetMode="External"/><Relationship Id="rId147" Type="http://schemas.openxmlformats.org/officeDocument/2006/relationships/image" Target="media/image130.jpeg"/><Relationship Id="rId168" Type="http://schemas.openxmlformats.org/officeDocument/2006/relationships/hyperlink" Target="https://docdb.cept.org/document/26187" TargetMode="External"/><Relationship Id="rId51" Type="http://schemas.openxmlformats.org/officeDocument/2006/relationships/image" Target="media/image40.png"/><Relationship Id="rId72" Type="http://schemas.openxmlformats.org/officeDocument/2006/relationships/image" Target="media/image61.emf"/><Relationship Id="rId93" Type="http://schemas.openxmlformats.org/officeDocument/2006/relationships/image" Target="media/image82.png"/><Relationship Id="rId189" Type="http://schemas.openxmlformats.org/officeDocument/2006/relationships/image" Target="media/image152.jpeg"/><Relationship Id="rId3" Type="http://schemas.openxmlformats.org/officeDocument/2006/relationships/customXml" Target="../customXml/item3.xml"/><Relationship Id="rId214" Type="http://schemas.openxmlformats.org/officeDocument/2006/relationships/image" Target="media/image176.png"/><Relationship Id="rId235" Type="http://schemas.openxmlformats.org/officeDocument/2006/relationships/fontTable" Target="fontTable.xml"/><Relationship Id="rId116" Type="http://schemas.openxmlformats.org/officeDocument/2006/relationships/hyperlink" Target="https://docdb.cept.org/document/26187" TargetMode="External"/><Relationship Id="rId137" Type="http://schemas.openxmlformats.org/officeDocument/2006/relationships/image" Target="media/image120.jpg"/><Relationship Id="rId158" Type="http://schemas.openxmlformats.org/officeDocument/2006/relationships/hyperlink" Target="https://docdb.cept.org/document/26187"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85.emf"/><Relationship Id="rId1" Type="http://schemas.openxmlformats.org/officeDocument/2006/relationships/image" Target="media/image18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scherm\Desktop\CEPT\Meetings\SE24_SRDMG_April_2019\Report\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13" ma:contentTypeDescription="Opret et nyt dokument." ma:contentTypeScope="" ma:versionID="da9521323ac0ffbe22afb982dad4eb30">
  <xsd:schema xmlns:xsd="http://www.w3.org/2001/XMLSchema" xmlns:xs="http://www.w3.org/2001/XMLSchema" xmlns:p="http://schemas.microsoft.com/office/2006/metadata/properties" xmlns:ns3="684d70c0-33e3-486b-8421-e10352fabac3" xmlns:ns4="6ba27844-833f-4423-84e4-22994afd6f72" targetNamespace="http://schemas.microsoft.com/office/2006/metadata/properties" ma:root="true" ma:fieldsID="34482aed2fe3d1bab70cbaf0243dfdfb" ns3:_="" ns4:_="">
    <xsd:import namespace="684d70c0-33e3-486b-8421-e10352fabac3"/>
    <xsd:import namespace="6ba27844-833f-4423-84e4-22994afd6f7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t med detaljer" ma:internalName="SharedWithDetails" ma:readOnly="true">
      <xsd:simpleType>
        <xsd:restriction base="dms:Note">
          <xsd:maxLength value="255"/>
        </xsd:restriction>
      </xsd:simpleType>
    </xsd:element>
    <xsd:element name="SharingHintHash" ma:index="10" nillable="true" ma:displayName="Hashværdi for deling"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9826F8-7132-47C3-90AF-478C003757AC}">
  <ds:schemaRefs>
    <ds:schemaRef ds:uri="http://schemas.microsoft.com/sharepoint/v3/contenttype/forms"/>
  </ds:schemaRefs>
</ds:datastoreItem>
</file>

<file path=customXml/itemProps2.xml><?xml version="1.0" encoding="utf-8"?>
<ds:datastoreItem xmlns:ds="http://schemas.openxmlformats.org/officeDocument/2006/customXml" ds:itemID="{D6AF2E39-D27E-4F1A-8707-ECDBA514E0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4d70c0-33e3-486b-8421-e10352fabac3"/>
    <ds:schemaRef ds:uri="6ba27844-833f-4423-84e4-22994afd6f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C866EA9-F167-489D-9DE7-F3A23E0DF56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192ADE2-1088-4C11-A880-1B0A48913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1</TotalTime>
  <Pages>3</Pages>
  <Words>88207</Words>
  <Characters>502785</Characters>
  <Application>Microsoft Office Word</Application>
  <DocSecurity>0</DocSecurity>
  <Lines>4189</Lines>
  <Paragraphs>1179</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ECC Report 334;</vt:lpstr>
      <vt:lpstr>ECC Report 334;</vt:lpstr>
      <vt:lpstr>ECC Report 334; </vt:lpstr>
    </vt:vector>
  </TitlesOfParts>
  <Manager>stella.lyubchenko@eco.cept.org</Manager>
  <Company>ECO</Company>
  <LinksUpToDate>false</LinksUpToDate>
  <CharactersWithSpaces>589813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334;</dc:title>
  <dc:subject/>
  <dc:creator>ECC</dc:creator>
  <cp:keywords>ECC Report 334</cp:keywords>
  <dc:description>This template is used as guidance to draft ECC Reports</dc:description>
  <cp:lastModifiedBy>ECO</cp:lastModifiedBy>
  <cp:revision>3</cp:revision>
  <cp:lastPrinted>2021-11-17T23:58:00Z</cp:lastPrinted>
  <dcterms:created xsi:type="dcterms:W3CDTF">2023-02-15T09:16:00Z</dcterms:created>
  <dcterms:modified xsi:type="dcterms:W3CDTF">2023-02-15T10:01:00Z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