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EA85" w14:textId="61CB6709" w:rsidR="00663D25" w:rsidRDefault="004E69A1">
      <w:r>
        <w:rPr>
          <w:noProof/>
          <w:szCs w:val="20"/>
          <w:lang w:val="da-DK" w:eastAsia="da-DK"/>
        </w:rPr>
        <w:drawing>
          <wp:anchor distT="0" distB="0" distL="114300" distR="114300" simplePos="0" relativeHeight="251658241" behindDoc="0" locked="0" layoutInCell="1" allowOverlap="1" wp14:anchorId="0FECF6B5" wp14:editId="0BC9DFA2">
            <wp:simplePos x="0" y="0"/>
            <wp:positionH relativeFrom="page">
              <wp:posOffset>5721519</wp:posOffset>
            </wp:positionH>
            <wp:positionV relativeFrom="page">
              <wp:posOffset>772864</wp:posOffset>
            </wp:positionV>
            <wp:extent cx="1461770" cy="546100"/>
            <wp:effectExtent l="25400" t="0" r="11430" b="0"/>
            <wp:wrapNone/>
            <wp:docPr id="9" name="Picture 9" descr="e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c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C3DE04" w14:textId="317B49CF" w:rsidR="00663D25" w:rsidRPr="0010769E" w:rsidRDefault="00663D25" w:rsidP="00663D25">
      <w:pPr>
        <w:jc w:val="center"/>
      </w:pPr>
    </w:p>
    <w:p w14:paraId="6F2906EF" w14:textId="77777777" w:rsidR="00663D25" w:rsidRPr="0010769E" w:rsidRDefault="00663D25" w:rsidP="00663D25">
      <w:pPr>
        <w:jc w:val="center"/>
      </w:pPr>
    </w:p>
    <w:p w14:paraId="13FBE39B" w14:textId="77777777" w:rsidR="00663D25" w:rsidRPr="0010769E" w:rsidRDefault="00663D25" w:rsidP="00663D25"/>
    <w:p w14:paraId="415770A0" w14:textId="77777777" w:rsidR="00663D25" w:rsidRPr="0010769E" w:rsidRDefault="00663D25" w:rsidP="00663D25"/>
    <w:p w14:paraId="52887042" w14:textId="56C19ED5" w:rsidR="00663D25" w:rsidRPr="0010769E" w:rsidRDefault="00556F3F" w:rsidP="00663D25">
      <w:pPr>
        <w:jc w:val="center"/>
        <w:rPr>
          <w:b/>
          <w:sz w:val="24"/>
        </w:rPr>
      </w:pPr>
      <w:r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28CF91" wp14:editId="7EFD707B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3810" t="3175" r="4445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540000" rIns="7200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8AE" w14:textId="160C1B44" w:rsidR="006E1B5C" w:rsidRPr="00FE1795" w:rsidRDefault="006E1B5C" w:rsidP="00663D25">
                              <w:pPr>
                                <w:rPr>
                                  <w:color w:val="57433E"/>
                                  <w:sz w:val="68"/>
                                </w:rPr>
                              </w:pPr>
                              <w:r w:rsidRPr="00FE1795">
                                <w:rPr>
                                  <w:color w:val="FFFFFF"/>
                                  <w:sz w:val="68"/>
                                </w:rPr>
                                <w:t xml:space="preserve">ECC Decision 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556F3F">
                                <w:rPr>
                                  <w:color w:val="887E6E"/>
                                  <w:sz w:val="68"/>
                                </w:rPr>
                                <w:t>22</w:t>
                              </w:r>
                              <w:r w:rsidRPr="001E2FAA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556F3F">
                                <w:rPr>
                                  <w:color w:val="887E6E"/>
                                  <w:sz w:val="68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2880000" tIns="540000" rIns="7200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1739" y="3125"/>
                            <a:ext cx="1735" cy="1735"/>
                            <a:chOff x="954" y="3125"/>
                            <a:chExt cx="1735" cy="1735"/>
                          </a:xfrm>
                        </wpg:grpSpPr>
                        <wps:wsp>
                          <wps:cNvPr id="7" name="Rectangle 24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54" y="3125"/>
                              <a:ext cx="1735" cy="1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  <wps:wsp>
                          <wps:cNvPr id="8" name="Rectangle 25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241" y="3444"/>
                              <a:ext cx="1126" cy="1126"/>
                            </a:xfrm>
                            <a:prstGeom prst="rect">
                              <a:avLst/>
                            </a:prstGeom>
                            <a:solidFill>
                              <a:srgbClr val="5743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CF91" id="Group 28" o:spid="_x0000_s1026" style="position:absolute;left:0;text-align:left;margin-left:-56.7pt;margin-top:5.5pt;width:595.6pt;height:651.1pt;z-index:251658240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" fillcolor="#d2232a" stroked="f">
                  <v:textbox inset=",15mm,2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" fillcolor="#d2232a" stroked="f">
                  <v:textbox inset="80mm,15mm,2mm">
                    <w:txbxContent>
                      <w:p w14:paraId="6AF948AE" w14:textId="160C1B44" w:rsidR="006E1B5C" w:rsidRPr="00FE1795" w:rsidRDefault="006E1B5C" w:rsidP="00663D25">
                        <w:pPr>
                          <w:rPr>
                            <w:color w:val="57433E"/>
                            <w:sz w:val="68"/>
                          </w:rPr>
                        </w:pPr>
                        <w:r w:rsidRPr="00FE1795">
                          <w:rPr>
                            <w:color w:val="FFFFFF"/>
                            <w:sz w:val="68"/>
                          </w:rPr>
                          <w:t xml:space="preserve">ECC Decision </w:t>
                        </w:r>
                        <w:r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556F3F">
                          <w:rPr>
                            <w:color w:val="887E6E"/>
                            <w:sz w:val="68"/>
                          </w:rPr>
                          <w:t>22</w:t>
                        </w:r>
                        <w:r w:rsidRPr="001E2FAA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556F3F">
                          <w:rPr>
                            <w:color w:val="887E6E"/>
                            <w:sz w:val="68"/>
                          </w:rPr>
                          <w:t>04</w:t>
                        </w:r>
                      </w:p>
                    </w:txbxContent>
                  </v:textbox>
                </v:shape>
                <v:group id="Group 26" o:spid="_x0000_s1029" style="position:absolute;left:1739;top:3125;width:1735;height:1735" coordorigin="954,3125" coordsize="1735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4" o:spid="_x0000_s1030" style="position:absolute;left:954;top:3125;width:1735;height:1735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" stroked="f">
                    <o:lock v:ext="edit" aspectratio="t"/>
                    <v:textbox inset=",15mm,2mm"/>
                  </v:rect>
                  <v:rect id="Rectangle 25" o:spid="_x0000_s1031" style="position:absolute;left:1241;top:3444;width:1126;height:1126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" fillcolor="#57433e" stroked="f">
                    <o:lock v:ext="edit" aspectratio="t"/>
                    <v:textbox inset=",15mm,2mm"/>
                  </v:rect>
                </v:group>
              </v:group>
            </w:pict>
          </mc:Fallback>
        </mc:AlternateContent>
      </w:r>
    </w:p>
    <w:p w14:paraId="57476E6A" w14:textId="0A9A2672" w:rsidR="00663D25" w:rsidRPr="0010769E" w:rsidRDefault="00663D25" w:rsidP="00663D25">
      <w:pPr>
        <w:jc w:val="center"/>
        <w:rPr>
          <w:b/>
          <w:sz w:val="24"/>
        </w:rPr>
      </w:pPr>
    </w:p>
    <w:p w14:paraId="6A63BB90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0F1F621A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42032A4E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0E7AC848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176232BF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2D4192E5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47AD15EF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562F5B3F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71CC6F87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4ADF809C" w14:textId="77777777" w:rsidR="00663D25" w:rsidRPr="0010769E" w:rsidRDefault="00663D25" w:rsidP="00663D25">
      <w:pPr>
        <w:rPr>
          <w:b/>
          <w:sz w:val="24"/>
        </w:rPr>
      </w:pPr>
    </w:p>
    <w:p w14:paraId="7B55B02B" w14:textId="77777777" w:rsidR="00663D25" w:rsidRPr="0010769E" w:rsidRDefault="00663D25" w:rsidP="00663D25">
      <w:pPr>
        <w:jc w:val="center"/>
        <w:rPr>
          <w:b/>
          <w:sz w:val="24"/>
        </w:rPr>
      </w:pPr>
    </w:p>
    <w:p w14:paraId="2154571C" w14:textId="32F668DA" w:rsidR="00663D25" w:rsidRDefault="0079145F" w:rsidP="00C923EE">
      <w:pPr>
        <w:pStyle w:val="Reporttitledescription"/>
        <w:spacing w:line="240" w:lineRule="auto"/>
        <w:rPr>
          <w:color w:val="auto"/>
        </w:rPr>
      </w:pPr>
      <w:r>
        <w:rPr>
          <w:color w:val="auto"/>
        </w:rPr>
        <w:fldChar w:fldCharType="begin">
          <w:ffData>
            <w:name w:val="Text7"/>
            <w:enabled/>
            <w:calcOnExit w:val="0"/>
            <w:textInput>
              <w:default w:val="ECC Decision on the withdrawal of ECC Decision (15)03 on the harmonised use of broadband Direct Air-to-Ground Communications (DA2GC) systems in the frequency band 5855-5875 MHz"/>
            </w:textInput>
          </w:ffData>
        </w:fldChar>
      </w:r>
      <w:r>
        <w:rPr>
          <w:color w:val="auto"/>
        </w:rPr>
        <w:instrText xml:space="preserve"> </w:instrText>
      </w:r>
      <w:bookmarkStart w:id="0" w:name="Text7"/>
      <w:r>
        <w:rPr>
          <w:color w:val="auto"/>
        </w:rPr>
        <w:instrText xml:space="preserve">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ECC Decision on the withdrawal of ECC Decision (15)03 on the harmonised use of broadband Direct Air-to-Ground Communications (DA2GC) systems in the frequency band 5855-5875 MHz</w:t>
      </w:r>
      <w:r>
        <w:rPr>
          <w:color w:val="auto"/>
        </w:rPr>
        <w:fldChar w:fldCharType="end"/>
      </w:r>
      <w:bookmarkEnd w:id="0"/>
    </w:p>
    <w:p w14:paraId="3B9E9FD2" w14:textId="0440488B" w:rsidR="00C923EE" w:rsidRDefault="00C923EE" w:rsidP="00C923EE">
      <w:pPr>
        <w:pStyle w:val="Reporttitledescription"/>
        <w:spacing w:before="120" w:after="240" w:line="240" w:lineRule="auto"/>
        <w:rPr>
          <w:color w:val="auto"/>
        </w:rPr>
      </w:pPr>
    </w:p>
    <w:p w14:paraId="4F65FC2D" w14:textId="030098E9" w:rsidR="00663D25" w:rsidRPr="005A00E5" w:rsidRDefault="004430D8" w:rsidP="00C923EE">
      <w:pPr>
        <w:pStyle w:val="Reporttitledescription"/>
        <w:spacing w:before="0"/>
        <w:rPr>
          <w:b/>
          <w:color w:val="auto"/>
          <w:sz w:val="18"/>
        </w:rPr>
      </w:pPr>
      <w:r>
        <w:rPr>
          <w:b/>
          <w:color w:val="auto"/>
          <w:sz w:val="18"/>
        </w:rPr>
        <w:fldChar w:fldCharType="begin">
          <w:ffData>
            <w:name w:val="Text8"/>
            <w:enabled/>
            <w:calcOnExit w:val="0"/>
            <w:textInput>
              <w:default w:val="approved 18 November 2022"/>
            </w:textInput>
          </w:ffData>
        </w:fldChar>
      </w:r>
      <w:bookmarkStart w:id="1" w:name="Text8"/>
      <w:r>
        <w:rPr>
          <w:b/>
          <w:color w:val="auto"/>
          <w:sz w:val="18"/>
        </w:rPr>
        <w:instrText xml:space="preserve"> FORMTEXT </w:instrText>
      </w:r>
      <w:r>
        <w:rPr>
          <w:b/>
          <w:color w:val="auto"/>
          <w:sz w:val="18"/>
        </w:rPr>
      </w:r>
      <w:r>
        <w:rPr>
          <w:b/>
          <w:color w:val="auto"/>
          <w:sz w:val="18"/>
        </w:rPr>
        <w:fldChar w:fldCharType="separate"/>
      </w:r>
      <w:r>
        <w:rPr>
          <w:b/>
          <w:noProof/>
          <w:color w:val="auto"/>
          <w:sz w:val="18"/>
        </w:rPr>
        <w:t>approved 18 November 2022</w:t>
      </w:r>
      <w:r>
        <w:rPr>
          <w:b/>
          <w:color w:val="auto"/>
          <w:sz w:val="18"/>
        </w:rPr>
        <w:fldChar w:fldCharType="end"/>
      </w:r>
      <w:bookmarkEnd w:id="1"/>
    </w:p>
    <w:p w14:paraId="16882FBA" w14:textId="77777777" w:rsidR="00663D25" w:rsidRDefault="00663D25" w:rsidP="00C34067">
      <w:pPr>
        <w:pStyle w:val="Heading1"/>
      </w:pPr>
      <w:r>
        <w:lastRenderedPageBreak/>
        <w:t>explanato</w:t>
      </w:r>
      <w:r w:rsidR="007D41A6">
        <w:t>ry memorandum</w:t>
      </w:r>
    </w:p>
    <w:p w14:paraId="019BC333" w14:textId="77777777" w:rsidR="00663D25" w:rsidRDefault="00663D25" w:rsidP="00C923EE">
      <w:pPr>
        <w:pStyle w:val="Heading2"/>
      </w:pPr>
      <w:r>
        <w:t>INTRODUCTION</w:t>
      </w:r>
    </w:p>
    <w:p w14:paraId="6342E5B1" w14:textId="5DEA042C" w:rsidR="000E3A3F" w:rsidRDefault="000E3A3F" w:rsidP="000E3A3F">
      <w:pPr>
        <w:pStyle w:val="ECCParagraph"/>
      </w:pPr>
      <w:r>
        <w:t>In 2022, the E</w:t>
      </w:r>
      <w:r w:rsidR="004E4F56">
        <w:t>C</w:t>
      </w:r>
      <w:r>
        <w:t>C Decision (</w:t>
      </w:r>
      <w:r w:rsidR="00A842DA">
        <w:t>15</w:t>
      </w:r>
      <w:r>
        <w:t>)0</w:t>
      </w:r>
      <w:r w:rsidR="00A842DA">
        <w:t>3</w:t>
      </w:r>
      <w:r>
        <w:t xml:space="preserve"> on </w:t>
      </w:r>
      <w:r w:rsidR="00984D1F">
        <w:t>t</w:t>
      </w:r>
      <w:r w:rsidR="00984D1F" w:rsidRPr="00984D1F">
        <w:t>he harmonised use of broadband Direct Air-to-Ground Communications (DA2GC) systems in the frequency band 5855-5875 MHz</w:t>
      </w:r>
      <w:r>
        <w:t xml:space="preserve"> was reviewed as part of </w:t>
      </w:r>
      <w:r w:rsidR="00407F75">
        <w:t xml:space="preserve">the </w:t>
      </w:r>
      <w:r w:rsidR="00D627F9">
        <w:t>regular review of ECC Decisions</w:t>
      </w:r>
      <w:r>
        <w:t>.</w:t>
      </w:r>
    </w:p>
    <w:p w14:paraId="3C22803C" w14:textId="46BDABD3" w:rsidR="00CD77DD" w:rsidRDefault="007E300C" w:rsidP="000E3A3F">
      <w:pPr>
        <w:pStyle w:val="ECCParagraph"/>
      </w:pPr>
      <w:r w:rsidRPr="007E300C">
        <w:t xml:space="preserve">Direct-Air-to-Ground Communications (DA2GC) systems </w:t>
      </w:r>
      <w:r>
        <w:t xml:space="preserve">were intended to </w:t>
      </w:r>
      <w:r w:rsidRPr="007E300C">
        <w:t>provide a bi-directional radio link between an Aircraft Station (AS) and a Ground Station (GS). The aircraft station is mounted on-board aircraft and is under the control of a network of ground stations which provide control and telecommunication functionalities for DA2GC.</w:t>
      </w:r>
    </w:p>
    <w:p w14:paraId="55B56F9F" w14:textId="17A287C6" w:rsidR="008E3A35" w:rsidRDefault="0065345C" w:rsidP="008E3A35">
      <w:pPr>
        <w:pStyle w:val="ECCParagraph"/>
      </w:pPr>
      <w:r>
        <w:t xml:space="preserve">Since the introduction of </w:t>
      </w:r>
      <w:r w:rsidR="004E4F56" w:rsidRPr="004E4F56">
        <w:t>ECC Decision (15)03</w:t>
      </w:r>
      <w:r w:rsidR="00664DE4">
        <w:t>,</w:t>
      </w:r>
      <w:r w:rsidR="00A80270">
        <w:t xml:space="preserve"> there has been very limited national implementation</w:t>
      </w:r>
      <w:r w:rsidR="008E3A35">
        <w:t>.</w:t>
      </w:r>
      <w:r w:rsidR="00457626">
        <w:t xml:space="preserve"> There is no reported or planned use of DA2GC within CEPT.</w:t>
      </w:r>
      <w:r w:rsidR="00341EF4">
        <w:t xml:space="preserve"> A high level of national implementation</w:t>
      </w:r>
      <w:r w:rsidR="00054F0D">
        <w:t xml:space="preserve"> and use</w:t>
      </w:r>
      <w:r w:rsidR="00341EF4">
        <w:t xml:space="preserve"> would have been necessary for </w:t>
      </w:r>
      <w:r w:rsidR="003326BD">
        <w:t xml:space="preserve">DA2GC systems to have provided the connectivity </w:t>
      </w:r>
      <w:r w:rsidR="00AD14CE">
        <w:t>to air passengers as they travelled across Europe.</w:t>
      </w:r>
    </w:p>
    <w:p w14:paraId="34CAF468" w14:textId="279D398C" w:rsidR="008E3A35" w:rsidRDefault="008E3A35" w:rsidP="008E3A35">
      <w:pPr>
        <w:pStyle w:val="ECCParagraph"/>
      </w:pPr>
      <w:r>
        <w:t>It was concluded that ECC Decision (15)03 was suitable for withdrawal and no longer needed.</w:t>
      </w:r>
    </w:p>
    <w:p w14:paraId="66CAC42C" w14:textId="77777777" w:rsidR="00663D25" w:rsidRDefault="00663D25" w:rsidP="00C923EE">
      <w:pPr>
        <w:pStyle w:val="Heading2"/>
      </w:pPr>
      <w:r>
        <w:t xml:space="preserve">BACKGROUND </w:t>
      </w:r>
    </w:p>
    <w:p w14:paraId="7BA051CB" w14:textId="52BC09E5" w:rsidR="004F3884" w:rsidRDefault="004B0839" w:rsidP="004B0839">
      <w:pPr>
        <w:pStyle w:val="ECCParagraph"/>
      </w:pPr>
      <w:r>
        <w:t xml:space="preserve">During the 2022 </w:t>
      </w:r>
      <w:r w:rsidR="0079145F">
        <w:t>r</w:t>
      </w:r>
      <w:r>
        <w:t xml:space="preserve">eview, it was noted that there are currently no uses or known plans for DA2GC in the 5855-5875 MHz frequency range. </w:t>
      </w:r>
      <w:r w:rsidR="00CE41A8" w:rsidRPr="00556F3F">
        <w:t xml:space="preserve">ETSI have </w:t>
      </w:r>
      <w:r w:rsidR="00AC51A1" w:rsidRPr="00556F3F">
        <w:t>expressed no objection against the withdrawal of ECC Decision (15)03, as stated in FM(22)085</w:t>
      </w:r>
      <w:r w:rsidR="00282BE1" w:rsidRPr="00AC51A1">
        <w:t>.</w:t>
      </w:r>
    </w:p>
    <w:p w14:paraId="48D0453A" w14:textId="3F086D36" w:rsidR="004F3884" w:rsidRDefault="00C275DE" w:rsidP="004B0839">
      <w:pPr>
        <w:pStyle w:val="ECCParagraph"/>
        <w:rPr>
          <w:rFonts w:cs="Arial"/>
          <w:szCs w:val="20"/>
        </w:rPr>
      </w:pPr>
      <w:r>
        <w:t>In 2018, b</w:t>
      </w:r>
      <w:r>
        <w:rPr>
          <w:rFonts w:cs="Arial"/>
          <w:szCs w:val="20"/>
        </w:rPr>
        <w:t>y means of ECC Decision (18)01, ECC Decision (15)02 on ‘The harmonised use of broadband Direct Air-to-Ground Communications (DA2GC) systems in the frequency band 1900-1920 MHz’ was withdrawn</w:t>
      </w:r>
      <w:r w:rsidR="00AA157E">
        <w:rPr>
          <w:rFonts w:cs="Arial"/>
          <w:szCs w:val="20"/>
        </w:rPr>
        <w:t>.</w:t>
      </w:r>
    </w:p>
    <w:p w14:paraId="415293D3" w14:textId="75BC095C" w:rsidR="00F215D2" w:rsidRDefault="00C77385" w:rsidP="004B0839">
      <w:pPr>
        <w:pStyle w:val="ECCParagraph"/>
        <w:rPr>
          <w:rFonts w:cs="Arial"/>
          <w:szCs w:val="20"/>
        </w:rPr>
      </w:pPr>
      <w:r w:rsidRPr="00172B9E">
        <w:rPr>
          <w:szCs w:val="20"/>
        </w:rPr>
        <w:t xml:space="preserve">Despite the fact that ETSI has developed </w:t>
      </w:r>
      <w:r w:rsidR="007D480B">
        <w:rPr>
          <w:szCs w:val="20"/>
        </w:rPr>
        <w:t xml:space="preserve">harmonised </w:t>
      </w:r>
      <w:r w:rsidRPr="00172B9E">
        <w:rPr>
          <w:szCs w:val="20"/>
        </w:rPr>
        <w:t xml:space="preserve">standards </w:t>
      </w:r>
      <w:r>
        <w:rPr>
          <w:szCs w:val="20"/>
        </w:rPr>
        <w:t>(EN 303</w:t>
      </w:r>
      <w:r w:rsidR="007D480B">
        <w:rPr>
          <w:szCs w:val="20"/>
        </w:rPr>
        <w:t> </w:t>
      </w:r>
      <w:r>
        <w:rPr>
          <w:szCs w:val="20"/>
        </w:rPr>
        <w:t>339</w:t>
      </w:r>
      <w:r w:rsidR="003453F4">
        <w:rPr>
          <w:szCs w:val="20"/>
        </w:rPr>
        <w:t xml:space="preserve">) </w:t>
      </w:r>
      <w:r w:rsidRPr="00172B9E">
        <w:rPr>
          <w:szCs w:val="20"/>
        </w:rPr>
        <w:t>which can be used for broadband DA2GC systems, no demand has been expressed within the 2015-20</w:t>
      </w:r>
      <w:r w:rsidR="003453F4">
        <w:rPr>
          <w:szCs w:val="20"/>
        </w:rPr>
        <w:t>22</w:t>
      </w:r>
      <w:r w:rsidRPr="00172B9E">
        <w:rPr>
          <w:szCs w:val="20"/>
        </w:rPr>
        <w:t xml:space="preserve"> timeframe for taking up the opportunity for a European </w:t>
      </w:r>
      <w:r w:rsidR="007D480B">
        <w:rPr>
          <w:szCs w:val="20"/>
        </w:rPr>
        <w:t>b</w:t>
      </w:r>
      <w:r w:rsidRPr="00172B9E">
        <w:rPr>
          <w:szCs w:val="20"/>
        </w:rPr>
        <w:t xml:space="preserve">roadband DA2GC system in the band </w:t>
      </w:r>
      <w:r w:rsidR="003453F4">
        <w:t xml:space="preserve">5855-5875 </w:t>
      </w:r>
      <w:r w:rsidRPr="00172B9E">
        <w:rPr>
          <w:szCs w:val="20"/>
        </w:rPr>
        <w:t>MHz</w:t>
      </w:r>
      <w:r w:rsidR="00BA7DE8">
        <w:rPr>
          <w:szCs w:val="20"/>
        </w:rPr>
        <w:t>.</w:t>
      </w:r>
    </w:p>
    <w:p w14:paraId="6C7040FB" w14:textId="77777777" w:rsidR="007A6C49" w:rsidRPr="007A6C49" w:rsidRDefault="007A6C49" w:rsidP="007A6C49">
      <w:pPr>
        <w:pStyle w:val="ECCParagraph"/>
      </w:pPr>
      <w:r w:rsidRPr="007A6C49">
        <w:t>In addition, other options are in place for the provision of broadband services on-board aircraft:</w:t>
      </w:r>
    </w:p>
    <w:p w14:paraId="3F2CBEF5" w14:textId="77777777" w:rsidR="007A6C49" w:rsidRPr="007A6C49" w:rsidRDefault="007A6C49" w:rsidP="007A6C49">
      <w:pPr>
        <w:pStyle w:val="ECCParagraph"/>
        <w:numPr>
          <w:ilvl w:val="0"/>
          <w:numId w:val="9"/>
        </w:numPr>
      </w:pPr>
      <w:r w:rsidRPr="007A6C49">
        <w:t xml:space="preserve">Other DA2GC solutions are currently implemented in North America using </w:t>
      </w:r>
      <w:proofErr w:type="gramStart"/>
      <w:r w:rsidRPr="007A6C49">
        <w:t>spectrum</w:t>
      </w:r>
      <w:proofErr w:type="gramEnd"/>
      <w:r w:rsidRPr="007A6C49">
        <w:t xml:space="preserve"> which is shared with other use, e.g. in the 2.4 GHz frequency band.</w:t>
      </w:r>
    </w:p>
    <w:p w14:paraId="32A68B61" w14:textId="52DEB7A3" w:rsidR="007A6C49" w:rsidRPr="007A6C49" w:rsidRDefault="007A6C49" w:rsidP="007A6C49">
      <w:pPr>
        <w:pStyle w:val="ECCParagraph"/>
        <w:numPr>
          <w:ilvl w:val="0"/>
          <w:numId w:val="9"/>
        </w:numPr>
      </w:pPr>
      <w:r w:rsidRPr="007A6C49">
        <w:t xml:space="preserve">Mobile-Satellite Service (MSS) systems (1980-2010 MHz / 2170-2200 MHz) </w:t>
      </w:r>
      <w:r w:rsidR="00AF0B8A">
        <w:t>have been</w:t>
      </w:r>
      <w:r w:rsidRPr="007A6C49">
        <w:t xml:space="preserve"> developed and such systems may include a Complementary Ground Component (CGC)</w:t>
      </w:r>
      <w:r w:rsidR="005D6106">
        <w:t xml:space="preserve"> under ECC Decision (06)0</w:t>
      </w:r>
      <w:r w:rsidR="00915A4B">
        <w:t>9</w:t>
      </w:r>
      <w:r w:rsidR="00B53E53">
        <w:t xml:space="preserve"> and ECC Decision (06)10</w:t>
      </w:r>
      <w:r w:rsidR="007D480B">
        <w:t>, and thus provide services similar to DA2GC</w:t>
      </w:r>
      <w:r w:rsidRPr="007A6C49">
        <w:t>.</w:t>
      </w:r>
    </w:p>
    <w:p w14:paraId="27BAD96E" w14:textId="6BFBB3BB" w:rsidR="00C61884" w:rsidRDefault="007A6C49" w:rsidP="007A6C49">
      <w:pPr>
        <w:pStyle w:val="ECCParagraph"/>
      </w:pPr>
      <w:r w:rsidRPr="007A6C49">
        <w:rPr>
          <w:lang w:val="en-US"/>
        </w:rPr>
        <w:t>In summary, it is believed that the withdrawal of ECC Decision (15)0</w:t>
      </w:r>
      <w:r w:rsidR="00B53E53">
        <w:rPr>
          <w:lang w:val="en-US"/>
        </w:rPr>
        <w:t>3</w:t>
      </w:r>
      <w:r w:rsidRPr="007A6C49">
        <w:rPr>
          <w:lang w:val="en-US"/>
        </w:rPr>
        <w:t xml:space="preserve"> does not have any negative consequences and may also stimulate proposals for the band </w:t>
      </w:r>
      <w:r w:rsidR="009E1CE7">
        <w:t>5855-5875</w:t>
      </w:r>
      <w:r w:rsidRPr="007A6C49">
        <w:rPr>
          <w:lang w:val="en-US"/>
        </w:rPr>
        <w:t xml:space="preserve"> MHz </w:t>
      </w:r>
      <w:proofErr w:type="gramStart"/>
      <w:r w:rsidRPr="007A6C49">
        <w:rPr>
          <w:lang w:val="en-US"/>
        </w:rPr>
        <w:t>with regard to</w:t>
      </w:r>
      <w:proofErr w:type="gramEnd"/>
      <w:r w:rsidRPr="007A6C49">
        <w:rPr>
          <w:lang w:val="en-US"/>
        </w:rPr>
        <w:t xml:space="preserve"> the use </w:t>
      </w:r>
      <w:proofErr w:type="gramStart"/>
      <w:r w:rsidRPr="007A6C49">
        <w:rPr>
          <w:lang w:val="en-US"/>
        </w:rPr>
        <w:t>by</w:t>
      </w:r>
      <w:proofErr w:type="gramEnd"/>
      <w:r w:rsidRPr="007A6C49">
        <w:rPr>
          <w:lang w:val="en-US"/>
        </w:rPr>
        <w:t xml:space="preserve"> other alternative radio applications in the future.</w:t>
      </w:r>
    </w:p>
    <w:p w14:paraId="1E4FEA87" w14:textId="77777777" w:rsidR="00663D25" w:rsidRDefault="00663D25" w:rsidP="00C923EE">
      <w:pPr>
        <w:pStyle w:val="Heading2"/>
      </w:pPr>
      <w:r>
        <w:t>REQUIREMENT FOR AN ECC DECISION</w:t>
      </w:r>
    </w:p>
    <w:p w14:paraId="7AE4FB01" w14:textId="498831A9" w:rsidR="00BC0D6B" w:rsidRDefault="0059199F" w:rsidP="00BC0D6B">
      <w:pPr>
        <w:tabs>
          <w:tab w:val="left" w:pos="540"/>
        </w:tabs>
        <w:jc w:val="both"/>
      </w:pPr>
      <w:r w:rsidRPr="003E77A5">
        <w:t xml:space="preserve">The ECC Rules of Procedure foresee that the withdrawal of a Decision is subject to the same procedure as the development and adoption of a new Decision. This Decision therefore </w:t>
      </w:r>
      <w:r w:rsidR="00BC0D6B">
        <w:t>is developed to</w:t>
      </w:r>
      <w:r w:rsidRPr="003E77A5">
        <w:t xml:space="preserve"> withdraw</w:t>
      </w:r>
      <w:r w:rsidR="00BC0D6B">
        <w:t xml:space="preserve"> the following ECC Decision:</w:t>
      </w:r>
    </w:p>
    <w:p w14:paraId="3D7E5DE2" w14:textId="77777777" w:rsidR="00BC0D6B" w:rsidRPr="00FE1795" w:rsidRDefault="00BC0D6B" w:rsidP="00BC0D6B">
      <w:pPr>
        <w:tabs>
          <w:tab w:val="left" w:pos="540"/>
        </w:tabs>
        <w:jc w:val="both"/>
      </w:pPr>
    </w:p>
    <w:p w14:paraId="5FEE7253" w14:textId="46213CD1" w:rsidR="00BC0D6B" w:rsidRDefault="00E32A3C" w:rsidP="00BC0D6B">
      <w:pPr>
        <w:pStyle w:val="ECCParBulleted"/>
      </w:pPr>
      <w:r w:rsidRPr="00E32A3C">
        <w:t>ECC Decision</w:t>
      </w:r>
      <w:r w:rsidR="00662E42">
        <w:t xml:space="preserve"> (15)03</w:t>
      </w:r>
      <w:r w:rsidRPr="00E32A3C">
        <w:t xml:space="preserve"> of 3 July 2015 on the harmonised use of broadband Direct Air-to-Ground Communications (DA2GC) systems in the frequency band 5855-5875 MHz</w:t>
      </w:r>
      <w:r w:rsidR="00B966F5">
        <w:t>.</w:t>
      </w:r>
    </w:p>
    <w:p w14:paraId="59A4C9B8" w14:textId="77777777" w:rsidR="00BC0D6B" w:rsidRPr="0059199F" w:rsidRDefault="00BC0D6B" w:rsidP="00663D25">
      <w:pPr>
        <w:pStyle w:val="ECCParagraph"/>
        <w:rPr>
          <w:lang w:val="en-US"/>
        </w:rPr>
      </w:pPr>
    </w:p>
    <w:p w14:paraId="21DB8371" w14:textId="7B60C9AB" w:rsidR="00663D25" w:rsidRDefault="00663D25" w:rsidP="00C34067">
      <w:pPr>
        <w:pStyle w:val="Heading1"/>
      </w:pPr>
      <w:r w:rsidRPr="00FE1795">
        <w:lastRenderedPageBreak/>
        <w:t xml:space="preserve">ECC Decision of </w:t>
      </w:r>
      <w:r w:rsidR="002856D2">
        <w:t>18 November 2022</w:t>
      </w:r>
      <w:r w:rsidRPr="00556F3F">
        <w:t xml:space="preserve"> on </w:t>
      </w:r>
      <w:r w:rsidR="00841A73" w:rsidRPr="00556F3F">
        <w:t>withdrawal of</w:t>
      </w:r>
      <w:r w:rsidR="00BC593D" w:rsidRPr="00556F3F">
        <w:t xml:space="preserve"> </w:t>
      </w:r>
      <w:r w:rsidR="00143E06" w:rsidRPr="00556F3F">
        <w:t xml:space="preserve">ECC Decision </w:t>
      </w:r>
      <w:r w:rsidR="00F255F3">
        <w:t xml:space="preserve">(15)03 </w:t>
      </w:r>
      <w:r w:rsidR="00143E06" w:rsidRPr="00556F3F">
        <w:t>of 3 July 2015 on the harmonised use of broadband Direct Air-to-Ground Communications (DA2GC) systems in the frequency band 5855-5875 MHz</w:t>
      </w:r>
      <w:r w:rsidR="00957EC2" w:rsidRPr="00556F3F">
        <w:t xml:space="preserve"> (ECC</w:t>
      </w:r>
      <w:r w:rsidR="004C71EC">
        <w:t xml:space="preserve"> decision </w:t>
      </w:r>
      <w:r w:rsidR="00935842" w:rsidRPr="00556F3F">
        <w:t>(22)</w:t>
      </w:r>
      <w:r w:rsidR="00556F3F" w:rsidRPr="00556F3F">
        <w:t>04</w:t>
      </w:r>
      <w:r w:rsidR="00935C1B" w:rsidRPr="00556F3F">
        <w:t>)</w:t>
      </w:r>
    </w:p>
    <w:p w14:paraId="7D4E5998" w14:textId="77777777" w:rsidR="0059199F" w:rsidRPr="0059199F" w:rsidRDefault="0059199F" w:rsidP="0059199F">
      <w:pPr>
        <w:pStyle w:val="ECCParagraph"/>
        <w:rPr>
          <w:lang w:val="en-US"/>
        </w:rPr>
      </w:pPr>
    </w:p>
    <w:p w14:paraId="41D00A5D" w14:textId="77777777" w:rsidR="00663D25" w:rsidRDefault="00663D25" w:rsidP="00663D25">
      <w:pPr>
        <w:pStyle w:val="ECCParagraph"/>
      </w:pPr>
      <w:r>
        <w:t>“The European Conference of Postal and Telecommunications Administrations,</w:t>
      </w:r>
    </w:p>
    <w:p w14:paraId="652A6C39" w14:textId="77777777" w:rsidR="00663D25" w:rsidRPr="00FE1795" w:rsidRDefault="00663D25" w:rsidP="00663D25">
      <w:pPr>
        <w:pStyle w:val="ECCParagraph"/>
        <w:rPr>
          <w:i/>
          <w:color w:val="D2232A"/>
        </w:rPr>
      </w:pPr>
      <w:r w:rsidRPr="00FE1795">
        <w:rPr>
          <w:i/>
          <w:color w:val="D2232A"/>
        </w:rPr>
        <w:t xml:space="preserve">considering </w:t>
      </w:r>
    </w:p>
    <w:p w14:paraId="742B7C9F" w14:textId="70A50A8A" w:rsidR="00841A73" w:rsidRPr="00A0210E" w:rsidRDefault="00D836E4" w:rsidP="00841A73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 w:rsidRPr="00A0210E">
        <w:rPr>
          <w:szCs w:val="20"/>
          <w:lang w:val="en-GB"/>
        </w:rPr>
        <w:t>Mobile-Satellite Service (MSS) systems (1980-2010 MHz / 2170-2200 MHz) have been developed and such systems may include a Complementary Ground Component (CGC) under ECC Decision (06)09 and ECC Decision (06)10</w:t>
      </w:r>
      <w:r w:rsidR="006E1B5C">
        <w:t>;</w:t>
      </w:r>
    </w:p>
    <w:p w14:paraId="2B6583AF" w14:textId="64F14231" w:rsidR="009B11DF" w:rsidRDefault="009B11DF" w:rsidP="00737386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 w:rsidRPr="009B11DF">
        <w:rPr>
          <w:szCs w:val="20"/>
          <w:lang w:val="en-GB"/>
        </w:rPr>
        <w:t xml:space="preserve">that the frequency band </w:t>
      </w:r>
      <w:r w:rsidR="00B52D82">
        <w:rPr>
          <w:szCs w:val="20"/>
          <w:lang w:val="en-GB"/>
        </w:rPr>
        <w:t>5850</w:t>
      </w:r>
      <w:r w:rsidRPr="009B11DF">
        <w:rPr>
          <w:szCs w:val="20"/>
          <w:lang w:val="en-GB"/>
        </w:rPr>
        <w:t>-</w:t>
      </w:r>
      <w:r w:rsidR="00B52D82">
        <w:rPr>
          <w:szCs w:val="20"/>
          <w:lang w:val="en-GB"/>
        </w:rPr>
        <w:t>5</w:t>
      </w:r>
      <w:r w:rsidR="00BC1FA2">
        <w:rPr>
          <w:szCs w:val="20"/>
          <w:lang w:val="en-GB"/>
        </w:rPr>
        <w:t>925</w:t>
      </w:r>
      <w:r w:rsidRPr="009B11DF">
        <w:rPr>
          <w:szCs w:val="20"/>
          <w:lang w:val="en-GB"/>
        </w:rPr>
        <w:t xml:space="preserve"> MHz is allocated to the </w:t>
      </w:r>
      <w:r w:rsidR="00BC1FA2">
        <w:rPr>
          <w:szCs w:val="20"/>
          <w:lang w:val="en-GB"/>
        </w:rPr>
        <w:t xml:space="preserve">fixed, </w:t>
      </w:r>
      <w:proofErr w:type="gramStart"/>
      <w:r w:rsidR="00BC1FA2">
        <w:rPr>
          <w:szCs w:val="20"/>
          <w:lang w:val="en-GB"/>
        </w:rPr>
        <w:t>fixed-satellite</w:t>
      </w:r>
      <w:proofErr w:type="gramEnd"/>
      <w:r w:rsidR="00135111">
        <w:rPr>
          <w:szCs w:val="20"/>
          <w:lang w:val="en-GB"/>
        </w:rPr>
        <w:t xml:space="preserve"> (Earth to space) and </w:t>
      </w:r>
      <w:r w:rsidR="00970DA3">
        <w:rPr>
          <w:szCs w:val="20"/>
          <w:lang w:val="en-GB"/>
        </w:rPr>
        <w:t xml:space="preserve">the </w:t>
      </w:r>
      <w:r w:rsidRPr="009B11DF">
        <w:rPr>
          <w:szCs w:val="20"/>
          <w:lang w:val="en-GB"/>
        </w:rPr>
        <w:t>mobile service</w:t>
      </w:r>
      <w:r w:rsidR="00135111">
        <w:rPr>
          <w:szCs w:val="20"/>
          <w:lang w:val="en-GB"/>
        </w:rPr>
        <w:t xml:space="preserve">, </w:t>
      </w:r>
      <w:r w:rsidR="007F6E9D">
        <w:rPr>
          <w:szCs w:val="20"/>
          <w:lang w:val="en-GB"/>
        </w:rPr>
        <w:t>all</w:t>
      </w:r>
      <w:r w:rsidRPr="009B11DF">
        <w:rPr>
          <w:szCs w:val="20"/>
          <w:lang w:val="en-GB"/>
        </w:rPr>
        <w:t xml:space="preserve"> on a primary basis in the European Common Allocation Table (ERC Report 25) and in the ITU Radio Regulations;</w:t>
      </w:r>
    </w:p>
    <w:p w14:paraId="4358D759" w14:textId="4537CB32" w:rsidR="00663D25" w:rsidRDefault="00A945F8" w:rsidP="00663D25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 w:rsidRPr="00A945F8">
        <w:rPr>
          <w:szCs w:val="20"/>
          <w:lang w:val="en-GB"/>
        </w:rPr>
        <w:t>that no demand has been expressed within the 2015-20</w:t>
      </w:r>
      <w:r w:rsidR="00B45601">
        <w:rPr>
          <w:szCs w:val="20"/>
          <w:lang w:val="en-GB"/>
        </w:rPr>
        <w:t>22</w:t>
      </w:r>
      <w:r w:rsidRPr="00A945F8">
        <w:rPr>
          <w:szCs w:val="20"/>
          <w:lang w:val="en-GB"/>
        </w:rPr>
        <w:t xml:space="preserve"> timeframe for taking up the opportunity for </w:t>
      </w:r>
      <w:r w:rsidR="00970DA3" w:rsidRPr="00A945F8">
        <w:rPr>
          <w:szCs w:val="20"/>
          <w:lang w:val="en-GB"/>
        </w:rPr>
        <w:t>a</w:t>
      </w:r>
      <w:r w:rsidRPr="00A945F8">
        <w:rPr>
          <w:szCs w:val="20"/>
          <w:lang w:val="en-GB"/>
        </w:rPr>
        <w:t xml:space="preserve"> European Broadband DA2GC system in the band </w:t>
      </w:r>
      <w:r w:rsidR="00B45601">
        <w:rPr>
          <w:szCs w:val="20"/>
          <w:lang w:val="en-GB"/>
        </w:rPr>
        <w:t>5855</w:t>
      </w:r>
      <w:r w:rsidRPr="00A945F8">
        <w:rPr>
          <w:szCs w:val="20"/>
          <w:lang w:val="en-GB"/>
        </w:rPr>
        <w:t>-</w:t>
      </w:r>
      <w:r w:rsidR="00B45601">
        <w:rPr>
          <w:szCs w:val="20"/>
          <w:lang w:val="en-GB"/>
        </w:rPr>
        <w:t>5875</w:t>
      </w:r>
      <w:r w:rsidRPr="00A945F8">
        <w:rPr>
          <w:szCs w:val="20"/>
          <w:lang w:val="en-GB"/>
        </w:rPr>
        <w:t xml:space="preserve"> MHz band</w:t>
      </w:r>
      <w:r w:rsidR="00FF1A07">
        <w:rPr>
          <w:szCs w:val="20"/>
          <w:lang w:val="en-GB"/>
        </w:rPr>
        <w:t>;</w:t>
      </w:r>
    </w:p>
    <w:p w14:paraId="424A4746" w14:textId="77777777" w:rsidR="007D41A6" w:rsidRPr="00556F3F" w:rsidRDefault="007D41A6" w:rsidP="00663D25">
      <w:pPr>
        <w:pStyle w:val="ECCParagraph"/>
      </w:pPr>
    </w:p>
    <w:p w14:paraId="369D2F62" w14:textId="77777777" w:rsidR="00663D25" w:rsidRPr="00556F3F" w:rsidRDefault="00663D25" w:rsidP="00663D25">
      <w:pPr>
        <w:pStyle w:val="ECCParagraph"/>
        <w:rPr>
          <w:i/>
          <w:color w:val="D2232A"/>
        </w:rPr>
      </w:pPr>
      <w:r w:rsidRPr="00556F3F">
        <w:rPr>
          <w:i/>
          <w:color w:val="D2232A"/>
        </w:rPr>
        <w:t>DECIDES</w:t>
      </w:r>
    </w:p>
    <w:p w14:paraId="5A7A459A" w14:textId="5DA8DB2D" w:rsidR="00663D25" w:rsidRDefault="00841A73" w:rsidP="00C34067">
      <w:pPr>
        <w:pStyle w:val="NumberedList"/>
      </w:pPr>
      <w:r>
        <w:t>to withdraw the</w:t>
      </w:r>
      <w:r w:rsidR="006E1B5C" w:rsidRPr="006E1B5C">
        <w:t xml:space="preserve"> </w:t>
      </w:r>
      <w:r w:rsidR="006E1B5C" w:rsidRPr="003E77A5">
        <w:t xml:space="preserve">ECC Decision </w:t>
      </w:r>
      <w:r w:rsidR="00B92131">
        <w:t xml:space="preserve">(15)03 </w:t>
      </w:r>
      <w:r w:rsidR="00B92131" w:rsidRPr="00B92131">
        <w:t>of 3 July 2015 on the harmonised use of broadband Direct Air-to-Ground Communications (DA2GC) systems in the frequency band 5855-5875 MHz</w:t>
      </w:r>
      <w:r w:rsidR="000544AE">
        <w:t>;</w:t>
      </w:r>
    </w:p>
    <w:p w14:paraId="519E7D9C" w14:textId="05128988" w:rsidR="00B9184B" w:rsidRPr="00556F3F" w:rsidRDefault="00B9184B" w:rsidP="00C34067">
      <w:pPr>
        <w:pStyle w:val="NumberedList"/>
      </w:pPr>
      <w:r w:rsidRPr="003E77A5">
        <w:t xml:space="preserve">that this </w:t>
      </w:r>
      <w:r w:rsidR="006E1B5C">
        <w:t xml:space="preserve">ECC </w:t>
      </w:r>
      <w:r w:rsidR="004B72F8">
        <w:t xml:space="preserve">Decision enters into force on </w:t>
      </w:r>
      <w:r w:rsidR="002856D2">
        <w:t>18 November 2022</w:t>
      </w:r>
      <w:r w:rsidR="006E1B5C" w:rsidRPr="00556F3F">
        <w:t>.</w:t>
      </w:r>
      <w:r w:rsidR="00816D53">
        <w:t>”</w:t>
      </w:r>
    </w:p>
    <w:p w14:paraId="4845A070" w14:textId="77777777" w:rsidR="00663D25" w:rsidRDefault="00663D25" w:rsidP="00841A73"/>
    <w:sectPr w:rsidR="00663D25" w:rsidSect="00663D25">
      <w:headerReference w:type="even" r:id="rId8"/>
      <w:headerReference w:type="default" r:id="rId9"/>
      <w:headerReference w:type="first" r:id="rId10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AB4C" w14:textId="77777777" w:rsidR="009E00BF" w:rsidRDefault="009E00BF" w:rsidP="00663D25">
      <w:r>
        <w:separator/>
      </w:r>
    </w:p>
  </w:endnote>
  <w:endnote w:type="continuationSeparator" w:id="0">
    <w:p w14:paraId="0D719995" w14:textId="77777777" w:rsidR="009E00BF" w:rsidRDefault="009E00BF" w:rsidP="00663D25">
      <w:r>
        <w:continuationSeparator/>
      </w:r>
    </w:p>
  </w:endnote>
  <w:endnote w:type="continuationNotice" w:id="1">
    <w:p w14:paraId="3D9D7184" w14:textId="77777777" w:rsidR="009E00BF" w:rsidRDefault="009E0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5127" w14:textId="77777777" w:rsidR="009E00BF" w:rsidRDefault="009E00BF" w:rsidP="00663D25">
      <w:r>
        <w:separator/>
      </w:r>
    </w:p>
  </w:footnote>
  <w:footnote w:type="continuationSeparator" w:id="0">
    <w:p w14:paraId="0101A6EB" w14:textId="77777777" w:rsidR="009E00BF" w:rsidRDefault="009E00BF" w:rsidP="00663D25">
      <w:r>
        <w:continuationSeparator/>
      </w:r>
    </w:p>
  </w:footnote>
  <w:footnote w:type="continuationNotice" w:id="1">
    <w:p w14:paraId="733C193C" w14:textId="77777777" w:rsidR="009E00BF" w:rsidRDefault="009E0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523E" w14:textId="762C75ED" w:rsidR="006E1B5C" w:rsidRPr="004430D8" w:rsidRDefault="006E1B5C">
    <w:pPr>
      <w:pStyle w:val="Header"/>
      <w:rPr>
        <w:szCs w:val="16"/>
        <w:lang w:val="en-GB"/>
      </w:rPr>
    </w:pPr>
    <w:r w:rsidRPr="004430D8">
      <w:rPr>
        <w:lang w:val="en-GB"/>
      </w:rPr>
      <w:t>ECC</w:t>
    </w:r>
    <w:r w:rsidR="005E0504" w:rsidRPr="004430D8">
      <w:rPr>
        <w:lang w:val="en-GB"/>
      </w:rPr>
      <w:t>/DEC</w:t>
    </w:r>
    <w:r w:rsidR="00336B34" w:rsidRPr="004430D8">
      <w:rPr>
        <w:lang w:val="en-GB"/>
      </w:rPr>
      <w:t>/</w:t>
    </w:r>
    <w:r w:rsidRPr="004430D8">
      <w:rPr>
        <w:lang w:val="en-GB"/>
      </w:rPr>
      <w:t>(</w:t>
    </w:r>
    <w:r w:rsidR="0070004B" w:rsidRPr="004430D8">
      <w:rPr>
        <w:lang w:val="en-GB"/>
      </w:rPr>
      <w:t>22</w:t>
    </w:r>
    <w:r w:rsidRPr="004430D8">
      <w:rPr>
        <w:lang w:val="en-GB"/>
      </w:rPr>
      <w:t>)</w:t>
    </w:r>
    <w:r w:rsidR="00556F3F" w:rsidRPr="004430D8">
      <w:rPr>
        <w:lang w:val="en-GB"/>
      </w:rPr>
      <w:t>04</w:t>
    </w:r>
    <w:r w:rsidRPr="004430D8">
      <w:rPr>
        <w:lang w:val="en-GB"/>
      </w:rPr>
      <w:t xml:space="preserve"> – </w:t>
    </w:r>
    <w:r w:rsidRPr="004430D8">
      <w:rPr>
        <w:szCs w:val="16"/>
        <w:lang w:val="en-GB"/>
      </w:rPr>
      <w:t xml:space="preserve">Page </w:t>
    </w:r>
    <w:r w:rsidRPr="004430D8">
      <w:rPr>
        <w:szCs w:val="16"/>
        <w:lang w:val="en-GB"/>
      </w:rPr>
      <w:fldChar w:fldCharType="begin"/>
    </w:r>
    <w:r w:rsidRPr="004430D8">
      <w:rPr>
        <w:szCs w:val="16"/>
        <w:lang w:val="en-GB"/>
      </w:rPr>
      <w:instrText xml:space="preserve"> PAGE  \* Arabic  \* MERGEFORMAT </w:instrText>
    </w:r>
    <w:r w:rsidRPr="004430D8">
      <w:rPr>
        <w:szCs w:val="16"/>
        <w:lang w:val="en-GB"/>
      </w:rPr>
      <w:fldChar w:fldCharType="separate"/>
    </w:r>
    <w:r w:rsidR="00B130FA" w:rsidRPr="004430D8">
      <w:rPr>
        <w:szCs w:val="16"/>
        <w:lang w:val="en-GB"/>
      </w:rPr>
      <w:t>2</w:t>
    </w:r>
    <w:r w:rsidRPr="004430D8">
      <w:rPr>
        <w:szCs w:val="16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D5FB" w14:textId="22B4FF9C" w:rsidR="006E1B5C" w:rsidRPr="004430D8" w:rsidRDefault="005E0504" w:rsidP="00663D25">
    <w:pPr>
      <w:pStyle w:val="Header"/>
      <w:jc w:val="right"/>
      <w:rPr>
        <w:szCs w:val="16"/>
        <w:lang w:val="en-GB"/>
      </w:rPr>
    </w:pPr>
    <w:r w:rsidRPr="004430D8">
      <w:rPr>
        <w:lang w:val="en-GB"/>
      </w:rPr>
      <w:t>ECC/</w:t>
    </w:r>
    <w:r w:rsidR="006E1B5C" w:rsidRPr="004430D8">
      <w:rPr>
        <w:lang w:val="en-GB"/>
      </w:rPr>
      <w:t>DE</w:t>
    </w:r>
    <w:r w:rsidRPr="004430D8">
      <w:rPr>
        <w:lang w:val="en-GB"/>
      </w:rPr>
      <w:t>C</w:t>
    </w:r>
    <w:r w:rsidR="00336B34" w:rsidRPr="004430D8">
      <w:rPr>
        <w:lang w:val="en-GB"/>
      </w:rPr>
      <w:t>/</w:t>
    </w:r>
    <w:r w:rsidR="006E1B5C" w:rsidRPr="004430D8">
      <w:rPr>
        <w:lang w:val="en-GB"/>
      </w:rPr>
      <w:t>(</w:t>
    </w:r>
    <w:r w:rsidR="00051523" w:rsidRPr="004430D8">
      <w:rPr>
        <w:lang w:val="en-GB"/>
      </w:rPr>
      <w:t>22</w:t>
    </w:r>
    <w:r w:rsidR="006E1B5C" w:rsidRPr="004430D8">
      <w:rPr>
        <w:lang w:val="en-GB"/>
      </w:rPr>
      <w:t>)</w:t>
    </w:r>
    <w:r w:rsidR="00556F3F" w:rsidRPr="004430D8">
      <w:rPr>
        <w:lang w:val="en-GB"/>
      </w:rPr>
      <w:t>04</w:t>
    </w:r>
    <w:r w:rsidR="006E1B5C" w:rsidRPr="004430D8">
      <w:rPr>
        <w:lang w:val="en-GB"/>
      </w:rPr>
      <w:t xml:space="preserve"> – </w:t>
    </w:r>
    <w:r w:rsidR="006E1B5C" w:rsidRPr="004430D8">
      <w:rPr>
        <w:szCs w:val="16"/>
        <w:lang w:val="en-GB"/>
      </w:rPr>
      <w:t xml:space="preserve">Page </w:t>
    </w:r>
    <w:r w:rsidR="006E1B5C" w:rsidRPr="004430D8">
      <w:rPr>
        <w:szCs w:val="16"/>
        <w:lang w:val="en-GB"/>
      </w:rPr>
      <w:fldChar w:fldCharType="begin"/>
    </w:r>
    <w:r w:rsidR="006E1B5C" w:rsidRPr="004430D8">
      <w:rPr>
        <w:szCs w:val="16"/>
        <w:lang w:val="en-GB"/>
      </w:rPr>
      <w:instrText xml:space="preserve"> PAGE  \* Arabic  \* MERGEFORMAT </w:instrText>
    </w:r>
    <w:r w:rsidR="006E1B5C" w:rsidRPr="004430D8">
      <w:rPr>
        <w:szCs w:val="16"/>
        <w:lang w:val="en-GB"/>
      </w:rPr>
      <w:fldChar w:fldCharType="separate"/>
    </w:r>
    <w:r w:rsidR="00B130FA" w:rsidRPr="004430D8">
      <w:rPr>
        <w:szCs w:val="16"/>
        <w:lang w:val="en-GB"/>
      </w:rPr>
      <w:t>3</w:t>
    </w:r>
    <w:r w:rsidR="006E1B5C" w:rsidRPr="004430D8">
      <w:rPr>
        <w:szCs w:val="16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9B91" w14:textId="094C66B3" w:rsidR="006E1B5C" w:rsidRDefault="006E1B5C">
    <w:pPr>
      <w:pStyle w:val="Header"/>
    </w:pPr>
    <w:r>
      <w:rPr>
        <w:noProof/>
        <w:szCs w:val="20"/>
        <w:lang w:val="da-DK" w:eastAsia="da-DK"/>
      </w:rPr>
      <w:drawing>
        <wp:anchor distT="0" distB="0" distL="114300" distR="114300" simplePos="0" relativeHeight="251658240" behindDoc="0" locked="0" layoutInCell="1" allowOverlap="1" wp14:anchorId="71C04C9F" wp14:editId="575B06A0">
          <wp:simplePos x="0" y="0"/>
          <wp:positionH relativeFrom="page">
            <wp:posOffset>725170</wp:posOffset>
          </wp:positionH>
          <wp:positionV relativeFrom="page">
            <wp:posOffset>609600</wp:posOffset>
          </wp:positionV>
          <wp:extent cx="889000" cy="889000"/>
          <wp:effectExtent l="25400" t="0" r="0" b="0"/>
          <wp:wrapNone/>
          <wp:docPr id="3" name="Picture 3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p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383"/>
    <w:multiLevelType w:val="multilevel"/>
    <w:tmpl w:val="EBB62B36"/>
    <w:lvl w:ilvl="0">
      <w:start w:val="1"/>
      <w:numFmt w:val="lowerLetter"/>
      <w:pStyle w:val="LetteredList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12F4188"/>
    <w:multiLevelType w:val="multilevel"/>
    <w:tmpl w:val="FF0640BA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F4E0E54"/>
    <w:multiLevelType w:val="multilevel"/>
    <w:tmpl w:val="294220AC"/>
    <w:numStyleLink w:val="Letteredlist0"/>
  </w:abstractNum>
  <w:abstractNum w:abstractNumId="3" w15:restartNumberingAfterBreak="0">
    <w:nsid w:val="32A77A34"/>
    <w:multiLevelType w:val="hybridMultilevel"/>
    <w:tmpl w:val="31DAC7DE"/>
    <w:lvl w:ilvl="0" w:tplc="EBCA4C50">
      <w:start w:val="1"/>
      <w:numFmt w:val="bullet"/>
      <w:pStyle w:val="WGNNA-bulleted"/>
      <w:lvlText w:val=""/>
      <w:lvlJc w:val="left"/>
      <w:pPr>
        <w:tabs>
          <w:tab w:val="num" w:pos="372"/>
        </w:tabs>
        <w:ind w:left="372" w:hanging="372"/>
      </w:pPr>
      <w:rPr>
        <w:rFonts w:ascii="Wingdings" w:hAnsi="Wingdings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361343C0"/>
    <w:multiLevelType w:val="multilevel"/>
    <w:tmpl w:val="294220AC"/>
    <w:styleLink w:val="Letteredlist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D163F7A"/>
    <w:multiLevelType w:val="multilevel"/>
    <w:tmpl w:val="BDCA875C"/>
    <w:lvl w:ilvl="0">
      <w:start w:val="1"/>
      <w:numFmt w:val="decimal"/>
      <w:pStyle w:val="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D2232A"/>
        <w:sz w:val="2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7E184A"/>
    <w:multiLevelType w:val="hybridMultilevel"/>
    <w:tmpl w:val="F51A9A3A"/>
    <w:lvl w:ilvl="0" w:tplc="0B1E7C38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6242A"/>
    <w:multiLevelType w:val="hybridMultilevel"/>
    <w:tmpl w:val="48DEBF0A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54765806">
    <w:abstractNumId w:val="6"/>
  </w:num>
  <w:num w:numId="2" w16cid:durableId="946278307">
    <w:abstractNumId w:val="10"/>
  </w:num>
  <w:num w:numId="3" w16cid:durableId="2055345282">
    <w:abstractNumId w:val="9"/>
  </w:num>
  <w:num w:numId="4" w16cid:durableId="2047755312">
    <w:abstractNumId w:val="1"/>
  </w:num>
  <w:num w:numId="5" w16cid:durableId="1853059264">
    <w:abstractNumId w:val="2"/>
  </w:num>
  <w:num w:numId="6" w16cid:durableId="1337074147">
    <w:abstractNumId w:val="4"/>
  </w:num>
  <w:num w:numId="7" w16cid:durableId="1049374547">
    <w:abstractNumId w:val="3"/>
  </w:num>
  <w:num w:numId="8" w16cid:durableId="1071581416">
    <w:abstractNumId w:val="8"/>
  </w:num>
  <w:num w:numId="9" w16cid:durableId="562065492">
    <w:abstractNumId w:val="7"/>
  </w:num>
  <w:num w:numId="10" w16cid:durableId="882785527">
    <w:abstractNumId w:val="5"/>
  </w:num>
  <w:num w:numId="11" w16cid:durableId="1949391121">
    <w:abstractNumId w:val="8"/>
    <w:lvlOverride w:ilvl="0">
      <w:startOverride w:val="1"/>
    </w:lvlOverride>
  </w:num>
  <w:num w:numId="12" w16cid:durableId="11317492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0">
      <o:colormru v:ext="edit" colors="#7b6c58,#887e6e,#d2232a,#57433e,#b0a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6"/>
    <w:rsid w:val="00051523"/>
    <w:rsid w:val="000542D2"/>
    <w:rsid w:val="000544AE"/>
    <w:rsid w:val="00054F0D"/>
    <w:rsid w:val="00062AB2"/>
    <w:rsid w:val="000931CD"/>
    <w:rsid w:val="000B0BF1"/>
    <w:rsid w:val="000C3EFA"/>
    <w:rsid w:val="000E3A3F"/>
    <w:rsid w:val="00135111"/>
    <w:rsid w:val="00143E06"/>
    <w:rsid w:val="0015731C"/>
    <w:rsid w:val="001839EA"/>
    <w:rsid w:val="00227550"/>
    <w:rsid w:val="002674A8"/>
    <w:rsid w:val="00282BE1"/>
    <w:rsid w:val="002856D2"/>
    <w:rsid w:val="002F3492"/>
    <w:rsid w:val="003326BD"/>
    <w:rsid w:val="00336B34"/>
    <w:rsid w:val="00341EF4"/>
    <w:rsid w:val="003453F4"/>
    <w:rsid w:val="00347496"/>
    <w:rsid w:val="00362B94"/>
    <w:rsid w:val="00392471"/>
    <w:rsid w:val="003D0631"/>
    <w:rsid w:val="003E32A1"/>
    <w:rsid w:val="003E74DD"/>
    <w:rsid w:val="003F412D"/>
    <w:rsid w:val="003F714F"/>
    <w:rsid w:val="00407F75"/>
    <w:rsid w:val="004430D8"/>
    <w:rsid w:val="00457626"/>
    <w:rsid w:val="004B0839"/>
    <w:rsid w:val="004B72F8"/>
    <w:rsid w:val="004C71EC"/>
    <w:rsid w:val="004E4F56"/>
    <w:rsid w:val="004E69A1"/>
    <w:rsid w:val="004F3884"/>
    <w:rsid w:val="00503E87"/>
    <w:rsid w:val="00556F3F"/>
    <w:rsid w:val="005878AB"/>
    <w:rsid w:val="0059199F"/>
    <w:rsid w:val="005D6106"/>
    <w:rsid w:val="005E0504"/>
    <w:rsid w:val="0065345C"/>
    <w:rsid w:val="00662E42"/>
    <w:rsid w:val="00663D25"/>
    <w:rsid w:val="00664DE4"/>
    <w:rsid w:val="00672C0D"/>
    <w:rsid w:val="00695651"/>
    <w:rsid w:val="006B2176"/>
    <w:rsid w:val="006E1B5C"/>
    <w:rsid w:val="0070004B"/>
    <w:rsid w:val="00737386"/>
    <w:rsid w:val="00740D4D"/>
    <w:rsid w:val="0079145F"/>
    <w:rsid w:val="007A6C49"/>
    <w:rsid w:val="007D41A6"/>
    <w:rsid w:val="007D480B"/>
    <w:rsid w:val="007E300C"/>
    <w:rsid w:val="007E7CFC"/>
    <w:rsid w:val="007F6E9D"/>
    <w:rsid w:val="00816D53"/>
    <w:rsid w:val="00841A73"/>
    <w:rsid w:val="008468F3"/>
    <w:rsid w:val="008767B4"/>
    <w:rsid w:val="008B0C50"/>
    <w:rsid w:val="008E3A35"/>
    <w:rsid w:val="008E67E6"/>
    <w:rsid w:val="00900312"/>
    <w:rsid w:val="00915A4B"/>
    <w:rsid w:val="00935842"/>
    <w:rsid w:val="00935C1B"/>
    <w:rsid w:val="00953393"/>
    <w:rsid w:val="00957EC2"/>
    <w:rsid w:val="00970DA3"/>
    <w:rsid w:val="00984D1F"/>
    <w:rsid w:val="009A7F5F"/>
    <w:rsid w:val="009B11DF"/>
    <w:rsid w:val="009E00BF"/>
    <w:rsid w:val="009E1CE7"/>
    <w:rsid w:val="00A0210E"/>
    <w:rsid w:val="00A529FC"/>
    <w:rsid w:val="00A80270"/>
    <w:rsid w:val="00A842DA"/>
    <w:rsid w:val="00A945F8"/>
    <w:rsid w:val="00AA157E"/>
    <w:rsid w:val="00AB105F"/>
    <w:rsid w:val="00AB45BB"/>
    <w:rsid w:val="00AC51A1"/>
    <w:rsid w:val="00AC5694"/>
    <w:rsid w:val="00AD14CE"/>
    <w:rsid w:val="00AF0B8A"/>
    <w:rsid w:val="00B12AF5"/>
    <w:rsid w:val="00B130FA"/>
    <w:rsid w:val="00B45601"/>
    <w:rsid w:val="00B52D82"/>
    <w:rsid w:val="00B53E53"/>
    <w:rsid w:val="00B56737"/>
    <w:rsid w:val="00B9184B"/>
    <w:rsid w:val="00B92131"/>
    <w:rsid w:val="00B966F5"/>
    <w:rsid w:val="00BA7DE8"/>
    <w:rsid w:val="00BB708B"/>
    <w:rsid w:val="00BC0D6B"/>
    <w:rsid w:val="00BC1FA2"/>
    <w:rsid w:val="00BC593D"/>
    <w:rsid w:val="00BF3A6E"/>
    <w:rsid w:val="00C275DE"/>
    <w:rsid w:val="00C34067"/>
    <w:rsid w:val="00C61884"/>
    <w:rsid w:val="00C77385"/>
    <w:rsid w:val="00C923EE"/>
    <w:rsid w:val="00CD77DD"/>
    <w:rsid w:val="00CE41A8"/>
    <w:rsid w:val="00CE57A8"/>
    <w:rsid w:val="00D627F9"/>
    <w:rsid w:val="00D836E4"/>
    <w:rsid w:val="00D9391F"/>
    <w:rsid w:val="00E32A3C"/>
    <w:rsid w:val="00E35969"/>
    <w:rsid w:val="00E62A66"/>
    <w:rsid w:val="00E640B4"/>
    <w:rsid w:val="00E86788"/>
    <w:rsid w:val="00EB5F34"/>
    <w:rsid w:val="00EE2257"/>
    <w:rsid w:val="00F14835"/>
    <w:rsid w:val="00F17E5C"/>
    <w:rsid w:val="00F215D2"/>
    <w:rsid w:val="00F255F3"/>
    <w:rsid w:val="00F450E3"/>
    <w:rsid w:val="00F87D3A"/>
    <w:rsid w:val="00FA22A2"/>
    <w:rsid w:val="00FE0ACD"/>
    <w:rsid w:val="00FE7F55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6c58,#887e6e,#d2232a,#57433e,#b0a696"/>
    </o:shapedefaults>
    <o:shapelayout v:ext="edit">
      <o:idmap v:ext="edit" data="2"/>
    </o:shapelayout>
  </w:shapeDefaults>
  <w:decimalSymbol w:val="."/>
  <w:listSeparator w:val=","/>
  <w14:docId w14:val="5EF80678"/>
  <w15:docId w15:val="{2B36DDB4-851F-420E-8EBC-5A79F673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C34067"/>
    <w:pPr>
      <w:keepNext/>
      <w:pageBreakBefore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FE1795"/>
    <w:pPr>
      <w:keepNext/>
      <w:numPr>
        <w:numId w:val="1"/>
      </w:numPr>
      <w:spacing w:before="480" w:after="240"/>
      <w:outlineLvl w:val="1"/>
    </w:pPr>
    <w:rPr>
      <w:rFonts w:cs="Arial"/>
      <w:b/>
      <w:bCs/>
      <w:iCs/>
      <w:caps/>
      <w:color w:val="D2232A"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FE1795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1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FE1795"/>
    <w:pPr>
      <w:numPr>
        <w:numId w:val="9"/>
      </w:numPr>
      <w:spacing w:after="12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C95C7C"/>
    <w:pPr>
      <w:numPr>
        <w:numId w:val="4"/>
      </w:numPr>
    </w:pPr>
    <w:rPr>
      <w:b w:val="0"/>
    </w:r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2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basedOn w:val="Normal"/>
    <w:semiHidden/>
    <w:rsid w:val="008935B9"/>
    <w:rPr>
      <w:szCs w:val="20"/>
    </w:rPr>
  </w:style>
  <w:style w:type="character" w:styleId="FootnoteReference">
    <w:name w:val="footnote reference"/>
    <w:semiHidden/>
    <w:rsid w:val="008935B9"/>
    <w:rPr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11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FA5088"/>
    <w:pPr>
      <w:numPr>
        <w:ilvl w:val="2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styleId="BodyTextIndent">
    <w:name w:val="Body Text Indent"/>
    <w:basedOn w:val="Normal"/>
    <w:rsid w:val="00FE1795"/>
    <w:rPr>
      <w:rFonts w:ascii="Times New Roman" w:hAnsi="Times New Roman"/>
      <w:sz w:val="24"/>
      <w:lang w:val="de-DE" w:eastAsia="en-GB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color w:val="57433E"/>
      <w:sz w:val="24"/>
    </w:rPr>
  </w:style>
  <w:style w:type="paragraph" w:customStyle="1" w:styleId="Lastupdated">
    <w:name w:val="Last updated"/>
    <w:basedOn w:val="Normal"/>
    <w:rsid w:val="00FE1795"/>
    <w:pPr>
      <w:spacing w:before="120" w:after="120"/>
      <w:ind w:left="3402"/>
    </w:pPr>
    <w:rPr>
      <w:bCs/>
      <w:sz w:val="18"/>
    </w:rPr>
  </w:style>
  <w:style w:type="numbering" w:customStyle="1" w:styleId="Letteredlist0">
    <w:name w:val="Lettered list"/>
    <w:rsid w:val="00FE1795"/>
    <w:pPr>
      <w:numPr>
        <w:numId w:val="6"/>
      </w:numPr>
    </w:pPr>
  </w:style>
  <w:style w:type="paragraph" w:customStyle="1" w:styleId="WGNNA-bulleted">
    <w:name w:val="WGNNA-bulleted"/>
    <w:basedOn w:val="Normal"/>
    <w:rsid w:val="00FE1795"/>
    <w:pPr>
      <w:numPr>
        <w:numId w:val="7"/>
      </w:numPr>
      <w:spacing w:after="120"/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LetteredList">
    <w:name w:val="Lettered List"/>
    <w:basedOn w:val="Normal"/>
    <w:rsid w:val="00044EDB"/>
    <w:pPr>
      <w:numPr>
        <w:numId w:val="12"/>
      </w:numPr>
      <w:spacing w:after="120"/>
      <w:jc w:val="both"/>
    </w:pPr>
  </w:style>
  <w:style w:type="paragraph" w:customStyle="1" w:styleId="NumberedList">
    <w:name w:val="Numbered List"/>
    <w:basedOn w:val="ECCParagraph"/>
    <w:rsid w:val="001E2FA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9B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5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2755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Dorthe\Downloads\Standard%20Withdrawal%20-%20ECC%20Decision_June_2013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Withdrawal - ECC Decision_June_2013 (1)</Template>
  <TotalTime>8</TotalTime>
  <Pages>3</Pages>
  <Words>674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New ECC Report Style</vt:lpstr>
      <vt:lpstr>New ECC Report Style</vt:lpstr>
    </vt:vector>
  </TitlesOfParts>
  <Company>ECO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Decision (22)04</dc:title>
  <dc:subject/>
  <dc:creator>ECC</dc:creator>
  <cp:keywords>ECC Decision (22)04</cp:keywords>
  <dc:description>This template is used as guidance to draft ECC Reports.</dc:description>
  <cp:lastModifiedBy>ECO </cp:lastModifiedBy>
  <cp:revision>3</cp:revision>
  <cp:lastPrinted>1900-12-31T14:00:00Z</cp:lastPrinted>
  <dcterms:created xsi:type="dcterms:W3CDTF">2022-11-28T08:50:00Z</dcterms:created>
  <dcterms:modified xsi:type="dcterms:W3CDTF">2022-11-28T08:51:00Z</dcterms:modified>
</cp:coreProperties>
</file>