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3990E" w14:textId="77777777" w:rsidR="006C03D0" w:rsidRPr="00C23CD4" w:rsidRDefault="006C03D0">
      <w:pPr>
        <w:rPr>
          <w:lang w:val="en-GB"/>
        </w:rPr>
      </w:pPr>
    </w:p>
    <w:p w14:paraId="78036D19" w14:textId="77777777" w:rsidR="006C03D0" w:rsidRPr="00C23CD4" w:rsidRDefault="006C03D0" w:rsidP="006C03D0">
      <w:pPr>
        <w:jc w:val="center"/>
        <w:rPr>
          <w:lang w:val="en-GB"/>
        </w:rPr>
      </w:pPr>
    </w:p>
    <w:p w14:paraId="367D4F12" w14:textId="77777777" w:rsidR="006C03D0" w:rsidRPr="00C23CD4" w:rsidRDefault="006C03D0" w:rsidP="006C03D0">
      <w:pPr>
        <w:jc w:val="center"/>
        <w:rPr>
          <w:lang w:val="en-GB"/>
        </w:rPr>
      </w:pPr>
    </w:p>
    <w:p w14:paraId="004F2A1A" w14:textId="77777777" w:rsidR="006C03D0" w:rsidRPr="00C23CD4" w:rsidRDefault="006C03D0" w:rsidP="006C03D0">
      <w:pPr>
        <w:rPr>
          <w:lang w:val="en-GB"/>
        </w:rPr>
      </w:pPr>
    </w:p>
    <w:p w14:paraId="780EE2A3" w14:textId="77777777" w:rsidR="006C03D0" w:rsidRPr="00C23CD4" w:rsidRDefault="006C03D0" w:rsidP="006C03D0">
      <w:pPr>
        <w:rPr>
          <w:lang w:val="en-GB"/>
        </w:rPr>
      </w:pPr>
    </w:p>
    <w:p w14:paraId="6E197416" w14:textId="77777777" w:rsidR="006C03D0" w:rsidRPr="00C23CD4" w:rsidRDefault="007C6571" w:rsidP="006C03D0">
      <w:pPr>
        <w:jc w:val="center"/>
        <w:rPr>
          <w:b/>
          <w:sz w:val="24"/>
          <w:lang w:val="en-GB"/>
        </w:rPr>
      </w:pPr>
      <w:r w:rsidRPr="00C23CD4">
        <w:rPr>
          <w:b/>
          <w:noProof/>
          <w:sz w:val="24"/>
          <w:szCs w:val="20"/>
          <w:lang w:val="en-GB" w:bidi="sa-IN"/>
        </w:rPr>
        <mc:AlternateContent>
          <mc:Choice Requires="wpg">
            <w:drawing>
              <wp:anchor distT="0" distB="0" distL="114300" distR="114300" simplePos="0" relativeHeight="251657728" behindDoc="0" locked="0" layoutInCell="1" allowOverlap="1" wp14:anchorId="037D436D" wp14:editId="77906D8F">
                <wp:simplePos x="0" y="0"/>
                <wp:positionH relativeFrom="column">
                  <wp:posOffset>-720090</wp:posOffset>
                </wp:positionH>
                <wp:positionV relativeFrom="paragraph">
                  <wp:posOffset>69850</wp:posOffset>
                </wp:positionV>
                <wp:extent cx="7564120" cy="8268970"/>
                <wp:effectExtent l="0" t="0" r="5080" b="0"/>
                <wp:wrapNone/>
                <wp:docPr id="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2071C5" w14:textId="77777777"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1B4BFE">
                                <w:rPr>
                                  <w:color w:val="887E6E"/>
                                  <w:sz w:val="68"/>
                                </w:rPr>
                                <w:t>06</w:t>
                              </w:r>
                              <w:r w:rsidRPr="001E2FAA">
                                <w:rPr>
                                  <w:color w:val="887E6E"/>
                                  <w:sz w:val="68"/>
                                </w:rPr>
                                <w:t>)</w:t>
                              </w:r>
                              <w:r w:rsidR="001B4BFE">
                                <w:rPr>
                                  <w:color w:val="887E6E"/>
                                  <w:sz w:val="68"/>
                                </w:rPr>
                                <w:t>03</w:t>
                              </w:r>
                            </w:p>
                          </w:txbxContent>
                        </wps:txbx>
                        <wps:bodyPr rot="0" vert="horz" wrap="square" lIns="2880000" tIns="540000" rIns="72000" bIns="45720" anchor="t" anchorCtr="0" upright="1">
                          <a:noAutofit/>
                        </wps:bodyPr>
                      </wps:wsp>
                      <wpg:grpSp>
                        <wpg:cNvPr id="7" name="Group 26"/>
                        <wpg:cNvGrpSpPr>
                          <a:grpSpLocks/>
                        </wpg:cNvGrpSpPr>
                        <wpg:grpSpPr bwMode="auto">
                          <a:xfrm>
                            <a:off x="1739" y="3125"/>
                            <a:ext cx="1735" cy="1735"/>
                            <a:chOff x="954" y="3125"/>
                            <a:chExt cx="1735" cy="1735"/>
                          </a:xfrm>
                        </wpg:grpSpPr>
                        <wps:wsp>
                          <wps:cNvPr id="8"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9"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7D436D" id="Group 28"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" fillcolor="#d2232a" stroked="f">
                  <v:textbox inset="80mm,15mm,2mm">
                    <w:txbxContent>
                      <w:p w14:paraId="6B2071C5" w14:textId="77777777"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1B4BFE">
                          <w:rPr>
                            <w:color w:val="887E6E"/>
                            <w:sz w:val="68"/>
                          </w:rPr>
                          <w:t>06</w:t>
                        </w:r>
                        <w:r w:rsidRPr="001E2FAA">
                          <w:rPr>
                            <w:color w:val="887E6E"/>
                            <w:sz w:val="68"/>
                          </w:rPr>
                          <w:t>)</w:t>
                        </w:r>
                        <w:r w:rsidR="001B4BFE">
                          <w:rPr>
                            <w:color w:val="887E6E"/>
                            <w:sz w:val="68"/>
                          </w:rPr>
                          <w:t>03</w:t>
                        </w:r>
                      </w:p>
                    </w:txbxContent>
                  </v:textbox>
                </v:shape>
                <v:group id="Group 26" o:spid="_x0000_s1029"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4" o:spid="_x0000_s1030"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" stroked="f">
                    <o:lock v:ext="edit" aspectratio="t"/>
                    <v:textbox inset=",15mm,2mm"/>
                  </v:rect>
                  <v:rect id="Rectangle 25" o:spid="_x0000_s1031"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" fillcolor="#57433e" stroked="f">
                    <o:lock v:ext="edit" aspectratio="t"/>
                    <v:textbox inset=",15mm,2mm"/>
                  </v:rect>
                </v:group>
              </v:group>
            </w:pict>
          </mc:Fallback>
        </mc:AlternateContent>
      </w:r>
    </w:p>
    <w:p w14:paraId="6187555E" w14:textId="77777777" w:rsidR="006C03D0" w:rsidRPr="00C23CD4" w:rsidRDefault="006C03D0" w:rsidP="006C03D0">
      <w:pPr>
        <w:jc w:val="center"/>
        <w:rPr>
          <w:b/>
          <w:sz w:val="24"/>
          <w:lang w:val="en-GB"/>
        </w:rPr>
      </w:pPr>
    </w:p>
    <w:p w14:paraId="1FE2EE36" w14:textId="77777777" w:rsidR="006C03D0" w:rsidRPr="00C23CD4" w:rsidRDefault="006C03D0" w:rsidP="006C03D0">
      <w:pPr>
        <w:jc w:val="center"/>
        <w:rPr>
          <w:b/>
          <w:sz w:val="24"/>
          <w:lang w:val="en-GB"/>
        </w:rPr>
      </w:pPr>
    </w:p>
    <w:p w14:paraId="5FD95925" w14:textId="77777777" w:rsidR="006C03D0" w:rsidRPr="00C23CD4" w:rsidRDefault="006C03D0" w:rsidP="006C03D0">
      <w:pPr>
        <w:jc w:val="center"/>
        <w:rPr>
          <w:b/>
          <w:sz w:val="24"/>
          <w:lang w:val="en-GB"/>
        </w:rPr>
      </w:pPr>
    </w:p>
    <w:p w14:paraId="303DBDE1" w14:textId="77777777" w:rsidR="006C03D0" w:rsidRPr="00C23CD4" w:rsidRDefault="006C03D0" w:rsidP="006C03D0">
      <w:pPr>
        <w:jc w:val="center"/>
        <w:rPr>
          <w:b/>
          <w:sz w:val="24"/>
          <w:lang w:val="en-GB"/>
        </w:rPr>
      </w:pPr>
    </w:p>
    <w:p w14:paraId="4BAA279F" w14:textId="77777777" w:rsidR="006C03D0" w:rsidRPr="00C23CD4" w:rsidRDefault="006C03D0" w:rsidP="006C03D0">
      <w:pPr>
        <w:jc w:val="center"/>
        <w:rPr>
          <w:b/>
          <w:sz w:val="24"/>
          <w:lang w:val="en-GB"/>
        </w:rPr>
      </w:pPr>
    </w:p>
    <w:p w14:paraId="59BED228" w14:textId="77777777" w:rsidR="006C03D0" w:rsidRPr="00C23CD4" w:rsidRDefault="006C03D0" w:rsidP="006C03D0">
      <w:pPr>
        <w:jc w:val="center"/>
        <w:rPr>
          <w:b/>
          <w:sz w:val="24"/>
          <w:lang w:val="en-GB"/>
        </w:rPr>
      </w:pPr>
    </w:p>
    <w:p w14:paraId="089128BE" w14:textId="77777777" w:rsidR="006C03D0" w:rsidRPr="00C23CD4" w:rsidRDefault="006C03D0" w:rsidP="006C03D0">
      <w:pPr>
        <w:jc w:val="center"/>
        <w:rPr>
          <w:b/>
          <w:sz w:val="24"/>
          <w:lang w:val="en-GB"/>
        </w:rPr>
      </w:pPr>
    </w:p>
    <w:p w14:paraId="43D4BD31" w14:textId="77777777" w:rsidR="006C03D0" w:rsidRPr="00C23CD4" w:rsidRDefault="006C03D0" w:rsidP="006C03D0">
      <w:pPr>
        <w:jc w:val="center"/>
        <w:rPr>
          <w:b/>
          <w:sz w:val="24"/>
          <w:lang w:val="en-GB"/>
        </w:rPr>
      </w:pPr>
    </w:p>
    <w:p w14:paraId="536AD52B" w14:textId="77777777" w:rsidR="006C03D0" w:rsidRPr="00C23CD4" w:rsidRDefault="006C03D0" w:rsidP="006C03D0">
      <w:pPr>
        <w:jc w:val="center"/>
        <w:rPr>
          <w:b/>
          <w:sz w:val="24"/>
          <w:lang w:val="en-GB"/>
        </w:rPr>
      </w:pPr>
    </w:p>
    <w:p w14:paraId="4480C0B1" w14:textId="77777777" w:rsidR="006C03D0" w:rsidRPr="00C23CD4" w:rsidRDefault="006C03D0" w:rsidP="006C03D0">
      <w:pPr>
        <w:jc w:val="center"/>
        <w:rPr>
          <w:b/>
          <w:sz w:val="24"/>
          <w:lang w:val="en-GB"/>
        </w:rPr>
      </w:pPr>
    </w:p>
    <w:p w14:paraId="1A6D19A0" w14:textId="77777777" w:rsidR="006C03D0" w:rsidRPr="00C23CD4" w:rsidRDefault="006C03D0" w:rsidP="006C03D0">
      <w:pPr>
        <w:rPr>
          <w:b/>
          <w:sz w:val="24"/>
          <w:lang w:val="en-GB"/>
        </w:rPr>
      </w:pPr>
    </w:p>
    <w:p w14:paraId="5B2B60A7" w14:textId="2919A89D" w:rsidR="006C03D0" w:rsidRPr="00C23CD4" w:rsidRDefault="00D568B5" w:rsidP="006C03D0">
      <w:pPr>
        <w:pStyle w:val="Reporttitledescription"/>
        <w:rPr>
          <w:color w:val="auto"/>
          <w:lang w:val="en-GB"/>
        </w:rPr>
      </w:pPr>
      <w:r w:rsidRPr="00C23CD4">
        <w:rPr>
          <w:color w:val="auto"/>
          <w:lang w:val="en-GB"/>
        </w:rPr>
        <w:fldChar w:fldCharType="begin">
          <w:ffData>
            <w:name w:val=""/>
            <w:enabled/>
            <w:calcOnExit w:val="0"/>
            <w:textInput>
              <w:default w:val="Exemption from Individual Licensing of high e.i.r.p. satellite terminals (HEST) operating with geostationary satellites and in the frequency bands 10.70-12.75 GHz or 19.70-20.20 GHz space-to-Earth and 14.00-14.25 GHz or 29.50-30.00 GHz Earth-to-space"/>
            </w:textInput>
          </w:ffData>
        </w:fldChar>
      </w:r>
      <w:r w:rsidRPr="00C23CD4">
        <w:rPr>
          <w:color w:val="auto"/>
          <w:lang w:val="en-GB"/>
        </w:rPr>
        <w:instrText xml:space="preserve"> FORMTEXT </w:instrText>
      </w:r>
      <w:r w:rsidRPr="00C23CD4">
        <w:rPr>
          <w:color w:val="auto"/>
          <w:lang w:val="en-GB"/>
        </w:rPr>
      </w:r>
      <w:r w:rsidRPr="00C23CD4">
        <w:rPr>
          <w:color w:val="auto"/>
          <w:lang w:val="en-GB"/>
        </w:rPr>
        <w:fldChar w:fldCharType="separate"/>
      </w:r>
      <w:r w:rsidRPr="00C23CD4">
        <w:rPr>
          <w:color w:val="auto"/>
          <w:lang w:val="en-GB"/>
        </w:rPr>
        <w:t>Exemption from Individual Licensing of high e.i.r.p. satellite terminals (HEST) operating with geostationary satellites and in the frequency bands 10.70-12.75 GHz or 19.70-20.20 GHz space-to-Earth and 14.00-14.25 GHz or 29.50-30.00 GHz Earth-to-space</w:t>
      </w:r>
      <w:r w:rsidRPr="00C23CD4">
        <w:rPr>
          <w:color w:val="auto"/>
          <w:lang w:val="en-GB"/>
        </w:rPr>
        <w:fldChar w:fldCharType="end"/>
      </w:r>
    </w:p>
    <w:p w14:paraId="2A27BAAA" w14:textId="7C06F1EE" w:rsidR="006C03D0" w:rsidRPr="00C23CD4" w:rsidRDefault="003532D2" w:rsidP="006C03D0">
      <w:pPr>
        <w:pStyle w:val="Reporttitledescription"/>
        <w:rPr>
          <w:b/>
          <w:color w:val="auto"/>
          <w:sz w:val="18"/>
          <w:lang w:val="en-GB"/>
        </w:rPr>
      </w:pPr>
      <w:r>
        <w:rPr>
          <w:b/>
          <w:color w:val="auto"/>
          <w:sz w:val="18"/>
          <w:lang w:val="en-GB"/>
        </w:rPr>
        <w:fldChar w:fldCharType="begin">
          <w:ffData>
            <w:name w:val="Text8"/>
            <w:enabled/>
            <w:calcOnExit w:val="0"/>
            <w:textInput>
              <w:default w:val="approved 24 March 2006"/>
            </w:textInput>
          </w:ffData>
        </w:fldChar>
      </w:r>
      <w:r>
        <w:rPr>
          <w:b/>
          <w:color w:val="auto"/>
          <w:sz w:val="18"/>
          <w:lang w:val="en-GB"/>
        </w:rPr>
        <w:instrText xml:space="preserve"> </w:instrText>
      </w:r>
      <w:bookmarkStart w:id="0" w:name="Text8"/>
      <w:r>
        <w:rPr>
          <w:b/>
          <w:color w:val="auto"/>
          <w:sz w:val="18"/>
          <w:lang w:val="en-GB"/>
        </w:rPr>
        <w:instrText xml:space="preserve">FORMTEXT </w:instrText>
      </w:r>
      <w:r>
        <w:rPr>
          <w:b/>
          <w:color w:val="auto"/>
          <w:sz w:val="18"/>
          <w:lang w:val="en-GB"/>
        </w:rPr>
      </w:r>
      <w:r>
        <w:rPr>
          <w:b/>
          <w:color w:val="auto"/>
          <w:sz w:val="18"/>
          <w:lang w:val="en-GB"/>
        </w:rPr>
        <w:fldChar w:fldCharType="separate"/>
      </w:r>
      <w:r>
        <w:rPr>
          <w:b/>
          <w:noProof/>
          <w:color w:val="auto"/>
          <w:sz w:val="18"/>
          <w:lang w:val="en-GB"/>
        </w:rPr>
        <w:t>approved 24 March 2006</w:t>
      </w:r>
      <w:r>
        <w:rPr>
          <w:b/>
          <w:color w:val="auto"/>
          <w:sz w:val="18"/>
          <w:lang w:val="en-GB"/>
        </w:rPr>
        <w:fldChar w:fldCharType="end"/>
      </w:r>
      <w:bookmarkEnd w:id="0"/>
    </w:p>
    <w:p w14:paraId="5130D6FC" w14:textId="79828D0C" w:rsidR="006C03D0" w:rsidRPr="00DF387E" w:rsidRDefault="003532D2" w:rsidP="006C03D0">
      <w:pPr>
        <w:pStyle w:val="Lastupdated"/>
        <w:rPr>
          <w:bCs w:val="0"/>
          <w:lang w:val="en-GB"/>
        </w:rPr>
      </w:pPr>
      <w:r w:rsidRPr="00DF387E">
        <w:rPr>
          <w:bCs w:val="0"/>
          <w:lang w:val="en-GB"/>
        </w:rPr>
        <w:fldChar w:fldCharType="begin">
          <w:ffData>
            <w:name w:val="Text3"/>
            <w:enabled/>
            <w:calcOnExit w:val="0"/>
            <w:textInput>
              <w:default w:val="latest amended on 18 November 2022"/>
            </w:textInput>
          </w:ffData>
        </w:fldChar>
      </w:r>
      <w:r w:rsidRPr="00B61EB4">
        <w:rPr>
          <w:bCs w:val="0"/>
          <w:lang w:val="en-GB"/>
        </w:rPr>
        <w:instrText xml:space="preserve"> </w:instrText>
      </w:r>
      <w:bookmarkStart w:id="1" w:name="Text3"/>
      <w:r w:rsidRPr="00B61EB4">
        <w:rPr>
          <w:bCs w:val="0"/>
          <w:lang w:val="en-GB"/>
        </w:rPr>
        <w:instrText xml:space="preserve">FORMTEXT </w:instrText>
      </w:r>
      <w:r w:rsidRPr="00DF387E">
        <w:rPr>
          <w:bCs w:val="0"/>
          <w:lang w:val="en-GB"/>
        </w:rPr>
      </w:r>
      <w:r w:rsidRPr="00DF387E">
        <w:rPr>
          <w:bCs w:val="0"/>
          <w:lang w:val="en-GB"/>
        </w:rPr>
        <w:fldChar w:fldCharType="separate"/>
      </w:r>
      <w:r w:rsidRPr="00B61EB4">
        <w:rPr>
          <w:bCs w:val="0"/>
          <w:noProof/>
          <w:lang w:val="en-GB"/>
        </w:rPr>
        <w:t>latest amended on 18 November 2022</w:t>
      </w:r>
      <w:r w:rsidRPr="00DF387E">
        <w:rPr>
          <w:bCs w:val="0"/>
          <w:lang w:val="en-GB"/>
        </w:rPr>
        <w:fldChar w:fldCharType="end"/>
      </w:r>
      <w:bookmarkEnd w:id="1"/>
    </w:p>
    <w:p w14:paraId="59B46979" w14:textId="77777777" w:rsidR="006C03D0" w:rsidRPr="00C23CD4" w:rsidRDefault="005F7AD5" w:rsidP="00717AEE">
      <w:pPr>
        <w:pStyle w:val="Heading1"/>
      </w:pPr>
      <w:r w:rsidRPr="00C23CD4">
        <w:lastRenderedPageBreak/>
        <w:t xml:space="preserve">explanatory memorandum </w:t>
      </w:r>
    </w:p>
    <w:p w14:paraId="793F1E52" w14:textId="77777777" w:rsidR="006C03D0" w:rsidRPr="00C23CD4" w:rsidRDefault="005F7AD5" w:rsidP="002967B9">
      <w:pPr>
        <w:pStyle w:val="Heading2"/>
        <w:rPr>
          <w:lang w:val="en-GB"/>
        </w:rPr>
      </w:pPr>
      <w:r w:rsidRPr="00C23CD4">
        <w:rPr>
          <w:lang w:val="en-GB"/>
        </w:rPr>
        <w:t xml:space="preserve">INTRODUCTION </w:t>
      </w:r>
    </w:p>
    <w:p w14:paraId="057B280E" w14:textId="77777777" w:rsidR="00F56788" w:rsidRPr="00C23CD4" w:rsidRDefault="00F56788" w:rsidP="00F56788">
      <w:pPr>
        <w:pStyle w:val="ECCParagraph"/>
      </w:pPr>
      <w:r w:rsidRPr="00C23CD4">
        <w:t>Licensing is an appropriate tool for administrations to regulate the effective use of the frequency spectrum and to avoid harmful interference. However intervention from the administrations as far as the installation and use of equipment is concerned needs to be proportionate. Administrations and especially users, retailers and manufacturers will benefit from a more deregulated system of authorising the use of radio equipment.</w:t>
      </w:r>
    </w:p>
    <w:p w14:paraId="60BC42BA" w14:textId="399701E3" w:rsidR="00F56788" w:rsidRPr="00C23CD4" w:rsidRDefault="00F56788" w:rsidP="00F56788">
      <w:pPr>
        <w:pStyle w:val="ECCParagraph"/>
      </w:pPr>
      <w:r w:rsidRPr="00C23CD4">
        <w:t xml:space="preserve">This Decision intends to provide for individual licence exemption of satellite terminals operating with e.i.r.p. </w:t>
      </w:r>
      <w:r w:rsidR="00B5076A" w:rsidRPr="00C23CD4">
        <w:t xml:space="preserve">up to </w:t>
      </w:r>
      <w:r w:rsidRPr="00C23CD4">
        <w:t>60 dBW within the CEPT. These terminals operate within the frequency bands 10.70</w:t>
      </w:r>
      <w:r w:rsidR="0013155B" w:rsidRPr="00C23CD4">
        <w:t>-</w:t>
      </w:r>
      <w:r w:rsidRPr="00C23CD4">
        <w:t>12.75 or 19.70</w:t>
      </w:r>
      <w:r w:rsidR="0013155B" w:rsidRPr="00C23CD4">
        <w:t>-</w:t>
      </w:r>
      <w:r w:rsidRPr="00C23CD4">
        <w:t>20.20 GHz (space-to-Earth) and 14.00</w:t>
      </w:r>
      <w:r w:rsidR="0013155B" w:rsidRPr="00C23CD4">
        <w:t>-</w:t>
      </w:r>
      <w:r w:rsidRPr="00C23CD4">
        <w:t>14.25 GHz or 29.50</w:t>
      </w:r>
      <w:r w:rsidR="0013155B" w:rsidRPr="00C23CD4">
        <w:t>-</w:t>
      </w:r>
      <w:r w:rsidRPr="00C23CD4">
        <w:t xml:space="preserve">30.00 GHz (Earth-to-space) under the control of the satellite system, providing digital communications. They operate with geostationary satellites, and they are envisaged for unattended operation. </w:t>
      </w:r>
    </w:p>
    <w:p w14:paraId="3158C8C4" w14:textId="77777777" w:rsidR="006C03D0" w:rsidRPr="00C23CD4" w:rsidRDefault="005F7AD5" w:rsidP="002967B9">
      <w:pPr>
        <w:pStyle w:val="Heading2"/>
        <w:rPr>
          <w:lang w:val="en-GB"/>
        </w:rPr>
      </w:pPr>
      <w:r w:rsidRPr="00C23CD4">
        <w:rPr>
          <w:lang w:val="en-GB"/>
        </w:rPr>
        <w:t xml:space="preserve">BACKGROUND </w:t>
      </w:r>
    </w:p>
    <w:p w14:paraId="361ACFF6" w14:textId="56EEED3C" w:rsidR="00F56788" w:rsidRPr="00C23CD4" w:rsidRDefault="00F56788" w:rsidP="00BC73CD">
      <w:pPr>
        <w:pStyle w:val="ECCParagraph"/>
      </w:pPr>
      <w:r w:rsidRPr="00C23CD4">
        <w:t>There is a general agreement that when the efficient use of the frequency spectrum is not at risk and as long as harmful interference is unlikely, the installation and use of radio equipment might be exempted from individual licensing. Within EU/EFTA countries the Radio Equipment (RE) Directive</w:t>
      </w:r>
      <w:r w:rsidR="00C83663" w:rsidRPr="00C23CD4">
        <w:t xml:space="preserve"> </w:t>
      </w:r>
      <w:r w:rsidR="00C83663" w:rsidRPr="00C23CD4">
        <w:fldChar w:fldCharType="begin"/>
      </w:r>
      <w:r w:rsidR="00C83663" w:rsidRPr="00C23CD4">
        <w:instrText xml:space="preserve"> REF _Ref524508284 \r \h </w:instrText>
      </w:r>
      <w:r w:rsidR="00C83663" w:rsidRPr="00C23CD4">
        <w:fldChar w:fldCharType="separate"/>
      </w:r>
      <w:r w:rsidR="00F545BE">
        <w:t>[1]</w:t>
      </w:r>
      <w:r w:rsidR="00C83663" w:rsidRPr="00C23CD4">
        <w:fldChar w:fldCharType="end"/>
      </w:r>
      <w:r w:rsidRPr="00C23CD4">
        <w:t xml:space="preserve"> introduces the principle that individual licensing is only justified for reasons related to the effective/efficient use of the spectrum and the avoidance of harmful interference. Furthermore, Directive 2002/20/EC (the Authorisation Directive) provides that, when the risk of harmful interference is negligible, the use of radio frequencies shall be governed by general authorisation.</w:t>
      </w:r>
    </w:p>
    <w:p w14:paraId="3DA8D228" w14:textId="77777777" w:rsidR="00F56788" w:rsidRPr="00C23CD4" w:rsidRDefault="00F56788" w:rsidP="00BC73CD">
      <w:pPr>
        <w:pStyle w:val="ECCParagraph"/>
      </w:pPr>
      <w:r w:rsidRPr="00C23CD4">
        <w:t>In general</w:t>
      </w:r>
      <w:r w:rsidR="00433EAF" w:rsidRPr="00C23CD4">
        <w:t>,</w:t>
      </w:r>
      <w:r w:rsidRPr="00C23CD4">
        <w:t xml:space="preserve"> the CEPT administrations apply similar systems of licensing and exemption from individual licensing. However, different criteria are used to decide whether radio equipment should be licensed or exempted from an individual licence.</w:t>
      </w:r>
    </w:p>
    <w:p w14:paraId="10930E71" w14:textId="77777777" w:rsidR="00F56788" w:rsidRPr="00C23CD4" w:rsidRDefault="00F56788" w:rsidP="00BC73CD">
      <w:pPr>
        <w:pStyle w:val="ECCParagraph"/>
      </w:pPr>
      <w:r w:rsidRPr="00C23CD4">
        <w:t>The provision of Pan European wide services will be greatly assisted when all CEPT administrations would exempt the same categories of radio equipment from licensing and apply -to achieve that- the same criteria to decide on this.</w:t>
      </w:r>
    </w:p>
    <w:p w14:paraId="749DCA95" w14:textId="77777777" w:rsidR="00F56788" w:rsidRPr="00C23CD4" w:rsidRDefault="00F56788" w:rsidP="00BC73CD">
      <w:pPr>
        <w:pStyle w:val="ECCParagraph"/>
      </w:pPr>
      <w:r w:rsidRPr="00C23CD4">
        <w:t>When radio equipment is subject to an exemption from individual licensing, anyone can have installed and use the radio equipment without any prior individual permission from the Administration. Furthermore, the Administration will not register the individual equipment. The use of the equipment can be subject to general provisions or general authorisation.</w:t>
      </w:r>
    </w:p>
    <w:p w14:paraId="6471A58C" w14:textId="2CF667B4" w:rsidR="00F56788" w:rsidRPr="00C23CD4" w:rsidRDefault="00F56788" w:rsidP="00BC73CD">
      <w:pPr>
        <w:pStyle w:val="ECCParagraph"/>
      </w:pPr>
      <w:r w:rsidRPr="00C23CD4">
        <w:rPr>
          <w:lang w:eastAsia="nl-NL"/>
        </w:rPr>
        <w:t>The electromagnetic compatibility between satellite terminals and aircraft avionics has been examined in ECC Report 272</w:t>
      </w:r>
      <w:r w:rsidR="005A72FA" w:rsidRPr="00C23CD4">
        <w:rPr>
          <w:lang w:eastAsia="nl-NL"/>
        </w:rPr>
        <w:t xml:space="preserve"> </w:t>
      </w:r>
      <w:r w:rsidR="005A72FA" w:rsidRPr="00C23CD4">
        <w:rPr>
          <w:lang w:eastAsia="nl-NL"/>
        </w:rPr>
        <w:fldChar w:fldCharType="begin"/>
      </w:r>
      <w:r w:rsidR="005A72FA" w:rsidRPr="00C23CD4">
        <w:rPr>
          <w:lang w:eastAsia="nl-NL"/>
        </w:rPr>
        <w:instrText xml:space="preserve"> REF _Ref524430598 \r \h </w:instrText>
      </w:r>
      <w:r w:rsidR="005A72FA" w:rsidRPr="00C23CD4">
        <w:rPr>
          <w:lang w:eastAsia="nl-NL"/>
        </w:rPr>
      </w:r>
      <w:r w:rsidR="005A72FA" w:rsidRPr="00C23CD4">
        <w:rPr>
          <w:lang w:eastAsia="nl-NL"/>
        </w:rPr>
        <w:fldChar w:fldCharType="separate"/>
      </w:r>
      <w:r w:rsidR="00F545BE">
        <w:rPr>
          <w:lang w:eastAsia="nl-NL"/>
        </w:rPr>
        <w:t>[1]</w:t>
      </w:r>
      <w:r w:rsidR="005A72FA" w:rsidRPr="00C23CD4">
        <w:rPr>
          <w:lang w:eastAsia="nl-NL"/>
        </w:rPr>
        <w:fldChar w:fldCharType="end"/>
      </w:r>
      <w:r w:rsidRPr="00C23CD4">
        <w:rPr>
          <w:lang w:eastAsia="nl-NL"/>
        </w:rPr>
        <w:t xml:space="preserve"> on</w:t>
      </w:r>
      <w:r w:rsidRPr="00C23CD4">
        <w:rPr>
          <w:b/>
          <w:lang w:eastAsia="nl-NL"/>
        </w:rPr>
        <w:t xml:space="preserve"> </w:t>
      </w:r>
      <w:r w:rsidRPr="00C23CD4">
        <w:t>the “Earth Stations operating in the frequency bands 4-8 GHz, 12-18 GHz and 18-40 GHz in the vicinity of aircraft</w:t>
      </w:r>
      <w:r w:rsidR="009D3584" w:rsidRPr="00C23CD4">
        <w:t>”</w:t>
      </w:r>
      <w:r w:rsidRPr="00C23CD4">
        <w:t>. This Report provides the m</w:t>
      </w:r>
      <w:r w:rsidRPr="00C23CD4">
        <w:rPr>
          <w:bCs/>
        </w:rPr>
        <w:t>aximum earth station e.i.r.p. levels to ensure compliance with aircraft High Intensity Radiated Field (HIRF) protection criteria</w:t>
      </w:r>
      <w:r w:rsidRPr="00C23CD4">
        <w:t>.</w:t>
      </w:r>
    </w:p>
    <w:p w14:paraId="5B8AAEF9" w14:textId="77777777" w:rsidR="00F56788" w:rsidRPr="00C23CD4" w:rsidRDefault="00F56788" w:rsidP="00BC73CD">
      <w:pPr>
        <w:pStyle w:val="ECCParagraph"/>
      </w:pPr>
      <w:r w:rsidRPr="00C23CD4">
        <w:t>Maximum e.i.r.p. levels for earth stations retained in this Decision are equal to or lower than maximum e.i.r.p. based on ECC Report 272 that ensures compliance with aircraft HIRF protection criteria. Therefore</w:t>
      </w:r>
      <w:r w:rsidR="00433EAF" w:rsidRPr="00C23CD4">
        <w:t>,</w:t>
      </w:r>
      <w:r w:rsidRPr="00C23CD4">
        <w:t xml:space="preserve"> the maximum e.i.r.p. levels indicated in this Decision implicitly provides the necessary protection for aircraft HIRF.</w:t>
      </w:r>
    </w:p>
    <w:p w14:paraId="053BFA63" w14:textId="37D91D86" w:rsidR="00F56788" w:rsidRPr="00C23CD4" w:rsidRDefault="00F56788" w:rsidP="00BC73CD">
      <w:pPr>
        <w:pStyle w:val="ECCParagraph"/>
      </w:pPr>
      <w:r w:rsidRPr="00C23CD4">
        <w:t>It is not in the scope of this Decision to cover the requirements applicable for the limitation of exposure of the general public to electromagnetic fields as defined in Council Recommendation 1999/519/EC</w:t>
      </w:r>
      <w:r w:rsidR="00F545BE">
        <w:t xml:space="preserve"> </w:t>
      </w:r>
      <w:r w:rsidR="00A72903">
        <w:fldChar w:fldCharType="begin"/>
      </w:r>
      <w:r w:rsidR="00A72903">
        <w:instrText xml:space="preserve"> REF _Ref119587478 \r \h </w:instrText>
      </w:r>
      <w:r w:rsidR="00A72903">
        <w:fldChar w:fldCharType="separate"/>
      </w:r>
      <w:r w:rsidR="00A72903">
        <w:t>[6]</w:t>
      </w:r>
      <w:r w:rsidR="00A72903">
        <w:fldChar w:fldCharType="end"/>
      </w:r>
      <w:r>
        <w:fldChar w:fldCharType="begin"/>
      </w:r>
      <w:r>
        <w:instrText xml:space="preserve"> REF _Ref526157317 \r \h </w:instrText>
      </w:r>
      <w:r w:rsidR="00000000">
        <w:fldChar w:fldCharType="separate"/>
      </w:r>
      <w:r>
        <w:fldChar w:fldCharType="end"/>
      </w:r>
      <w:r w:rsidR="002645A0" w:rsidRPr="00C23CD4">
        <w:t>.</w:t>
      </w:r>
    </w:p>
    <w:p w14:paraId="1D7853A3" w14:textId="4028F894" w:rsidR="0061774F" w:rsidRPr="00C23CD4" w:rsidRDefault="0061774F" w:rsidP="0061774F">
      <w:pPr>
        <w:pStyle w:val="ECCParagraph"/>
      </w:pPr>
      <w:r w:rsidRPr="00C23CD4">
        <w:rPr>
          <w:snapToGrid w:val="0"/>
        </w:rPr>
        <w:t xml:space="preserve">Within CEPT, a regulatory regime applicable for Low e.i.r.p. Satellite Terminals (LEST) was established in 2006: the ECC Decision of 30 March 2006 on exemption from individual licensing of </w:t>
      </w:r>
      <w:r w:rsidRPr="00C23CD4">
        <w:t>Low e.i.r.p. Satellite Terminals (LEST) operating within the frequency bands 10.70–12.75 GHz or 19.70–20.20 GHz space-to-Earth and 14.00–14.25 GHz or 29.50–30.00 GHz Earth-to-Space</w:t>
      </w:r>
      <w:r w:rsidRPr="00C23CD4">
        <w:rPr>
          <w:snapToGrid w:val="0"/>
        </w:rPr>
        <w:t xml:space="preserve"> (</w:t>
      </w:r>
      <w:r w:rsidR="00E3710D" w:rsidRPr="00C23CD4">
        <w:t>ECC Decision</w:t>
      </w:r>
      <w:r w:rsidR="00E3710D" w:rsidRPr="00C23CD4">
        <w:rPr>
          <w:snapToGrid w:val="0"/>
        </w:rPr>
        <w:t xml:space="preserve"> </w:t>
      </w:r>
      <w:r w:rsidRPr="00C23CD4">
        <w:rPr>
          <w:snapToGrid w:val="0"/>
        </w:rPr>
        <w:t>(06)02)</w:t>
      </w:r>
      <w:r w:rsidRPr="00C23CD4">
        <w:t>.</w:t>
      </w:r>
    </w:p>
    <w:p w14:paraId="1417BD4A" w14:textId="431B7F37" w:rsidR="0061774F" w:rsidRPr="00C23CD4" w:rsidRDefault="0061774F" w:rsidP="0061774F">
      <w:pPr>
        <w:pStyle w:val="ECCParagraph"/>
        <w:rPr>
          <w:b/>
          <w:szCs w:val="20"/>
        </w:rPr>
      </w:pPr>
      <w:r w:rsidRPr="00C23CD4">
        <w:t xml:space="preserve">The conditions of </w:t>
      </w:r>
      <w:r w:rsidR="00EB0208" w:rsidRPr="00C23CD4">
        <w:t xml:space="preserve">ECC </w:t>
      </w:r>
      <w:r w:rsidRPr="00C23CD4">
        <w:t>Decision</w:t>
      </w:r>
      <w:r w:rsidR="00EB0208" w:rsidRPr="00C23CD4">
        <w:t xml:space="preserve"> (06)02</w:t>
      </w:r>
      <w:r w:rsidRPr="00C23CD4">
        <w:t xml:space="preserve"> are superseded </w:t>
      </w:r>
      <w:r w:rsidR="00EB0208" w:rsidRPr="00C23CD4">
        <w:t xml:space="preserve">by </w:t>
      </w:r>
      <w:r w:rsidRPr="00C23CD4">
        <w:t>ECC Decision (06)03</w:t>
      </w:r>
      <w:r w:rsidR="00EB0208" w:rsidRPr="00C23CD4">
        <w:t xml:space="preserve"> as revised in 2022,</w:t>
      </w:r>
      <w:r w:rsidRPr="00C23CD4">
        <w:t xml:space="preserve"> and </w:t>
      </w:r>
      <w:r w:rsidR="00EB0208" w:rsidRPr="00C23CD4">
        <w:t>ECC Dec</w:t>
      </w:r>
      <w:r w:rsidRPr="00C23CD4">
        <w:t>is</w:t>
      </w:r>
      <w:r w:rsidR="00EB0208" w:rsidRPr="00C23CD4">
        <w:t>ion (06)02</w:t>
      </w:r>
      <w:r w:rsidRPr="00C23CD4">
        <w:t xml:space="preserve"> </w:t>
      </w:r>
      <w:r w:rsidR="00EB0208" w:rsidRPr="00C23CD4">
        <w:t xml:space="preserve">is therefore </w:t>
      </w:r>
      <w:r w:rsidRPr="00C23CD4">
        <w:t>no longer needed</w:t>
      </w:r>
      <w:r w:rsidR="00EB0208" w:rsidRPr="00C23CD4">
        <w:t>.</w:t>
      </w:r>
    </w:p>
    <w:p w14:paraId="69014DF4" w14:textId="77777777" w:rsidR="006C03D0" w:rsidRPr="00C23CD4" w:rsidRDefault="005F7AD5" w:rsidP="002967B9">
      <w:pPr>
        <w:pStyle w:val="Heading2"/>
        <w:rPr>
          <w:lang w:val="en-GB"/>
        </w:rPr>
      </w:pPr>
      <w:r w:rsidRPr="00C23CD4">
        <w:rPr>
          <w:lang w:val="en-GB"/>
        </w:rPr>
        <w:lastRenderedPageBreak/>
        <w:t>REQUIREMENT FOR AN ECC DECISION</w:t>
      </w:r>
    </w:p>
    <w:p w14:paraId="72186700" w14:textId="062A26C9" w:rsidR="00800B36" w:rsidRPr="00C23CD4" w:rsidRDefault="00EF258D" w:rsidP="00800B36">
      <w:pPr>
        <w:pStyle w:val="ECCParagraph"/>
        <w:rPr>
          <w:strike/>
        </w:rPr>
      </w:pPr>
      <w:r w:rsidRPr="00C23CD4">
        <w:t xml:space="preserve">ERC Recommendation </w:t>
      </w:r>
      <w:r w:rsidR="00800B36" w:rsidRPr="00C23CD4">
        <w:t>01-07</w:t>
      </w:r>
      <w:r w:rsidR="005A72FA" w:rsidRPr="00C23CD4">
        <w:t xml:space="preserve"> </w:t>
      </w:r>
      <w:r w:rsidR="00C83663" w:rsidRPr="00C23CD4">
        <w:fldChar w:fldCharType="begin"/>
      </w:r>
      <w:r w:rsidR="00C83663" w:rsidRPr="00C23CD4">
        <w:instrText xml:space="preserve"> REF _Ref524431943 \r \h </w:instrText>
      </w:r>
      <w:r w:rsidR="00C83663" w:rsidRPr="00C23CD4">
        <w:fldChar w:fldCharType="separate"/>
      </w:r>
      <w:r w:rsidR="00F545BE">
        <w:t>[3]</w:t>
      </w:r>
      <w:r w:rsidR="00C83663" w:rsidRPr="00C23CD4">
        <w:fldChar w:fldCharType="end"/>
      </w:r>
      <w:r w:rsidR="00800B36" w:rsidRPr="00C23CD4">
        <w:t xml:space="preserve"> that was adopted in 1995 listed harmonised criteria for the administrations to decide whether an exemption of individual license should be applied.</w:t>
      </w:r>
    </w:p>
    <w:p w14:paraId="2D345147" w14:textId="4E786E05" w:rsidR="00800B36" w:rsidRPr="00C23CD4" w:rsidRDefault="00800B36" w:rsidP="00800B36">
      <w:pPr>
        <w:pStyle w:val="ECCParagraph"/>
      </w:pPr>
      <w:r w:rsidRPr="00C23CD4">
        <w:t xml:space="preserve">The aim of this Decision is to exempt satellite terminals with e.i.r.p. </w:t>
      </w:r>
      <w:r w:rsidR="0061774F" w:rsidRPr="00C23CD4">
        <w:t>up to</w:t>
      </w:r>
      <w:r w:rsidRPr="00C23CD4">
        <w:t xml:space="preserve"> 60 dBW, and for which the conditions of this Decision apply, from individual licensing, because they </w:t>
      </w:r>
      <w:r w:rsidR="00EF258D" w:rsidRPr="00C23CD4">
        <w:t>fulfil</w:t>
      </w:r>
      <w:r w:rsidRPr="00C23CD4">
        <w:t xml:space="preserve"> the criteria for exemption listed in ERC</w:t>
      </w:r>
      <w:r w:rsidR="00EF258D" w:rsidRPr="00C23CD4">
        <w:t xml:space="preserve"> Recommendation </w:t>
      </w:r>
      <w:r w:rsidRPr="00C23CD4">
        <w:t>01-07</w:t>
      </w:r>
      <w:r w:rsidR="00EF258D" w:rsidRPr="00C23CD4">
        <w:t>.</w:t>
      </w:r>
      <w:r w:rsidRPr="00C23CD4">
        <w:rPr>
          <w:color w:val="800000"/>
        </w:rPr>
        <w:t xml:space="preserve"> </w:t>
      </w:r>
    </w:p>
    <w:p w14:paraId="7BC5DE66" w14:textId="0A02E889" w:rsidR="002A6386" w:rsidRPr="00C23CD4" w:rsidRDefault="005F7AD5" w:rsidP="00717AEE">
      <w:pPr>
        <w:pStyle w:val="Heading1"/>
      </w:pPr>
      <w:r w:rsidRPr="00C23CD4">
        <w:lastRenderedPageBreak/>
        <w:t>ECC Decision of</w:t>
      </w:r>
      <w:r w:rsidR="00A8085A" w:rsidRPr="00C23CD4">
        <w:t xml:space="preserve"> </w:t>
      </w:r>
      <w:r w:rsidR="0077022F" w:rsidRPr="00C23CD4">
        <w:t>24 March 2006</w:t>
      </w:r>
      <w:r w:rsidR="000B7464" w:rsidRPr="00C23CD4">
        <w:t xml:space="preserve"> </w:t>
      </w:r>
      <w:r w:rsidRPr="00C23CD4">
        <w:t>on</w:t>
      </w:r>
      <w:r w:rsidR="00A8085A" w:rsidRPr="00C23CD4">
        <w:t xml:space="preserve"> </w:t>
      </w:r>
      <w:r w:rsidR="00D521CC" w:rsidRPr="00C23CD4">
        <w:t>Exemption from Individual Licensing of high e.i.r.p. satellite terminals (HEST) operating with</w:t>
      </w:r>
      <w:r w:rsidR="002A026A" w:rsidRPr="00C23CD4">
        <w:t xml:space="preserve"> geostationary satellites and </w:t>
      </w:r>
      <w:r w:rsidR="00D521CC" w:rsidRPr="00C23CD4">
        <w:t>in the frequency bands 10.70</w:t>
      </w:r>
      <w:r w:rsidR="0013155B" w:rsidRPr="00C23CD4">
        <w:t>-</w:t>
      </w:r>
      <w:r w:rsidR="00D521CC" w:rsidRPr="00C23CD4">
        <w:t>12.75 GHz or 19.70</w:t>
      </w:r>
      <w:r w:rsidR="0013155B" w:rsidRPr="00C23CD4">
        <w:t>-</w:t>
      </w:r>
      <w:r w:rsidR="00D521CC" w:rsidRPr="00C23CD4">
        <w:t>20.20 GHz space-to-Earth and 14.00-14.25 GHz or 29.50</w:t>
      </w:r>
      <w:r w:rsidR="0013155B" w:rsidRPr="00C23CD4">
        <w:t>-</w:t>
      </w:r>
      <w:r w:rsidR="00D521CC" w:rsidRPr="00C23CD4">
        <w:t>30.00 GHz Earth-to-space</w:t>
      </w:r>
      <w:r w:rsidR="00A8085A" w:rsidRPr="00C23CD4">
        <w:t xml:space="preserve"> (</w:t>
      </w:r>
      <w:r w:rsidR="0077022F" w:rsidRPr="00C23CD4">
        <w:t>ECC</w:t>
      </w:r>
      <w:r w:rsidR="00717AEE">
        <w:t xml:space="preserve"> DEcISION </w:t>
      </w:r>
      <w:r w:rsidR="0077022F" w:rsidRPr="00C23CD4">
        <w:t>(06)03</w:t>
      </w:r>
      <w:r w:rsidR="00A8085A" w:rsidRPr="00C23CD4">
        <w:t>)</w:t>
      </w:r>
      <w:r w:rsidR="002A6386" w:rsidRPr="00C23CD4">
        <w:t xml:space="preserve">, amended on </w:t>
      </w:r>
      <w:r w:rsidR="003359A7" w:rsidRPr="00C23CD4">
        <w:t>8 March 2019</w:t>
      </w:r>
      <w:r w:rsidR="00D4638E">
        <w:t xml:space="preserve"> and </w:t>
      </w:r>
      <w:r w:rsidR="0000767C">
        <w:t xml:space="preserve">amended on </w:t>
      </w:r>
      <w:r w:rsidR="00D4638E">
        <w:t>18 November 2022</w:t>
      </w:r>
    </w:p>
    <w:p w14:paraId="70F1F759" w14:textId="77777777" w:rsidR="00433EAF" w:rsidRPr="00C23CD4" w:rsidRDefault="005F7AD5" w:rsidP="006C03D0">
      <w:pPr>
        <w:pStyle w:val="ECCParagraph"/>
      </w:pPr>
      <w:r w:rsidRPr="00C23CD4">
        <w:t xml:space="preserve">“The European Conference of Postal and Telecommunications Administrations, </w:t>
      </w:r>
    </w:p>
    <w:p w14:paraId="0DAAFAC2" w14:textId="77777777" w:rsidR="006C03D0" w:rsidRPr="00C23CD4" w:rsidRDefault="005F7AD5" w:rsidP="006C03D0">
      <w:pPr>
        <w:pStyle w:val="ECCParagraph"/>
        <w:rPr>
          <w:i/>
          <w:color w:val="D2232A"/>
        </w:rPr>
      </w:pPr>
      <w:r w:rsidRPr="00C23CD4">
        <w:rPr>
          <w:i/>
          <w:color w:val="D2232A"/>
        </w:rPr>
        <w:t xml:space="preserve">considering </w:t>
      </w:r>
    </w:p>
    <w:p w14:paraId="7362ADD4" w14:textId="77777777" w:rsidR="007C5D46" w:rsidRPr="00C23CD4" w:rsidRDefault="007C5D46" w:rsidP="00711AF7">
      <w:pPr>
        <w:pStyle w:val="LetteredList"/>
        <w:spacing w:after="240"/>
        <w:ind w:left="397"/>
        <w:jc w:val="left"/>
        <w:rPr>
          <w:lang w:val="en-GB"/>
        </w:rPr>
      </w:pPr>
      <w:r w:rsidRPr="00C23CD4">
        <w:rPr>
          <w:lang w:val="en-GB"/>
        </w:rPr>
        <w:t>that within the CEPT administrations there is a</w:t>
      </w:r>
      <w:r w:rsidR="00433EAF" w:rsidRPr="00C23CD4">
        <w:rPr>
          <w:lang w:val="en-GB"/>
        </w:rPr>
        <w:t>n</w:t>
      </w:r>
      <w:r w:rsidRPr="00C23CD4">
        <w:rPr>
          <w:lang w:val="en-GB"/>
        </w:rPr>
        <w:t xml:space="preserve"> ongoing awareness of a need for harmonisation of licensing regimes in order to facilitate the provision of Pan European wide services;</w:t>
      </w:r>
      <w:r w:rsidRPr="00C23CD4">
        <w:rPr>
          <w:color w:val="008080"/>
          <w:lang w:val="en-GB"/>
        </w:rPr>
        <w:t xml:space="preserve"> </w:t>
      </w:r>
    </w:p>
    <w:p w14:paraId="2BB3978D" w14:textId="77777777" w:rsidR="007C5D46" w:rsidRPr="00C23CD4" w:rsidRDefault="007C5D46" w:rsidP="00711AF7">
      <w:pPr>
        <w:pStyle w:val="LetteredList"/>
        <w:spacing w:after="240"/>
        <w:ind w:left="397"/>
        <w:jc w:val="left"/>
        <w:rPr>
          <w:lang w:val="en-GB"/>
        </w:rPr>
      </w:pPr>
      <w:r w:rsidRPr="00C23CD4">
        <w:rPr>
          <w:lang w:val="en-GB"/>
        </w:rPr>
        <w:t>that it therefore would be desirable for CEPT administrations to have common licence regimes at their disposal in order to control the installation, ownership and use of radio equipment;</w:t>
      </w:r>
    </w:p>
    <w:p w14:paraId="23C9C7AD" w14:textId="77777777" w:rsidR="007C5D46" w:rsidRPr="00C23CD4" w:rsidRDefault="007C5D46" w:rsidP="00711AF7">
      <w:pPr>
        <w:pStyle w:val="LetteredList"/>
        <w:spacing w:after="240"/>
        <w:ind w:left="397"/>
        <w:jc w:val="left"/>
        <w:rPr>
          <w:lang w:val="en-GB"/>
        </w:rPr>
      </w:pPr>
      <w:r w:rsidRPr="00C23CD4">
        <w:rPr>
          <w:lang w:val="en-GB"/>
        </w:rPr>
        <w:t>that there is a strong desire within the CEPT administrations to reduce the control exercised by administrations in the form of mandatory provisions;</w:t>
      </w:r>
    </w:p>
    <w:p w14:paraId="0EFE0E51" w14:textId="77777777" w:rsidR="007C5D46" w:rsidRPr="00C23CD4" w:rsidRDefault="007C5D46" w:rsidP="00711AF7">
      <w:pPr>
        <w:pStyle w:val="LetteredList"/>
        <w:spacing w:after="240"/>
        <w:ind w:left="397"/>
        <w:jc w:val="left"/>
        <w:rPr>
          <w:lang w:val="en-GB"/>
        </w:rPr>
      </w:pPr>
      <w:r w:rsidRPr="00C23CD4">
        <w:rPr>
          <w:lang w:val="en-GB"/>
        </w:rPr>
        <w:t xml:space="preserve">that there is a common EU regulatory framework for electronic communications applying to the Member States of the EU, to the EEA and to some countries associated to the EU; </w:t>
      </w:r>
    </w:p>
    <w:p w14:paraId="4378046E" w14:textId="77777777" w:rsidR="007C5D46" w:rsidRPr="00C23CD4" w:rsidRDefault="007C5D46" w:rsidP="00711AF7">
      <w:pPr>
        <w:pStyle w:val="LetteredList"/>
        <w:spacing w:after="240"/>
        <w:ind w:left="397"/>
        <w:jc w:val="left"/>
        <w:rPr>
          <w:lang w:val="en-GB"/>
        </w:rPr>
      </w:pPr>
      <w:r w:rsidRPr="00C23CD4">
        <w:rPr>
          <w:lang w:val="en-GB"/>
        </w:rPr>
        <w:t>that there are sometimes considerable differences in national licensing, laws and regulations amongst CEPT administrations and that harmonisation therefore can only be introduced gradually;</w:t>
      </w:r>
    </w:p>
    <w:p w14:paraId="6E4EC2FB" w14:textId="77777777" w:rsidR="007C5D46" w:rsidRPr="00C23CD4" w:rsidRDefault="007C5D46" w:rsidP="00711AF7">
      <w:pPr>
        <w:pStyle w:val="LetteredList"/>
        <w:spacing w:after="240"/>
        <w:ind w:left="397"/>
        <w:jc w:val="left"/>
        <w:rPr>
          <w:lang w:val="en-GB"/>
        </w:rPr>
      </w:pPr>
      <w:r w:rsidRPr="00C23CD4">
        <w:rPr>
          <w:lang w:val="en-GB"/>
        </w:rPr>
        <w:t>that national licensing regimes should be as simple as possible, in order to minimise the burden upon the administrations and users of equipment;</w:t>
      </w:r>
    </w:p>
    <w:p w14:paraId="5E9AFAE9" w14:textId="77777777" w:rsidR="007C5D46" w:rsidRPr="00C23CD4" w:rsidRDefault="007C5D46" w:rsidP="00711AF7">
      <w:pPr>
        <w:pStyle w:val="LetteredList"/>
        <w:spacing w:after="240"/>
        <w:ind w:left="397"/>
        <w:jc w:val="left"/>
        <w:rPr>
          <w:lang w:val="en-GB"/>
        </w:rPr>
      </w:pPr>
      <w:r w:rsidRPr="00C23CD4">
        <w:rPr>
          <w:lang w:val="en-GB"/>
        </w:rPr>
        <w:t>that intervention by the national administrations with respect to the use of radio equipment should in general not exceed the level necessary for the efficient use of the frequency spectrum;</w:t>
      </w:r>
    </w:p>
    <w:p w14:paraId="7A98B3DA" w14:textId="2298A9FA" w:rsidR="007C5D46" w:rsidRPr="00C23CD4" w:rsidRDefault="007C5D46" w:rsidP="00711AF7">
      <w:pPr>
        <w:pStyle w:val="LetteredList"/>
        <w:spacing w:after="240"/>
        <w:ind w:left="397"/>
        <w:jc w:val="left"/>
        <w:rPr>
          <w:lang w:val="en-GB"/>
        </w:rPr>
      </w:pPr>
      <w:r w:rsidRPr="00C23CD4">
        <w:rPr>
          <w:lang w:val="en-GB"/>
        </w:rPr>
        <w:t>that administrations should work towards the exemption of relevant radio equipment from individual licensing based on harmonised criteria detailed in ERC</w:t>
      </w:r>
      <w:r w:rsidR="00EF258D" w:rsidRPr="00C23CD4">
        <w:rPr>
          <w:lang w:val="en-GB"/>
        </w:rPr>
        <w:t xml:space="preserve"> Recommendation </w:t>
      </w:r>
      <w:r w:rsidRPr="00C23CD4">
        <w:rPr>
          <w:lang w:val="en-GB"/>
        </w:rPr>
        <w:t>01-07</w:t>
      </w:r>
      <w:r w:rsidR="005A72FA" w:rsidRPr="00C23CD4">
        <w:rPr>
          <w:lang w:val="en-GB"/>
        </w:rPr>
        <w:t xml:space="preserve"> </w:t>
      </w:r>
      <w:r w:rsidR="005A72FA" w:rsidRPr="00C23CD4">
        <w:rPr>
          <w:lang w:val="en-GB"/>
        </w:rPr>
        <w:fldChar w:fldCharType="begin"/>
      </w:r>
      <w:r w:rsidR="005A72FA" w:rsidRPr="00C23CD4">
        <w:rPr>
          <w:lang w:val="en-GB"/>
        </w:rPr>
        <w:instrText xml:space="preserve"> REF _Ref524431943 \r \h </w:instrText>
      </w:r>
      <w:r w:rsidR="000B7464" w:rsidRPr="00C23CD4">
        <w:rPr>
          <w:lang w:val="en-GB"/>
        </w:rPr>
        <w:instrText xml:space="preserve"> \* MERGEFORMAT </w:instrText>
      </w:r>
      <w:r w:rsidR="005A72FA" w:rsidRPr="00C23CD4">
        <w:rPr>
          <w:lang w:val="en-GB"/>
        </w:rPr>
      </w:r>
      <w:r w:rsidR="005A72FA" w:rsidRPr="00C23CD4">
        <w:rPr>
          <w:lang w:val="en-GB"/>
        </w:rPr>
        <w:fldChar w:fldCharType="separate"/>
      </w:r>
      <w:r w:rsidR="00F545BE">
        <w:rPr>
          <w:lang w:val="en-GB"/>
        </w:rPr>
        <w:t>[3]</w:t>
      </w:r>
      <w:r w:rsidR="005A72FA" w:rsidRPr="00C23CD4">
        <w:rPr>
          <w:lang w:val="en-GB"/>
        </w:rPr>
        <w:fldChar w:fldCharType="end"/>
      </w:r>
      <w:r w:rsidRPr="00C23CD4">
        <w:rPr>
          <w:lang w:val="en-GB"/>
        </w:rPr>
        <w:t>;</w:t>
      </w:r>
    </w:p>
    <w:p w14:paraId="4F38B206" w14:textId="77777777" w:rsidR="007C5D46" w:rsidRPr="00C23CD4" w:rsidRDefault="007C5D46" w:rsidP="00711AF7">
      <w:pPr>
        <w:pStyle w:val="LetteredList"/>
        <w:spacing w:after="240"/>
        <w:ind w:left="397"/>
        <w:jc w:val="left"/>
        <w:rPr>
          <w:lang w:val="en-GB"/>
        </w:rPr>
      </w:pPr>
      <w:r w:rsidRPr="00C23CD4">
        <w:rPr>
          <w:lang w:val="en-GB"/>
        </w:rPr>
        <w:t>that in the frequency band 10.70</w:t>
      </w:r>
      <w:r w:rsidR="0013155B" w:rsidRPr="00C23CD4">
        <w:rPr>
          <w:lang w:val="en-GB"/>
        </w:rPr>
        <w:t>-</w:t>
      </w:r>
      <w:r w:rsidRPr="00C23CD4">
        <w:rPr>
          <w:lang w:val="en-GB"/>
        </w:rPr>
        <w:t>12.50 GHz, fixed service systems are being operated on a shared basis;</w:t>
      </w:r>
    </w:p>
    <w:p w14:paraId="4D126586" w14:textId="77777777" w:rsidR="007C5D46" w:rsidRPr="00C23CD4" w:rsidRDefault="007C5D46" w:rsidP="00711AF7">
      <w:pPr>
        <w:pStyle w:val="LetteredList"/>
        <w:spacing w:after="240"/>
        <w:ind w:left="397"/>
        <w:jc w:val="left"/>
        <w:rPr>
          <w:lang w:val="en-GB"/>
        </w:rPr>
      </w:pPr>
      <w:r w:rsidRPr="00C23CD4">
        <w:rPr>
          <w:lang w:val="en-GB"/>
        </w:rPr>
        <w:t>that ERC Decision (00)08 establishes the priority between fixed service and uncoordinated earth stations in the fixed satellite service and the broadcasting satellite service in the band 10.70</w:t>
      </w:r>
      <w:r w:rsidR="0013155B" w:rsidRPr="00C23CD4">
        <w:rPr>
          <w:lang w:val="en-GB"/>
        </w:rPr>
        <w:t>-</w:t>
      </w:r>
      <w:r w:rsidRPr="00C23CD4">
        <w:rPr>
          <w:lang w:val="en-GB"/>
        </w:rPr>
        <w:t xml:space="preserve">12.50 GHz; </w:t>
      </w:r>
    </w:p>
    <w:p w14:paraId="55CD9B3F" w14:textId="77777777" w:rsidR="007C5D46" w:rsidRPr="00C23CD4" w:rsidRDefault="007C5D46" w:rsidP="00711AF7">
      <w:pPr>
        <w:pStyle w:val="LetteredList"/>
        <w:numPr>
          <w:ilvl w:val="0"/>
          <w:numId w:val="29"/>
        </w:numPr>
        <w:spacing w:after="240"/>
        <w:ind w:left="397"/>
        <w:jc w:val="left"/>
        <w:rPr>
          <w:lang w:val="en-GB"/>
        </w:rPr>
      </w:pPr>
      <w:r w:rsidRPr="00C23CD4">
        <w:rPr>
          <w:lang w:val="en-GB"/>
        </w:rPr>
        <w:t>that there is an increasing demand for systems providing broadband access to the internet and that this may require satellite terminals operating at higher transmit powers than those previously used;</w:t>
      </w:r>
    </w:p>
    <w:p w14:paraId="4BC9AA5C" w14:textId="61D3196F" w:rsidR="007C5D46" w:rsidRPr="00C23CD4" w:rsidRDefault="007C5D46" w:rsidP="00711AF7">
      <w:pPr>
        <w:pStyle w:val="LetteredList"/>
        <w:tabs>
          <w:tab w:val="clear" w:pos="1837"/>
        </w:tabs>
        <w:spacing w:after="240"/>
        <w:ind w:left="397"/>
        <w:jc w:val="left"/>
        <w:rPr>
          <w:lang w:val="en-GB"/>
        </w:rPr>
      </w:pPr>
      <w:bookmarkStart w:id="2" w:name="_Ref524618703"/>
      <w:r w:rsidRPr="00C23CD4">
        <w:rPr>
          <w:lang w:val="en-GB"/>
        </w:rPr>
        <w:t>that in EU/EFTA countries the use of such equipment shall comply with the RE Directive</w:t>
      </w:r>
      <w:r w:rsidR="00C83663" w:rsidRPr="00C23CD4">
        <w:rPr>
          <w:lang w:val="en-GB"/>
        </w:rPr>
        <w:t xml:space="preserve"> </w:t>
      </w:r>
      <w:r w:rsidR="00C83663" w:rsidRPr="00C23CD4">
        <w:rPr>
          <w:lang w:val="en-GB"/>
        </w:rPr>
        <w:fldChar w:fldCharType="begin"/>
      </w:r>
      <w:r w:rsidR="00C83663" w:rsidRPr="00C23CD4">
        <w:rPr>
          <w:lang w:val="en-GB"/>
        </w:rPr>
        <w:instrText xml:space="preserve"> REF _Ref524508284 \r \h </w:instrText>
      </w:r>
      <w:r w:rsidR="000B7464" w:rsidRPr="00C23CD4">
        <w:rPr>
          <w:lang w:val="en-GB"/>
        </w:rPr>
        <w:instrText xml:space="preserve"> \* MERGEFORMAT </w:instrText>
      </w:r>
      <w:r w:rsidR="00C83663" w:rsidRPr="00C23CD4">
        <w:rPr>
          <w:lang w:val="en-GB"/>
        </w:rPr>
      </w:r>
      <w:r w:rsidR="00C83663" w:rsidRPr="00C23CD4">
        <w:rPr>
          <w:lang w:val="en-GB"/>
        </w:rPr>
        <w:fldChar w:fldCharType="separate"/>
      </w:r>
      <w:r w:rsidR="00F545BE">
        <w:rPr>
          <w:lang w:val="en-GB"/>
        </w:rPr>
        <w:t>[1]</w:t>
      </w:r>
      <w:r w:rsidR="00C83663" w:rsidRPr="00C23CD4">
        <w:rPr>
          <w:lang w:val="en-GB"/>
        </w:rPr>
        <w:fldChar w:fldCharType="end"/>
      </w:r>
      <w:r w:rsidRPr="00C23CD4">
        <w:rPr>
          <w:lang w:val="en-GB"/>
        </w:rPr>
        <w:t>. Conformity with the essential requirements in its Article 3(2) may be demonstrated by compliance with harmonised standard EN 301 459</w:t>
      </w:r>
      <w:r w:rsidR="005A72FA" w:rsidRPr="00C23CD4">
        <w:rPr>
          <w:lang w:val="en-GB"/>
        </w:rPr>
        <w:t xml:space="preserve"> </w:t>
      </w:r>
      <w:r w:rsidR="00C83663" w:rsidRPr="00C23CD4">
        <w:rPr>
          <w:lang w:val="en-GB"/>
        </w:rPr>
        <w:fldChar w:fldCharType="begin"/>
      </w:r>
      <w:r w:rsidR="00C83663" w:rsidRPr="00C23CD4">
        <w:rPr>
          <w:lang w:val="en-GB"/>
        </w:rPr>
        <w:instrText xml:space="preserve"> REF _Ref524508188 \r \h </w:instrText>
      </w:r>
      <w:r w:rsidR="000B7464" w:rsidRPr="00C23CD4">
        <w:rPr>
          <w:lang w:val="en-GB"/>
        </w:rPr>
        <w:instrText xml:space="preserve"> \* MERGEFORMAT </w:instrText>
      </w:r>
      <w:r w:rsidR="00C83663" w:rsidRPr="00C23CD4">
        <w:rPr>
          <w:lang w:val="en-GB"/>
        </w:rPr>
      </w:r>
      <w:r w:rsidR="00C83663" w:rsidRPr="00C23CD4">
        <w:rPr>
          <w:lang w:val="en-GB"/>
        </w:rPr>
        <w:fldChar w:fldCharType="separate"/>
      </w:r>
      <w:r w:rsidR="00F545BE">
        <w:rPr>
          <w:lang w:val="en-GB"/>
        </w:rPr>
        <w:t>[4]</w:t>
      </w:r>
      <w:r w:rsidR="00C83663" w:rsidRPr="00C23CD4">
        <w:rPr>
          <w:lang w:val="en-GB"/>
        </w:rPr>
        <w:fldChar w:fldCharType="end"/>
      </w:r>
      <w:r w:rsidRPr="00C23CD4">
        <w:rPr>
          <w:lang w:val="en-GB"/>
        </w:rPr>
        <w:t xml:space="preserve"> or EN 301 428</w:t>
      </w:r>
      <w:r w:rsidR="005A72FA" w:rsidRPr="00C23CD4">
        <w:rPr>
          <w:lang w:val="en-GB"/>
        </w:rPr>
        <w:t xml:space="preserve"> </w:t>
      </w:r>
      <w:r w:rsidR="00C83663" w:rsidRPr="00C23CD4">
        <w:rPr>
          <w:lang w:val="en-GB"/>
        </w:rPr>
        <w:fldChar w:fldCharType="begin"/>
      </w:r>
      <w:r w:rsidR="00C83663" w:rsidRPr="00C23CD4">
        <w:rPr>
          <w:lang w:val="en-GB"/>
        </w:rPr>
        <w:instrText xml:space="preserve"> REF _Ref524508197 \r \h </w:instrText>
      </w:r>
      <w:r w:rsidR="000B7464" w:rsidRPr="00C23CD4">
        <w:rPr>
          <w:lang w:val="en-GB"/>
        </w:rPr>
        <w:instrText xml:space="preserve"> \* MERGEFORMAT </w:instrText>
      </w:r>
      <w:r w:rsidR="00C83663" w:rsidRPr="00C23CD4">
        <w:rPr>
          <w:lang w:val="en-GB"/>
        </w:rPr>
      </w:r>
      <w:r w:rsidR="00C83663" w:rsidRPr="00C23CD4">
        <w:rPr>
          <w:lang w:val="en-GB"/>
        </w:rPr>
        <w:fldChar w:fldCharType="separate"/>
      </w:r>
      <w:r w:rsidR="00F545BE">
        <w:rPr>
          <w:lang w:val="en-GB"/>
        </w:rPr>
        <w:t>[5]</w:t>
      </w:r>
      <w:r w:rsidR="00C83663" w:rsidRPr="00C23CD4">
        <w:rPr>
          <w:lang w:val="en-GB"/>
        </w:rPr>
        <w:fldChar w:fldCharType="end"/>
      </w:r>
      <w:r w:rsidR="005A72FA" w:rsidRPr="00C23CD4">
        <w:rPr>
          <w:lang w:val="en-GB"/>
        </w:rPr>
        <w:t xml:space="preserve"> </w:t>
      </w:r>
      <w:r w:rsidRPr="00C23CD4">
        <w:rPr>
          <w:lang w:val="en-GB"/>
        </w:rPr>
        <w:t>or equivalent technical specifications;</w:t>
      </w:r>
      <w:bookmarkEnd w:id="2"/>
    </w:p>
    <w:p w14:paraId="12996989" w14:textId="620570DE" w:rsidR="007C5D46" w:rsidRPr="00C23CD4" w:rsidRDefault="007C5D46" w:rsidP="00711AF7">
      <w:pPr>
        <w:pStyle w:val="LetteredList"/>
        <w:tabs>
          <w:tab w:val="clear" w:pos="1837"/>
        </w:tabs>
        <w:spacing w:after="240"/>
        <w:ind w:left="397"/>
        <w:jc w:val="left"/>
        <w:rPr>
          <w:lang w:val="en-GB"/>
        </w:rPr>
      </w:pPr>
      <w:bookmarkStart w:id="3" w:name="_Ref524618714"/>
      <w:r w:rsidRPr="00C23CD4">
        <w:rPr>
          <w:lang w:val="en-GB"/>
        </w:rPr>
        <w:t>that some CEPT administrations may require that HEST network operators obtain frequency authorisation due to national regulatory requirements; similarly, some CEPT administrations may require a simple form of registration</w:t>
      </w:r>
      <w:r w:rsidRPr="00C23CD4">
        <w:rPr>
          <w:color w:val="FF0000"/>
          <w:lang w:val="en-GB"/>
        </w:rPr>
        <w:t xml:space="preserve"> </w:t>
      </w:r>
      <w:r w:rsidRPr="00C23CD4">
        <w:rPr>
          <w:color w:val="000000"/>
          <w:lang w:val="en-GB"/>
        </w:rPr>
        <w:t>or location check prior to transmission from any location</w:t>
      </w:r>
      <w:r w:rsidRPr="00C23CD4">
        <w:rPr>
          <w:lang w:val="en-GB"/>
        </w:rPr>
        <w:t>;</w:t>
      </w:r>
      <w:bookmarkEnd w:id="3"/>
    </w:p>
    <w:p w14:paraId="227265A4" w14:textId="04F99ED8" w:rsidR="007C5D46" w:rsidRPr="00C23CD4" w:rsidRDefault="007C5D46" w:rsidP="00711AF7">
      <w:pPr>
        <w:pStyle w:val="LetteredList"/>
        <w:tabs>
          <w:tab w:val="clear" w:pos="1837"/>
        </w:tabs>
        <w:spacing w:after="240"/>
        <w:ind w:left="397"/>
        <w:jc w:val="left"/>
        <w:rPr>
          <w:lang w:val="en-GB"/>
        </w:rPr>
      </w:pPr>
      <w:r w:rsidRPr="00C23CD4">
        <w:rPr>
          <w:lang w:val="en-GB"/>
        </w:rPr>
        <w:t>that some CEPT administrations may require a maximum e.i.r.p. for license exempted HEST in the range 50-60 dBW;</w:t>
      </w:r>
    </w:p>
    <w:p w14:paraId="19B21940" w14:textId="77777777" w:rsidR="007C5D46" w:rsidRPr="00C23CD4" w:rsidRDefault="007C5D46" w:rsidP="00711AF7">
      <w:pPr>
        <w:pStyle w:val="LetteredList"/>
        <w:tabs>
          <w:tab w:val="clear" w:pos="1837"/>
        </w:tabs>
        <w:spacing w:after="240"/>
        <w:ind w:left="397"/>
        <w:jc w:val="left"/>
        <w:rPr>
          <w:lang w:val="en-GB"/>
        </w:rPr>
      </w:pPr>
      <w:r w:rsidRPr="00C23CD4">
        <w:rPr>
          <w:lang w:val="en-GB"/>
        </w:rPr>
        <w:t>that RR 5.492 addresses the use of broadcasting-satellite service assignments by the fixed-satellite service (space-to-Earth) in the band 11.7</w:t>
      </w:r>
      <w:r w:rsidR="00641078" w:rsidRPr="00C23CD4">
        <w:rPr>
          <w:lang w:val="en-GB"/>
        </w:rPr>
        <w:t>-</w:t>
      </w:r>
      <w:r w:rsidRPr="00C23CD4">
        <w:rPr>
          <w:lang w:val="en-GB"/>
        </w:rPr>
        <w:t>12.5 GHz;</w:t>
      </w:r>
    </w:p>
    <w:p w14:paraId="607F6977" w14:textId="77777777" w:rsidR="007C5D46" w:rsidRPr="00C23CD4" w:rsidRDefault="007C5D46" w:rsidP="00711AF7">
      <w:pPr>
        <w:pStyle w:val="LetteredList"/>
        <w:tabs>
          <w:tab w:val="clear" w:pos="1837"/>
        </w:tabs>
        <w:spacing w:after="240"/>
        <w:ind w:left="397"/>
        <w:jc w:val="left"/>
        <w:rPr>
          <w:lang w:val="en-GB"/>
        </w:rPr>
      </w:pPr>
      <w:r w:rsidRPr="00C23CD4">
        <w:rPr>
          <w:lang w:val="en-GB"/>
        </w:rPr>
        <w:t>that this Decision shall not impede EEA member countries from fulfilling their obligations according to Community law;</w:t>
      </w:r>
    </w:p>
    <w:p w14:paraId="310ACDB3" w14:textId="77777777" w:rsidR="006C03D0" w:rsidRPr="00C23CD4" w:rsidRDefault="005F7AD5" w:rsidP="006C03D0">
      <w:pPr>
        <w:pStyle w:val="ECCParagraph"/>
        <w:rPr>
          <w:color w:val="D2232A"/>
        </w:rPr>
      </w:pPr>
      <w:r w:rsidRPr="00C23CD4">
        <w:rPr>
          <w:i/>
          <w:color w:val="D2232A"/>
        </w:rPr>
        <w:lastRenderedPageBreak/>
        <w:t>DECIDES</w:t>
      </w:r>
    </w:p>
    <w:p w14:paraId="06822499" w14:textId="31859087" w:rsidR="007C5D46" w:rsidRPr="00C23CD4" w:rsidRDefault="007C5D46" w:rsidP="00711AF7">
      <w:pPr>
        <w:pStyle w:val="ECCNumbered-LetteredList"/>
        <w:spacing w:after="240"/>
        <w:rPr>
          <w:lang w:val="en-GB"/>
        </w:rPr>
      </w:pPr>
      <w:r w:rsidRPr="00C23CD4">
        <w:rPr>
          <w:lang w:val="en-GB"/>
        </w:rPr>
        <w:t xml:space="preserve">to exempt from individual licensing HEST that fulfil </w:t>
      </w:r>
      <w:r w:rsidRPr="00C23CD4">
        <w:rPr>
          <w:i/>
          <w:lang w:val="en-GB"/>
        </w:rPr>
        <w:t xml:space="preserve">considering </w:t>
      </w:r>
      <w:r w:rsidR="009D3584" w:rsidRPr="00C23CD4">
        <w:rPr>
          <w:i/>
          <w:lang w:val="en-GB"/>
        </w:rPr>
        <w:fldChar w:fldCharType="begin"/>
      </w:r>
      <w:r w:rsidR="009D3584" w:rsidRPr="00C23CD4">
        <w:rPr>
          <w:i/>
          <w:lang w:val="en-GB"/>
        </w:rPr>
        <w:instrText xml:space="preserve"> REF _Ref524618703 \r \h </w:instrText>
      </w:r>
      <w:r w:rsidR="00981A6B" w:rsidRPr="00C23CD4">
        <w:rPr>
          <w:i/>
          <w:lang w:val="en-GB"/>
        </w:rPr>
        <w:instrText xml:space="preserve"> \* MERGEFORMAT </w:instrText>
      </w:r>
      <w:r w:rsidR="009D3584" w:rsidRPr="00C23CD4">
        <w:rPr>
          <w:i/>
          <w:lang w:val="en-GB"/>
        </w:rPr>
      </w:r>
      <w:r w:rsidR="009D3584" w:rsidRPr="00C23CD4">
        <w:rPr>
          <w:i/>
          <w:lang w:val="en-GB"/>
        </w:rPr>
        <w:fldChar w:fldCharType="separate"/>
      </w:r>
      <w:r w:rsidR="00F545BE">
        <w:rPr>
          <w:i/>
          <w:lang w:val="en-GB"/>
        </w:rPr>
        <w:t>l)</w:t>
      </w:r>
      <w:r w:rsidR="009D3584" w:rsidRPr="00C23CD4">
        <w:rPr>
          <w:i/>
          <w:lang w:val="en-GB"/>
        </w:rPr>
        <w:fldChar w:fldCharType="end"/>
      </w:r>
      <w:r w:rsidRPr="00C23CD4">
        <w:rPr>
          <w:lang w:val="en-GB"/>
        </w:rPr>
        <w:t xml:space="preserve">, without prejudice to </w:t>
      </w:r>
      <w:r w:rsidRPr="00C23CD4">
        <w:rPr>
          <w:i/>
          <w:lang w:val="en-GB"/>
        </w:rPr>
        <w:t xml:space="preserve">considering </w:t>
      </w:r>
      <w:r w:rsidR="009D3584" w:rsidRPr="00C23CD4">
        <w:rPr>
          <w:i/>
          <w:lang w:val="en-GB"/>
        </w:rPr>
        <w:fldChar w:fldCharType="begin"/>
      </w:r>
      <w:r w:rsidR="009D3584" w:rsidRPr="00C23CD4">
        <w:rPr>
          <w:i/>
          <w:lang w:val="en-GB"/>
        </w:rPr>
        <w:instrText xml:space="preserve"> REF _Ref524618714 \r \h </w:instrText>
      </w:r>
      <w:r w:rsidR="00981A6B" w:rsidRPr="00C23CD4">
        <w:rPr>
          <w:i/>
          <w:lang w:val="en-GB"/>
        </w:rPr>
        <w:instrText xml:space="preserve"> \* MERGEFORMAT </w:instrText>
      </w:r>
      <w:r w:rsidR="009D3584" w:rsidRPr="00C23CD4">
        <w:rPr>
          <w:i/>
          <w:lang w:val="en-GB"/>
        </w:rPr>
      </w:r>
      <w:r w:rsidR="009D3584" w:rsidRPr="00C23CD4">
        <w:rPr>
          <w:i/>
          <w:lang w:val="en-GB"/>
        </w:rPr>
        <w:fldChar w:fldCharType="separate"/>
      </w:r>
      <w:r w:rsidR="00F545BE">
        <w:rPr>
          <w:i/>
          <w:lang w:val="en-GB"/>
        </w:rPr>
        <w:t>m)</w:t>
      </w:r>
      <w:r w:rsidR="009D3584" w:rsidRPr="00C23CD4">
        <w:rPr>
          <w:i/>
          <w:lang w:val="en-GB"/>
        </w:rPr>
        <w:fldChar w:fldCharType="end"/>
      </w:r>
      <w:r w:rsidRPr="00C23CD4">
        <w:rPr>
          <w:lang w:val="en-GB"/>
        </w:rPr>
        <w:t>, and</w:t>
      </w:r>
    </w:p>
    <w:p w14:paraId="49C2A985" w14:textId="77777777" w:rsidR="007C5D46" w:rsidRPr="00C23CD4" w:rsidRDefault="007C5D46" w:rsidP="000B7464">
      <w:pPr>
        <w:pStyle w:val="LetteredList"/>
        <w:numPr>
          <w:ilvl w:val="0"/>
          <w:numId w:val="30"/>
        </w:numPr>
        <w:tabs>
          <w:tab w:val="clear" w:pos="1837"/>
          <w:tab w:val="num" w:pos="709"/>
        </w:tabs>
        <w:ind w:left="737" w:hanging="340"/>
        <w:rPr>
          <w:lang w:val="en-GB"/>
        </w:rPr>
      </w:pPr>
      <w:r w:rsidRPr="00C23CD4">
        <w:rPr>
          <w:lang w:val="en-GB"/>
        </w:rPr>
        <w:t>operate with geostationary satellites as part of the fixed satellite service (FSS) within the frequency bands 10.70</w:t>
      </w:r>
      <w:r w:rsidR="00EF258D" w:rsidRPr="00C23CD4">
        <w:rPr>
          <w:lang w:val="en-GB"/>
        </w:rPr>
        <w:t>-</w:t>
      </w:r>
      <w:r w:rsidRPr="00C23CD4">
        <w:rPr>
          <w:lang w:val="en-GB"/>
        </w:rPr>
        <w:t>12.75 GHz or 19.7</w:t>
      </w:r>
      <w:r w:rsidR="00EF258D" w:rsidRPr="00C23CD4">
        <w:rPr>
          <w:lang w:val="en-GB"/>
        </w:rPr>
        <w:t>-</w:t>
      </w:r>
      <w:r w:rsidRPr="00C23CD4">
        <w:rPr>
          <w:lang w:val="en-GB"/>
        </w:rPr>
        <w:t>20.2 GHz (space-to-Earth) and 14.00</w:t>
      </w:r>
      <w:r w:rsidR="00EF258D" w:rsidRPr="00C23CD4">
        <w:rPr>
          <w:lang w:val="en-GB"/>
        </w:rPr>
        <w:t>-</w:t>
      </w:r>
      <w:r w:rsidRPr="00C23CD4">
        <w:rPr>
          <w:lang w:val="en-GB"/>
        </w:rPr>
        <w:t>14.25 GHz or 29.50</w:t>
      </w:r>
      <w:r w:rsidR="00EF258D" w:rsidRPr="00C23CD4">
        <w:rPr>
          <w:lang w:val="en-GB"/>
        </w:rPr>
        <w:t>-</w:t>
      </w:r>
      <w:r w:rsidRPr="00C23CD4">
        <w:rPr>
          <w:lang w:val="en-GB"/>
        </w:rPr>
        <w:t>30.00 GHz (Earth-to-space), and the broadcasting satellite service (BSS) within the frequency bands 11.70</w:t>
      </w:r>
      <w:r w:rsidR="00EF258D" w:rsidRPr="00C23CD4">
        <w:rPr>
          <w:lang w:val="en-GB"/>
        </w:rPr>
        <w:t>-</w:t>
      </w:r>
      <w:r w:rsidRPr="00C23CD4">
        <w:rPr>
          <w:lang w:val="en-GB"/>
        </w:rPr>
        <w:t>12.50 GHz (space-to-Earth) under the control of the satellite system, providing digital communications, and</w:t>
      </w:r>
    </w:p>
    <w:p w14:paraId="4BEE2609" w14:textId="4B8FCCD3" w:rsidR="007C5D46" w:rsidRPr="00C23CD4" w:rsidRDefault="007C5D46" w:rsidP="00711AF7">
      <w:pPr>
        <w:numPr>
          <w:ilvl w:val="0"/>
          <w:numId w:val="30"/>
        </w:numPr>
        <w:tabs>
          <w:tab w:val="clear" w:pos="1837"/>
          <w:tab w:val="num" w:pos="709"/>
        </w:tabs>
        <w:spacing w:after="240"/>
        <w:ind w:left="709" w:hanging="283"/>
        <w:jc w:val="both"/>
        <w:rPr>
          <w:lang w:val="en-GB"/>
        </w:rPr>
      </w:pPr>
      <w:r w:rsidRPr="00C23CD4">
        <w:rPr>
          <w:lang w:val="en-GB"/>
        </w:rPr>
        <w:t>comply with the following requirements that ensure compliance with aircraft HIRF protection criteria based on ECC Report 272</w:t>
      </w:r>
      <w:r w:rsidR="005A72FA" w:rsidRPr="00C23CD4">
        <w:rPr>
          <w:lang w:val="en-GB"/>
        </w:rPr>
        <w:t xml:space="preserve"> </w:t>
      </w:r>
      <w:r w:rsidR="009D3584" w:rsidRPr="00C23CD4">
        <w:rPr>
          <w:lang w:val="en-GB"/>
        </w:rPr>
        <w:fldChar w:fldCharType="begin"/>
      </w:r>
      <w:r w:rsidR="009D3584" w:rsidRPr="00C23CD4">
        <w:rPr>
          <w:lang w:val="en-GB"/>
        </w:rPr>
        <w:instrText xml:space="preserve"> REF _Ref524508295 \r \h </w:instrText>
      </w:r>
      <w:r w:rsidR="009D3584" w:rsidRPr="00C23CD4">
        <w:rPr>
          <w:lang w:val="en-GB"/>
        </w:rPr>
      </w:r>
      <w:r w:rsidR="009D3584" w:rsidRPr="00C23CD4">
        <w:rPr>
          <w:lang w:val="en-GB"/>
        </w:rPr>
        <w:fldChar w:fldCharType="separate"/>
      </w:r>
      <w:r w:rsidR="00F545BE">
        <w:rPr>
          <w:lang w:val="en-GB"/>
        </w:rPr>
        <w:t>[2]</w:t>
      </w:r>
      <w:r w:rsidR="009D3584" w:rsidRPr="00C23CD4">
        <w:rPr>
          <w:lang w:val="en-GB"/>
        </w:rPr>
        <w:fldChar w:fldCharType="end"/>
      </w:r>
      <w:r w:rsidRPr="00C23CD4">
        <w:rPr>
          <w:lang w:val="en-GB"/>
        </w:rPr>
        <w:t>, using maximum HIRF field strengths of 190 V/m in 14.00-14.25 GHz and 150 V/m in 29.50-30.00 GHz:</w:t>
      </w:r>
    </w:p>
    <w:p w14:paraId="0A36157E" w14:textId="35B32AE9" w:rsidR="00955134" w:rsidRPr="00C23CD4" w:rsidRDefault="00955134" w:rsidP="0089007D">
      <w:pPr>
        <w:pStyle w:val="LetteredList"/>
        <w:numPr>
          <w:ilvl w:val="0"/>
          <w:numId w:val="32"/>
        </w:numPr>
        <w:tabs>
          <w:tab w:val="clear" w:pos="2234"/>
          <w:tab w:val="num" w:pos="1843"/>
        </w:tabs>
        <w:ind w:left="1418" w:hanging="425"/>
        <w:rPr>
          <w:lang w:val="en-GB"/>
        </w:rPr>
      </w:pPr>
      <w:r w:rsidRPr="00C23CD4">
        <w:rPr>
          <w:lang w:val="en-GB"/>
        </w:rPr>
        <w:t>The maximum e.i.r.p. of HEST shall be limited to 60 dBW;</w:t>
      </w:r>
    </w:p>
    <w:p w14:paraId="57E33DAA" w14:textId="3581FADF" w:rsidR="00955134" w:rsidRPr="00C23CD4" w:rsidRDefault="00955134" w:rsidP="0089007D">
      <w:pPr>
        <w:pStyle w:val="LetteredList"/>
        <w:numPr>
          <w:ilvl w:val="0"/>
          <w:numId w:val="32"/>
        </w:numPr>
        <w:tabs>
          <w:tab w:val="clear" w:pos="2234"/>
          <w:tab w:val="num" w:pos="1843"/>
        </w:tabs>
        <w:ind w:left="1418" w:hanging="425"/>
        <w:rPr>
          <w:lang w:val="en-GB"/>
        </w:rPr>
      </w:pPr>
      <w:r w:rsidRPr="00C23CD4">
        <w:rPr>
          <w:lang w:val="en-GB"/>
        </w:rPr>
        <w:t>The maximum e.i.r.p. of HEST operating within TDMA networks shall be respected after taking into consideration the duty cycle (see section 3.3 and 3.4 of ECC Report 272);</w:t>
      </w:r>
    </w:p>
    <w:p w14:paraId="43C19A1E" w14:textId="77777777" w:rsidR="00955134" w:rsidRPr="00C23CD4" w:rsidRDefault="00955134" w:rsidP="00711AF7">
      <w:pPr>
        <w:pStyle w:val="LetteredList"/>
        <w:numPr>
          <w:ilvl w:val="0"/>
          <w:numId w:val="32"/>
        </w:numPr>
        <w:tabs>
          <w:tab w:val="clear" w:pos="2234"/>
          <w:tab w:val="num" w:pos="1843"/>
        </w:tabs>
        <w:spacing w:after="240"/>
        <w:ind w:left="1418" w:hanging="425"/>
        <w:rPr>
          <w:lang w:val="en-GB"/>
        </w:rPr>
      </w:pPr>
      <w:r w:rsidRPr="00C23CD4">
        <w:rPr>
          <w:lang w:val="en-GB"/>
        </w:rPr>
        <w:t>When an antenna is coupled to more than one transmitter or a transmitter provides more than one carrier (multi-carrier operation), the above e.i.r.p. level is the sum of all simultaneous emissions from the antenna on the main lobe</w:t>
      </w:r>
      <w:r w:rsidR="00835012" w:rsidRPr="00C23CD4">
        <w:rPr>
          <w:lang w:val="en-GB"/>
        </w:rPr>
        <w:t>;</w:t>
      </w:r>
    </w:p>
    <w:p w14:paraId="7542584C" w14:textId="568208C3" w:rsidR="007C5D46" w:rsidRPr="00C23CD4" w:rsidRDefault="007C5D46" w:rsidP="00414D66">
      <w:pPr>
        <w:pStyle w:val="ECCNumbered-LetteredList"/>
        <w:spacing w:after="240"/>
        <w:rPr>
          <w:lang w:val="en-GB"/>
        </w:rPr>
      </w:pPr>
      <w:r w:rsidRPr="00C23CD4">
        <w:rPr>
          <w:lang w:val="en-GB"/>
        </w:rPr>
        <w:t>that this Decision enters into force on 24 March 2006</w:t>
      </w:r>
      <w:r w:rsidR="00981A6B" w:rsidRPr="00C23CD4">
        <w:rPr>
          <w:lang w:val="en-GB"/>
        </w:rPr>
        <w:t>;</w:t>
      </w:r>
    </w:p>
    <w:p w14:paraId="0D424EED" w14:textId="5597132E" w:rsidR="007C5D46" w:rsidRPr="00C23CD4" w:rsidRDefault="007C5D46" w:rsidP="00414D66">
      <w:pPr>
        <w:pStyle w:val="ECCNumbered-LetteredList"/>
        <w:spacing w:after="240"/>
        <w:rPr>
          <w:lang w:val="en-GB"/>
        </w:rPr>
      </w:pPr>
      <w:r w:rsidRPr="00C23CD4">
        <w:rPr>
          <w:lang w:val="en-GB"/>
        </w:rPr>
        <w:t>that the preferred date for implementation of this Decision shall be 1 October 2006</w:t>
      </w:r>
      <w:r w:rsidR="00981A6B" w:rsidRPr="00C23CD4">
        <w:rPr>
          <w:lang w:val="en-GB"/>
        </w:rPr>
        <w:t>;</w:t>
      </w:r>
    </w:p>
    <w:p w14:paraId="1F75F8A7" w14:textId="6809CAD4" w:rsidR="00F80788" w:rsidRPr="00C23CD4" w:rsidRDefault="007C5D46" w:rsidP="00414D66">
      <w:pPr>
        <w:pStyle w:val="ECCNumbered-LetteredList"/>
        <w:spacing w:after="240"/>
        <w:rPr>
          <w:lang w:val="en-GB"/>
        </w:rPr>
      </w:pPr>
      <w:r w:rsidRPr="00C23CD4">
        <w:rPr>
          <w:lang w:val="en-GB"/>
        </w:rPr>
        <w:t>that CEPT administrations shall communicate the national measures implementing this Decision to the ECC Chairman and the Office when the Decision is nationally implemented</w:t>
      </w:r>
      <w:r w:rsidR="00F80788" w:rsidRPr="00C23CD4">
        <w:rPr>
          <w:lang w:val="en-GB"/>
        </w:rPr>
        <w:t>;</w:t>
      </w:r>
    </w:p>
    <w:p w14:paraId="40BA691C" w14:textId="076A2DF5" w:rsidR="00EB0208" w:rsidRPr="00C23CD4" w:rsidRDefault="00F80788" w:rsidP="00F80788">
      <w:pPr>
        <w:pStyle w:val="ECCNumbered-LetteredList"/>
        <w:spacing w:after="240"/>
        <w:rPr>
          <w:lang w:val="en-GB"/>
        </w:rPr>
      </w:pPr>
      <w:r w:rsidRPr="00C23CD4">
        <w:rPr>
          <w:lang w:val="en-GB"/>
        </w:rPr>
        <w:t>to withdraw ECC</w:t>
      </w:r>
      <w:r w:rsidR="00CE6055" w:rsidRPr="00C23CD4">
        <w:rPr>
          <w:lang w:val="en-GB"/>
        </w:rPr>
        <w:t xml:space="preserve"> Decision </w:t>
      </w:r>
      <w:r w:rsidRPr="00C23CD4">
        <w:rPr>
          <w:lang w:val="en-GB"/>
        </w:rPr>
        <w:t>(06)02 of 20 March 2006 on exemption from individual licensing of Low e.i.r.p. Satellite Terminals (LEST) operating within the frequency bands 10.70–12.75 GHz or 19.70–20.20 GHz space-to-Earth and 14.00–14.25 GHz or 29.50–30.00 GHz Earth-to-Space</w:t>
      </w:r>
      <w:r w:rsidR="007C5D46" w:rsidRPr="00C23CD4">
        <w:rPr>
          <w:lang w:val="en-GB"/>
        </w:rPr>
        <w:t>.”</w:t>
      </w:r>
    </w:p>
    <w:p w14:paraId="359AEDDD" w14:textId="77777777" w:rsidR="001C46EA" w:rsidRPr="00C23CD4" w:rsidRDefault="001C46EA" w:rsidP="00D90B0A">
      <w:pPr>
        <w:pStyle w:val="ECCParagraph"/>
        <w:keepNext/>
      </w:pPr>
    </w:p>
    <w:p w14:paraId="13A40DAE" w14:textId="77777777" w:rsidR="001C46EA" w:rsidRPr="00C23CD4" w:rsidRDefault="001C46EA" w:rsidP="00D90B0A">
      <w:pPr>
        <w:pStyle w:val="ECCParagraph"/>
        <w:keepNext/>
        <w:rPr>
          <w:i/>
          <w:color w:val="D2232A"/>
        </w:rPr>
      </w:pPr>
      <w:r w:rsidRPr="00C23CD4">
        <w:rPr>
          <w:i/>
          <w:color w:val="D2232A"/>
        </w:rPr>
        <w:t xml:space="preserve">Note: </w:t>
      </w:r>
    </w:p>
    <w:p w14:paraId="17AD9040" w14:textId="6BE1BB03" w:rsidR="00BC73CD" w:rsidRPr="00C23CD4" w:rsidRDefault="001C46EA" w:rsidP="00D90B0A">
      <w:pPr>
        <w:pStyle w:val="ECCParagraph"/>
        <w:keepNext/>
        <w:rPr>
          <w:i/>
          <w:szCs w:val="20"/>
        </w:rPr>
      </w:pPr>
      <w:r w:rsidRPr="00C23CD4">
        <w:rPr>
          <w:i/>
          <w:szCs w:val="20"/>
        </w:rPr>
        <w:t xml:space="preserve">Please check the Office documentation database </w:t>
      </w:r>
      <w:hyperlink r:id="rId8" w:history="1">
        <w:r w:rsidR="00170041" w:rsidRPr="00DD1F64">
          <w:rPr>
            <w:rStyle w:val="Hyperlink"/>
            <w:i/>
            <w:szCs w:val="20"/>
          </w:rPr>
          <w:t>https://docdb.cept.org</w:t>
        </w:r>
      </w:hyperlink>
      <w:r w:rsidRPr="00C23CD4">
        <w:rPr>
          <w:i/>
          <w:szCs w:val="20"/>
        </w:rPr>
        <w:t xml:space="preserve"> for the up to date position on the implementation of this and other ECC Decisions.</w:t>
      </w:r>
    </w:p>
    <w:p w14:paraId="78839806" w14:textId="77777777" w:rsidR="00BC73CD" w:rsidRPr="00C23CD4" w:rsidRDefault="00BC73CD">
      <w:pPr>
        <w:rPr>
          <w:i/>
          <w:szCs w:val="20"/>
          <w:lang w:val="en-GB"/>
        </w:rPr>
      </w:pPr>
      <w:r w:rsidRPr="00C23CD4">
        <w:rPr>
          <w:i/>
          <w:szCs w:val="20"/>
          <w:lang w:val="en-GB"/>
        </w:rPr>
        <w:br w:type="page"/>
      </w:r>
    </w:p>
    <w:p w14:paraId="6B6C27E5" w14:textId="77777777" w:rsidR="006C03D0" w:rsidRPr="00C23CD4" w:rsidRDefault="005F7AD5" w:rsidP="00717AEE">
      <w:pPr>
        <w:pStyle w:val="ECCAnnex-heading1"/>
      </w:pPr>
      <w:bookmarkStart w:id="4" w:name="_Toc280099660"/>
      <w:r w:rsidRPr="00C23CD4">
        <w:lastRenderedPageBreak/>
        <w:t>List of reference</w:t>
      </w:r>
      <w:bookmarkEnd w:id="4"/>
      <w:r w:rsidR="00433EAF" w:rsidRPr="00C23CD4">
        <w:t>s</w:t>
      </w:r>
    </w:p>
    <w:p w14:paraId="4A3909C0" w14:textId="77777777" w:rsidR="00C83663" w:rsidRPr="00C23CD4" w:rsidRDefault="00C83663" w:rsidP="00E8287E">
      <w:pPr>
        <w:pStyle w:val="reference"/>
        <w:spacing w:before="60" w:after="60"/>
        <w:rPr>
          <w:lang w:val="en-GB"/>
        </w:rPr>
      </w:pPr>
      <w:bookmarkStart w:id="5" w:name="_Ref524508284"/>
      <w:bookmarkStart w:id="6" w:name="_Ref524430598"/>
      <w:r w:rsidRPr="00C23CD4">
        <w:rPr>
          <w:lang w:val="en-GB"/>
        </w:rPr>
        <w:t>Directive</w:t>
      </w:r>
      <w:bookmarkEnd w:id="5"/>
      <w:r w:rsidR="002B7CC6" w:rsidRPr="00C23CD4">
        <w:rPr>
          <w:lang w:val="en-GB"/>
        </w:rPr>
        <w:t xml:space="preserve"> 2014/53/EU of the European Parliament and of the Council of 16 April 2014 on the harmonisation of the laws of the Member States relating to the making available on the market of radio equipment and repealing Directive 1999/5/EC</w:t>
      </w:r>
    </w:p>
    <w:bookmarkStart w:id="7" w:name="_Ref524508295"/>
    <w:p w14:paraId="0937E0EC" w14:textId="681508B3" w:rsidR="005A72FA" w:rsidRPr="00C23CD4" w:rsidRDefault="00410C33" w:rsidP="00E8287E">
      <w:pPr>
        <w:pStyle w:val="reference"/>
        <w:spacing w:before="60" w:after="60"/>
        <w:rPr>
          <w:lang w:val="en-GB"/>
        </w:rPr>
      </w:pPr>
      <w:r>
        <w:rPr>
          <w:lang w:val="en-GB"/>
        </w:rPr>
        <w:fldChar w:fldCharType="begin"/>
      </w:r>
      <w:r>
        <w:rPr>
          <w:lang w:val="en-GB"/>
        </w:rPr>
        <w:instrText>HYPERLINK "https://docdb.cept.org/document/1028"</w:instrText>
      </w:r>
      <w:r>
        <w:rPr>
          <w:lang w:val="en-GB"/>
        </w:rPr>
      </w:r>
      <w:r>
        <w:rPr>
          <w:lang w:val="en-GB"/>
        </w:rPr>
        <w:fldChar w:fldCharType="separate"/>
      </w:r>
      <w:r>
        <w:rPr>
          <w:rStyle w:val="Hyperlink"/>
          <w:lang w:val="en-GB"/>
        </w:rPr>
        <w:t>ECC Report 272</w:t>
      </w:r>
      <w:r>
        <w:rPr>
          <w:lang w:val="en-GB"/>
        </w:rPr>
        <w:fldChar w:fldCharType="end"/>
      </w:r>
      <w:r w:rsidR="005A72FA" w:rsidRPr="00C23CD4">
        <w:rPr>
          <w:lang w:val="en-GB"/>
        </w:rPr>
        <w:t>: “Earth Stations operating in the frequency bands 4-8 GHz, 12-18 GHz and 18-40 GHz in the vicinity of aircraft”</w:t>
      </w:r>
      <w:bookmarkEnd w:id="6"/>
      <w:bookmarkEnd w:id="7"/>
      <w:r w:rsidR="002B7CC6" w:rsidRPr="00C23CD4">
        <w:rPr>
          <w:lang w:val="en-GB"/>
        </w:rPr>
        <w:t xml:space="preserve">, </w:t>
      </w:r>
      <w:r w:rsidR="000601B3" w:rsidRPr="00C23CD4">
        <w:rPr>
          <w:lang w:val="en-GB"/>
        </w:rPr>
        <w:t xml:space="preserve">approved </w:t>
      </w:r>
      <w:r w:rsidR="002B7CC6" w:rsidRPr="00C23CD4">
        <w:rPr>
          <w:lang w:val="en-GB"/>
        </w:rPr>
        <w:t>January 2018</w:t>
      </w:r>
    </w:p>
    <w:bookmarkStart w:id="8" w:name="_Ref524423409"/>
    <w:bookmarkStart w:id="9" w:name="_Ref524431943"/>
    <w:p w14:paraId="3FBC6CDD" w14:textId="5B747108" w:rsidR="005A72FA" w:rsidRPr="00C23CD4" w:rsidRDefault="00E53EF5" w:rsidP="00E8287E">
      <w:pPr>
        <w:pStyle w:val="reference"/>
        <w:spacing w:before="60" w:after="60"/>
        <w:rPr>
          <w:lang w:val="en-GB"/>
        </w:rPr>
      </w:pPr>
      <w:r w:rsidRPr="00C23CD4">
        <w:rPr>
          <w:lang w:val="en-GB"/>
        </w:rPr>
        <w:fldChar w:fldCharType="begin"/>
      </w:r>
      <w:r w:rsidRPr="00C23CD4">
        <w:rPr>
          <w:lang w:val="en-GB"/>
        </w:rPr>
        <w:instrText>HYPERLINK "https://docdb.cept.org/document/1011"</w:instrText>
      </w:r>
      <w:r w:rsidRPr="00C23CD4">
        <w:rPr>
          <w:lang w:val="en-GB"/>
        </w:rPr>
      </w:r>
      <w:r w:rsidRPr="00C23CD4">
        <w:rPr>
          <w:lang w:val="en-GB"/>
        </w:rPr>
        <w:fldChar w:fldCharType="separate"/>
      </w:r>
      <w:r w:rsidRPr="00C23CD4">
        <w:rPr>
          <w:rStyle w:val="Hyperlink"/>
          <w:lang w:val="en-GB"/>
        </w:rPr>
        <w:t>ERC Recommendation 01-07</w:t>
      </w:r>
      <w:r w:rsidRPr="00C23CD4">
        <w:rPr>
          <w:lang w:val="en-GB"/>
        </w:rPr>
        <w:fldChar w:fldCharType="end"/>
      </w:r>
      <w:bookmarkEnd w:id="8"/>
      <w:r w:rsidR="005A72FA" w:rsidRPr="00C23CD4">
        <w:rPr>
          <w:lang w:val="en-GB"/>
        </w:rPr>
        <w:t>: “</w:t>
      </w:r>
      <w:r w:rsidR="002B7CC6" w:rsidRPr="00C23CD4">
        <w:rPr>
          <w:lang w:val="en-GB"/>
        </w:rPr>
        <w:t>Harmonised regime for exemption from individual licensing for the use of radio spectrum</w:t>
      </w:r>
      <w:bookmarkEnd w:id="9"/>
      <w:r w:rsidR="002B7CC6" w:rsidRPr="00C23CD4">
        <w:rPr>
          <w:lang w:val="en-GB"/>
        </w:rPr>
        <w:t xml:space="preserve">”, </w:t>
      </w:r>
      <w:r w:rsidR="00A80B85" w:rsidRPr="00A80B85">
        <w:rPr>
          <w:lang w:val="en-GB"/>
        </w:rPr>
        <w:t xml:space="preserve">approved May 1995, </w:t>
      </w:r>
      <w:r w:rsidR="00A80B85">
        <w:rPr>
          <w:lang w:val="en-GB"/>
        </w:rPr>
        <w:t>latest</w:t>
      </w:r>
      <w:r w:rsidR="00A80B85" w:rsidRPr="00A80B85">
        <w:rPr>
          <w:lang w:val="en-GB"/>
        </w:rPr>
        <w:t xml:space="preserve"> revised June 2004</w:t>
      </w:r>
    </w:p>
    <w:p w14:paraId="3AA93DCA" w14:textId="77777777" w:rsidR="005A72FA" w:rsidRPr="00C23CD4" w:rsidRDefault="002B7CC6" w:rsidP="00E8287E">
      <w:pPr>
        <w:pStyle w:val="reference"/>
        <w:spacing w:before="60" w:after="60"/>
        <w:rPr>
          <w:lang w:val="en-GB"/>
        </w:rPr>
      </w:pPr>
      <w:bookmarkStart w:id="10" w:name="_Ref524508188"/>
      <w:bookmarkStart w:id="11" w:name="_Ref524432053"/>
      <w:r w:rsidRPr="00C23CD4">
        <w:rPr>
          <w:lang w:val="en-GB"/>
        </w:rPr>
        <w:t xml:space="preserve">ETSI </w:t>
      </w:r>
      <w:r w:rsidR="005A72FA" w:rsidRPr="00C23CD4">
        <w:rPr>
          <w:lang w:val="en-GB"/>
        </w:rPr>
        <w:t>EN 301 459</w:t>
      </w:r>
      <w:bookmarkEnd w:id="10"/>
      <w:r w:rsidRPr="00C23CD4">
        <w:rPr>
          <w:lang w:val="en-GB"/>
        </w:rPr>
        <w:t xml:space="preserve"> v</w:t>
      </w:r>
      <w:r w:rsidR="00871BBA" w:rsidRPr="00C23CD4">
        <w:rPr>
          <w:lang w:val="en-GB"/>
        </w:rPr>
        <w:t>2</w:t>
      </w:r>
      <w:r w:rsidRPr="00C23CD4">
        <w:rPr>
          <w:lang w:val="en-GB"/>
        </w:rPr>
        <w:t>.</w:t>
      </w:r>
      <w:r w:rsidR="00871BBA" w:rsidRPr="00C23CD4">
        <w:rPr>
          <w:lang w:val="en-GB"/>
        </w:rPr>
        <w:t>1</w:t>
      </w:r>
      <w:r w:rsidRPr="00C23CD4">
        <w:rPr>
          <w:lang w:val="en-GB"/>
        </w:rPr>
        <w:t>.</w:t>
      </w:r>
      <w:r w:rsidR="00871BBA" w:rsidRPr="00C23CD4">
        <w:rPr>
          <w:lang w:val="en-GB"/>
        </w:rPr>
        <w:t>1</w:t>
      </w:r>
      <w:r w:rsidRPr="00C23CD4">
        <w:rPr>
          <w:lang w:val="en-GB"/>
        </w:rPr>
        <w:t>: “</w:t>
      </w:r>
      <w:r w:rsidR="00871BBA" w:rsidRPr="00C23CD4">
        <w:rPr>
          <w:lang w:val="en-GB"/>
        </w:rPr>
        <w:t>Satellite Earth Stations and Systems (SES); Harmonised Standard for Satellite Interactive Terminals (SIT) and Satellite User Terminals (SUT) transmitting towards satellites in geostationary orbit, operating in the 29,5 GHz to 30,0 GHz frequency bands covering the essential requirements of article 3.2 of the Directive 2014/53/EU</w:t>
      </w:r>
      <w:r w:rsidRPr="00C23CD4">
        <w:rPr>
          <w:lang w:val="en-GB"/>
        </w:rPr>
        <w:t>”</w:t>
      </w:r>
    </w:p>
    <w:p w14:paraId="09B4509E" w14:textId="77777777" w:rsidR="005A72FA" w:rsidRPr="00C23CD4" w:rsidRDefault="002B7CC6" w:rsidP="00E8287E">
      <w:pPr>
        <w:pStyle w:val="reference"/>
        <w:spacing w:before="60" w:after="60"/>
        <w:rPr>
          <w:lang w:val="en-GB"/>
        </w:rPr>
      </w:pPr>
      <w:bookmarkStart w:id="12" w:name="_Ref524508197"/>
      <w:r w:rsidRPr="00C23CD4">
        <w:rPr>
          <w:lang w:val="en-GB"/>
        </w:rPr>
        <w:t xml:space="preserve">ETSI </w:t>
      </w:r>
      <w:r w:rsidR="005A72FA" w:rsidRPr="00C23CD4">
        <w:rPr>
          <w:lang w:val="en-GB"/>
        </w:rPr>
        <w:t>EN 301 428</w:t>
      </w:r>
      <w:bookmarkEnd w:id="11"/>
      <w:bookmarkEnd w:id="12"/>
      <w:r w:rsidRPr="00C23CD4">
        <w:rPr>
          <w:lang w:val="en-GB"/>
        </w:rPr>
        <w:t xml:space="preserve"> </w:t>
      </w:r>
      <w:r w:rsidR="00871BBA" w:rsidRPr="00C23CD4">
        <w:rPr>
          <w:lang w:val="en-GB"/>
        </w:rPr>
        <w:t>V2.1.2: “Satellite Earth Stations and Systems (SES); Harmonised Standard for Very Small Aperture Terminal (VSAT); Transmit-only, transmit/receive or receive-only satellite earth stations operating in the 11/12/14 GHz frequency bands covering the essential requirements of article 3.2 of Directive 2014/53/EU”</w:t>
      </w:r>
    </w:p>
    <w:p w14:paraId="658575E4" w14:textId="77777777" w:rsidR="004127C4" w:rsidRPr="00C23CD4" w:rsidRDefault="004127C4" w:rsidP="00E8287E">
      <w:pPr>
        <w:pStyle w:val="reference"/>
        <w:spacing w:before="60" w:after="60"/>
        <w:rPr>
          <w:lang w:val="en-GB"/>
        </w:rPr>
      </w:pPr>
      <w:bookmarkStart w:id="13" w:name="_Ref119587478"/>
      <w:r w:rsidRPr="00C23CD4">
        <w:rPr>
          <w:lang w:val="en-GB"/>
        </w:rPr>
        <w:t>Council Recommendation of 12 July 1999 on the limitation of exposure of the general public to electromagnetic fields (0 Hz to 300 GHz)</w:t>
      </w:r>
      <w:bookmarkEnd w:id="13"/>
    </w:p>
    <w:p w14:paraId="4C08AA62" w14:textId="77777777" w:rsidR="006C03D0" w:rsidRPr="00C23CD4" w:rsidRDefault="006C03D0" w:rsidP="00321AFB">
      <w:pPr>
        <w:pStyle w:val="reference"/>
        <w:numPr>
          <w:ilvl w:val="0"/>
          <w:numId w:val="0"/>
        </w:numPr>
        <w:rPr>
          <w:lang w:val="en-GB"/>
        </w:rPr>
      </w:pPr>
    </w:p>
    <w:sectPr w:rsidR="006C03D0" w:rsidRPr="00C23CD4" w:rsidSect="006C03D0">
      <w:headerReference w:type="even" r:id="rId9"/>
      <w:headerReference w:type="default" r:id="rId10"/>
      <w:headerReference w:type="first" r:id="rId11"/>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E4840" w14:textId="77777777" w:rsidR="000275BA" w:rsidRDefault="000275BA" w:rsidP="006C03D0">
      <w:r>
        <w:separator/>
      </w:r>
    </w:p>
  </w:endnote>
  <w:endnote w:type="continuationSeparator" w:id="0">
    <w:p w14:paraId="324541A3" w14:textId="77777777" w:rsidR="000275BA" w:rsidRDefault="000275BA" w:rsidP="006C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CF01C" w14:textId="77777777" w:rsidR="000275BA" w:rsidRDefault="000275BA" w:rsidP="006C03D0">
      <w:r>
        <w:separator/>
      </w:r>
    </w:p>
  </w:footnote>
  <w:footnote w:type="continuationSeparator" w:id="0">
    <w:p w14:paraId="556133F0" w14:textId="77777777" w:rsidR="000275BA" w:rsidRDefault="000275BA" w:rsidP="006C0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D9AF5" w14:textId="738591EA" w:rsidR="00FA4704" w:rsidRPr="00BC73CD" w:rsidRDefault="00B03382">
    <w:pPr>
      <w:pStyle w:val="Header"/>
      <w:rPr>
        <w:szCs w:val="16"/>
        <w:lang w:val="en-GB"/>
      </w:rPr>
    </w:pPr>
    <w:r w:rsidRPr="00BC73CD">
      <w:rPr>
        <w:lang w:val="en-GB"/>
      </w:rPr>
      <w:t>ECC/DEC</w:t>
    </w:r>
    <w:r w:rsidR="0077022F">
      <w:rPr>
        <w:lang w:val="en-GB"/>
      </w:rPr>
      <w:t xml:space="preserve">/(06)03 </w:t>
    </w:r>
    <w:r w:rsidR="00FA4704" w:rsidRPr="00BC73CD">
      <w:rPr>
        <w:szCs w:val="16"/>
        <w:lang w:val="en-GB"/>
      </w:rPr>
      <w:t xml:space="preserve">Page </w:t>
    </w:r>
    <w:r w:rsidR="00FA4704">
      <w:fldChar w:fldCharType="begin"/>
    </w:r>
    <w:r w:rsidR="00FA4704">
      <w:instrText xml:space="preserve"> PAGE  \* Arabic  \* MERGEFORMAT </w:instrText>
    </w:r>
    <w:r w:rsidR="00FA4704">
      <w:fldChar w:fldCharType="separate"/>
    </w:r>
    <w:r w:rsidR="00315700" w:rsidRPr="00315700">
      <w:rPr>
        <w:noProof/>
        <w:szCs w:val="16"/>
        <w:lang w:val="en-GB"/>
      </w:rPr>
      <w:t>6</w:t>
    </w:r>
    <w:r w:rsidR="00FA4704">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1C224" w14:textId="663BAF86" w:rsidR="00FA4704" w:rsidRPr="00BC73CD" w:rsidRDefault="00B03382" w:rsidP="006C03D0">
    <w:pPr>
      <w:pStyle w:val="Header"/>
      <w:jc w:val="right"/>
      <w:rPr>
        <w:szCs w:val="16"/>
        <w:lang w:val="en-GB"/>
      </w:rPr>
    </w:pPr>
    <w:r w:rsidRPr="00BC73CD">
      <w:rPr>
        <w:lang w:val="en-GB"/>
      </w:rPr>
      <w:t>ECC/DEC</w:t>
    </w:r>
    <w:r w:rsidR="0077022F" w:rsidRPr="00C60BAD">
      <w:rPr>
        <w:lang w:val="en-GB"/>
      </w:rPr>
      <w:t>/(</w:t>
    </w:r>
    <w:r w:rsidR="0077022F">
      <w:rPr>
        <w:lang w:val="en-GB"/>
      </w:rPr>
      <w:t>06</w:t>
    </w:r>
    <w:r w:rsidR="0077022F" w:rsidRPr="00C60BAD">
      <w:rPr>
        <w:lang w:val="en-GB"/>
      </w:rPr>
      <w:t>)</w:t>
    </w:r>
    <w:r w:rsidR="0077022F">
      <w:rPr>
        <w:lang w:val="en-GB"/>
      </w:rPr>
      <w:t>03</w:t>
    </w:r>
    <w:r w:rsidR="00BC73CD">
      <w:rPr>
        <w:lang w:val="en-GB"/>
      </w:rPr>
      <w:t xml:space="preserve"> </w:t>
    </w:r>
    <w:r w:rsidR="00FA4704" w:rsidRPr="00BC73CD">
      <w:rPr>
        <w:szCs w:val="16"/>
        <w:lang w:val="en-GB"/>
      </w:rPr>
      <w:t xml:space="preserve">Page </w:t>
    </w:r>
    <w:r w:rsidR="00FA4704">
      <w:fldChar w:fldCharType="begin"/>
    </w:r>
    <w:r w:rsidR="00FA4704">
      <w:instrText xml:space="preserve"> PAGE  \* Arabic  \* MERGEFORMAT </w:instrText>
    </w:r>
    <w:r w:rsidR="00FA4704">
      <w:fldChar w:fldCharType="separate"/>
    </w:r>
    <w:r w:rsidR="00315700" w:rsidRPr="00315700">
      <w:rPr>
        <w:noProof/>
        <w:szCs w:val="16"/>
        <w:lang w:val="en-GB"/>
      </w:rPr>
      <w:t>5</w:t>
    </w:r>
    <w:r w:rsidR="00FA4704">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2E206" w14:textId="76C2F826" w:rsidR="00FA4704" w:rsidRPr="004B21D4" w:rsidRDefault="00FA4704" w:rsidP="00C16977">
    <w:pPr>
      <w:pStyle w:val="Header"/>
      <w:jc w:val="right"/>
      <w:rPr>
        <w:sz w:val="22"/>
        <w:szCs w:val="22"/>
      </w:rPr>
    </w:pPr>
    <w:r w:rsidRPr="004B21D4">
      <w:rPr>
        <w:noProof/>
        <w:sz w:val="22"/>
        <w:szCs w:val="22"/>
        <w:lang w:bidi="sa-IN"/>
      </w:rPr>
      <w:drawing>
        <wp:anchor distT="0" distB="0" distL="114300" distR="114300" simplePos="0" relativeHeight="251658240" behindDoc="0" locked="0" layoutInCell="1" allowOverlap="1" wp14:anchorId="489C4C76" wp14:editId="2F2E156C">
          <wp:simplePos x="0" y="0"/>
          <wp:positionH relativeFrom="page">
            <wp:posOffset>5717540</wp:posOffset>
          </wp:positionH>
          <wp:positionV relativeFrom="page">
            <wp:posOffset>648335</wp:posOffset>
          </wp:positionV>
          <wp:extent cx="1461770" cy="546100"/>
          <wp:effectExtent l="25400" t="0" r="11430" b="0"/>
          <wp:wrapNone/>
          <wp:docPr id="4" name="Picture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4B21D4">
      <w:rPr>
        <w:noProof/>
        <w:sz w:val="22"/>
        <w:szCs w:val="22"/>
        <w:lang w:bidi="sa-IN"/>
      </w:rPr>
      <w:drawing>
        <wp:anchor distT="0" distB="0" distL="114300" distR="114300" simplePos="0" relativeHeight="251657216" behindDoc="0" locked="0" layoutInCell="1" allowOverlap="1" wp14:anchorId="15F89FD0" wp14:editId="7E179E4A">
          <wp:simplePos x="0" y="0"/>
          <wp:positionH relativeFrom="page">
            <wp:posOffset>572770</wp:posOffset>
          </wp:positionH>
          <wp:positionV relativeFrom="page">
            <wp:posOffset>457200</wp:posOffset>
          </wp:positionV>
          <wp:extent cx="889000" cy="889000"/>
          <wp:effectExtent l="25400" t="0" r="0" b="0"/>
          <wp:wrapNone/>
          <wp:docPr id="3" name="Picture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870B8"/>
    <w:multiLevelType w:val="hybridMultilevel"/>
    <w:tmpl w:val="0D5CBE5C"/>
    <w:lvl w:ilvl="0" w:tplc="6B4A692A">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3" w15:restartNumberingAfterBreak="0">
    <w:nsid w:val="1E060383"/>
    <w:multiLevelType w:val="multilevel"/>
    <w:tmpl w:val="3782D424"/>
    <w:lvl w:ilvl="0">
      <w:start w:val="1"/>
      <w:numFmt w:val="lowerLetter"/>
      <w:pStyle w:val="LetteredList"/>
      <w:lvlText w:val="%1)"/>
      <w:lvlJc w:val="left"/>
      <w:pPr>
        <w:tabs>
          <w:tab w:val="num" w:pos="1837"/>
        </w:tabs>
        <w:ind w:left="1837" w:hanging="397"/>
      </w:pPr>
      <w:rPr>
        <w:rFonts w:ascii="Arial" w:hAnsi="Arial" w:hint="default"/>
        <w:color w:val="D2232A"/>
        <w:sz w:val="20"/>
      </w:rPr>
    </w:lvl>
    <w:lvl w:ilvl="1">
      <w:start w:val="1"/>
      <w:numFmt w:val="none"/>
      <w:lvlText w:val=""/>
      <w:lvlJc w:val="left"/>
      <w:pPr>
        <w:tabs>
          <w:tab w:val="num" w:pos="2520"/>
        </w:tabs>
        <w:ind w:left="2520" w:hanging="360"/>
      </w:pPr>
      <w:rPr>
        <w:rFonts w:hint="default"/>
      </w:rPr>
    </w:lvl>
    <w:lvl w:ilvl="2">
      <w:start w:val="1"/>
      <w:numFmt w:val="none"/>
      <w:lvlText w:val=""/>
      <w:lvlJc w:val="right"/>
      <w:pPr>
        <w:tabs>
          <w:tab w:val="num" w:pos="3240"/>
        </w:tabs>
        <w:ind w:left="3240" w:hanging="180"/>
      </w:pPr>
      <w:rPr>
        <w:rFonts w:hint="default"/>
      </w:rPr>
    </w:lvl>
    <w:lvl w:ilvl="3">
      <w:start w:val="1"/>
      <w:numFmt w:val="none"/>
      <w:lvlText w:val=""/>
      <w:lvlJc w:val="left"/>
      <w:pPr>
        <w:tabs>
          <w:tab w:val="num" w:pos="3960"/>
        </w:tabs>
        <w:ind w:left="3960" w:hanging="360"/>
      </w:pPr>
      <w:rPr>
        <w:rFonts w:hint="default"/>
      </w:rPr>
    </w:lvl>
    <w:lvl w:ilvl="4">
      <w:start w:val="1"/>
      <w:numFmt w:val="none"/>
      <w:lvlText w:val=""/>
      <w:lvlJc w:val="left"/>
      <w:pPr>
        <w:tabs>
          <w:tab w:val="num" w:pos="4680"/>
        </w:tabs>
        <w:ind w:left="4680" w:hanging="360"/>
      </w:pPr>
      <w:rPr>
        <w:rFonts w:hint="default"/>
      </w:rPr>
    </w:lvl>
    <w:lvl w:ilvl="5">
      <w:start w:val="1"/>
      <w:numFmt w:val="none"/>
      <w:lvlText w:val=""/>
      <w:lvlJc w:val="right"/>
      <w:pPr>
        <w:tabs>
          <w:tab w:val="num" w:pos="5400"/>
        </w:tabs>
        <w:ind w:left="5400" w:hanging="180"/>
      </w:pPr>
      <w:rPr>
        <w:rFonts w:hint="default"/>
      </w:rPr>
    </w:lvl>
    <w:lvl w:ilvl="6">
      <w:start w:val="1"/>
      <w:numFmt w:val="none"/>
      <w:lvlText w:val=""/>
      <w:lvlJc w:val="left"/>
      <w:pPr>
        <w:tabs>
          <w:tab w:val="num" w:pos="6120"/>
        </w:tabs>
        <w:ind w:left="6120" w:hanging="360"/>
      </w:pPr>
      <w:rPr>
        <w:rFonts w:hint="default"/>
      </w:rPr>
    </w:lvl>
    <w:lvl w:ilvl="7">
      <w:start w:val="1"/>
      <w:numFmt w:val="none"/>
      <w:lvlText w:val=""/>
      <w:lvlJc w:val="left"/>
      <w:pPr>
        <w:tabs>
          <w:tab w:val="num" w:pos="6840"/>
        </w:tabs>
        <w:ind w:left="6840" w:hanging="360"/>
      </w:pPr>
      <w:rPr>
        <w:rFonts w:hint="default"/>
      </w:rPr>
    </w:lvl>
    <w:lvl w:ilvl="8">
      <w:start w:val="1"/>
      <w:numFmt w:val="none"/>
      <w:lvlText w:val=""/>
      <w:lvlJc w:val="right"/>
      <w:pPr>
        <w:tabs>
          <w:tab w:val="num" w:pos="7560"/>
        </w:tabs>
        <w:ind w:left="7560" w:hanging="180"/>
      </w:pPr>
      <w:rPr>
        <w:rFonts w:hint="default"/>
      </w:rPr>
    </w:lvl>
  </w:abstractNum>
  <w:abstractNum w:abstractNumId="4"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F9A72C9"/>
    <w:multiLevelType w:val="hybridMultilevel"/>
    <w:tmpl w:val="CF882B38"/>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8" w15:restartNumberingAfterBreak="0">
    <w:nsid w:val="34E61D0E"/>
    <w:multiLevelType w:val="singleLevel"/>
    <w:tmpl w:val="AF4698E4"/>
    <w:lvl w:ilvl="0">
      <w:start w:val="1"/>
      <w:numFmt w:val="decimal"/>
      <w:lvlText w:val="%1."/>
      <w:legacy w:legacy="1" w:legacySpace="0" w:legacyIndent="360"/>
      <w:lvlJc w:val="left"/>
      <w:pPr>
        <w:ind w:left="360" w:hanging="360"/>
      </w:pPr>
    </w:lvl>
  </w:abstractNum>
  <w:abstractNum w:abstractNumId="9"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1"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D163F7A"/>
    <w:multiLevelType w:val="multilevel"/>
    <w:tmpl w:val="3874431C"/>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427E184A"/>
    <w:multiLevelType w:val="hybridMultilevel"/>
    <w:tmpl w:val="F51A9A3A"/>
    <w:lvl w:ilvl="0" w:tplc="C65085F2">
      <w:start w:val="1"/>
      <w:numFmt w:val="bullet"/>
      <w:pStyle w:val="ECCParBulleted"/>
      <w:lvlText w:val=""/>
      <w:lvlJc w:val="left"/>
      <w:pPr>
        <w:tabs>
          <w:tab w:val="num" w:pos="360"/>
        </w:tabs>
        <w:ind w:left="360" w:hanging="360"/>
      </w:pPr>
      <w:rPr>
        <w:rFonts w:ascii="Wingdings" w:hAnsi="Wingdings" w:hint="default"/>
        <w:color w:val="D2232A"/>
      </w:rPr>
    </w:lvl>
    <w:lvl w:ilvl="1" w:tplc="2722AF3A" w:tentative="1">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E6242A"/>
    <w:multiLevelType w:val="hybridMultilevel"/>
    <w:tmpl w:val="A8069E04"/>
    <w:lvl w:ilvl="0" w:tplc="0B1E7C38">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5"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DCA061D"/>
    <w:multiLevelType w:val="multilevel"/>
    <w:tmpl w:val="6BE6DE64"/>
    <w:lvl w:ilvl="0">
      <w:start w:val="1"/>
      <w:numFmt w:val="lowerRoman"/>
      <w:lvlText w:val="%1."/>
      <w:lvlJc w:val="right"/>
      <w:pPr>
        <w:tabs>
          <w:tab w:val="num" w:pos="2234"/>
        </w:tabs>
        <w:ind w:left="2234" w:hanging="397"/>
      </w:pPr>
      <w:rPr>
        <w:rFonts w:hint="default"/>
        <w:color w:val="D2232A"/>
        <w:sz w:val="20"/>
      </w:rPr>
    </w:lvl>
    <w:lvl w:ilvl="1">
      <w:start w:val="1"/>
      <w:numFmt w:val="none"/>
      <w:lvlText w:val=""/>
      <w:lvlJc w:val="left"/>
      <w:pPr>
        <w:tabs>
          <w:tab w:val="num" w:pos="2917"/>
        </w:tabs>
        <w:ind w:left="2917" w:hanging="360"/>
      </w:pPr>
      <w:rPr>
        <w:rFonts w:hint="default"/>
      </w:rPr>
    </w:lvl>
    <w:lvl w:ilvl="2">
      <w:start w:val="1"/>
      <w:numFmt w:val="none"/>
      <w:lvlText w:val=""/>
      <w:lvlJc w:val="right"/>
      <w:pPr>
        <w:tabs>
          <w:tab w:val="num" w:pos="3637"/>
        </w:tabs>
        <w:ind w:left="3637" w:hanging="180"/>
      </w:pPr>
      <w:rPr>
        <w:rFonts w:hint="default"/>
      </w:rPr>
    </w:lvl>
    <w:lvl w:ilvl="3">
      <w:start w:val="1"/>
      <w:numFmt w:val="none"/>
      <w:lvlText w:val=""/>
      <w:lvlJc w:val="left"/>
      <w:pPr>
        <w:tabs>
          <w:tab w:val="num" w:pos="4357"/>
        </w:tabs>
        <w:ind w:left="4357" w:hanging="360"/>
      </w:pPr>
      <w:rPr>
        <w:rFonts w:hint="default"/>
      </w:rPr>
    </w:lvl>
    <w:lvl w:ilvl="4">
      <w:start w:val="1"/>
      <w:numFmt w:val="none"/>
      <w:lvlText w:val=""/>
      <w:lvlJc w:val="left"/>
      <w:pPr>
        <w:tabs>
          <w:tab w:val="num" w:pos="5077"/>
        </w:tabs>
        <w:ind w:left="5077" w:hanging="360"/>
      </w:pPr>
      <w:rPr>
        <w:rFonts w:hint="default"/>
      </w:rPr>
    </w:lvl>
    <w:lvl w:ilvl="5">
      <w:start w:val="1"/>
      <w:numFmt w:val="none"/>
      <w:lvlText w:val=""/>
      <w:lvlJc w:val="right"/>
      <w:pPr>
        <w:tabs>
          <w:tab w:val="num" w:pos="5797"/>
        </w:tabs>
        <w:ind w:left="5797" w:hanging="180"/>
      </w:pPr>
      <w:rPr>
        <w:rFonts w:hint="default"/>
      </w:rPr>
    </w:lvl>
    <w:lvl w:ilvl="6">
      <w:start w:val="1"/>
      <w:numFmt w:val="none"/>
      <w:lvlText w:val=""/>
      <w:lvlJc w:val="left"/>
      <w:pPr>
        <w:tabs>
          <w:tab w:val="num" w:pos="6517"/>
        </w:tabs>
        <w:ind w:left="6517" w:hanging="360"/>
      </w:pPr>
      <w:rPr>
        <w:rFonts w:hint="default"/>
      </w:rPr>
    </w:lvl>
    <w:lvl w:ilvl="7">
      <w:start w:val="1"/>
      <w:numFmt w:val="none"/>
      <w:lvlText w:val=""/>
      <w:lvlJc w:val="left"/>
      <w:pPr>
        <w:tabs>
          <w:tab w:val="num" w:pos="7237"/>
        </w:tabs>
        <w:ind w:left="7237" w:hanging="360"/>
      </w:pPr>
      <w:rPr>
        <w:rFonts w:hint="default"/>
      </w:rPr>
    </w:lvl>
    <w:lvl w:ilvl="8">
      <w:start w:val="1"/>
      <w:numFmt w:val="none"/>
      <w:lvlText w:val=""/>
      <w:lvlJc w:val="right"/>
      <w:pPr>
        <w:tabs>
          <w:tab w:val="num" w:pos="7957"/>
        </w:tabs>
        <w:ind w:left="7957" w:hanging="180"/>
      </w:pPr>
      <w:rPr>
        <w:rFonts w:hint="default"/>
      </w:rPr>
    </w:lvl>
  </w:abstractNum>
  <w:abstractNum w:abstractNumId="17"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18" w15:restartNumberingAfterBreak="0">
    <w:nsid w:val="64392E07"/>
    <w:multiLevelType w:val="hybridMultilevel"/>
    <w:tmpl w:val="226E1F04"/>
    <w:lvl w:ilvl="0" w:tplc="57EEC058">
      <w:start w:val="1"/>
      <w:numFmt w:val="lowerLetter"/>
      <w:lvlText w:val="%1)"/>
      <w:lvlJc w:val="left"/>
      <w:pPr>
        <w:tabs>
          <w:tab w:val="num" w:pos="360"/>
        </w:tabs>
        <w:ind w:left="360" w:hanging="360"/>
      </w:pPr>
      <w:rPr>
        <w:rFonts w:hint="default"/>
      </w:rPr>
    </w:lvl>
    <w:lvl w:ilvl="1" w:tplc="04060019">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9"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6C6B0172"/>
    <w:multiLevelType w:val="multilevel"/>
    <w:tmpl w:val="0122C030"/>
    <w:styleLink w:val="ECCNumbers-Letters"/>
    <w:lvl w:ilvl="0">
      <w:start w:val="1"/>
      <w:numFmt w:val="decimal"/>
      <w:pStyle w:val="ECCNumbered-LetteredList"/>
      <w:lvlText w:val="%1."/>
      <w:lvlJc w:val="left"/>
      <w:pPr>
        <w:tabs>
          <w:tab w:val="num" w:pos="908"/>
        </w:tabs>
        <w:ind w:left="908"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1"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736673C0"/>
    <w:multiLevelType w:val="singleLevel"/>
    <w:tmpl w:val="338E1F9A"/>
    <w:lvl w:ilvl="0">
      <w:start w:val="1"/>
      <w:numFmt w:val="lowerLetter"/>
      <w:lvlText w:val="%1)"/>
      <w:lvlJc w:val="left"/>
      <w:pPr>
        <w:tabs>
          <w:tab w:val="num" w:pos="450"/>
        </w:tabs>
        <w:ind w:left="450" w:hanging="450"/>
      </w:pPr>
      <w:rPr>
        <w:rFonts w:hint="default"/>
      </w:rPr>
    </w:lvl>
  </w:abstractNum>
  <w:abstractNum w:abstractNumId="23"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058581651">
    <w:abstractNumId w:val="12"/>
  </w:num>
  <w:num w:numId="2" w16cid:durableId="607585412">
    <w:abstractNumId w:val="23"/>
  </w:num>
  <w:num w:numId="3" w16cid:durableId="939870517">
    <w:abstractNumId w:val="15"/>
  </w:num>
  <w:num w:numId="4" w16cid:durableId="177962066">
    <w:abstractNumId w:val="4"/>
  </w:num>
  <w:num w:numId="5" w16cid:durableId="487479448">
    <w:abstractNumId w:val="17"/>
  </w:num>
  <w:num w:numId="6" w16cid:durableId="1222330536">
    <w:abstractNumId w:val="9"/>
  </w:num>
  <w:num w:numId="7" w16cid:durableId="758251978">
    <w:abstractNumId w:val="7"/>
  </w:num>
  <w:num w:numId="8" w16cid:durableId="271397541">
    <w:abstractNumId w:val="14"/>
  </w:num>
  <w:num w:numId="9" w16cid:durableId="1224754324">
    <w:abstractNumId w:val="13"/>
  </w:num>
  <w:num w:numId="10" w16cid:durableId="1014769365">
    <w:abstractNumId w:val="10"/>
  </w:num>
  <w:num w:numId="11" w16cid:durableId="1760253000">
    <w:abstractNumId w:val="14"/>
    <w:lvlOverride w:ilvl="0">
      <w:startOverride w:val="1"/>
    </w:lvlOverride>
  </w:num>
  <w:num w:numId="12" w16cid:durableId="1328047915">
    <w:abstractNumId w:val="3"/>
  </w:num>
  <w:num w:numId="13" w16cid:durableId="478499461">
    <w:abstractNumId w:val="1"/>
  </w:num>
  <w:num w:numId="14" w16cid:durableId="2136485862">
    <w:abstractNumId w:val="20"/>
  </w:num>
  <w:num w:numId="15" w16cid:durableId="1754353933">
    <w:abstractNumId w:val="19"/>
  </w:num>
  <w:num w:numId="16" w16cid:durableId="20259369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2117569">
    <w:abstractNumId w:val="5"/>
  </w:num>
  <w:num w:numId="18" w16cid:durableId="1634368498">
    <w:abstractNumId w:val="6"/>
  </w:num>
  <w:num w:numId="19" w16cid:durableId="798187775">
    <w:abstractNumId w:val="21"/>
  </w:num>
  <w:num w:numId="20" w16cid:durableId="1539393348">
    <w:abstractNumId w:val="11"/>
  </w:num>
  <w:num w:numId="21" w16cid:durableId="1606427285">
    <w:abstractNumId w:val="24"/>
  </w:num>
  <w:num w:numId="22" w16cid:durableId="1895776110">
    <w:abstractNumId w:val="25"/>
  </w:num>
  <w:num w:numId="23" w16cid:durableId="1588810842">
    <w:abstractNumId w:val="0"/>
  </w:num>
  <w:num w:numId="24" w16cid:durableId="164714709">
    <w:abstractNumId w:val="2"/>
  </w:num>
  <w:num w:numId="25" w16cid:durableId="121928279">
    <w:abstractNumId w:val="22"/>
  </w:num>
  <w:num w:numId="26" w16cid:durableId="291835611">
    <w:abstractNumId w:val="8"/>
  </w:num>
  <w:num w:numId="27" w16cid:durableId="1985893939">
    <w:abstractNumId w:val="18"/>
  </w:num>
  <w:num w:numId="28" w16cid:durableId="4579178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401987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61308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238889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34912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BFE"/>
    <w:rsid w:val="0000767C"/>
    <w:rsid w:val="000275BA"/>
    <w:rsid w:val="00031379"/>
    <w:rsid w:val="0003641C"/>
    <w:rsid w:val="00055474"/>
    <w:rsid w:val="000601B3"/>
    <w:rsid w:val="00067A03"/>
    <w:rsid w:val="00072B81"/>
    <w:rsid w:val="000810E9"/>
    <w:rsid w:val="00092C6E"/>
    <w:rsid w:val="000B7464"/>
    <w:rsid w:val="000C183F"/>
    <w:rsid w:val="000D3FD6"/>
    <w:rsid w:val="000D69F0"/>
    <w:rsid w:val="000E1ABF"/>
    <w:rsid w:val="000E378C"/>
    <w:rsid w:val="000F3919"/>
    <w:rsid w:val="001012D8"/>
    <w:rsid w:val="001151FA"/>
    <w:rsid w:val="0013155B"/>
    <w:rsid w:val="0013619B"/>
    <w:rsid w:val="001502D6"/>
    <w:rsid w:val="00163823"/>
    <w:rsid w:val="00170041"/>
    <w:rsid w:val="001B1F5E"/>
    <w:rsid w:val="001B2A81"/>
    <w:rsid w:val="001B4BFE"/>
    <w:rsid w:val="001C46EA"/>
    <w:rsid w:val="001E0C8D"/>
    <w:rsid w:val="00210562"/>
    <w:rsid w:val="00244132"/>
    <w:rsid w:val="002645A0"/>
    <w:rsid w:val="002741A5"/>
    <w:rsid w:val="002967B9"/>
    <w:rsid w:val="002A026A"/>
    <w:rsid w:val="002A6386"/>
    <w:rsid w:val="002B199A"/>
    <w:rsid w:val="002B33AF"/>
    <w:rsid w:val="002B7CC6"/>
    <w:rsid w:val="002F5AAD"/>
    <w:rsid w:val="00302F24"/>
    <w:rsid w:val="00315700"/>
    <w:rsid w:val="00321AFB"/>
    <w:rsid w:val="00322A76"/>
    <w:rsid w:val="003359A7"/>
    <w:rsid w:val="00335BE5"/>
    <w:rsid w:val="00335C98"/>
    <w:rsid w:val="003532D2"/>
    <w:rsid w:val="00375618"/>
    <w:rsid w:val="003C4FB9"/>
    <w:rsid w:val="003E282D"/>
    <w:rsid w:val="003E4C8D"/>
    <w:rsid w:val="00410C33"/>
    <w:rsid w:val="004127C4"/>
    <w:rsid w:val="00412E32"/>
    <w:rsid w:val="00414D66"/>
    <w:rsid w:val="00433EAF"/>
    <w:rsid w:val="004503B1"/>
    <w:rsid w:val="004732A0"/>
    <w:rsid w:val="0048538D"/>
    <w:rsid w:val="0048775D"/>
    <w:rsid w:val="004A7AD2"/>
    <w:rsid w:val="004B21D4"/>
    <w:rsid w:val="004C50A7"/>
    <w:rsid w:val="004C730D"/>
    <w:rsid w:val="004D18BA"/>
    <w:rsid w:val="004D4301"/>
    <w:rsid w:val="004D7CE0"/>
    <w:rsid w:val="00505EF1"/>
    <w:rsid w:val="00542E5C"/>
    <w:rsid w:val="00552BB7"/>
    <w:rsid w:val="00566720"/>
    <w:rsid w:val="0057495C"/>
    <w:rsid w:val="005A6241"/>
    <w:rsid w:val="005A72FA"/>
    <w:rsid w:val="005E3DDF"/>
    <w:rsid w:val="005F7AD5"/>
    <w:rsid w:val="00614732"/>
    <w:rsid w:val="0061774F"/>
    <w:rsid w:val="00633D18"/>
    <w:rsid w:val="00641078"/>
    <w:rsid w:val="00642210"/>
    <w:rsid w:val="00693058"/>
    <w:rsid w:val="006A6D8E"/>
    <w:rsid w:val="006C03D0"/>
    <w:rsid w:val="006C79F0"/>
    <w:rsid w:val="006D23B4"/>
    <w:rsid w:val="006E5847"/>
    <w:rsid w:val="006F539F"/>
    <w:rsid w:val="0070052E"/>
    <w:rsid w:val="00711AF7"/>
    <w:rsid w:val="00713DBA"/>
    <w:rsid w:val="00717AEE"/>
    <w:rsid w:val="0072752B"/>
    <w:rsid w:val="00734EC4"/>
    <w:rsid w:val="00741A79"/>
    <w:rsid w:val="00742556"/>
    <w:rsid w:val="007451BA"/>
    <w:rsid w:val="0077022F"/>
    <w:rsid w:val="007802B4"/>
    <w:rsid w:val="007A381C"/>
    <w:rsid w:val="007A4BE0"/>
    <w:rsid w:val="007C5D46"/>
    <w:rsid w:val="007C6571"/>
    <w:rsid w:val="007E23E4"/>
    <w:rsid w:val="007E55F3"/>
    <w:rsid w:val="007E7B72"/>
    <w:rsid w:val="00800B36"/>
    <w:rsid w:val="00816C49"/>
    <w:rsid w:val="008324C4"/>
    <w:rsid w:val="00835012"/>
    <w:rsid w:val="00845FF7"/>
    <w:rsid w:val="00871BBA"/>
    <w:rsid w:val="00881EF2"/>
    <w:rsid w:val="00882941"/>
    <w:rsid w:val="0089007D"/>
    <w:rsid w:val="00901386"/>
    <w:rsid w:val="00953696"/>
    <w:rsid w:val="00955134"/>
    <w:rsid w:val="00981A6B"/>
    <w:rsid w:val="00992221"/>
    <w:rsid w:val="00993AE0"/>
    <w:rsid w:val="009D3584"/>
    <w:rsid w:val="009D4056"/>
    <w:rsid w:val="00A30FB2"/>
    <w:rsid w:val="00A41673"/>
    <w:rsid w:val="00A553B1"/>
    <w:rsid w:val="00A72903"/>
    <w:rsid w:val="00A8085A"/>
    <w:rsid w:val="00A80B85"/>
    <w:rsid w:val="00A8279B"/>
    <w:rsid w:val="00A9748D"/>
    <w:rsid w:val="00AA572B"/>
    <w:rsid w:val="00AA7BFD"/>
    <w:rsid w:val="00AC1D80"/>
    <w:rsid w:val="00AE4548"/>
    <w:rsid w:val="00AE5CCC"/>
    <w:rsid w:val="00AE7214"/>
    <w:rsid w:val="00AF3E47"/>
    <w:rsid w:val="00AF6331"/>
    <w:rsid w:val="00B03382"/>
    <w:rsid w:val="00B05681"/>
    <w:rsid w:val="00B23041"/>
    <w:rsid w:val="00B46F54"/>
    <w:rsid w:val="00B5076A"/>
    <w:rsid w:val="00B61EB4"/>
    <w:rsid w:val="00BB202B"/>
    <w:rsid w:val="00BB4B71"/>
    <w:rsid w:val="00BC73CD"/>
    <w:rsid w:val="00C1340F"/>
    <w:rsid w:val="00C16977"/>
    <w:rsid w:val="00C23CD4"/>
    <w:rsid w:val="00C352ED"/>
    <w:rsid w:val="00C64D00"/>
    <w:rsid w:val="00C665E0"/>
    <w:rsid w:val="00C83663"/>
    <w:rsid w:val="00CE4B2F"/>
    <w:rsid w:val="00CE6055"/>
    <w:rsid w:val="00CE6F78"/>
    <w:rsid w:val="00D35496"/>
    <w:rsid w:val="00D45EF8"/>
    <w:rsid w:val="00D4638E"/>
    <w:rsid w:val="00D521CC"/>
    <w:rsid w:val="00D568B5"/>
    <w:rsid w:val="00D6324C"/>
    <w:rsid w:val="00D70D1C"/>
    <w:rsid w:val="00D77334"/>
    <w:rsid w:val="00D90B0A"/>
    <w:rsid w:val="00DA090D"/>
    <w:rsid w:val="00DB553E"/>
    <w:rsid w:val="00DC0568"/>
    <w:rsid w:val="00DE2C16"/>
    <w:rsid w:val="00DF1ED3"/>
    <w:rsid w:val="00DF387E"/>
    <w:rsid w:val="00E20C26"/>
    <w:rsid w:val="00E2328C"/>
    <w:rsid w:val="00E30463"/>
    <w:rsid w:val="00E3710D"/>
    <w:rsid w:val="00E53EF5"/>
    <w:rsid w:val="00E65E22"/>
    <w:rsid w:val="00E73D39"/>
    <w:rsid w:val="00E8287E"/>
    <w:rsid w:val="00E84572"/>
    <w:rsid w:val="00E84F8C"/>
    <w:rsid w:val="00EA7C0C"/>
    <w:rsid w:val="00EB0208"/>
    <w:rsid w:val="00EB3020"/>
    <w:rsid w:val="00EB5A8F"/>
    <w:rsid w:val="00EC0AE6"/>
    <w:rsid w:val="00EC79BC"/>
    <w:rsid w:val="00EF258D"/>
    <w:rsid w:val="00F05870"/>
    <w:rsid w:val="00F177F1"/>
    <w:rsid w:val="00F24394"/>
    <w:rsid w:val="00F32EE8"/>
    <w:rsid w:val="00F46F19"/>
    <w:rsid w:val="00F545BE"/>
    <w:rsid w:val="00F56788"/>
    <w:rsid w:val="00F628B3"/>
    <w:rsid w:val="00F80788"/>
    <w:rsid w:val="00F95FAB"/>
    <w:rsid w:val="00F979F4"/>
    <w:rsid w:val="00FA4704"/>
    <w:rsid w:val="00FB723F"/>
    <w:rsid w:val="00FD5296"/>
    <w:rsid w:val="00FF1B50"/>
  </w:rsids>
  <m:mathPr>
    <m:mathFont m:val="Cambria Math"/>
    <m:brkBin m:val="before"/>
    <m:brkBinSub m:val="--"/>
    <m:smallFrac m:val="0"/>
    <m:dispDef m:val="0"/>
    <m:lMargin m:val="0"/>
    <m:rMargin m:val="0"/>
    <m:defJc m:val="centerGroup"/>
    <m:wrapRight/>
    <m:intLim m:val="subSup"/>
    <m:naryLim m:val="subSup"/>
  </m:mathPr>
  <w:themeFontLang w:val="en-GB" w:eastAsia="ja-JP"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d2232a,#57433e,#b0a696"/>
    </o:shapedefaults>
    <o:shapelayout v:ext="edit">
      <o:idmap v:ext="edit" data="2"/>
    </o:shapelayout>
  </w:shapeDefaults>
  <w:decimalSymbol w:val="."/>
  <w:listSeparator w:val=","/>
  <w14:docId w14:val="6B55A8D4"/>
  <w15:docId w15:val="{C917EE65-B24D-4118-B71F-4A8695A9B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717AEE"/>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2967B9"/>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031379"/>
    <w:pPr>
      <w:numPr>
        <w:numId w:val="4"/>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7C6571"/>
    <w:pPr>
      <w:numPr>
        <w:numId w:val="15"/>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tabs>
        <w:tab w:val="clear" w:pos="908"/>
        <w:tab w:val="num" w:pos="340"/>
      </w:tabs>
      <w:ind w:left="340"/>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aliases w:val="body indent,paragraph 2,body text,ändrad,AvtalBrödtext,Bodytext,Compliance,Response,Body3,b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aliases w:val="body indent Char,paragraph 2 Char,body text Char,ändrad Char,AvtalBrödtext Char,Bodytext Char,Compliance Char,Response Char,Body3 Char,b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paragraph" w:styleId="BodyText3">
    <w:name w:val="Body Text 3"/>
    <w:basedOn w:val="Normal"/>
    <w:link w:val="BodyText3Char"/>
    <w:uiPriority w:val="99"/>
    <w:semiHidden/>
    <w:unhideWhenUsed/>
    <w:rsid w:val="007C5D46"/>
    <w:pPr>
      <w:spacing w:after="120"/>
    </w:pPr>
    <w:rPr>
      <w:sz w:val="16"/>
      <w:szCs w:val="16"/>
    </w:rPr>
  </w:style>
  <w:style w:type="character" w:customStyle="1" w:styleId="BodyText3Char">
    <w:name w:val="Body Text 3 Char"/>
    <w:basedOn w:val="DefaultParagraphFont"/>
    <w:link w:val="BodyText3"/>
    <w:uiPriority w:val="99"/>
    <w:semiHidden/>
    <w:rsid w:val="007C5D46"/>
    <w:rPr>
      <w:rFonts w:ascii="Arial" w:hAnsi="Arial"/>
      <w:sz w:val="16"/>
      <w:szCs w:val="16"/>
      <w:lang w:val="en-US"/>
    </w:rPr>
  </w:style>
  <w:style w:type="paragraph" w:customStyle="1" w:styleId="Note">
    <w:name w:val="Note"/>
    <w:basedOn w:val="Normal"/>
    <w:rsid w:val="007C5D46"/>
    <w:pPr>
      <w:tabs>
        <w:tab w:val="left" w:pos="284"/>
        <w:tab w:val="left" w:pos="1134"/>
        <w:tab w:val="left" w:pos="1871"/>
        <w:tab w:val="left" w:pos="2268"/>
      </w:tabs>
      <w:spacing w:before="160"/>
      <w:jc w:val="both"/>
    </w:pPr>
    <w:rPr>
      <w:rFonts w:ascii="Times New Roman" w:hAnsi="Times New Roman"/>
      <w:noProof/>
      <w:szCs w:val="20"/>
      <w:lang w:val="en-GB"/>
    </w:rPr>
  </w:style>
  <w:style w:type="character" w:styleId="CommentReference">
    <w:name w:val="annotation reference"/>
    <w:basedOn w:val="DefaultParagraphFont"/>
    <w:uiPriority w:val="99"/>
    <w:semiHidden/>
    <w:unhideWhenUsed/>
    <w:rsid w:val="00800B36"/>
    <w:rPr>
      <w:sz w:val="16"/>
      <w:szCs w:val="16"/>
    </w:rPr>
  </w:style>
  <w:style w:type="paragraph" w:styleId="CommentText">
    <w:name w:val="annotation text"/>
    <w:basedOn w:val="Normal"/>
    <w:link w:val="CommentTextChar"/>
    <w:uiPriority w:val="99"/>
    <w:unhideWhenUsed/>
    <w:rsid w:val="00800B36"/>
    <w:rPr>
      <w:szCs w:val="20"/>
    </w:rPr>
  </w:style>
  <w:style w:type="character" w:customStyle="1" w:styleId="CommentTextChar">
    <w:name w:val="Comment Text Char"/>
    <w:basedOn w:val="DefaultParagraphFont"/>
    <w:link w:val="CommentText"/>
    <w:uiPriority w:val="99"/>
    <w:rsid w:val="00800B36"/>
    <w:rPr>
      <w:rFonts w:ascii="Arial" w:hAnsi="Arial"/>
      <w:lang w:val="en-US"/>
    </w:rPr>
  </w:style>
  <w:style w:type="paragraph" w:styleId="CommentSubject">
    <w:name w:val="annotation subject"/>
    <w:basedOn w:val="CommentText"/>
    <w:next w:val="CommentText"/>
    <w:link w:val="CommentSubjectChar"/>
    <w:uiPriority w:val="99"/>
    <w:semiHidden/>
    <w:unhideWhenUsed/>
    <w:rsid w:val="00800B36"/>
    <w:rPr>
      <w:b/>
      <w:bCs/>
    </w:rPr>
  </w:style>
  <w:style w:type="character" w:customStyle="1" w:styleId="CommentSubjectChar">
    <w:name w:val="Comment Subject Char"/>
    <w:basedOn w:val="CommentTextChar"/>
    <w:link w:val="CommentSubject"/>
    <w:uiPriority w:val="99"/>
    <w:semiHidden/>
    <w:rsid w:val="00800B36"/>
    <w:rPr>
      <w:rFonts w:ascii="Arial" w:hAnsi="Arial"/>
      <w:b/>
      <w:bCs/>
      <w:lang w:val="en-US"/>
    </w:rPr>
  </w:style>
  <w:style w:type="paragraph" w:styleId="Revision">
    <w:name w:val="Revision"/>
    <w:hidden/>
    <w:uiPriority w:val="99"/>
    <w:semiHidden/>
    <w:rsid w:val="004D18BA"/>
    <w:rPr>
      <w:rFonts w:ascii="Arial" w:hAnsi="Arial"/>
      <w:szCs w:val="24"/>
      <w:lang w:val="en-US"/>
    </w:rPr>
  </w:style>
  <w:style w:type="character" w:styleId="UnresolvedMention">
    <w:name w:val="Unresolved Mention"/>
    <w:basedOn w:val="DefaultParagraphFont"/>
    <w:uiPriority w:val="99"/>
    <w:semiHidden/>
    <w:unhideWhenUsed/>
    <w:rsid w:val="00170041"/>
    <w:rPr>
      <w:color w:val="605E5C"/>
      <w:shd w:val="clear" w:color="auto" w:fill="E1DFDD"/>
    </w:rPr>
  </w:style>
  <w:style w:type="character" w:styleId="FollowedHyperlink">
    <w:name w:val="FollowedHyperlink"/>
    <w:basedOn w:val="DefaultParagraphFont"/>
    <w:uiPriority w:val="99"/>
    <w:semiHidden/>
    <w:unhideWhenUsed/>
    <w:rsid w:val="00410C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35100">
      <w:bodyDiv w:val="1"/>
      <w:marLeft w:val="0"/>
      <w:marRight w:val="0"/>
      <w:marTop w:val="0"/>
      <w:marBottom w:val="0"/>
      <w:divBdr>
        <w:top w:val="none" w:sz="0" w:space="0" w:color="auto"/>
        <w:left w:val="none" w:sz="0" w:space="0" w:color="auto"/>
        <w:bottom w:val="none" w:sz="0" w:space="0" w:color="auto"/>
        <w:right w:val="none" w:sz="0" w:space="0" w:color="auto"/>
      </w:divBdr>
    </w:div>
    <w:div w:id="557130677">
      <w:bodyDiv w:val="1"/>
      <w:marLeft w:val="0"/>
      <w:marRight w:val="0"/>
      <w:marTop w:val="0"/>
      <w:marBottom w:val="0"/>
      <w:divBdr>
        <w:top w:val="none" w:sz="0" w:space="0" w:color="auto"/>
        <w:left w:val="none" w:sz="0" w:space="0" w:color="auto"/>
        <w:bottom w:val="none" w:sz="0" w:space="0" w:color="auto"/>
        <w:right w:val="none" w:sz="0" w:space="0" w:color="auto"/>
      </w:divBdr>
    </w:div>
    <w:div w:id="1831290701">
      <w:bodyDiv w:val="1"/>
      <w:marLeft w:val="0"/>
      <w:marRight w:val="0"/>
      <w:marTop w:val="0"/>
      <w:marBottom w:val="0"/>
      <w:divBdr>
        <w:top w:val="none" w:sz="0" w:space="0" w:color="auto"/>
        <w:left w:val="none" w:sz="0" w:space="0" w:color="auto"/>
        <w:bottom w:val="none" w:sz="0" w:space="0" w:color="auto"/>
        <w:right w:val="none" w:sz="0" w:space="0" w:color="auto"/>
      </w:divBdr>
      <w:divsChild>
        <w:div w:id="1804927688">
          <w:marLeft w:val="0"/>
          <w:marRight w:val="0"/>
          <w:marTop w:val="0"/>
          <w:marBottom w:val="0"/>
          <w:divBdr>
            <w:top w:val="none" w:sz="0" w:space="0" w:color="auto"/>
            <w:left w:val="none" w:sz="0" w:space="0" w:color="auto"/>
            <w:bottom w:val="none" w:sz="0" w:space="0" w:color="auto"/>
            <w:right w:val="none" w:sz="0" w:space="0" w:color="auto"/>
          </w:divBdr>
        </w:div>
        <w:div w:id="857081915">
          <w:marLeft w:val="0"/>
          <w:marRight w:val="0"/>
          <w:marTop w:val="0"/>
          <w:marBottom w:val="0"/>
          <w:divBdr>
            <w:top w:val="none" w:sz="0" w:space="0" w:color="auto"/>
            <w:left w:val="none" w:sz="0" w:space="0" w:color="auto"/>
            <w:bottom w:val="none" w:sz="0" w:space="0" w:color="auto"/>
            <w:right w:val="none" w:sz="0" w:space="0" w:color="auto"/>
          </w:divBdr>
        </w:div>
        <w:div w:id="1095126530">
          <w:marLeft w:val="0"/>
          <w:marRight w:val="0"/>
          <w:marTop w:val="0"/>
          <w:marBottom w:val="0"/>
          <w:divBdr>
            <w:top w:val="none" w:sz="0" w:space="0" w:color="auto"/>
            <w:left w:val="none" w:sz="0" w:space="0" w:color="auto"/>
            <w:bottom w:val="none" w:sz="0" w:space="0" w:color="auto"/>
            <w:right w:val="none" w:sz="0" w:space="0" w:color="auto"/>
          </w:divBdr>
        </w:div>
        <w:div w:id="848569932">
          <w:marLeft w:val="0"/>
          <w:marRight w:val="0"/>
          <w:marTop w:val="0"/>
          <w:marBottom w:val="0"/>
          <w:divBdr>
            <w:top w:val="none" w:sz="0" w:space="0" w:color="auto"/>
            <w:left w:val="none" w:sz="0" w:space="0" w:color="auto"/>
            <w:bottom w:val="none" w:sz="0" w:space="0" w:color="auto"/>
            <w:right w:val="none" w:sz="0" w:space="0" w:color="auto"/>
          </w:divBdr>
        </w:div>
        <w:div w:id="1350641690">
          <w:marLeft w:val="0"/>
          <w:marRight w:val="0"/>
          <w:marTop w:val="0"/>
          <w:marBottom w:val="0"/>
          <w:divBdr>
            <w:top w:val="none" w:sz="0" w:space="0" w:color="auto"/>
            <w:left w:val="none" w:sz="0" w:space="0" w:color="auto"/>
            <w:bottom w:val="none" w:sz="0" w:space="0" w:color="auto"/>
            <w:right w:val="none" w:sz="0" w:space="0" w:color="auto"/>
          </w:divBdr>
        </w:div>
        <w:div w:id="2000618567">
          <w:marLeft w:val="0"/>
          <w:marRight w:val="0"/>
          <w:marTop w:val="0"/>
          <w:marBottom w:val="0"/>
          <w:divBdr>
            <w:top w:val="none" w:sz="0" w:space="0" w:color="auto"/>
            <w:left w:val="none" w:sz="0" w:space="0" w:color="auto"/>
            <w:bottom w:val="none" w:sz="0" w:space="0" w:color="auto"/>
            <w:right w:val="none" w:sz="0" w:space="0" w:color="auto"/>
          </w:divBdr>
        </w:div>
        <w:div w:id="675036928">
          <w:marLeft w:val="0"/>
          <w:marRight w:val="0"/>
          <w:marTop w:val="0"/>
          <w:marBottom w:val="0"/>
          <w:divBdr>
            <w:top w:val="none" w:sz="0" w:space="0" w:color="auto"/>
            <w:left w:val="none" w:sz="0" w:space="0" w:color="auto"/>
            <w:bottom w:val="none" w:sz="0" w:space="0" w:color="auto"/>
            <w:right w:val="none" w:sz="0" w:space="0" w:color="auto"/>
          </w:divBdr>
        </w:div>
      </w:divsChild>
    </w:div>
    <w:div w:id="201275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DB0B4-721A-4EFC-BB19-4E1EEC5D4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1794</Words>
  <Characters>10229</Characters>
  <Application>Microsoft Office Word</Application>
  <DocSecurity>0</DocSecurity>
  <Lines>85</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revision of ECC Decision (06)03</vt:lpstr>
      <vt:lpstr>Draft revision of ECC Decision (06)03</vt:lpstr>
    </vt:vector>
  </TitlesOfParts>
  <Company/>
  <LinksUpToDate>false</LinksUpToDate>
  <CharactersWithSpaces>12000</CharactersWithSpaces>
  <SharedDoc>false</SharedDoc>
  <HLinks>
    <vt:vector size="12" baseType="variant">
      <vt:variant>
        <vt:i4>3342362</vt:i4>
      </vt:variant>
      <vt:variant>
        <vt:i4>-1</vt:i4>
      </vt:variant>
      <vt:variant>
        <vt:i4>2051</vt:i4>
      </vt:variant>
      <vt:variant>
        <vt:i4>1</vt:i4>
      </vt:variant>
      <vt:variant>
        <vt:lpwstr>cept logo</vt:lpwstr>
      </vt:variant>
      <vt:variant>
        <vt:lpwstr/>
      </vt:variant>
      <vt:variant>
        <vt:i4>852028</vt:i4>
      </vt:variant>
      <vt:variant>
        <vt:i4>-1</vt:i4>
      </vt:variant>
      <vt:variant>
        <vt:i4>2052</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Decision (06)03</dc:title>
  <dc:creator>ECC</dc:creator>
  <cp:keywords>ECC Decision (06)03</cp:keywords>
  <dc:description/>
  <cp:lastModifiedBy>ECO </cp:lastModifiedBy>
  <cp:revision>6</cp:revision>
  <dcterms:created xsi:type="dcterms:W3CDTF">2022-11-24T14:00:00Z</dcterms:created>
  <dcterms:modified xsi:type="dcterms:W3CDTF">2022-11-24T14:30:00Z</dcterms:modified>
  <cp:contentStatus/>
</cp:coreProperties>
</file>