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5C423" w14:textId="77777777" w:rsidR="006C03D0" w:rsidRPr="00164719" w:rsidRDefault="006C03D0" w:rsidP="00FC447D">
      <w:pPr>
        <w:jc w:val="both"/>
        <w:rPr>
          <w:lang w:val="en-GB"/>
        </w:rPr>
      </w:pPr>
    </w:p>
    <w:p w14:paraId="7D90345F" w14:textId="77777777" w:rsidR="00952062" w:rsidRPr="00164719" w:rsidRDefault="00952062" w:rsidP="00FC447D">
      <w:pPr>
        <w:jc w:val="both"/>
        <w:rPr>
          <w:lang w:val="en-GB"/>
        </w:rPr>
      </w:pPr>
    </w:p>
    <w:p w14:paraId="0F1267FB" w14:textId="77777777" w:rsidR="006C03D0" w:rsidRPr="00164719" w:rsidRDefault="006C03D0" w:rsidP="00FC447D">
      <w:pPr>
        <w:jc w:val="both"/>
        <w:rPr>
          <w:lang w:val="en-GB"/>
        </w:rPr>
      </w:pPr>
    </w:p>
    <w:p w14:paraId="502BC5ED" w14:textId="77777777" w:rsidR="006C03D0" w:rsidRPr="00164719" w:rsidRDefault="006C03D0" w:rsidP="00FC447D">
      <w:pPr>
        <w:jc w:val="both"/>
        <w:rPr>
          <w:lang w:val="en-GB"/>
        </w:rPr>
      </w:pPr>
    </w:p>
    <w:p w14:paraId="3A54E259" w14:textId="77777777" w:rsidR="006C03D0" w:rsidRPr="00164719" w:rsidRDefault="006C03D0" w:rsidP="00FC447D">
      <w:pPr>
        <w:jc w:val="both"/>
        <w:rPr>
          <w:lang w:val="en-GB"/>
        </w:rPr>
      </w:pPr>
    </w:p>
    <w:p w14:paraId="657C5496" w14:textId="77777777" w:rsidR="006C03D0" w:rsidRPr="00164719" w:rsidRDefault="006C03D0" w:rsidP="00FC447D">
      <w:pPr>
        <w:jc w:val="both"/>
        <w:rPr>
          <w:lang w:val="en-GB"/>
        </w:rPr>
      </w:pPr>
    </w:p>
    <w:p w14:paraId="6DC5D9AD" w14:textId="77777777" w:rsidR="006C03D0" w:rsidRPr="00164719" w:rsidRDefault="007C6571" w:rsidP="00FC447D">
      <w:pPr>
        <w:jc w:val="both"/>
        <w:rPr>
          <w:b/>
          <w:sz w:val="24"/>
          <w:lang w:val="en-GB"/>
        </w:rPr>
      </w:pPr>
      <w:r w:rsidRPr="00164719">
        <w:rPr>
          <w:b/>
          <w:noProof/>
          <w:sz w:val="24"/>
          <w:lang w:val="en-GB"/>
        </w:rPr>
        <mc:AlternateContent>
          <mc:Choice Requires="wpg">
            <w:drawing>
              <wp:anchor distT="0" distB="0" distL="114300" distR="114300" simplePos="0" relativeHeight="251658240" behindDoc="0" locked="0" layoutInCell="1" allowOverlap="1" wp14:anchorId="0B9D5643" wp14:editId="2E030D20">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2C0C4" w14:textId="45DFDFE1" w:rsidR="00557052" w:rsidRPr="00FE1795" w:rsidRDefault="00557052"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06</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9D5643" id="Group 28" o:spid="_x0000_s1026" style="position:absolute;left:0;text-align:left;margin-left:-56.7pt;margin-top:5.5pt;width:595.6pt;height:651.1pt;z-index:251658240"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58YgMAAGYNAAAOAAAAZHJzL2Uyb0RvYy54bWzsV9tum0AQfa/Uf1jtew2swdgoOEpzU6W0&#10;jZr0A9awXFRg6e46OP36zu6C7dipqlzaRFV5QAx7mzlz5jAcHK7qCt0wIUvexNgbuRixJuFp2eQx&#10;/np99m6KkVS0SWnFGxbjWybx4fztm4OujRjhBa9SJhBs0sioa2NcKNVGjiOTgtVUjnjLGhjMuKip&#10;AlPkTipoB7vXlUNcd+J0XKSt4AmTEt6e2EE8N/tnGUvU5yyTTKEqxuCbMndh7gt9d+YHNMoFbYsy&#10;6d2gj/CipmUDh663OqGKoqUo97aqy0RwyTM1Snjt8CwrE2ZigGg8dyeac8GXrYklj7q8XcME0O7g&#10;9Ohtk08356K9ai+F9R4eL3jyTQIuTtfm0fa4tnM7GS26jzyFfNKl4ibwVSZqvQWEhFYG39s1vmyl&#10;UAIvw2DiewTSkMDYlEyms7DPQFJAmjbrSOiuB077xZ4384hd6o1dQnTqHBrZc42vvW8690AmucFL&#10;Pg2vq4K2zKRBajwuBSrTGAcYNbQGCL4AyWiTVwxNtU/6cJg1QCotnqjhxwXMYkdC8K5gNAWnPBPD&#10;nQXakJCN3wI8wQhA9AJ/PLMkHkAGnFwY1BCT6fgOSjRqhVTnjNdIP8RYgOsme/TmQioL6DBFJ1Py&#10;qkzPyqoyhsgXx5VANxRq6YSQMTnqd78zrWr05IbrZXZH/QYSZAOzAC14egtBCm4LEgQEHgoufmDU&#10;QTHGWH5fUsEwqj40ANTM831dvcYIfBcujISxQlABMBbG8AMwMaJNAnvFWA2Px8qW/LIVZV7AUZ6J&#10;uuFHQN+sNJFrB61bvbfAoL9EJUiXpdK1TuJ7vkImp1vEQGoFrwe//xSnADrNmnXx3UcpKOFXyim1&#10;Wqz6+nsgvch0ain1IgTrRVVzzehtry/hQArzFUBkomHflWT9wXkuyfZCkBJNgLFHAn0YjdYECMcg&#10;d1pSYFI/tpbsWeDvLEuK00G09xa+pGRDL7Ir2cSweavSjNLtarZsQSh19T2PjFvd03WmtUuf2H81&#10;96H8dQbWQD6jqp+Z67+qy9GDGqr7GwQopj22mdp5LWzziA+M1gXv+6YMtgreA72xBa+f7Hd8aPGG&#10;DuHJTUQQ+uPx6b9Pt0132nfV0Myb5rX/8dB/C9u2mbX5PZr/BAAA//8DAFBLAwQUAAYACAAAACEA&#10;WFow+uIAAAANAQAADwAAAGRycy9kb3ducmV2LnhtbEyPQUvDQBCF74L/YRnBW7vZRq3EbEop6qkI&#10;toJ422anSWh2NmS3SfrvnZ70No/38ea9fDW5VgzYh8aTBjVPQCCV3jZUafjav82eQYRoyJrWE2q4&#10;YIBVcXuTm8z6kT5x2MVKcAiFzGioY+wyKUNZozNh7jsk9o6+dyay7CtpezNyuGvlIkmepDMN8Yfa&#10;dLipsTztzk7D+2jGdapeh+3puLn87B8/vrcKtb6/m9YvICJO8Q+Ga32uDgV3Ovgz2SBaDTOl0gdm&#10;2VE86kokyyWvOfCVqnQBssjl/xXFLwAAAP//AwBQSwECLQAUAAYACAAAACEAtoM4kv4AAADhAQAA&#10;EwAAAAAAAAAAAAAAAAAAAAAAW0NvbnRlbnRfVHlwZXNdLnhtbFBLAQItABQABgAIAAAAIQA4/SH/&#10;1gAAAJQBAAALAAAAAAAAAAAAAAAAAC8BAABfcmVscy8ucmVsc1BLAQItABQABgAIAAAAIQAl5158&#10;YgMAAGYNAAAOAAAAAAAAAAAAAAAAAC4CAABkcnMvZTJvRG9jLnhtbFBLAQItABQABgAIAAAAIQBY&#10;WjD64gAAAA0BAAAPAAAAAAAAAAAAAAAAALwFAABkcnMvZG93bnJldi54bWxQSwUGAAAAAAQABADz&#10;AAAAywY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AC2C0C4" w14:textId="45DFDFE1" w:rsidR="00557052" w:rsidRPr="00FE1795" w:rsidRDefault="00557052" w:rsidP="006C03D0">
                        <w:pPr>
                          <w:rPr>
                            <w:color w:val="57433E"/>
                            <w:sz w:val="68"/>
                          </w:rPr>
                        </w:pPr>
                        <w:r w:rsidRPr="00FE1795">
                          <w:rPr>
                            <w:color w:val="FFFFFF"/>
                            <w:sz w:val="68"/>
                          </w:rPr>
                          <w:t xml:space="preserve">ECC Decision </w:t>
                        </w:r>
                        <w:r w:rsidRPr="001E2FAA">
                          <w:rPr>
                            <w:color w:val="887E6E"/>
                            <w:sz w:val="68"/>
                          </w:rPr>
                          <w:t>(</w:t>
                        </w:r>
                        <w:r>
                          <w:rPr>
                            <w:color w:val="887E6E"/>
                            <w:sz w:val="68"/>
                          </w:rPr>
                          <w:t>22</w:t>
                        </w:r>
                        <w:r w:rsidRPr="001E2FAA">
                          <w:rPr>
                            <w:color w:val="887E6E"/>
                            <w:sz w:val="68"/>
                          </w:rPr>
                          <w:t>)</w:t>
                        </w:r>
                        <w:r>
                          <w:rPr>
                            <w:color w:val="887E6E"/>
                            <w:sz w:val="68"/>
                          </w:rPr>
                          <w:t>06</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5A3CC439" w14:textId="77777777" w:rsidR="006C03D0" w:rsidRPr="00164719" w:rsidRDefault="006C03D0" w:rsidP="00FC447D">
      <w:pPr>
        <w:jc w:val="both"/>
        <w:rPr>
          <w:b/>
          <w:sz w:val="24"/>
          <w:lang w:val="en-GB"/>
        </w:rPr>
      </w:pPr>
    </w:p>
    <w:p w14:paraId="68409AA4" w14:textId="77777777" w:rsidR="006C03D0" w:rsidRPr="00164719" w:rsidRDefault="006C03D0" w:rsidP="00FC447D">
      <w:pPr>
        <w:jc w:val="both"/>
        <w:rPr>
          <w:b/>
          <w:sz w:val="24"/>
          <w:lang w:val="en-GB"/>
        </w:rPr>
      </w:pPr>
    </w:p>
    <w:p w14:paraId="117980EA" w14:textId="77777777" w:rsidR="006C03D0" w:rsidRPr="00164719" w:rsidRDefault="006C03D0" w:rsidP="00FC447D">
      <w:pPr>
        <w:jc w:val="both"/>
        <w:rPr>
          <w:b/>
          <w:sz w:val="24"/>
          <w:lang w:val="en-GB"/>
        </w:rPr>
      </w:pPr>
    </w:p>
    <w:p w14:paraId="7D5343BB" w14:textId="77777777" w:rsidR="006C03D0" w:rsidRPr="00164719" w:rsidRDefault="006C03D0" w:rsidP="00FC447D">
      <w:pPr>
        <w:jc w:val="both"/>
        <w:rPr>
          <w:b/>
          <w:sz w:val="24"/>
          <w:lang w:val="en-GB"/>
        </w:rPr>
      </w:pPr>
    </w:p>
    <w:p w14:paraId="7E5A5C02" w14:textId="77777777" w:rsidR="006C03D0" w:rsidRPr="00164719" w:rsidRDefault="006C03D0" w:rsidP="00FC447D">
      <w:pPr>
        <w:jc w:val="both"/>
        <w:rPr>
          <w:b/>
          <w:sz w:val="24"/>
          <w:lang w:val="en-GB"/>
        </w:rPr>
      </w:pPr>
    </w:p>
    <w:p w14:paraId="6B88BB53" w14:textId="77777777" w:rsidR="006C03D0" w:rsidRPr="00164719" w:rsidRDefault="006C03D0" w:rsidP="00FC447D">
      <w:pPr>
        <w:jc w:val="both"/>
        <w:rPr>
          <w:b/>
          <w:sz w:val="24"/>
          <w:lang w:val="en-GB"/>
        </w:rPr>
      </w:pPr>
    </w:p>
    <w:p w14:paraId="77875011" w14:textId="77777777" w:rsidR="006C03D0" w:rsidRPr="00164719" w:rsidRDefault="006C03D0" w:rsidP="00FC447D">
      <w:pPr>
        <w:jc w:val="both"/>
        <w:rPr>
          <w:b/>
          <w:sz w:val="24"/>
          <w:lang w:val="en-GB"/>
        </w:rPr>
      </w:pPr>
    </w:p>
    <w:p w14:paraId="1D179231" w14:textId="77777777" w:rsidR="006C03D0" w:rsidRPr="00164719" w:rsidRDefault="006C03D0" w:rsidP="00FC447D">
      <w:pPr>
        <w:jc w:val="both"/>
        <w:rPr>
          <w:b/>
          <w:sz w:val="24"/>
          <w:lang w:val="en-GB"/>
        </w:rPr>
      </w:pPr>
    </w:p>
    <w:p w14:paraId="2C501893" w14:textId="77777777" w:rsidR="006C03D0" w:rsidRPr="00164719" w:rsidRDefault="006C03D0" w:rsidP="00FC447D">
      <w:pPr>
        <w:jc w:val="both"/>
        <w:rPr>
          <w:b/>
          <w:sz w:val="24"/>
          <w:lang w:val="en-GB"/>
        </w:rPr>
      </w:pPr>
    </w:p>
    <w:p w14:paraId="1E4A42E7" w14:textId="77777777" w:rsidR="004B5F68" w:rsidRPr="00164719" w:rsidRDefault="004B5F68" w:rsidP="00FC447D">
      <w:pPr>
        <w:jc w:val="both"/>
        <w:rPr>
          <w:b/>
          <w:sz w:val="24"/>
          <w:lang w:val="en-GB"/>
        </w:rPr>
      </w:pPr>
    </w:p>
    <w:p w14:paraId="21F54B9F" w14:textId="77777777" w:rsidR="008A5EFB" w:rsidRPr="00164719" w:rsidRDefault="008A5EFB" w:rsidP="00FC447D">
      <w:pPr>
        <w:jc w:val="both"/>
        <w:rPr>
          <w:b/>
          <w:szCs w:val="20"/>
          <w:lang w:val="en-GB"/>
        </w:rPr>
      </w:pPr>
    </w:p>
    <w:p w14:paraId="5A62D2F9" w14:textId="77777777" w:rsidR="008A5EFB" w:rsidRPr="00164719" w:rsidRDefault="008A5EFB" w:rsidP="00FC447D">
      <w:pPr>
        <w:jc w:val="both"/>
        <w:rPr>
          <w:b/>
          <w:szCs w:val="20"/>
          <w:lang w:val="en-GB"/>
        </w:rPr>
      </w:pPr>
    </w:p>
    <w:p w14:paraId="1C448DD9" w14:textId="77777777" w:rsidR="008A5EFB" w:rsidRPr="00164719" w:rsidRDefault="008A5EFB" w:rsidP="00FC447D">
      <w:pPr>
        <w:jc w:val="both"/>
        <w:rPr>
          <w:b/>
          <w:szCs w:val="20"/>
          <w:lang w:val="en-GB"/>
        </w:rPr>
      </w:pPr>
    </w:p>
    <w:p w14:paraId="2A581427" w14:textId="77777777" w:rsidR="00C91B32" w:rsidRPr="00164719" w:rsidRDefault="00C91B32" w:rsidP="00FC447D">
      <w:pPr>
        <w:jc w:val="both"/>
        <w:rPr>
          <w:b/>
          <w:szCs w:val="20"/>
          <w:lang w:val="en-GB"/>
        </w:rPr>
      </w:pPr>
    </w:p>
    <w:p w14:paraId="7FB524C9" w14:textId="77777777" w:rsidR="00C91B32" w:rsidRPr="00164719" w:rsidRDefault="00C91B32" w:rsidP="00FC447D">
      <w:pPr>
        <w:jc w:val="both"/>
        <w:rPr>
          <w:b/>
          <w:szCs w:val="20"/>
          <w:lang w:val="en-GB"/>
        </w:rPr>
      </w:pPr>
    </w:p>
    <w:p w14:paraId="48B513E8" w14:textId="2A387D4A" w:rsidR="001439F0" w:rsidRPr="00164719" w:rsidRDefault="009762C7" w:rsidP="001439F0">
      <w:pPr>
        <w:pStyle w:val="Reporttitledescription"/>
        <w:rPr>
          <w:color w:val="auto"/>
          <w:lang w:val="en-GB"/>
        </w:rPr>
      </w:pPr>
      <w:r w:rsidRPr="00164719">
        <w:rPr>
          <w:color w:val="auto"/>
          <w:lang w:val="en-GB"/>
        </w:rPr>
        <w:fldChar w:fldCharType="begin">
          <w:ffData>
            <w:name w:val="Text7"/>
            <w:enabled/>
            <w:calcOnExit w:val="0"/>
            <w:textInput>
              <w:default w:val="Harmonised technical conditions for Mobile/Fixed Communications Networks (MFCN) in the band 40.5-43.5 GHz"/>
            </w:textInput>
          </w:ffData>
        </w:fldChar>
      </w:r>
      <w:bookmarkStart w:id="0" w:name="Text7"/>
      <w:r w:rsidRPr="00164719">
        <w:rPr>
          <w:color w:val="auto"/>
          <w:lang w:val="en-GB"/>
        </w:rPr>
        <w:instrText xml:space="preserve"> FORMTEXT </w:instrText>
      </w:r>
      <w:r w:rsidRPr="00164719">
        <w:rPr>
          <w:color w:val="auto"/>
          <w:lang w:val="en-GB"/>
        </w:rPr>
      </w:r>
      <w:r w:rsidRPr="00164719">
        <w:rPr>
          <w:color w:val="auto"/>
          <w:lang w:val="en-GB"/>
        </w:rPr>
        <w:fldChar w:fldCharType="separate"/>
      </w:r>
      <w:r w:rsidRPr="00164719">
        <w:rPr>
          <w:noProof/>
          <w:color w:val="auto"/>
          <w:lang w:val="en-GB"/>
        </w:rPr>
        <w:t>Harmonised technical conditions for Mobile/Fixed Communications Networks (MFCN) in the band 40.5-43.5 GHz</w:t>
      </w:r>
      <w:r w:rsidRPr="00164719">
        <w:rPr>
          <w:color w:val="auto"/>
          <w:lang w:val="en-GB"/>
        </w:rPr>
        <w:fldChar w:fldCharType="end"/>
      </w:r>
      <w:bookmarkEnd w:id="0"/>
      <w:r w:rsidR="001439F0" w:rsidRPr="00164719">
        <w:rPr>
          <w:color w:val="auto"/>
          <w:lang w:val="en-GB"/>
        </w:rPr>
        <w:t xml:space="preserve"> </w:t>
      </w:r>
    </w:p>
    <w:p w14:paraId="391836EC" w14:textId="77672706" w:rsidR="00685262" w:rsidRPr="00164719" w:rsidRDefault="00F741E4" w:rsidP="00685262">
      <w:pPr>
        <w:pStyle w:val="Reporttitledescription"/>
        <w:jc w:val="both"/>
        <w:rPr>
          <w:b/>
          <w:color w:val="auto"/>
          <w:sz w:val="18"/>
          <w:lang w:val="en-GB"/>
        </w:rPr>
      </w:pPr>
      <w:r>
        <w:rPr>
          <w:b/>
          <w:color w:val="auto"/>
          <w:sz w:val="18"/>
          <w:lang w:val="en-GB"/>
        </w:rPr>
        <w:fldChar w:fldCharType="begin">
          <w:ffData>
            <w:name w:val="Text8"/>
            <w:enabled/>
            <w:calcOnExit w:val="0"/>
            <w:textInput>
              <w:default w:val="approved 18 November 2022"/>
            </w:textInput>
          </w:ffData>
        </w:fldChar>
      </w:r>
      <w:r>
        <w:rPr>
          <w:b/>
          <w:color w:val="auto"/>
          <w:sz w:val="18"/>
          <w:lang w:val="en-GB"/>
        </w:rPr>
        <w:instrText xml:space="preserve"> </w:instrText>
      </w:r>
      <w:bookmarkStart w:id="1"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approved 18 November 2022</w:t>
      </w:r>
      <w:r>
        <w:rPr>
          <w:b/>
          <w:color w:val="auto"/>
          <w:sz w:val="18"/>
          <w:lang w:val="en-GB"/>
        </w:rPr>
        <w:fldChar w:fldCharType="end"/>
      </w:r>
      <w:bookmarkEnd w:id="1"/>
    </w:p>
    <w:p w14:paraId="0085F69C" w14:textId="57262FF9" w:rsidR="001439F0" w:rsidRPr="00164719" w:rsidRDefault="00685262" w:rsidP="001439F0">
      <w:pPr>
        <w:pStyle w:val="Lastupdated"/>
        <w:rPr>
          <w:b/>
          <w:lang w:val="en-GB"/>
        </w:rPr>
      </w:pPr>
      <w:r w:rsidRPr="00164719">
        <w:rPr>
          <w:b/>
          <w:lang w:val="en-GB"/>
        </w:rPr>
        <w:fldChar w:fldCharType="begin">
          <w:ffData>
            <w:name w:val="Text3"/>
            <w:enabled/>
            <w:calcOnExit w:val="0"/>
            <w:textInput/>
          </w:ffData>
        </w:fldChar>
      </w:r>
      <w:bookmarkStart w:id="2" w:name="Text3"/>
      <w:r w:rsidRPr="00164719">
        <w:rPr>
          <w:b/>
          <w:lang w:val="en-GB"/>
        </w:rPr>
        <w:instrText xml:space="preserve"> FORMTEXT </w:instrText>
      </w:r>
      <w:r w:rsidRPr="00164719">
        <w:rPr>
          <w:b/>
          <w:lang w:val="en-GB"/>
        </w:rPr>
      </w:r>
      <w:r w:rsidRPr="00164719">
        <w:rPr>
          <w:b/>
          <w:lang w:val="en-GB"/>
        </w:rPr>
        <w:fldChar w:fldCharType="separate"/>
      </w:r>
      <w:r w:rsidRPr="00164719">
        <w:rPr>
          <w:b/>
          <w:noProof/>
          <w:lang w:val="en-GB"/>
        </w:rPr>
        <w:t> </w:t>
      </w:r>
      <w:r w:rsidRPr="00164719">
        <w:rPr>
          <w:b/>
          <w:noProof/>
          <w:lang w:val="en-GB"/>
        </w:rPr>
        <w:t> </w:t>
      </w:r>
      <w:r w:rsidRPr="00164719">
        <w:rPr>
          <w:b/>
          <w:noProof/>
          <w:lang w:val="en-GB"/>
        </w:rPr>
        <w:t> </w:t>
      </w:r>
      <w:r w:rsidRPr="00164719">
        <w:rPr>
          <w:b/>
          <w:noProof/>
          <w:lang w:val="en-GB"/>
        </w:rPr>
        <w:t> </w:t>
      </w:r>
      <w:r w:rsidRPr="00164719">
        <w:rPr>
          <w:b/>
          <w:noProof/>
          <w:lang w:val="en-GB"/>
        </w:rPr>
        <w:t> </w:t>
      </w:r>
      <w:r w:rsidRPr="00164719">
        <w:rPr>
          <w:b/>
          <w:lang w:val="en-GB"/>
        </w:rPr>
        <w:fldChar w:fldCharType="end"/>
      </w:r>
      <w:bookmarkEnd w:id="2"/>
    </w:p>
    <w:p w14:paraId="08A67BC6" w14:textId="7C4EEBA9" w:rsidR="006C03D0" w:rsidRPr="00164719" w:rsidRDefault="00F72335" w:rsidP="00827DA2">
      <w:pPr>
        <w:pStyle w:val="Heading1"/>
      </w:pPr>
      <w:r w:rsidRPr="00164719">
        <w:lastRenderedPageBreak/>
        <w:t>Explanatory Memorandum</w:t>
      </w:r>
    </w:p>
    <w:p w14:paraId="75E71AFE" w14:textId="77777777" w:rsidR="006C03D0" w:rsidRPr="00164719" w:rsidRDefault="005F7AD5" w:rsidP="002261DD">
      <w:pPr>
        <w:pStyle w:val="Heading2"/>
        <w:rPr>
          <w:lang w:val="en-GB"/>
        </w:rPr>
      </w:pPr>
      <w:r w:rsidRPr="00164719">
        <w:rPr>
          <w:lang w:val="en-GB"/>
        </w:rPr>
        <w:t>INTRODUCTION</w:t>
      </w:r>
    </w:p>
    <w:p w14:paraId="3E0367BA" w14:textId="07E221FF" w:rsidR="001C4588" w:rsidRPr="00164719" w:rsidRDefault="001C4588">
      <w:pPr>
        <w:pStyle w:val="ECCParagraph"/>
      </w:pPr>
      <w:r w:rsidRPr="00164719">
        <w:t>This ECC Decision on harmonised technical conditions for mobile/fixed communications networks (MFCN) in the 40 GHz (40.5-43.5 GHz) band reflects the objective of CEPT to harmonise the 40.5-43.5 GHz band for Europe</w:t>
      </w:r>
      <w:r w:rsidR="00A50031" w:rsidRPr="00164719">
        <w:t>.</w:t>
      </w:r>
    </w:p>
    <w:p w14:paraId="23AF2250" w14:textId="77777777" w:rsidR="006C03D0" w:rsidRPr="00164719" w:rsidRDefault="001C4588">
      <w:pPr>
        <w:pStyle w:val="ECCParagraph"/>
      </w:pPr>
      <w:r w:rsidRPr="00164719">
        <w:t>Studies have taken into account the compatibility with and protection of all existing services, including their future deployments, in the same and adjacent frequency bands.</w:t>
      </w:r>
    </w:p>
    <w:p w14:paraId="10C42571" w14:textId="77777777" w:rsidR="006C03D0" w:rsidRPr="00164719" w:rsidRDefault="005F7AD5" w:rsidP="002261DD">
      <w:pPr>
        <w:pStyle w:val="Heading2"/>
        <w:rPr>
          <w:lang w:val="en-GB"/>
        </w:rPr>
      </w:pPr>
      <w:r w:rsidRPr="00164719">
        <w:rPr>
          <w:lang w:val="en-GB"/>
        </w:rPr>
        <w:t xml:space="preserve">BACKGROUND </w:t>
      </w:r>
    </w:p>
    <w:p w14:paraId="4FDD1360" w14:textId="557C85A7" w:rsidR="00D661AE" w:rsidRPr="00164719" w:rsidRDefault="00D661AE">
      <w:pPr>
        <w:pStyle w:val="ECCParagraph"/>
      </w:pPr>
      <w:r w:rsidRPr="00164719">
        <w:t xml:space="preserve">CEPT recognises the importance of a harmonised frequency arrangement for MFCN and the need of common and minimal </w:t>
      </w:r>
      <w:r w:rsidR="002A7E8B" w:rsidRPr="00164719">
        <w:t xml:space="preserve">least restrictive technical conditions </w:t>
      </w:r>
      <w:r w:rsidRPr="00164719">
        <w:t>(LRTC) for MFCN in the band 4</w:t>
      </w:r>
      <w:r w:rsidR="00385AE9" w:rsidRPr="00164719">
        <w:t>0</w:t>
      </w:r>
      <w:r w:rsidRPr="00164719">
        <w:t>.5-</w:t>
      </w:r>
      <w:r w:rsidR="00385AE9" w:rsidRPr="00164719">
        <w:t>43</w:t>
      </w:r>
      <w:r w:rsidRPr="00164719">
        <w:t>.5 GHz, including to ensure protection of other services and applications.</w:t>
      </w:r>
    </w:p>
    <w:p w14:paraId="6F3D33F9" w14:textId="77777777" w:rsidR="00D661AE" w:rsidRPr="00164719" w:rsidRDefault="00D661AE" w:rsidP="005C4BB9">
      <w:pPr>
        <w:pStyle w:val="ECCParagraph"/>
        <w:spacing w:before="240" w:after="60"/>
      </w:pPr>
      <w:r w:rsidRPr="00164719">
        <w:t>The following principles have been considered to define the MFCN frequency arrangement:</w:t>
      </w:r>
    </w:p>
    <w:p w14:paraId="19FFB917" w14:textId="77777777" w:rsidR="00D661AE" w:rsidRPr="00164719" w:rsidRDefault="00D661AE">
      <w:pPr>
        <w:pStyle w:val="ECCParBulleted"/>
      </w:pPr>
      <w:r w:rsidRPr="00164719">
        <w:t>Facilitating roaming and cross-border coordination to achieve global economies of scale for equipment;</w:t>
      </w:r>
    </w:p>
    <w:p w14:paraId="026C74E9" w14:textId="77777777" w:rsidR="00D661AE" w:rsidRPr="00164719" w:rsidRDefault="00D661AE" w:rsidP="00FC447D">
      <w:pPr>
        <w:pStyle w:val="ECCParBulleted"/>
      </w:pPr>
      <w:r w:rsidRPr="00164719">
        <w:t xml:space="preserve">Use of a 200 MHz block size approach which is in line with the mobile systems foreseen to be used in the </w:t>
      </w:r>
      <w:r w:rsidR="00464269" w:rsidRPr="00164719">
        <w:t>40</w:t>
      </w:r>
      <w:r w:rsidR="00FB0B89" w:rsidRPr="00164719">
        <w:t>.5-43.5</w:t>
      </w:r>
      <w:r w:rsidRPr="00164719">
        <w:t> GHz band;</w:t>
      </w:r>
    </w:p>
    <w:p w14:paraId="15CDC20C" w14:textId="77777777" w:rsidR="00D661AE" w:rsidRPr="00164719" w:rsidRDefault="00D661AE">
      <w:pPr>
        <w:pStyle w:val="ECCParBulleted"/>
        <w:spacing w:after="240"/>
        <w:ind w:left="357" w:hanging="357"/>
      </w:pPr>
      <w:r w:rsidRPr="00164719">
        <w:t>Spectrum efficiency and high level of flexibility in order to adapt to national circumstances as well as to meet the changing need and demand for capacity in time and geography.</w:t>
      </w:r>
    </w:p>
    <w:p w14:paraId="119A1112" w14:textId="34B345E1" w:rsidR="00BB3825" w:rsidRPr="00164719" w:rsidRDefault="00D661AE" w:rsidP="00584D88">
      <w:pPr>
        <w:pStyle w:val="ECCParagraph"/>
        <w:spacing w:before="240" w:after="60"/>
      </w:pPr>
      <w:r w:rsidRPr="00164719">
        <w:t xml:space="preserve">The implementation of this ECC Decision will encompass different stages at the national level e.g. </w:t>
      </w:r>
      <w:r w:rsidR="00444C43" w:rsidRPr="00164719">
        <w:t xml:space="preserve">update of </w:t>
      </w:r>
      <w:r w:rsidRPr="00164719">
        <w:t xml:space="preserve">national </w:t>
      </w:r>
      <w:r w:rsidR="002C0CB3" w:rsidRPr="00164719">
        <w:t>frequency allocation table</w:t>
      </w:r>
      <w:r w:rsidR="00444C43" w:rsidRPr="00164719">
        <w:t xml:space="preserve">, </w:t>
      </w:r>
      <w:r w:rsidRPr="00164719">
        <w:t>national</w:t>
      </w:r>
      <w:r w:rsidR="00444C43" w:rsidRPr="00164719">
        <w:t xml:space="preserve"> studies and</w:t>
      </w:r>
      <w:r w:rsidRPr="00164719">
        <w:t xml:space="preserve"> consultation processes</w:t>
      </w:r>
      <w:r w:rsidR="00996BB2" w:rsidRPr="00164719">
        <w:t>,</w:t>
      </w:r>
      <w:r w:rsidRPr="00164719">
        <w:t xml:space="preserve"> and update of existing authorisations </w:t>
      </w:r>
      <w:r w:rsidR="00365BC3" w:rsidRPr="00164719">
        <w:t xml:space="preserve">for </w:t>
      </w:r>
      <w:r w:rsidR="007E6120" w:rsidRPr="00164719">
        <w:t xml:space="preserve">fixed services </w:t>
      </w:r>
      <w:r w:rsidRPr="00164719">
        <w:t>as required</w:t>
      </w:r>
      <w:r w:rsidR="00996BB2" w:rsidRPr="00164719">
        <w:t xml:space="preserve">, </w:t>
      </w:r>
      <w:r w:rsidRPr="00164719">
        <w:t xml:space="preserve">with a varying complexity depending on the legal and regulatory framework of each country. The harmonised technical conditions for MFCN set out in this </w:t>
      </w:r>
      <w:r w:rsidR="00A54CC5" w:rsidRPr="00164719">
        <w:t>D</w:t>
      </w:r>
      <w:r w:rsidRPr="00164719">
        <w:t xml:space="preserve">ecision have been developed </w:t>
      </w:r>
      <w:r w:rsidR="00BC1BE4" w:rsidRPr="00164719">
        <w:t xml:space="preserve">assuming an authorisation </w:t>
      </w:r>
      <w:r w:rsidR="002C559E" w:rsidRPr="00164719">
        <w:t>regime</w:t>
      </w:r>
      <w:r w:rsidR="00BC1BE4" w:rsidRPr="00164719">
        <w:t xml:space="preserve"> where the </w:t>
      </w:r>
      <w:r w:rsidR="00987E53" w:rsidRPr="00164719">
        <w:t xml:space="preserve">base station </w:t>
      </w:r>
      <w:r w:rsidR="00BC1BE4" w:rsidRPr="00164719">
        <w:t>location</w:t>
      </w:r>
      <w:r w:rsidR="00987E53" w:rsidRPr="00164719">
        <w:t>s</w:t>
      </w:r>
      <w:r w:rsidR="00BC1BE4" w:rsidRPr="00164719">
        <w:t xml:space="preserve"> are known.</w:t>
      </w:r>
      <w:r w:rsidRPr="00164719">
        <w:t xml:space="preserve"> </w:t>
      </w:r>
      <w:r w:rsidR="00CC178D" w:rsidRPr="00164719">
        <w:t xml:space="preserve">This Decision includes also </w:t>
      </w:r>
      <w:r w:rsidR="00CC2ADA" w:rsidRPr="00164719">
        <w:t xml:space="preserve">additional technical measures to be considered on </w:t>
      </w:r>
      <w:r w:rsidR="007E6120" w:rsidRPr="00164719">
        <w:t xml:space="preserve">a </w:t>
      </w:r>
      <w:r w:rsidR="00CC2ADA" w:rsidRPr="00164719">
        <w:t xml:space="preserve">national basis for authorisation regimes where </w:t>
      </w:r>
      <w:r w:rsidR="007A1780" w:rsidRPr="00164719">
        <w:t>the location</w:t>
      </w:r>
      <w:r w:rsidR="00A54CC5" w:rsidRPr="00164719">
        <w:t>s</w:t>
      </w:r>
      <w:r w:rsidR="007A1780" w:rsidRPr="00164719">
        <w:t xml:space="preserve"> of base stations are not known</w:t>
      </w:r>
      <w:r w:rsidR="00644729" w:rsidRPr="00164719">
        <w:t xml:space="preserve"> in advance of instal</w:t>
      </w:r>
      <w:r w:rsidR="00A54CC5" w:rsidRPr="00164719">
        <w:t>l</w:t>
      </w:r>
      <w:r w:rsidR="00644729" w:rsidRPr="00164719">
        <w:t>ation</w:t>
      </w:r>
      <w:r w:rsidR="00CC2ADA" w:rsidRPr="00164719">
        <w:t>, in order</w:t>
      </w:r>
      <w:r w:rsidR="007A1780" w:rsidRPr="00164719">
        <w:t xml:space="preserve"> to ensure that the harmonised technical conditions</w:t>
      </w:r>
      <w:r w:rsidR="00023C69" w:rsidRPr="00164719">
        <w:t>/LRTC (</w:t>
      </w:r>
      <w:r w:rsidR="00457738" w:rsidRPr="00164719">
        <w:rPr>
          <w:sz w:val="19"/>
          <w:szCs w:val="19"/>
        </w:rPr>
        <w:fldChar w:fldCharType="begin"/>
      </w:r>
      <w:r w:rsidR="00457738" w:rsidRPr="00164719">
        <w:rPr>
          <w:sz w:val="19"/>
          <w:szCs w:val="19"/>
        </w:rPr>
        <w:instrText xml:space="preserve"> REF _Ref103592490 \r \h </w:instrText>
      </w:r>
      <w:r w:rsidR="00457738" w:rsidRPr="00164719">
        <w:rPr>
          <w:sz w:val="19"/>
          <w:szCs w:val="19"/>
        </w:rPr>
      </w:r>
      <w:r w:rsidR="00457738" w:rsidRPr="00164719">
        <w:rPr>
          <w:sz w:val="19"/>
          <w:szCs w:val="19"/>
        </w:rPr>
        <w:fldChar w:fldCharType="separate"/>
      </w:r>
      <w:r w:rsidR="00457738" w:rsidRPr="00164719">
        <w:rPr>
          <w:sz w:val="19"/>
          <w:szCs w:val="19"/>
        </w:rPr>
        <w:t>A</w:t>
      </w:r>
      <w:r w:rsidR="00772B45" w:rsidRPr="00164719">
        <w:rPr>
          <w:sz w:val="19"/>
          <w:szCs w:val="19"/>
        </w:rPr>
        <w:t>nnex</w:t>
      </w:r>
      <w:r w:rsidR="00457738" w:rsidRPr="00164719">
        <w:rPr>
          <w:sz w:val="19"/>
          <w:szCs w:val="19"/>
        </w:rPr>
        <w:t xml:space="preserve"> 2</w:t>
      </w:r>
      <w:r w:rsidR="00457738" w:rsidRPr="00164719">
        <w:rPr>
          <w:sz w:val="19"/>
          <w:szCs w:val="19"/>
        </w:rPr>
        <w:fldChar w:fldCharType="end"/>
      </w:r>
      <w:r w:rsidR="00023C69" w:rsidRPr="00164719">
        <w:t>)</w:t>
      </w:r>
      <w:r w:rsidR="007A1780" w:rsidRPr="00164719">
        <w:t xml:space="preserve"> in this Decision are met.</w:t>
      </w:r>
    </w:p>
    <w:p w14:paraId="5E8D8753" w14:textId="1E82869D" w:rsidR="005B049E" w:rsidRPr="00164719" w:rsidRDefault="00BB3825" w:rsidP="00584D88">
      <w:pPr>
        <w:spacing w:before="240" w:after="60"/>
        <w:jc w:val="both"/>
        <w:rPr>
          <w:lang w:val="en-GB"/>
        </w:rPr>
      </w:pPr>
      <w:r w:rsidRPr="00164719">
        <w:rPr>
          <w:lang w:val="en-GB"/>
        </w:rPr>
        <w:t>WRC-19 identified the frequency band 40.5-43.5</w:t>
      </w:r>
      <w:r w:rsidR="00FD325D" w:rsidRPr="00164719">
        <w:rPr>
          <w:lang w:val="en-GB"/>
        </w:rPr>
        <w:t xml:space="preserve"> </w:t>
      </w:r>
      <w:r w:rsidRPr="00164719">
        <w:rPr>
          <w:lang w:val="en-GB"/>
        </w:rPr>
        <w:t>GHz for IMT on a global basis.</w:t>
      </w:r>
      <w:r w:rsidR="005D3F4B" w:rsidRPr="00164719">
        <w:rPr>
          <w:lang w:val="en-GB"/>
        </w:rPr>
        <w:t xml:space="preserve"> </w:t>
      </w:r>
      <w:r w:rsidRPr="00164719">
        <w:rPr>
          <w:lang w:val="en-GB"/>
        </w:rPr>
        <w:t xml:space="preserve">In March 2020, CEPT decided to develop a new ECC Decision </w:t>
      </w:r>
      <w:r w:rsidR="005B049E" w:rsidRPr="00164719">
        <w:rPr>
          <w:lang w:val="en-GB"/>
        </w:rPr>
        <w:t>to harmonise the</w:t>
      </w:r>
      <w:r w:rsidR="005B049E" w:rsidRPr="00164719" w:rsidDel="005B049E">
        <w:rPr>
          <w:lang w:val="en-GB"/>
        </w:rPr>
        <w:t xml:space="preserve"> </w:t>
      </w:r>
      <w:r w:rsidRPr="00164719">
        <w:rPr>
          <w:lang w:val="en-GB"/>
        </w:rPr>
        <w:t xml:space="preserve">frequency band 40.5-43.5 GHz for MFCN. The harmonisation </w:t>
      </w:r>
      <w:r w:rsidR="005B049E" w:rsidRPr="00164719">
        <w:rPr>
          <w:lang w:val="en-GB"/>
        </w:rPr>
        <w:t xml:space="preserve">measures </w:t>
      </w:r>
      <w:r w:rsidRPr="00164719">
        <w:rPr>
          <w:lang w:val="en-GB"/>
        </w:rPr>
        <w:t>compris</w:t>
      </w:r>
      <w:r w:rsidR="005B049E" w:rsidRPr="00164719">
        <w:rPr>
          <w:lang w:val="en-GB"/>
        </w:rPr>
        <w:t>e</w:t>
      </w:r>
      <w:r w:rsidR="00A54CC5" w:rsidRPr="00164719">
        <w:rPr>
          <w:lang w:val="en-GB"/>
        </w:rPr>
        <w:t xml:space="preserve"> of</w:t>
      </w:r>
      <w:r w:rsidRPr="00164719">
        <w:rPr>
          <w:lang w:val="en-GB"/>
        </w:rPr>
        <w:t xml:space="preserve"> a band plan and technical conditions suitable </w:t>
      </w:r>
      <w:r w:rsidR="00447625" w:rsidRPr="00164719">
        <w:rPr>
          <w:lang w:val="en-GB"/>
        </w:rPr>
        <w:t>for next generation terrestrial wireless systems</w:t>
      </w:r>
      <w:r w:rsidRPr="00164719">
        <w:rPr>
          <w:lang w:val="en-GB"/>
        </w:rPr>
        <w:t xml:space="preserve">, taking into account the applications according to ERC Report 25 (ECA </w:t>
      </w:r>
      <w:r w:rsidR="009E4005" w:rsidRPr="00164719">
        <w:rPr>
          <w:lang w:val="en-GB"/>
        </w:rPr>
        <w:t>Table</w:t>
      </w:r>
      <w:r w:rsidRPr="00164719">
        <w:rPr>
          <w:lang w:val="en-GB"/>
        </w:rPr>
        <w:t>)</w:t>
      </w:r>
      <w:r w:rsidR="00631C1E" w:rsidRPr="00164719">
        <w:rPr>
          <w:lang w:val="en-GB"/>
        </w:rPr>
        <w:t xml:space="preserve"> </w:t>
      </w:r>
      <w:r w:rsidR="00631C1E" w:rsidRPr="00164719">
        <w:rPr>
          <w:lang w:val="en-GB"/>
        </w:rPr>
        <w:fldChar w:fldCharType="begin"/>
      </w:r>
      <w:r w:rsidR="00631C1E" w:rsidRPr="00164719">
        <w:rPr>
          <w:lang w:val="en-GB"/>
        </w:rPr>
        <w:instrText xml:space="preserve"> REF _Ref104213269 \r \h </w:instrText>
      </w:r>
      <w:r w:rsidR="00557052" w:rsidRPr="00164719">
        <w:rPr>
          <w:lang w:val="en-GB"/>
        </w:rPr>
        <w:instrText xml:space="preserve"> \* MERGEFORMAT </w:instrText>
      </w:r>
      <w:r w:rsidR="00631C1E" w:rsidRPr="00164719">
        <w:rPr>
          <w:lang w:val="en-GB"/>
        </w:rPr>
      </w:r>
      <w:r w:rsidR="00631C1E" w:rsidRPr="00164719">
        <w:rPr>
          <w:lang w:val="en-GB"/>
        </w:rPr>
        <w:fldChar w:fldCharType="separate"/>
      </w:r>
      <w:r w:rsidR="004423E5" w:rsidRPr="00164719">
        <w:rPr>
          <w:lang w:val="en-GB"/>
        </w:rPr>
        <w:t>[1]</w:t>
      </w:r>
      <w:r w:rsidR="00631C1E" w:rsidRPr="00164719">
        <w:rPr>
          <w:lang w:val="en-GB"/>
        </w:rPr>
        <w:fldChar w:fldCharType="end"/>
      </w:r>
      <w:r w:rsidRPr="00164719">
        <w:rPr>
          <w:lang w:val="en-GB"/>
        </w:rPr>
        <w:t>.</w:t>
      </w:r>
    </w:p>
    <w:p w14:paraId="299A6813" w14:textId="72C0606A" w:rsidR="00100A4E" w:rsidRPr="00164719" w:rsidRDefault="00100A4E" w:rsidP="00584D88">
      <w:pPr>
        <w:spacing w:before="240" w:after="60"/>
        <w:jc w:val="both"/>
        <w:rPr>
          <w:lang w:val="en-GB"/>
        </w:rPr>
      </w:pPr>
      <w:r w:rsidRPr="00164719">
        <w:rPr>
          <w:lang w:val="en-GB"/>
        </w:rPr>
        <w:t>In the 40</w:t>
      </w:r>
      <w:r w:rsidR="009E19F3" w:rsidRPr="00164719">
        <w:rPr>
          <w:lang w:val="en-GB"/>
        </w:rPr>
        <w:t>.5</w:t>
      </w:r>
      <w:r w:rsidR="00B31A23" w:rsidRPr="00164719">
        <w:rPr>
          <w:lang w:val="en-GB"/>
        </w:rPr>
        <w:t>-</w:t>
      </w:r>
      <w:r w:rsidR="009E19F3" w:rsidRPr="00164719">
        <w:rPr>
          <w:lang w:val="en-GB"/>
        </w:rPr>
        <w:t>43.5</w:t>
      </w:r>
      <w:r w:rsidRPr="00164719">
        <w:rPr>
          <w:lang w:val="en-GB"/>
        </w:rPr>
        <w:t xml:space="preserve"> GHz band, MFCN will support mainly urban and suburban hotspot areas. The deployment of MFCN is expected to target only cells with a small range. Due to the characteristics of this frequency band, there is no expectation that it will be used for contiguous wide/nationwide coverage of MFCN networks areas. </w:t>
      </w:r>
      <w:r w:rsidR="000D3528" w:rsidRPr="00164719">
        <w:rPr>
          <w:rFonts w:cstheme="minorHAnsi"/>
          <w:lang w:val="en-GB"/>
        </w:rPr>
        <w:t>Almost</w:t>
      </w:r>
      <w:r w:rsidR="00B91B05" w:rsidRPr="00164719">
        <w:rPr>
          <w:rFonts w:cstheme="minorHAnsi"/>
          <w:lang w:val="en-GB"/>
        </w:rPr>
        <w:t xml:space="preserve"> no MFCN deployment is expected in the 40 GHz band in rural areas and therefore this scenario has not been studied by CEPT</w:t>
      </w:r>
      <w:r w:rsidR="00447625" w:rsidRPr="00164719">
        <w:rPr>
          <w:rFonts w:cstheme="minorHAnsi"/>
          <w:lang w:val="en-GB"/>
        </w:rPr>
        <w:t>.</w:t>
      </w:r>
      <w:r w:rsidR="00B91B05" w:rsidRPr="00164719">
        <w:rPr>
          <w:lang w:val="en-GB"/>
        </w:rPr>
        <w:t xml:space="preserve"> </w:t>
      </w:r>
      <w:r w:rsidRPr="00164719">
        <w:rPr>
          <w:lang w:val="en-GB"/>
        </w:rPr>
        <w:t>There may be a need for a limited number of hotspots in rural areas. MFCN networks at 40 GHz could be deployed indoor and outdoor.</w:t>
      </w:r>
    </w:p>
    <w:p w14:paraId="022BB85C" w14:textId="0E15BB51" w:rsidR="0053172C" w:rsidRPr="00164719" w:rsidRDefault="00100A4E" w:rsidP="00584D88">
      <w:pPr>
        <w:spacing w:before="240" w:after="60"/>
        <w:ind w:left="37"/>
        <w:jc w:val="both"/>
        <w:rPr>
          <w:lang w:val="en-GB"/>
        </w:rPr>
      </w:pPr>
      <w:r w:rsidRPr="00164719">
        <w:rPr>
          <w:lang w:val="en-GB"/>
        </w:rPr>
        <w:t xml:space="preserve">Based on the harmonised technical conditions included in this ECC </w:t>
      </w:r>
      <w:r w:rsidR="00A54CC5" w:rsidRPr="00164719">
        <w:rPr>
          <w:lang w:val="en-GB"/>
        </w:rPr>
        <w:t>D</w:t>
      </w:r>
      <w:r w:rsidRPr="00164719">
        <w:rPr>
          <w:lang w:val="en-GB"/>
        </w:rPr>
        <w:t xml:space="preserve">ecision, coexistence with the FSS, the FS and </w:t>
      </w:r>
      <w:r w:rsidR="00C457BD" w:rsidRPr="00164719">
        <w:rPr>
          <w:lang w:val="en-GB"/>
        </w:rPr>
        <w:t>RAS</w:t>
      </w:r>
      <w:r w:rsidR="00C279C3" w:rsidRPr="00164719">
        <w:rPr>
          <w:lang w:val="en-GB"/>
        </w:rPr>
        <w:t xml:space="preserve"> in the same band</w:t>
      </w:r>
      <w:r w:rsidRPr="00164719">
        <w:rPr>
          <w:lang w:val="en-GB"/>
        </w:rPr>
        <w:t xml:space="preserve"> </w:t>
      </w:r>
      <w:r w:rsidR="00C279C3" w:rsidRPr="00164719">
        <w:rPr>
          <w:lang w:val="en-GB"/>
        </w:rPr>
        <w:t>is</w:t>
      </w:r>
      <w:r w:rsidRPr="00164719">
        <w:rPr>
          <w:lang w:val="en-GB"/>
        </w:rPr>
        <w:t xml:space="preserve"> feasible when considering assumed technical and operational characteristics for </w:t>
      </w:r>
      <w:r w:rsidR="00EF7F23" w:rsidRPr="00164719">
        <w:rPr>
          <w:lang w:val="en-GB"/>
        </w:rPr>
        <w:t xml:space="preserve">terrestrial </w:t>
      </w:r>
      <w:r w:rsidRPr="00164719">
        <w:rPr>
          <w:lang w:val="en-GB"/>
        </w:rPr>
        <w:t>MFCN</w:t>
      </w:r>
      <w:r w:rsidR="003D466B" w:rsidRPr="00164719">
        <w:rPr>
          <w:lang w:val="en-GB"/>
        </w:rPr>
        <w:t xml:space="preserve"> and should be managed at national level</w:t>
      </w:r>
      <w:r w:rsidRPr="00164719">
        <w:rPr>
          <w:lang w:val="en-GB"/>
        </w:rPr>
        <w:t xml:space="preserve">. </w:t>
      </w:r>
      <w:r w:rsidR="00C279C3" w:rsidRPr="00164719">
        <w:rPr>
          <w:lang w:val="en-GB"/>
        </w:rPr>
        <w:t>Additional national measures</w:t>
      </w:r>
      <w:r w:rsidR="009B19B4" w:rsidRPr="00164719">
        <w:rPr>
          <w:lang w:val="en-GB"/>
        </w:rPr>
        <w:t xml:space="preserve"> may be needed,</w:t>
      </w:r>
      <w:r w:rsidR="00C279C3" w:rsidRPr="00164719">
        <w:rPr>
          <w:lang w:val="en-GB"/>
        </w:rPr>
        <w:t xml:space="preserve"> which do not impact </w:t>
      </w:r>
      <w:r w:rsidR="009B19B4" w:rsidRPr="00164719">
        <w:rPr>
          <w:lang w:val="en-GB"/>
        </w:rPr>
        <w:t xml:space="preserve">the </w:t>
      </w:r>
      <w:r w:rsidR="00C279C3" w:rsidRPr="00164719">
        <w:rPr>
          <w:lang w:val="en-GB"/>
        </w:rPr>
        <w:t>LRTC.</w:t>
      </w:r>
    </w:p>
    <w:p w14:paraId="2558E6C2" w14:textId="0A8F9515" w:rsidR="00AB0FDA" w:rsidRPr="00164719" w:rsidRDefault="00426958" w:rsidP="00584D88">
      <w:pPr>
        <w:pStyle w:val="ECCParagraph"/>
        <w:spacing w:before="240" w:after="60"/>
      </w:pPr>
      <w:r w:rsidRPr="00164719">
        <w:t xml:space="preserve">A review of the current and planned use of the 40.5-43.5 GHz frequency band taking into account the radio applications according to ERC Report 25 (ECA </w:t>
      </w:r>
      <w:r w:rsidR="000E5062" w:rsidRPr="00164719">
        <w:t>Table</w:t>
      </w:r>
      <w:r w:rsidRPr="00164719">
        <w:t xml:space="preserve">) was done and the results of an ECC Questionnaire from 2016 </w:t>
      </w:r>
      <w:r w:rsidR="003F2DEA" w:rsidRPr="00164719">
        <w:fldChar w:fldCharType="begin"/>
      </w:r>
      <w:r w:rsidR="003F2DEA" w:rsidRPr="00164719">
        <w:instrText xml:space="preserve"> REF _Ref111628727 \r \h </w:instrText>
      </w:r>
      <w:r w:rsidR="00557052" w:rsidRPr="00164719">
        <w:instrText xml:space="preserve"> \* MERGEFORMAT </w:instrText>
      </w:r>
      <w:r w:rsidR="003F2DEA" w:rsidRPr="00164719">
        <w:fldChar w:fldCharType="separate"/>
      </w:r>
      <w:r w:rsidR="004423E5" w:rsidRPr="00164719">
        <w:t>[2]</w:t>
      </w:r>
      <w:r w:rsidR="003F2DEA" w:rsidRPr="00164719">
        <w:fldChar w:fldCharType="end"/>
      </w:r>
      <w:r w:rsidR="003F2DEA" w:rsidRPr="00164719">
        <w:t xml:space="preserve"> </w:t>
      </w:r>
      <w:r w:rsidRPr="00164719">
        <w:t xml:space="preserve">were evaluated. No additional questionnaire was needed as the incumbent services to be protected in preparation for WRC-19 stayed the same i.e.: </w:t>
      </w:r>
      <w:r w:rsidR="000E5062" w:rsidRPr="00164719">
        <w:t xml:space="preserve">fixed </w:t>
      </w:r>
      <w:r w:rsidRPr="00164719">
        <w:t xml:space="preserve">service (FS), </w:t>
      </w:r>
      <w:r w:rsidR="000E5062" w:rsidRPr="00164719">
        <w:t xml:space="preserve">radio </w:t>
      </w:r>
      <w:r w:rsidRPr="00164719">
        <w:t xml:space="preserve">astronomy </w:t>
      </w:r>
      <w:r w:rsidR="00A25738" w:rsidRPr="00164719">
        <w:t>service</w:t>
      </w:r>
      <w:r w:rsidRPr="00164719">
        <w:t xml:space="preserve"> (RAS) and </w:t>
      </w:r>
      <w:r w:rsidR="000E5062" w:rsidRPr="00164719">
        <w:t>f</w:t>
      </w:r>
      <w:r w:rsidRPr="00164719">
        <w:t>ixed</w:t>
      </w:r>
      <w:r w:rsidR="000E5062" w:rsidRPr="00164719">
        <w:t>-s</w:t>
      </w:r>
      <w:r w:rsidRPr="00164719">
        <w:t xml:space="preserve">atellite </w:t>
      </w:r>
      <w:r w:rsidR="000E5062" w:rsidRPr="00164719">
        <w:t>s</w:t>
      </w:r>
      <w:r w:rsidRPr="00164719">
        <w:t xml:space="preserve">ervice (FSS). Depending on the national situation and according to the assumption for usage of this band in this report, a need was identified to maintain </w:t>
      </w:r>
      <w:r w:rsidRPr="00164719">
        <w:rPr>
          <w:lang w:eastAsia="zh-CN"/>
        </w:rPr>
        <w:t xml:space="preserve">appropriate provisions in </w:t>
      </w:r>
      <w:r w:rsidR="00211DD4" w:rsidRPr="00164719">
        <w:t>MFCN</w:t>
      </w:r>
      <w:r w:rsidRPr="00164719">
        <w:t xml:space="preserve"> </w:t>
      </w:r>
      <w:r w:rsidRPr="00164719">
        <w:rPr>
          <w:lang w:eastAsia="zh-CN"/>
        </w:rPr>
        <w:t xml:space="preserve">authorisation in </w:t>
      </w:r>
      <w:r w:rsidRPr="00164719">
        <w:rPr>
          <w:lang w:eastAsia="zh-CN"/>
        </w:rPr>
        <w:lastRenderedPageBreak/>
        <w:t>40.5</w:t>
      </w:r>
      <w:r w:rsidR="00850121">
        <w:rPr>
          <w:lang w:eastAsia="zh-CN"/>
        </w:rPr>
        <w:t> </w:t>
      </w:r>
      <w:r w:rsidRPr="00164719">
        <w:rPr>
          <w:lang w:eastAsia="zh-CN"/>
        </w:rPr>
        <w:t>-</w:t>
      </w:r>
      <w:r w:rsidR="00850121">
        <w:rPr>
          <w:lang w:eastAsia="zh-CN"/>
        </w:rPr>
        <w:t> </w:t>
      </w:r>
      <w:r w:rsidRPr="00164719">
        <w:rPr>
          <w:lang w:eastAsia="zh-CN"/>
        </w:rPr>
        <w:t xml:space="preserve">43.5 GHz </w:t>
      </w:r>
      <w:r w:rsidRPr="00164719">
        <w:t xml:space="preserve">for protection of fixed links and </w:t>
      </w:r>
      <w:r w:rsidR="000E5062" w:rsidRPr="00164719">
        <w:t>RAS</w:t>
      </w:r>
      <w:r w:rsidRPr="00164719">
        <w:t xml:space="preserve"> in the 42.5-43.5 GHz (see </w:t>
      </w:r>
      <w:r w:rsidR="00211DD4" w:rsidRPr="00164719">
        <w:t xml:space="preserve">CEPT Report </w:t>
      </w:r>
      <w:r w:rsidR="008422BE" w:rsidRPr="00164719">
        <w:t>82</w:t>
      </w:r>
      <w:r w:rsidR="00125172" w:rsidRPr="00164719">
        <w:t>, section 2.2</w:t>
      </w:r>
      <w:r w:rsidR="00211DD4" w:rsidRPr="00164719">
        <w:t xml:space="preserve"> </w:t>
      </w:r>
      <w:r w:rsidR="00E73B87" w:rsidRPr="00164719">
        <w:fldChar w:fldCharType="begin"/>
      </w:r>
      <w:r w:rsidR="00E73B87" w:rsidRPr="00164719">
        <w:instrText xml:space="preserve"> REF _Ref103341539 \r \h </w:instrText>
      </w:r>
      <w:r w:rsidR="00557052" w:rsidRPr="00164719">
        <w:instrText xml:space="preserve"> \* MERGEFORMAT </w:instrText>
      </w:r>
      <w:r w:rsidR="00E73B87" w:rsidRPr="00164719">
        <w:fldChar w:fldCharType="separate"/>
      </w:r>
      <w:r w:rsidR="004423E5" w:rsidRPr="00164719">
        <w:t>[3]</w:t>
      </w:r>
      <w:r w:rsidR="00E73B87" w:rsidRPr="00164719">
        <w:fldChar w:fldCharType="end"/>
      </w:r>
      <w:r w:rsidR="00E73B87" w:rsidRPr="00164719">
        <w:t xml:space="preserve"> </w:t>
      </w:r>
      <w:r w:rsidRPr="00164719">
        <w:t>the list</w:t>
      </w:r>
      <w:r w:rsidR="000E5062" w:rsidRPr="00164719">
        <w:t xml:space="preserve"> of</w:t>
      </w:r>
      <w:r w:rsidRPr="00164719">
        <w:t xml:space="preserve"> identified RAS sites). It should be noted that in some countries there are no fixed links or RAS sites. Moreover, there is also a need </w:t>
      </w:r>
      <w:r w:rsidRPr="00164719">
        <w:rPr>
          <w:lang w:eastAsia="zh-CN"/>
        </w:rPr>
        <w:t xml:space="preserve">in </w:t>
      </w:r>
      <w:r w:rsidR="00211DD4" w:rsidRPr="00164719">
        <w:t>MFCN</w:t>
      </w:r>
      <w:r w:rsidRPr="00164719">
        <w:t xml:space="preserve"> </w:t>
      </w:r>
      <w:r w:rsidRPr="00164719">
        <w:rPr>
          <w:lang w:eastAsia="zh-CN"/>
        </w:rPr>
        <w:t>authorisation</w:t>
      </w:r>
      <w:r w:rsidRPr="00164719">
        <w:t xml:space="preserve"> to maintain </w:t>
      </w:r>
      <w:r w:rsidRPr="00164719">
        <w:rPr>
          <w:lang w:eastAsia="zh-CN"/>
        </w:rPr>
        <w:t>appropriate provisions</w:t>
      </w:r>
      <w:r w:rsidRPr="00164719">
        <w:t xml:space="preserve"> to ensure</w:t>
      </w:r>
      <w:r w:rsidR="003E672F" w:rsidRPr="00164719">
        <w:t>,</w:t>
      </w:r>
      <w:r w:rsidRPr="00164719">
        <w:t xml:space="preserve"> in a proportionate way, the use and the possibility for future deployment of FSS receiving earth stations in the frequency band 40.5-42.5 GHz and FSS transmitting earth stations in the frequency band 42.5-43.5</w:t>
      </w:r>
      <w:r w:rsidR="00372C7E" w:rsidRPr="00164719">
        <w:t xml:space="preserve"> </w:t>
      </w:r>
      <w:r w:rsidRPr="00164719">
        <w:t>GHz</w:t>
      </w:r>
      <w:r w:rsidR="004E2592" w:rsidRPr="00164719">
        <w:t>,</w:t>
      </w:r>
      <w:r w:rsidRPr="00164719">
        <w:t xml:space="preserve"> while protecting </w:t>
      </w:r>
      <w:r w:rsidR="00211DD4" w:rsidRPr="00164719">
        <w:t>MFCN</w:t>
      </w:r>
      <w:r w:rsidRPr="00164719">
        <w:t xml:space="preserve"> in 42.5-43.5 GHz.</w:t>
      </w:r>
    </w:p>
    <w:p w14:paraId="58D12682" w14:textId="2563ED55" w:rsidR="00426958" w:rsidRPr="00164719" w:rsidRDefault="00426958" w:rsidP="00584D88">
      <w:pPr>
        <w:pStyle w:val="ECCParagraph"/>
        <w:spacing w:before="240" w:after="60"/>
      </w:pPr>
      <w:r w:rsidRPr="00164719">
        <w:t xml:space="preserve">CEPT developed guidelines to support the introduction of </w:t>
      </w:r>
      <w:r w:rsidR="00211DD4" w:rsidRPr="00164719">
        <w:t>MFCN</w:t>
      </w:r>
      <w:r w:rsidRPr="00164719">
        <w:t xml:space="preserve"> while ensuring, in a proportionate way, the use of FSS receiving earth stations in the frequency band 40.5-42.5 GHz and the use of FSS transmitting earth stations in the frequency band 42.5-43.5</w:t>
      </w:r>
      <w:r w:rsidR="00372C7E" w:rsidRPr="00164719">
        <w:t xml:space="preserve"> </w:t>
      </w:r>
      <w:r w:rsidRPr="00164719">
        <w:t xml:space="preserve">GHz and the possibility for future deployment of these earth stations (see </w:t>
      </w:r>
      <w:r w:rsidRPr="00164719">
        <w:rPr>
          <w:lang w:eastAsia="zh-CN"/>
        </w:rPr>
        <w:t>ECC Recommendation (22)</w:t>
      </w:r>
      <w:r w:rsidR="002261DD" w:rsidRPr="00164719">
        <w:rPr>
          <w:lang w:eastAsia="zh-CN"/>
        </w:rPr>
        <w:t>01</w:t>
      </w:r>
      <w:r w:rsidR="00E73B87" w:rsidRPr="00164719">
        <w:rPr>
          <w:lang w:eastAsia="zh-CN"/>
        </w:rPr>
        <w:t xml:space="preserve"> </w:t>
      </w:r>
      <w:r w:rsidR="00E73B87" w:rsidRPr="00164719">
        <w:rPr>
          <w:lang w:eastAsia="zh-CN"/>
        </w:rPr>
        <w:fldChar w:fldCharType="begin"/>
      </w:r>
      <w:r w:rsidR="00E73B87" w:rsidRPr="00164719">
        <w:rPr>
          <w:lang w:eastAsia="zh-CN"/>
        </w:rPr>
        <w:instrText xml:space="preserve"> REF _Ref103341552 \r \h </w:instrText>
      </w:r>
      <w:r w:rsidR="00557052" w:rsidRPr="00164719">
        <w:rPr>
          <w:lang w:eastAsia="zh-CN"/>
        </w:rPr>
        <w:instrText xml:space="preserve"> \* MERGEFORMAT </w:instrText>
      </w:r>
      <w:r w:rsidR="00E73B87" w:rsidRPr="00164719">
        <w:rPr>
          <w:lang w:eastAsia="zh-CN"/>
        </w:rPr>
      </w:r>
      <w:r w:rsidR="00E73B87" w:rsidRPr="00164719">
        <w:rPr>
          <w:lang w:eastAsia="zh-CN"/>
        </w:rPr>
        <w:fldChar w:fldCharType="separate"/>
      </w:r>
      <w:r w:rsidR="004423E5" w:rsidRPr="00164719">
        <w:rPr>
          <w:lang w:eastAsia="zh-CN"/>
        </w:rPr>
        <w:t>[4]</w:t>
      </w:r>
      <w:r w:rsidR="00E73B87" w:rsidRPr="00164719">
        <w:rPr>
          <w:lang w:eastAsia="zh-CN"/>
        </w:rPr>
        <w:fldChar w:fldCharType="end"/>
      </w:r>
      <w:r w:rsidRPr="00164719">
        <w:t xml:space="preserve">). In addition, CEPT developed </w:t>
      </w:r>
      <w:r w:rsidR="00BF202E" w:rsidRPr="00164719">
        <w:t>guidelines on</w:t>
      </w:r>
      <w:r w:rsidR="00121BFC" w:rsidRPr="00164719">
        <w:t xml:space="preserve"> </w:t>
      </w:r>
      <w:r w:rsidRPr="00164719">
        <w:t xml:space="preserve">measures to facilitate compatibility between </w:t>
      </w:r>
      <w:r w:rsidR="00211DD4" w:rsidRPr="00164719">
        <w:t>MFCN</w:t>
      </w:r>
      <w:r w:rsidRPr="00164719">
        <w:t xml:space="preserve"> in 40.5-43.5 GHz and receiving FSS earth stations in 39.5-40.5 GHz to prevent and/or resolve interference issues (see </w:t>
      </w:r>
      <w:r w:rsidRPr="00164719">
        <w:rPr>
          <w:lang w:eastAsia="zh-CN"/>
        </w:rPr>
        <w:t>ECC Recommendation (22)</w:t>
      </w:r>
      <w:r w:rsidR="002261DD" w:rsidRPr="00164719">
        <w:rPr>
          <w:lang w:eastAsia="zh-CN"/>
        </w:rPr>
        <w:t>02</w:t>
      </w:r>
      <w:r w:rsidR="00E73B87" w:rsidRPr="00164719">
        <w:rPr>
          <w:lang w:eastAsia="zh-CN"/>
        </w:rPr>
        <w:t xml:space="preserve"> </w:t>
      </w:r>
      <w:r w:rsidR="00E73B87" w:rsidRPr="00164719">
        <w:rPr>
          <w:lang w:eastAsia="zh-CN"/>
        </w:rPr>
        <w:fldChar w:fldCharType="begin"/>
      </w:r>
      <w:r w:rsidR="00E73B87" w:rsidRPr="00164719">
        <w:rPr>
          <w:lang w:eastAsia="zh-CN"/>
        </w:rPr>
        <w:instrText xml:space="preserve"> REF _Ref103341560 \r \h </w:instrText>
      </w:r>
      <w:r w:rsidR="00557052" w:rsidRPr="00164719">
        <w:rPr>
          <w:lang w:eastAsia="zh-CN"/>
        </w:rPr>
        <w:instrText xml:space="preserve"> \* MERGEFORMAT </w:instrText>
      </w:r>
      <w:r w:rsidR="00E73B87" w:rsidRPr="00164719">
        <w:rPr>
          <w:lang w:eastAsia="zh-CN"/>
        </w:rPr>
      </w:r>
      <w:r w:rsidR="00E73B87" w:rsidRPr="00164719">
        <w:rPr>
          <w:lang w:eastAsia="zh-CN"/>
        </w:rPr>
        <w:fldChar w:fldCharType="separate"/>
      </w:r>
      <w:r w:rsidR="004423E5" w:rsidRPr="00164719">
        <w:rPr>
          <w:lang w:eastAsia="zh-CN"/>
        </w:rPr>
        <w:t>[5]</w:t>
      </w:r>
      <w:r w:rsidR="00E73B87" w:rsidRPr="00164719">
        <w:rPr>
          <w:lang w:eastAsia="zh-CN"/>
        </w:rPr>
        <w:fldChar w:fldCharType="end"/>
      </w:r>
      <w:r w:rsidRPr="00164719">
        <w:t>).</w:t>
      </w:r>
    </w:p>
    <w:p w14:paraId="211238CE" w14:textId="69DC503D" w:rsidR="00D661AE" w:rsidRPr="00164719" w:rsidRDefault="00D661AE" w:rsidP="00584D88">
      <w:pPr>
        <w:pStyle w:val="ECCParagraph"/>
        <w:spacing w:before="240" w:after="60"/>
      </w:pPr>
      <w:r w:rsidRPr="00164719">
        <w:t xml:space="preserve">In a number of CEPT countries, fixed </w:t>
      </w:r>
      <w:r w:rsidR="005977FA" w:rsidRPr="00164719">
        <w:t>P</w:t>
      </w:r>
      <w:r w:rsidRPr="00164719">
        <w:t>oint-to-</w:t>
      </w:r>
      <w:r w:rsidR="005977FA" w:rsidRPr="00164719">
        <w:t>P</w:t>
      </w:r>
      <w:r w:rsidRPr="00164719">
        <w:t xml:space="preserve">oint and </w:t>
      </w:r>
      <w:r w:rsidR="005977FA" w:rsidRPr="00164719">
        <w:t>P</w:t>
      </w:r>
      <w:r w:rsidRPr="00164719">
        <w:t>oint-to-</w:t>
      </w:r>
      <w:r w:rsidR="005977FA" w:rsidRPr="00164719">
        <w:t>M</w:t>
      </w:r>
      <w:r w:rsidRPr="00164719">
        <w:t xml:space="preserve">ultipoint links are in operation in the </w:t>
      </w:r>
      <w:r w:rsidR="001322EB" w:rsidRPr="00164719">
        <w:t>40</w:t>
      </w:r>
      <w:r w:rsidRPr="00164719">
        <w:t>.5-</w:t>
      </w:r>
      <w:r w:rsidR="001322EB" w:rsidRPr="00164719">
        <w:t>43</w:t>
      </w:r>
      <w:r w:rsidRPr="00164719">
        <w:t>.5 GHz band. The band is also heavily used in many countries to deploy fixed point-to-point backhaul links for cellular networks and governmental usage.</w:t>
      </w:r>
      <w:r w:rsidR="002D0A4C" w:rsidRPr="00164719">
        <w:t xml:space="preserve"> Coexistence between fixed links and MFCN in the 40.5-43.5 GHz frequency band will be managed at national level or through bilateral agreements for cross-border coordination and do not impact the harmonised technical conditions as defined in this Decision.</w:t>
      </w:r>
    </w:p>
    <w:p w14:paraId="5319F2ED" w14:textId="0BF13AA3" w:rsidR="00D661AE" w:rsidRPr="00164719" w:rsidRDefault="00080136" w:rsidP="00584D88">
      <w:pPr>
        <w:pStyle w:val="ECCParagraph"/>
        <w:spacing w:before="240" w:after="60"/>
      </w:pPr>
      <w:r w:rsidRPr="00164719">
        <w:t xml:space="preserve">The protection of RAS observations in the 42.5-43.5 GHz band </w:t>
      </w:r>
      <w:r w:rsidR="00001AB3" w:rsidRPr="00164719">
        <w:t xml:space="preserve">from in-band MFCN transmissions and from </w:t>
      </w:r>
      <w:r w:rsidR="00097ECE" w:rsidRPr="00164719">
        <w:t xml:space="preserve">unwanted </w:t>
      </w:r>
      <w:r w:rsidR="00001AB3" w:rsidRPr="00164719">
        <w:t xml:space="preserve">emissions of MFCN in the band 40.5-42.5 GHz </w:t>
      </w:r>
      <w:r w:rsidRPr="00164719">
        <w:t xml:space="preserve">will require the implementation of suitable </w:t>
      </w:r>
      <w:r w:rsidR="00426958" w:rsidRPr="00164719">
        <w:t xml:space="preserve">exclusion </w:t>
      </w:r>
      <w:r w:rsidR="00097ECE" w:rsidRPr="00164719">
        <w:t>zones</w:t>
      </w:r>
      <w:r w:rsidRPr="00164719">
        <w:t xml:space="preserve"> </w:t>
      </w:r>
      <w:r w:rsidR="0077550E" w:rsidRPr="00164719">
        <w:t xml:space="preserve">around </w:t>
      </w:r>
      <w:r w:rsidRPr="00164719">
        <w:t>RAS stations on a case-by-case basis.</w:t>
      </w:r>
    </w:p>
    <w:p w14:paraId="258961DD" w14:textId="57939881" w:rsidR="00C255A5" w:rsidRPr="00164719" w:rsidRDefault="00C255A5" w:rsidP="00584D88">
      <w:pPr>
        <w:pStyle w:val="ECCParagraph"/>
        <w:spacing w:before="240" w:after="60"/>
      </w:pPr>
      <w:r w:rsidRPr="00164719">
        <w:t>A regular assessment of the evolution of MFCN system characteristics, including network deployments</w:t>
      </w:r>
      <w:r w:rsidR="007F17F4" w:rsidRPr="00164719">
        <w:t>,</w:t>
      </w:r>
      <w:r w:rsidR="00F945AA" w:rsidRPr="00164719">
        <w:t xml:space="preserve"> after 3 years, or earlier if </w:t>
      </w:r>
      <w:r w:rsidR="00B41CD3" w:rsidRPr="00164719">
        <w:t>needed</w:t>
      </w:r>
      <w:r w:rsidR="007F17F4" w:rsidRPr="00164719">
        <w:t>,</w:t>
      </w:r>
      <w:r w:rsidR="00B41CD3" w:rsidRPr="00164719">
        <w:t xml:space="preserve"> will</w:t>
      </w:r>
      <w:r w:rsidRPr="00164719">
        <w:t xml:space="preserve"> provide additional confidence that these LRTC ensure adequate protection of other services, in particular space services</w:t>
      </w:r>
      <w:r w:rsidR="00F945AA" w:rsidRPr="00164719">
        <w:t xml:space="preserve">. </w:t>
      </w:r>
      <w:r w:rsidR="00A54CC5" w:rsidRPr="00164719">
        <w:t>Furthermore,</w:t>
      </w:r>
      <w:r w:rsidR="00F945AA" w:rsidRPr="00164719">
        <w:t xml:space="preserve"> </w:t>
      </w:r>
      <w:r w:rsidR="00447625" w:rsidRPr="00164719">
        <w:rPr>
          <w:szCs w:val="22"/>
        </w:rPr>
        <w:t>a</w:t>
      </w:r>
      <w:r w:rsidR="00F945AA" w:rsidRPr="00164719">
        <w:rPr>
          <w:szCs w:val="22"/>
        </w:rPr>
        <w:t xml:space="preserve">dministrations are invited to monitor and report annually on deployment of 40.5-43.5 GHz MFCN in their </w:t>
      </w:r>
      <w:proofErr w:type="gramStart"/>
      <w:r w:rsidR="00F945AA" w:rsidRPr="00164719">
        <w:rPr>
          <w:szCs w:val="22"/>
        </w:rPr>
        <w:t>country, and</w:t>
      </w:r>
      <w:proofErr w:type="gramEnd"/>
      <w:r w:rsidR="00F945AA" w:rsidRPr="00164719">
        <w:rPr>
          <w:szCs w:val="22"/>
        </w:rPr>
        <w:t xml:space="preserve"> a</w:t>
      </w:r>
      <w:r w:rsidR="00516AB1" w:rsidRPr="00164719">
        <w:rPr>
          <w:szCs w:val="22"/>
        </w:rPr>
        <w:t>re</w:t>
      </w:r>
      <w:r w:rsidR="00F945AA" w:rsidRPr="00164719">
        <w:rPr>
          <w:szCs w:val="22"/>
        </w:rPr>
        <w:t xml:space="preserve"> requir</w:t>
      </w:r>
      <w:r w:rsidR="00516AB1" w:rsidRPr="00164719">
        <w:rPr>
          <w:szCs w:val="22"/>
        </w:rPr>
        <w:t>ed</w:t>
      </w:r>
      <w:r w:rsidR="00F945AA" w:rsidRPr="00164719">
        <w:rPr>
          <w:szCs w:val="22"/>
        </w:rPr>
        <w:t xml:space="preserve"> to rapidly report on cases of interference to FSS caused by MFCN above 40.5 GHz and the measures they have taken to resolve them.</w:t>
      </w:r>
    </w:p>
    <w:p w14:paraId="227C271D" w14:textId="2CFC4E53" w:rsidR="00FD28F8" w:rsidRPr="00164719" w:rsidRDefault="001E68EC" w:rsidP="00584D88">
      <w:pPr>
        <w:pStyle w:val="ECCParagraph"/>
        <w:spacing w:before="240" w:after="60"/>
      </w:pPr>
      <w:r w:rsidRPr="00164719">
        <w:rPr>
          <w:color w:val="000000"/>
        </w:rPr>
        <w:t>ECC Report 309</w:t>
      </w:r>
      <w:r w:rsidR="00EB6DE0" w:rsidRPr="00164719">
        <w:rPr>
          <w:color w:val="000000"/>
        </w:rPr>
        <w:t xml:space="preserve"> </w:t>
      </w:r>
      <w:r w:rsidR="00EB6DE0" w:rsidRPr="00164719">
        <w:rPr>
          <w:color w:val="000000"/>
        </w:rPr>
        <w:fldChar w:fldCharType="begin"/>
      </w:r>
      <w:r w:rsidR="00EB6DE0" w:rsidRPr="00164719">
        <w:rPr>
          <w:color w:val="000000"/>
        </w:rPr>
        <w:instrText xml:space="preserve"> REF _Ref104213673 \r \h </w:instrText>
      </w:r>
      <w:r w:rsidR="00557052" w:rsidRPr="00164719">
        <w:rPr>
          <w:color w:val="000000"/>
        </w:rPr>
        <w:instrText xml:space="preserve"> \* MERGEFORMAT </w:instrText>
      </w:r>
      <w:r w:rsidR="00EB6DE0" w:rsidRPr="00164719">
        <w:rPr>
          <w:color w:val="000000"/>
        </w:rPr>
      </w:r>
      <w:r w:rsidR="00EB6DE0" w:rsidRPr="00164719">
        <w:rPr>
          <w:color w:val="000000"/>
        </w:rPr>
        <w:fldChar w:fldCharType="separate"/>
      </w:r>
      <w:r w:rsidR="004423E5" w:rsidRPr="00164719">
        <w:rPr>
          <w:color w:val="000000"/>
        </w:rPr>
        <w:t>[6]</w:t>
      </w:r>
      <w:r w:rsidR="00EB6DE0" w:rsidRPr="00164719">
        <w:rPr>
          <w:color w:val="000000"/>
        </w:rPr>
        <w:fldChar w:fldCharType="end"/>
      </w:r>
      <w:r w:rsidR="00FF1FFA" w:rsidRPr="00164719">
        <w:rPr>
          <w:color w:val="000000"/>
        </w:rPr>
        <w:t xml:space="preserve"> </w:t>
      </w:r>
      <w:r w:rsidRPr="00164719">
        <w:rPr>
          <w:color w:val="000000"/>
        </w:rPr>
        <w:t xml:space="preserve">and ECC </w:t>
      </w:r>
      <w:r w:rsidR="00DD3EE5" w:rsidRPr="00164719">
        <w:rPr>
          <w:color w:val="000000"/>
        </w:rPr>
        <w:t>R</w:t>
      </w:r>
      <w:r w:rsidRPr="00164719">
        <w:rPr>
          <w:color w:val="000000"/>
        </w:rPr>
        <w:t xml:space="preserve">eport </w:t>
      </w:r>
      <w:r w:rsidR="00077F40" w:rsidRPr="00164719">
        <w:rPr>
          <w:color w:val="000000"/>
        </w:rPr>
        <w:t>348</w:t>
      </w:r>
      <w:r w:rsidR="00F44390" w:rsidRPr="00164719">
        <w:rPr>
          <w:color w:val="000000"/>
        </w:rPr>
        <w:t xml:space="preserve"> </w:t>
      </w:r>
      <w:r w:rsidR="00F44390" w:rsidRPr="00164719">
        <w:rPr>
          <w:color w:val="000000"/>
        </w:rPr>
        <w:fldChar w:fldCharType="begin"/>
      </w:r>
      <w:r w:rsidR="00F44390" w:rsidRPr="00164719">
        <w:rPr>
          <w:color w:val="000000"/>
        </w:rPr>
        <w:instrText xml:space="preserve"> REF _Ref104213684 \r \h </w:instrText>
      </w:r>
      <w:r w:rsidR="00557052" w:rsidRPr="00164719">
        <w:rPr>
          <w:color w:val="000000"/>
        </w:rPr>
        <w:instrText xml:space="preserve"> \* MERGEFORMAT </w:instrText>
      </w:r>
      <w:r w:rsidR="00F44390" w:rsidRPr="00164719">
        <w:rPr>
          <w:color w:val="000000"/>
        </w:rPr>
      </w:r>
      <w:r w:rsidR="00F44390" w:rsidRPr="00164719">
        <w:rPr>
          <w:color w:val="000000"/>
        </w:rPr>
        <w:fldChar w:fldCharType="separate"/>
      </w:r>
      <w:r w:rsidR="004423E5" w:rsidRPr="00164719">
        <w:rPr>
          <w:color w:val="000000"/>
        </w:rPr>
        <w:t>[7]</w:t>
      </w:r>
      <w:r w:rsidR="00F44390" w:rsidRPr="00164719">
        <w:rPr>
          <w:color w:val="000000"/>
        </w:rPr>
        <w:fldChar w:fldCharType="end"/>
      </w:r>
      <w:r w:rsidRPr="00164719">
        <w:rPr>
          <w:color w:val="000000"/>
        </w:rPr>
        <w:t xml:space="preserve"> analyse usage of aerial UE in current MFCN harmonised bands. No studies have been</w:t>
      </w:r>
      <w:r w:rsidR="002C0CB3" w:rsidRPr="00164719">
        <w:rPr>
          <w:color w:val="000000"/>
        </w:rPr>
        <w:t xml:space="preserve"> yet</w:t>
      </w:r>
      <w:r w:rsidRPr="00164719">
        <w:rPr>
          <w:color w:val="000000"/>
        </w:rPr>
        <w:t xml:space="preserve"> done for the 42</w:t>
      </w:r>
      <w:r w:rsidR="002C0CB3" w:rsidRPr="00164719">
        <w:rPr>
          <w:color w:val="000000"/>
        </w:rPr>
        <w:t xml:space="preserve"> GHz frequency band</w:t>
      </w:r>
      <w:r w:rsidRPr="00164719">
        <w:rPr>
          <w:color w:val="000000"/>
        </w:rPr>
        <w:t xml:space="preserve">. </w:t>
      </w:r>
      <w:r w:rsidR="00BC434A" w:rsidRPr="00164719">
        <w:t xml:space="preserve">Due to its specific characteristics and usage, the 40.5-43.5 GHz MFCN band </w:t>
      </w:r>
      <w:r w:rsidR="002A78D0" w:rsidRPr="00164719">
        <w:t>may not be approp</w:t>
      </w:r>
      <w:r w:rsidR="00D55CA7" w:rsidRPr="00164719">
        <w:t>r</w:t>
      </w:r>
      <w:r w:rsidR="002A78D0" w:rsidRPr="00164719">
        <w:t>iate</w:t>
      </w:r>
      <w:r w:rsidR="00BC434A" w:rsidRPr="00164719">
        <w:t xml:space="preserve"> for connectivity from base stations to aerial UE. In addition, the connectivity from aerial UE to base stations may have a significant impact, e.g. on separation distance from RAS stations in the band 42.5-43.5 GHz and from receiving FSS earth stations in the band 40.5</w:t>
      </w:r>
      <w:r w:rsidR="00A40C34" w:rsidRPr="00164719">
        <w:t> </w:t>
      </w:r>
      <w:r w:rsidR="00BC434A" w:rsidRPr="00164719">
        <w:t>-</w:t>
      </w:r>
      <w:r w:rsidR="00A40C34" w:rsidRPr="00164719">
        <w:t> </w:t>
      </w:r>
      <w:r w:rsidR="00BC434A" w:rsidRPr="00164719">
        <w:t>42.5 GHz, which would require further study.</w:t>
      </w:r>
    </w:p>
    <w:p w14:paraId="0FF5567C" w14:textId="77777777" w:rsidR="006C03D0" w:rsidRPr="00164719" w:rsidRDefault="005F7AD5" w:rsidP="002261DD">
      <w:pPr>
        <w:pStyle w:val="Heading2"/>
        <w:rPr>
          <w:lang w:val="en-GB"/>
        </w:rPr>
      </w:pPr>
      <w:r w:rsidRPr="00164719">
        <w:rPr>
          <w:lang w:val="en-GB"/>
        </w:rPr>
        <w:t>REQUIREMENT FOR AN ECC DECISION</w:t>
      </w:r>
    </w:p>
    <w:p w14:paraId="52038972" w14:textId="18E07461" w:rsidR="007514F8" w:rsidRPr="00164719" w:rsidRDefault="007514F8">
      <w:pPr>
        <w:pStyle w:val="ECCParagraph"/>
        <w:rPr>
          <w:rFonts w:cs="Arial"/>
        </w:rPr>
      </w:pPr>
      <w:r w:rsidRPr="00164719">
        <w:rPr>
          <w:rFonts w:cs="Arial"/>
        </w:rPr>
        <w:t>The ECC recognises that implementation of MFCN including IMT-2020/5G systems in CEPT countries providing high data rate applications in the band 4</w:t>
      </w:r>
      <w:r w:rsidR="00B20F86" w:rsidRPr="00164719">
        <w:rPr>
          <w:rFonts w:cs="Arial"/>
        </w:rPr>
        <w:t>0</w:t>
      </w:r>
      <w:r w:rsidRPr="00164719">
        <w:rPr>
          <w:rFonts w:cs="Arial"/>
        </w:rPr>
        <w:t>.5-</w:t>
      </w:r>
      <w:r w:rsidR="00B20F86" w:rsidRPr="00164719">
        <w:rPr>
          <w:rFonts w:cs="Arial"/>
        </w:rPr>
        <w:t>43</w:t>
      </w:r>
      <w:r w:rsidRPr="00164719">
        <w:rPr>
          <w:rFonts w:cs="Arial"/>
        </w:rPr>
        <w:t xml:space="preserve">.5 GHz based on a harmonised frequency arrangement and least restrictive technical conditions will reduce development and implementation costs of manufacturing equipment and will secure future </w:t>
      </w:r>
      <w:r w:rsidR="00584923" w:rsidRPr="00164719">
        <w:rPr>
          <w:rFonts w:cs="Arial"/>
        </w:rPr>
        <w:t>long-term</w:t>
      </w:r>
      <w:r w:rsidRPr="00164719">
        <w:rPr>
          <w:rFonts w:cs="Arial"/>
        </w:rPr>
        <w:t xml:space="preserve"> investments by providing economies of scale. A harmonised frequency arrangement will reduce complexity in cross-border coordination. The opportunity to utilise larger channel bandwidths will assist the provision of high data rates.</w:t>
      </w:r>
    </w:p>
    <w:p w14:paraId="6CBCAF4E" w14:textId="2FC0D7C4" w:rsidR="00CC178D" w:rsidRPr="00164719" w:rsidRDefault="007514F8" w:rsidP="008422BE">
      <w:pPr>
        <w:pStyle w:val="ECCParagraph"/>
        <w:spacing w:after="60"/>
        <w:rPr>
          <w:rFonts w:cs="Arial"/>
        </w:rPr>
      </w:pPr>
      <w:r w:rsidRPr="00164719">
        <w:rPr>
          <w:rFonts w:cs="Arial"/>
        </w:rPr>
        <w:t>The ECC recognises that</w:t>
      </w:r>
      <w:r w:rsidR="00EE2E5C" w:rsidRPr="00164719">
        <w:rPr>
          <w:rFonts w:cs="Arial"/>
        </w:rPr>
        <w:t>:</w:t>
      </w:r>
    </w:p>
    <w:p w14:paraId="1D9E3BD3" w14:textId="42891076" w:rsidR="00CC178D" w:rsidRPr="00164719" w:rsidRDefault="00221BFD" w:rsidP="008422BE">
      <w:pPr>
        <w:pStyle w:val="ECCBulletsLv1"/>
        <w:numPr>
          <w:ilvl w:val="0"/>
          <w:numId w:val="16"/>
        </w:numPr>
        <w:spacing w:after="60"/>
      </w:pPr>
      <w:r w:rsidRPr="00164719">
        <w:t xml:space="preserve">the </w:t>
      </w:r>
      <w:r w:rsidR="00584923" w:rsidRPr="00164719">
        <w:t>a</w:t>
      </w:r>
      <w:r w:rsidR="00CC178D" w:rsidRPr="00164719">
        <w:t>uthorisation regime</w:t>
      </w:r>
      <w:r w:rsidRPr="00164719">
        <w:t>s</w:t>
      </w:r>
      <w:r w:rsidR="00CC178D" w:rsidRPr="00164719">
        <w:t xml:space="preserve"> </w:t>
      </w:r>
      <w:r w:rsidRPr="00164719">
        <w:t>are</w:t>
      </w:r>
      <w:r w:rsidR="00CC178D" w:rsidRPr="00164719">
        <w:t xml:space="preserve"> de</w:t>
      </w:r>
      <w:r w:rsidRPr="00164719">
        <w:t>cided</w:t>
      </w:r>
      <w:r w:rsidR="00CC178D" w:rsidRPr="00164719">
        <w:t xml:space="preserve"> at national level in particular in response to market demand</w:t>
      </w:r>
      <w:r w:rsidR="00584923" w:rsidRPr="00164719">
        <w:t>;</w:t>
      </w:r>
    </w:p>
    <w:p w14:paraId="5A69C420" w14:textId="1FF71B07" w:rsidR="00CC178D" w:rsidRPr="00164719" w:rsidRDefault="007514F8" w:rsidP="008422BE">
      <w:pPr>
        <w:pStyle w:val="ECCBulletsLv1"/>
        <w:numPr>
          <w:ilvl w:val="0"/>
          <w:numId w:val="16"/>
        </w:numPr>
        <w:spacing w:after="60"/>
      </w:pPr>
      <w:r w:rsidRPr="00164719">
        <w:t xml:space="preserve">for the continuation of the successful </w:t>
      </w:r>
      <w:r w:rsidR="00CF4408" w:rsidRPr="00164719">
        <w:t xml:space="preserve">market </w:t>
      </w:r>
      <w:r w:rsidRPr="00164719">
        <w:t>development of MFCN including IMT­2020/5G, the regulatory framework needs to provide the confidence and certainty for industry to make the necessary investment</w:t>
      </w:r>
      <w:r w:rsidR="00584923" w:rsidRPr="00164719">
        <w:t>;</w:t>
      </w:r>
    </w:p>
    <w:p w14:paraId="2695DB7D" w14:textId="2DF426FF" w:rsidR="00CC178D" w:rsidRPr="00164719" w:rsidRDefault="007514F8" w:rsidP="008422BE">
      <w:pPr>
        <w:pStyle w:val="ECCBulletsLv1"/>
        <w:numPr>
          <w:ilvl w:val="0"/>
          <w:numId w:val="16"/>
        </w:numPr>
        <w:spacing w:after="60"/>
      </w:pPr>
      <w:r w:rsidRPr="00164719">
        <w:t>administrations need flexibility to adapt their use of the band 4</w:t>
      </w:r>
      <w:r w:rsidR="00AC3B8D" w:rsidRPr="00164719">
        <w:t>0</w:t>
      </w:r>
      <w:r w:rsidRPr="00164719">
        <w:t>.5-</w:t>
      </w:r>
      <w:r w:rsidR="00AC3B8D" w:rsidRPr="00164719">
        <w:t>43</w:t>
      </w:r>
      <w:r w:rsidRPr="00164719">
        <w:t>.5 GHz to national circumstances due to the current fixed links usage</w:t>
      </w:r>
      <w:r w:rsidR="00584923" w:rsidRPr="00164719">
        <w:t>;</w:t>
      </w:r>
    </w:p>
    <w:p w14:paraId="5E121869" w14:textId="0FBFF93D" w:rsidR="00221BFD" w:rsidRPr="00164719" w:rsidRDefault="00D2429A" w:rsidP="008422BE">
      <w:pPr>
        <w:pStyle w:val="ECCBulletsLv1"/>
        <w:numPr>
          <w:ilvl w:val="0"/>
          <w:numId w:val="16"/>
        </w:numPr>
        <w:spacing w:after="60"/>
      </w:pPr>
      <w:r w:rsidRPr="00164719">
        <w:t>administrations need to maintain the possibility</w:t>
      </w:r>
      <w:r w:rsidR="002A78D0" w:rsidRPr="00164719">
        <w:t xml:space="preserve"> </w:t>
      </w:r>
      <w:r w:rsidR="00DD31B1" w:rsidRPr="00164719">
        <w:t>for</w:t>
      </w:r>
      <w:r w:rsidR="002A78D0" w:rsidRPr="00164719">
        <w:t xml:space="preserve"> operat</w:t>
      </w:r>
      <w:r w:rsidR="00DD31B1" w:rsidRPr="00164719">
        <w:t>ion</w:t>
      </w:r>
      <w:r w:rsidR="002A78D0" w:rsidRPr="00164719">
        <w:t>/deploy</w:t>
      </w:r>
      <w:r w:rsidR="00DD31B1" w:rsidRPr="00164719">
        <w:t>ment</w:t>
      </w:r>
      <w:r w:rsidRPr="00164719">
        <w:t xml:space="preserve"> </w:t>
      </w:r>
      <w:r w:rsidR="00DD31B1" w:rsidRPr="00164719">
        <w:t>of</w:t>
      </w:r>
      <w:r w:rsidRPr="00164719">
        <w:t xml:space="preserve"> existing and future</w:t>
      </w:r>
      <w:r w:rsidR="00476584" w:rsidRPr="00164719">
        <w:t xml:space="preserve"> FSS</w:t>
      </w:r>
      <w:r w:rsidRPr="00164719">
        <w:t xml:space="preserve"> earth stations</w:t>
      </w:r>
      <w:r w:rsidR="00584923" w:rsidRPr="00164719">
        <w:t>;</w:t>
      </w:r>
    </w:p>
    <w:p w14:paraId="4E4DF0DC" w14:textId="149FA73A" w:rsidR="00221BFD" w:rsidRPr="00164719" w:rsidRDefault="00447625" w:rsidP="008422BE">
      <w:pPr>
        <w:pStyle w:val="ECCBulletsLv1"/>
        <w:numPr>
          <w:ilvl w:val="0"/>
          <w:numId w:val="16"/>
        </w:numPr>
        <w:spacing w:after="60"/>
      </w:pPr>
      <w:r w:rsidRPr="00164719">
        <w:t>a</w:t>
      </w:r>
      <w:r w:rsidR="00826EEE" w:rsidRPr="00164719">
        <w:t>dministrations need to protect RAS site</w:t>
      </w:r>
      <w:r w:rsidR="00315136" w:rsidRPr="00164719">
        <w:t>s</w:t>
      </w:r>
      <w:r w:rsidR="00826EEE" w:rsidRPr="00164719">
        <w:t xml:space="preserve"> in 42.5-43.5 GHz from MFCN in that band including from MFCN unwanted emission from MFCN operating below 42.5 GHz</w:t>
      </w:r>
      <w:r w:rsidR="00584923" w:rsidRPr="00164719">
        <w:t>;</w:t>
      </w:r>
    </w:p>
    <w:p w14:paraId="7D6B8B4E" w14:textId="0431B825" w:rsidR="00315136" w:rsidRPr="00164719" w:rsidRDefault="00221BFD" w:rsidP="00824161">
      <w:pPr>
        <w:pStyle w:val="ECCBulletsLv1"/>
        <w:numPr>
          <w:ilvl w:val="0"/>
          <w:numId w:val="16"/>
        </w:numPr>
      </w:pPr>
      <w:r w:rsidRPr="00164719">
        <w:lastRenderedPageBreak/>
        <w:t>where the location</w:t>
      </w:r>
      <w:r w:rsidR="00584923" w:rsidRPr="00164719">
        <w:t>s</w:t>
      </w:r>
      <w:r w:rsidRPr="00164719">
        <w:t xml:space="preserve"> of base stations are not known</w:t>
      </w:r>
      <w:r w:rsidR="00644729" w:rsidRPr="00164719">
        <w:t xml:space="preserve"> in advance of instal</w:t>
      </w:r>
      <w:r w:rsidR="00584923" w:rsidRPr="00164719">
        <w:t>l</w:t>
      </w:r>
      <w:r w:rsidR="00644729" w:rsidRPr="00164719">
        <w:t>ation</w:t>
      </w:r>
      <w:r w:rsidRPr="00164719">
        <w:t xml:space="preserve">, </w:t>
      </w:r>
      <w:r w:rsidR="00826EEE" w:rsidRPr="00164719">
        <w:t xml:space="preserve">there </w:t>
      </w:r>
      <w:r w:rsidR="003F05CC" w:rsidRPr="00164719">
        <w:t>are</w:t>
      </w:r>
      <w:r w:rsidR="00826EEE" w:rsidRPr="00164719">
        <w:t xml:space="preserve"> no</w:t>
      </w:r>
      <w:r w:rsidR="00364FE1" w:rsidRPr="00164719">
        <w:t xml:space="preserve"> ident</w:t>
      </w:r>
      <w:r w:rsidR="00315136" w:rsidRPr="00164719">
        <w:t>i</w:t>
      </w:r>
      <w:r w:rsidR="00364FE1" w:rsidRPr="00164719">
        <w:t>fied</w:t>
      </w:r>
      <w:r w:rsidR="00826EEE" w:rsidRPr="00164719">
        <w:t xml:space="preserve"> practical mean</w:t>
      </w:r>
      <w:r w:rsidR="003F05CC" w:rsidRPr="00164719">
        <w:t>s</w:t>
      </w:r>
      <w:r w:rsidR="00826EEE" w:rsidRPr="00164719">
        <w:t xml:space="preserve"> to protect </w:t>
      </w:r>
      <w:r w:rsidR="009E278F" w:rsidRPr="00164719">
        <w:t xml:space="preserve">a </w:t>
      </w:r>
      <w:r w:rsidR="00826EEE" w:rsidRPr="00164719">
        <w:t>RAS site in 42.5-43.5 GHz</w:t>
      </w:r>
      <w:r w:rsidR="00644729" w:rsidRPr="00164719">
        <w:t xml:space="preserve"> other than locating new base stations outside of a pre-determined exclusion zone</w:t>
      </w:r>
      <w:r w:rsidR="00584923" w:rsidRPr="00164719">
        <w:t>;</w:t>
      </w:r>
    </w:p>
    <w:p w14:paraId="773F515A" w14:textId="5D34C54B" w:rsidR="007514F8" w:rsidRPr="00164719" w:rsidRDefault="00221BFD" w:rsidP="00824161">
      <w:pPr>
        <w:pStyle w:val="ECCBulletsLv1"/>
        <w:numPr>
          <w:ilvl w:val="0"/>
          <w:numId w:val="16"/>
        </w:numPr>
      </w:pPr>
      <w:r w:rsidRPr="00164719">
        <w:t xml:space="preserve">additional measures </w:t>
      </w:r>
      <w:r w:rsidR="002A78D0" w:rsidRPr="00164719">
        <w:t xml:space="preserve">may </w:t>
      </w:r>
      <w:r w:rsidRPr="00164719">
        <w:t>need to be considered by administrations on a national basis for protection of RAS, FS, FSS space stations and FSS earth stations to ensure that harmonised technical conditions are met</w:t>
      </w:r>
      <w:r w:rsidR="00584923" w:rsidRPr="00164719">
        <w:t>.</w:t>
      </w:r>
    </w:p>
    <w:p w14:paraId="15459FBD" w14:textId="6E6C79B1" w:rsidR="00AD2C7A" w:rsidRPr="00164719" w:rsidRDefault="00E91B1B" w:rsidP="009B075A">
      <w:pPr>
        <w:pStyle w:val="ECCParagraph"/>
        <w:spacing w:before="240" w:after="60"/>
      </w:pPr>
      <w:r w:rsidRPr="00164719">
        <w:rPr>
          <w:rFonts w:cs="Arial"/>
        </w:rPr>
        <w:t xml:space="preserve">The ECC also recognises the need to include relevant technical conditions for MFCN including IMT-2020/5G to ensure protection of </w:t>
      </w:r>
      <w:r w:rsidR="0001116F" w:rsidRPr="00164719">
        <w:rPr>
          <w:rFonts w:cs="Arial"/>
        </w:rPr>
        <w:t xml:space="preserve">the FSS </w:t>
      </w:r>
      <w:r w:rsidR="00CF4408" w:rsidRPr="00164719">
        <w:rPr>
          <w:rFonts w:cs="Arial"/>
          <w:color w:val="000000"/>
        </w:rPr>
        <w:t>(space-to-Earth)</w:t>
      </w:r>
      <w:r w:rsidR="00644729" w:rsidRPr="00164719">
        <w:rPr>
          <w:rFonts w:cs="Arial"/>
          <w:color w:val="000000"/>
        </w:rPr>
        <w:t xml:space="preserve"> </w:t>
      </w:r>
      <w:r w:rsidR="0001116F" w:rsidRPr="00164719">
        <w:rPr>
          <w:rFonts w:cs="Arial"/>
        </w:rPr>
        <w:t>in the frequency band 40.5-42.5 GHz</w:t>
      </w:r>
      <w:r w:rsidR="004A32FA" w:rsidRPr="00164719">
        <w:rPr>
          <w:rFonts w:cs="Arial"/>
        </w:rPr>
        <w:t>,</w:t>
      </w:r>
      <w:r w:rsidR="0001116F" w:rsidRPr="00164719">
        <w:rPr>
          <w:rFonts w:cs="Arial"/>
        </w:rPr>
        <w:t xml:space="preserve"> FSS </w:t>
      </w:r>
      <w:r w:rsidR="00CF4408" w:rsidRPr="00164719">
        <w:rPr>
          <w:rFonts w:cs="Arial"/>
          <w:color w:val="000000"/>
        </w:rPr>
        <w:t xml:space="preserve">(Earth-to-space) </w:t>
      </w:r>
      <w:r w:rsidR="0001116F" w:rsidRPr="00164719">
        <w:rPr>
          <w:rFonts w:cs="Arial"/>
        </w:rPr>
        <w:t xml:space="preserve">in the frequency band 42.5-43.5 GHz </w:t>
      </w:r>
      <w:r w:rsidR="004A32FA" w:rsidRPr="00164719">
        <w:rPr>
          <w:rFonts w:cs="Arial"/>
        </w:rPr>
        <w:t>and</w:t>
      </w:r>
      <w:r w:rsidR="0001116F" w:rsidRPr="00164719">
        <w:rPr>
          <w:rFonts w:cs="Arial"/>
        </w:rPr>
        <w:t xml:space="preserve"> </w:t>
      </w:r>
      <w:r w:rsidRPr="00164719">
        <w:rPr>
          <w:rFonts w:cs="Arial"/>
        </w:rPr>
        <w:t>RAS</w:t>
      </w:r>
      <w:r w:rsidR="00A274E9" w:rsidRPr="00164719">
        <w:rPr>
          <w:rFonts w:cs="Arial"/>
        </w:rPr>
        <w:t xml:space="preserve"> (4</w:t>
      </w:r>
      <w:r w:rsidR="000E1481" w:rsidRPr="00164719">
        <w:rPr>
          <w:rFonts w:cs="Arial"/>
        </w:rPr>
        <w:t>2.5</w:t>
      </w:r>
      <w:r w:rsidR="00DE22E8" w:rsidRPr="00164719">
        <w:rPr>
          <w:rFonts w:cs="Arial"/>
        </w:rPr>
        <w:t>-4</w:t>
      </w:r>
      <w:r w:rsidR="000E1481" w:rsidRPr="00164719">
        <w:rPr>
          <w:rFonts w:cs="Arial"/>
        </w:rPr>
        <w:t>3</w:t>
      </w:r>
      <w:r w:rsidR="00DE22E8" w:rsidRPr="00164719">
        <w:rPr>
          <w:rFonts w:cs="Arial"/>
        </w:rPr>
        <w:t>.5 GHz</w:t>
      </w:r>
      <w:r w:rsidR="00A274E9" w:rsidRPr="00164719">
        <w:rPr>
          <w:rFonts w:cs="Arial"/>
        </w:rPr>
        <w:t>)</w:t>
      </w:r>
      <w:r w:rsidR="00B55CAE" w:rsidRPr="00164719">
        <w:rPr>
          <w:rFonts w:cs="Arial"/>
        </w:rPr>
        <w:t xml:space="preserve"> (see</w:t>
      </w:r>
      <w:r w:rsidR="00B55CAE" w:rsidRPr="00164719">
        <w:t xml:space="preserve"> </w:t>
      </w:r>
      <w:r w:rsidR="00B55CAE" w:rsidRPr="00164719">
        <w:rPr>
          <w:lang w:eastAsia="zh-CN"/>
        </w:rPr>
        <w:t>ECC Recommendation (22)</w:t>
      </w:r>
      <w:r w:rsidR="00EA326B" w:rsidRPr="00164719">
        <w:rPr>
          <w:lang w:eastAsia="zh-CN"/>
        </w:rPr>
        <w:t>0</w:t>
      </w:r>
      <w:r w:rsidR="001F1113" w:rsidRPr="00164719">
        <w:rPr>
          <w:lang w:eastAsia="zh-CN"/>
        </w:rPr>
        <w:t>1</w:t>
      </w:r>
      <w:r w:rsidR="00B55CAE" w:rsidRPr="00164719">
        <w:rPr>
          <w:lang w:eastAsia="zh-CN"/>
        </w:rPr>
        <w:t>)</w:t>
      </w:r>
      <w:r w:rsidR="00764F7E" w:rsidRPr="00164719">
        <w:rPr>
          <w:lang w:eastAsia="zh-CN"/>
        </w:rPr>
        <w:t xml:space="preserve"> </w:t>
      </w:r>
      <w:r w:rsidR="00764F7E" w:rsidRPr="00164719">
        <w:rPr>
          <w:lang w:eastAsia="zh-CN"/>
        </w:rPr>
        <w:fldChar w:fldCharType="begin"/>
      </w:r>
      <w:r w:rsidR="00764F7E" w:rsidRPr="00164719">
        <w:rPr>
          <w:lang w:eastAsia="zh-CN"/>
        </w:rPr>
        <w:instrText xml:space="preserve"> REF _Ref104214122 \r \h </w:instrText>
      </w:r>
      <w:r w:rsidR="00557052" w:rsidRPr="00164719">
        <w:rPr>
          <w:lang w:eastAsia="zh-CN"/>
        </w:rPr>
        <w:instrText xml:space="preserve"> \* MERGEFORMAT </w:instrText>
      </w:r>
      <w:r w:rsidR="00764F7E" w:rsidRPr="00164719">
        <w:rPr>
          <w:lang w:eastAsia="zh-CN"/>
        </w:rPr>
      </w:r>
      <w:r w:rsidR="00764F7E" w:rsidRPr="00164719">
        <w:rPr>
          <w:lang w:eastAsia="zh-CN"/>
        </w:rPr>
        <w:fldChar w:fldCharType="separate"/>
      </w:r>
      <w:r w:rsidR="004423E5" w:rsidRPr="00164719">
        <w:rPr>
          <w:lang w:eastAsia="zh-CN"/>
        </w:rPr>
        <w:t>[4]</w:t>
      </w:r>
      <w:r w:rsidR="00764F7E" w:rsidRPr="00164719">
        <w:rPr>
          <w:lang w:eastAsia="zh-CN"/>
        </w:rPr>
        <w:fldChar w:fldCharType="end"/>
      </w:r>
      <w:r w:rsidR="00AD2C7A" w:rsidRPr="00164719">
        <w:t>.</w:t>
      </w:r>
    </w:p>
    <w:p w14:paraId="4F663DBD" w14:textId="508A08A9" w:rsidR="00B55CAE" w:rsidRPr="00164719" w:rsidRDefault="00B55CAE" w:rsidP="009B075A">
      <w:pPr>
        <w:pStyle w:val="ECCParagraph"/>
        <w:spacing w:before="240" w:after="60"/>
      </w:pPr>
      <w:r w:rsidRPr="00164719">
        <w:t>In addition, ECC Recommendation (22)</w:t>
      </w:r>
      <w:r w:rsidR="00EA326B" w:rsidRPr="00164719">
        <w:t>02</w:t>
      </w:r>
      <w:r w:rsidRPr="00164719">
        <w:t xml:space="preserve"> provides </w:t>
      </w:r>
      <w:r w:rsidR="00584923" w:rsidRPr="00164719">
        <w:t>“</w:t>
      </w:r>
      <w:r w:rsidR="00775A31" w:rsidRPr="00164719">
        <w:t xml:space="preserve">Guidelines on </w:t>
      </w:r>
      <w:r w:rsidR="00503F22" w:rsidRPr="00164719">
        <w:t>m</w:t>
      </w:r>
      <w:r w:rsidR="00E73B87" w:rsidRPr="00164719">
        <w:t>easures to facilitate compatibility between MFCN operating in 40.5-43.5 GHz and FSS earth stations receiving in 39.5-40.5 GHz and to prevent and/or resolve interference issues</w:t>
      </w:r>
      <w:r w:rsidRPr="00164719">
        <w:t>”</w:t>
      </w:r>
      <w:r w:rsidR="00764F7E" w:rsidRPr="00164719">
        <w:t xml:space="preserve"> </w:t>
      </w:r>
      <w:r w:rsidR="00764F7E" w:rsidRPr="00164719">
        <w:fldChar w:fldCharType="begin"/>
      </w:r>
      <w:r w:rsidR="00764F7E" w:rsidRPr="00164719">
        <w:instrText xml:space="preserve"> REF _Ref104214129 \r \h </w:instrText>
      </w:r>
      <w:r w:rsidR="00557052" w:rsidRPr="00164719">
        <w:instrText xml:space="preserve"> \* MERGEFORMAT </w:instrText>
      </w:r>
      <w:r w:rsidR="00764F7E" w:rsidRPr="00164719">
        <w:fldChar w:fldCharType="separate"/>
      </w:r>
      <w:r w:rsidR="008952CC">
        <w:t>[5]</w:t>
      </w:r>
      <w:r w:rsidR="00764F7E" w:rsidRPr="00164719">
        <w:fldChar w:fldCharType="end"/>
      </w:r>
      <w:r w:rsidRPr="00164719">
        <w:t>.</w:t>
      </w:r>
    </w:p>
    <w:p w14:paraId="308070E4" w14:textId="53F06930" w:rsidR="006C03D0" w:rsidRPr="00164719" w:rsidRDefault="005F7AD5" w:rsidP="00827DA2">
      <w:pPr>
        <w:pStyle w:val="Heading1"/>
      </w:pPr>
      <w:r w:rsidRPr="00164719">
        <w:lastRenderedPageBreak/>
        <w:t>ECC Decision of</w:t>
      </w:r>
      <w:r w:rsidR="00A8085A" w:rsidRPr="00164719">
        <w:t xml:space="preserve"> </w:t>
      </w:r>
      <w:r w:rsidR="00FB1854">
        <w:t>18</w:t>
      </w:r>
      <w:r w:rsidR="00A8085A" w:rsidRPr="00164719">
        <w:t xml:space="preserve"> </w:t>
      </w:r>
      <w:r w:rsidR="00FB1854">
        <w:t>November</w:t>
      </w:r>
      <w:r w:rsidR="00A8085A" w:rsidRPr="00164719">
        <w:t xml:space="preserve"> </w:t>
      </w:r>
      <w:r w:rsidR="00FB1854">
        <w:t>2022</w:t>
      </w:r>
      <w:r w:rsidR="00A8085A" w:rsidRPr="00164719">
        <w:t xml:space="preserve"> </w:t>
      </w:r>
      <w:r w:rsidRPr="00164719">
        <w:t>on</w:t>
      </w:r>
      <w:r w:rsidR="00A8085A" w:rsidRPr="00164719">
        <w:t xml:space="preserve"> </w:t>
      </w:r>
      <w:r w:rsidR="00632CD5" w:rsidRPr="00164719">
        <w:t>HARMONISED TECHNICAL CONDITIONS FOR MOBILE/FIXED COMMUNICATIONS NETWORKS (MFCN) IN THE BAND 40.5-43.5 GHZ (ECC DECISION (</w:t>
      </w:r>
      <w:r w:rsidR="00584923" w:rsidRPr="00164719">
        <w:t>22</w:t>
      </w:r>
      <w:r w:rsidR="00632CD5" w:rsidRPr="00164719">
        <w:t>)</w:t>
      </w:r>
      <w:r w:rsidR="00EA326B" w:rsidRPr="00164719">
        <w:t>06</w:t>
      </w:r>
      <w:r w:rsidR="00632CD5" w:rsidRPr="00164719">
        <w:t>)</w:t>
      </w:r>
    </w:p>
    <w:p w14:paraId="4A779A84" w14:textId="77777777" w:rsidR="006C03D0" w:rsidRPr="00164719" w:rsidRDefault="005F7AD5">
      <w:pPr>
        <w:pStyle w:val="ECCParagraph"/>
      </w:pPr>
      <w:r w:rsidRPr="00164719">
        <w:t>“The European Conference of Postal and Telecommunications Administrations,</w:t>
      </w:r>
    </w:p>
    <w:p w14:paraId="696FA2ED" w14:textId="77777777" w:rsidR="006C03D0" w:rsidRPr="00164719" w:rsidRDefault="005F7AD5">
      <w:pPr>
        <w:pStyle w:val="ECCParagraph"/>
        <w:rPr>
          <w:i/>
          <w:color w:val="D2232A"/>
        </w:rPr>
      </w:pPr>
      <w:r w:rsidRPr="00164719">
        <w:rPr>
          <w:i/>
          <w:color w:val="D2232A"/>
        </w:rPr>
        <w:t>considering</w:t>
      </w:r>
    </w:p>
    <w:p w14:paraId="7ACA4A4A" w14:textId="2D67CDC2" w:rsidR="00E65E22" w:rsidRPr="00164719" w:rsidRDefault="000D640C" w:rsidP="00824161">
      <w:pPr>
        <w:pStyle w:val="ECCLetteredList"/>
        <w:numPr>
          <w:ilvl w:val="0"/>
          <w:numId w:val="15"/>
        </w:numPr>
        <w:ind w:left="357" w:hanging="357"/>
        <w:rPr>
          <w:lang w:val="en-GB"/>
        </w:rPr>
      </w:pPr>
      <w:bookmarkStart w:id="3" w:name="_Ref41655851"/>
      <w:r w:rsidRPr="00164719">
        <w:rPr>
          <w:lang w:val="en-GB"/>
        </w:rPr>
        <w:t xml:space="preserve">that </w:t>
      </w:r>
      <w:r w:rsidR="0078356A" w:rsidRPr="00164719">
        <w:rPr>
          <w:lang w:val="en-GB"/>
        </w:rPr>
        <w:t xml:space="preserve">MFCN for the purpose of this Decision </w:t>
      </w:r>
      <w:r w:rsidR="002B0077" w:rsidRPr="00164719">
        <w:rPr>
          <w:lang w:val="en-GB"/>
        </w:rPr>
        <w:t xml:space="preserve">includes </w:t>
      </w:r>
      <w:r w:rsidRPr="00164719">
        <w:rPr>
          <w:lang w:val="en-GB"/>
        </w:rPr>
        <w:t>International Mobile Telecommunications</w:t>
      </w:r>
      <w:r w:rsidR="00380851" w:rsidRPr="00164719">
        <w:rPr>
          <w:lang w:val="en-GB"/>
        </w:rPr>
        <w:t xml:space="preserve"> 2020</w:t>
      </w:r>
      <w:r w:rsidRPr="00164719">
        <w:rPr>
          <w:lang w:val="en-GB"/>
        </w:rPr>
        <w:t xml:space="preserve"> (IMT</w:t>
      </w:r>
      <w:r w:rsidR="00380851" w:rsidRPr="00164719">
        <w:rPr>
          <w:lang w:val="en-GB"/>
        </w:rPr>
        <w:t>-2020</w:t>
      </w:r>
      <w:r w:rsidRPr="00164719">
        <w:rPr>
          <w:lang w:val="en-GB"/>
        </w:rPr>
        <w:t>)</w:t>
      </w:r>
      <w:r w:rsidR="00EC2ECE" w:rsidRPr="00164719">
        <w:rPr>
          <w:lang w:val="en-GB"/>
        </w:rPr>
        <w:t xml:space="preserve"> and other mobile and fixed communications networks</w:t>
      </w:r>
      <w:r w:rsidRPr="00164719">
        <w:rPr>
          <w:lang w:val="en-GB"/>
        </w:rPr>
        <w:t>;</w:t>
      </w:r>
      <w:bookmarkEnd w:id="3"/>
    </w:p>
    <w:p w14:paraId="3D91042D" w14:textId="77777777" w:rsidR="00E65E22" w:rsidRPr="00164719" w:rsidRDefault="008901B7" w:rsidP="00824161">
      <w:pPr>
        <w:pStyle w:val="ECCLetteredList"/>
        <w:numPr>
          <w:ilvl w:val="0"/>
          <w:numId w:val="15"/>
        </w:numPr>
        <w:ind w:left="357" w:hanging="357"/>
        <w:rPr>
          <w:lang w:val="en-GB"/>
        </w:rPr>
      </w:pPr>
      <w:bookmarkStart w:id="4" w:name="_Ref41655895"/>
      <w:r w:rsidRPr="00164719">
        <w:rPr>
          <w:lang w:val="en-GB"/>
        </w:rPr>
        <w:t xml:space="preserve">that harmonised </w:t>
      </w:r>
      <w:r w:rsidR="00CF4408" w:rsidRPr="00164719">
        <w:rPr>
          <w:lang w:val="en-GB"/>
        </w:rPr>
        <w:t xml:space="preserve">least restrictive </w:t>
      </w:r>
      <w:r w:rsidRPr="00164719">
        <w:rPr>
          <w:lang w:val="en-GB"/>
        </w:rPr>
        <w:t>technical conditions (including a harmonised frequency arrangement) will support the implementation of MFCN in this band and facilitate global roaming, economies of scale and reduce the cost of equipment</w:t>
      </w:r>
      <w:r w:rsidR="008D5359" w:rsidRPr="00164719">
        <w:rPr>
          <w:lang w:val="en-GB"/>
        </w:rPr>
        <w:t>;</w:t>
      </w:r>
      <w:bookmarkEnd w:id="4"/>
    </w:p>
    <w:p w14:paraId="3AAF74D6" w14:textId="77777777" w:rsidR="00EF2368" w:rsidRPr="00164719" w:rsidRDefault="00EF2368" w:rsidP="00824161">
      <w:pPr>
        <w:pStyle w:val="ECCLetteredList"/>
        <w:numPr>
          <w:ilvl w:val="0"/>
          <w:numId w:val="15"/>
        </w:numPr>
        <w:ind w:left="357" w:hanging="357"/>
        <w:rPr>
          <w:lang w:val="en-GB"/>
        </w:rPr>
      </w:pPr>
      <w:r w:rsidRPr="00164719">
        <w:rPr>
          <w:lang w:val="en-GB"/>
        </w:rPr>
        <w:t>that the use of contiguous blocks of spectrum for MFCN reduces equipment complexity, provides a more efficient use of spectrum and facilitates spectrum access compared to the use of fragmented, non-contiguous blocks of spectrum;</w:t>
      </w:r>
    </w:p>
    <w:p w14:paraId="211F4FEB" w14:textId="60B4BA8B" w:rsidR="007C0138" w:rsidRPr="00164719" w:rsidRDefault="00EF2368" w:rsidP="007C0138">
      <w:pPr>
        <w:pStyle w:val="ECCLetteredList"/>
        <w:numPr>
          <w:ilvl w:val="0"/>
          <w:numId w:val="15"/>
        </w:numPr>
        <w:ind w:left="357" w:hanging="357"/>
        <w:rPr>
          <w:lang w:val="en-GB"/>
        </w:rPr>
      </w:pPr>
      <w:r w:rsidRPr="00164719">
        <w:rPr>
          <w:lang w:val="en-GB"/>
        </w:rPr>
        <w:t>that for a single MFCN network a contiguous block of 800-1000 MHz is desirable to enable the full capabilities of IMT-2020 systems;</w:t>
      </w:r>
      <w:r w:rsidR="007C0138" w:rsidRPr="00164719">
        <w:rPr>
          <w:color w:val="000000"/>
          <w:lang w:val="en-GB"/>
        </w:rPr>
        <w:t xml:space="preserve"> </w:t>
      </w:r>
    </w:p>
    <w:p w14:paraId="1187A020" w14:textId="77777777" w:rsidR="00082036" w:rsidRPr="00164719" w:rsidRDefault="00082036" w:rsidP="00082036">
      <w:pPr>
        <w:pStyle w:val="ECCLetteredList"/>
        <w:numPr>
          <w:ilvl w:val="0"/>
          <w:numId w:val="15"/>
        </w:numPr>
        <w:ind w:left="357" w:hanging="357"/>
        <w:rPr>
          <w:lang w:val="en-GB"/>
        </w:rPr>
      </w:pPr>
      <w:r w:rsidRPr="00164719">
        <w:rPr>
          <w:lang w:val="en-GB"/>
        </w:rPr>
        <w:t>that some administrations may wish to implement MFCN in parts of this frequency band on a progressive basis depending on national market demand;</w:t>
      </w:r>
    </w:p>
    <w:p w14:paraId="1B16A03A" w14:textId="77777777" w:rsidR="00082036" w:rsidRPr="00164719" w:rsidRDefault="00082036" w:rsidP="00082036">
      <w:pPr>
        <w:pStyle w:val="ECCLetteredList"/>
        <w:numPr>
          <w:ilvl w:val="0"/>
          <w:numId w:val="15"/>
        </w:numPr>
        <w:ind w:left="357" w:hanging="357"/>
        <w:rPr>
          <w:lang w:val="en-GB"/>
        </w:rPr>
      </w:pPr>
      <w:r w:rsidRPr="00164719">
        <w:rPr>
          <w:lang w:val="en-GB"/>
        </w:rPr>
        <w:t>that differences in the market demand for MFCN and different authorisations regimes across CEPT countries is likely to lead to different timescales concerning the introduction of MFCN in the band 40.5-43.5 GHz;</w:t>
      </w:r>
    </w:p>
    <w:p w14:paraId="286F10CD" w14:textId="77777777" w:rsidR="00730F72" w:rsidRPr="00164719" w:rsidRDefault="00730F72" w:rsidP="00730F72">
      <w:pPr>
        <w:pStyle w:val="ECCLetteredList"/>
        <w:numPr>
          <w:ilvl w:val="0"/>
          <w:numId w:val="15"/>
        </w:numPr>
        <w:ind w:left="357" w:hanging="357"/>
        <w:rPr>
          <w:lang w:val="en-GB"/>
        </w:rPr>
      </w:pPr>
      <w:r w:rsidRPr="00164719">
        <w:rPr>
          <w:color w:val="000000"/>
          <w:lang w:val="en-GB"/>
        </w:rPr>
        <w:t>that the block edge mask (BEM) concept has been developed by CEPT to facilitate implementation of spectrum rights of use which are as technology neutral as possible;</w:t>
      </w:r>
    </w:p>
    <w:p w14:paraId="704AAFA2" w14:textId="77777777" w:rsidR="004756CE" w:rsidRPr="00164719" w:rsidDel="00133B8A" w:rsidRDefault="004756CE" w:rsidP="004756CE">
      <w:pPr>
        <w:pStyle w:val="ECCLetteredList"/>
        <w:numPr>
          <w:ilvl w:val="0"/>
          <w:numId w:val="15"/>
        </w:numPr>
        <w:ind w:left="357" w:hanging="357"/>
        <w:rPr>
          <w:lang w:val="en-GB"/>
        </w:rPr>
      </w:pPr>
      <w:r w:rsidRPr="00164719" w:rsidDel="00133B8A">
        <w:rPr>
          <w:lang w:val="en-GB" w:eastAsia="bn-IN" w:bidi="bn-IN"/>
        </w:rPr>
        <w:t>that it is beneficial to synchronise MFCN networks operating in the same location (avoid simultaneous uplink and downlink transmissions) since this would increase the efficient usage of spectrum;</w:t>
      </w:r>
    </w:p>
    <w:p w14:paraId="7C40CF43" w14:textId="77777777" w:rsidR="004756CE" w:rsidRPr="00164719" w:rsidDel="00133B8A" w:rsidRDefault="004756CE" w:rsidP="004756CE">
      <w:pPr>
        <w:pStyle w:val="ECCLetteredList"/>
        <w:numPr>
          <w:ilvl w:val="0"/>
          <w:numId w:val="15"/>
        </w:numPr>
        <w:ind w:left="357" w:hanging="357"/>
        <w:rPr>
          <w:lang w:val="en-GB"/>
        </w:rPr>
      </w:pPr>
      <w:r w:rsidRPr="00164719" w:rsidDel="00133B8A">
        <w:rPr>
          <w:lang w:val="en-GB" w:eastAsia="zh-CN"/>
        </w:rPr>
        <w:t xml:space="preserve">that the 40.5-43.5 GHz band will mainly be used for </w:t>
      </w:r>
      <w:r w:rsidRPr="00164719" w:rsidDel="00133B8A">
        <w:rPr>
          <w:lang w:val="en-GB"/>
        </w:rPr>
        <w:t xml:space="preserve">hotspots in </w:t>
      </w:r>
      <w:r w:rsidRPr="00164719" w:rsidDel="00133B8A">
        <w:rPr>
          <w:lang w:val="en-GB" w:eastAsia="zh-CN"/>
        </w:rPr>
        <w:t xml:space="preserve">urban and suburban </w:t>
      </w:r>
      <w:r w:rsidRPr="00164719" w:rsidDel="00133B8A">
        <w:rPr>
          <w:lang w:val="en-GB"/>
        </w:rPr>
        <w:t>areas</w:t>
      </w:r>
      <w:r w:rsidRPr="00164719" w:rsidDel="00133B8A">
        <w:rPr>
          <w:lang w:val="en-GB" w:eastAsia="zh-CN"/>
        </w:rPr>
        <w:t>; however t</w:t>
      </w:r>
      <w:r w:rsidRPr="00164719" w:rsidDel="00133B8A">
        <w:rPr>
          <w:lang w:val="en-GB"/>
        </w:rPr>
        <w:t>here may be a limited number of hotspots in rural areas; it is not expected that the band will be used for contiguous wide/nationwide coverage of MFCN;</w:t>
      </w:r>
    </w:p>
    <w:p w14:paraId="5D5C2F74" w14:textId="77777777" w:rsidR="004756CE" w:rsidRPr="00164719" w:rsidDel="00133B8A" w:rsidRDefault="004756CE" w:rsidP="004756CE">
      <w:pPr>
        <w:pStyle w:val="ECCLetteredList"/>
        <w:numPr>
          <w:ilvl w:val="0"/>
          <w:numId w:val="15"/>
        </w:numPr>
        <w:ind w:left="357" w:hanging="357"/>
        <w:rPr>
          <w:lang w:val="en-GB"/>
        </w:rPr>
      </w:pPr>
      <w:bookmarkStart w:id="5" w:name="_Ref49958235"/>
      <w:r w:rsidRPr="00164719" w:rsidDel="00133B8A">
        <w:rPr>
          <w:lang w:val="en-GB"/>
        </w:rPr>
        <w:t>that a regular assessment of the evolution of MFCN system characteristics, including network deployments, after 3 years, or earlier if needed, will provide additional confidence that these LRTC ensure adequate protection of other services, in particular space services;</w:t>
      </w:r>
      <w:bookmarkEnd w:id="5"/>
    </w:p>
    <w:p w14:paraId="3495678F" w14:textId="77777777" w:rsidR="004756CE" w:rsidRPr="00164719" w:rsidDel="00133B8A" w:rsidRDefault="004756CE" w:rsidP="004756CE">
      <w:pPr>
        <w:pStyle w:val="ECCLetteredList"/>
        <w:numPr>
          <w:ilvl w:val="0"/>
          <w:numId w:val="15"/>
        </w:numPr>
        <w:ind w:left="357" w:hanging="357"/>
        <w:rPr>
          <w:lang w:val="en-GB"/>
        </w:rPr>
      </w:pPr>
      <w:r w:rsidRPr="00164719" w:rsidDel="00133B8A">
        <w:rPr>
          <w:lang w:val="en-GB" w:eastAsia="zh-CN"/>
        </w:rPr>
        <w:t>that a questionnaire to CEPT administrations on deployment of MFCN in the band 40.5-43.5 GHz should be carried out on a regular basis;</w:t>
      </w:r>
    </w:p>
    <w:p w14:paraId="28A3F9A2" w14:textId="44677A72" w:rsidR="009F0291" w:rsidRPr="00164719" w:rsidRDefault="00C00EB9" w:rsidP="009F0291">
      <w:pPr>
        <w:pStyle w:val="ECCLetteredList"/>
        <w:numPr>
          <w:ilvl w:val="0"/>
          <w:numId w:val="15"/>
        </w:numPr>
        <w:ind w:left="357" w:hanging="357"/>
        <w:rPr>
          <w:color w:val="000000"/>
          <w:lang w:val="en-GB" w:eastAsia="bn-IN" w:bidi="bn-IN"/>
        </w:rPr>
      </w:pPr>
      <w:r w:rsidRPr="00164719">
        <w:rPr>
          <w:color w:val="000000"/>
          <w:lang w:val="en-GB" w:eastAsia="bn-IN" w:bidi="bn-IN"/>
        </w:rPr>
        <w:t xml:space="preserve">that </w:t>
      </w:r>
      <w:r w:rsidR="009F0291" w:rsidRPr="00164719">
        <w:rPr>
          <w:color w:val="000000"/>
          <w:lang w:val="en-GB" w:eastAsia="bn-IN" w:bidi="bn-IN"/>
        </w:rPr>
        <w:t xml:space="preserve">ECC agreed to not develop an additional BEM in order to protect adjacent services based on the assumption that the MFCN </w:t>
      </w:r>
      <w:r w:rsidR="0052648B" w:rsidRPr="00164719">
        <w:rPr>
          <w:color w:val="000000"/>
          <w:lang w:val="en-GB" w:eastAsia="bn-IN" w:bidi="bn-IN"/>
        </w:rPr>
        <w:t xml:space="preserve">Base Station </w:t>
      </w:r>
      <w:r w:rsidR="009F0291" w:rsidRPr="00164719">
        <w:rPr>
          <w:color w:val="000000"/>
          <w:lang w:val="en-GB" w:eastAsia="bn-IN" w:bidi="bn-IN"/>
        </w:rPr>
        <w:t>out-of-band limit in the FSS earth station channel of operation is -13 dBm/MHz (4 dBm/(50 MHz)) as a compromise if all the possible configurations of the MFCN and FSS ES channels of operation are considered. It is noted that this assumption does not amend the ETSI standard requirements;</w:t>
      </w:r>
    </w:p>
    <w:p w14:paraId="35AC7BD7" w14:textId="50D143F3" w:rsidR="009F0291" w:rsidRPr="00164719" w:rsidRDefault="009F0291" w:rsidP="009F0291">
      <w:pPr>
        <w:pStyle w:val="ECCLetteredList"/>
        <w:numPr>
          <w:ilvl w:val="0"/>
          <w:numId w:val="15"/>
        </w:numPr>
        <w:ind w:left="357" w:hanging="357"/>
        <w:rPr>
          <w:color w:val="000000"/>
          <w:lang w:val="en-GB" w:eastAsia="bn-IN" w:bidi="bn-IN"/>
        </w:rPr>
      </w:pPr>
      <w:r w:rsidRPr="00164719">
        <w:rPr>
          <w:color w:val="000000"/>
          <w:lang w:val="en-GB" w:eastAsia="bn-IN" w:bidi="bn-IN"/>
        </w:rPr>
        <w:t xml:space="preserve">that ECC noted that this assumption is fulfilled by the MFCN BS when complying to the ETSI TS 138 104 </w:t>
      </w:r>
      <w:r w:rsidR="003628C3" w:rsidRPr="00164719">
        <w:rPr>
          <w:color w:val="000000"/>
          <w:lang w:val="en-GB" w:eastAsia="bn-IN" w:bidi="bn-IN"/>
        </w:rPr>
        <w:fldChar w:fldCharType="begin"/>
      </w:r>
      <w:r w:rsidR="003628C3" w:rsidRPr="00164719">
        <w:rPr>
          <w:color w:val="000000"/>
          <w:lang w:val="en-GB" w:eastAsia="bn-IN" w:bidi="bn-IN"/>
        </w:rPr>
        <w:instrText xml:space="preserve"> REF _Ref116554468 \r \h </w:instrText>
      </w:r>
      <w:r w:rsidR="003628C3" w:rsidRPr="00164719">
        <w:rPr>
          <w:color w:val="000000"/>
          <w:lang w:val="en-GB" w:eastAsia="bn-IN" w:bidi="bn-IN"/>
        </w:rPr>
      </w:r>
      <w:r w:rsidR="003628C3" w:rsidRPr="00164719">
        <w:rPr>
          <w:color w:val="000000"/>
          <w:lang w:val="en-GB" w:eastAsia="bn-IN" w:bidi="bn-IN"/>
        </w:rPr>
        <w:fldChar w:fldCharType="separate"/>
      </w:r>
      <w:r w:rsidR="003628C3" w:rsidRPr="00164719">
        <w:rPr>
          <w:color w:val="000000"/>
          <w:lang w:val="en-GB" w:eastAsia="bn-IN" w:bidi="bn-IN"/>
        </w:rPr>
        <w:t>[8]</w:t>
      </w:r>
      <w:r w:rsidR="003628C3" w:rsidRPr="00164719">
        <w:rPr>
          <w:color w:val="000000"/>
          <w:lang w:val="en-GB" w:eastAsia="bn-IN" w:bidi="bn-IN"/>
        </w:rPr>
        <w:fldChar w:fldCharType="end"/>
      </w:r>
      <w:r w:rsidRPr="00164719">
        <w:rPr>
          <w:color w:val="000000"/>
          <w:lang w:val="en-GB" w:eastAsia="bn-IN" w:bidi="bn-IN"/>
        </w:rPr>
        <w:t xml:space="preserve"> (the limits of Table 9.7.4.3.3-2) for a contiguous bandwidth of 200 MHz or below;</w:t>
      </w:r>
    </w:p>
    <w:p w14:paraId="3517C597" w14:textId="6E89B993" w:rsidR="009F0291" w:rsidRPr="00164719" w:rsidRDefault="009F0291" w:rsidP="009F0291">
      <w:pPr>
        <w:pStyle w:val="ECCLetteredList"/>
        <w:numPr>
          <w:ilvl w:val="0"/>
          <w:numId w:val="15"/>
        </w:numPr>
        <w:ind w:left="357" w:hanging="357"/>
        <w:rPr>
          <w:color w:val="000000"/>
          <w:lang w:val="en-GB" w:eastAsia="bn-IN" w:bidi="bn-IN"/>
        </w:rPr>
      </w:pPr>
      <w:r w:rsidRPr="00164719">
        <w:rPr>
          <w:color w:val="000000"/>
          <w:lang w:val="en-GB" w:eastAsia="bn-IN" w:bidi="bn-IN"/>
        </w:rPr>
        <w:t xml:space="preserve">that, if the limits from the ETSI harmonised standard were relaxed compared to the assumptions in </w:t>
      </w:r>
      <w:r w:rsidR="00457738" w:rsidRPr="00164719">
        <w:rPr>
          <w:sz w:val="19"/>
          <w:szCs w:val="19"/>
          <w:lang w:val="en-GB"/>
        </w:rPr>
        <w:fldChar w:fldCharType="begin"/>
      </w:r>
      <w:r w:rsidR="00457738" w:rsidRPr="00164719">
        <w:rPr>
          <w:sz w:val="19"/>
          <w:szCs w:val="19"/>
          <w:lang w:val="en-GB"/>
        </w:rPr>
        <w:instrText xml:space="preserve"> REF _Ref103592490 \r \h </w:instrText>
      </w:r>
      <w:r w:rsidR="00457738" w:rsidRPr="00164719">
        <w:rPr>
          <w:sz w:val="19"/>
          <w:szCs w:val="19"/>
          <w:lang w:val="en-GB"/>
        </w:rPr>
      </w:r>
      <w:r w:rsidR="00457738" w:rsidRPr="00164719">
        <w:rPr>
          <w:sz w:val="19"/>
          <w:szCs w:val="19"/>
          <w:lang w:val="en-GB"/>
        </w:rPr>
        <w:fldChar w:fldCharType="separate"/>
      </w:r>
      <w:r w:rsidR="00457738" w:rsidRPr="00164719">
        <w:rPr>
          <w:sz w:val="19"/>
          <w:szCs w:val="19"/>
          <w:lang w:val="en-GB"/>
        </w:rPr>
        <w:t>A</w:t>
      </w:r>
      <w:r w:rsidR="00740420" w:rsidRPr="00164719">
        <w:rPr>
          <w:sz w:val="19"/>
          <w:szCs w:val="19"/>
          <w:lang w:val="en-GB"/>
        </w:rPr>
        <w:t>nnex</w:t>
      </w:r>
      <w:r w:rsidR="00457738" w:rsidRPr="00164719">
        <w:rPr>
          <w:sz w:val="19"/>
          <w:szCs w:val="19"/>
          <w:lang w:val="en-GB"/>
        </w:rPr>
        <w:t xml:space="preserve"> 2</w:t>
      </w:r>
      <w:r w:rsidR="00457738" w:rsidRPr="00164719">
        <w:rPr>
          <w:sz w:val="19"/>
          <w:szCs w:val="19"/>
          <w:lang w:val="en-GB"/>
        </w:rPr>
        <w:fldChar w:fldCharType="end"/>
      </w:r>
      <w:r w:rsidRPr="00164719">
        <w:rPr>
          <w:color w:val="000000"/>
          <w:lang w:val="en-GB" w:eastAsia="bn-IN" w:bidi="bn-IN"/>
        </w:rPr>
        <w:t xml:space="preserve"> this may lead to risk of an interference issue;</w:t>
      </w:r>
    </w:p>
    <w:p w14:paraId="78221114" w14:textId="620D8916" w:rsidR="00EF2368" w:rsidRPr="00164719" w:rsidRDefault="004F0563" w:rsidP="00A2556C">
      <w:pPr>
        <w:pStyle w:val="ECCLetteredList"/>
        <w:numPr>
          <w:ilvl w:val="0"/>
          <w:numId w:val="15"/>
        </w:numPr>
        <w:ind w:left="357" w:hanging="357"/>
        <w:rPr>
          <w:color w:val="000000"/>
          <w:lang w:val="en-GB" w:eastAsia="bn-IN" w:bidi="bn-IN"/>
        </w:rPr>
      </w:pPr>
      <w:r w:rsidRPr="00164719">
        <w:rPr>
          <w:lang w:val="en-GB"/>
        </w:rPr>
        <w:lastRenderedPageBreak/>
        <w:t>For terminal stations, adjacent services are expected to be protected by requirements of the ETSI TS 138.101-2 v.17.6.0</w:t>
      </w:r>
      <w:r w:rsidR="00E50FA7">
        <w:rPr>
          <w:lang w:val="en-GB"/>
        </w:rPr>
        <w:t>,</w:t>
      </w:r>
      <w:r w:rsidRPr="00164719">
        <w:rPr>
          <w:lang w:val="en-GB"/>
        </w:rPr>
        <w:t>Table 6.5.2.1-1</w:t>
      </w:r>
      <w:r w:rsidR="00E50FA7">
        <w:rPr>
          <w:lang w:val="en-GB"/>
        </w:rPr>
        <w:t>,</w:t>
      </w:r>
      <w:r w:rsidRPr="00164719">
        <w:rPr>
          <w:lang w:val="en-GB"/>
        </w:rPr>
        <w:t xml:space="preserve"> </w:t>
      </w:r>
      <w:r w:rsidR="003628C3" w:rsidRPr="00164719">
        <w:rPr>
          <w:lang w:val="en-GB"/>
        </w:rPr>
        <w:fldChar w:fldCharType="begin"/>
      </w:r>
      <w:r w:rsidR="003628C3" w:rsidRPr="00164719">
        <w:rPr>
          <w:lang w:val="en-GB"/>
        </w:rPr>
        <w:instrText xml:space="preserve"> REF _Ref116554277 \r \h </w:instrText>
      </w:r>
      <w:r w:rsidR="003628C3" w:rsidRPr="00164719">
        <w:rPr>
          <w:lang w:val="en-GB"/>
        </w:rPr>
      </w:r>
      <w:r w:rsidR="003628C3" w:rsidRPr="00164719">
        <w:rPr>
          <w:lang w:val="en-GB"/>
        </w:rPr>
        <w:fldChar w:fldCharType="separate"/>
      </w:r>
      <w:r w:rsidR="003628C3" w:rsidRPr="00164719">
        <w:rPr>
          <w:lang w:val="en-GB"/>
        </w:rPr>
        <w:t>[9]</w:t>
      </w:r>
      <w:r w:rsidR="003628C3" w:rsidRPr="00164719">
        <w:rPr>
          <w:lang w:val="en-GB"/>
        </w:rPr>
        <w:fldChar w:fldCharType="end"/>
      </w:r>
      <w:r w:rsidR="0024692B">
        <w:rPr>
          <w:lang w:val="en-GB"/>
        </w:rPr>
        <w:t>;</w:t>
      </w:r>
    </w:p>
    <w:p w14:paraId="4DF61637" w14:textId="216AA66F" w:rsidR="00894105" w:rsidRPr="00164719" w:rsidRDefault="00B243FC" w:rsidP="00824161">
      <w:pPr>
        <w:pStyle w:val="ECCLetteredList"/>
        <w:numPr>
          <w:ilvl w:val="0"/>
          <w:numId w:val="15"/>
        </w:numPr>
        <w:ind w:left="357" w:hanging="357"/>
        <w:rPr>
          <w:lang w:val="en-GB"/>
        </w:rPr>
      </w:pPr>
      <w:r w:rsidRPr="00164719">
        <w:rPr>
          <w:lang w:val="en-GB"/>
        </w:rPr>
        <w:t xml:space="preserve">that the use of this frequency band by the mobile service for </w:t>
      </w:r>
      <w:r w:rsidR="0057010D" w:rsidRPr="00164719">
        <w:rPr>
          <w:lang w:val="en-GB"/>
        </w:rPr>
        <w:t xml:space="preserve">MFCN </w:t>
      </w:r>
      <w:r w:rsidRPr="00164719">
        <w:rPr>
          <w:lang w:val="en-GB"/>
        </w:rPr>
        <w:t>is intended for</w:t>
      </w:r>
      <w:r w:rsidR="00422DC2" w:rsidRPr="00164719">
        <w:rPr>
          <w:lang w:val="en-GB"/>
        </w:rPr>
        <w:t xml:space="preserve"> land mobile service use and sharing studies were conducted based on that assumption;</w:t>
      </w:r>
    </w:p>
    <w:p w14:paraId="4A43F0A3" w14:textId="20243A0E" w:rsidR="00B25603" w:rsidRPr="00164719" w:rsidRDefault="00B25603" w:rsidP="00B25603">
      <w:pPr>
        <w:pStyle w:val="ECCLetteredList"/>
        <w:numPr>
          <w:ilvl w:val="0"/>
          <w:numId w:val="15"/>
        </w:numPr>
        <w:ind w:left="357" w:hanging="357"/>
        <w:rPr>
          <w:color w:val="000000"/>
          <w:lang w:val="en-GB" w:eastAsia="bn-IN" w:bidi="bn-IN"/>
        </w:rPr>
      </w:pPr>
      <w:r w:rsidRPr="00164719">
        <w:rPr>
          <w:color w:val="000000"/>
          <w:lang w:val="en-GB" w:eastAsia="bn-IN" w:bidi="bn-IN"/>
        </w:rPr>
        <w:t xml:space="preserve">that WRC-19 also agreed on some other conditions to ensure protection of incumbent services as outlined in Resolution 243 (WRC-19) </w:t>
      </w:r>
      <w:r w:rsidRPr="00164719">
        <w:rPr>
          <w:color w:val="000000"/>
          <w:lang w:val="en-GB" w:eastAsia="bn-IN" w:bidi="bn-IN"/>
        </w:rPr>
        <w:fldChar w:fldCharType="begin"/>
      </w:r>
      <w:r w:rsidRPr="00164719">
        <w:rPr>
          <w:color w:val="000000"/>
          <w:lang w:val="en-GB" w:eastAsia="bn-IN" w:bidi="bn-IN"/>
        </w:rPr>
        <w:instrText xml:space="preserve"> REF _Ref104214334 \r \h </w:instrText>
      </w:r>
      <w:r w:rsidR="00557052" w:rsidRPr="00164719">
        <w:rPr>
          <w:color w:val="000000"/>
          <w:lang w:val="en-GB" w:eastAsia="bn-IN" w:bidi="bn-IN"/>
        </w:rPr>
        <w:instrText xml:space="preserve"> \* MERGEFORMAT </w:instrText>
      </w:r>
      <w:r w:rsidRPr="00164719">
        <w:rPr>
          <w:color w:val="000000"/>
          <w:lang w:val="en-GB" w:eastAsia="bn-IN" w:bidi="bn-IN"/>
        </w:rPr>
      </w:r>
      <w:r w:rsidRPr="00164719">
        <w:rPr>
          <w:color w:val="000000"/>
          <w:lang w:val="en-GB" w:eastAsia="bn-IN" w:bidi="bn-IN"/>
        </w:rPr>
        <w:fldChar w:fldCharType="separate"/>
      </w:r>
      <w:r w:rsidR="003628C3" w:rsidRPr="00164719">
        <w:rPr>
          <w:color w:val="000000"/>
          <w:lang w:val="en-GB" w:eastAsia="bn-IN" w:bidi="bn-IN"/>
        </w:rPr>
        <w:t>[10]</w:t>
      </w:r>
      <w:r w:rsidRPr="00164719">
        <w:rPr>
          <w:color w:val="000000"/>
          <w:lang w:val="en-GB" w:eastAsia="bn-IN" w:bidi="bn-IN"/>
        </w:rPr>
        <w:fldChar w:fldCharType="end"/>
      </w:r>
      <w:r w:rsidRPr="00164719">
        <w:rPr>
          <w:color w:val="000000"/>
          <w:lang w:val="en-GB" w:eastAsia="bn-IN" w:bidi="bn-IN"/>
        </w:rPr>
        <w:t>;</w:t>
      </w:r>
    </w:p>
    <w:p w14:paraId="7EA5A1A6" w14:textId="4B20425C" w:rsidR="0055593F" w:rsidRPr="00164719" w:rsidRDefault="0055593F" w:rsidP="00824161">
      <w:pPr>
        <w:pStyle w:val="ECCLetteredList"/>
        <w:numPr>
          <w:ilvl w:val="0"/>
          <w:numId w:val="15"/>
        </w:numPr>
        <w:ind w:left="357" w:hanging="357"/>
        <w:rPr>
          <w:lang w:val="en-GB"/>
        </w:rPr>
      </w:pPr>
      <w:r w:rsidRPr="00164719">
        <w:rPr>
          <w:lang w:val="en-GB"/>
        </w:rPr>
        <w:t xml:space="preserve">that sharing with active services above 40 GHz may be easier than systems operating at lower frequencies since high transmitting directivity can be achieved with antennas of practical size, the atmospheric attenuation is higher and the scattering of signals by the troposphere decreases </w:t>
      </w:r>
      <w:r w:rsidR="00DC05B0" w:rsidRPr="00164719">
        <w:rPr>
          <w:lang w:val="en-GB"/>
        </w:rPr>
        <w:fldChar w:fldCharType="begin"/>
      </w:r>
      <w:r w:rsidR="00DC05B0" w:rsidRPr="00164719">
        <w:rPr>
          <w:lang w:val="en-GB"/>
        </w:rPr>
        <w:instrText xml:space="preserve"> REF _Ref103593677 \r \h </w:instrText>
      </w:r>
      <w:r w:rsidR="00557052" w:rsidRPr="00164719">
        <w:rPr>
          <w:lang w:val="en-GB"/>
        </w:rPr>
        <w:instrText xml:space="preserve"> \* MERGEFORMAT </w:instrText>
      </w:r>
      <w:r w:rsidR="00DC05B0" w:rsidRPr="00164719">
        <w:rPr>
          <w:lang w:val="en-GB"/>
        </w:rPr>
      </w:r>
      <w:r w:rsidR="00DC05B0" w:rsidRPr="00164719">
        <w:rPr>
          <w:lang w:val="en-GB"/>
        </w:rPr>
        <w:fldChar w:fldCharType="separate"/>
      </w:r>
      <w:r w:rsidR="003628C3" w:rsidRPr="00164719">
        <w:rPr>
          <w:lang w:val="en-GB"/>
        </w:rPr>
        <w:t>[11]</w:t>
      </w:r>
      <w:r w:rsidR="00DC05B0" w:rsidRPr="00164719">
        <w:rPr>
          <w:lang w:val="en-GB"/>
        </w:rPr>
        <w:fldChar w:fldCharType="end"/>
      </w:r>
      <w:r w:rsidRPr="00164719">
        <w:rPr>
          <w:lang w:val="en-GB"/>
        </w:rPr>
        <w:t>;</w:t>
      </w:r>
    </w:p>
    <w:p w14:paraId="44B0EA67" w14:textId="77777777" w:rsidR="002F64BF" w:rsidRPr="00164719" w:rsidRDefault="002F64BF" w:rsidP="002F64BF">
      <w:pPr>
        <w:pStyle w:val="ECCLetteredList"/>
        <w:numPr>
          <w:ilvl w:val="0"/>
          <w:numId w:val="15"/>
        </w:numPr>
        <w:ind w:left="357" w:hanging="357"/>
        <w:rPr>
          <w:lang w:val="en-GB"/>
        </w:rPr>
      </w:pPr>
      <w:r w:rsidRPr="00164719">
        <w:rPr>
          <w:lang w:val="en-GB"/>
        </w:rPr>
        <w:t>that the properties of higher frequency bands, such as shorter wavelength, would better enable the use of advanced antenna systems, including multiple-input and multiple-output (MIMO) and beam-forming techniques, in supporting enhanced broadband;</w:t>
      </w:r>
    </w:p>
    <w:p w14:paraId="52F9E8EE" w14:textId="2BF510CE" w:rsidR="00157749" w:rsidRPr="00164719" w:rsidRDefault="00CF4408" w:rsidP="00824161">
      <w:pPr>
        <w:pStyle w:val="ECCLetteredList"/>
        <w:numPr>
          <w:ilvl w:val="0"/>
          <w:numId w:val="15"/>
        </w:numPr>
        <w:ind w:left="357" w:hanging="357"/>
        <w:rPr>
          <w:color w:val="000000"/>
          <w:lang w:val="en-GB" w:eastAsia="bn-IN" w:bidi="bn-IN"/>
        </w:rPr>
      </w:pPr>
      <w:r w:rsidRPr="00164719">
        <w:rPr>
          <w:lang w:val="en-GB"/>
        </w:rPr>
        <w:t>that the harmonised technical conditions for MFCN set out in this decision have been developed assuming an authorisation regime where the base station locations are known</w:t>
      </w:r>
      <w:r w:rsidR="00584923" w:rsidRPr="00164719">
        <w:rPr>
          <w:lang w:val="en-GB"/>
        </w:rPr>
        <w:t>;</w:t>
      </w:r>
    </w:p>
    <w:p w14:paraId="4509AD42" w14:textId="739287A0" w:rsidR="0041264D" w:rsidRPr="00164719" w:rsidRDefault="0041264D" w:rsidP="00824161">
      <w:pPr>
        <w:pStyle w:val="ECCLetteredList"/>
        <w:numPr>
          <w:ilvl w:val="0"/>
          <w:numId w:val="15"/>
        </w:numPr>
        <w:ind w:left="357" w:hanging="357"/>
        <w:rPr>
          <w:lang w:val="en-GB"/>
        </w:rPr>
      </w:pPr>
      <w:r w:rsidRPr="00164719">
        <w:rPr>
          <w:lang w:val="en-GB"/>
        </w:rPr>
        <w:t>that for an authorisation regime where the location</w:t>
      </w:r>
      <w:r w:rsidR="00584923" w:rsidRPr="00164719">
        <w:rPr>
          <w:lang w:val="en-GB"/>
        </w:rPr>
        <w:t>s</w:t>
      </w:r>
      <w:r w:rsidRPr="00164719">
        <w:rPr>
          <w:lang w:val="en-GB"/>
        </w:rPr>
        <w:t xml:space="preserve"> of base stations are not known in advance of installation, implementation of sharing conditions implies the need for information on relative location of/or distance between interferer and victim, or on the location of one of these when planning the location of the other station;</w:t>
      </w:r>
    </w:p>
    <w:p w14:paraId="73653FEC" w14:textId="294F7CA1" w:rsidR="00157749" w:rsidRPr="00164719" w:rsidRDefault="00DD3EE5" w:rsidP="00824161">
      <w:pPr>
        <w:pStyle w:val="ECCLetteredList"/>
        <w:numPr>
          <w:ilvl w:val="0"/>
          <w:numId w:val="15"/>
        </w:numPr>
        <w:ind w:left="357" w:hanging="357"/>
        <w:rPr>
          <w:color w:val="000000"/>
          <w:lang w:val="en-GB" w:eastAsia="bn-IN" w:bidi="bn-IN"/>
        </w:rPr>
      </w:pPr>
      <w:bookmarkStart w:id="6" w:name="_Ref62133717"/>
      <w:r w:rsidRPr="00164719">
        <w:rPr>
          <w:lang w:val="en-GB"/>
        </w:rPr>
        <w:t xml:space="preserve">that </w:t>
      </w:r>
      <w:r w:rsidR="00DD31B1" w:rsidRPr="00164719">
        <w:rPr>
          <w:lang w:val="en-GB"/>
        </w:rPr>
        <w:t>for an authorisation regime</w:t>
      </w:r>
      <w:r w:rsidRPr="00164719">
        <w:rPr>
          <w:lang w:val="en-GB"/>
        </w:rPr>
        <w:t xml:space="preserve"> </w:t>
      </w:r>
      <w:r w:rsidR="00CF4408" w:rsidRPr="00164719">
        <w:rPr>
          <w:lang w:val="en-GB"/>
        </w:rPr>
        <w:t xml:space="preserve">where the location of base stations </w:t>
      </w:r>
      <w:r w:rsidR="00E51C47" w:rsidRPr="00164719">
        <w:rPr>
          <w:lang w:val="en-GB"/>
        </w:rPr>
        <w:t xml:space="preserve">is </w:t>
      </w:r>
      <w:r w:rsidR="00CF4408" w:rsidRPr="00164719">
        <w:rPr>
          <w:lang w:val="en-GB"/>
        </w:rPr>
        <w:t>not known</w:t>
      </w:r>
      <w:r w:rsidR="0041264D" w:rsidRPr="00164719">
        <w:rPr>
          <w:lang w:val="en-GB"/>
        </w:rPr>
        <w:t xml:space="preserve"> in advance of installation, there is a need for administrations to assess if it is necessary to impose additional measures (see </w:t>
      </w:r>
      <w:r w:rsidR="00457738" w:rsidRPr="00164719">
        <w:rPr>
          <w:lang w:val="en-GB"/>
        </w:rPr>
        <w:fldChar w:fldCharType="begin"/>
      </w:r>
      <w:r w:rsidR="00457738" w:rsidRPr="00164719">
        <w:rPr>
          <w:lang w:val="en-GB"/>
        </w:rPr>
        <w:instrText xml:space="preserve"> REF _Ref103593576 \r \h </w:instrText>
      </w:r>
      <w:r w:rsidR="00557052" w:rsidRPr="00164719">
        <w:rPr>
          <w:lang w:val="en-GB"/>
        </w:rPr>
        <w:instrText xml:space="preserve"> \* MERGEFORMAT </w:instrText>
      </w:r>
      <w:r w:rsidR="00457738" w:rsidRPr="00164719">
        <w:rPr>
          <w:lang w:val="en-GB"/>
        </w:rPr>
      </w:r>
      <w:r w:rsidR="00457738" w:rsidRPr="00164719">
        <w:rPr>
          <w:lang w:val="en-GB"/>
        </w:rPr>
        <w:fldChar w:fldCharType="separate"/>
      </w:r>
      <w:r w:rsidR="004423E5" w:rsidRPr="00164719">
        <w:rPr>
          <w:lang w:val="en-GB"/>
        </w:rPr>
        <w:t>A</w:t>
      </w:r>
      <w:r w:rsidR="00352058" w:rsidRPr="00164719">
        <w:rPr>
          <w:lang w:val="en-GB"/>
        </w:rPr>
        <w:t>nnex</w:t>
      </w:r>
      <w:r w:rsidR="004423E5" w:rsidRPr="00164719">
        <w:rPr>
          <w:lang w:val="en-GB"/>
        </w:rPr>
        <w:t xml:space="preserve"> 3</w:t>
      </w:r>
      <w:r w:rsidR="00457738" w:rsidRPr="00164719">
        <w:rPr>
          <w:lang w:val="en-GB"/>
        </w:rPr>
        <w:fldChar w:fldCharType="end"/>
      </w:r>
      <w:r w:rsidR="0041264D" w:rsidRPr="00164719">
        <w:rPr>
          <w:lang w:val="en-GB"/>
        </w:rPr>
        <w:t xml:space="preserve">) while still respecting the least restrictive harmonised technical conditions in </w:t>
      </w:r>
      <w:r w:rsidR="00457738" w:rsidRPr="00164719">
        <w:rPr>
          <w:sz w:val="19"/>
          <w:szCs w:val="19"/>
          <w:lang w:val="en-GB"/>
        </w:rPr>
        <w:fldChar w:fldCharType="begin"/>
      </w:r>
      <w:r w:rsidR="00457738" w:rsidRPr="00164719">
        <w:rPr>
          <w:sz w:val="19"/>
          <w:szCs w:val="19"/>
          <w:lang w:val="en-GB"/>
        </w:rPr>
        <w:instrText xml:space="preserve"> REF _Ref103592490 \r \h </w:instrText>
      </w:r>
      <w:r w:rsidR="00557052" w:rsidRPr="00164719">
        <w:rPr>
          <w:sz w:val="19"/>
          <w:szCs w:val="19"/>
          <w:lang w:val="en-GB"/>
        </w:rPr>
        <w:instrText xml:space="preserve"> \* MERGEFORMAT </w:instrText>
      </w:r>
      <w:r w:rsidR="00457738" w:rsidRPr="00164719">
        <w:rPr>
          <w:sz w:val="19"/>
          <w:szCs w:val="19"/>
          <w:lang w:val="en-GB"/>
        </w:rPr>
      </w:r>
      <w:r w:rsidR="00457738" w:rsidRPr="00164719">
        <w:rPr>
          <w:sz w:val="19"/>
          <w:szCs w:val="19"/>
          <w:lang w:val="en-GB"/>
        </w:rPr>
        <w:fldChar w:fldCharType="separate"/>
      </w:r>
      <w:r w:rsidR="004423E5" w:rsidRPr="00164719">
        <w:rPr>
          <w:sz w:val="19"/>
          <w:szCs w:val="19"/>
          <w:lang w:val="en-GB"/>
        </w:rPr>
        <w:t>A</w:t>
      </w:r>
      <w:r w:rsidR="00352058" w:rsidRPr="00164719">
        <w:rPr>
          <w:sz w:val="19"/>
          <w:szCs w:val="19"/>
          <w:lang w:val="en-GB"/>
        </w:rPr>
        <w:t>nnex</w:t>
      </w:r>
      <w:r w:rsidR="004423E5" w:rsidRPr="00164719">
        <w:rPr>
          <w:sz w:val="19"/>
          <w:szCs w:val="19"/>
          <w:lang w:val="en-GB"/>
        </w:rPr>
        <w:t xml:space="preserve"> 2</w:t>
      </w:r>
      <w:r w:rsidR="00457738" w:rsidRPr="00164719">
        <w:rPr>
          <w:sz w:val="19"/>
          <w:szCs w:val="19"/>
          <w:lang w:val="en-GB"/>
        </w:rPr>
        <w:fldChar w:fldCharType="end"/>
      </w:r>
      <w:r w:rsidR="00584923" w:rsidRPr="00164719">
        <w:rPr>
          <w:lang w:val="en-GB"/>
        </w:rPr>
        <w:t>;</w:t>
      </w:r>
    </w:p>
    <w:p w14:paraId="119D374D" w14:textId="7B39F992" w:rsidR="0001116F" w:rsidRPr="00164719" w:rsidRDefault="00E639C7" w:rsidP="00824161">
      <w:pPr>
        <w:pStyle w:val="ECCLetteredList"/>
        <w:numPr>
          <w:ilvl w:val="0"/>
          <w:numId w:val="15"/>
        </w:numPr>
        <w:ind w:left="357" w:hanging="357"/>
        <w:rPr>
          <w:lang w:val="en-GB"/>
        </w:rPr>
      </w:pPr>
      <w:bookmarkStart w:id="7" w:name="_Ref62134043"/>
      <w:bookmarkEnd w:id="6"/>
      <w:r w:rsidRPr="00164719">
        <w:rPr>
          <w:lang w:val="en-GB" w:eastAsia="zh-CN"/>
        </w:rPr>
        <w:t>t</w:t>
      </w:r>
      <w:r w:rsidR="00F33039" w:rsidRPr="00164719">
        <w:rPr>
          <w:lang w:val="en-GB" w:eastAsia="zh-CN"/>
        </w:rPr>
        <w:t xml:space="preserve">hat </w:t>
      </w:r>
      <w:r w:rsidR="00EB7FB2" w:rsidRPr="00164719">
        <w:rPr>
          <w:lang w:val="en-GB" w:eastAsia="zh-CN"/>
        </w:rPr>
        <w:t xml:space="preserve">CEPT </w:t>
      </w:r>
      <w:r w:rsidR="00C23F81" w:rsidRPr="00164719">
        <w:rPr>
          <w:lang w:val="en-GB" w:eastAsia="zh-CN"/>
        </w:rPr>
        <w:t>has</w:t>
      </w:r>
      <w:r w:rsidR="00EB7FB2" w:rsidRPr="00164719">
        <w:rPr>
          <w:lang w:val="en-GB" w:eastAsia="zh-CN"/>
        </w:rPr>
        <w:t xml:space="preserve"> develop</w:t>
      </w:r>
      <w:r w:rsidR="00C23F81" w:rsidRPr="00164719">
        <w:rPr>
          <w:lang w:val="en-GB" w:eastAsia="zh-CN"/>
        </w:rPr>
        <w:t>ed</w:t>
      </w:r>
      <w:r w:rsidR="00DA53D1" w:rsidRPr="00164719">
        <w:rPr>
          <w:lang w:val="en-GB" w:eastAsia="zh-CN"/>
        </w:rPr>
        <w:t xml:space="preserve"> </w:t>
      </w:r>
      <w:r w:rsidR="00EB7FB2" w:rsidRPr="00164719">
        <w:rPr>
          <w:lang w:val="en-GB" w:eastAsia="zh-CN"/>
        </w:rPr>
        <w:t>ECC Recommendation (2</w:t>
      </w:r>
      <w:r w:rsidR="003A4A3F" w:rsidRPr="00164719">
        <w:rPr>
          <w:lang w:val="en-GB" w:eastAsia="zh-CN"/>
        </w:rPr>
        <w:t>2</w:t>
      </w:r>
      <w:r w:rsidR="00EB7FB2" w:rsidRPr="00164719">
        <w:rPr>
          <w:lang w:val="en-GB" w:eastAsia="zh-CN"/>
        </w:rPr>
        <w:t>)</w:t>
      </w:r>
      <w:r w:rsidR="00EA326B" w:rsidRPr="00164719">
        <w:rPr>
          <w:lang w:val="en-GB" w:eastAsia="zh-CN"/>
        </w:rPr>
        <w:t>01</w:t>
      </w:r>
      <w:r w:rsidR="00EB7FB2" w:rsidRPr="00164719">
        <w:rPr>
          <w:lang w:val="en-GB" w:eastAsia="zh-CN"/>
        </w:rPr>
        <w:t xml:space="preserve"> </w:t>
      </w:r>
      <w:r w:rsidR="00137F51" w:rsidRPr="00164719">
        <w:rPr>
          <w:lang w:val="en-GB" w:eastAsia="zh-CN"/>
        </w:rPr>
        <w:fldChar w:fldCharType="begin"/>
      </w:r>
      <w:r w:rsidR="00137F51" w:rsidRPr="00164719">
        <w:rPr>
          <w:lang w:val="en-GB" w:eastAsia="zh-CN"/>
        </w:rPr>
        <w:instrText xml:space="preserve"> REF _Ref104214122 \r \h </w:instrText>
      </w:r>
      <w:r w:rsidR="00557052" w:rsidRPr="00164719">
        <w:rPr>
          <w:lang w:val="en-GB" w:eastAsia="zh-CN"/>
        </w:rPr>
        <w:instrText xml:space="preserve"> \* MERGEFORMAT </w:instrText>
      </w:r>
      <w:r w:rsidR="00137F51" w:rsidRPr="00164719">
        <w:rPr>
          <w:lang w:val="en-GB" w:eastAsia="zh-CN"/>
        </w:rPr>
      </w:r>
      <w:r w:rsidR="00137F51" w:rsidRPr="00164719">
        <w:rPr>
          <w:lang w:val="en-GB" w:eastAsia="zh-CN"/>
        </w:rPr>
        <w:fldChar w:fldCharType="separate"/>
      </w:r>
      <w:r w:rsidR="004423E5" w:rsidRPr="00164719">
        <w:rPr>
          <w:lang w:val="en-GB" w:eastAsia="zh-CN"/>
        </w:rPr>
        <w:t>[4]</w:t>
      </w:r>
      <w:r w:rsidR="00137F51" w:rsidRPr="00164719">
        <w:rPr>
          <w:lang w:val="en-GB" w:eastAsia="zh-CN"/>
        </w:rPr>
        <w:fldChar w:fldCharType="end"/>
      </w:r>
      <w:r w:rsidR="00137F51" w:rsidRPr="00164719">
        <w:rPr>
          <w:lang w:val="en-GB" w:eastAsia="zh-CN"/>
        </w:rPr>
        <w:t xml:space="preserve"> </w:t>
      </w:r>
      <w:r w:rsidR="003A4A3F" w:rsidRPr="00164719">
        <w:rPr>
          <w:lang w:val="en-GB" w:eastAsia="zh-CN"/>
        </w:rPr>
        <w:t>w</w:t>
      </w:r>
      <w:r w:rsidR="00E4697B" w:rsidRPr="00164719">
        <w:rPr>
          <w:lang w:val="en-GB" w:eastAsia="zh-CN"/>
        </w:rPr>
        <w:t>hi</w:t>
      </w:r>
      <w:r w:rsidR="003A4A3F" w:rsidRPr="00164719">
        <w:rPr>
          <w:lang w:val="en-GB" w:eastAsia="zh-CN"/>
        </w:rPr>
        <w:t>ch</w:t>
      </w:r>
      <w:r w:rsidR="00E4697B" w:rsidRPr="00164719">
        <w:rPr>
          <w:lang w:val="en-GB" w:eastAsia="zh-CN"/>
        </w:rPr>
        <w:t xml:space="preserve"> address</w:t>
      </w:r>
      <w:r w:rsidR="003A4A3F" w:rsidRPr="00164719">
        <w:rPr>
          <w:lang w:val="en-GB" w:eastAsia="zh-CN"/>
        </w:rPr>
        <w:t>es</w:t>
      </w:r>
      <w:r w:rsidR="00E4697B" w:rsidRPr="00164719">
        <w:rPr>
          <w:lang w:val="en-GB" w:eastAsia="zh-CN"/>
        </w:rPr>
        <w:t xml:space="preserve"> transmitting earth stations in the frequency band 42.5-43.5</w:t>
      </w:r>
      <w:r w:rsidR="00372C7E" w:rsidRPr="00164719">
        <w:rPr>
          <w:lang w:val="en-GB" w:eastAsia="zh-CN"/>
        </w:rPr>
        <w:t xml:space="preserve"> </w:t>
      </w:r>
      <w:r w:rsidR="00E4697B" w:rsidRPr="00164719">
        <w:rPr>
          <w:lang w:val="en-GB" w:eastAsia="zh-CN"/>
        </w:rPr>
        <w:t>GHz and receiving earth stations in the frequency band 40.5-42.5</w:t>
      </w:r>
      <w:r w:rsidR="00372C7E" w:rsidRPr="00164719">
        <w:rPr>
          <w:lang w:val="en-GB" w:eastAsia="zh-CN"/>
        </w:rPr>
        <w:t xml:space="preserve"> </w:t>
      </w:r>
      <w:r w:rsidR="00E4697B" w:rsidRPr="00164719">
        <w:rPr>
          <w:lang w:val="en-GB" w:eastAsia="zh-CN"/>
        </w:rPr>
        <w:t>GHz, for GSO and non-GSO satellite systems</w:t>
      </w:r>
      <w:r w:rsidRPr="00164719">
        <w:rPr>
          <w:lang w:val="en-GB" w:eastAsia="zh-CN"/>
        </w:rPr>
        <w:t>;</w:t>
      </w:r>
      <w:bookmarkEnd w:id="7"/>
    </w:p>
    <w:p w14:paraId="575F4ACE" w14:textId="0DE6A37A" w:rsidR="00F44CBE" w:rsidRPr="00164719" w:rsidRDefault="00F44CBE" w:rsidP="00824161">
      <w:pPr>
        <w:pStyle w:val="ECCLetteredList"/>
        <w:numPr>
          <w:ilvl w:val="0"/>
          <w:numId w:val="15"/>
        </w:numPr>
        <w:ind w:left="357" w:hanging="357"/>
        <w:rPr>
          <w:lang w:val="en-GB"/>
        </w:rPr>
      </w:pPr>
      <w:r w:rsidRPr="00164719">
        <w:rPr>
          <w:lang w:val="en-GB" w:eastAsia="zh-CN"/>
        </w:rPr>
        <w:t>that CEPT</w:t>
      </w:r>
      <w:r w:rsidR="0041264D" w:rsidRPr="00164719">
        <w:rPr>
          <w:lang w:val="en-GB" w:eastAsia="zh-CN"/>
        </w:rPr>
        <w:t xml:space="preserve"> has</w:t>
      </w:r>
      <w:r w:rsidRPr="00164719">
        <w:rPr>
          <w:lang w:val="en-GB" w:eastAsia="zh-CN"/>
        </w:rPr>
        <w:t xml:space="preserve"> develop</w:t>
      </w:r>
      <w:r w:rsidR="0041264D" w:rsidRPr="00164719">
        <w:rPr>
          <w:lang w:val="en-GB" w:eastAsia="zh-CN"/>
        </w:rPr>
        <w:t>ed</w:t>
      </w:r>
      <w:r w:rsidRPr="00164719">
        <w:rPr>
          <w:lang w:val="en-GB" w:eastAsia="zh-CN"/>
        </w:rPr>
        <w:t xml:space="preserve"> ECC Recommendation (2</w:t>
      </w:r>
      <w:r w:rsidR="003A4A3F" w:rsidRPr="00164719">
        <w:rPr>
          <w:lang w:val="en-GB" w:eastAsia="zh-CN"/>
        </w:rPr>
        <w:t>2</w:t>
      </w:r>
      <w:r w:rsidRPr="00164719">
        <w:rPr>
          <w:lang w:val="en-GB" w:eastAsia="zh-CN"/>
        </w:rPr>
        <w:t>)</w:t>
      </w:r>
      <w:r w:rsidR="00EA326B" w:rsidRPr="00164719">
        <w:rPr>
          <w:lang w:val="en-GB" w:eastAsia="zh-CN"/>
        </w:rPr>
        <w:t>02</w:t>
      </w:r>
      <w:r w:rsidR="003A4A3F" w:rsidRPr="00164719">
        <w:rPr>
          <w:lang w:val="en-GB" w:eastAsia="zh-CN"/>
        </w:rPr>
        <w:t xml:space="preserve"> </w:t>
      </w:r>
      <w:r w:rsidR="00137F51" w:rsidRPr="00164719">
        <w:rPr>
          <w:lang w:val="en-GB" w:eastAsia="zh-CN"/>
        </w:rPr>
        <w:fldChar w:fldCharType="begin"/>
      </w:r>
      <w:r w:rsidR="00137F51" w:rsidRPr="00164719">
        <w:rPr>
          <w:lang w:val="en-GB" w:eastAsia="zh-CN"/>
        </w:rPr>
        <w:instrText xml:space="preserve"> REF _Ref104214129 \r \h </w:instrText>
      </w:r>
      <w:r w:rsidR="00557052" w:rsidRPr="00164719">
        <w:rPr>
          <w:lang w:val="en-GB" w:eastAsia="zh-CN"/>
        </w:rPr>
        <w:instrText xml:space="preserve"> \* MERGEFORMAT </w:instrText>
      </w:r>
      <w:r w:rsidR="00137F51" w:rsidRPr="00164719">
        <w:rPr>
          <w:lang w:val="en-GB" w:eastAsia="zh-CN"/>
        </w:rPr>
      </w:r>
      <w:r w:rsidR="00137F51" w:rsidRPr="00164719">
        <w:rPr>
          <w:lang w:val="en-GB" w:eastAsia="zh-CN"/>
        </w:rPr>
        <w:fldChar w:fldCharType="separate"/>
      </w:r>
      <w:r w:rsidR="004423E5" w:rsidRPr="00164719">
        <w:rPr>
          <w:lang w:val="en-GB" w:eastAsia="zh-CN"/>
        </w:rPr>
        <w:t>[5]</w:t>
      </w:r>
      <w:r w:rsidR="00137F51" w:rsidRPr="00164719">
        <w:rPr>
          <w:lang w:val="en-GB" w:eastAsia="zh-CN"/>
        </w:rPr>
        <w:fldChar w:fldCharType="end"/>
      </w:r>
      <w:r w:rsidR="00137F51" w:rsidRPr="00164719">
        <w:rPr>
          <w:lang w:val="en-GB" w:eastAsia="zh-CN"/>
        </w:rPr>
        <w:t xml:space="preserve"> </w:t>
      </w:r>
      <w:r w:rsidR="003A4A3F" w:rsidRPr="00164719">
        <w:rPr>
          <w:lang w:val="en-GB" w:eastAsia="zh-CN"/>
        </w:rPr>
        <w:t>which</w:t>
      </w:r>
      <w:r w:rsidR="00157749" w:rsidRPr="00164719">
        <w:rPr>
          <w:lang w:val="en-GB" w:eastAsia="zh-CN"/>
        </w:rPr>
        <w:t xml:space="preserve"> addresses receiving FSS earth stations, which</w:t>
      </w:r>
      <w:r w:rsidR="007241F7" w:rsidRPr="00164719">
        <w:rPr>
          <w:lang w:val="en-GB" w:eastAsia="zh-CN"/>
        </w:rPr>
        <w:t xml:space="preserve"> (as well as </w:t>
      </w:r>
      <w:r w:rsidR="00157749" w:rsidRPr="00164719">
        <w:rPr>
          <w:lang w:val="en-GB" w:eastAsia="zh-CN"/>
        </w:rPr>
        <w:t>MSS earth stations</w:t>
      </w:r>
      <w:r w:rsidR="007241F7" w:rsidRPr="00164719">
        <w:rPr>
          <w:lang w:val="en-GB" w:eastAsia="zh-CN"/>
        </w:rPr>
        <w:t>)</w:t>
      </w:r>
      <w:r w:rsidR="00157749" w:rsidRPr="00164719">
        <w:rPr>
          <w:lang w:val="en-GB" w:eastAsia="zh-CN"/>
        </w:rPr>
        <w:t xml:space="preserve"> are designated for use in the frequency band 39.5-40.5</w:t>
      </w:r>
      <w:r w:rsidR="00372C7E" w:rsidRPr="00164719">
        <w:rPr>
          <w:lang w:val="en-GB" w:eastAsia="zh-CN"/>
        </w:rPr>
        <w:t xml:space="preserve"> </w:t>
      </w:r>
      <w:r w:rsidR="00157749" w:rsidRPr="00164719">
        <w:rPr>
          <w:lang w:val="en-GB" w:eastAsia="zh-CN"/>
        </w:rPr>
        <w:t>GHz, for GSO and non-GSO satellite systems, th</w:t>
      </w:r>
      <w:r w:rsidR="00D85026" w:rsidRPr="00164719">
        <w:rPr>
          <w:lang w:val="en-GB" w:eastAsia="zh-CN"/>
        </w:rPr>
        <w:t>r</w:t>
      </w:r>
      <w:r w:rsidR="00157749" w:rsidRPr="00164719">
        <w:rPr>
          <w:lang w:val="en-GB" w:eastAsia="zh-CN"/>
        </w:rPr>
        <w:t>ough ERC Decision (00)02</w:t>
      </w:r>
      <w:r w:rsidR="003628C3" w:rsidRPr="00164719">
        <w:rPr>
          <w:lang w:val="en-GB" w:eastAsia="zh-CN"/>
        </w:rPr>
        <w:t xml:space="preserve"> </w:t>
      </w:r>
      <w:r w:rsidR="003628C3" w:rsidRPr="00164719">
        <w:rPr>
          <w:lang w:val="en-GB" w:eastAsia="zh-CN"/>
        </w:rPr>
        <w:fldChar w:fldCharType="begin"/>
      </w:r>
      <w:r w:rsidR="003628C3" w:rsidRPr="00164719">
        <w:rPr>
          <w:lang w:val="en-GB" w:eastAsia="zh-CN"/>
        </w:rPr>
        <w:instrText xml:space="preserve"> REF _Ref116554645 \r \h </w:instrText>
      </w:r>
      <w:r w:rsidR="003628C3" w:rsidRPr="00164719">
        <w:rPr>
          <w:lang w:val="en-GB" w:eastAsia="zh-CN"/>
        </w:rPr>
      </w:r>
      <w:r w:rsidR="003628C3" w:rsidRPr="00164719">
        <w:rPr>
          <w:lang w:val="en-GB" w:eastAsia="zh-CN"/>
        </w:rPr>
        <w:fldChar w:fldCharType="separate"/>
      </w:r>
      <w:r w:rsidR="003628C3" w:rsidRPr="00164719">
        <w:rPr>
          <w:lang w:val="en-GB" w:eastAsia="zh-CN"/>
        </w:rPr>
        <w:t>[12]</w:t>
      </w:r>
      <w:r w:rsidR="003628C3" w:rsidRPr="00164719">
        <w:rPr>
          <w:lang w:val="en-GB" w:eastAsia="zh-CN"/>
        </w:rPr>
        <w:fldChar w:fldCharType="end"/>
      </w:r>
      <w:r w:rsidR="00E639C7" w:rsidRPr="00164719">
        <w:rPr>
          <w:lang w:val="en-GB" w:eastAsia="zh-CN"/>
        </w:rPr>
        <w:t>;</w:t>
      </w:r>
    </w:p>
    <w:p w14:paraId="27361494" w14:textId="77777777" w:rsidR="00860C44" w:rsidRPr="00164719" w:rsidRDefault="00860C44" w:rsidP="00860C44">
      <w:pPr>
        <w:pStyle w:val="ECCLetteredList"/>
        <w:numPr>
          <w:ilvl w:val="0"/>
          <w:numId w:val="15"/>
        </w:numPr>
        <w:ind w:left="357" w:hanging="357"/>
        <w:rPr>
          <w:lang w:val="en-GB"/>
        </w:rPr>
      </w:pPr>
      <w:r w:rsidRPr="00164719">
        <w:rPr>
          <w:lang w:val="en-GB"/>
        </w:rPr>
        <w:t>that CEPT administrations should rapidly report on interference cases on FSS earth stations caused by MFCN above 40.5 GHz and their resolution to the Office;</w:t>
      </w:r>
    </w:p>
    <w:p w14:paraId="7DC5A5C3" w14:textId="71871E94" w:rsidR="006F551D" w:rsidRPr="00164719" w:rsidRDefault="006F551D" w:rsidP="00824161">
      <w:pPr>
        <w:pStyle w:val="ECCLetteredList"/>
        <w:numPr>
          <w:ilvl w:val="0"/>
          <w:numId w:val="15"/>
        </w:numPr>
        <w:ind w:left="357" w:hanging="357"/>
        <w:rPr>
          <w:lang w:val="en-GB"/>
        </w:rPr>
      </w:pPr>
      <w:bookmarkStart w:id="8" w:name="_Ref514761435"/>
      <w:r w:rsidRPr="00164719">
        <w:rPr>
          <w:lang w:val="en-GB"/>
        </w:rPr>
        <w:t xml:space="preserve">that sharing studies have shown that FSS </w:t>
      </w:r>
      <w:r w:rsidR="0001116F" w:rsidRPr="00164719">
        <w:rPr>
          <w:lang w:val="en-GB"/>
        </w:rPr>
        <w:t>space stations in the frequency band 42.</w:t>
      </w:r>
      <w:r w:rsidR="0093092D" w:rsidRPr="00164719">
        <w:rPr>
          <w:lang w:val="en-GB"/>
        </w:rPr>
        <w:t>5</w:t>
      </w:r>
      <w:r w:rsidR="0001116F" w:rsidRPr="00164719">
        <w:rPr>
          <w:lang w:val="en-GB"/>
        </w:rPr>
        <w:t xml:space="preserve">-43.5 GHz </w:t>
      </w:r>
      <w:r w:rsidRPr="00164719">
        <w:rPr>
          <w:lang w:val="en-GB"/>
        </w:rPr>
        <w:t xml:space="preserve">would be protected with a margin of more than </w:t>
      </w:r>
      <w:r w:rsidR="003F2216" w:rsidRPr="00164719">
        <w:rPr>
          <w:lang w:val="en-GB"/>
        </w:rPr>
        <w:t>16</w:t>
      </w:r>
      <w:r w:rsidRPr="00164719">
        <w:rPr>
          <w:lang w:val="en-GB"/>
        </w:rPr>
        <w:t xml:space="preserve"> dB</w:t>
      </w:r>
      <w:r w:rsidR="003F2216" w:rsidRPr="00164719">
        <w:rPr>
          <w:lang w:val="en-GB"/>
        </w:rPr>
        <w:t xml:space="preserve"> for GSO and </w:t>
      </w:r>
      <w:r w:rsidR="00AD1C09" w:rsidRPr="00164719">
        <w:rPr>
          <w:lang w:val="en-GB"/>
        </w:rPr>
        <w:t>24.3</w:t>
      </w:r>
      <w:r w:rsidR="001F56FA" w:rsidRPr="00164719">
        <w:rPr>
          <w:lang w:val="en-GB"/>
        </w:rPr>
        <w:t xml:space="preserve"> dB for NGSO</w:t>
      </w:r>
      <w:r w:rsidRPr="00164719">
        <w:rPr>
          <w:lang w:val="en-GB"/>
        </w:rPr>
        <w:t>, based on agreed assumptions, and it will be necessary to ensure that these services remain protected;</w:t>
      </w:r>
      <w:bookmarkEnd w:id="8"/>
    </w:p>
    <w:p w14:paraId="22751D62" w14:textId="5CBDEE56" w:rsidR="003F6E62" w:rsidRPr="00164719" w:rsidRDefault="003F6E62" w:rsidP="00824161">
      <w:pPr>
        <w:pStyle w:val="ECCLetteredList"/>
        <w:numPr>
          <w:ilvl w:val="0"/>
          <w:numId w:val="15"/>
        </w:numPr>
        <w:ind w:left="357" w:hanging="357"/>
        <w:rPr>
          <w:lang w:val="en-GB"/>
        </w:rPr>
      </w:pPr>
      <w:r w:rsidRPr="00164719">
        <w:rPr>
          <w:lang w:val="en-GB" w:eastAsia="zh-CN"/>
        </w:rPr>
        <w:t xml:space="preserve">that </w:t>
      </w:r>
      <w:r w:rsidR="00DF7AF8" w:rsidRPr="00164719">
        <w:rPr>
          <w:lang w:val="en-GB" w:eastAsia="zh-CN"/>
        </w:rPr>
        <w:t>for outdoor base stations</w:t>
      </w:r>
      <w:r w:rsidR="00067BB7" w:rsidRPr="00164719">
        <w:rPr>
          <w:lang w:val="en-GB" w:eastAsia="zh-CN"/>
        </w:rPr>
        <w:t xml:space="preserve"> operating in 42.5-43.5 GHz</w:t>
      </w:r>
      <w:r w:rsidR="00DF7AF8" w:rsidRPr="00164719">
        <w:rPr>
          <w:lang w:val="en-GB" w:eastAsia="zh-CN"/>
        </w:rPr>
        <w:t xml:space="preserve"> </w:t>
      </w:r>
      <w:r w:rsidRPr="00164719">
        <w:rPr>
          <w:lang w:val="en-GB" w:eastAsia="zh-CN"/>
        </w:rPr>
        <w:t>the pointing elevation of the main beam should normally be below the horizon</w:t>
      </w:r>
      <w:r w:rsidR="00263F04" w:rsidRPr="00164719">
        <w:rPr>
          <w:lang w:val="en-GB" w:eastAsia="zh-CN"/>
        </w:rPr>
        <w:t>, and also the mechanical pointing needs to be at or below the horizon</w:t>
      </w:r>
      <w:r w:rsidRPr="00164719">
        <w:rPr>
          <w:lang w:val="en-GB" w:eastAsia="zh-CN"/>
        </w:rPr>
        <w:t>;</w:t>
      </w:r>
    </w:p>
    <w:p w14:paraId="01F4EFAE" w14:textId="77777777" w:rsidR="005722A6" w:rsidRPr="00164719" w:rsidRDefault="005722A6" w:rsidP="00824161">
      <w:pPr>
        <w:pStyle w:val="ECCLetteredList"/>
        <w:numPr>
          <w:ilvl w:val="0"/>
          <w:numId w:val="15"/>
        </w:numPr>
        <w:ind w:left="357" w:hanging="357"/>
        <w:rPr>
          <w:lang w:val="en-GB"/>
        </w:rPr>
      </w:pPr>
      <w:r w:rsidRPr="00164719">
        <w:rPr>
          <w:lang w:val="en-GB"/>
        </w:rPr>
        <w:t xml:space="preserve">that very limited number of </w:t>
      </w:r>
      <w:r w:rsidR="002F4C1C" w:rsidRPr="00164719">
        <w:rPr>
          <w:lang w:val="en-GB"/>
        </w:rPr>
        <w:t xml:space="preserve">MFCN </w:t>
      </w:r>
      <w:r w:rsidRPr="00164719">
        <w:rPr>
          <w:lang w:val="en-GB"/>
        </w:rPr>
        <w:t xml:space="preserve">base stations will be communicating with a positive elevation angle towards </w:t>
      </w:r>
      <w:r w:rsidR="002F4C1C" w:rsidRPr="00164719">
        <w:rPr>
          <w:lang w:val="en-GB"/>
        </w:rPr>
        <w:t>MFCN</w:t>
      </w:r>
      <w:r w:rsidRPr="00164719">
        <w:rPr>
          <w:lang w:val="en-GB"/>
        </w:rPr>
        <w:t xml:space="preserve"> indoor mobile stations;</w:t>
      </w:r>
    </w:p>
    <w:p w14:paraId="2C9B86BB" w14:textId="038BD6D9" w:rsidR="00873D43" w:rsidRPr="00164719" w:rsidRDefault="00873D43" w:rsidP="00824161">
      <w:pPr>
        <w:pStyle w:val="ECCLetteredList"/>
        <w:numPr>
          <w:ilvl w:val="0"/>
          <w:numId w:val="15"/>
        </w:numPr>
        <w:ind w:left="357" w:hanging="357"/>
        <w:rPr>
          <w:lang w:val="en-GB"/>
        </w:rPr>
      </w:pPr>
      <w:r w:rsidRPr="00164719">
        <w:rPr>
          <w:lang w:val="en-GB"/>
        </w:rPr>
        <w:t>that outdoor base stations are normally installed below the rooftops in urban/suburban areas, which significantly increases the clutter loss and thus reduces necessary separation distances with respect to stations on the ground</w:t>
      </w:r>
      <w:r w:rsidR="001D71FA" w:rsidRPr="00164719">
        <w:rPr>
          <w:lang w:val="en-GB"/>
        </w:rPr>
        <w:t xml:space="preserve"> of</w:t>
      </w:r>
      <w:r w:rsidRPr="00164719">
        <w:rPr>
          <w:lang w:val="en-GB"/>
        </w:rPr>
        <w:t xml:space="preserve"> </w:t>
      </w:r>
      <w:r w:rsidR="001D71FA" w:rsidRPr="00164719">
        <w:rPr>
          <w:lang w:val="en-GB"/>
        </w:rPr>
        <w:t xml:space="preserve">the </w:t>
      </w:r>
      <w:r w:rsidRPr="00164719">
        <w:rPr>
          <w:lang w:val="en-GB"/>
        </w:rPr>
        <w:t>RAS or FSS (</w:t>
      </w:r>
      <w:r w:rsidR="003F05CC" w:rsidRPr="00164719">
        <w:rPr>
          <w:lang w:val="en-GB"/>
        </w:rPr>
        <w:t>e</w:t>
      </w:r>
      <w:r w:rsidRPr="00164719">
        <w:rPr>
          <w:lang w:val="en-GB"/>
        </w:rPr>
        <w:t>arth stations);</w:t>
      </w:r>
    </w:p>
    <w:p w14:paraId="5B3098BA" w14:textId="5E151127" w:rsidR="00C16C2B" w:rsidRPr="00164719" w:rsidRDefault="00C16C2B" w:rsidP="00824161">
      <w:pPr>
        <w:pStyle w:val="ECCLetteredList"/>
        <w:numPr>
          <w:ilvl w:val="0"/>
          <w:numId w:val="15"/>
        </w:numPr>
        <w:ind w:left="357" w:hanging="357"/>
        <w:rPr>
          <w:lang w:val="en-GB"/>
        </w:rPr>
      </w:pPr>
      <w:r w:rsidRPr="00164719">
        <w:rPr>
          <w:lang w:val="en-GB" w:eastAsia="zh-CN"/>
        </w:rPr>
        <w:t xml:space="preserve">that coexistence issues between fixed links and MFCN in the </w:t>
      </w:r>
      <w:r w:rsidR="00074492" w:rsidRPr="00164719">
        <w:rPr>
          <w:lang w:val="en-GB" w:eastAsia="zh-CN"/>
        </w:rPr>
        <w:t>40</w:t>
      </w:r>
      <w:r w:rsidR="006C4636" w:rsidRPr="00164719">
        <w:rPr>
          <w:lang w:val="en-GB" w:eastAsia="zh-CN"/>
        </w:rPr>
        <w:t>.5</w:t>
      </w:r>
      <w:r w:rsidR="0095384C" w:rsidRPr="00164719">
        <w:rPr>
          <w:lang w:val="en-GB" w:eastAsia="zh-CN"/>
        </w:rPr>
        <w:t>-</w:t>
      </w:r>
      <w:r w:rsidR="006C4636" w:rsidRPr="00164719">
        <w:rPr>
          <w:lang w:val="en-GB" w:eastAsia="zh-CN"/>
        </w:rPr>
        <w:t>43.5</w:t>
      </w:r>
      <w:r w:rsidRPr="00164719">
        <w:rPr>
          <w:lang w:val="en-GB" w:eastAsia="zh-CN"/>
        </w:rPr>
        <w:t xml:space="preserve"> GHz frequency band will be managed at national level or </w:t>
      </w:r>
      <w:r w:rsidR="008104F6" w:rsidRPr="00164719">
        <w:rPr>
          <w:lang w:val="en-GB" w:eastAsia="zh-CN"/>
        </w:rPr>
        <w:t>through bilateral agreements for cross-border coordination</w:t>
      </w:r>
      <w:r w:rsidRPr="00164719">
        <w:rPr>
          <w:lang w:val="en-GB" w:eastAsia="zh-CN"/>
        </w:rPr>
        <w:t>;</w:t>
      </w:r>
    </w:p>
    <w:p w14:paraId="6E2808AF" w14:textId="21991B04" w:rsidR="003A4A3F" w:rsidRPr="00164719" w:rsidRDefault="00A4478E" w:rsidP="00824161">
      <w:pPr>
        <w:pStyle w:val="ECCLetteredList"/>
        <w:numPr>
          <w:ilvl w:val="0"/>
          <w:numId w:val="15"/>
        </w:numPr>
        <w:ind w:left="357" w:hanging="357"/>
        <w:rPr>
          <w:lang w:val="en-GB"/>
        </w:rPr>
      </w:pPr>
      <w:r w:rsidRPr="00164719">
        <w:rPr>
          <w:lang w:val="en-GB"/>
        </w:rPr>
        <w:t xml:space="preserve">that the protection of </w:t>
      </w:r>
      <w:r w:rsidR="00EB7FB2" w:rsidRPr="00164719">
        <w:rPr>
          <w:lang w:val="en-GB"/>
        </w:rPr>
        <w:t xml:space="preserve">current and future </w:t>
      </w:r>
      <w:r w:rsidRPr="00164719">
        <w:rPr>
          <w:lang w:val="en-GB"/>
        </w:rPr>
        <w:t xml:space="preserve">RAS </w:t>
      </w:r>
      <w:r w:rsidR="00EB7FB2" w:rsidRPr="00164719">
        <w:rPr>
          <w:lang w:val="en-GB"/>
        </w:rPr>
        <w:t xml:space="preserve">stations </w:t>
      </w:r>
      <w:r w:rsidRPr="00164719">
        <w:rPr>
          <w:lang w:val="en-GB"/>
        </w:rPr>
        <w:t xml:space="preserve">will require the implementation of suitable </w:t>
      </w:r>
      <w:r w:rsidR="00DD3EE5" w:rsidRPr="00164719">
        <w:rPr>
          <w:lang w:val="en-GB"/>
        </w:rPr>
        <w:t xml:space="preserve">exclusion </w:t>
      </w:r>
      <w:r w:rsidR="00033E81" w:rsidRPr="00164719">
        <w:rPr>
          <w:lang w:val="en-GB"/>
        </w:rPr>
        <w:t>zones around</w:t>
      </w:r>
      <w:r w:rsidRPr="00164719">
        <w:rPr>
          <w:lang w:val="en-GB"/>
        </w:rPr>
        <w:t xml:space="preserve"> RAS stations on a case-by-case basis;</w:t>
      </w:r>
    </w:p>
    <w:p w14:paraId="0D2290E3" w14:textId="77777777" w:rsidR="00EB7FB2" w:rsidRPr="00164719" w:rsidRDefault="00D67AF4" w:rsidP="00824161">
      <w:pPr>
        <w:pStyle w:val="ECCLetteredList"/>
        <w:numPr>
          <w:ilvl w:val="0"/>
          <w:numId w:val="15"/>
        </w:numPr>
        <w:ind w:left="357" w:hanging="357"/>
        <w:rPr>
          <w:lang w:val="en-GB"/>
        </w:rPr>
      </w:pPr>
      <w:r w:rsidRPr="00164719">
        <w:rPr>
          <w:lang w:val="en-GB"/>
        </w:rPr>
        <w:lastRenderedPageBreak/>
        <w:t xml:space="preserve">that the </w:t>
      </w:r>
      <w:r w:rsidRPr="00164719">
        <w:rPr>
          <w:lang w:val="en-GB" w:eastAsia="zh-CN"/>
        </w:rPr>
        <w:t xml:space="preserve">coverage of outdoor hotspot has been assumed in sharing studies to be achieved with the deployment of base stations communicating with terminals on the ground and a very limited number of indoor terminals with positive elevation, resulting in an </w:t>
      </w:r>
      <w:r w:rsidRPr="00164719">
        <w:rPr>
          <w:lang w:val="en-GB"/>
        </w:rPr>
        <w:t xml:space="preserve">elevation of the main beam </w:t>
      </w:r>
      <w:r w:rsidRPr="00164719">
        <w:rPr>
          <w:lang w:val="en-GB" w:eastAsia="zh-CN"/>
        </w:rPr>
        <w:t xml:space="preserve">of outdoor base stations </w:t>
      </w:r>
      <w:r w:rsidRPr="00164719">
        <w:rPr>
          <w:lang w:val="en-GB"/>
        </w:rPr>
        <w:t xml:space="preserve">normally </w:t>
      </w:r>
      <w:r w:rsidRPr="00164719">
        <w:rPr>
          <w:lang w:val="en-GB" w:eastAsia="zh-CN"/>
        </w:rPr>
        <w:t>below</w:t>
      </w:r>
      <w:r w:rsidRPr="00164719">
        <w:rPr>
          <w:lang w:val="en-GB"/>
        </w:rPr>
        <w:t xml:space="preserve"> the horizon</w:t>
      </w:r>
      <w:r w:rsidRPr="00164719">
        <w:rPr>
          <w:lang w:val="en-GB" w:eastAsia="zh-CN"/>
        </w:rPr>
        <w:t>, thus with high discrimination towards the satellites;</w:t>
      </w:r>
    </w:p>
    <w:p w14:paraId="2DE64450" w14:textId="14677426" w:rsidR="00873D43" w:rsidRPr="00164719" w:rsidRDefault="005F0FFF" w:rsidP="00824161">
      <w:pPr>
        <w:pStyle w:val="ECCLetteredList"/>
        <w:numPr>
          <w:ilvl w:val="0"/>
          <w:numId w:val="15"/>
        </w:numPr>
        <w:ind w:left="357" w:hanging="357"/>
        <w:rPr>
          <w:lang w:val="en-GB"/>
        </w:rPr>
      </w:pPr>
      <w:bookmarkStart w:id="9" w:name="_Ref62134119"/>
      <w:r w:rsidRPr="00164719">
        <w:rPr>
          <w:lang w:val="en-GB"/>
        </w:rPr>
        <w:t>that ECC Report 309 analyses the usage of aerial UE for communication in current MFCN harmonised frequency bands but has not studied the 40.5</w:t>
      </w:r>
      <w:r w:rsidR="0095384C" w:rsidRPr="00164719">
        <w:rPr>
          <w:lang w:val="en-GB"/>
        </w:rPr>
        <w:t>-</w:t>
      </w:r>
      <w:r w:rsidRPr="00164719">
        <w:rPr>
          <w:lang w:val="en-GB"/>
        </w:rPr>
        <w:t>43.5 GHz frequency band</w:t>
      </w:r>
      <w:r w:rsidR="00C23F81" w:rsidRPr="00164719">
        <w:rPr>
          <w:lang w:val="en-GB"/>
        </w:rPr>
        <w:t>. Further studies are required in order to identify relevant technical and operational conditions for the usage of aerial UE in this frequency band</w:t>
      </w:r>
      <w:bookmarkEnd w:id="9"/>
      <w:r w:rsidR="00BC434A" w:rsidRPr="00164719">
        <w:rPr>
          <w:lang w:val="en-GB"/>
        </w:rPr>
        <w:t>;</w:t>
      </w:r>
    </w:p>
    <w:p w14:paraId="674BC64A" w14:textId="6F72E63C" w:rsidR="00EB7FB2" w:rsidRPr="00164719" w:rsidRDefault="00EB7FB2" w:rsidP="00824161">
      <w:pPr>
        <w:pStyle w:val="ECCLetteredList"/>
        <w:numPr>
          <w:ilvl w:val="0"/>
          <w:numId w:val="15"/>
        </w:numPr>
        <w:ind w:left="357" w:hanging="357"/>
        <w:rPr>
          <w:lang w:val="en-GB"/>
        </w:rPr>
      </w:pPr>
      <w:r w:rsidRPr="00164719">
        <w:rPr>
          <w:lang w:val="en-GB"/>
        </w:rPr>
        <w:t xml:space="preserve">that in EU/EFTA countries the radio equipment that is under the scope of this Decision shall comply with the RE Directive </w:t>
      </w:r>
      <w:r w:rsidR="00C151BC" w:rsidRPr="00164719">
        <w:rPr>
          <w:lang w:val="en-GB"/>
        </w:rPr>
        <w:fldChar w:fldCharType="begin"/>
      </w:r>
      <w:r w:rsidR="00C151BC" w:rsidRPr="00164719">
        <w:rPr>
          <w:lang w:val="en-GB"/>
        </w:rPr>
        <w:instrText xml:space="preserve"> REF _Ref104215820 \r \h </w:instrText>
      </w:r>
      <w:r w:rsidR="00557052" w:rsidRPr="00164719">
        <w:rPr>
          <w:lang w:val="en-GB"/>
        </w:rPr>
        <w:instrText xml:space="preserve"> \* MERGEFORMAT </w:instrText>
      </w:r>
      <w:r w:rsidR="00C151BC" w:rsidRPr="00164719">
        <w:rPr>
          <w:lang w:val="en-GB"/>
        </w:rPr>
      </w:r>
      <w:r w:rsidR="00C151BC" w:rsidRPr="00164719">
        <w:rPr>
          <w:lang w:val="en-GB"/>
        </w:rPr>
        <w:fldChar w:fldCharType="separate"/>
      </w:r>
      <w:r w:rsidR="003628C3" w:rsidRPr="00164719">
        <w:rPr>
          <w:lang w:val="en-GB"/>
        </w:rPr>
        <w:t>[13]</w:t>
      </w:r>
      <w:r w:rsidR="00C151BC" w:rsidRPr="00164719">
        <w:rPr>
          <w:lang w:val="en-GB"/>
        </w:rPr>
        <w:fldChar w:fldCharType="end"/>
      </w:r>
      <w:r w:rsidRPr="00164719">
        <w:rPr>
          <w:lang w:val="en-GB"/>
        </w:rPr>
        <w:t>. Conformity with the essential requirements of the RE Directive may be demonstrated by compliance with the applicable harmonised European standard(s) or by using the other conformity assessment procedures set out in the RE Directive.</w:t>
      </w:r>
    </w:p>
    <w:p w14:paraId="6102FE57" w14:textId="52D660F0" w:rsidR="00D67AF4" w:rsidRPr="00164719" w:rsidRDefault="00D67AF4" w:rsidP="00FC447D">
      <w:pPr>
        <w:tabs>
          <w:tab w:val="left" w:pos="567"/>
        </w:tabs>
        <w:spacing w:after="240"/>
        <w:jc w:val="both"/>
        <w:rPr>
          <w:lang w:val="en-GB"/>
        </w:rPr>
      </w:pPr>
    </w:p>
    <w:p w14:paraId="4AE43A4E" w14:textId="77777777" w:rsidR="006C03D0" w:rsidRPr="00164719" w:rsidRDefault="005F7AD5">
      <w:pPr>
        <w:pStyle w:val="ECCParagraph"/>
        <w:rPr>
          <w:color w:val="D2232A"/>
        </w:rPr>
      </w:pPr>
      <w:r w:rsidRPr="00164719">
        <w:rPr>
          <w:i/>
          <w:color w:val="D2232A"/>
        </w:rPr>
        <w:t>DECIDES</w:t>
      </w:r>
    </w:p>
    <w:p w14:paraId="309D8EFD" w14:textId="66C60372" w:rsidR="00A41673" w:rsidRPr="00164719" w:rsidRDefault="00386E29">
      <w:pPr>
        <w:pStyle w:val="NumberedList"/>
        <w:spacing w:after="120"/>
      </w:pPr>
      <w:r w:rsidRPr="00164719">
        <w:t>that CEPT administrations shall designate the frequency band 4</w:t>
      </w:r>
      <w:r w:rsidR="00CE0B60" w:rsidRPr="00164719">
        <w:t>0</w:t>
      </w:r>
      <w:r w:rsidRPr="00164719">
        <w:t>.5-</w:t>
      </w:r>
      <w:r w:rsidR="00CE0B60" w:rsidRPr="00164719">
        <w:t>43</w:t>
      </w:r>
      <w:r w:rsidRPr="00164719">
        <w:t>.5 GHz for MFCN on a non-exclusive basis to Mobile/Fixed Communications Networks (MFCN)</w:t>
      </w:r>
      <w:r w:rsidR="00540802" w:rsidRPr="00164719">
        <w:t>;</w:t>
      </w:r>
    </w:p>
    <w:p w14:paraId="278352C8" w14:textId="1F11E6E0" w:rsidR="00672ADC" w:rsidRPr="00164719" w:rsidRDefault="00672ADC">
      <w:pPr>
        <w:pStyle w:val="NumberedList"/>
        <w:spacing w:after="120"/>
      </w:pPr>
      <w:r w:rsidRPr="00164719">
        <w:t>that CEPT administrations wishing to introduce MFCN in the band 4</w:t>
      </w:r>
      <w:r w:rsidR="007D5AC7" w:rsidRPr="00164719">
        <w:t>0</w:t>
      </w:r>
      <w:r w:rsidRPr="00164719">
        <w:t>.5-</w:t>
      </w:r>
      <w:r w:rsidR="007D5AC7" w:rsidRPr="00164719">
        <w:t>43</w:t>
      </w:r>
      <w:r w:rsidRPr="00164719">
        <w:t xml:space="preserve">.5 GHz shall apply the frequency arrangement and technical conditions according to </w:t>
      </w:r>
      <w:r w:rsidR="00CF1EBE" w:rsidRPr="00164719">
        <w:t xml:space="preserve">Decides </w:t>
      </w:r>
      <w:r w:rsidR="00C151BC" w:rsidRPr="00164719">
        <w:fldChar w:fldCharType="begin"/>
      </w:r>
      <w:r w:rsidR="00C151BC" w:rsidRPr="00164719">
        <w:instrText xml:space="preserve"> REF _Ref104215841 \r \h </w:instrText>
      </w:r>
      <w:r w:rsidR="00557052" w:rsidRPr="00164719">
        <w:instrText xml:space="preserve"> \* MERGEFORMAT </w:instrText>
      </w:r>
      <w:r w:rsidR="00C151BC" w:rsidRPr="00164719">
        <w:fldChar w:fldCharType="separate"/>
      </w:r>
      <w:r w:rsidR="008952CC">
        <w:t>3</w:t>
      </w:r>
      <w:r w:rsidR="00C151BC" w:rsidRPr="00164719">
        <w:fldChar w:fldCharType="end"/>
      </w:r>
      <w:r w:rsidR="001D63BB" w:rsidRPr="00164719">
        <w:t xml:space="preserve">, </w:t>
      </w:r>
      <w:r w:rsidR="00C151BC" w:rsidRPr="00164719">
        <w:fldChar w:fldCharType="begin"/>
      </w:r>
      <w:r w:rsidR="00C151BC" w:rsidRPr="00164719">
        <w:instrText xml:space="preserve"> REF _Ref104215846 \r \h </w:instrText>
      </w:r>
      <w:r w:rsidR="00557052" w:rsidRPr="00164719">
        <w:instrText xml:space="preserve"> \* MERGEFORMAT </w:instrText>
      </w:r>
      <w:r w:rsidR="00C151BC" w:rsidRPr="00164719">
        <w:fldChar w:fldCharType="separate"/>
      </w:r>
      <w:r w:rsidR="008952CC">
        <w:t>4</w:t>
      </w:r>
      <w:r w:rsidR="00C151BC" w:rsidRPr="00164719">
        <w:fldChar w:fldCharType="end"/>
      </w:r>
      <w:r w:rsidR="007D5AC7" w:rsidRPr="00164719">
        <w:t xml:space="preserve"> and</w:t>
      </w:r>
      <w:r w:rsidR="00A054EA" w:rsidRPr="00164719">
        <w:t xml:space="preserve"> </w:t>
      </w:r>
      <w:r w:rsidR="00C151BC" w:rsidRPr="00164719">
        <w:fldChar w:fldCharType="begin"/>
      </w:r>
      <w:r w:rsidR="00C151BC" w:rsidRPr="00164719">
        <w:instrText xml:space="preserve"> REF _Ref104215851 \r \h </w:instrText>
      </w:r>
      <w:r w:rsidR="00557052" w:rsidRPr="00164719">
        <w:instrText xml:space="preserve"> \* MERGEFORMAT </w:instrText>
      </w:r>
      <w:r w:rsidR="00C151BC" w:rsidRPr="00164719">
        <w:fldChar w:fldCharType="separate"/>
      </w:r>
      <w:r w:rsidR="008952CC">
        <w:t>6</w:t>
      </w:r>
      <w:r w:rsidR="00C151BC" w:rsidRPr="00164719">
        <w:fldChar w:fldCharType="end"/>
      </w:r>
      <w:r w:rsidR="007D5AC7" w:rsidRPr="00164719">
        <w:t>;</w:t>
      </w:r>
    </w:p>
    <w:p w14:paraId="6B3E9734" w14:textId="146AEF48" w:rsidR="0030240E" w:rsidRPr="00164719" w:rsidRDefault="0030240E">
      <w:pPr>
        <w:pStyle w:val="NumberedList"/>
      </w:pPr>
      <w:bookmarkStart w:id="10" w:name="_Ref104215841"/>
      <w:r w:rsidRPr="00164719">
        <w:t xml:space="preserve">that the MFCN frequency arrangement in the band </w:t>
      </w:r>
      <w:r w:rsidR="006F1FCE" w:rsidRPr="00164719">
        <w:t>40.5</w:t>
      </w:r>
      <w:r w:rsidR="0095384C" w:rsidRPr="00164719">
        <w:t>-</w:t>
      </w:r>
      <w:r w:rsidR="006F1FCE" w:rsidRPr="00164719">
        <w:t xml:space="preserve">43.5 </w:t>
      </w:r>
      <w:r w:rsidRPr="00164719">
        <w:t xml:space="preserve">GHz is Time Division Duplex (TDD) frequency arrangement as provided in </w:t>
      </w:r>
      <w:r w:rsidR="00457738" w:rsidRPr="00164719">
        <w:fldChar w:fldCharType="begin"/>
      </w:r>
      <w:r w:rsidR="00457738" w:rsidRPr="00164719">
        <w:instrText xml:space="preserve"> REF _Ref103593559 \r \h </w:instrText>
      </w:r>
      <w:r w:rsidR="00457738" w:rsidRPr="00164719">
        <w:fldChar w:fldCharType="separate"/>
      </w:r>
      <w:r w:rsidR="008952CC">
        <w:t>A</w:t>
      </w:r>
      <w:r w:rsidR="00352058">
        <w:t>nnex</w:t>
      </w:r>
      <w:r w:rsidR="008952CC">
        <w:t xml:space="preserve"> 1</w:t>
      </w:r>
      <w:r w:rsidR="00457738" w:rsidRPr="00164719">
        <w:fldChar w:fldCharType="end"/>
      </w:r>
      <w:r w:rsidRPr="00164719">
        <w:t>;</w:t>
      </w:r>
      <w:bookmarkEnd w:id="10"/>
    </w:p>
    <w:p w14:paraId="5B3B9D54" w14:textId="39A733E8" w:rsidR="000F3919" w:rsidRPr="00164719" w:rsidRDefault="00FE4CD5">
      <w:pPr>
        <w:pStyle w:val="NumberedList"/>
      </w:pPr>
      <w:bookmarkStart w:id="11" w:name="_Ref104215846"/>
      <w:r w:rsidRPr="00164719">
        <w:t xml:space="preserve">that the Least Restrictive Technical Conditions (LRTC) specified in </w:t>
      </w:r>
      <w:r w:rsidR="00457738" w:rsidRPr="00164719">
        <w:rPr>
          <w:sz w:val="19"/>
          <w:szCs w:val="19"/>
        </w:rPr>
        <w:fldChar w:fldCharType="begin"/>
      </w:r>
      <w:r w:rsidR="00457738" w:rsidRPr="00164719">
        <w:rPr>
          <w:sz w:val="19"/>
          <w:szCs w:val="19"/>
        </w:rPr>
        <w:instrText xml:space="preserve"> REF _Ref103592490 \r \h </w:instrText>
      </w:r>
      <w:r w:rsidR="00457738" w:rsidRPr="00164719">
        <w:rPr>
          <w:sz w:val="19"/>
          <w:szCs w:val="19"/>
        </w:rPr>
      </w:r>
      <w:r w:rsidR="00457738" w:rsidRPr="00164719">
        <w:rPr>
          <w:sz w:val="19"/>
          <w:szCs w:val="19"/>
        </w:rPr>
        <w:fldChar w:fldCharType="separate"/>
      </w:r>
      <w:r w:rsidR="008952CC">
        <w:rPr>
          <w:sz w:val="19"/>
          <w:szCs w:val="19"/>
        </w:rPr>
        <w:t>A</w:t>
      </w:r>
      <w:r w:rsidR="00352058">
        <w:rPr>
          <w:sz w:val="19"/>
          <w:szCs w:val="19"/>
        </w:rPr>
        <w:t>nnex</w:t>
      </w:r>
      <w:r w:rsidR="008952CC">
        <w:rPr>
          <w:sz w:val="19"/>
          <w:szCs w:val="19"/>
        </w:rPr>
        <w:t xml:space="preserve"> 2</w:t>
      </w:r>
      <w:r w:rsidR="00457738" w:rsidRPr="00164719">
        <w:rPr>
          <w:sz w:val="19"/>
          <w:szCs w:val="19"/>
        </w:rPr>
        <w:fldChar w:fldCharType="end"/>
      </w:r>
      <w:r w:rsidRPr="00164719">
        <w:t xml:space="preserve"> shall apply to the MFCN systems;</w:t>
      </w:r>
      <w:bookmarkEnd w:id="11"/>
    </w:p>
    <w:p w14:paraId="7DCCEDA7" w14:textId="142568EA" w:rsidR="00EB7FB2" w:rsidRPr="00164719" w:rsidRDefault="002D1FAD" w:rsidP="007E1333">
      <w:pPr>
        <w:pStyle w:val="NumberedList"/>
      </w:pPr>
      <w:r w:rsidRPr="00164719">
        <w:t>that this Decision</w:t>
      </w:r>
      <w:r w:rsidR="00F33039" w:rsidRPr="00164719">
        <w:t>,</w:t>
      </w:r>
      <w:r w:rsidRPr="00164719">
        <w:t xml:space="preserve"> does not preclude the use of the band by other services to which the band is allocated</w:t>
      </w:r>
      <w:r w:rsidR="007E1333" w:rsidRPr="00164719">
        <w:t xml:space="preserve"> and administrations should maintain the possibility of existing and future FSS earth stations to operate </w:t>
      </w:r>
      <w:bookmarkStart w:id="12" w:name="_Ref43803776"/>
      <w:r w:rsidR="005F0FFF" w:rsidRPr="00164719">
        <w:t xml:space="preserve">in the band </w:t>
      </w:r>
      <w:r w:rsidR="002C0CB3" w:rsidRPr="00164719">
        <w:t>accordingly</w:t>
      </w:r>
      <w:r w:rsidR="008C0307" w:rsidRPr="00164719">
        <w:t>;</w:t>
      </w:r>
    </w:p>
    <w:p w14:paraId="39C62198" w14:textId="37A40D40" w:rsidR="0051035A" w:rsidRPr="00164719" w:rsidRDefault="008C0307" w:rsidP="009F2D94">
      <w:pPr>
        <w:pStyle w:val="NumberedList"/>
      </w:pPr>
      <w:bookmarkStart w:id="13" w:name="_Ref104215851"/>
      <w:r w:rsidRPr="00164719">
        <w:t>t</w:t>
      </w:r>
      <w:r w:rsidR="005F0FFF" w:rsidRPr="00164719">
        <w:t>hat</w:t>
      </w:r>
      <w:r w:rsidR="009F2D94" w:rsidRPr="00164719">
        <w:t xml:space="preserve"> Administrations shou</w:t>
      </w:r>
      <w:r w:rsidR="000A6A28" w:rsidRPr="00164719">
        <w:t>l</w:t>
      </w:r>
      <w:r w:rsidR="009F2D94" w:rsidRPr="00164719">
        <w:t>d ensure, in compliance with the relevant technical conditions in the Annex</w:t>
      </w:r>
      <w:r w:rsidR="00536E1A" w:rsidRPr="00164719">
        <w:t>es</w:t>
      </w:r>
      <w:r w:rsidR="009F2D94" w:rsidRPr="00164719">
        <w:t xml:space="preserve">, that the MFCN </w:t>
      </w:r>
      <w:r w:rsidR="007E1333" w:rsidRPr="00164719">
        <w:t xml:space="preserve">referred in </w:t>
      </w:r>
      <w:r w:rsidR="00536E1A" w:rsidRPr="00164719">
        <w:t xml:space="preserve">Decides </w:t>
      </w:r>
      <w:r w:rsidR="009F2D94" w:rsidRPr="00164719">
        <w:t xml:space="preserve">1 appropriately protect </w:t>
      </w:r>
      <w:r w:rsidR="00536E1A" w:rsidRPr="00164719">
        <w:t>radio astronomy s</w:t>
      </w:r>
      <w:r w:rsidR="009F2D94" w:rsidRPr="00164719">
        <w:t>ervice in the 42.5-43.5 GHz</w:t>
      </w:r>
      <w:r w:rsidR="007E1333" w:rsidRPr="00164719">
        <w:t xml:space="preserve"> and</w:t>
      </w:r>
      <w:r w:rsidR="009F2D94" w:rsidRPr="00164719">
        <w:t xml:space="preserve"> </w:t>
      </w:r>
      <w:r w:rsidR="007E1333" w:rsidRPr="00164719">
        <w:t xml:space="preserve">receiving </w:t>
      </w:r>
      <w:r w:rsidR="009F2D94" w:rsidRPr="00164719">
        <w:t>earth stations in 40.5-42.5 GHz</w:t>
      </w:r>
      <w:r w:rsidRPr="00164719">
        <w:t>;</w:t>
      </w:r>
      <w:bookmarkEnd w:id="13"/>
    </w:p>
    <w:p w14:paraId="70D0FD5A" w14:textId="3B220693" w:rsidR="00EB7FB2" w:rsidRPr="00164719" w:rsidRDefault="008C0307" w:rsidP="00540802">
      <w:pPr>
        <w:pStyle w:val="NumberedList"/>
      </w:pPr>
      <w:r w:rsidRPr="00164719">
        <w:t>that</w:t>
      </w:r>
      <w:r w:rsidR="005F0FFF" w:rsidRPr="00164719">
        <w:t xml:space="preserve"> MFCN in the 40.5-43.5 GHz band sh</w:t>
      </w:r>
      <w:r w:rsidR="002C0CB3" w:rsidRPr="00164719">
        <w:t>ould</w:t>
      </w:r>
      <w:r w:rsidR="005F0FFF" w:rsidRPr="00164719">
        <w:t xml:space="preserve"> not be used for connectivity from base stations to aerial UE and may only </w:t>
      </w:r>
      <w:r w:rsidR="00540802" w:rsidRPr="00164719">
        <w:t xml:space="preserve">be </w:t>
      </w:r>
      <w:r w:rsidR="005F0FFF" w:rsidRPr="00164719">
        <w:t>used for connectivity from aerial UE to base stations after completion of coexistence studies that demonstrate compatibility with incumbent services;</w:t>
      </w:r>
      <w:bookmarkEnd w:id="12"/>
    </w:p>
    <w:p w14:paraId="1C94490E" w14:textId="4B89CCEC" w:rsidR="00EB7FB2" w:rsidRPr="00164719" w:rsidRDefault="008C0307">
      <w:pPr>
        <w:pStyle w:val="NumberedList"/>
      </w:pPr>
      <w:r w:rsidRPr="00164719">
        <w:t>t</w:t>
      </w:r>
      <w:r w:rsidR="00EB7FB2" w:rsidRPr="00164719">
        <w:t xml:space="preserve">hat administrations wishing to introduce MFCN where the location of base stations </w:t>
      </w:r>
      <w:r w:rsidR="002C0CB3" w:rsidRPr="00164719">
        <w:t>is</w:t>
      </w:r>
      <w:r w:rsidR="00EB7FB2" w:rsidRPr="00164719">
        <w:t xml:space="preserve"> not known</w:t>
      </w:r>
      <w:r w:rsidR="00540802" w:rsidRPr="00164719">
        <w:t xml:space="preserve"> in advance of installation,</w:t>
      </w:r>
      <w:r w:rsidR="00EB7FB2" w:rsidRPr="00164719">
        <w:t xml:space="preserve"> shall consider the additional technical measures on a national basis as provided in </w:t>
      </w:r>
      <w:r w:rsidR="00457738" w:rsidRPr="00164719">
        <w:fldChar w:fldCharType="begin"/>
      </w:r>
      <w:r w:rsidR="00457738" w:rsidRPr="00164719">
        <w:instrText xml:space="preserve"> REF _Ref103593576 \r \h </w:instrText>
      </w:r>
      <w:r w:rsidR="00457738" w:rsidRPr="00164719">
        <w:fldChar w:fldCharType="separate"/>
      </w:r>
      <w:r w:rsidR="00457738" w:rsidRPr="00164719">
        <w:t>A</w:t>
      </w:r>
      <w:r w:rsidR="00352058" w:rsidRPr="00164719">
        <w:t>nnex</w:t>
      </w:r>
      <w:r w:rsidR="00457738" w:rsidRPr="00164719">
        <w:t xml:space="preserve"> 3</w:t>
      </w:r>
      <w:r w:rsidR="00457738" w:rsidRPr="00164719">
        <w:fldChar w:fldCharType="end"/>
      </w:r>
      <w:r w:rsidRPr="00164719">
        <w:t>;</w:t>
      </w:r>
    </w:p>
    <w:p w14:paraId="20401644" w14:textId="23B23923" w:rsidR="003A7E25" w:rsidRPr="00164719" w:rsidRDefault="008C0307" w:rsidP="003A7E25">
      <w:pPr>
        <w:pStyle w:val="NumberedList"/>
      </w:pPr>
      <w:r w:rsidRPr="00164719">
        <w:t>t</w:t>
      </w:r>
      <w:r w:rsidR="003A7E25" w:rsidRPr="00164719">
        <w:t>hat administrations are invited to monitor and report annually to the Office on deployment of MFCN in their country in the band 40.5-43.5 GHz;</w:t>
      </w:r>
    </w:p>
    <w:p w14:paraId="485C2458" w14:textId="3203F325" w:rsidR="007E1333" w:rsidRPr="00164719" w:rsidRDefault="007E1333" w:rsidP="00E741B4">
      <w:pPr>
        <w:pStyle w:val="NumberedList"/>
      </w:pPr>
      <w:r w:rsidRPr="00164719">
        <w:t xml:space="preserve">that administrations should rapidly report on interference cases on FSS </w:t>
      </w:r>
      <w:r w:rsidR="00EB3781" w:rsidRPr="00164719">
        <w:t xml:space="preserve">earth </w:t>
      </w:r>
      <w:r w:rsidRPr="00164719">
        <w:t>stations caused by MFCN above 40.5 GHz and their resolution to the Office;</w:t>
      </w:r>
    </w:p>
    <w:p w14:paraId="7FC3578D" w14:textId="492D207A" w:rsidR="009D03A8" w:rsidRPr="00164719" w:rsidRDefault="00AD1A29" w:rsidP="00557052">
      <w:pPr>
        <w:pStyle w:val="NumberedList"/>
      </w:pPr>
      <w:r w:rsidRPr="00164719">
        <w:t xml:space="preserve">that this Decision </w:t>
      </w:r>
      <w:r w:rsidRPr="00164719">
        <w:rPr>
          <w:b/>
        </w:rPr>
        <w:t>enters into force</w:t>
      </w:r>
      <w:r w:rsidRPr="00164719">
        <w:t xml:space="preserve"> </w:t>
      </w:r>
      <w:r w:rsidR="00D54B4D" w:rsidRPr="00164719">
        <w:t xml:space="preserve">on </w:t>
      </w:r>
      <w:r w:rsidR="00600799">
        <w:t>18 November 2022</w:t>
      </w:r>
      <w:r w:rsidR="009D03A8" w:rsidRPr="00164719">
        <w:t xml:space="preserve"> and should be reviewed 3 years after this date, or earlier if needed;</w:t>
      </w:r>
    </w:p>
    <w:p w14:paraId="79D7FE56" w14:textId="6343B21F" w:rsidR="00713DBA" w:rsidRPr="00164719" w:rsidRDefault="00D90B0A">
      <w:pPr>
        <w:pStyle w:val="NumberedList"/>
      </w:pPr>
      <w:r w:rsidRPr="00164719">
        <w:t>that the preferred</w:t>
      </w:r>
      <w:r w:rsidR="00713DBA" w:rsidRPr="00164719">
        <w:t xml:space="preserve"> </w:t>
      </w:r>
      <w:r w:rsidR="00713DBA" w:rsidRPr="00164719">
        <w:rPr>
          <w:b/>
        </w:rPr>
        <w:t>date for implementation</w:t>
      </w:r>
      <w:r w:rsidR="00713DBA" w:rsidRPr="00164719">
        <w:t xml:space="preserve"> of this Decision shall be </w:t>
      </w:r>
      <w:r w:rsidR="00600799">
        <w:t>18 May 2023</w:t>
      </w:r>
      <w:r w:rsidR="00713DBA" w:rsidRPr="00164719">
        <w:t>;</w:t>
      </w:r>
    </w:p>
    <w:p w14:paraId="6E45235F" w14:textId="77777777" w:rsidR="006C03D0" w:rsidRPr="00164719" w:rsidRDefault="00713DBA">
      <w:pPr>
        <w:pStyle w:val="NumberedList"/>
        <w:keepNext/>
      </w:pPr>
      <w:r w:rsidRPr="00164719">
        <w:lastRenderedPageBreak/>
        <w:t xml:space="preserve">that CEPT administrations shall communicate the </w:t>
      </w:r>
      <w:r w:rsidRPr="00164719">
        <w:rPr>
          <w:b/>
        </w:rPr>
        <w:t>national measures</w:t>
      </w:r>
      <w:r w:rsidRPr="00164719">
        <w:t xml:space="preserve"> implementing this Decision to the ECC Chairman and the Office when th</w:t>
      </w:r>
      <w:r w:rsidR="00F32EE8" w:rsidRPr="00164719">
        <w:t>is ECC</w:t>
      </w:r>
      <w:r w:rsidRPr="00164719">
        <w:t xml:space="preserve"> Decision is nationally implemented.”</w:t>
      </w:r>
    </w:p>
    <w:p w14:paraId="6D6AF6B5" w14:textId="77777777" w:rsidR="001C46EA" w:rsidRPr="00164719" w:rsidRDefault="001C46EA">
      <w:pPr>
        <w:pStyle w:val="ECCParagraph"/>
        <w:keepNext/>
      </w:pPr>
    </w:p>
    <w:p w14:paraId="3B87800E" w14:textId="77777777" w:rsidR="001C46EA" w:rsidRPr="00164719" w:rsidRDefault="001C46EA">
      <w:pPr>
        <w:pStyle w:val="ECCParagraph"/>
        <w:keepNext/>
        <w:rPr>
          <w:i/>
          <w:color w:val="D2232A"/>
        </w:rPr>
      </w:pPr>
      <w:r w:rsidRPr="00164719">
        <w:rPr>
          <w:i/>
          <w:color w:val="D2232A"/>
        </w:rPr>
        <w:t xml:space="preserve">Note: </w:t>
      </w:r>
    </w:p>
    <w:p w14:paraId="58486E21" w14:textId="792751DF" w:rsidR="001C46EA" w:rsidRPr="00164719" w:rsidRDefault="001C46EA">
      <w:pPr>
        <w:pStyle w:val="ECCParagraph"/>
        <w:keepNext/>
      </w:pPr>
      <w:r w:rsidRPr="00164719">
        <w:rPr>
          <w:i/>
          <w:szCs w:val="20"/>
        </w:rPr>
        <w:t xml:space="preserve">Please check the Office documentation database </w:t>
      </w:r>
      <w:hyperlink r:id="rId11" w:history="1">
        <w:r w:rsidR="003628C3" w:rsidRPr="00164719">
          <w:rPr>
            <w:rStyle w:val="Hyperlink"/>
            <w:i/>
            <w:szCs w:val="20"/>
          </w:rPr>
          <w:t>https://www.docdb.cept.org</w:t>
        </w:r>
      </w:hyperlink>
      <w:r w:rsidR="00801759" w:rsidRPr="00164719">
        <w:rPr>
          <w:i/>
          <w:szCs w:val="20"/>
        </w:rPr>
        <w:t xml:space="preserve"> </w:t>
      </w:r>
      <w:r w:rsidRPr="00164719">
        <w:rPr>
          <w:i/>
          <w:szCs w:val="20"/>
        </w:rPr>
        <w:t>for the up to date position on the implementation of this and other ECC Decisions.</w:t>
      </w:r>
    </w:p>
    <w:p w14:paraId="6DB5C80B" w14:textId="256EE637" w:rsidR="0041403F" w:rsidRPr="00164719" w:rsidRDefault="00376CBB" w:rsidP="00827DA2">
      <w:pPr>
        <w:pStyle w:val="ECCAnnex-heading1"/>
      </w:pPr>
      <w:bookmarkStart w:id="14" w:name="_Ref103593559"/>
      <w:r w:rsidRPr="00164719">
        <w:lastRenderedPageBreak/>
        <w:t>harmonised frequency arrangement for the band 40.5</w:t>
      </w:r>
      <w:r w:rsidR="00806616">
        <w:t>-</w:t>
      </w:r>
      <w:r w:rsidRPr="00164719">
        <w:t>43.5 GHz</w:t>
      </w:r>
      <w:bookmarkEnd w:id="14"/>
    </w:p>
    <w:p w14:paraId="71C848F3" w14:textId="3E9E4C2C" w:rsidR="00BB3825" w:rsidRPr="00164719" w:rsidRDefault="00BB3825" w:rsidP="00824161">
      <w:pPr>
        <w:pStyle w:val="ECCParBulleted"/>
        <w:numPr>
          <w:ilvl w:val="0"/>
          <w:numId w:val="12"/>
        </w:numPr>
      </w:pPr>
      <w:r w:rsidRPr="00164719">
        <w:t>The frequency arrangement is a TDD arrangement with a block size of 200 MHz</w:t>
      </w:r>
      <w:r w:rsidR="001C7138" w:rsidRPr="00164719">
        <w:t>;</w:t>
      </w:r>
    </w:p>
    <w:p w14:paraId="2BA39554" w14:textId="7E05B58C" w:rsidR="00BB3825" w:rsidRPr="00164719" w:rsidRDefault="00BB3825">
      <w:pPr>
        <w:pStyle w:val="ECCParBulleted"/>
      </w:pPr>
      <w:r w:rsidRPr="00164719">
        <w:t>This block size could be adjusted to n</w:t>
      </w:r>
      <w:r w:rsidRPr="00164719">
        <w:rPr>
          <w:rFonts w:cs="Arial"/>
        </w:rPr>
        <w:t>arrower blocks (multiples of 50 MHz) adjacent to other users, to allow full use of spectrum, if required</w:t>
      </w:r>
      <w:r w:rsidR="008C0307" w:rsidRPr="00164719">
        <w:rPr>
          <w:rFonts w:cs="Arial"/>
        </w:rPr>
        <w:t>.</w:t>
      </w:r>
    </w:p>
    <w:p w14:paraId="3DA48584" w14:textId="0D4E331F" w:rsidR="00BB3825" w:rsidRPr="00164719" w:rsidRDefault="00BB3825" w:rsidP="00FC447D">
      <w:pPr>
        <w:pStyle w:val="ECCParagraph"/>
        <w:keepNext/>
        <w:keepLines/>
      </w:pPr>
    </w:p>
    <w:p w14:paraId="6BA2F629" w14:textId="77777777" w:rsidR="00BB3825" w:rsidRPr="00164719" w:rsidRDefault="00BB3825" w:rsidP="00414DB5">
      <w:pPr>
        <w:pStyle w:val="ECCFiguretitle"/>
        <w:widowControl w:val="0"/>
        <w:spacing w:after="240"/>
        <w:ind w:left="357" w:hanging="357"/>
      </w:pPr>
      <w:r w:rsidRPr="00164719">
        <w:t>Example of possible frequency arrangements for MFCN in the 40.5-43.5 GHz band</w:t>
      </w:r>
    </w:p>
    <w:tbl>
      <w:tblPr>
        <w:tblW w:w="9923" w:type="dxa"/>
        <w:tblCellMar>
          <w:left w:w="70" w:type="dxa"/>
          <w:right w:w="70" w:type="dxa"/>
        </w:tblCellMar>
        <w:tblLook w:val="04A0" w:firstRow="1" w:lastRow="0" w:firstColumn="1" w:lastColumn="0" w:noHBand="0" w:noVBand="1"/>
      </w:tblPr>
      <w:tblGrid>
        <w:gridCol w:w="752"/>
        <w:gridCol w:w="1840"/>
        <w:gridCol w:w="442"/>
        <w:gridCol w:w="1840"/>
        <w:gridCol w:w="1840"/>
        <w:gridCol w:w="680"/>
        <w:gridCol w:w="1840"/>
        <w:gridCol w:w="752"/>
      </w:tblGrid>
      <w:tr w:rsidR="00BB3825" w:rsidRPr="00164719" w14:paraId="47B69993" w14:textId="77777777" w:rsidTr="00372D59">
        <w:trPr>
          <w:trHeight w:val="288"/>
        </w:trPr>
        <w:tc>
          <w:tcPr>
            <w:tcW w:w="698" w:type="dxa"/>
            <w:tcBorders>
              <w:top w:val="nil"/>
              <w:left w:val="nil"/>
              <w:bottom w:val="nil"/>
              <w:right w:val="single" w:sz="4" w:space="0" w:color="auto"/>
            </w:tcBorders>
            <w:shd w:val="clear" w:color="auto" w:fill="auto"/>
            <w:noWrap/>
            <w:vAlign w:val="bottom"/>
            <w:hideMark/>
          </w:tcPr>
          <w:p w14:paraId="65CA8199"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 </w:t>
            </w:r>
          </w:p>
        </w:tc>
        <w:tc>
          <w:tcPr>
            <w:tcW w:w="1840" w:type="dxa"/>
            <w:tcBorders>
              <w:top w:val="nil"/>
              <w:left w:val="nil"/>
              <w:bottom w:val="nil"/>
              <w:right w:val="nil"/>
            </w:tcBorders>
            <w:shd w:val="clear" w:color="auto" w:fill="auto"/>
            <w:noWrap/>
            <w:vAlign w:val="bottom"/>
            <w:hideMark/>
          </w:tcPr>
          <w:p w14:paraId="24DAAA6B" w14:textId="77777777" w:rsidR="00BB3825" w:rsidRPr="00164719" w:rsidRDefault="00BB3825" w:rsidP="00FC447D">
            <w:pPr>
              <w:jc w:val="both"/>
              <w:rPr>
                <w:rFonts w:cs="Arial"/>
                <w:color w:val="000000"/>
                <w:sz w:val="22"/>
                <w:szCs w:val="22"/>
                <w:lang w:val="en-GB" w:eastAsia="sl-SI"/>
              </w:rPr>
            </w:pPr>
          </w:p>
        </w:tc>
        <w:tc>
          <w:tcPr>
            <w:tcW w:w="442" w:type="dxa"/>
            <w:tcBorders>
              <w:top w:val="nil"/>
              <w:left w:val="nil"/>
              <w:bottom w:val="nil"/>
              <w:right w:val="nil"/>
            </w:tcBorders>
            <w:shd w:val="clear" w:color="auto" w:fill="auto"/>
            <w:noWrap/>
            <w:vAlign w:val="bottom"/>
            <w:hideMark/>
          </w:tcPr>
          <w:p w14:paraId="73C88A8F"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6F7878EC"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7BC3E201" w14:textId="77777777" w:rsidR="00BB3825" w:rsidRPr="00164719" w:rsidRDefault="00BB3825" w:rsidP="00FC447D">
            <w:pPr>
              <w:jc w:val="both"/>
              <w:rPr>
                <w:rFonts w:cs="Arial"/>
                <w:szCs w:val="20"/>
                <w:lang w:val="en-GB" w:eastAsia="sl-SI"/>
              </w:rPr>
            </w:pPr>
          </w:p>
        </w:tc>
        <w:tc>
          <w:tcPr>
            <w:tcW w:w="680" w:type="dxa"/>
            <w:tcBorders>
              <w:top w:val="nil"/>
              <w:left w:val="nil"/>
              <w:bottom w:val="nil"/>
              <w:right w:val="nil"/>
            </w:tcBorders>
            <w:shd w:val="clear" w:color="auto" w:fill="auto"/>
            <w:noWrap/>
            <w:vAlign w:val="bottom"/>
            <w:hideMark/>
          </w:tcPr>
          <w:p w14:paraId="24C22C56"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482BAF57" w14:textId="77777777" w:rsidR="00BB3825" w:rsidRPr="00164719" w:rsidRDefault="00BB3825" w:rsidP="00FC447D">
            <w:pPr>
              <w:jc w:val="both"/>
              <w:rPr>
                <w:rFonts w:cs="Arial"/>
                <w:szCs w:val="20"/>
                <w:lang w:val="en-GB" w:eastAsia="sl-SI"/>
              </w:rPr>
            </w:pPr>
          </w:p>
        </w:tc>
        <w:tc>
          <w:tcPr>
            <w:tcW w:w="743" w:type="dxa"/>
            <w:tcBorders>
              <w:top w:val="nil"/>
              <w:left w:val="single" w:sz="4" w:space="0" w:color="auto"/>
              <w:bottom w:val="nil"/>
              <w:right w:val="nil"/>
            </w:tcBorders>
            <w:shd w:val="clear" w:color="auto" w:fill="auto"/>
            <w:noWrap/>
            <w:vAlign w:val="bottom"/>
            <w:hideMark/>
          </w:tcPr>
          <w:p w14:paraId="4EF27D1D"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 </w:t>
            </w:r>
          </w:p>
        </w:tc>
      </w:tr>
      <w:tr w:rsidR="00BB3825" w:rsidRPr="00164719" w14:paraId="570E0724" w14:textId="77777777" w:rsidTr="00372D59">
        <w:trPr>
          <w:trHeight w:val="288"/>
        </w:trPr>
        <w:tc>
          <w:tcPr>
            <w:tcW w:w="698" w:type="dxa"/>
            <w:tcBorders>
              <w:top w:val="nil"/>
              <w:left w:val="nil"/>
              <w:bottom w:val="nil"/>
              <w:right w:val="single" w:sz="4" w:space="0" w:color="auto"/>
            </w:tcBorders>
            <w:shd w:val="clear" w:color="auto" w:fill="auto"/>
            <w:noWrap/>
            <w:vAlign w:val="bottom"/>
            <w:hideMark/>
          </w:tcPr>
          <w:p w14:paraId="432E86A7"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 </w:t>
            </w:r>
          </w:p>
        </w:tc>
        <w:tc>
          <w:tcPr>
            <w:tcW w:w="1840" w:type="dxa"/>
            <w:tcBorders>
              <w:top w:val="single" w:sz="4" w:space="0" w:color="auto"/>
              <w:left w:val="nil"/>
              <w:bottom w:val="single" w:sz="4" w:space="0" w:color="auto"/>
              <w:right w:val="single" w:sz="4" w:space="0" w:color="auto"/>
            </w:tcBorders>
            <w:shd w:val="clear" w:color="000000" w:fill="A9D08E"/>
            <w:noWrap/>
            <w:vAlign w:val="bottom"/>
            <w:hideMark/>
          </w:tcPr>
          <w:p w14:paraId="6AF07DDF"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200 MHz</w:t>
            </w:r>
          </w:p>
        </w:tc>
        <w:tc>
          <w:tcPr>
            <w:tcW w:w="442" w:type="dxa"/>
            <w:tcBorders>
              <w:top w:val="nil"/>
              <w:left w:val="nil"/>
              <w:bottom w:val="nil"/>
              <w:right w:val="nil"/>
            </w:tcBorders>
            <w:shd w:val="clear" w:color="auto" w:fill="auto"/>
            <w:noWrap/>
            <w:vAlign w:val="bottom"/>
            <w:hideMark/>
          </w:tcPr>
          <w:p w14:paraId="2719BF9C"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w:t>
            </w:r>
          </w:p>
        </w:tc>
        <w:tc>
          <w:tcPr>
            <w:tcW w:w="18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1D89738"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200 MHz</w:t>
            </w:r>
          </w:p>
        </w:tc>
        <w:tc>
          <w:tcPr>
            <w:tcW w:w="1840" w:type="dxa"/>
            <w:tcBorders>
              <w:top w:val="single" w:sz="4" w:space="0" w:color="auto"/>
              <w:left w:val="nil"/>
              <w:bottom w:val="single" w:sz="4" w:space="0" w:color="auto"/>
              <w:right w:val="single" w:sz="4" w:space="0" w:color="auto"/>
            </w:tcBorders>
            <w:shd w:val="clear" w:color="000000" w:fill="A9D08E"/>
            <w:noWrap/>
            <w:vAlign w:val="bottom"/>
            <w:hideMark/>
          </w:tcPr>
          <w:p w14:paraId="0D2E0721"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200 MHz</w:t>
            </w:r>
          </w:p>
        </w:tc>
        <w:tc>
          <w:tcPr>
            <w:tcW w:w="680" w:type="dxa"/>
            <w:tcBorders>
              <w:top w:val="nil"/>
              <w:left w:val="nil"/>
              <w:bottom w:val="nil"/>
              <w:right w:val="nil"/>
            </w:tcBorders>
            <w:shd w:val="clear" w:color="auto" w:fill="auto"/>
            <w:noWrap/>
            <w:vAlign w:val="bottom"/>
            <w:hideMark/>
          </w:tcPr>
          <w:p w14:paraId="39D430EA"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w:t>
            </w:r>
          </w:p>
        </w:tc>
        <w:tc>
          <w:tcPr>
            <w:tcW w:w="1840" w:type="dxa"/>
            <w:tcBorders>
              <w:top w:val="single" w:sz="4" w:space="0" w:color="auto"/>
              <w:left w:val="nil"/>
              <w:bottom w:val="single" w:sz="4" w:space="0" w:color="auto"/>
              <w:right w:val="single" w:sz="4" w:space="0" w:color="auto"/>
            </w:tcBorders>
            <w:shd w:val="clear" w:color="000000" w:fill="A9D08E"/>
            <w:noWrap/>
            <w:vAlign w:val="bottom"/>
            <w:hideMark/>
          </w:tcPr>
          <w:p w14:paraId="1C655621"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200 MHz</w:t>
            </w:r>
          </w:p>
        </w:tc>
        <w:tc>
          <w:tcPr>
            <w:tcW w:w="743" w:type="dxa"/>
            <w:tcBorders>
              <w:top w:val="nil"/>
              <w:left w:val="single" w:sz="4" w:space="0" w:color="auto"/>
              <w:bottom w:val="nil"/>
              <w:right w:val="nil"/>
            </w:tcBorders>
            <w:shd w:val="clear" w:color="auto" w:fill="auto"/>
            <w:noWrap/>
            <w:vAlign w:val="bottom"/>
            <w:hideMark/>
          </w:tcPr>
          <w:p w14:paraId="76A5F0A6"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 </w:t>
            </w:r>
          </w:p>
        </w:tc>
      </w:tr>
      <w:tr w:rsidR="00BB3825" w:rsidRPr="00164719" w14:paraId="41468852" w14:textId="77777777" w:rsidTr="00372D59">
        <w:trPr>
          <w:trHeight w:val="288"/>
        </w:trPr>
        <w:tc>
          <w:tcPr>
            <w:tcW w:w="698" w:type="dxa"/>
            <w:tcBorders>
              <w:top w:val="nil"/>
              <w:left w:val="nil"/>
              <w:bottom w:val="nil"/>
              <w:right w:val="single" w:sz="4" w:space="0" w:color="auto"/>
            </w:tcBorders>
            <w:shd w:val="clear" w:color="auto" w:fill="auto"/>
            <w:noWrap/>
            <w:vAlign w:val="bottom"/>
            <w:hideMark/>
          </w:tcPr>
          <w:p w14:paraId="5034CD37"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40500</w:t>
            </w:r>
          </w:p>
        </w:tc>
        <w:tc>
          <w:tcPr>
            <w:tcW w:w="1840" w:type="dxa"/>
            <w:tcBorders>
              <w:top w:val="nil"/>
              <w:left w:val="nil"/>
              <w:bottom w:val="nil"/>
              <w:right w:val="nil"/>
            </w:tcBorders>
            <w:shd w:val="clear" w:color="auto" w:fill="auto"/>
            <w:noWrap/>
            <w:vAlign w:val="bottom"/>
            <w:hideMark/>
          </w:tcPr>
          <w:p w14:paraId="14B1885B" w14:textId="77777777" w:rsidR="00BB3825" w:rsidRPr="00164719" w:rsidRDefault="00BB3825" w:rsidP="00FC447D">
            <w:pPr>
              <w:jc w:val="both"/>
              <w:rPr>
                <w:rFonts w:cs="Arial"/>
                <w:color w:val="000000"/>
                <w:sz w:val="22"/>
                <w:szCs w:val="22"/>
                <w:lang w:val="en-GB" w:eastAsia="sl-SI"/>
              </w:rPr>
            </w:pPr>
          </w:p>
        </w:tc>
        <w:tc>
          <w:tcPr>
            <w:tcW w:w="442" w:type="dxa"/>
            <w:tcBorders>
              <w:top w:val="nil"/>
              <w:left w:val="nil"/>
              <w:bottom w:val="nil"/>
              <w:right w:val="nil"/>
            </w:tcBorders>
            <w:shd w:val="clear" w:color="auto" w:fill="auto"/>
            <w:noWrap/>
            <w:vAlign w:val="bottom"/>
            <w:hideMark/>
          </w:tcPr>
          <w:p w14:paraId="79C8C892"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26C38E1D"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372FB8CA" w14:textId="77777777" w:rsidR="00BB3825" w:rsidRPr="00164719" w:rsidRDefault="00BB3825" w:rsidP="00FC447D">
            <w:pPr>
              <w:jc w:val="both"/>
              <w:rPr>
                <w:rFonts w:cs="Arial"/>
                <w:szCs w:val="20"/>
                <w:lang w:val="en-GB" w:eastAsia="sl-SI"/>
              </w:rPr>
            </w:pPr>
          </w:p>
        </w:tc>
        <w:tc>
          <w:tcPr>
            <w:tcW w:w="680" w:type="dxa"/>
            <w:tcBorders>
              <w:top w:val="nil"/>
              <w:left w:val="nil"/>
              <w:bottom w:val="nil"/>
              <w:right w:val="nil"/>
            </w:tcBorders>
            <w:shd w:val="clear" w:color="auto" w:fill="auto"/>
            <w:noWrap/>
            <w:vAlign w:val="bottom"/>
            <w:hideMark/>
          </w:tcPr>
          <w:p w14:paraId="3CD0F772" w14:textId="77777777" w:rsidR="00BB3825" w:rsidRPr="00164719" w:rsidRDefault="00BB3825" w:rsidP="00FC447D">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37B1B6FE" w14:textId="77777777" w:rsidR="00BB3825" w:rsidRPr="00164719" w:rsidRDefault="00BB3825" w:rsidP="00FC447D">
            <w:pPr>
              <w:jc w:val="both"/>
              <w:rPr>
                <w:rFonts w:cs="Arial"/>
                <w:szCs w:val="20"/>
                <w:lang w:val="en-GB" w:eastAsia="sl-SI"/>
              </w:rPr>
            </w:pPr>
          </w:p>
        </w:tc>
        <w:tc>
          <w:tcPr>
            <w:tcW w:w="743" w:type="dxa"/>
            <w:tcBorders>
              <w:top w:val="nil"/>
              <w:left w:val="single" w:sz="4" w:space="0" w:color="auto"/>
              <w:bottom w:val="nil"/>
              <w:right w:val="nil"/>
            </w:tcBorders>
            <w:shd w:val="clear" w:color="auto" w:fill="auto"/>
            <w:noWrap/>
            <w:vAlign w:val="bottom"/>
            <w:hideMark/>
          </w:tcPr>
          <w:p w14:paraId="37C5FB4D" w14:textId="77777777" w:rsidR="00BB3825" w:rsidRPr="00164719" w:rsidRDefault="00BB3825" w:rsidP="00FC447D">
            <w:pPr>
              <w:jc w:val="both"/>
              <w:rPr>
                <w:rFonts w:cs="Arial"/>
                <w:color w:val="000000"/>
                <w:sz w:val="22"/>
                <w:szCs w:val="22"/>
                <w:lang w:val="en-GB" w:eastAsia="sl-SI"/>
              </w:rPr>
            </w:pPr>
            <w:r w:rsidRPr="00164719">
              <w:rPr>
                <w:rFonts w:cs="Arial"/>
                <w:color w:val="000000"/>
                <w:sz w:val="22"/>
                <w:szCs w:val="22"/>
                <w:lang w:val="en-GB" w:eastAsia="sl-SI"/>
              </w:rPr>
              <w:t>43500</w:t>
            </w:r>
          </w:p>
        </w:tc>
      </w:tr>
      <w:tr w:rsidR="00AB0FDA" w:rsidRPr="00164719" w14:paraId="1A145217" w14:textId="77777777" w:rsidTr="00372D59">
        <w:trPr>
          <w:trHeight w:val="288"/>
        </w:trPr>
        <w:tc>
          <w:tcPr>
            <w:tcW w:w="698" w:type="dxa"/>
            <w:tcBorders>
              <w:top w:val="nil"/>
              <w:left w:val="nil"/>
              <w:bottom w:val="nil"/>
              <w:right w:val="single" w:sz="4" w:space="0" w:color="auto"/>
            </w:tcBorders>
            <w:shd w:val="clear" w:color="auto" w:fill="auto"/>
            <w:noWrap/>
            <w:vAlign w:val="bottom"/>
            <w:hideMark/>
          </w:tcPr>
          <w:p w14:paraId="49E89957" w14:textId="2CB22863" w:rsidR="00AB0FDA" w:rsidRPr="00164719" w:rsidRDefault="00AB0FDA" w:rsidP="00AB0FDA">
            <w:pPr>
              <w:jc w:val="both"/>
              <w:rPr>
                <w:rFonts w:cs="Arial"/>
                <w:color w:val="000000"/>
                <w:sz w:val="22"/>
                <w:szCs w:val="22"/>
                <w:lang w:val="en-GB" w:eastAsia="sl-SI"/>
              </w:rPr>
            </w:pPr>
            <w:r w:rsidRPr="00164719">
              <w:rPr>
                <w:rFonts w:cs="Arial"/>
                <w:color w:val="000000"/>
                <w:sz w:val="22"/>
                <w:szCs w:val="22"/>
                <w:lang w:val="en-GB" w:eastAsia="sl-SI"/>
              </w:rPr>
              <w:t> MHz</w:t>
            </w:r>
          </w:p>
        </w:tc>
        <w:tc>
          <w:tcPr>
            <w:tcW w:w="1840" w:type="dxa"/>
            <w:tcBorders>
              <w:top w:val="nil"/>
              <w:left w:val="nil"/>
              <w:bottom w:val="nil"/>
              <w:right w:val="nil"/>
            </w:tcBorders>
            <w:shd w:val="clear" w:color="auto" w:fill="auto"/>
            <w:noWrap/>
            <w:vAlign w:val="bottom"/>
            <w:hideMark/>
          </w:tcPr>
          <w:p w14:paraId="7B4F797D" w14:textId="77777777" w:rsidR="00AB0FDA" w:rsidRPr="00164719" w:rsidRDefault="00AB0FDA" w:rsidP="00AB0FDA">
            <w:pPr>
              <w:jc w:val="both"/>
              <w:rPr>
                <w:rFonts w:cs="Arial"/>
                <w:color w:val="000000"/>
                <w:sz w:val="22"/>
                <w:szCs w:val="22"/>
                <w:lang w:val="en-GB" w:eastAsia="sl-SI"/>
              </w:rPr>
            </w:pPr>
          </w:p>
        </w:tc>
        <w:tc>
          <w:tcPr>
            <w:tcW w:w="442" w:type="dxa"/>
            <w:tcBorders>
              <w:top w:val="nil"/>
              <w:left w:val="nil"/>
              <w:bottom w:val="nil"/>
              <w:right w:val="nil"/>
            </w:tcBorders>
            <w:shd w:val="clear" w:color="auto" w:fill="auto"/>
            <w:noWrap/>
            <w:vAlign w:val="bottom"/>
            <w:hideMark/>
          </w:tcPr>
          <w:p w14:paraId="32F4BD47" w14:textId="77777777" w:rsidR="00AB0FDA" w:rsidRPr="00164719" w:rsidRDefault="00AB0FDA" w:rsidP="00AB0FDA">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720E12D9" w14:textId="77777777" w:rsidR="00AB0FDA" w:rsidRPr="00164719" w:rsidRDefault="00AB0FDA" w:rsidP="00AB0FDA">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20F608AB" w14:textId="77777777" w:rsidR="00AB0FDA" w:rsidRPr="00164719" w:rsidRDefault="00AB0FDA" w:rsidP="00AB0FDA">
            <w:pPr>
              <w:jc w:val="both"/>
              <w:rPr>
                <w:rFonts w:cs="Arial"/>
                <w:szCs w:val="20"/>
                <w:lang w:val="en-GB" w:eastAsia="sl-SI"/>
              </w:rPr>
            </w:pPr>
          </w:p>
        </w:tc>
        <w:tc>
          <w:tcPr>
            <w:tcW w:w="680" w:type="dxa"/>
            <w:tcBorders>
              <w:top w:val="nil"/>
              <w:left w:val="nil"/>
              <w:bottom w:val="nil"/>
              <w:right w:val="nil"/>
            </w:tcBorders>
            <w:shd w:val="clear" w:color="auto" w:fill="auto"/>
            <w:noWrap/>
            <w:vAlign w:val="bottom"/>
            <w:hideMark/>
          </w:tcPr>
          <w:p w14:paraId="19B74916" w14:textId="77777777" w:rsidR="00AB0FDA" w:rsidRPr="00164719" w:rsidRDefault="00AB0FDA" w:rsidP="00AB0FDA">
            <w:pPr>
              <w:jc w:val="both"/>
              <w:rPr>
                <w:rFonts w:cs="Arial"/>
                <w:szCs w:val="20"/>
                <w:lang w:val="en-GB" w:eastAsia="sl-SI"/>
              </w:rPr>
            </w:pPr>
          </w:p>
        </w:tc>
        <w:tc>
          <w:tcPr>
            <w:tcW w:w="1840" w:type="dxa"/>
            <w:tcBorders>
              <w:top w:val="nil"/>
              <w:left w:val="nil"/>
              <w:bottom w:val="nil"/>
              <w:right w:val="nil"/>
            </w:tcBorders>
            <w:shd w:val="clear" w:color="auto" w:fill="auto"/>
            <w:noWrap/>
            <w:vAlign w:val="bottom"/>
            <w:hideMark/>
          </w:tcPr>
          <w:p w14:paraId="277B96FA" w14:textId="77777777" w:rsidR="00AB0FDA" w:rsidRPr="00164719" w:rsidRDefault="00AB0FDA" w:rsidP="00AB0FDA">
            <w:pPr>
              <w:jc w:val="both"/>
              <w:rPr>
                <w:rFonts w:cs="Arial"/>
                <w:szCs w:val="20"/>
                <w:lang w:val="en-GB" w:eastAsia="sl-SI"/>
              </w:rPr>
            </w:pPr>
          </w:p>
        </w:tc>
        <w:tc>
          <w:tcPr>
            <w:tcW w:w="743" w:type="dxa"/>
            <w:tcBorders>
              <w:top w:val="nil"/>
              <w:left w:val="single" w:sz="4" w:space="0" w:color="auto"/>
              <w:bottom w:val="nil"/>
              <w:right w:val="nil"/>
            </w:tcBorders>
            <w:shd w:val="clear" w:color="auto" w:fill="auto"/>
            <w:noWrap/>
            <w:vAlign w:val="bottom"/>
            <w:hideMark/>
          </w:tcPr>
          <w:p w14:paraId="4B5BC152" w14:textId="49C4345B" w:rsidR="00AB0FDA" w:rsidRPr="00164719" w:rsidRDefault="00AB0FDA" w:rsidP="00AB0FDA">
            <w:pPr>
              <w:jc w:val="both"/>
              <w:rPr>
                <w:rFonts w:cs="Arial"/>
                <w:color w:val="000000"/>
                <w:sz w:val="22"/>
                <w:szCs w:val="22"/>
                <w:lang w:val="en-GB" w:eastAsia="sl-SI"/>
              </w:rPr>
            </w:pPr>
            <w:r w:rsidRPr="00164719">
              <w:rPr>
                <w:rFonts w:cs="Arial"/>
                <w:color w:val="000000"/>
                <w:sz w:val="22"/>
                <w:szCs w:val="22"/>
                <w:lang w:val="en-GB" w:eastAsia="sl-SI"/>
              </w:rPr>
              <w:t>MHz</w:t>
            </w:r>
          </w:p>
        </w:tc>
      </w:tr>
    </w:tbl>
    <w:p w14:paraId="189DF408" w14:textId="77777777" w:rsidR="00C150F7" w:rsidRPr="00164719" w:rsidRDefault="00C150F7">
      <w:pPr>
        <w:pStyle w:val="ECCParBulleted"/>
        <w:numPr>
          <w:ilvl w:val="0"/>
          <w:numId w:val="0"/>
        </w:numPr>
      </w:pPr>
    </w:p>
    <w:p w14:paraId="7EA788CE" w14:textId="77777777" w:rsidR="00FF3701" w:rsidRPr="00164719" w:rsidRDefault="00FF3701">
      <w:pPr>
        <w:pStyle w:val="ECCParBulleted"/>
        <w:numPr>
          <w:ilvl w:val="0"/>
          <w:numId w:val="0"/>
        </w:numPr>
      </w:pPr>
    </w:p>
    <w:p w14:paraId="7936BE37" w14:textId="6308E152" w:rsidR="005742C4" w:rsidRPr="00164719" w:rsidRDefault="005742C4" w:rsidP="00827DA2">
      <w:pPr>
        <w:pStyle w:val="ECCAnnex-heading1"/>
      </w:pPr>
      <w:bookmarkStart w:id="15" w:name="_Ref103592490"/>
      <w:r w:rsidRPr="00164719">
        <w:lastRenderedPageBreak/>
        <w:t>least restrictive technical conditions (LRTC) for the MFCN SYSTEMS</w:t>
      </w:r>
      <w:bookmarkEnd w:id="15"/>
    </w:p>
    <w:p w14:paraId="4D98FD25" w14:textId="60F49336" w:rsidR="005742C4" w:rsidRPr="00164719" w:rsidRDefault="005742C4" w:rsidP="005742C4">
      <w:pPr>
        <w:pStyle w:val="ECCParagraph"/>
      </w:pPr>
      <w:r w:rsidRPr="00164719">
        <w:t xml:space="preserve">The technical conditions presented in this annex have been developed assuming an authorisation regime where the base station locations of transmitters and receivers are known. </w:t>
      </w:r>
      <w:r w:rsidRPr="00164719">
        <w:rPr>
          <w:color w:val="000000"/>
          <w:lang w:eastAsia="bn-IN" w:bidi="bn-IN"/>
        </w:rPr>
        <w:t>These conditions include provisions related to the coexistence between MFCN systems</w:t>
      </w:r>
      <w:r w:rsidRPr="00164719">
        <w:rPr>
          <w:bCs/>
        </w:rPr>
        <w:t xml:space="preserve"> in the form of</w:t>
      </w:r>
      <w:r w:rsidR="008C0307" w:rsidRPr="00164719">
        <w:rPr>
          <w:bCs/>
        </w:rPr>
        <w:t xml:space="preserve"> a</w:t>
      </w:r>
      <w:r w:rsidRPr="00164719">
        <w:rPr>
          <w:bCs/>
        </w:rPr>
        <w:t xml:space="preserve"> block edge mask (BEM), i.e.</w:t>
      </w:r>
      <w:r w:rsidRPr="00164719">
        <w:t xml:space="preserve"> related to spectrum licensing and the avoidance of interference between users of spectrum. Additional considerations may be needed on a national basis for an authorisation regime where the location of base stations is not known to ensure that the harmonised technical conditions in this Decision are met (see </w:t>
      </w:r>
      <w:r w:rsidR="00457738" w:rsidRPr="00164719">
        <w:fldChar w:fldCharType="begin"/>
      </w:r>
      <w:r w:rsidR="00457738" w:rsidRPr="00164719">
        <w:instrText xml:space="preserve"> REF _Ref103593576 \r \h </w:instrText>
      </w:r>
      <w:r w:rsidR="00457738" w:rsidRPr="00164719">
        <w:fldChar w:fldCharType="separate"/>
      </w:r>
      <w:r w:rsidR="00457738" w:rsidRPr="00164719">
        <w:t>A</w:t>
      </w:r>
      <w:r w:rsidR="00352058" w:rsidRPr="00164719">
        <w:t>nnex</w:t>
      </w:r>
      <w:r w:rsidR="00457738" w:rsidRPr="00164719">
        <w:t xml:space="preserve"> 3</w:t>
      </w:r>
      <w:r w:rsidR="00457738" w:rsidRPr="00164719">
        <w:fldChar w:fldCharType="end"/>
      </w:r>
      <w:r w:rsidRPr="00164719">
        <w:t>).</w:t>
      </w:r>
    </w:p>
    <w:p w14:paraId="013455DA" w14:textId="66B8F0E3" w:rsidR="005742C4" w:rsidRPr="00164719" w:rsidRDefault="005742C4" w:rsidP="005742C4">
      <w:pPr>
        <w:pStyle w:val="ECCParagraph"/>
        <w:rPr>
          <w:bCs/>
        </w:rPr>
      </w:pPr>
      <w:r w:rsidRPr="00164719">
        <w:t xml:space="preserve">A BEM is an emission mask that is defined, as a function of frequency, relative to the edge of a block of spectrum that is licensed to an operator. </w:t>
      </w:r>
      <w:r w:rsidRPr="00164719">
        <w:rPr>
          <w:bCs/>
        </w:rPr>
        <w:t xml:space="preserve">It consists of components which specify the permitted emission levels in adjacent blocks (transitional region </w:t>
      </w:r>
      <w:r w:rsidRPr="00164719">
        <w:t>0-50 MHz below or above operator block</w:t>
      </w:r>
      <w:r w:rsidRPr="00164719">
        <w:rPr>
          <w:bCs/>
        </w:rPr>
        <w:t>) and non-adjacent blocks in the band.</w:t>
      </w:r>
    </w:p>
    <w:p w14:paraId="04297763" w14:textId="7A73492D" w:rsidR="00ED647E" w:rsidRPr="00164719" w:rsidRDefault="00ED647E" w:rsidP="00287FCB">
      <w:pPr>
        <w:spacing w:before="240" w:after="60"/>
        <w:jc w:val="both"/>
        <w:rPr>
          <w:lang w:val="en-GB"/>
        </w:rPr>
      </w:pPr>
      <w:r w:rsidRPr="00164719">
        <w:rPr>
          <w:lang w:val="en-GB"/>
        </w:rPr>
        <w:t xml:space="preserve">The technical conditions derived below for the frequency range </w:t>
      </w:r>
      <w:r w:rsidRPr="00164719">
        <w:rPr>
          <w:bCs/>
          <w:lang w:val="en-GB"/>
        </w:rPr>
        <w:t>40.5-43.5 GHz</w:t>
      </w:r>
      <w:r w:rsidRPr="00164719">
        <w:rPr>
          <w:lang w:val="en-GB"/>
        </w:rPr>
        <w:t xml:space="preserve"> are optimised for, but not limited to, fixed/mobile communications networks (two-way). The BEM for BSs have been developed to ensure coexistence with other MFCN blocks, as well as other services and applications in</w:t>
      </w:r>
      <w:r w:rsidRPr="00164719">
        <w:rPr>
          <w:sz w:val="16"/>
          <w:lang w:val="en-GB"/>
        </w:rPr>
        <w:t xml:space="preserve"> </w:t>
      </w:r>
      <w:r w:rsidRPr="00164719">
        <w:rPr>
          <w:lang w:val="en-GB"/>
        </w:rPr>
        <w:t>adjacent bands. Additional measures may be required at national level to achieve coexistence with other services and applications.</w:t>
      </w:r>
    </w:p>
    <w:p w14:paraId="3730F25D" w14:textId="77777777" w:rsidR="005742C4" w:rsidRPr="00164719" w:rsidRDefault="005742C4" w:rsidP="005742C4">
      <w:pPr>
        <w:pStyle w:val="ECCAnnexheading2"/>
        <w:ind w:left="577"/>
        <w:rPr>
          <w:lang w:val="en-GB"/>
        </w:rPr>
      </w:pPr>
      <w:r w:rsidRPr="00164719">
        <w:rPr>
          <w:lang w:val="en-GB"/>
        </w:rPr>
        <w:t>Base station</w:t>
      </w:r>
    </w:p>
    <w:p w14:paraId="6BCEB2F3" w14:textId="2365DBCA" w:rsidR="005742C4" w:rsidRPr="00164719" w:rsidRDefault="005742C4" w:rsidP="008E679B">
      <w:pPr>
        <w:pStyle w:val="ECCParagraph"/>
        <w:spacing w:before="240" w:after="60"/>
      </w:pPr>
      <w:r w:rsidRPr="00164719">
        <w:t>The MFCN Base Station (BS) BEM consists of a baseline level, designed to protect the spectrum of other MFCN operators using the band 40.5-43.5 GHz and transitional levels for coexistence between MFCN networks in adjacent blocks.</w:t>
      </w:r>
      <w:r w:rsidRPr="00164719" w:rsidDel="00A95F58">
        <w:t xml:space="preserve"> </w:t>
      </w:r>
      <w:r w:rsidRPr="00164719">
        <w:t xml:space="preserve">Adjacent services are expected to be protected by requirements of the </w:t>
      </w:r>
      <w:r w:rsidRPr="00164719">
        <w:rPr>
          <w:color w:val="000000" w:themeColor="text1"/>
        </w:rPr>
        <w:t>ETSI TS 138 104</w:t>
      </w:r>
      <w:r w:rsidR="0024692B">
        <w:rPr>
          <w:color w:val="000000" w:themeColor="text1"/>
        </w:rPr>
        <w:t>,</w:t>
      </w:r>
      <w:r w:rsidRPr="00164719">
        <w:rPr>
          <w:color w:val="000000" w:themeColor="text1"/>
        </w:rPr>
        <w:t xml:space="preserve"> </w:t>
      </w:r>
      <w:r w:rsidR="00411110">
        <w:rPr>
          <w:color w:val="000000" w:themeColor="text1"/>
        </w:rPr>
        <w:t>v</w:t>
      </w:r>
      <w:r w:rsidRPr="00164719">
        <w:rPr>
          <w:color w:val="000000" w:themeColor="text1"/>
        </w:rPr>
        <w:t>1</w:t>
      </w:r>
      <w:r w:rsidR="00ED647E" w:rsidRPr="00164719">
        <w:rPr>
          <w:color w:val="000000" w:themeColor="text1"/>
        </w:rPr>
        <w:t>7</w:t>
      </w:r>
      <w:r w:rsidRPr="00164719">
        <w:rPr>
          <w:color w:val="000000" w:themeColor="text1"/>
        </w:rPr>
        <w:t>.</w:t>
      </w:r>
      <w:r w:rsidR="00ED647E" w:rsidRPr="00164719">
        <w:rPr>
          <w:color w:val="000000" w:themeColor="text1"/>
        </w:rPr>
        <w:t>6</w:t>
      </w:r>
      <w:r w:rsidRPr="00164719">
        <w:rPr>
          <w:color w:val="000000" w:themeColor="text1"/>
        </w:rPr>
        <w:t>.0</w:t>
      </w:r>
      <w:r w:rsidR="00510DDB" w:rsidRPr="00164719">
        <w:rPr>
          <w:color w:val="000000" w:themeColor="text1"/>
        </w:rPr>
        <w:t>,</w:t>
      </w:r>
      <w:r w:rsidRPr="00164719">
        <w:rPr>
          <w:color w:val="000000" w:themeColor="text1"/>
        </w:rPr>
        <w:t xml:space="preserve"> </w:t>
      </w:r>
      <w:r w:rsidR="00D715F0">
        <w:rPr>
          <w:color w:val="000000" w:themeColor="text1"/>
        </w:rPr>
        <w:t>t</w:t>
      </w:r>
      <w:r w:rsidRPr="00164719">
        <w:rPr>
          <w:color w:val="000000" w:themeColor="text1"/>
        </w:rPr>
        <w:t>able 9.7.4.3.3-2</w:t>
      </w:r>
      <w:r w:rsidR="00A9657F">
        <w:rPr>
          <w:color w:val="000000" w:themeColor="text1"/>
        </w:rPr>
        <w:t xml:space="preserve"> </w:t>
      </w:r>
      <w:r w:rsidR="003628C3" w:rsidRPr="00164719">
        <w:rPr>
          <w:color w:val="000000" w:themeColor="text1"/>
        </w:rPr>
        <w:fldChar w:fldCharType="begin"/>
      </w:r>
      <w:r w:rsidR="003628C3" w:rsidRPr="00164719">
        <w:rPr>
          <w:color w:val="000000" w:themeColor="text1"/>
        </w:rPr>
        <w:instrText xml:space="preserve"> REF _Ref116554468 \r \h </w:instrText>
      </w:r>
      <w:r w:rsidR="003628C3" w:rsidRPr="00164719">
        <w:rPr>
          <w:color w:val="000000" w:themeColor="text1"/>
        </w:rPr>
      </w:r>
      <w:r w:rsidR="003628C3" w:rsidRPr="00164719">
        <w:rPr>
          <w:color w:val="000000" w:themeColor="text1"/>
        </w:rPr>
        <w:fldChar w:fldCharType="separate"/>
      </w:r>
      <w:r w:rsidR="003628C3" w:rsidRPr="00164719">
        <w:rPr>
          <w:color w:val="000000" w:themeColor="text1"/>
        </w:rPr>
        <w:t>[8]</w:t>
      </w:r>
      <w:r w:rsidR="003628C3" w:rsidRPr="00164719">
        <w:rPr>
          <w:color w:val="000000" w:themeColor="text1"/>
        </w:rPr>
        <w:fldChar w:fldCharType="end"/>
      </w:r>
      <w:r w:rsidRPr="00164719">
        <w:rPr>
          <w:color w:val="000000" w:themeColor="text1"/>
        </w:rPr>
        <w:t>.</w:t>
      </w:r>
    </w:p>
    <w:p w14:paraId="59A2FC8E" w14:textId="342613D6" w:rsidR="005742C4" w:rsidRPr="00164719" w:rsidRDefault="005742C4" w:rsidP="004260D3">
      <w:pPr>
        <w:pStyle w:val="ECCParagraph"/>
        <w:spacing w:before="240" w:after="60"/>
      </w:pPr>
      <w:r w:rsidRPr="00164719">
        <w:fldChar w:fldCharType="begin"/>
      </w:r>
      <w:r w:rsidRPr="00164719">
        <w:instrText xml:space="preserve"> REF _Ref507684840 \h  \* MERGEFORMAT </w:instrText>
      </w:r>
      <w:r w:rsidRPr="00164719">
        <w:fldChar w:fldCharType="separate"/>
      </w:r>
      <w:r w:rsidR="00C17357" w:rsidRPr="00164719">
        <w:rPr>
          <w:b/>
          <w:bCs/>
        </w:rPr>
        <w:fldChar w:fldCharType="begin"/>
      </w:r>
      <w:r w:rsidR="00C17357" w:rsidRPr="00164719">
        <w:instrText xml:space="preserve"> REF _Ref111628807 \r \h </w:instrText>
      </w:r>
      <w:r w:rsidR="00ED647E" w:rsidRPr="00164719">
        <w:rPr>
          <w:b/>
          <w:bCs/>
        </w:rPr>
        <w:instrText xml:space="preserve"> \* MERGEFORMAT </w:instrText>
      </w:r>
      <w:r w:rsidR="00C17357" w:rsidRPr="00164719">
        <w:rPr>
          <w:b/>
          <w:bCs/>
        </w:rPr>
      </w:r>
      <w:r w:rsidR="00C17357" w:rsidRPr="00164719">
        <w:rPr>
          <w:b/>
          <w:bCs/>
        </w:rPr>
        <w:fldChar w:fldCharType="separate"/>
      </w:r>
      <w:r w:rsidR="00C17357" w:rsidRPr="00164719">
        <w:t>Table 1</w:t>
      </w:r>
      <w:r w:rsidR="00C17357" w:rsidRPr="00164719">
        <w:rPr>
          <w:b/>
          <w:bCs/>
        </w:rPr>
        <w:fldChar w:fldCharType="end"/>
      </w:r>
      <w:r w:rsidRPr="00164719">
        <w:fldChar w:fldCharType="end"/>
      </w:r>
      <w:r w:rsidRPr="00164719">
        <w:t xml:space="preserve"> contains the different elements of the BS BEM and </w:t>
      </w:r>
      <w:r w:rsidR="004260D3" w:rsidRPr="00164719">
        <w:fldChar w:fldCharType="begin"/>
      </w:r>
      <w:r w:rsidR="004260D3" w:rsidRPr="00164719">
        <w:instrText xml:space="preserve"> REF _Ref111628833 \r \h </w:instrText>
      </w:r>
      <w:r w:rsidR="00ED647E" w:rsidRPr="00164719">
        <w:instrText xml:space="preserve"> \* MERGEFORMAT </w:instrText>
      </w:r>
      <w:r w:rsidR="004260D3" w:rsidRPr="00164719">
        <w:fldChar w:fldCharType="separate"/>
      </w:r>
      <w:r w:rsidR="004260D3" w:rsidRPr="00164719">
        <w:t>Table 2</w:t>
      </w:r>
      <w:r w:rsidR="004260D3" w:rsidRPr="00164719">
        <w:fldChar w:fldCharType="end"/>
      </w:r>
      <w:r w:rsidRPr="00164719">
        <w:t xml:space="preserve"> and </w:t>
      </w:r>
      <w:r w:rsidRPr="00164719">
        <w:fldChar w:fldCharType="begin"/>
      </w:r>
      <w:r w:rsidRPr="00164719">
        <w:instrText xml:space="preserve"> REF _Ref518514892 \h  \* MERGEFORMAT </w:instrText>
      </w:r>
      <w:r w:rsidRPr="00164719">
        <w:fldChar w:fldCharType="separate"/>
      </w:r>
      <w:r w:rsidR="004260D3" w:rsidRPr="00287FCB">
        <w:rPr>
          <w:b/>
          <w:bCs/>
        </w:rPr>
        <w:fldChar w:fldCharType="begin"/>
      </w:r>
      <w:r w:rsidR="004260D3" w:rsidRPr="00164719">
        <w:instrText xml:space="preserve"> REF _Ref111628845 \r \h </w:instrText>
      </w:r>
      <w:r w:rsidR="00ED647E" w:rsidRPr="00287FCB">
        <w:rPr>
          <w:b/>
          <w:bCs/>
        </w:rPr>
        <w:instrText xml:space="preserve"> \* MERGEFORMAT </w:instrText>
      </w:r>
      <w:r w:rsidR="004260D3" w:rsidRPr="00287FCB">
        <w:rPr>
          <w:b/>
          <w:bCs/>
        </w:rPr>
      </w:r>
      <w:r w:rsidR="004260D3" w:rsidRPr="00287FCB">
        <w:rPr>
          <w:b/>
          <w:bCs/>
        </w:rPr>
        <w:fldChar w:fldCharType="separate"/>
      </w:r>
      <w:r w:rsidR="004260D3" w:rsidRPr="00164719">
        <w:t>Table 3</w:t>
      </w:r>
      <w:r w:rsidR="004260D3" w:rsidRPr="00287FCB">
        <w:rPr>
          <w:b/>
          <w:bCs/>
        </w:rPr>
        <w:fldChar w:fldCharType="end"/>
      </w:r>
      <w:r w:rsidRPr="00164719">
        <w:fldChar w:fldCharType="end"/>
      </w:r>
      <w:r w:rsidRPr="00164719">
        <w:t xml:space="preserve"> contain the power limits for the different BEM elements.</w:t>
      </w:r>
    </w:p>
    <w:p w14:paraId="5CBFCBD8" w14:textId="5D3772D9" w:rsidR="005742C4" w:rsidRPr="00164719" w:rsidRDefault="005742C4" w:rsidP="008E679B">
      <w:pPr>
        <w:pStyle w:val="ECCParagraph"/>
        <w:spacing w:before="240" w:after="60"/>
      </w:pPr>
      <w:r w:rsidRPr="00164719">
        <w:t xml:space="preserve">To obtain a BS BEM for a specific block the BEM elements that are defined in </w:t>
      </w:r>
      <w:r w:rsidRPr="00164719">
        <w:fldChar w:fldCharType="begin"/>
      </w:r>
      <w:r w:rsidRPr="00164719">
        <w:instrText xml:space="preserve"> REF _Ref507684840 \h  \* MERGEFORMAT </w:instrText>
      </w:r>
      <w:r w:rsidRPr="00164719">
        <w:fldChar w:fldCharType="separate"/>
      </w:r>
      <w:r w:rsidR="004260D3" w:rsidRPr="00287FCB">
        <w:rPr>
          <w:b/>
          <w:bCs/>
        </w:rPr>
        <w:fldChar w:fldCharType="begin"/>
      </w:r>
      <w:r w:rsidR="004260D3" w:rsidRPr="00164719">
        <w:instrText xml:space="preserve"> REF _Ref111628807 \r \h </w:instrText>
      </w:r>
      <w:r w:rsidR="00ED647E" w:rsidRPr="00287FCB">
        <w:rPr>
          <w:b/>
          <w:bCs/>
        </w:rPr>
        <w:instrText xml:space="preserve"> \* MERGEFORMAT </w:instrText>
      </w:r>
      <w:r w:rsidR="004260D3" w:rsidRPr="00287FCB">
        <w:rPr>
          <w:b/>
          <w:bCs/>
        </w:rPr>
      </w:r>
      <w:r w:rsidR="004260D3" w:rsidRPr="00287FCB">
        <w:rPr>
          <w:b/>
          <w:bCs/>
        </w:rPr>
        <w:fldChar w:fldCharType="separate"/>
      </w:r>
      <w:r w:rsidR="004260D3" w:rsidRPr="00164719">
        <w:t>Table 1</w:t>
      </w:r>
      <w:r w:rsidR="004260D3" w:rsidRPr="00287FCB">
        <w:rPr>
          <w:b/>
          <w:bCs/>
        </w:rPr>
        <w:fldChar w:fldCharType="end"/>
      </w:r>
      <w:r w:rsidRPr="00164719">
        <w:fldChar w:fldCharType="end"/>
      </w:r>
      <w:r w:rsidRPr="00164719">
        <w:t>, are used as follows:</w:t>
      </w:r>
    </w:p>
    <w:p w14:paraId="44FC0BC3" w14:textId="77777777" w:rsidR="005742C4" w:rsidRPr="00164719" w:rsidRDefault="005742C4" w:rsidP="008E679B">
      <w:pPr>
        <w:pStyle w:val="ECCParBulleted"/>
        <w:spacing w:before="60" w:after="60"/>
      </w:pPr>
      <w:r w:rsidRPr="00164719">
        <w:t>Transitional regions are determined, and corresponding power limits are used;</w:t>
      </w:r>
    </w:p>
    <w:p w14:paraId="145C2011" w14:textId="0E38BDCD" w:rsidR="005742C4" w:rsidRPr="00164719" w:rsidRDefault="005742C4" w:rsidP="008E679B">
      <w:pPr>
        <w:pStyle w:val="ECCParBulleted"/>
        <w:spacing w:before="60" w:after="60"/>
      </w:pPr>
      <w:r w:rsidRPr="00164719">
        <w:t>For remaining spectrum assigned to MFCN, baseline power limits are used</w:t>
      </w:r>
      <w:r w:rsidR="00A01F11" w:rsidRPr="00164719">
        <w:t>.</w:t>
      </w:r>
    </w:p>
    <w:p w14:paraId="16CD4F80" w14:textId="50AA0D79" w:rsidR="005742C4" w:rsidRPr="00164719" w:rsidRDefault="005742C4" w:rsidP="008E679B">
      <w:pPr>
        <w:pStyle w:val="ECCParagraph"/>
        <w:spacing w:before="240" w:after="60"/>
      </w:pPr>
      <w:r w:rsidRPr="00164719">
        <w:t>Operators of mobile/fixed communications networks (MFCN) in the 40.5-43.5 GHz band may agree, on a bilateral or multilateral basis, less stringent technical parameters provided that they continue to comply with the technical and regulatory conditions applicable for the protection of other services, applications or networks and with their cross-border obligations. Administrations should ensure that these less stringent technical parameters can be used, if agreed among all concerned parties.</w:t>
      </w:r>
    </w:p>
    <w:p w14:paraId="5D6FAAEE" w14:textId="27EFFB29" w:rsidR="005742C4" w:rsidRPr="00164719" w:rsidRDefault="005742C4" w:rsidP="002A78D2">
      <w:pPr>
        <w:pStyle w:val="ECCTabletitle"/>
      </w:pPr>
      <w:bookmarkStart w:id="16" w:name="_Ref111628807"/>
      <w:r w:rsidRPr="00164719">
        <w:t>MFCN BS BEM elements</w:t>
      </w:r>
      <w:bookmarkEnd w:id="16"/>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013"/>
        <w:gridCol w:w="7059"/>
      </w:tblGrid>
      <w:tr w:rsidR="005742C4" w:rsidRPr="00164719" w14:paraId="1E243FE5" w14:textId="77777777" w:rsidTr="00E639C7">
        <w:trPr>
          <w:tblHeader/>
        </w:trPr>
        <w:tc>
          <w:tcPr>
            <w:tcW w:w="2013"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1FFD469A" w14:textId="77777777" w:rsidR="005742C4" w:rsidRPr="00164719" w:rsidRDefault="005742C4" w:rsidP="00FE3F23">
            <w:pPr>
              <w:keepNext/>
              <w:keepLines/>
              <w:spacing w:before="120" w:after="120"/>
              <w:jc w:val="center"/>
              <w:rPr>
                <w:b/>
                <w:color w:val="FFFFFF"/>
                <w:lang w:val="en-GB"/>
              </w:rPr>
            </w:pPr>
            <w:r w:rsidRPr="00164719">
              <w:rPr>
                <w:b/>
                <w:color w:val="FFFFFF"/>
                <w:lang w:val="en-GB"/>
              </w:rPr>
              <w:t>BEM element</w:t>
            </w:r>
          </w:p>
        </w:tc>
        <w:tc>
          <w:tcPr>
            <w:tcW w:w="705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528A4920" w14:textId="77777777" w:rsidR="005742C4" w:rsidRPr="00164719" w:rsidRDefault="005742C4" w:rsidP="00FE3F23">
            <w:pPr>
              <w:keepNext/>
              <w:keepLines/>
              <w:spacing w:before="120" w:after="120" w:line="288" w:lineRule="auto"/>
              <w:jc w:val="center"/>
              <w:rPr>
                <w:b/>
                <w:color w:val="FFFFFF"/>
                <w:lang w:val="en-GB"/>
              </w:rPr>
            </w:pPr>
            <w:r w:rsidRPr="00164719">
              <w:rPr>
                <w:b/>
                <w:color w:val="FFFFFF"/>
                <w:lang w:val="en-GB"/>
              </w:rPr>
              <w:t>Definition</w:t>
            </w:r>
          </w:p>
        </w:tc>
      </w:tr>
      <w:tr w:rsidR="005742C4" w:rsidRPr="00164719" w14:paraId="682F99FC" w14:textId="77777777" w:rsidTr="00E639C7">
        <w:tc>
          <w:tcPr>
            <w:tcW w:w="2013" w:type="dxa"/>
            <w:tcBorders>
              <w:top w:val="single" w:sz="4" w:space="0" w:color="D2232A"/>
              <w:left w:val="single" w:sz="4" w:space="0" w:color="D2232A"/>
              <w:bottom w:val="single" w:sz="4" w:space="0" w:color="D2232A"/>
              <w:right w:val="single" w:sz="4" w:space="0" w:color="D2232A"/>
            </w:tcBorders>
            <w:vAlign w:val="center"/>
          </w:tcPr>
          <w:p w14:paraId="63045640" w14:textId="77777777" w:rsidR="005742C4" w:rsidRPr="00164719" w:rsidRDefault="005742C4" w:rsidP="00E639C7">
            <w:pPr>
              <w:keepNext/>
              <w:keepLines/>
              <w:spacing w:before="60" w:after="60" w:line="288" w:lineRule="auto"/>
              <w:rPr>
                <w:lang w:val="en-GB"/>
              </w:rPr>
            </w:pPr>
            <w:r w:rsidRPr="00164719">
              <w:rPr>
                <w:rFonts w:eastAsia="MS Mincho" w:cs="Arial"/>
                <w:lang w:val="en-GB" w:eastAsia="ja-JP"/>
              </w:rPr>
              <w:t>Baseline</w:t>
            </w:r>
          </w:p>
        </w:tc>
        <w:tc>
          <w:tcPr>
            <w:tcW w:w="7059" w:type="dxa"/>
            <w:tcBorders>
              <w:top w:val="single" w:sz="4" w:space="0" w:color="D2232A"/>
              <w:left w:val="single" w:sz="4" w:space="0" w:color="D2232A"/>
              <w:bottom w:val="single" w:sz="4" w:space="0" w:color="D2232A"/>
              <w:right w:val="single" w:sz="4" w:space="0" w:color="D2232A"/>
            </w:tcBorders>
            <w:vAlign w:val="center"/>
          </w:tcPr>
          <w:p w14:paraId="386DD275" w14:textId="77777777" w:rsidR="005742C4" w:rsidRPr="00164719" w:rsidRDefault="005742C4" w:rsidP="00E639C7">
            <w:pPr>
              <w:keepNext/>
              <w:keepLines/>
              <w:spacing w:before="60" w:after="60"/>
              <w:rPr>
                <w:lang w:val="en-GB"/>
              </w:rPr>
            </w:pPr>
            <w:r w:rsidRPr="00164719">
              <w:rPr>
                <w:rFonts w:eastAsia="MS Mincho" w:cs="Arial"/>
                <w:lang w:val="en-GB" w:eastAsia="ja-JP"/>
              </w:rPr>
              <w:t>Applies in spectrum used for MFCN, except from the operator block in question and corresponding transitional regions.</w:t>
            </w:r>
          </w:p>
        </w:tc>
      </w:tr>
      <w:tr w:rsidR="005742C4" w:rsidRPr="00164719" w14:paraId="223F97A5" w14:textId="77777777" w:rsidTr="00E639C7">
        <w:tc>
          <w:tcPr>
            <w:tcW w:w="2013" w:type="dxa"/>
            <w:tcBorders>
              <w:top w:val="single" w:sz="4" w:space="0" w:color="D2232A"/>
              <w:left w:val="single" w:sz="4" w:space="0" w:color="D2232A"/>
              <w:bottom w:val="single" w:sz="4" w:space="0" w:color="D2232A"/>
              <w:right w:val="single" w:sz="4" w:space="0" w:color="D2232A"/>
            </w:tcBorders>
            <w:vAlign w:val="center"/>
          </w:tcPr>
          <w:p w14:paraId="05333D54" w14:textId="77777777" w:rsidR="005742C4" w:rsidRPr="00164719" w:rsidRDefault="005742C4" w:rsidP="00E639C7">
            <w:pPr>
              <w:keepNext/>
              <w:keepLines/>
              <w:spacing w:before="60" w:after="60" w:line="288" w:lineRule="auto"/>
              <w:rPr>
                <w:rFonts w:eastAsia="MS Mincho" w:cs="Arial"/>
                <w:lang w:val="en-GB" w:eastAsia="ja-JP"/>
              </w:rPr>
            </w:pPr>
            <w:r w:rsidRPr="00164719">
              <w:rPr>
                <w:rFonts w:eastAsia="MS Mincho" w:cs="Arial"/>
                <w:lang w:val="en-GB" w:eastAsia="ja-JP"/>
              </w:rPr>
              <w:t>Transitional region</w:t>
            </w:r>
          </w:p>
        </w:tc>
        <w:tc>
          <w:tcPr>
            <w:tcW w:w="7059" w:type="dxa"/>
            <w:tcBorders>
              <w:top w:val="single" w:sz="4" w:space="0" w:color="D2232A"/>
              <w:left w:val="single" w:sz="4" w:space="0" w:color="D2232A"/>
              <w:bottom w:val="single" w:sz="4" w:space="0" w:color="D2232A"/>
              <w:right w:val="single" w:sz="4" w:space="0" w:color="D2232A"/>
            </w:tcBorders>
            <w:vAlign w:val="center"/>
          </w:tcPr>
          <w:p w14:paraId="19C47EC2" w14:textId="77777777" w:rsidR="005742C4" w:rsidRPr="00164719" w:rsidRDefault="005742C4" w:rsidP="00E639C7">
            <w:pPr>
              <w:keepNext/>
              <w:keepLines/>
              <w:spacing w:before="60" w:after="60"/>
              <w:rPr>
                <w:rFonts w:eastAsia="MS Mincho" w:cs="Arial"/>
                <w:lang w:val="en-GB" w:eastAsia="ja-JP"/>
              </w:rPr>
            </w:pPr>
            <w:r w:rsidRPr="00164719">
              <w:rPr>
                <w:rFonts w:eastAsia="MS Mincho" w:cs="Arial"/>
                <w:lang w:val="en-GB" w:eastAsia="ja-JP"/>
              </w:rPr>
              <w:t>These are the regions adjacent to an operator block.</w:t>
            </w:r>
          </w:p>
        </w:tc>
      </w:tr>
    </w:tbl>
    <w:p w14:paraId="1B60F24E" w14:textId="3AD93058" w:rsidR="00B3676D" w:rsidRPr="00164719" w:rsidRDefault="00B3676D" w:rsidP="005742C4">
      <w:pPr>
        <w:jc w:val="both"/>
        <w:rPr>
          <w:lang w:val="en-GB"/>
        </w:rPr>
      </w:pPr>
      <w:bookmarkStart w:id="17" w:name="_Ref507684854"/>
    </w:p>
    <w:p w14:paraId="735E7712" w14:textId="3920814D" w:rsidR="005742C4" w:rsidRPr="00164719" w:rsidRDefault="00B3676D" w:rsidP="005742C4">
      <w:pPr>
        <w:jc w:val="both"/>
        <w:rPr>
          <w:lang w:val="en-GB"/>
        </w:rPr>
      </w:pPr>
      <w:r w:rsidRPr="00164719">
        <w:rPr>
          <w:lang w:val="en-GB"/>
        </w:rPr>
        <w:t xml:space="preserve">For </w:t>
      </w:r>
      <w:r w:rsidR="005742C4" w:rsidRPr="00164719">
        <w:rPr>
          <w:lang w:val="en-GB"/>
        </w:rPr>
        <w:fldChar w:fldCharType="begin"/>
      </w:r>
      <w:r w:rsidR="005742C4" w:rsidRPr="00164719">
        <w:rPr>
          <w:lang w:val="en-GB"/>
        </w:rPr>
        <w:instrText xml:space="preserve"> REF _Ref507684854 \h  \* MERGEFORMAT </w:instrText>
      </w:r>
      <w:r w:rsidR="005742C4" w:rsidRPr="00164719">
        <w:rPr>
          <w:lang w:val="en-GB"/>
        </w:rPr>
      </w:r>
      <w:r w:rsidR="005742C4" w:rsidRPr="00164719">
        <w:rPr>
          <w:lang w:val="en-GB"/>
        </w:rPr>
        <w:fldChar w:fldCharType="separate"/>
      </w:r>
      <w:r w:rsidR="005742C4" w:rsidRPr="00164719">
        <w:rPr>
          <w:noProof/>
          <w:lang w:val="en-GB"/>
        </w:rPr>
        <w:t>Table</w:t>
      </w:r>
      <w:r w:rsidR="005742C4" w:rsidRPr="00164719">
        <w:rPr>
          <w:lang w:val="en-GB"/>
        </w:rPr>
        <w:t xml:space="preserve"> </w:t>
      </w:r>
      <w:r w:rsidR="005742C4" w:rsidRPr="00164719">
        <w:rPr>
          <w:noProof/>
          <w:lang w:val="en-GB"/>
        </w:rPr>
        <w:t>2</w:t>
      </w:r>
      <w:r w:rsidR="005742C4" w:rsidRPr="00164719">
        <w:rPr>
          <w:lang w:val="en-GB"/>
        </w:rPr>
        <w:fldChar w:fldCharType="end"/>
      </w:r>
      <w:r w:rsidR="005742C4" w:rsidRPr="00164719">
        <w:rPr>
          <w:lang w:val="en-GB"/>
        </w:rPr>
        <w:t xml:space="preserve"> and </w:t>
      </w:r>
      <w:r w:rsidR="005742C4" w:rsidRPr="00164719">
        <w:rPr>
          <w:lang w:val="en-GB"/>
        </w:rPr>
        <w:fldChar w:fldCharType="begin"/>
      </w:r>
      <w:r w:rsidR="005742C4" w:rsidRPr="00164719">
        <w:rPr>
          <w:lang w:val="en-GB"/>
        </w:rPr>
        <w:instrText xml:space="preserve"> REF _Ref518514892 \h  \* MERGEFORMAT </w:instrText>
      </w:r>
      <w:r w:rsidR="005742C4" w:rsidRPr="00164719">
        <w:rPr>
          <w:lang w:val="en-GB"/>
        </w:rPr>
      </w:r>
      <w:r w:rsidR="005742C4" w:rsidRPr="00164719">
        <w:rPr>
          <w:lang w:val="en-GB"/>
        </w:rPr>
        <w:fldChar w:fldCharType="separate"/>
      </w:r>
      <w:r w:rsidR="005742C4" w:rsidRPr="00164719">
        <w:rPr>
          <w:lang w:val="en-GB"/>
        </w:rPr>
        <w:t xml:space="preserve">Table </w:t>
      </w:r>
      <w:r w:rsidR="005742C4" w:rsidRPr="00164719">
        <w:rPr>
          <w:noProof/>
          <w:lang w:val="en-GB"/>
        </w:rPr>
        <w:t>3</w:t>
      </w:r>
      <w:r w:rsidR="005742C4" w:rsidRPr="00164719">
        <w:rPr>
          <w:lang w:val="en-GB"/>
        </w:rPr>
        <w:fldChar w:fldCharType="end"/>
      </w:r>
      <w:r w:rsidR="004260D3" w:rsidRPr="00164719">
        <w:rPr>
          <w:lang w:val="en-GB"/>
        </w:rPr>
        <w:fldChar w:fldCharType="begin"/>
      </w:r>
      <w:r w:rsidR="004260D3" w:rsidRPr="00164719">
        <w:rPr>
          <w:lang w:val="en-GB"/>
        </w:rPr>
        <w:instrText xml:space="preserve"> REF _Ref111628845 \r \h </w:instrText>
      </w:r>
      <w:r w:rsidR="00ED647E" w:rsidRPr="00164719">
        <w:rPr>
          <w:lang w:val="en-GB"/>
        </w:rPr>
        <w:instrText xml:space="preserve"> \* MERGEFORMAT </w:instrText>
      </w:r>
      <w:r w:rsidR="004260D3" w:rsidRPr="00164719">
        <w:rPr>
          <w:lang w:val="en-GB"/>
        </w:rPr>
      </w:r>
      <w:r w:rsidR="007D62EC">
        <w:rPr>
          <w:lang w:val="en-GB"/>
        </w:rPr>
        <w:fldChar w:fldCharType="separate"/>
      </w:r>
      <w:r w:rsidR="004260D3" w:rsidRPr="00164719">
        <w:rPr>
          <w:lang w:val="en-GB"/>
        </w:rPr>
        <w:fldChar w:fldCharType="end"/>
      </w:r>
      <w:r w:rsidR="005742C4" w:rsidRPr="00164719">
        <w:rPr>
          <w:lang w:val="en-GB"/>
        </w:rPr>
        <w:t xml:space="preserve"> synchronised operation</w:t>
      </w:r>
      <w:r w:rsidR="006F122E" w:rsidRPr="00164719">
        <w:rPr>
          <w:lang w:val="en-GB"/>
        </w:rPr>
        <w:t xml:space="preserve"> is assumed</w:t>
      </w:r>
      <w:r w:rsidR="005742C4" w:rsidRPr="00164719">
        <w:rPr>
          <w:lang w:val="en-GB"/>
        </w:rPr>
        <w:t>.</w:t>
      </w:r>
    </w:p>
    <w:p w14:paraId="0A0ADA57" w14:textId="77777777" w:rsidR="005742C4" w:rsidRPr="00164719" w:rsidRDefault="005742C4" w:rsidP="005742C4">
      <w:pPr>
        <w:spacing w:after="240"/>
        <w:ind w:left="284" w:right="1275"/>
        <w:jc w:val="both"/>
        <w:rPr>
          <w:szCs w:val="20"/>
          <w:lang w:val="en-GB"/>
        </w:rPr>
      </w:pPr>
    </w:p>
    <w:p w14:paraId="5D66E530" w14:textId="46DAADA7" w:rsidR="005742C4" w:rsidRPr="00164719" w:rsidRDefault="005742C4">
      <w:pPr>
        <w:pStyle w:val="ECCTabletitle"/>
      </w:pPr>
      <w:bookmarkStart w:id="18" w:name="_Ref111628833"/>
      <w:bookmarkEnd w:id="17"/>
      <w:r w:rsidRPr="00164719">
        <w:lastRenderedPageBreak/>
        <w:t xml:space="preserve">MFCN BS transitional region requirements for coexistence </w:t>
      </w:r>
      <w:r w:rsidRPr="00164719">
        <w:br/>
        <w:t>between MFCN networks operating in adjacent blocks (assuming synchronised operation, see note 1) in the 40.5</w:t>
      </w:r>
      <w:r w:rsidR="0095384C" w:rsidRPr="00164719">
        <w:t>-</w:t>
      </w:r>
      <w:r w:rsidRPr="00164719">
        <w:t>43.5 GHz</w:t>
      </w:r>
      <w:r w:rsidR="00C27AE1" w:rsidRPr="00164719">
        <w:t xml:space="preserve"> band</w:t>
      </w:r>
      <w:bookmarkEnd w:id="18"/>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3969"/>
        <w:gridCol w:w="2410"/>
        <w:gridCol w:w="2693"/>
        <w:gridCol w:w="29"/>
      </w:tblGrid>
      <w:tr w:rsidR="005742C4" w:rsidRPr="00164719" w14:paraId="45BFE523" w14:textId="77777777" w:rsidTr="00E639C7">
        <w:trPr>
          <w:gridAfter w:val="1"/>
          <w:wAfter w:w="29" w:type="dxa"/>
          <w:tblHeader/>
        </w:trPr>
        <w:tc>
          <w:tcPr>
            <w:tcW w:w="3969"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4F735B5F" w14:textId="4C8C3F95" w:rsidR="005742C4" w:rsidRPr="00164719" w:rsidRDefault="005742C4" w:rsidP="003F1046">
            <w:pPr>
              <w:keepNext/>
              <w:spacing w:before="60" w:after="60" w:line="288" w:lineRule="auto"/>
              <w:jc w:val="center"/>
              <w:rPr>
                <w:b/>
                <w:color w:val="FFFFFF"/>
                <w:lang w:val="en-GB"/>
              </w:rPr>
            </w:pPr>
            <w:r w:rsidRPr="00164719">
              <w:rPr>
                <w:b/>
                <w:color w:val="FFFFFF"/>
                <w:lang w:val="en-GB"/>
              </w:rPr>
              <w:t>Frequency range</w:t>
            </w:r>
          </w:p>
        </w:tc>
        <w:tc>
          <w:tcPr>
            <w:tcW w:w="2410"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17852BCC" w14:textId="3B700B80" w:rsidR="005742C4" w:rsidRPr="00164719" w:rsidRDefault="005742C4" w:rsidP="001F5CE5">
            <w:pPr>
              <w:keepNext/>
              <w:spacing w:before="120" w:after="60" w:line="288" w:lineRule="auto"/>
              <w:jc w:val="center"/>
              <w:rPr>
                <w:b/>
                <w:color w:val="FFFFFF"/>
                <w:lang w:val="en-GB"/>
              </w:rPr>
            </w:pPr>
            <w:r w:rsidRPr="00164719">
              <w:rPr>
                <w:b/>
                <w:color w:val="FFFFFF"/>
                <w:lang w:val="en-GB"/>
              </w:rPr>
              <w:t>Maximum Total Radiated Power (TRP)</w:t>
            </w:r>
          </w:p>
        </w:tc>
        <w:tc>
          <w:tcPr>
            <w:tcW w:w="2693"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6AEDF43E" w14:textId="77777777" w:rsidR="005742C4" w:rsidRPr="00164719" w:rsidRDefault="005742C4" w:rsidP="003F1046">
            <w:pPr>
              <w:keepNext/>
              <w:spacing w:before="60" w:after="60" w:line="288" w:lineRule="auto"/>
              <w:jc w:val="center"/>
              <w:rPr>
                <w:b/>
                <w:color w:val="FFFFFF"/>
                <w:lang w:val="en-GB"/>
              </w:rPr>
            </w:pPr>
            <w:r w:rsidRPr="00164719">
              <w:rPr>
                <w:b/>
                <w:color w:val="FFFFFF"/>
                <w:lang w:val="en-GB"/>
              </w:rPr>
              <w:t>Measurement Bandwidth</w:t>
            </w:r>
          </w:p>
        </w:tc>
      </w:tr>
      <w:tr w:rsidR="005742C4" w:rsidRPr="00164719" w14:paraId="22396B44" w14:textId="77777777" w:rsidTr="00E639C7">
        <w:trPr>
          <w:gridAfter w:val="1"/>
          <w:wAfter w:w="29" w:type="dxa"/>
        </w:trPr>
        <w:tc>
          <w:tcPr>
            <w:tcW w:w="3969" w:type="dxa"/>
            <w:tcBorders>
              <w:top w:val="single" w:sz="4" w:space="0" w:color="D2232A"/>
              <w:left w:val="single" w:sz="4" w:space="0" w:color="D2232A"/>
              <w:bottom w:val="single" w:sz="4" w:space="0" w:color="D2232A"/>
              <w:right w:val="single" w:sz="4" w:space="0" w:color="D2232A"/>
            </w:tcBorders>
            <w:vAlign w:val="center"/>
          </w:tcPr>
          <w:p w14:paraId="6DC637DE" w14:textId="5475F535" w:rsidR="005742C4" w:rsidRPr="00164719" w:rsidRDefault="005742C4" w:rsidP="003F1046">
            <w:pPr>
              <w:keepNext/>
              <w:spacing w:before="60" w:after="60" w:line="288" w:lineRule="auto"/>
              <w:rPr>
                <w:lang w:val="en-GB"/>
              </w:rPr>
            </w:pPr>
            <w:r w:rsidRPr="00164719">
              <w:rPr>
                <w:lang w:val="en-GB"/>
              </w:rPr>
              <w:t>0-50 MHz below or above operator block</w:t>
            </w:r>
          </w:p>
        </w:tc>
        <w:tc>
          <w:tcPr>
            <w:tcW w:w="2410" w:type="dxa"/>
            <w:tcBorders>
              <w:top w:val="single" w:sz="4" w:space="0" w:color="D2232A"/>
              <w:left w:val="single" w:sz="4" w:space="0" w:color="D2232A"/>
              <w:bottom w:val="single" w:sz="4" w:space="0" w:color="D2232A"/>
              <w:right w:val="single" w:sz="4" w:space="0" w:color="D2232A"/>
            </w:tcBorders>
            <w:vAlign w:val="center"/>
          </w:tcPr>
          <w:p w14:paraId="685A3CC7" w14:textId="77777777" w:rsidR="005742C4" w:rsidRPr="00164719" w:rsidRDefault="005742C4" w:rsidP="00347C23">
            <w:pPr>
              <w:keepNext/>
              <w:spacing w:before="60" w:after="60"/>
              <w:rPr>
                <w:lang w:val="en-GB"/>
              </w:rPr>
            </w:pPr>
            <w:r w:rsidRPr="00164719">
              <w:rPr>
                <w:rFonts w:eastAsia="MS Mincho" w:cs="Arial"/>
                <w:lang w:val="en-GB" w:eastAsia="ja-JP"/>
              </w:rPr>
              <w:t>12 dBm</w:t>
            </w:r>
          </w:p>
        </w:tc>
        <w:tc>
          <w:tcPr>
            <w:tcW w:w="2693" w:type="dxa"/>
            <w:tcBorders>
              <w:top w:val="single" w:sz="4" w:space="0" w:color="D2232A"/>
              <w:left w:val="single" w:sz="4" w:space="0" w:color="D2232A"/>
              <w:bottom w:val="single" w:sz="4" w:space="0" w:color="D2232A"/>
              <w:right w:val="single" w:sz="4" w:space="0" w:color="D2232A"/>
            </w:tcBorders>
            <w:vAlign w:val="center"/>
          </w:tcPr>
          <w:p w14:paraId="68DA8551" w14:textId="77777777" w:rsidR="005742C4" w:rsidRPr="00164719" w:rsidRDefault="005742C4" w:rsidP="003F1046">
            <w:pPr>
              <w:keepNext/>
              <w:spacing w:before="60" w:after="60" w:line="288" w:lineRule="auto"/>
              <w:rPr>
                <w:lang w:val="en-GB"/>
              </w:rPr>
            </w:pPr>
            <w:r w:rsidRPr="00164719">
              <w:rPr>
                <w:lang w:val="en-GB"/>
              </w:rPr>
              <w:t>50 MHz</w:t>
            </w:r>
          </w:p>
        </w:tc>
      </w:tr>
      <w:tr w:rsidR="005742C4" w:rsidRPr="00164719" w14:paraId="70C947F3" w14:textId="77777777" w:rsidTr="00E639C7">
        <w:tc>
          <w:tcPr>
            <w:tcW w:w="9101" w:type="dxa"/>
            <w:gridSpan w:val="4"/>
            <w:tcBorders>
              <w:top w:val="single" w:sz="4" w:space="0" w:color="D2232A"/>
              <w:left w:val="single" w:sz="4" w:space="0" w:color="D2232A"/>
              <w:right w:val="single" w:sz="4" w:space="0" w:color="D2232A"/>
            </w:tcBorders>
            <w:vAlign w:val="center"/>
          </w:tcPr>
          <w:p w14:paraId="0FD4C654" w14:textId="72AAFC6C" w:rsidR="005742C4" w:rsidRPr="00164719" w:rsidRDefault="005742C4" w:rsidP="003F1046">
            <w:pPr>
              <w:keepNext/>
              <w:spacing w:before="60" w:after="60"/>
              <w:rPr>
                <w:lang w:val="en-GB"/>
              </w:rPr>
            </w:pPr>
            <w:r w:rsidRPr="00164719">
              <w:rPr>
                <w:sz w:val="16"/>
                <w:szCs w:val="16"/>
                <w:lang w:val="en-GB"/>
              </w:rPr>
              <w:t>Note 1: Administrations may define appropriate mitigation measures to be applied in case of unsynchronised or semi-synchronised operations – see ECC Report 307</w:t>
            </w:r>
            <w:r w:rsidR="00175E96" w:rsidRPr="00164719">
              <w:rPr>
                <w:sz w:val="16"/>
                <w:szCs w:val="16"/>
                <w:lang w:val="en-GB"/>
              </w:rPr>
              <w:t xml:space="preserve"> </w:t>
            </w:r>
            <w:r w:rsidR="003628C3" w:rsidRPr="00164719">
              <w:rPr>
                <w:sz w:val="16"/>
                <w:szCs w:val="16"/>
                <w:lang w:val="en-GB"/>
              </w:rPr>
              <w:fldChar w:fldCharType="begin"/>
            </w:r>
            <w:r w:rsidR="003628C3" w:rsidRPr="00164719">
              <w:rPr>
                <w:sz w:val="16"/>
                <w:szCs w:val="16"/>
                <w:lang w:val="en-GB"/>
              </w:rPr>
              <w:instrText xml:space="preserve"> REF _Ref116554735 \r \h </w:instrText>
            </w:r>
            <w:r w:rsidR="003628C3" w:rsidRPr="00164719">
              <w:rPr>
                <w:sz w:val="16"/>
                <w:szCs w:val="16"/>
                <w:lang w:val="en-GB"/>
              </w:rPr>
            </w:r>
            <w:r w:rsidR="003628C3" w:rsidRPr="00164719">
              <w:rPr>
                <w:sz w:val="16"/>
                <w:szCs w:val="16"/>
                <w:lang w:val="en-GB"/>
              </w:rPr>
              <w:fldChar w:fldCharType="separate"/>
            </w:r>
            <w:r w:rsidR="003628C3" w:rsidRPr="00164719">
              <w:rPr>
                <w:sz w:val="16"/>
                <w:szCs w:val="16"/>
                <w:lang w:val="en-GB"/>
              </w:rPr>
              <w:t>[14]</w:t>
            </w:r>
            <w:r w:rsidR="003628C3" w:rsidRPr="00164719">
              <w:rPr>
                <w:sz w:val="16"/>
                <w:szCs w:val="16"/>
                <w:lang w:val="en-GB"/>
              </w:rPr>
              <w:fldChar w:fldCharType="end"/>
            </w:r>
            <w:r w:rsidR="003628C3" w:rsidRPr="00164719">
              <w:rPr>
                <w:lang w:val="en-GB"/>
              </w:rPr>
              <w:t xml:space="preserve"> </w:t>
            </w:r>
          </w:p>
        </w:tc>
      </w:tr>
    </w:tbl>
    <w:p w14:paraId="6F402416" w14:textId="740F183A" w:rsidR="005742C4" w:rsidRPr="00164719" w:rsidRDefault="005742C4" w:rsidP="002A78D2">
      <w:pPr>
        <w:pStyle w:val="ECCTabletitle"/>
      </w:pPr>
      <w:bookmarkStart w:id="19" w:name="_Ref111628845"/>
      <w:r w:rsidRPr="00164719">
        <w:t>MFCN BS baseline requirements for coexistence with MFCN networks in other blocks in the band (assuming synchronised operation, see note 1)</w:t>
      </w:r>
      <w:bookmarkEnd w:id="19"/>
    </w:p>
    <w:tbl>
      <w:tblPr>
        <w:tblW w:w="0" w:type="auto"/>
        <w:tblInd w:w="392" w:type="dxa"/>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2155"/>
        <w:gridCol w:w="1843"/>
        <w:gridCol w:w="2409"/>
        <w:gridCol w:w="2694"/>
      </w:tblGrid>
      <w:tr w:rsidR="005742C4" w:rsidRPr="00164719" w14:paraId="261D3216" w14:textId="77777777" w:rsidTr="00E639C7">
        <w:trPr>
          <w:tblHeader/>
        </w:trPr>
        <w:tc>
          <w:tcPr>
            <w:tcW w:w="2155" w:type="dxa"/>
            <w:tcBorders>
              <w:top w:val="single" w:sz="4" w:space="0" w:color="D2232A"/>
              <w:left w:val="single" w:sz="4" w:space="0" w:color="D2232A"/>
              <w:bottom w:val="single" w:sz="4" w:space="0" w:color="D2232A"/>
              <w:right w:val="single" w:sz="8" w:space="0" w:color="FFFFFF"/>
            </w:tcBorders>
            <w:shd w:val="clear" w:color="auto" w:fill="D2232A"/>
            <w:vAlign w:val="center"/>
          </w:tcPr>
          <w:p w14:paraId="0AB55EB3" w14:textId="4C4CC593" w:rsidR="005742C4" w:rsidRPr="00164719" w:rsidRDefault="005742C4" w:rsidP="00E639C7">
            <w:pPr>
              <w:spacing w:before="60" w:after="60" w:line="288" w:lineRule="auto"/>
              <w:jc w:val="center"/>
              <w:rPr>
                <w:b/>
                <w:color w:val="FFFFFF"/>
                <w:lang w:val="en-GB"/>
              </w:rPr>
            </w:pPr>
            <w:r w:rsidRPr="00164719">
              <w:rPr>
                <w:b/>
                <w:color w:val="FFFFFF"/>
                <w:lang w:val="en-GB"/>
              </w:rPr>
              <w:t>Frequency range</w:t>
            </w:r>
          </w:p>
        </w:tc>
        <w:tc>
          <w:tcPr>
            <w:tcW w:w="1843" w:type="dxa"/>
            <w:tcBorders>
              <w:top w:val="single" w:sz="4" w:space="0" w:color="D2232A"/>
              <w:left w:val="single" w:sz="8" w:space="0" w:color="FFFFFF"/>
              <w:bottom w:val="single" w:sz="4" w:space="0" w:color="D2232A"/>
              <w:right w:val="single" w:sz="8" w:space="0" w:color="FFFFFF"/>
            </w:tcBorders>
            <w:shd w:val="clear" w:color="auto" w:fill="D2232A"/>
          </w:tcPr>
          <w:p w14:paraId="6AFEB27F" w14:textId="77777777" w:rsidR="005742C4" w:rsidRPr="00164719" w:rsidRDefault="005742C4" w:rsidP="001F5CE5">
            <w:pPr>
              <w:spacing w:before="120" w:after="60" w:line="288" w:lineRule="auto"/>
              <w:jc w:val="center"/>
              <w:rPr>
                <w:b/>
                <w:color w:val="FFFFFF"/>
                <w:lang w:val="en-GB"/>
              </w:rPr>
            </w:pPr>
            <w:r w:rsidRPr="00164719">
              <w:rPr>
                <w:b/>
                <w:color w:val="FFFFFF"/>
                <w:lang w:val="en-GB"/>
              </w:rPr>
              <w:t>Protected frequency range</w:t>
            </w:r>
          </w:p>
        </w:tc>
        <w:tc>
          <w:tcPr>
            <w:tcW w:w="2409" w:type="dxa"/>
            <w:tcBorders>
              <w:top w:val="single" w:sz="4" w:space="0" w:color="D2232A"/>
              <w:left w:val="single" w:sz="8" w:space="0" w:color="FFFFFF"/>
              <w:bottom w:val="single" w:sz="4" w:space="0" w:color="D2232A"/>
              <w:right w:val="single" w:sz="8" w:space="0" w:color="FFFFFF"/>
            </w:tcBorders>
            <w:shd w:val="clear" w:color="auto" w:fill="D2232A"/>
            <w:vAlign w:val="center"/>
          </w:tcPr>
          <w:p w14:paraId="48129830" w14:textId="77777777" w:rsidR="005742C4" w:rsidRPr="00164719" w:rsidRDefault="005742C4" w:rsidP="001F5CE5">
            <w:pPr>
              <w:spacing w:before="120" w:after="60" w:line="288" w:lineRule="auto"/>
              <w:jc w:val="center"/>
              <w:rPr>
                <w:b/>
                <w:color w:val="FFFFFF"/>
                <w:lang w:val="en-GB"/>
              </w:rPr>
            </w:pPr>
            <w:r w:rsidRPr="00164719">
              <w:rPr>
                <w:b/>
                <w:color w:val="FFFFFF"/>
                <w:lang w:val="en-GB"/>
              </w:rPr>
              <w:t>Maximum Total Radiated Power (TRP)</w:t>
            </w:r>
          </w:p>
        </w:tc>
        <w:tc>
          <w:tcPr>
            <w:tcW w:w="2694" w:type="dxa"/>
            <w:tcBorders>
              <w:top w:val="single" w:sz="4" w:space="0" w:color="D2232A"/>
              <w:left w:val="single" w:sz="8" w:space="0" w:color="FFFFFF"/>
              <w:bottom w:val="single" w:sz="4" w:space="0" w:color="D2232A"/>
              <w:right w:val="single" w:sz="4" w:space="0" w:color="D2232A"/>
            </w:tcBorders>
            <w:shd w:val="clear" w:color="auto" w:fill="D2232A"/>
            <w:vAlign w:val="center"/>
          </w:tcPr>
          <w:p w14:paraId="0C655291" w14:textId="77777777" w:rsidR="005742C4" w:rsidRPr="00164719" w:rsidRDefault="005742C4" w:rsidP="00E639C7">
            <w:pPr>
              <w:spacing w:before="60" w:after="60" w:line="288" w:lineRule="auto"/>
              <w:jc w:val="center"/>
              <w:rPr>
                <w:b/>
                <w:color w:val="FFFFFF"/>
                <w:lang w:val="en-GB"/>
              </w:rPr>
            </w:pPr>
            <w:r w:rsidRPr="00164719">
              <w:rPr>
                <w:b/>
                <w:color w:val="FFFFFF"/>
                <w:lang w:val="en-GB"/>
              </w:rPr>
              <w:t>Measurement bandwidth</w:t>
            </w:r>
          </w:p>
        </w:tc>
      </w:tr>
      <w:tr w:rsidR="005742C4" w:rsidRPr="00164719" w14:paraId="44CC69D7" w14:textId="77777777" w:rsidTr="00E639C7">
        <w:tc>
          <w:tcPr>
            <w:tcW w:w="2155" w:type="dxa"/>
            <w:tcBorders>
              <w:top w:val="single" w:sz="4" w:space="0" w:color="D2232A"/>
              <w:left w:val="single" w:sz="4" w:space="0" w:color="D2232A"/>
              <w:bottom w:val="single" w:sz="4" w:space="0" w:color="D2232A"/>
              <w:right w:val="single" w:sz="4" w:space="0" w:color="D2232A"/>
            </w:tcBorders>
            <w:vAlign w:val="center"/>
          </w:tcPr>
          <w:p w14:paraId="49172C51" w14:textId="77777777" w:rsidR="005742C4" w:rsidRPr="00164719" w:rsidRDefault="005742C4" w:rsidP="00E639C7">
            <w:pPr>
              <w:spacing w:before="60" w:after="60" w:line="288" w:lineRule="auto"/>
              <w:rPr>
                <w:lang w:val="en-GB"/>
              </w:rPr>
            </w:pPr>
            <w:r w:rsidRPr="00164719">
              <w:rPr>
                <w:lang w:val="en-GB"/>
              </w:rPr>
              <w:t>In-band baseline</w:t>
            </w:r>
          </w:p>
        </w:tc>
        <w:tc>
          <w:tcPr>
            <w:tcW w:w="1843" w:type="dxa"/>
            <w:tcBorders>
              <w:top w:val="single" w:sz="4" w:space="0" w:color="D2232A"/>
              <w:left w:val="single" w:sz="4" w:space="0" w:color="D2232A"/>
              <w:bottom w:val="single" w:sz="4" w:space="0" w:color="D2232A"/>
              <w:right w:val="single" w:sz="4" w:space="0" w:color="D2232A"/>
            </w:tcBorders>
          </w:tcPr>
          <w:p w14:paraId="190BED5B" w14:textId="77777777" w:rsidR="005742C4" w:rsidRPr="00164719" w:rsidRDefault="005742C4" w:rsidP="00E639C7">
            <w:pPr>
              <w:spacing w:before="60" w:after="60" w:line="288" w:lineRule="auto"/>
              <w:rPr>
                <w:lang w:val="en-GB"/>
              </w:rPr>
            </w:pPr>
            <w:r w:rsidRPr="00164719">
              <w:rPr>
                <w:lang w:val="en-GB"/>
              </w:rPr>
              <w:t>40.5-43.5 GHz</w:t>
            </w:r>
          </w:p>
        </w:tc>
        <w:tc>
          <w:tcPr>
            <w:tcW w:w="2409" w:type="dxa"/>
            <w:tcBorders>
              <w:top w:val="single" w:sz="4" w:space="0" w:color="D2232A"/>
              <w:left w:val="single" w:sz="4" w:space="0" w:color="D2232A"/>
              <w:bottom w:val="single" w:sz="4" w:space="0" w:color="D2232A"/>
              <w:right w:val="single" w:sz="4" w:space="0" w:color="D2232A"/>
            </w:tcBorders>
            <w:vAlign w:val="center"/>
          </w:tcPr>
          <w:p w14:paraId="799D6BEF" w14:textId="77777777" w:rsidR="005742C4" w:rsidRPr="00164719" w:rsidRDefault="005742C4" w:rsidP="00347C23">
            <w:pPr>
              <w:spacing w:before="60" w:after="60" w:line="288" w:lineRule="auto"/>
              <w:rPr>
                <w:lang w:val="en-GB"/>
              </w:rPr>
            </w:pPr>
            <w:r w:rsidRPr="00164719">
              <w:rPr>
                <w:lang w:val="en-GB"/>
              </w:rPr>
              <w:t>4 dBm</w:t>
            </w:r>
          </w:p>
        </w:tc>
        <w:tc>
          <w:tcPr>
            <w:tcW w:w="2694" w:type="dxa"/>
            <w:tcBorders>
              <w:top w:val="single" w:sz="4" w:space="0" w:color="D2232A"/>
              <w:left w:val="single" w:sz="4" w:space="0" w:color="D2232A"/>
              <w:bottom w:val="single" w:sz="4" w:space="0" w:color="D2232A"/>
              <w:right w:val="single" w:sz="4" w:space="0" w:color="D2232A"/>
            </w:tcBorders>
            <w:vAlign w:val="center"/>
          </w:tcPr>
          <w:p w14:paraId="2742B2A7" w14:textId="77777777" w:rsidR="005742C4" w:rsidRPr="00164719" w:rsidRDefault="005742C4" w:rsidP="00E639C7">
            <w:pPr>
              <w:spacing w:before="60" w:after="60" w:line="288" w:lineRule="auto"/>
              <w:rPr>
                <w:lang w:val="en-GB"/>
              </w:rPr>
            </w:pPr>
            <w:r w:rsidRPr="00164719">
              <w:rPr>
                <w:lang w:val="en-GB"/>
              </w:rPr>
              <w:t>50 MHz</w:t>
            </w:r>
          </w:p>
        </w:tc>
      </w:tr>
      <w:tr w:rsidR="005742C4" w:rsidRPr="00164719" w14:paraId="6DC0EE9D" w14:textId="77777777" w:rsidTr="00E639C7">
        <w:tc>
          <w:tcPr>
            <w:tcW w:w="9101" w:type="dxa"/>
            <w:gridSpan w:val="4"/>
            <w:tcBorders>
              <w:top w:val="single" w:sz="4" w:space="0" w:color="D2232A"/>
              <w:left w:val="single" w:sz="4" w:space="0" w:color="D2232A"/>
              <w:right w:val="single" w:sz="4" w:space="0" w:color="D2232A"/>
            </w:tcBorders>
            <w:vAlign w:val="center"/>
          </w:tcPr>
          <w:p w14:paraId="71052748" w14:textId="24A2B7C4" w:rsidR="005742C4" w:rsidRPr="00164719" w:rsidRDefault="005742C4" w:rsidP="00E639C7">
            <w:pPr>
              <w:spacing w:before="60" w:after="60"/>
              <w:rPr>
                <w:lang w:val="en-GB"/>
              </w:rPr>
            </w:pPr>
            <w:r w:rsidRPr="00164719">
              <w:rPr>
                <w:sz w:val="16"/>
                <w:szCs w:val="16"/>
                <w:lang w:val="en-GB"/>
              </w:rPr>
              <w:t>Note 1: Administrations may define appropriate mitigation measures to be applied in case of unsynchronised or semi-synchronised operations – see ECC Report 307</w:t>
            </w:r>
            <w:r w:rsidR="00A02A78" w:rsidRPr="00164719">
              <w:rPr>
                <w:sz w:val="16"/>
                <w:szCs w:val="16"/>
                <w:lang w:val="en-GB"/>
              </w:rPr>
              <w:t xml:space="preserve"> </w:t>
            </w:r>
            <w:r w:rsidR="003628C3" w:rsidRPr="00164719">
              <w:rPr>
                <w:sz w:val="16"/>
                <w:szCs w:val="16"/>
                <w:lang w:val="en-GB"/>
              </w:rPr>
              <w:fldChar w:fldCharType="begin"/>
            </w:r>
            <w:r w:rsidR="003628C3" w:rsidRPr="00164719">
              <w:rPr>
                <w:sz w:val="16"/>
                <w:szCs w:val="16"/>
                <w:lang w:val="en-GB"/>
              </w:rPr>
              <w:instrText xml:space="preserve"> REF _Ref116554735 \r \h </w:instrText>
            </w:r>
            <w:r w:rsidR="003628C3" w:rsidRPr="00164719">
              <w:rPr>
                <w:sz w:val="16"/>
                <w:szCs w:val="16"/>
                <w:lang w:val="en-GB"/>
              </w:rPr>
            </w:r>
            <w:r w:rsidR="003628C3" w:rsidRPr="00164719">
              <w:rPr>
                <w:sz w:val="16"/>
                <w:szCs w:val="16"/>
                <w:lang w:val="en-GB"/>
              </w:rPr>
              <w:fldChar w:fldCharType="separate"/>
            </w:r>
            <w:r w:rsidR="003628C3" w:rsidRPr="00164719">
              <w:rPr>
                <w:sz w:val="16"/>
                <w:szCs w:val="16"/>
                <w:lang w:val="en-GB"/>
              </w:rPr>
              <w:t>[14]</w:t>
            </w:r>
            <w:r w:rsidR="003628C3" w:rsidRPr="00164719">
              <w:rPr>
                <w:sz w:val="16"/>
                <w:szCs w:val="16"/>
                <w:lang w:val="en-GB"/>
              </w:rPr>
              <w:fldChar w:fldCharType="end"/>
            </w:r>
            <w:r w:rsidR="00A02A78" w:rsidRPr="00164719">
              <w:rPr>
                <w:sz w:val="16"/>
                <w:szCs w:val="16"/>
                <w:lang w:val="en-GB"/>
              </w:rPr>
              <w:fldChar w:fldCharType="begin"/>
            </w:r>
            <w:r w:rsidR="00A02A78" w:rsidRPr="00164719">
              <w:rPr>
                <w:sz w:val="16"/>
                <w:szCs w:val="16"/>
                <w:lang w:val="en-GB"/>
              </w:rPr>
              <w:instrText xml:space="preserve"> REF _Ref104216203 \r \h </w:instrText>
            </w:r>
            <w:r w:rsidR="00ED647E" w:rsidRPr="00164719">
              <w:rPr>
                <w:sz w:val="16"/>
                <w:szCs w:val="16"/>
                <w:lang w:val="en-GB"/>
              </w:rPr>
              <w:instrText xml:space="preserve"> \* MERGEFORMAT </w:instrText>
            </w:r>
            <w:r w:rsidR="00A02A78" w:rsidRPr="00164719">
              <w:rPr>
                <w:sz w:val="16"/>
                <w:szCs w:val="16"/>
                <w:lang w:val="en-GB"/>
              </w:rPr>
            </w:r>
            <w:r w:rsidR="007D62EC">
              <w:rPr>
                <w:sz w:val="16"/>
                <w:szCs w:val="16"/>
                <w:lang w:val="en-GB"/>
              </w:rPr>
              <w:fldChar w:fldCharType="separate"/>
            </w:r>
            <w:r w:rsidR="00A02A78" w:rsidRPr="00164719">
              <w:rPr>
                <w:sz w:val="16"/>
                <w:szCs w:val="16"/>
                <w:lang w:val="en-GB"/>
              </w:rPr>
              <w:fldChar w:fldCharType="end"/>
            </w:r>
            <w:r w:rsidR="003628C3" w:rsidRPr="00164719">
              <w:rPr>
                <w:lang w:val="en-GB"/>
              </w:rPr>
              <w:t xml:space="preserve"> </w:t>
            </w:r>
          </w:p>
        </w:tc>
      </w:tr>
    </w:tbl>
    <w:p w14:paraId="0E5FC3E6" w14:textId="31838855" w:rsidR="005742C4" w:rsidRPr="00164719" w:rsidRDefault="005742C4" w:rsidP="002A78D2">
      <w:pPr>
        <w:pStyle w:val="ECCTabletitle"/>
      </w:pPr>
      <w:bookmarkStart w:id="20" w:name="_Ref104216113"/>
      <w:r w:rsidRPr="00164719">
        <w:t xml:space="preserve">Conditions applying to the pointing of the main beam of 5G AAS outdoor base stations in </w:t>
      </w:r>
      <w:r w:rsidR="00C27AE1" w:rsidRPr="00164719">
        <w:t xml:space="preserve">the </w:t>
      </w:r>
      <w:r w:rsidRPr="00164719">
        <w:t>42.5-43.5 GHz</w:t>
      </w:r>
      <w:r w:rsidR="00C27AE1" w:rsidRPr="00164719">
        <w:t xml:space="preserve"> band</w:t>
      </w:r>
      <w:bookmarkEnd w:id="20"/>
    </w:p>
    <w:tbl>
      <w:tblPr>
        <w:tblW w:w="4487" w:type="pct"/>
        <w:jc w:val="center"/>
        <w:tblBorders>
          <w:top w:val="single" w:sz="4" w:space="0" w:color="D2232A"/>
          <w:left w:val="single" w:sz="4" w:space="0" w:color="D2232A"/>
          <w:bottom w:val="single" w:sz="4" w:space="0" w:color="D2232A"/>
          <w:right w:val="single" w:sz="4" w:space="0" w:color="D2232A"/>
          <w:insideH w:val="single" w:sz="4" w:space="0" w:color="D2232A"/>
          <w:insideV w:val="single" w:sz="4" w:space="0" w:color="D2232A"/>
        </w:tblBorders>
        <w:tblCellMar>
          <w:top w:w="11" w:type="dxa"/>
          <w:bottom w:w="11" w:type="dxa"/>
        </w:tblCellMar>
        <w:tblLook w:val="01E0" w:firstRow="1" w:lastRow="1" w:firstColumn="1" w:lastColumn="1" w:noHBand="0" w:noVBand="0"/>
      </w:tblPr>
      <w:tblGrid>
        <w:gridCol w:w="8641"/>
      </w:tblGrid>
      <w:tr w:rsidR="005742C4" w:rsidRPr="00164719" w14:paraId="741BA5B0" w14:textId="77777777" w:rsidTr="00E639C7">
        <w:trPr>
          <w:tblHeader/>
          <w:jc w:val="center"/>
        </w:trPr>
        <w:tc>
          <w:tcPr>
            <w:tcW w:w="5000" w:type="pct"/>
            <w:shd w:val="clear" w:color="auto" w:fill="D2232A"/>
            <w:vAlign w:val="center"/>
            <w:hideMark/>
          </w:tcPr>
          <w:p w14:paraId="0AEAFDEA" w14:textId="58027127" w:rsidR="005742C4" w:rsidRPr="00164719" w:rsidRDefault="005742C4" w:rsidP="001F5CE5">
            <w:pPr>
              <w:keepNext/>
              <w:spacing w:before="120" w:after="120" w:line="288" w:lineRule="auto"/>
              <w:jc w:val="center"/>
              <w:rPr>
                <w:b/>
                <w:color w:val="FFFFFF"/>
                <w:lang w:val="en-GB"/>
              </w:rPr>
            </w:pPr>
            <w:r w:rsidRPr="00164719">
              <w:rPr>
                <w:rFonts w:cs="Arial"/>
                <w:b/>
                <w:color w:val="FFFFFF"/>
                <w:lang w:val="en-GB"/>
              </w:rPr>
              <w:t>Requirement on pointing of the main beam of 5G AAS outdoor base stations</w:t>
            </w:r>
          </w:p>
        </w:tc>
      </w:tr>
      <w:tr w:rsidR="005742C4" w:rsidRPr="00164719" w14:paraId="7D8D4AC0" w14:textId="77777777" w:rsidTr="00E639C7">
        <w:trPr>
          <w:jc w:val="center"/>
        </w:trPr>
        <w:tc>
          <w:tcPr>
            <w:tcW w:w="5000" w:type="pct"/>
            <w:vAlign w:val="center"/>
          </w:tcPr>
          <w:p w14:paraId="63B04D2B" w14:textId="77777777" w:rsidR="005742C4" w:rsidRPr="00164719" w:rsidRDefault="005742C4" w:rsidP="00A9657F">
            <w:pPr>
              <w:spacing w:before="60" w:after="60" w:line="288" w:lineRule="auto"/>
              <w:rPr>
                <w:lang w:val="en-GB"/>
              </w:rPr>
            </w:pPr>
            <w:r w:rsidRPr="00164719">
              <w:rPr>
                <w:rFonts w:cs="Arial"/>
                <w:lang w:val="en-GB"/>
              </w:rPr>
              <w:t>When deploying outdoor base stations, it shall be ensured that each antenna is normally transmitting only with main beam pointing below the horizon and in addition the antenna shall have mechanical pointing below the horizon except when the base station is only receiving</w:t>
            </w:r>
          </w:p>
        </w:tc>
      </w:tr>
    </w:tbl>
    <w:p w14:paraId="30C0E1B4" w14:textId="77777777" w:rsidR="004D34A5" w:rsidRPr="00164719" w:rsidRDefault="004D34A5" w:rsidP="005742C4">
      <w:pPr>
        <w:jc w:val="both"/>
        <w:rPr>
          <w:rFonts w:cs="Arial"/>
          <w:lang w:val="en-GB"/>
        </w:rPr>
      </w:pPr>
    </w:p>
    <w:p w14:paraId="5A482BCF" w14:textId="1170AFD9" w:rsidR="005742C4" w:rsidRPr="00164719" w:rsidRDefault="005742C4" w:rsidP="005742C4">
      <w:pPr>
        <w:jc w:val="both"/>
        <w:rPr>
          <w:rFonts w:cs="Arial"/>
          <w:lang w:val="en-GB"/>
        </w:rPr>
      </w:pPr>
      <w:r w:rsidRPr="00164719">
        <w:rPr>
          <w:rFonts w:cs="Arial"/>
          <w:lang w:val="en-GB"/>
        </w:rPr>
        <w:t xml:space="preserve">This requirement in </w:t>
      </w:r>
      <w:r w:rsidR="00243D97" w:rsidRPr="00164719">
        <w:rPr>
          <w:rFonts w:cs="Arial"/>
          <w:lang w:val="en-GB"/>
        </w:rPr>
        <w:fldChar w:fldCharType="begin"/>
      </w:r>
      <w:r w:rsidR="00243D97" w:rsidRPr="00164719">
        <w:rPr>
          <w:rFonts w:cs="Arial"/>
          <w:lang w:val="en-GB"/>
        </w:rPr>
        <w:instrText xml:space="preserve"> REF _Ref104216113 \r \h </w:instrText>
      </w:r>
      <w:r w:rsidR="00ED647E" w:rsidRPr="00164719">
        <w:rPr>
          <w:rFonts w:cs="Arial"/>
          <w:lang w:val="en-GB"/>
        </w:rPr>
        <w:instrText xml:space="preserve"> \* MERGEFORMAT </w:instrText>
      </w:r>
      <w:r w:rsidR="00243D97" w:rsidRPr="00164719">
        <w:rPr>
          <w:rFonts w:cs="Arial"/>
          <w:lang w:val="en-GB"/>
        </w:rPr>
      </w:r>
      <w:r w:rsidR="00243D97" w:rsidRPr="00164719">
        <w:rPr>
          <w:rFonts w:cs="Arial"/>
          <w:lang w:val="en-GB"/>
        </w:rPr>
        <w:fldChar w:fldCharType="separate"/>
      </w:r>
      <w:r w:rsidR="004423E5" w:rsidRPr="00164719">
        <w:rPr>
          <w:rFonts w:cs="Arial"/>
          <w:lang w:val="en-GB"/>
        </w:rPr>
        <w:t>Table 4</w:t>
      </w:r>
      <w:r w:rsidR="00243D97" w:rsidRPr="00164719">
        <w:rPr>
          <w:rFonts w:cs="Arial"/>
          <w:lang w:val="en-GB"/>
        </w:rPr>
        <w:fldChar w:fldCharType="end"/>
      </w:r>
      <w:r w:rsidRPr="00164719">
        <w:rPr>
          <w:rFonts w:cs="Arial"/>
          <w:lang w:val="en-GB"/>
        </w:rPr>
        <w:t xml:space="preserve"> refers to the elevation of the main beam of 5G AAS outdoor base stations to ensure coexistence with space station receivers.</w:t>
      </w:r>
    </w:p>
    <w:p w14:paraId="1DC592CC" w14:textId="77777777" w:rsidR="005742C4" w:rsidRPr="00164719" w:rsidRDefault="005742C4" w:rsidP="005742C4">
      <w:pPr>
        <w:jc w:val="both"/>
        <w:rPr>
          <w:rFonts w:cs="Arial"/>
          <w:lang w:val="en-GB"/>
        </w:rPr>
      </w:pPr>
    </w:p>
    <w:p w14:paraId="3F9D537B" w14:textId="2184DCDB" w:rsidR="005742C4" w:rsidRPr="00164719" w:rsidRDefault="005742C4" w:rsidP="005742C4">
      <w:pPr>
        <w:rPr>
          <w:rFonts w:cs="Arial"/>
          <w:lang w:val="en-GB"/>
        </w:rPr>
      </w:pPr>
      <w:r w:rsidRPr="00164719">
        <w:rPr>
          <w:rFonts w:cs="Arial"/>
          <w:lang w:val="en-GB"/>
        </w:rPr>
        <w:br w:type="page"/>
      </w:r>
    </w:p>
    <w:p w14:paraId="7BE35D3A" w14:textId="6F28E281" w:rsidR="004B7DD4" w:rsidRPr="00164719" w:rsidRDefault="004B7DD4" w:rsidP="00827DA2">
      <w:pPr>
        <w:pStyle w:val="ECCAnnex-heading1"/>
      </w:pPr>
      <w:bookmarkStart w:id="21" w:name="_Toc50031962"/>
      <w:bookmarkStart w:id="22" w:name="_Toc100739949"/>
      <w:bookmarkStart w:id="23" w:name="_Ref103593576"/>
      <w:bookmarkEnd w:id="21"/>
      <w:r w:rsidRPr="00164719">
        <w:lastRenderedPageBreak/>
        <w:t xml:space="preserve">additional measures to be considered on a national basis when the location of </w:t>
      </w:r>
      <w:r w:rsidR="00C27AE1" w:rsidRPr="00164719">
        <w:t>MFCN</w:t>
      </w:r>
      <w:r w:rsidRPr="00164719">
        <w:t xml:space="preserve"> Base Stations are not known</w:t>
      </w:r>
      <w:bookmarkEnd w:id="22"/>
      <w:bookmarkEnd w:id="23"/>
      <w:r w:rsidRPr="00164719">
        <w:t xml:space="preserve"> </w:t>
      </w:r>
    </w:p>
    <w:p w14:paraId="276ACD5A" w14:textId="702762EC" w:rsidR="004B7DD4" w:rsidRPr="0087229B" w:rsidRDefault="004B7DD4" w:rsidP="0087229B">
      <w:pPr>
        <w:pStyle w:val="ECCParagraph"/>
        <w:spacing w:before="240" w:after="60"/>
      </w:pPr>
      <w:r w:rsidRPr="0087229B">
        <w:t xml:space="preserve">Depending on the authorisation regime applied in this band, there is a need for administrations to assess if it is necessary to impose additional measures while still respecting the harmonised technical conditions included in </w:t>
      </w:r>
      <w:r w:rsidR="00914DB0" w:rsidRPr="0087229B">
        <w:fldChar w:fldCharType="begin"/>
      </w:r>
      <w:r w:rsidR="00914DB0" w:rsidRPr="0087229B">
        <w:instrText xml:space="preserve"> REF _Ref103592490 \r \h</w:instrText>
      </w:r>
      <w:r w:rsidR="00914DB0" w:rsidRPr="00164719">
        <w:rPr>
          <w:szCs w:val="20"/>
        </w:rPr>
        <w:instrText xml:space="preserve"> </w:instrText>
      </w:r>
      <w:r w:rsidR="004E6C78" w:rsidRPr="00164719">
        <w:rPr>
          <w:szCs w:val="20"/>
        </w:rPr>
        <w:instrText xml:space="preserve"> \* MERGEFORMAT</w:instrText>
      </w:r>
      <w:r w:rsidR="004E6C78" w:rsidRPr="0087229B">
        <w:instrText xml:space="preserve"> </w:instrText>
      </w:r>
      <w:r w:rsidR="00914DB0" w:rsidRPr="0087229B">
        <w:fldChar w:fldCharType="separate"/>
      </w:r>
      <w:r w:rsidR="00914DB0" w:rsidRPr="0087229B">
        <w:t>A</w:t>
      </w:r>
      <w:r w:rsidR="00352058" w:rsidRPr="0087229B">
        <w:t>nnex</w:t>
      </w:r>
      <w:r w:rsidR="00914DB0" w:rsidRPr="0087229B">
        <w:t xml:space="preserve"> 2</w:t>
      </w:r>
      <w:r w:rsidR="00914DB0" w:rsidRPr="0087229B">
        <w:fldChar w:fldCharType="end"/>
      </w:r>
      <w:r w:rsidRPr="0087229B">
        <w:t>.</w:t>
      </w:r>
    </w:p>
    <w:p w14:paraId="4754CEDC" w14:textId="69E4E336" w:rsidR="004B7DD4" w:rsidRPr="00164719" w:rsidRDefault="004B7DD4" w:rsidP="0087229B">
      <w:pPr>
        <w:pStyle w:val="ECCParagraph"/>
        <w:spacing w:before="240" w:after="60"/>
      </w:pPr>
      <w:r w:rsidRPr="00164719">
        <w:t xml:space="preserve">The harmonised technical conditions for </w:t>
      </w:r>
      <w:r w:rsidR="00FA0EE2" w:rsidRPr="00164719">
        <w:t>MFCN</w:t>
      </w:r>
      <w:r w:rsidR="00C03C5E" w:rsidRPr="00164719">
        <w:t xml:space="preserve"> </w:t>
      </w:r>
      <w:r w:rsidRPr="00164719">
        <w:t xml:space="preserve">with assumption that location of base station is known are set out in </w:t>
      </w:r>
      <w:r w:rsidR="00914DB0" w:rsidRPr="00164719">
        <w:rPr>
          <w:sz w:val="19"/>
          <w:szCs w:val="19"/>
        </w:rPr>
        <w:fldChar w:fldCharType="begin"/>
      </w:r>
      <w:r w:rsidR="00914DB0" w:rsidRPr="00164719">
        <w:rPr>
          <w:sz w:val="19"/>
          <w:szCs w:val="19"/>
        </w:rPr>
        <w:instrText xml:space="preserve"> REF _Ref103592490 \r \h </w:instrText>
      </w:r>
      <w:r w:rsidR="00ED647E" w:rsidRPr="00164719">
        <w:rPr>
          <w:sz w:val="19"/>
          <w:szCs w:val="19"/>
        </w:rPr>
        <w:instrText xml:space="preserve"> \* MERGEFORMAT </w:instrText>
      </w:r>
      <w:r w:rsidR="00914DB0" w:rsidRPr="00164719">
        <w:rPr>
          <w:sz w:val="19"/>
          <w:szCs w:val="19"/>
        </w:rPr>
      </w:r>
      <w:r w:rsidR="00914DB0" w:rsidRPr="00164719">
        <w:rPr>
          <w:sz w:val="19"/>
          <w:szCs w:val="19"/>
        </w:rPr>
        <w:fldChar w:fldCharType="separate"/>
      </w:r>
      <w:r w:rsidR="00914DB0" w:rsidRPr="00164719">
        <w:rPr>
          <w:sz w:val="19"/>
          <w:szCs w:val="19"/>
        </w:rPr>
        <w:t>A</w:t>
      </w:r>
      <w:r w:rsidR="00352058" w:rsidRPr="00164719">
        <w:rPr>
          <w:sz w:val="19"/>
          <w:szCs w:val="19"/>
        </w:rPr>
        <w:t>nnex</w:t>
      </w:r>
      <w:r w:rsidR="00914DB0" w:rsidRPr="00164719">
        <w:rPr>
          <w:sz w:val="19"/>
          <w:szCs w:val="19"/>
        </w:rPr>
        <w:t xml:space="preserve"> 2</w:t>
      </w:r>
      <w:r w:rsidR="00914DB0" w:rsidRPr="00164719">
        <w:rPr>
          <w:sz w:val="19"/>
          <w:szCs w:val="19"/>
        </w:rPr>
        <w:fldChar w:fldCharType="end"/>
      </w:r>
      <w:r w:rsidRPr="00164719">
        <w:t>. Additional considerations are provided in this Annex for an authorisation regime where the location</w:t>
      </w:r>
      <w:r w:rsidR="00DA5CCB" w:rsidRPr="00164719">
        <w:t>s</w:t>
      </w:r>
      <w:r w:rsidRPr="00164719">
        <w:t xml:space="preserve"> of base stations are not known in advance of installation to ensure compatibility with other services. It should be noted that implementation of sharing conditions implies the need for information on relative location of/or distance between </w:t>
      </w:r>
      <w:r w:rsidR="00BA0082" w:rsidRPr="00164719">
        <w:t xml:space="preserve">the </w:t>
      </w:r>
      <w:r w:rsidRPr="00164719">
        <w:t>interferer and victim, or on the location of one of these in order</w:t>
      </w:r>
      <w:r w:rsidR="00DF25EA" w:rsidRPr="00164719">
        <w:t xml:space="preserve"> to</w:t>
      </w:r>
      <w:r w:rsidRPr="00164719">
        <w:t xml:space="preserve"> apply the sharing conditions, such as separation distance</w:t>
      </w:r>
      <w:r w:rsidR="00E13E07" w:rsidRPr="00164719">
        <w:t>s</w:t>
      </w:r>
      <w:r w:rsidRPr="00164719">
        <w:t>/zone</w:t>
      </w:r>
      <w:r w:rsidR="00E13E07" w:rsidRPr="00164719">
        <w:t>s</w:t>
      </w:r>
      <w:r w:rsidRPr="00164719">
        <w:t>, when planning the location of the other station.</w:t>
      </w:r>
    </w:p>
    <w:p w14:paraId="59347F73" w14:textId="5D779F1C" w:rsidR="004B7DD4" w:rsidRPr="00164719" w:rsidRDefault="004B7DD4" w:rsidP="00F6321D">
      <w:pPr>
        <w:pStyle w:val="ECCAnnexheading2"/>
        <w:rPr>
          <w:lang w:val="en-GB"/>
        </w:rPr>
      </w:pPr>
      <w:r w:rsidRPr="00164719">
        <w:rPr>
          <w:lang w:val="en-GB"/>
        </w:rPr>
        <w:t xml:space="preserve">Fixed service </w:t>
      </w:r>
      <w:r w:rsidR="00C27AE1" w:rsidRPr="00164719">
        <w:rPr>
          <w:lang w:val="en-GB"/>
        </w:rPr>
        <w:t>in the band</w:t>
      </w:r>
      <w:r w:rsidRPr="00164719">
        <w:rPr>
          <w:lang w:val="en-GB"/>
        </w:rPr>
        <w:t xml:space="preserve"> 40.5</w:t>
      </w:r>
      <w:r w:rsidR="0095384C" w:rsidRPr="00164719">
        <w:rPr>
          <w:lang w:val="en-GB"/>
        </w:rPr>
        <w:t>-</w:t>
      </w:r>
      <w:r w:rsidRPr="00164719">
        <w:rPr>
          <w:lang w:val="en-GB"/>
        </w:rPr>
        <w:t>43.5 GHz</w:t>
      </w:r>
    </w:p>
    <w:p w14:paraId="7BCE58AD" w14:textId="032D2952" w:rsidR="004B7DD4" w:rsidRPr="00164719" w:rsidRDefault="004B7DD4" w:rsidP="0087229B">
      <w:pPr>
        <w:pStyle w:val="ECCParagraph"/>
        <w:spacing w:before="240" w:after="60"/>
      </w:pPr>
      <w:r w:rsidRPr="00164719">
        <w:t xml:space="preserve">National coordination might be needed to manage the incumbent FS while introducing </w:t>
      </w:r>
      <w:r w:rsidR="00FA0EE2" w:rsidRPr="00164719">
        <w:t>MFCN</w:t>
      </w:r>
      <w:r w:rsidRPr="00164719">
        <w:t xml:space="preserve"> systems in the 40.5</w:t>
      </w:r>
      <w:r w:rsidR="00106EB2" w:rsidRPr="00164719">
        <w:t>-</w:t>
      </w:r>
      <w:r w:rsidRPr="00164719">
        <w:t xml:space="preserve">43.5 GHz band depending upon the authorisation regime. Various approaches or a combination thereof could be considered to manage co-channel or adjacent channel coexistence between </w:t>
      </w:r>
      <w:r w:rsidR="00FA0EE2" w:rsidRPr="00164719">
        <w:t>MFCN</w:t>
      </w:r>
      <w:r w:rsidRPr="00164719">
        <w:t xml:space="preserve"> and FS at 40 GHz, e.g. separation in distance, separation in frequency, separation in angle</w:t>
      </w:r>
      <w:r w:rsidR="00BA0082" w:rsidRPr="00164719">
        <w:t>,</w:t>
      </w:r>
      <w:r w:rsidRPr="00164719">
        <w:t xml:space="preserve"> depending upon </w:t>
      </w:r>
      <w:r w:rsidR="00DC7771" w:rsidRPr="00164719">
        <w:t>line-of-s</w:t>
      </w:r>
      <w:r w:rsidRPr="00164719">
        <w:t>ight and local clutter attenuation.</w:t>
      </w:r>
    </w:p>
    <w:p w14:paraId="71E36655" w14:textId="333516BB" w:rsidR="004B7DD4" w:rsidRPr="00164719" w:rsidRDefault="004B7DD4" w:rsidP="0087229B">
      <w:pPr>
        <w:spacing w:before="240" w:after="60"/>
        <w:rPr>
          <w:lang w:val="en-GB"/>
        </w:rPr>
      </w:pPr>
      <w:r w:rsidRPr="00164719">
        <w:rPr>
          <w:lang w:val="en-GB"/>
        </w:rPr>
        <w:t xml:space="preserve">Such national coordination between fixed services and </w:t>
      </w:r>
      <w:r w:rsidR="00FA0EE2" w:rsidRPr="00164719">
        <w:rPr>
          <w:lang w:val="en-GB"/>
        </w:rPr>
        <w:t>MFCN</w:t>
      </w:r>
      <w:r w:rsidRPr="00164719">
        <w:rPr>
          <w:lang w:val="en-GB"/>
        </w:rPr>
        <w:t xml:space="preserve"> is only manageable:</w:t>
      </w:r>
    </w:p>
    <w:p w14:paraId="3BD9CD68" w14:textId="1D0A01A8" w:rsidR="004B7DD4" w:rsidRPr="00164719" w:rsidRDefault="004B7DD4" w:rsidP="004B7DD4">
      <w:pPr>
        <w:pStyle w:val="ECCBulletsLv1"/>
      </w:pPr>
      <w:r w:rsidRPr="00164719">
        <w:t xml:space="preserve">where the location of </w:t>
      </w:r>
      <w:r w:rsidR="00FA0EE2" w:rsidRPr="00164719">
        <w:t>MFCN</w:t>
      </w:r>
      <w:r w:rsidRPr="00164719">
        <w:t xml:space="preserve"> BS is known</w:t>
      </w:r>
      <w:r w:rsidR="00DA5CCB" w:rsidRPr="00164719">
        <w:t>;</w:t>
      </w:r>
    </w:p>
    <w:p w14:paraId="2DA9D271" w14:textId="5E865C35" w:rsidR="004B7DD4" w:rsidRPr="00164719" w:rsidRDefault="004B7DD4" w:rsidP="004B7DD4">
      <w:pPr>
        <w:pStyle w:val="ECCBulletsLv1"/>
      </w:pPr>
      <w:r w:rsidRPr="00164719">
        <w:t>or where coordination of exclusion zones around existing FS are available and required to be respected by the authori</w:t>
      </w:r>
      <w:r w:rsidR="00106EB2" w:rsidRPr="00164719">
        <w:t>s</w:t>
      </w:r>
      <w:r w:rsidRPr="00164719">
        <w:t xml:space="preserve">ation regime for </w:t>
      </w:r>
      <w:r w:rsidR="00FA0EE2" w:rsidRPr="00164719">
        <w:t>MFCN</w:t>
      </w:r>
      <w:r w:rsidRPr="00164719">
        <w:t>.</w:t>
      </w:r>
    </w:p>
    <w:p w14:paraId="49302514" w14:textId="54D92511" w:rsidR="004B7DD4" w:rsidRPr="00164719" w:rsidRDefault="004B7DD4" w:rsidP="00F6321D">
      <w:pPr>
        <w:spacing w:before="240" w:after="60"/>
        <w:jc w:val="both"/>
        <w:rPr>
          <w:lang w:val="en-GB"/>
        </w:rPr>
      </w:pPr>
      <w:r w:rsidRPr="00164719">
        <w:rPr>
          <w:lang w:val="en-GB"/>
        </w:rPr>
        <w:t xml:space="preserve">It is expected that there is only a low risk of interference to fixed link services from indoor </w:t>
      </w:r>
      <w:r w:rsidR="00FA0EE2" w:rsidRPr="00164719">
        <w:rPr>
          <w:lang w:val="en-GB"/>
        </w:rPr>
        <w:t>MFCNs</w:t>
      </w:r>
      <w:r w:rsidRPr="00164719">
        <w:rPr>
          <w:lang w:val="en-GB"/>
        </w:rPr>
        <w:t>. However, the impact to fixed links may need to be analysed on a national basis.</w:t>
      </w:r>
    </w:p>
    <w:p w14:paraId="6D08C20D" w14:textId="503812D3" w:rsidR="004B7DD4" w:rsidRPr="00164719" w:rsidRDefault="004B7DD4" w:rsidP="00F6321D">
      <w:pPr>
        <w:pStyle w:val="ECCAnnexheading2"/>
        <w:rPr>
          <w:lang w:val="en-GB"/>
        </w:rPr>
      </w:pPr>
      <w:r w:rsidRPr="00164719">
        <w:rPr>
          <w:lang w:val="en-GB"/>
        </w:rPr>
        <w:t xml:space="preserve">Radio astronomy sites </w:t>
      </w:r>
    </w:p>
    <w:p w14:paraId="7F8C6053" w14:textId="7377442B" w:rsidR="00AB0FDA" w:rsidRPr="00164719" w:rsidRDefault="00AB0FDA" w:rsidP="0087229B">
      <w:pPr>
        <w:pStyle w:val="ECCParagraph"/>
        <w:spacing w:before="240" w:after="60"/>
      </w:pPr>
      <w:r w:rsidRPr="00164719">
        <w:t>Protection of RAS can be achieved through the calculation of a geographic</w:t>
      </w:r>
      <w:r w:rsidR="00A71F16" w:rsidRPr="00164719">
        <w:t>al</w:t>
      </w:r>
      <w:r w:rsidRPr="00164719">
        <w:t xml:space="preserve"> separation distance, and the determination of exclusion zones around RAS stations, which are defined on national level.</w:t>
      </w:r>
    </w:p>
    <w:p w14:paraId="4323E597" w14:textId="4EE1F0EC" w:rsidR="004B7DD4" w:rsidRPr="00164719" w:rsidRDefault="004B7DD4" w:rsidP="0087229B">
      <w:pPr>
        <w:pStyle w:val="ECCParagraph"/>
        <w:spacing w:before="240" w:after="60"/>
      </w:pPr>
      <w:r w:rsidRPr="00164719">
        <w:t xml:space="preserve">A mechanism, such as, a regulatory requirement to respect exclusion zones defined and applied on a national basis (taking into account terrain, clutter etc) would be needed in order to ensure protection of the RAS site. No technical mechanism to prevent interference has been identified for the </w:t>
      </w:r>
      <w:r w:rsidR="00FA0EE2" w:rsidRPr="00164719">
        <w:t>MFCN</w:t>
      </w:r>
      <w:r w:rsidRPr="00164719">
        <w:t xml:space="preserve"> equipment during the drafting of the </w:t>
      </w:r>
      <w:r w:rsidR="00A71F16" w:rsidRPr="00164719">
        <w:t>CEPT R</w:t>
      </w:r>
      <w:r w:rsidRPr="00164719">
        <w:t>eport</w:t>
      </w:r>
      <w:r w:rsidR="00A71F16" w:rsidRPr="00164719">
        <w:t xml:space="preserve"> </w:t>
      </w:r>
      <w:r w:rsidR="00A71F16" w:rsidRPr="00164719">
        <w:fldChar w:fldCharType="begin"/>
      </w:r>
      <w:r w:rsidR="00A71F16" w:rsidRPr="00164719">
        <w:instrText xml:space="preserve"> REF _Ref104216562 \r \h </w:instrText>
      </w:r>
      <w:r w:rsidR="00ED647E" w:rsidRPr="00164719">
        <w:instrText xml:space="preserve"> \* MERGEFORMAT </w:instrText>
      </w:r>
      <w:r w:rsidR="00A71F16" w:rsidRPr="00164719">
        <w:fldChar w:fldCharType="separate"/>
      </w:r>
      <w:r w:rsidR="004423E5" w:rsidRPr="00164719">
        <w:t>[3]</w:t>
      </w:r>
      <w:r w:rsidR="00A71F16" w:rsidRPr="00164719">
        <w:fldChar w:fldCharType="end"/>
      </w:r>
      <w:r w:rsidRPr="00164719">
        <w:t>, other than locating new base stations outside of a pre-determined exclusion zone.</w:t>
      </w:r>
    </w:p>
    <w:p w14:paraId="4F270929" w14:textId="1057DEAD" w:rsidR="004B7DD4" w:rsidRPr="00164719" w:rsidRDefault="004B7DD4" w:rsidP="00F6321D">
      <w:pPr>
        <w:pStyle w:val="ECCAnnexheading2"/>
        <w:rPr>
          <w:lang w:val="en-GB"/>
        </w:rPr>
      </w:pPr>
      <w:r w:rsidRPr="00164719">
        <w:rPr>
          <w:lang w:val="en-GB"/>
        </w:rPr>
        <w:t>Earth Stations (FSS) in the band 40.5-42.5 GHz and 42.5-43.5 GHz</w:t>
      </w:r>
    </w:p>
    <w:p w14:paraId="726185B5" w14:textId="65974128" w:rsidR="004B7DD4" w:rsidRPr="00164719" w:rsidRDefault="004B7DD4" w:rsidP="0087229B">
      <w:pPr>
        <w:pStyle w:val="ECCParagraph"/>
        <w:spacing w:before="240" w:after="60"/>
      </w:pPr>
      <w:r w:rsidRPr="00164719">
        <w:t>Coexistence can be achieved through the calculation of a geographic</w:t>
      </w:r>
      <w:r w:rsidR="000A5A23" w:rsidRPr="00164719">
        <w:t>al</w:t>
      </w:r>
      <w:r w:rsidRPr="00164719">
        <w:t xml:space="preserve"> separation distance, and the determination of coordination zones that can be applied around the stations of these other services, where further consideration may be needed if </w:t>
      </w:r>
      <w:r w:rsidR="00FA0EE2" w:rsidRPr="00164719">
        <w:t>MFCN</w:t>
      </w:r>
      <w:r w:rsidRPr="00164719">
        <w:t xml:space="preserve"> base stations were inside these zones.</w:t>
      </w:r>
    </w:p>
    <w:p w14:paraId="722D6645" w14:textId="7177EEE4" w:rsidR="004B7DD4" w:rsidRPr="00164719" w:rsidRDefault="004B7DD4" w:rsidP="00204EF9">
      <w:pPr>
        <w:pStyle w:val="ECCAnnexheading3"/>
        <w:keepNext/>
        <w:rPr>
          <w:lang w:val="en-GB"/>
        </w:rPr>
      </w:pPr>
      <w:r w:rsidRPr="00164719">
        <w:rPr>
          <w:lang w:val="en-GB"/>
        </w:rPr>
        <w:t>Receiving earth Stations (FSS) in the band 40.5-42.5 GHz</w:t>
      </w:r>
    </w:p>
    <w:p w14:paraId="2D54FB0E" w14:textId="7E39DC57" w:rsidR="004B7DD4" w:rsidRPr="00164719" w:rsidRDefault="004B7DD4" w:rsidP="0087229B">
      <w:pPr>
        <w:pStyle w:val="ECCParagraph"/>
        <w:keepNext/>
      </w:pPr>
      <w:r w:rsidRPr="00164719">
        <w:t>Appropriate measure</w:t>
      </w:r>
      <w:r w:rsidR="0068439B" w:rsidRPr="00164719">
        <w:t>s</w:t>
      </w:r>
      <w:r w:rsidRPr="00164719">
        <w:t xml:space="preserve"> for ensuring the coexistence with FSS earth stations are needed. The following options could be considered:</w:t>
      </w:r>
    </w:p>
    <w:p w14:paraId="303007C7" w14:textId="01456A57" w:rsidR="004B7DD4" w:rsidRPr="00164719" w:rsidRDefault="004B7DD4" w:rsidP="0087229B">
      <w:pPr>
        <w:pStyle w:val="ECCParBulleted"/>
        <w:keepNext/>
      </w:pPr>
      <w:r w:rsidRPr="00164719">
        <w:t xml:space="preserve">Sharing solutions might be possible, such as the use of </w:t>
      </w:r>
      <w:r w:rsidR="00DA5CCB" w:rsidRPr="00164719">
        <w:t xml:space="preserve">a </w:t>
      </w:r>
      <w:r w:rsidRPr="00164719">
        <w:t>database</w:t>
      </w:r>
      <w:r w:rsidRPr="00164719">
        <w:rPr>
          <w:rStyle w:val="FootnoteReference"/>
        </w:rPr>
        <w:footnoteReference w:id="2"/>
      </w:r>
      <w:r w:rsidRPr="00164719">
        <w:t xml:space="preserve"> and/or associated regulatory requirements to ensure that the coordination zones are respected, so that </w:t>
      </w:r>
      <w:r w:rsidR="00FA0EE2" w:rsidRPr="00164719">
        <w:t>MFCN</w:t>
      </w:r>
      <w:r w:rsidRPr="00164719">
        <w:t xml:space="preserve"> base stations are not </w:t>
      </w:r>
      <w:r w:rsidRPr="00164719">
        <w:lastRenderedPageBreak/>
        <w:t>deployed within the coordination zones of FSS earth stations, otherwise other mitigations may need to be applied. It is noted that technical solutions to support implementation of geolocation are emerging for e.g. dynamic spectrum access. However, no studies or proposals have been submitted in support of this mode to access to spectrum</w:t>
      </w:r>
      <w:r w:rsidR="00DA5CCB" w:rsidRPr="00164719">
        <w:t>;</w:t>
      </w:r>
    </w:p>
    <w:p w14:paraId="3DA71FE8" w14:textId="47AEFED8" w:rsidR="004B7DD4" w:rsidRPr="00164719" w:rsidRDefault="004B7DD4" w:rsidP="0087229B">
      <w:pPr>
        <w:pStyle w:val="ECCParBulleted"/>
        <w:keepNext/>
      </w:pPr>
      <w:r w:rsidRPr="00164719">
        <w:t>Assuming there are relatively few FSS ESs, a geographical</w:t>
      </w:r>
      <w:r w:rsidRPr="00164719" w:rsidDel="002C4A91">
        <w:t xml:space="preserve"> </w:t>
      </w:r>
      <w:r w:rsidRPr="00164719">
        <w:t xml:space="preserve">and/or pointing restrictions could be applied to the </w:t>
      </w:r>
      <w:r w:rsidR="00FA0EE2" w:rsidRPr="00164719">
        <w:t>MFCN</w:t>
      </w:r>
      <w:r w:rsidR="00DA5CCB" w:rsidRPr="00164719">
        <w:t xml:space="preserve"> </w:t>
      </w:r>
      <w:r w:rsidRPr="00164719">
        <w:t xml:space="preserve">license conditions. In case that </w:t>
      </w:r>
      <w:r w:rsidR="00FA0EE2" w:rsidRPr="00164719">
        <w:t>MFCN</w:t>
      </w:r>
      <w:r w:rsidR="00C03C5E" w:rsidRPr="00164719">
        <w:t xml:space="preserve"> </w:t>
      </w:r>
      <w:r w:rsidRPr="00164719">
        <w:t xml:space="preserve">are to be deployed within the coordination zones, a </w:t>
      </w:r>
      <w:r w:rsidR="005D4E15" w:rsidRPr="00164719">
        <w:t>site-specific</w:t>
      </w:r>
      <w:r w:rsidRPr="00164719">
        <w:t xml:space="preserve"> feasibility calculation/clearance should be performed and for this the location of the </w:t>
      </w:r>
      <w:r w:rsidR="00FA0EE2" w:rsidRPr="00164719">
        <w:t>MFCN</w:t>
      </w:r>
      <w:r w:rsidR="005D4E15" w:rsidRPr="00164719">
        <w:t xml:space="preserve"> </w:t>
      </w:r>
      <w:r w:rsidRPr="00164719">
        <w:t>is required.</w:t>
      </w:r>
    </w:p>
    <w:p w14:paraId="74ECB676" w14:textId="307C5C37" w:rsidR="004B7DD4" w:rsidRPr="0087229B" w:rsidRDefault="004B7DD4" w:rsidP="00F6321D">
      <w:pPr>
        <w:pStyle w:val="ECCParagraph"/>
      </w:pPr>
      <w:r w:rsidRPr="00164719">
        <w:rPr>
          <w:lang w:eastAsia="zh-CN"/>
        </w:rPr>
        <w:t xml:space="preserve">ECC Recommendation </w:t>
      </w:r>
      <w:r w:rsidR="005D4E15" w:rsidRPr="00164719">
        <w:rPr>
          <w:lang w:eastAsia="zh-CN"/>
        </w:rPr>
        <w:t>(</w:t>
      </w:r>
      <w:r w:rsidRPr="00164719">
        <w:rPr>
          <w:lang w:eastAsia="zh-CN"/>
        </w:rPr>
        <w:t>22)</w:t>
      </w:r>
      <w:r w:rsidR="00372C7E" w:rsidRPr="00164719">
        <w:rPr>
          <w:lang w:eastAsia="zh-CN"/>
        </w:rPr>
        <w:t>01</w:t>
      </w:r>
      <w:r w:rsidRPr="00164719">
        <w:rPr>
          <w:lang w:eastAsia="zh-CN"/>
        </w:rPr>
        <w:t xml:space="preserve"> provides </w:t>
      </w:r>
      <w:r w:rsidR="00AC76A3" w:rsidRPr="00164719">
        <w:rPr>
          <w:lang w:eastAsia="zh-CN"/>
        </w:rPr>
        <w:t>g</w:t>
      </w:r>
      <w:r w:rsidR="00E73B87" w:rsidRPr="00164719">
        <w:rPr>
          <w:lang w:eastAsia="zh-CN"/>
        </w:rPr>
        <w:t>uidelines to support the introduction of MFCN in 40.5-43.5 GHz while ensuring, in a proportionate way, the use of FSS receiving earth stations in the frequency band 40.5-42.5 GHz and the possibility for future deployment of these earth station</w:t>
      </w:r>
      <w:r w:rsidR="00AC76A3" w:rsidRPr="00164719">
        <w:rPr>
          <w:lang w:eastAsia="zh-CN"/>
        </w:rPr>
        <w:t>s</w:t>
      </w:r>
      <w:r w:rsidR="00ED647E" w:rsidRPr="00164719">
        <w:rPr>
          <w:lang w:eastAsia="zh-CN"/>
        </w:rPr>
        <w:t xml:space="preserve"> </w:t>
      </w:r>
      <w:r w:rsidR="004A21BE" w:rsidRPr="00164719">
        <w:rPr>
          <w:lang w:eastAsia="zh-CN"/>
        </w:rPr>
        <w:fldChar w:fldCharType="begin"/>
      </w:r>
      <w:r w:rsidR="004A21BE" w:rsidRPr="00164719">
        <w:rPr>
          <w:lang w:eastAsia="zh-CN"/>
        </w:rPr>
        <w:instrText xml:space="preserve"> REF _Ref104214122 \r \h </w:instrText>
      </w:r>
      <w:r w:rsidR="00ED647E" w:rsidRPr="00164719">
        <w:rPr>
          <w:lang w:eastAsia="zh-CN"/>
        </w:rPr>
        <w:instrText xml:space="preserve"> \* MERGEFORMAT </w:instrText>
      </w:r>
      <w:r w:rsidR="004A21BE" w:rsidRPr="00164719">
        <w:rPr>
          <w:lang w:eastAsia="zh-CN"/>
        </w:rPr>
      </w:r>
      <w:r w:rsidR="004A21BE" w:rsidRPr="00164719">
        <w:rPr>
          <w:lang w:eastAsia="zh-CN"/>
        </w:rPr>
        <w:fldChar w:fldCharType="separate"/>
      </w:r>
      <w:r w:rsidR="004423E5" w:rsidRPr="00164719">
        <w:rPr>
          <w:lang w:eastAsia="zh-CN"/>
        </w:rPr>
        <w:t>[4]</w:t>
      </w:r>
      <w:r w:rsidR="004A21BE" w:rsidRPr="00164719">
        <w:rPr>
          <w:lang w:eastAsia="zh-CN"/>
        </w:rPr>
        <w:fldChar w:fldCharType="end"/>
      </w:r>
      <w:r w:rsidRPr="00164719">
        <w:rPr>
          <w:lang w:eastAsia="zh-CN"/>
        </w:rPr>
        <w:t>. This addresses GSO and non-GSO satellite systems.</w:t>
      </w:r>
    </w:p>
    <w:p w14:paraId="5B823337" w14:textId="4B4C575A" w:rsidR="004B7DD4" w:rsidRPr="00164719" w:rsidRDefault="004B7DD4" w:rsidP="00E57DCD">
      <w:pPr>
        <w:pStyle w:val="ECCAnnexheading3"/>
        <w:spacing w:before="240"/>
        <w:rPr>
          <w:lang w:val="en-GB"/>
        </w:rPr>
      </w:pPr>
      <w:r w:rsidRPr="00164719">
        <w:rPr>
          <w:lang w:val="en-GB"/>
        </w:rPr>
        <w:t xml:space="preserve">Transmitting earth stations (FSS) in the band 42.5-43.5 GHz </w:t>
      </w:r>
    </w:p>
    <w:p w14:paraId="1C092E78" w14:textId="7ABB9533" w:rsidR="004B7DD4" w:rsidRPr="00164719" w:rsidRDefault="004B7DD4" w:rsidP="004847EA">
      <w:pPr>
        <w:spacing w:before="240" w:after="60"/>
        <w:jc w:val="both"/>
        <w:rPr>
          <w:lang w:val="en-GB"/>
        </w:rPr>
      </w:pPr>
      <w:r w:rsidRPr="00164719">
        <w:rPr>
          <w:lang w:val="en-GB"/>
        </w:rPr>
        <w:t xml:space="preserve">The potential interference from FSS transmitting earth stations to </w:t>
      </w:r>
      <w:r w:rsidR="00C27AE1" w:rsidRPr="00164719">
        <w:rPr>
          <w:lang w:val="en-GB"/>
        </w:rPr>
        <w:t>MFCN</w:t>
      </w:r>
      <w:r w:rsidRPr="00164719">
        <w:rPr>
          <w:lang w:val="en-GB"/>
        </w:rPr>
        <w:t xml:space="preserve"> in the band 42.5</w:t>
      </w:r>
      <w:r w:rsidR="00106EB2" w:rsidRPr="00164719">
        <w:rPr>
          <w:lang w:val="en-GB"/>
        </w:rPr>
        <w:t>-</w:t>
      </w:r>
      <w:r w:rsidRPr="00164719">
        <w:rPr>
          <w:lang w:val="en-GB"/>
        </w:rPr>
        <w:t>43.5 GHz should be taken into account.</w:t>
      </w:r>
    </w:p>
    <w:p w14:paraId="204E8A38" w14:textId="65523FBF" w:rsidR="004B7DD4" w:rsidRPr="00164719" w:rsidRDefault="004B7DD4" w:rsidP="004847EA">
      <w:pPr>
        <w:spacing w:before="240" w:after="60"/>
        <w:jc w:val="both"/>
        <w:rPr>
          <w:lang w:val="en-GB"/>
        </w:rPr>
      </w:pPr>
      <w:bookmarkStart w:id="24" w:name="_Hlk26950060"/>
      <w:r w:rsidRPr="00164719">
        <w:rPr>
          <w:lang w:val="en-GB"/>
        </w:rPr>
        <w:t xml:space="preserve">It is expected that there is a low risk of interference from transmitting FSS earth stations to indoor </w:t>
      </w:r>
      <w:r w:rsidR="00DF4482" w:rsidRPr="00164719">
        <w:rPr>
          <w:lang w:val="en-GB"/>
        </w:rPr>
        <w:t>MFCN</w:t>
      </w:r>
      <w:r w:rsidRPr="00164719">
        <w:rPr>
          <w:lang w:val="en-GB"/>
        </w:rPr>
        <w:t xml:space="preserve"> base stations.</w:t>
      </w:r>
    </w:p>
    <w:p w14:paraId="67B9E62F" w14:textId="6DB88FE5" w:rsidR="004B7DD4" w:rsidRPr="00164719" w:rsidRDefault="004B7DD4" w:rsidP="004847EA">
      <w:pPr>
        <w:pStyle w:val="ECCBulletsLv1"/>
        <w:numPr>
          <w:ilvl w:val="0"/>
          <w:numId w:val="0"/>
        </w:numPr>
        <w:spacing w:before="240" w:after="60"/>
      </w:pPr>
      <w:r w:rsidRPr="00164719">
        <w:t>Appropriate measure for ensuring the coexistence with FSS earth stations are needed. The following options could be considered:</w:t>
      </w:r>
    </w:p>
    <w:p w14:paraId="61C092C2" w14:textId="0B075E6A" w:rsidR="004B7DD4" w:rsidRPr="00164719" w:rsidRDefault="004B7DD4" w:rsidP="004847EA">
      <w:pPr>
        <w:pStyle w:val="ECCParBulleted"/>
      </w:pPr>
      <w:r w:rsidRPr="00164719">
        <w:t>Sharing solutions might be possible, such as the use of</w:t>
      </w:r>
      <w:r w:rsidR="005D4E15" w:rsidRPr="00164719">
        <w:t xml:space="preserve"> a</w:t>
      </w:r>
      <w:r w:rsidRPr="00164719">
        <w:t xml:space="preserve"> database to guide the installation of </w:t>
      </w:r>
      <w:r w:rsidR="00DF4482" w:rsidRPr="00164719">
        <w:t>MFCN</w:t>
      </w:r>
      <w:r w:rsidRPr="00164719">
        <w:t xml:space="preserve"> base stations to be outside any pre-defined coordination zones of FSS earth stations, and/or to apply mitigations if to be deployed within the coordination zone</w:t>
      </w:r>
      <w:r w:rsidR="005D4E15" w:rsidRPr="00164719">
        <w:t>;</w:t>
      </w:r>
    </w:p>
    <w:p w14:paraId="33CB035B" w14:textId="77777777" w:rsidR="004B7DD4" w:rsidRPr="00164719" w:rsidRDefault="004B7DD4" w:rsidP="004847EA">
      <w:pPr>
        <w:pStyle w:val="ECCParBulleted"/>
      </w:pPr>
      <w:r w:rsidRPr="00164719">
        <w:t xml:space="preserve">In the case of deployment of additional FSS ES sharing may be possible by national mechanisms to define </w:t>
      </w:r>
      <w:r w:rsidR="0068439B" w:rsidRPr="00164719">
        <w:t xml:space="preserve">an </w:t>
      </w:r>
      <w:r w:rsidRPr="00164719">
        <w:t>additional pre-defined coordination zone, or by requiring an individual site specific feasibility demonstration to show no possibility of interference for additional FSS ES outside a pre-defined coordination zone.</w:t>
      </w:r>
    </w:p>
    <w:p w14:paraId="2754B873" w14:textId="735FC98C" w:rsidR="004B7DD4" w:rsidRPr="00164719" w:rsidRDefault="004B7DD4" w:rsidP="004847EA">
      <w:pPr>
        <w:spacing w:before="240" w:after="60"/>
        <w:jc w:val="both"/>
        <w:rPr>
          <w:lang w:val="en-GB"/>
        </w:rPr>
      </w:pPr>
      <w:r w:rsidRPr="00164719">
        <w:rPr>
          <w:lang w:val="en-GB" w:eastAsia="zh-CN"/>
        </w:rPr>
        <w:t>ECC Recommendation (22)</w:t>
      </w:r>
      <w:r w:rsidR="001E6BB5" w:rsidRPr="00164719">
        <w:rPr>
          <w:lang w:val="en-GB" w:eastAsia="zh-CN"/>
        </w:rPr>
        <w:t>01</w:t>
      </w:r>
      <w:r w:rsidRPr="00164719">
        <w:rPr>
          <w:lang w:val="en-GB" w:eastAsia="zh-CN"/>
        </w:rPr>
        <w:t xml:space="preserve"> provides</w:t>
      </w:r>
      <w:bookmarkEnd w:id="24"/>
      <w:r w:rsidRPr="00164719">
        <w:rPr>
          <w:lang w:val="en-GB" w:eastAsia="zh-CN"/>
        </w:rPr>
        <w:t xml:space="preserve"> </w:t>
      </w:r>
      <w:r w:rsidR="004E6C78" w:rsidRPr="00164719">
        <w:rPr>
          <w:lang w:val="en-GB" w:eastAsia="zh-CN"/>
        </w:rPr>
        <w:t>g</w:t>
      </w:r>
      <w:r w:rsidR="00E73B87" w:rsidRPr="00164719">
        <w:rPr>
          <w:lang w:val="en-GB"/>
        </w:rPr>
        <w:t xml:space="preserve">uidelines to support the introduction of MFCN in 40.5-43.5 GHz while ensuring, in a proportionate way, the use of </w:t>
      </w:r>
      <w:r w:rsidR="00E73B87" w:rsidRPr="0087229B">
        <w:rPr>
          <w:rStyle w:val="ECCParagraphChar"/>
        </w:rPr>
        <w:t>FSS</w:t>
      </w:r>
      <w:r w:rsidR="00E73B87" w:rsidRPr="00164719">
        <w:rPr>
          <w:lang w:val="en-GB"/>
        </w:rPr>
        <w:t xml:space="preserve"> transmitting earth stations in the frequency band 42.5-43.5 GHz and the possibility for future deployment of these earth station</w:t>
      </w:r>
      <w:r w:rsidR="00AC76A3" w:rsidRPr="00164719">
        <w:rPr>
          <w:lang w:val="en-GB"/>
        </w:rPr>
        <w:t>s</w:t>
      </w:r>
      <w:r w:rsidR="004A21BE" w:rsidRPr="00164719">
        <w:rPr>
          <w:lang w:val="en-GB" w:eastAsia="zh-CN"/>
        </w:rPr>
        <w:t xml:space="preserve"> </w:t>
      </w:r>
      <w:r w:rsidR="004A21BE" w:rsidRPr="00164719">
        <w:rPr>
          <w:lang w:val="en-GB" w:eastAsia="zh-CN"/>
        </w:rPr>
        <w:fldChar w:fldCharType="begin"/>
      </w:r>
      <w:r w:rsidR="004A21BE" w:rsidRPr="00164719">
        <w:rPr>
          <w:lang w:val="en-GB" w:eastAsia="zh-CN"/>
        </w:rPr>
        <w:instrText xml:space="preserve"> REF _Ref104214122 \r \h </w:instrText>
      </w:r>
      <w:r w:rsidR="00ED647E" w:rsidRPr="00164719">
        <w:rPr>
          <w:lang w:val="en-GB" w:eastAsia="zh-CN"/>
        </w:rPr>
        <w:instrText xml:space="preserve"> \* MERGEFORMAT </w:instrText>
      </w:r>
      <w:r w:rsidR="004A21BE" w:rsidRPr="00164719">
        <w:rPr>
          <w:lang w:val="en-GB" w:eastAsia="zh-CN"/>
        </w:rPr>
      </w:r>
      <w:r w:rsidR="004A21BE" w:rsidRPr="00164719">
        <w:rPr>
          <w:lang w:val="en-GB" w:eastAsia="zh-CN"/>
        </w:rPr>
        <w:fldChar w:fldCharType="separate"/>
      </w:r>
      <w:r w:rsidR="004423E5" w:rsidRPr="00164719">
        <w:rPr>
          <w:lang w:val="en-GB" w:eastAsia="zh-CN"/>
        </w:rPr>
        <w:t>[4]</w:t>
      </w:r>
      <w:r w:rsidR="004A21BE" w:rsidRPr="00164719">
        <w:rPr>
          <w:lang w:val="en-GB" w:eastAsia="zh-CN"/>
        </w:rPr>
        <w:fldChar w:fldCharType="end"/>
      </w:r>
      <w:r w:rsidR="00E73B87" w:rsidRPr="00164719">
        <w:rPr>
          <w:lang w:val="en-GB" w:eastAsia="zh-CN"/>
        </w:rPr>
        <w:t>.</w:t>
      </w:r>
    </w:p>
    <w:p w14:paraId="1E146009" w14:textId="08823B64" w:rsidR="004B7DD4" w:rsidRPr="00164719" w:rsidRDefault="004B7DD4" w:rsidP="00E57DCD">
      <w:pPr>
        <w:pStyle w:val="ECCAnnexheading2"/>
        <w:spacing w:before="360"/>
        <w:rPr>
          <w:lang w:val="en-GB"/>
        </w:rPr>
      </w:pPr>
      <w:r w:rsidRPr="00164719">
        <w:rPr>
          <w:lang w:val="en-GB"/>
        </w:rPr>
        <w:t>Satellite receivers (FSS) in the band 42.5-43.5 GHz</w:t>
      </w:r>
    </w:p>
    <w:p w14:paraId="5007538F" w14:textId="490BBC3F" w:rsidR="004B7DD4" w:rsidRPr="00164719" w:rsidRDefault="004B7DD4" w:rsidP="004847EA">
      <w:pPr>
        <w:pStyle w:val="ECCParagraph"/>
      </w:pPr>
      <w:r w:rsidRPr="00164719">
        <w:t xml:space="preserve">Where there is no means to monitor the evolution of </w:t>
      </w:r>
      <w:r w:rsidR="00DF4482" w:rsidRPr="00164719">
        <w:t>MFCN</w:t>
      </w:r>
      <w:r w:rsidRPr="00164719">
        <w:t xml:space="preserve"> density and its deployment characteristics, an in-band limit for the TRP for </w:t>
      </w:r>
      <w:r w:rsidR="00DF4482" w:rsidRPr="00164719">
        <w:t>MFCN</w:t>
      </w:r>
      <w:r w:rsidRPr="00164719">
        <w:t xml:space="preserve"> equipment could be defined.</w:t>
      </w:r>
    </w:p>
    <w:p w14:paraId="3BB98451" w14:textId="3CC405D5" w:rsidR="004B7DD4" w:rsidRPr="00164719" w:rsidRDefault="004B7DD4" w:rsidP="00DC7771">
      <w:pPr>
        <w:pStyle w:val="ECCParagraph"/>
      </w:pPr>
      <w:r w:rsidRPr="00164719">
        <w:t xml:space="preserve">This could compensate the uncertainty related to the deployment density and to the effective implementation of the antenna pointing restriction, as well as the impossibility for </w:t>
      </w:r>
      <w:proofErr w:type="gramStart"/>
      <w:r w:rsidRPr="00164719">
        <w:t>reviewing precisely</w:t>
      </w:r>
      <w:proofErr w:type="gramEnd"/>
      <w:r w:rsidRPr="00164719">
        <w:t xml:space="preserve"> the effective deployment characteristics and their impact on the interference level to satellites.</w:t>
      </w:r>
    </w:p>
    <w:p w14:paraId="00B2E56C" w14:textId="7D67D5C6" w:rsidR="004B7DD4" w:rsidRPr="00164719" w:rsidRDefault="004B7DD4" w:rsidP="0087229B">
      <w:pPr>
        <w:pStyle w:val="ECCAnnexheading2"/>
        <w:keepNext/>
        <w:spacing w:before="360"/>
        <w:rPr>
          <w:lang w:val="en-GB"/>
        </w:rPr>
      </w:pPr>
      <w:r w:rsidRPr="00164719">
        <w:rPr>
          <w:lang w:val="en-GB"/>
        </w:rPr>
        <w:t>Receiving earth stations (FSS/MSS) in the band 39.5-40.5 GHz</w:t>
      </w:r>
    </w:p>
    <w:p w14:paraId="3718318B" w14:textId="67802B0D" w:rsidR="004B7DD4" w:rsidRPr="00164719" w:rsidRDefault="004B7DD4" w:rsidP="0087229B">
      <w:pPr>
        <w:pStyle w:val="ECCParagraph"/>
        <w:keepNext/>
        <w:spacing w:before="240" w:after="60"/>
        <w:rPr>
          <w:lang w:eastAsia="zh-CN"/>
        </w:rPr>
      </w:pPr>
      <w:r w:rsidRPr="00164719">
        <w:rPr>
          <w:lang w:eastAsia="zh-CN"/>
        </w:rPr>
        <w:t>CEPT developed ECC Recommendation</w:t>
      </w:r>
      <w:r w:rsidR="00F4233E" w:rsidRPr="00164719">
        <w:rPr>
          <w:lang w:eastAsia="zh-CN"/>
        </w:rPr>
        <w:t xml:space="preserve"> </w:t>
      </w:r>
      <w:r w:rsidRPr="00164719">
        <w:rPr>
          <w:lang w:eastAsia="zh-CN"/>
        </w:rPr>
        <w:t>(22)</w:t>
      </w:r>
      <w:r w:rsidR="001E6BB5" w:rsidRPr="00164719">
        <w:rPr>
          <w:lang w:eastAsia="zh-CN"/>
        </w:rPr>
        <w:t>02</w:t>
      </w:r>
      <w:r w:rsidRPr="00164719">
        <w:rPr>
          <w:lang w:eastAsia="zh-CN"/>
        </w:rPr>
        <w:t xml:space="preserve"> </w:t>
      </w:r>
      <w:r w:rsidR="00F4233E" w:rsidRPr="00164719">
        <w:rPr>
          <w:lang w:eastAsia="zh-CN"/>
        </w:rPr>
        <w:t xml:space="preserve">which </w:t>
      </w:r>
      <w:r w:rsidRPr="00164719">
        <w:rPr>
          <w:lang w:eastAsia="zh-CN"/>
        </w:rPr>
        <w:t xml:space="preserve">provides </w:t>
      </w:r>
      <w:r w:rsidR="00ED647E" w:rsidRPr="00164719">
        <w:rPr>
          <w:lang w:eastAsia="zh-CN"/>
        </w:rPr>
        <w:t>g</w:t>
      </w:r>
      <w:r w:rsidR="00497CDE" w:rsidRPr="00164719">
        <w:rPr>
          <w:lang w:eastAsia="zh-CN"/>
        </w:rPr>
        <w:t xml:space="preserve">uidelines on </w:t>
      </w:r>
      <w:r w:rsidR="00497CDE" w:rsidRPr="00164719">
        <w:t>m</w:t>
      </w:r>
      <w:r w:rsidR="00E73B87" w:rsidRPr="00164719">
        <w:t>easures to facilitate compatibility between MFCN operating in 40.5-43.5 GHz and FSS earth stations receiving in 39.5-40.5 GHz and to prevent and/or resolve interference issues</w:t>
      </w:r>
      <w:r w:rsidR="004A21BE" w:rsidRPr="00164719">
        <w:rPr>
          <w:lang w:eastAsia="zh-CN"/>
        </w:rPr>
        <w:t xml:space="preserve"> </w:t>
      </w:r>
      <w:r w:rsidR="004A21BE" w:rsidRPr="00164719">
        <w:rPr>
          <w:lang w:eastAsia="zh-CN"/>
        </w:rPr>
        <w:fldChar w:fldCharType="begin"/>
      </w:r>
      <w:r w:rsidR="004A21BE" w:rsidRPr="00164719">
        <w:rPr>
          <w:lang w:eastAsia="zh-CN"/>
        </w:rPr>
        <w:instrText xml:space="preserve"> REF _Ref104214129 \r \h </w:instrText>
      </w:r>
      <w:r w:rsidR="00FC5D3B" w:rsidRPr="00164719">
        <w:rPr>
          <w:lang w:eastAsia="zh-CN"/>
        </w:rPr>
        <w:instrText xml:space="preserve"> \* MERGEFORMAT </w:instrText>
      </w:r>
      <w:r w:rsidR="004A21BE" w:rsidRPr="00164719">
        <w:rPr>
          <w:lang w:eastAsia="zh-CN"/>
        </w:rPr>
      </w:r>
      <w:r w:rsidR="004A21BE" w:rsidRPr="00164719">
        <w:rPr>
          <w:lang w:eastAsia="zh-CN"/>
        </w:rPr>
        <w:fldChar w:fldCharType="separate"/>
      </w:r>
      <w:r w:rsidR="004423E5" w:rsidRPr="00164719">
        <w:rPr>
          <w:lang w:eastAsia="zh-CN"/>
        </w:rPr>
        <w:t>[5]</w:t>
      </w:r>
      <w:r w:rsidR="004A21BE" w:rsidRPr="00164719">
        <w:rPr>
          <w:lang w:eastAsia="zh-CN"/>
        </w:rPr>
        <w:fldChar w:fldCharType="end"/>
      </w:r>
      <w:r w:rsidRPr="00164719">
        <w:rPr>
          <w:lang w:eastAsia="zh-CN"/>
        </w:rPr>
        <w:t xml:space="preserve">. </w:t>
      </w:r>
      <w:r w:rsidRPr="00164719">
        <w:t xml:space="preserve">Various approaches or a combination thereof could be considered to manage adjacent channel coexistence between </w:t>
      </w:r>
      <w:r w:rsidR="00C27AE1" w:rsidRPr="00164719">
        <w:t xml:space="preserve">MFCN </w:t>
      </w:r>
      <w:r w:rsidRPr="00164719">
        <w:t xml:space="preserve">and FSS at 40 GHz, e.g. separation in distance, separation in frequency, separation in angle and depending upon </w:t>
      </w:r>
      <w:r w:rsidR="0068439B" w:rsidRPr="00164719">
        <w:t>l</w:t>
      </w:r>
      <w:r w:rsidRPr="00164719">
        <w:t xml:space="preserve">ine of </w:t>
      </w:r>
      <w:r w:rsidR="0068439B" w:rsidRPr="00164719">
        <w:t>s</w:t>
      </w:r>
      <w:r w:rsidRPr="00164719">
        <w:t>ight and local clutter attenuation.</w:t>
      </w:r>
    </w:p>
    <w:p w14:paraId="1515CB34" w14:textId="45A9C1E3" w:rsidR="006C03D0" w:rsidRPr="00164719" w:rsidRDefault="005F7AD5" w:rsidP="00827DA2">
      <w:pPr>
        <w:pStyle w:val="ECCAnnex-heading1"/>
        <w:numPr>
          <w:ilvl w:val="0"/>
          <w:numId w:val="14"/>
        </w:numPr>
      </w:pPr>
      <w:bookmarkStart w:id="25" w:name="_Toc280099660"/>
      <w:r w:rsidRPr="00164719">
        <w:lastRenderedPageBreak/>
        <w:t>List of reference</w:t>
      </w:r>
      <w:bookmarkEnd w:id="25"/>
      <w:r w:rsidR="002F608F" w:rsidRPr="00164719">
        <w:t>s</w:t>
      </w:r>
    </w:p>
    <w:bookmarkStart w:id="26" w:name="_Ref104213269"/>
    <w:p w14:paraId="47671D20" w14:textId="4E2FBF6E" w:rsidR="00FF7BF5" w:rsidRPr="00164719" w:rsidRDefault="00B04E65" w:rsidP="00E57DCD">
      <w:pPr>
        <w:pStyle w:val="reference"/>
        <w:spacing w:before="60" w:after="60"/>
        <w:rPr>
          <w:lang w:val="en-GB"/>
        </w:rPr>
      </w:pPr>
      <w:r w:rsidRPr="00164719">
        <w:rPr>
          <w:lang w:val="en-GB"/>
        </w:rPr>
        <w:fldChar w:fldCharType="begin"/>
      </w:r>
      <w:r w:rsidRPr="00164719">
        <w:rPr>
          <w:lang w:val="en-GB"/>
        </w:rPr>
        <w:instrText>HYPERLINK "https://docdb.cept.org/document/593"</w:instrText>
      </w:r>
      <w:r w:rsidRPr="00164719">
        <w:rPr>
          <w:lang w:val="en-GB"/>
        </w:rPr>
      </w:r>
      <w:r w:rsidRPr="00164719">
        <w:rPr>
          <w:lang w:val="en-GB"/>
        </w:rPr>
        <w:fldChar w:fldCharType="separate"/>
      </w:r>
      <w:r w:rsidRPr="00164719">
        <w:rPr>
          <w:rStyle w:val="Hyperlink"/>
          <w:lang w:val="en-GB"/>
        </w:rPr>
        <w:t>ERC Report 025</w:t>
      </w:r>
      <w:r w:rsidRPr="00164719">
        <w:rPr>
          <w:lang w:val="en-GB"/>
        </w:rPr>
        <w:fldChar w:fldCharType="end"/>
      </w:r>
      <w:r w:rsidR="007C1476" w:rsidRPr="00164719">
        <w:rPr>
          <w:lang w:val="en-GB"/>
        </w:rPr>
        <w:t xml:space="preserve">: </w:t>
      </w:r>
      <w:r w:rsidR="000E51C2" w:rsidRPr="00164719">
        <w:rPr>
          <w:lang w:val="en-GB"/>
        </w:rPr>
        <w:t>“</w:t>
      </w:r>
      <w:r w:rsidR="00FF7BF5" w:rsidRPr="00164719">
        <w:rPr>
          <w:lang w:val="en-GB"/>
        </w:rPr>
        <w:t>The European Table of Frequency Allocations and Applications in the frequency range 8.3 kHz to 3000 GHz (ECA Table</w:t>
      </w:r>
      <w:r w:rsidR="00013DE5" w:rsidRPr="00164719">
        <w:rPr>
          <w:lang w:val="en-GB"/>
        </w:rPr>
        <w:t xml:space="preserve">)”, </w:t>
      </w:r>
      <w:r w:rsidR="00FF7BF5" w:rsidRPr="00164719">
        <w:rPr>
          <w:lang w:val="en-GB"/>
        </w:rPr>
        <w:t>approved June 1994 and latest amended October 2021</w:t>
      </w:r>
    </w:p>
    <w:bookmarkStart w:id="27" w:name="_Ref111628727"/>
    <w:p w14:paraId="62BDE623" w14:textId="5909B5F1" w:rsidR="00E411E2" w:rsidRPr="00164719" w:rsidRDefault="00E411E2" w:rsidP="00E57DCD">
      <w:pPr>
        <w:pStyle w:val="reference"/>
        <w:spacing w:before="60" w:after="60"/>
        <w:rPr>
          <w:lang w:val="en-GB"/>
        </w:rPr>
      </w:pPr>
      <w:r w:rsidRPr="00832EA8">
        <w:rPr>
          <w:lang w:val="en-GB"/>
        </w:rPr>
        <w:fldChar w:fldCharType="begin"/>
      </w:r>
      <w:r w:rsidRPr="00832EA8">
        <w:rPr>
          <w:lang w:val="en-GB"/>
        </w:rPr>
        <w:instrText xml:space="preserve"> HYPERLINK "https://www.cept.org/ecc/groups/ecc/ecc-pt1/client/meeting-documents/file-history/?fid=32182" </w:instrText>
      </w:r>
      <w:r w:rsidRPr="00832EA8">
        <w:rPr>
          <w:lang w:val="en-GB"/>
        </w:rPr>
      </w:r>
      <w:r w:rsidRPr="00832EA8">
        <w:rPr>
          <w:lang w:val="en-GB"/>
        </w:rPr>
        <w:fldChar w:fldCharType="separate"/>
      </w:r>
      <w:r w:rsidRPr="00832EA8">
        <w:rPr>
          <w:rStyle w:val="Hyperlink"/>
          <w:lang w:val="en-GB"/>
        </w:rPr>
        <w:t>ECC PT1(16)099 rev1</w:t>
      </w:r>
      <w:r w:rsidRPr="00832EA8">
        <w:rPr>
          <w:lang w:val="en-GB"/>
        </w:rPr>
        <w:fldChar w:fldCharType="end"/>
      </w:r>
      <w:r w:rsidR="00F64BD2" w:rsidRPr="00832EA8">
        <w:rPr>
          <w:lang w:val="en-GB"/>
        </w:rPr>
        <w:t>: “</w:t>
      </w:r>
      <w:r w:rsidR="003F2DEA" w:rsidRPr="00832EA8">
        <w:rPr>
          <w:lang w:val="en-GB"/>
        </w:rPr>
        <w:t>Results of AI 1.13 Questionnaire</w:t>
      </w:r>
      <w:r w:rsidR="00F64BD2" w:rsidRPr="00832EA8">
        <w:rPr>
          <w:lang w:val="en-GB"/>
        </w:rPr>
        <w:t>”</w:t>
      </w:r>
      <w:r w:rsidR="003F2DEA" w:rsidRPr="00832EA8">
        <w:rPr>
          <w:lang w:val="en-GB"/>
        </w:rPr>
        <w:t>, ECO, September 2016</w:t>
      </w:r>
      <w:bookmarkEnd w:id="27"/>
    </w:p>
    <w:bookmarkStart w:id="28" w:name="_Ref103341539"/>
    <w:bookmarkStart w:id="29" w:name="_Ref104216562"/>
    <w:bookmarkEnd w:id="26"/>
    <w:p w14:paraId="3B40C7E9" w14:textId="6420A0B3" w:rsidR="003128F5" w:rsidRPr="00CD2977" w:rsidRDefault="00CD2977" w:rsidP="00CD2977">
      <w:pPr>
        <w:pStyle w:val="reference"/>
        <w:spacing w:before="60" w:after="60"/>
        <w:rPr>
          <w:lang w:val="en-GB"/>
        </w:rPr>
      </w:pPr>
      <w:r>
        <w:fldChar w:fldCharType="begin"/>
      </w:r>
      <w:r>
        <w:instrText>HYPERLINK "https://docdb.cept.org/document/28574"</w:instrText>
      </w:r>
      <w:r>
        <w:fldChar w:fldCharType="separate"/>
      </w:r>
      <w:r>
        <w:rPr>
          <w:rStyle w:val="Hyperlink"/>
        </w:rPr>
        <w:t>CEPT</w:t>
      </w:r>
      <w:r>
        <w:rPr>
          <w:rStyle w:val="Hyperlink"/>
        </w:rPr>
        <w:t xml:space="preserve"> </w:t>
      </w:r>
      <w:r>
        <w:rPr>
          <w:rStyle w:val="Hyperlink"/>
        </w:rPr>
        <w:t>Repo</w:t>
      </w:r>
      <w:r>
        <w:rPr>
          <w:rStyle w:val="Hyperlink"/>
        </w:rPr>
        <w:t>r</w:t>
      </w:r>
      <w:r>
        <w:rPr>
          <w:rStyle w:val="Hyperlink"/>
        </w:rPr>
        <w:t>t 82</w:t>
      </w:r>
      <w:r>
        <w:fldChar w:fldCharType="end"/>
      </w:r>
      <w:r w:rsidR="00044011" w:rsidRPr="00CD2977">
        <w:rPr>
          <w:lang w:val="en-GB"/>
        </w:rPr>
        <w:t>: “</w:t>
      </w:r>
      <w:r w:rsidR="003128F5" w:rsidRPr="00CD2977">
        <w:rPr>
          <w:lang w:val="en-GB"/>
        </w:rPr>
        <w:t xml:space="preserve">Report from CEPT to the European Commission in response to the Mandate  </w:t>
      </w:r>
    </w:p>
    <w:p w14:paraId="3F421939" w14:textId="77777777" w:rsidR="003128F5" w:rsidRPr="00164719" w:rsidRDefault="003128F5" w:rsidP="0024692B">
      <w:pPr>
        <w:pStyle w:val="reference"/>
        <w:numPr>
          <w:ilvl w:val="0"/>
          <w:numId w:val="0"/>
        </w:numPr>
        <w:spacing w:before="20" w:after="20"/>
        <w:ind w:left="397"/>
        <w:rPr>
          <w:lang w:val="en-GB"/>
        </w:rPr>
      </w:pPr>
      <w:r w:rsidRPr="00164719">
        <w:rPr>
          <w:lang w:val="en-GB"/>
        </w:rPr>
        <w:t>“to develop least restrictive harmonised technical conditions suitable for next-generation (5G) terrestrial wireless systems for priority frequency bands above 24 GHz”</w:t>
      </w:r>
    </w:p>
    <w:p w14:paraId="59AA21F3" w14:textId="6A4F5834" w:rsidR="000A24AD" w:rsidRPr="00164719" w:rsidRDefault="003128F5" w:rsidP="0024692B">
      <w:pPr>
        <w:pStyle w:val="reference"/>
        <w:numPr>
          <w:ilvl w:val="0"/>
          <w:numId w:val="0"/>
        </w:numPr>
        <w:spacing w:before="20" w:after="60"/>
        <w:ind w:left="397"/>
        <w:rPr>
          <w:lang w:val="en-GB"/>
        </w:rPr>
      </w:pPr>
      <w:r w:rsidRPr="00164719">
        <w:rPr>
          <w:lang w:val="en-GB"/>
        </w:rPr>
        <w:t>Harmonised least restrictive technical conditions for the 40.5-43.5 GHz frequency band</w:t>
      </w:r>
      <w:bookmarkEnd w:id="28"/>
      <w:bookmarkEnd w:id="29"/>
      <w:r w:rsidR="000E51C2" w:rsidRPr="00164719">
        <w:rPr>
          <w:lang w:val="en-GB"/>
        </w:rPr>
        <w:t>”</w:t>
      </w:r>
    </w:p>
    <w:bookmarkStart w:id="30" w:name="_Ref103332798"/>
    <w:bookmarkStart w:id="31" w:name="_Ref103341552"/>
    <w:bookmarkStart w:id="32" w:name="_Ref104214122"/>
    <w:p w14:paraId="58E869F3" w14:textId="447A8C73" w:rsidR="00A371E3" w:rsidRPr="00540321" w:rsidRDefault="00540321" w:rsidP="00540321">
      <w:pPr>
        <w:pStyle w:val="reference"/>
        <w:spacing w:before="60" w:after="60"/>
        <w:rPr>
          <w:lang w:val="en-GB"/>
        </w:rPr>
      </w:pPr>
      <w:r>
        <w:fldChar w:fldCharType="begin"/>
      </w:r>
      <w:r>
        <w:instrText>HYPERLINK "https://docdb.cept.org/document/28572"</w:instrText>
      </w:r>
      <w:r>
        <w:fldChar w:fldCharType="separate"/>
      </w:r>
      <w:r>
        <w:rPr>
          <w:rStyle w:val="Hyperlink"/>
        </w:rPr>
        <w:t>ECC Recommendation (22)01</w:t>
      </w:r>
      <w:r>
        <w:fldChar w:fldCharType="end"/>
      </w:r>
      <w:bookmarkEnd w:id="30"/>
      <w:r w:rsidR="00A371E3" w:rsidRPr="00540321">
        <w:rPr>
          <w:lang w:val="en-GB"/>
        </w:rPr>
        <w:t>: “Guidelines to support the introduction of MFCN in 40.5-43.5 GHz while ensuring, in a proportionate way, the use of FSS receiving earth stations in the frequency band 40.5-42.5 GHz and the use of FSS transmitting earth stations in the frequency band 42.5-43.5 GHz and the possibility for future deployment of these earth stations”</w:t>
      </w:r>
    </w:p>
    <w:bookmarkStart w:id="33" w:name="_Ref103341333"/>
    <w:bookmarkStart w:id="34" w:name="_Ref103341560"/>
    <w:bookmarkStart w:id="35" w:name="_Ref104214129"/>
    <w:bookmarkEnd w:id="31"/>
    <w:bookmarkEnd w:id="32"/>
    <w:p w14:paraId="284897B9" w14:textId="1C9079E9" w:rsidR="00577969" w:rsidRPr="007D62EC" w:rsidRDefault="007D62EC" w:rsidP="007D62EC">
      <w:pPr>
        <w:pStyle w:val="reference"/>
        <w:spacing w:before="60" w:after="60"/>
        <w:rPr>
          <w:lang w:val="en-GB"/>
        </w:rPr>
      </w:pPr>
      <w:r>
        <w:fldChar w:fldCharType="begin"/>
      </w:r>
      <w:r>
        <w:instrText>HYPERLINK "https://docdb.cept.org/document/28573"</w:instrText>
      </w:r>
      <w:r>
        <w:fldChar w:fldCharType="separate"/>
      </w:r>
      <w:r>
        <w:rPr>
          <w:rStyle w:val="Hyperlink"/>
        </w:rPr>
        <w:t>ECC Recommendation (22)02</w:t>
      </w:r>
      <w:r>
        <w:fldChar w:fldCharType="end"/>
      </w:r>
      <w:bookmarkEnd w:id="33"/>
      <w:r w:rsidR="00577969" w:rsidRPr="007D62EC">
        <w:rPr>
          <w:lang w:val="en-GB"/>
        </w:rPr>
        <w:t>: “</w:t>
      </w:r>
      <w:r w:rsidR="000C1104" w:rsidRPr="007D62EC">
        <w:rPr>
          <w:lang w:val="en-GB"/>
        </w:rPr>
        <w:t>Guidelines on m</w:t>
      </w:r>
      <w:r w:rsidR="00577969" w:rsidRPr="007D62EC">
        <w:rPr>
          <w:lang w:val="en-GB"/>
        </w:rPr>
        <w:t>easures to facilitate compatibility between MFCN operating in 40.5-43.5 GHz and FSS earth stations receiving in 39.5-40.5 GHz and to prevent and/or resolve interference issues</w:t>
      </w:r>
      <w:r w:rsidR="00013DE5" w:rsidRPr="007D62EC">
        <w:rPr>
          <w:lang w:val="en-GB"/>
        </w:rPr>
        <w:t>”</w:t>
      </w:r>
    </w:p>
    <w:bookmarkStart w:id="36" w:name="_Ref104213673"/>
    <w:bookmarkStart w:id="37" w:name="_Ref103341656"/>
    <w:bookmarkEnd w:id="34"/>
    <w:bookmarkEnd w:id="35"/>
    <w:p w14:paraId="17BB49BB" w14:textId="0483B9B8" w:rsidR="00EB6DE0" w:rsidRPr="00164719" w:rsidRDefault="00EB6DE0" w:rsidP="00E57DCD">
      <w:pPr>
        <w:pStyle w:val="reference"/>
        <w:spacing w:before="60" w:after="60"/>
        <w:rPr>
          <w:lang w:val="en-GB"/>
        </w:rPr>
      </w:pPr>
      <w:r w:rsidRPr="00164719">
        <w:rPr>
          <w:lang w:val="en-GB"/>
        </w:rPr>
        <w:fldChar w:fldCharType="begin"/>
      </w:r>
      <w:r w:rsidRPr="00164719">
        <w:rPr>
          <w:lang w:val="en-GB"/>
        </w:rPr>
        <w:instrText>HYPERLINK "https://docdb.cept.org/document/15236"</w:instrText>
      </w:r>
      <w:r w:rsidRPr="00164719">
        <w:rPr>
          <w:lang w:val="en-GB"/>
        </w:rPr>
      </w:r>
      <w:r w:rsidRPr="00164719">
        <w:rPr>
          <w:lang w:val="en-GB"/>
        </w:rPr>
        <w:fldChar w:fldCharType="separate"/>
      </w:r>
      <w:r w:rsidRPr="00164719">
        <w:rPr>
          <w:rStyle w:val="Hyperlink"/>
          <w:lang w:val="en-GB"/>
        </w:rPr>
        <w:t>ECC Report 309</w:t>
      </w:r>
      <w:r w:rsidRPr="00164719">
        <w:rPr>
          <w:lang w:val="en-GB"/>
        </w:rPr>
        <w:fldChar w:fldCharType="end"/>
      </w:r>
      <w:r w:rsidRPr="00164719">
        <w:rPr>
          <w:lang w:val="en-GB"/>
        </w:rPr>
        <w:t>: “Analysis of the usage of aerial UEs for communication in current MFCN harmonised bands”, approved July 2020</w:t>
      </w:r>
      <w:bookmarkEnd w:id="36"/>
    </w:p>
    <w:bookmarkStart w:id="38" w:name="_Ref104213684"/>
    <w:p w14:paraId="564CB6FF" w14:textId="57761BAF" w:rsidR="008D3895" w:rsidRPr="00164719" w:rsidRDefault="003D0D6D" w:rsidP="00E57DCD">
      <w:pPr>
        <w:pStyle w:val="reference"/>
        <w:spacing w:before="60" w:after="60"/>
        <w:rPr>
          <w:lang w:val="en-GB"/>
        </w:rPr>
      </w:pPr>
      <w:r>
        <w:fldChar w:fldCharType="begin"/>
      </w:r>
      <w:r>
        <w:instrText>HYPERLINK "https://docdb.cept.org/document/28570"</w:instrText>
      </w:r>
      <w:r>
        <w:fldChar w:fldCharType="separate"/>
      </w:r>
      <w:r>
        <w:rPr>
          <w:rStyle w:val="Hyperlink"/>
        </w:rPr>
        <w:t>ECC Report 348</w:t>
      </w:r>
      <w:r>
        <w:fldChar w:fldCharType="end"/>
      </w:r>
      <w:r w:rsidR="00C91DD9" w:rsidRPr="00164719">
        <w:rPr>
          <w:lang w:val="en-GB"/>
        </w:rPr>
        <w:t>: “Usage of aerial UE in 1.8 GHz, 2 GHz and 2.6 GHz frequency bands with MFCN AAS base stations</w:t>
      </w:r>
      <w:bookmarkEnd w:id="37"/>
      <w:bookmarkEnd w:id="38"/>
      <w:r w:rsidR="00383682" w:rsidRPr="00164719">
        <w:rPr>
          <w:lang w:val="en-GB"/>
        </w:rPr>
        <w:t>”</w:t>
      </w:r>
    </w:p>
    <w:p w14:paraId="52577D5B" w14:textId="5FCA2757" w:rsidR="003628C3" w:rsidRPr="00164719" w:rsidRDefault="003628C3" w:rsidP="00E57DCD">
      <w:pPr>
        <w:pStyle w:val="reference"/>
        <w:spacing w:before="60" w:after="60"/>
        <w:rPr>
          <w:lang w:val="en-GB"/>
        </w:rPr>
      </w:pPr>
      <w:bookmarkStart w:id="39" w:name="_Ref116554468"/>
      <w:r w:rsidRPr="00164719">
        <w:rPr>
          <w:lang w:val="en-GB"/>
        </w:rPr>
        <w:t>ETSI TS 138 104 V17.6.0: “NR: Base Station (BS) radio transmission and reception</w:t>
      </w:r>
      <w:bookmarkEnd w:id="39"/>
      <w:r w:rsidR="00476897" w:rsidRPr="00164719">
        <w:rPr>
          <w:lang w:val="en-GB"/>
        </w:rPr>
        <w:t>”</w:t>
      </w:r>
    </w:p>
    <w:p w14:paraId="73847DFA" w14:textId="7B0B40C7" w:rsidR="003628C3" w:rsidRPr="00164719" w:rsidRDefault="003628C3" w:rsidP="003628C3">
      <w:pPr>
        <w:pStyle w:val="reference"/>
        <w:spacing w:before="60" w:after="60"/>
        <w:rPr>
          <w:lang w:val="en-GB"/>
        </w:rPr>
      </w:pPr>
      <w:bookmarkStart w:id="40" w:name="_Ref116554277"/>
      <w:r w:rsidRPr="00164719">
        <w:rPr>
          <w:lang w:val="en-GB"/>
        </w:rPr>
        <w:t>ETSI TS 138 101-2 V17.6.0: “User Equipment (UE) radio transmission and reception; Part 2: Range 2 Standalone</w:t>
      </w:r>
      <w:bookmarkEnd w:id="40"/>
      <w:r w:rsidR="00476897" w:rsidRPr="00164719">
        <w:rPr>
          <w:lang w:val="en-GB"/>
        </w:rPr>
        <w:t>”</w:t>
      </w:r>
    </w:p>
    <w:p w14:paraId="7C58E714" w14:textId="77777777" w:rsidR="003628C3" w:rsidRPr="00164719" w:rsidRDefault="003628C3" w:rsidP="003628C3">
      <w:pPr>
        <w:pStyle w:val="reference"/>
        <w:spacing w:before="60" w:after="60"/>
        <w:rPr>
          <w:lang w:val="en-GB"/>
        </w:rPr>
      </w:pPr>
      <w:bookmarkStart w:id="41" w:name="_Ref104214334"/>
      <w:r w:rsidRPr="00164719">
        <w:rPr>
          <w:lang w:val="en-GB"/>
        </w:rPr>
        <w:t>ITU Radio Regulations, Edition of 2020</w:t>
      </w:r>
      <w:bookmarkEnd w:id="41"/>
      <w:r w:rsidRPr="00164719">
        <w:rPr>
          <w:lang w:val="en-GB"/>
        </w:rPr>
        <w:t xml:space="preserve"> </w:t>
      </w:r>
    </w:p>
    <w:p w14:paraId="19E246CB" w14:textId="16629CBA" w:rsidR="00C83A20" w:rsidRPr="00164719" w:rsidRDefault="00C83A20" w:rsidP="00E57DCD">
      <w:pPr>
        <w:pStyle w:val="reference"/>
        <w:spacing w:before="60" w:after="60"/>
        <w:rPr>
          <w:lang w:val="en-GB"/>
        </w:rPr>
      </w:pPr>
      <w:r w:rsidRPr="00164719">
        <w:rPr>
          <w:lang w:val="en-GB"/>
        </w:rPr>
        <w:t>ITU</w:t>
      </w:r>
      <w:r w:rsidR="00383682" w:rsidRPr="00164719">
        <w:rPr>
          <w:lang w:val="en-GB"/>
        </w:rPr>
        <w:t>-R</w:t>
      </w:r>
      <w:r w:rsidR="006137E3" w:rsidRPr="00164719">
        <w:rPr>
          <w:lang w:val="en-GB"/>
        </w:rPr>
        <w:t>:</w:t>
      </w:r>
      <w:r w:rsidRPr="00164719">
        <w:rPr>
          <w:lang w:val="en-GB"/>
        </w:rPr>
        <w:t xml:space="preserve"> </w:t>
      </w:r>
      <w:r w:rsidR="00383682" w:rsidRPr="00164719">
        <w:rPr>
          <w:lang w:val="en-GB"/>
        </w:rPr>
        <w:t>“</w:t>
      </w:r>
      <w:hyperlink r:id="rId12" w:history="1">
        <w:r w:rsidRPr="00164719">
          <w:rPr>
            <w:rStyle w:val="Hyperlink"/>
            <w:lang w:val="en-GB"/>
          </w:rPr>
          <w:t>Annex 5 to Task Group 5/1 Chairman’s Report: Sharing and Compatibility Studies of IMT Systems in the 37-43.5 GHz Frequency Range</w:t>
        </w:r>
      </w:hyperlink>
      <w:bookmarkStart w:id="42" w:name="_Ref103593677"/>
      <w:r w:rsidR="00383682" w:rsidRPr="00164719">
        <w:rPr>
          <w:rStyle w:val="Hyperlink"/>
          <w:lang w:val="en-GB"/>
        </w:rPr>
        <w:t>”</w:t>
      </w:r>
      <w:r w:rsidRPr="00164719">
        <w:rPr>
          <w:lang w:val="en-GB"/>
        </w:rPr>
        <w:t>, October 2018</w:t>
      </w:r>
      <w:bookmarkEnd w:id="42"/>
    </w:p>
    <w:bookmarkStart w:id="43" w:name="_Ref104795861"/>
    <w:bookmarkStart w:id="44" w:name="_Ref104214357"/>
    <w:bookmarkStart w:id="45" w:name="_Ref103957716"/>
    <w:p w14:paraId="69704847" w14:textId="4B691F8B" w:rsidR="00ED647E" w:rsidRPr="00164719" w:rsidRDefault="00CE7B09" w:rsidP="003628C3">
      <w:pPr>
        <w:pStyle w:val="reference"/>
        <w:spacing w:before="60" w:after="60"/>
        <w:rPr>
          <w:lang w:val="en-GB"/>
        </w:rPr>
      </w:pPr>
      <w:r w:rsidRPr="00164719">
        <w:rPr>
          <w:lang w:val="en-GB"/>
        </w:rPr>
        <w:fldChar w:fldCharType="begin"/>
      </w:r>
      <w:r w:rsidRPr="00164719">
        <w:rPr>
          <w:lang w:val="en-GB"/>
        </w:rPr>
        <w:instrText>HYPERLINK "https://docdb.cept.org/document/680"</w:instrText>
      </w:r>
      <w:r w:rsidRPr="00164719">
        <w:rPr>
          <w:lang w:val="en-GB"/>
        </w:rPr>
      </w:r>
      <w:r w:rsidRPr="00164719">
        <w:rPr>
          <w:lang w:val="en-GB"/>
        </w:rPr>
        <w:fldChar w:fldCharType="separate"/>
      </w:r>
      <w:r w:rsidRPr="00164719">
        <w:rPr>
          <w:rStyle w:val="Hyperlink"/>
          <w:lang w:val="en-GB"/>
        </w:rPr>
        <w:t>ERC Decision (00)02</w:t>
      </w:r>
      <w:r w:rsidRPr="00164719">
        <w:rPr>
          <w:lang w:val="en-GB"/>
        </w:rPr>
        <w:fldChar w:fldCharType="end"/>
      </w:r>
      <w:r w:rsidRPr="00164719">
        <w:rPr>
          <w:lang w:val="en-GB"/>
        </w:rPr>
        <w:t>: “</w:t>
      </w:r>
      <w:bookmarkEnd w:id="43"/>
      <w:r w:rsidR="002666DF" w:rsidRPr="00164719">
        <w:rPr>
          <w:lang w:val="en-GB"/>
        </w:rPr>
        <w:t>ERC Decision of 27 March 2000 on use of the band 37.5-39.5 GHz by the fixed service and by earth stations of the fixed-satellite service (space-to-Earth) and use of the band 39.5-40.5 GHz by earth stations of the fixed-satellite service and the mobile-satellite service (space-to-Earth)</w:t>
      </w:r>
      <w:r w:rsidR="0025245C" w:rsidRPr="00164719">
        <w:rPr>
          <w:lang w:val="en-GB"/>
        </w:rPr>
        <w:t xml:space="preserve">”, </w:t>
      </w:r>
      <w:r w:rsidR="002666DF" w:rsidRPr="00164719">
        <w:rPr>
          <w:lang w:val="en-GB"/>
        </w:rPr>
        <w:t>amended March 2022</w:t>
      </w:r>
      <w:bookmarkStart w:id="46" w:name="_Ref116554645"/>
    </w:p>
    <w:p w14:paraId="2ADBA911" w14:textId="3E055FBF" w:rsidR="00036434" w:rsidRPr="00164719" w:rsidRDefault="00B944CB" w:rsidP="00E57DCD">
      <w:pPr>
        <w:pStyle w:val="reference"/>
        <w:spacing w:before="60" w:after="60"/>
        <w:rPr>
          <w:lang w:val="en-GB"/>
        </w:rPr>
      </w:pPr>
      <w:bookmarkStart w:id="47" w:name="_Ref103593648"/>
      <w:bookmarkStart w:id="48" w:name="_Ref104215820"/>
      <w:bookmarkEnd w:id="44"/>
      <w:bookmarkEnd w:id="45"/>
      <w:bookmarkEnd w:id="46"/>
      <w:r w:rsidRPr="00164719">
        <w:rPr>
          <w:lang w:val="en-GB"/>
        </w:rPr>
        <w:t>Directive 2014/53/EU of the European Parliament and of the Council of 16 April 2014 on the harmonisation of the laws of the Member States relating to the making available on the market of radio equipment and repealing Directive 1999/5/EC</w:t>
      </w:r>
      <w:bookmarkStart w:id="49" w:name="_Ref103958232"/>
      <w:bookmarkStart w:id="50" w:name="_Ref104216203"/>
      <w:bookmarkEnd w:id="47"/>
      <w:bookmarkEnd w:id="48"/>
    </w:p>
    <w:bookmarkStart w:id="51" w:name="_Ref116554735"/>
    <w:p w14:paraId="67C2C3A0" w14:textId="11CE29D2" w:rsidR="00AC5D5E" w:rsidRPr="00164719" w:rsidRDefault="00051BC3" w:rsidP="00E57DCD">
      <w:pPr>
        <w:pStyle w:val="reference"/>
        <w:spacing w:before="60" w:after="60"/>
        <w:rPr>
          <w:lang w:val="en-GB"/>
        </w:rPr>
      </w:pPr>
      <w:r w:rsidRPr="00164719">
        <w:fldChar w:fldCharType="begin"/>
      </w:r>
      <w:r w:rsidRPr="00832EA8">
        <w:rPr>
          <w:lang w:val="en-GB"/>
        </w:rPr>
        <w:instrText xml:space="preserve"> HYPERLINK "https://docdb.cept.org/document/13859" </w:instrText>
      </w:r>
      <w:r w:rsidRPr="00164719">
        <w:fldChar w:fldCharType="separate"/>
      </w:r>
      <w:r w:rsidR="00AC5D5E" w:rsidRPr="00164719">
        <w:rPr>
          <w:rStyle w:val="Hyperlink"/>
          <w:lang w:val="en-GB"/>
        </w:rPr>
        <w:t>ECC Report 307</w:t>
      </w:r>
      <w:r w:rsidRPr="00164719">
        <w:rPr>
          <w:rStyle w:val="Hyperlink"/>
          <w:lang w:val="en-GB"/>
        </w:rPr>
        <w:fldChar w:fldCharType="end"/>
      </w:r>
      <w:bookmarkEnd w:id="49"/>
      <w:r w:rsidR="00AC5D5E" w:rsidRPr="00164719">
        <w:rPr>
          <w:lang w:val="en-GB"/>
        </w:rPr>
        <w:t>: “Toolbox for the most appropriate synchronisation regulatory framework including coexistence of MFCN in 24.25-27.5 GHz in unsynchronised and semi-synchronised mode”, approved March 2020</w:t>
      </w:r>
      <w:bookmarkEnd w:id="51"/>
      <w:r w:rsidR="00AC5D5E" w:rsidRPr="00164719">
        <w:rPr>
          <w:lang w:val="en-GB"/>
        </w:rPr>
        <w:t xml:space="preserve"> </w:t>
      </w:r>
    </w:p>
    <w:bookmarkEnd w:id="50"/>
    <w:p w14:paraId="790BAB9A" w14:textId="77777777" w:rsidR="006C03D0" w:rsidRPr="00164719" w:rsidRDefault="006C03D0" w:rsidP="00E57DCD">
      <w:pPr>
        <w:pStyle w:val="ECCParagraph"/>
        <w:spacing w:before="60" w:after="60"/>
      </w:pPr>
    </w:p>
    <w:sectPr w:rsidR="006C03D0" w:rsidRPr="00164719" w:rsidSect="006C03D0">
      <w:headerReference w:type="even" r:id="rId13"/>
      <w:headerReference w:type="default" r:id="rId14"/>
      <w:headerReference w:type="first" r:id="rId15"/>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1561" w14:textId="77777777" w:rsidR="00593F0F" w:rsidRDefault="00593F0F" w:rsidP="006C03D0">
      <w:r>
        <w:separator/>
      </w:r>
    </w:p>
  </w:endnote>
  <w:endnote w:type="continuationSeparator" w:id="0">
    <w:p w14:paraId="61AEAD7D" w14:textId="77777777" w:rsidR="00593F0F" w:rsidRDefault="00593F0F" w:rsidP="006C03D0">
      <w:r>
        <w:continuationSeparator/>
      </w:r>
    </w:p>
  </w:endnote>
  <w:endnote w:type="continuationNotice" w:id="1">
    <w:p w14:paraId="61FF2E3D" w14:textId="77777777" w:rsidR="00593F0F" w:rsidRDefault="00593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A882" w14:textId="77777777" w:rsidR="00593F0F" w:rsidRDefault="00593F0F" w:rsidP="006C03D0">
      <w:r>
        <w:separator/>
      </w:r>
    </w:p>
  </w:footnote>
  <w:footnote w:type="continuationSeparator" w:id="0">
    <w:p w14:paraId="73611576" w14:textId="77777777" w:rsidR="00593F0F" w:rsidRDefault="00593F0F" w:rsidP="006C03D0">
      <w:r>
        <w:continuationSeparator/>
      </w:r>
    </w:p>
  </w:footnote>
  <w:footnote w:type="continuationNotice" w:id="1">
    <w:p w14:paraId="731D2685" w14:textId="77777777" w:rsidR="00593F0F" w:rsidRDefault="00593F0F"/>
  </w:footnote>
  <w:footnote w:id="2">
    <w:p w14:paraId="36317617" w14:textId="7D0E2D3A" w:rsidR="00557052" w:rsidRPr="00832EA8" w:rsidRDefault="00557052" w:rsidP="004B7DD4">
      <w:pPr>
        <w:pStyle w:val="FootnoteText"/>
        <w:rPr>
          <w:sz w:val="16"/>
          <w:szCs w:val="16"/>
          <w:lang w:val="sl-SI"/>
        </w:rPr>
      </w:pPr>
      <w:r>
        <w:rPr>
          <w:rStyle w:val="FootnoteReference"/>
        </w:rPr>
        <w:footnoteRef/>
      </w:r>
      <w:r>
        <w:t xml:space="preserve"> </w:t>
      </w:r>
      <w:r w:rsidRPr="00832EA8">
        <w:rPr>
          <w:sz w:val="16"/>
          <w:szCs w:val="16"/>
          <w:lang w:val="sl-SI"/>
        </w:rPr>
        <w:t>E.g. a record of locations or geolocation database allowing Dynamic Spectrum Access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5535" w14:textId="2A045C22" w:rsidR="00557052" w:rsidRPr="007C5F95" w:rsidRDefault="00557052">
    <w:pPr>
      <w:pStyle w:val="Header"/>
      <w:rPr>
        <w:szCs w:val="16"/>
        <w:lang w:val="da-DK"/>
      </w:rPr>
    </w:pPr>
    <w:r>
      <w:rPr>
        <w:lang w:val="da-DK"/>
      </w:rPr>
      <w:t>ECC/DEC/(22)06</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74891" w:rsidRPr="00874891">
      <w:rPr>
        <w:noProof/>
        <w:szCs w:val="16"/>
        <w:lang w:val="da-DK"/>
      </w:rPr>
      <w:t>16</w:t>
    </w:r>
    <w:r>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EC8B" w14:textId="74B3CD56" w:rsidR="00557052" w:rsidRPr="007C5F95" w:rsidRDefault="00557052" w:rsidP="006C03D0">
    <w:pPr>
      <w:pStyle w:val="Header"/>
      <w:jc w:val="right"/>
      <w:rPr>
        <w:szCs w:val="16"/>
        <w:lang w:val="da-DK"/>
      </w:rPr>
    </w:pPr>
    <w:r>
      <w:rPr>
        <w:lang w:val="da-DK"/>
      </w:rPr>
      <w:t>ECC/DEC/</w:t>
    </w:r>
    <w:r w:rsidRPr="007C5F95">
      <w:rPr>
        <w:lang w:val="da-DK"/>
      </w:rPr>
      <w:t>(</w:t>
    </w:r>
    <w:r>
      <w:rPr>
        <w:lang w:val="da-DK"/>
      </w:rPr>
      <w:t>22</w:t>
    </w:r>
    <w:r w:rsidRPr="007C5F95">
      <w:rPr>
        <w:lang w:val="da-DK"/>
      </w:rPr>
      <w:t>)</w:t>
    </w:r>
    <w:r>
      <w:rPr>
        <w:lang w:val="da-DK"/>
      </w:rPr>
      <w:t>06</w:t>
    </w:r>
    <w:r w:rsidRPr="007C5F95">
      <w:rPr>
        <w:lang w:val="da-DK"/>
      </w:rPr>
      <w:t xml:space="preserve"> </w:t>
    </w:r>
    <w:r>
      <w:rPr>
        <w:szCs w:val="16"/>
        <w:lang w:val="da-DK"/>
      </w:rPr>
      <w:t xml:space="preserve">Page </w:t>
    </w:r>
    <w:r>
      <w:fldChar w:fldCharType="begin"/>
    </w:r>
    <w:r>
      <w:instrText xml:space="preserve"> PAGE  \* Arabic  \* MERGEFORMAT </w:instrText>
    </w:r>
    <w:r>
      <w:fldChar w:fldCharType="separate"/>
    </w:r>
    <w:r w:rsidR="00842534" w:rsidRPr="00842534">
      <w:rPr>
        <w:noProof/>
        <w:szCs w:val="16"/>
        <w:lang w:val="da-DK"/>
      </w:rPr>
      <w:t>13</w:t>
    </w:r>
    <w:r>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B1F7" w14:textId="2B0145BD" w:rsidR="00557052" w:rsidRDefault="00557052">
    <w:pPr>
      <w:pStyle w:val="Header"/>
    </w:pPr>
    <w:r w:rsidRPr="00710224">
      <w:rPr>
        <w:noProof/>
        <w:lang w:val="sl-SI" w:eastAsia="sl-SI"/>
      </w:rPr>
      <w:drawing>
        <wp:anchor distT="0" distB="0" distL="114300" distR="114300" simplePos="0" relativeHeight="251658241" behindDoc="0" locked="0" layoutInCell="1" allowOverlap="1" wp14:anchorId="5065164D" wp14:editId="511571FF">
          <wp:simplePos x="0" y="0"/>
          <wp:positionH relativeFrom="page">
            <wp:posOffset>5717540</wp:posOffset>
          </wp:positionH>
          <wp:positionV relativeFrom="page">
            <wp:posOffset>648335</wp:posOffset>
          </wp:positionV>
          <wp:extent cx="1461770" cy="546100"/>
          <wp:effectExtent l="25400" t="0" r="11430" b="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710224">
      <w:rPr>
        <w:noProof/>
        <w:lang w:val="sl-SI" w:eastAsia="sl-SI"/>
      </w:rPr>
      <w:drawing>
        <wp:anchor distT="0" distB="0" distL="114300" distR="114300" simplePos="0" relativeHeight="251658240" behindDoc="0" locked="0" layoutInCell="1" allowOverlap="1" wp14:anchorId="3EC31E4D" wp14:editId="5E6E4191">
          <wp:simplePos x="0" y="0"/>
          <wp:positionH relativeFrom="page">
            <wp:posOffset>572770</wp:posOffset>
          </wp:positionH>
          <wp:positionV relativeFrom="page">
            <wp:posOffset>457200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E2712E"/>
    <w:multiLevelType w:val="hybridMultilevel"/>
    <w:tmpl w:val="76586C66"/>
    <w:lvl w:ilvl="0" w:tplc="20000005">
      <w:start w:val="1"/>
      <w:numFmt w:val="bullet"/>
      <w:lvlText w:val=""/>
      <w:lvlJc w:val="left"/>
      <w:pPr>
        <w:ind w:left="360" w:hanging="360"/>
      </w:pPr>
      <w:rPr>
        <w:rFonts w:ascii="Wingdings" w:hAnsi="Wingdings" w:hint="default"/>
        <w:color w:val="D2232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3" w15:restartNumberingAfterBreak="0">
    <w:nsid w:val="212F4188"/>
    <w:multiLevelType w:val="multilevel"/>
    <w:tmpl w:val="4DB0D7D8"/>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2420" w:hanging="576"/>
      </w:pPr>
      <w:rPr>
        <w:rFonts w:hint="default"/>
      </w:rPr>
    </w:lvl>
    <w:lvl w:ilvl="2">
      <w:start w:val="1"/>
      <w:numFmt w:val="decimal"/>
      <w:pStyle w:val="ECCAnnexheading3"/>
      <w:lvlText w:val="A%1.%2.%3"/>
      <w:lvlJc w:val="left"/>
      <w:pPr>
        <w:tabs>
          <w:tab w:val="num" w:pos="1571"/>
        </w:tabs>
        <w:ind w:left="1571"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5"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D163F7A"/>
    <w:multiLevelType w:val="multilevel"/>
    <w:tmpl w:val="F56E0032"/>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427E184A"/>
    <w:multiLevelType w:val="hybridMultilevel"/>
    <w:tmpl w:val="F51A9A3A"/>
    <w:lvl w:ilvl="0" w:tplc="C65085F2">
      <w:start w:val="1"/>
      <w:numFmt w:val="bullet"/>
      <w:pStyle w:val="ECCParBulleted"/>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E6242A"/>
    <w:multiLevelType w:val="hybridMultilevel"/>
    <w:tmpl w:val="DF42765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499B11C1"/>
    <w:multiLevelType w:val="multilevel"/>
    <w:tmpl w:val="EC7E4234"/>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A83361B"/>
    <w:multiLevelType w:val="hybridMultilevel"/>
    <w:tmpl w:val="8C7AC752"/>
    <w:lvl w:ilvl="0" w:tplc="089C97C2">
      <w:start w:val="1"/>
      <w:numFmt w:val="lowerLetter"/>
      <w:lvlText w:val="%1)"/>
      <w:lvlJc w:val="left"/>
      <w:pPr>
        <w:ind w:left="502" w:hanging="360"/>
      </w:pPr>
      <w:rPr>
        <w:color w:val="D2232A"/>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1"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3" w15:restartNumberingAfterBreak="0">
    <w:nsid w:val="7B3212E4"/>
    <w:multiLevelType w:val="multilevel"/>
    <w:tmpl w:val="3EB62A28"/>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077975820">
    <w:abstractNumId w:val="6"/>
  </w:num>
  <w:num w:numId="2" w16cid:durableId="1756245605">
    <w:abstractNumId w:val="13"/>
  </w:num>
  <w:num w:numId="3" w16cid:durableId="1863199382">
    <w:abstractNumId w:val="9"/>
  </w:num>
  <w:num w:numId="4" w16cid:durableId="152647836">
    <w:abstractNumId w:val="3"/>
  </w:num>
  <w:num w:numId="5" w16cid:durableId="2001498559">
    <w:abstractNumId w:val="5"/>
  </w:num>
  <w:num w:numId="6" w16cid:durableId="1502745032">
    <w:abstractNumId w:val="4"/>
  </w:num>
  <w:num w:numId="7" w16cid:durableId="1511944544">
    <w:abstractNumId w:val="7"/>
  </w:num>
  <w:num w:numId="8" w16cid:durableId="2117289093">
    <w:abstractNumId w:val="8"/>
  </w:num>
  <w:num w:numId="9" w16cid:durableId="140274061">
    <w:abstractNumId w:val="2"/>
  </w:num>
  <w:num w:numId="10" w16cid:durableId="654409461">
    <w:abstractNumId w:val="12"/>
  </w:num>
  <w:num w:numId="11" w16cid:durableId="1105619016">
    <w:abstractNumId w:val="11"/>
  </w:num>
  <w:num w:numId="12" w16cid:durableId="1470702973">
    <w:abstractNumId w:val="7"/>
  </w:num>
  <w:num w:numId="13" w16cid:durableId="481385114">
    <w:abstractNumId w:val="0"/>
  </w:num>
  <w:num w:numId="14" w16cid:durableId="60866237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8174180">
    <w:abstractNumId w:val="10"/>
  </w:num>
  <w:num w:numId="16" w16cid:durableId="802894657">
    <w:abstractNumId w:val="1"/>
  </w:num>
  <w:num w:numId="17" w16cid:durableId="1387219516">
    <w:abstractNumId w:val="8"/>
    <w:lvlOverride w:ilvl="0">
      <w:startOverride w:val="1"/>
    </w:lvlOverride>
  </w:num>
  <w:num w:numId="18" w16cid:durableId="184296131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0A"/>
    <w:rsid w:val="00001AB3"/>
    <w:rsid w:val="000100DE"/>
    <w:rsid w:val="000101C6"/>
    <w:rsid w:val="0001116F"/>
    <w:rsid w:val="000113C7"/>
    <w:rsid w:val="00013DE5"/>
    <w:rsid w:val="00014269"/>
    <w:rsid w:val="000167E6"/>
    <w:rsid w:val="00023BD5"/>
    <w:rsid w:val="00023C69"/>
    <w:rsid w:val="000311A8"/>
    <w:rsid w:val="00031379"/>
    <w:rsid w:val="00033E81"/>
    <w:rsid w:val="00034629"/>
    <w:rsid w:val="00035E1A"/>
    <w:rsid w:val="00036434"/>
    <w:rsid w:val="00044011"/>
    <w:rsid w:val="000445C9"/>
    <w:rsid w:val="00044E74"/>
    <w:rsid w:val="00045006"/>
    <w:rsid w:val="00046D8D"/>
    <w:rsid w:val="00050052"/>
    <w:rsid w:val="00051257"/>
    <w:rsid w:val="00051BC3"/>
    <w:rsid w:val="00051EEE"/>
    <w:rsid w:val="0005200E"/>
    <w:rsid w:val="00057F22"/>
    <w:rsid w:val="000644CF"/>
    <w:rsid w:val="0006483E"/>
    <w:rsid w:val="00065E3B"/>
    <w:rsid w:val="00067BB7"/>
    <w:rsid w:val="00070D59"/>
    <w:rsid w:val="000722A8"/>
    <w:rsid w:val="00072B81"/>
    <w:rsid w:val="000738D2"/>
    <w:rsid w:val="000738FC"/>
    <w:rsid w:val="00074492"/>
    <w:rsid w:val="000772E7"/>
    <w:rsid w:val="00077606"/>
    <w:rsid w:val="00077F40"/>
    <w:rsid w:val="00080136"/>
    <w:rsid w:val="00080A1E"/>
    <w:rsid w:val="00080FF5"/>
    <w:rsid w:val="0008110E"/>
    <w:rsid w:val="000811A4"/>
    <w:rsid w:val="00082036"/>
    <w:rsid w:val="00083877"/>
    <w:rsid w:val="000845CA"/>
    <w:rsid w:val="0008696F"/>
    <w:rsid w:val="00087336"/>
    <w:rsid w:val="00090546"/>
    <w:rsid w:val="000906C6"/>
    <w:rsid w:val="0009494B"/>
    <w:rsid w:val="00097ECE"/>
    <w:rsid w:val="000A0114"/>
    <w:rsid w:val="000A24AD"/>
    <w:rsid w:val="000A355E"/>
    <w:rsid w:val="000A5A23"/>
    <w:rsid w:val="000A6192"/>
    <w:rsid w:val="000A6982"/>
    <w:rsid w:val="000A6A28"/>
    <w:rsid w:val="000A741C"/>
    <w:rsid w:val="000B0DE0"/>
    <w:rsid w:val="000B15B9"/>
    <w:rsid w:val="000B7A4A"/>
    <w:rsid w:val="000B7F56"/>
    <w:rsid w:val="000C1104"/>
    <w:rsid w:val="000C183F"/>
    <w:rsid w:val="000C31A3"/>
    <w:rsid w:val="000C4A06"/>
    <w:rsid w:val="000C6468"/>
    <w:rsid w:val="000D2F90"/>
    <w:rsid w:val="000D3528"/>
    <w:rsid w:val="000D3833"/>
    <w:rsid w:val="000D48EA"/>
    <w:rsid w:val="000D640C"/>
    <w:rsid w:val="000E1481"/>
    <w:rsid w:val="000E2C4C"/>
    <w:rsid w:val="000E4E36"/>
    <w:rsid w:val="000E5062"/>
    <w:rsid w:val="000E51C2"/>
    <w:rsid w:val="000E68DF"/>
    <w:rsid w:val="000F0FD2"/>
    <w:rsid w:val="000F1A86"/>
    <w:rsid w:val="000F1C0B"/>
    <w:rsid w:val="000F3919"/>
    <w:rsid w:val="000F5E74"/>
    <w:rsid w:val="000F611F"/>
    <w:rsid w:val="000F6EB1"/>
    <w:rsid w:val="00100A4E"/>
    <w:rsid w:val="001026A9"/>
    <w:rsid w:val="00104A8C"/>
    <w:rsid w:val="00106031"/>
    <w:rsid w:val="00106468"/>
    <w:rsid w:val="00106EB2"/>
    <w:rsid w:val="00110F38"/>
    <w:rsid w:val="00111436"/>
    <w:rsid w:val="0011232F"/>
    <w:rsid w:val="001125FC"/>
    <w:rsid w:val="00114BCE"/>
    <w:rsid w:val="00120010"/>
    <w:rsid w:val="00120B00"/>
    <w:rsid w:val="00121BFC"/>
    <w:rsid w:val="00122F38"/>
    <w:rsid w:val="00123D20"/>
    <w:rsid w:val="00125172"/>
    <w:rsid w:val="001253FF"/>
    <w:rsid w:val="00126A72"/>
    <w:rsid w:val="00130EA4"/>
    <w:rsid w:val="0013217C"/>
    <w:rsid w:val="001322EB"/>
    <w:rsid w:val="0013328A"/>
    <w:rsid w:val="00133B8A"/>
    <w:rsid w:val="00135372"/>
    <w:rsid w:val="00135419"/>
    <w:rsid w:val="00135DEE"/>
    <w:rsid w:val="0013619B"/>
    <w:rsid w:val="00137D20"/>
    <w:rsid w:val="00137F51"/>
    <w:rsid w:val="0014041E"/>
    <w:rsid w:val="001404E4"/>
    <w:rsid w:val="001406A0"/>
    <w:rsid w:val="001439F0"/>
    <w:rsid w:val="001450B9"/>
    <w:rsid w:val="0014539F"/>
    <w:rsid w:val="00145F6A"/>
    <w:rsid w:val="0014649A"/>
    <w:rsid w:val="001518BB"/>
    <w:rsid w:val="00151980"/>
    <w:rsid w:val="00153310"/>
    <w:rsid w:val="00153B7D"/>
    <w:rsid w:val="00157749"/>
    <w:rsid w:val="0016126C"/>
    <w:rsid w:val="00164719"/>
    <w:rsid w:val="0016473D"/>
    <w:rsid w:val="00165753"/>
    <w:rsid w:val="00171992"/>
    <w:rsid w:val="00175E96"/>
    <w:rsid w:val="00180679"/>
    <w:rsid w:val="00184437"/>
    <w:rsid w:val="001856DF"/>
    <w:rsid w:val="00186C27"/>
    <w:rsid w:val="00193CBA"/>
    <w:rsid w:val="00194B5D"/>
    <w:rsid w:val="001A73AA"/>
    <w:rsid w:val="001B12FC"/>
    <w:rsid w:val="001B1F5E"/>
    <w:rsid w:val="001B3104"/>
    <w:rsid w:val="001B3B5B"/>
    <w:rsid w:val="001B5181"/>
    <w:rsid w:val="001B6E04"/>
    <w:rsid w:val="001C2189"/>
    <w:rsid w:val="001C4588"/>
    <w:rsid w:val="001C46EA"/>
    <w:rsid w:val="001C7138"/>
    <w:rsid w:val="001D296D"/>
    <w:rsid w:val="001D4EC0"/>
    <w:rsid w:val="001D63BB"/>
    <w:rsid w:val="001D700D"/>
    <w:rsid w:val="001D71FA"/>
    <w:rsid w:val="001E0C8D"/>
    <w:rsid w:val="001E68EC"/>
    <w:rsid w:val="001E6BB5"/>
    <w:rsid w:val="001F1113"/>
    <w:rsid w:val="001F3399"/>
    <w:rsid w:val="001F3CA5"/>
    <w:rsid w:val="001F4305"/>
    <w:rsid w:val="001F51D4"/>
    <w:rsid w:val="001F56FA"/>
    <w:rsid w:val="001F5CE5"/>
    <w:rsid w:val="001F6753"/>
    <w:rsid w:val="001F7338"/>
    <w:rsid w:val="00201E93"/>
    <w:rsid w:val="00204EF9"/>
    <w:rsid w:val="00205D1A"/>
    <w:rsid w:val="00206356"/>
    <w:rsid w:val="00206687"/>
    <w:rsid w:val="00211DD4"/>
    <w:rsid w:val="0021222D"/>
    <w:rsid w:val="00212E07"/>
    <w:rsid w:val="00215DEE"/>
    <w:rsid w:val="00220385"/>
    <w:rsid w:val="00221BFD"/>
    <w:rsid w:val="002261DD"/>
    <w:rsid w:val="002308F4"/>
    <w:rsid w:val="00232E6C"/>
    <w:rsid w:val="002336AB"/>
    <w:rsid w:val="00235AE4"/>
    <w:rsid w:val="002407E2"/>
    <w:rsid w:val="00242915"/>
    <w:rsid w:val="00243D97"/>
    <w:rsid w:val="0024583C"/>
    <w:rsid w:val="0024692B"/>
    <w:rsid w:val="00247780"/>
    <w:rsid w:val="0025245C"/>
    <w:rsid w:val="002525E5"/>
    <w:rsid w:val="002529CC"/>
    <w:rsid w:val="0025490C"/>
    <w:rsid w:val="00255A5F"/>
    <w:rsid w:val="00256FD8"/>
    <w:rsid w:val="0025792B"/>
    <w:rsid w:val="00263F04"/>
    <w:rsid w:val="002663BD"/>
    <w:rsid w:val="002666DF"/>
    <w:rsid w:val="002704B3"/>
    <w:rsid w:val="002741A5"/>
    <w:rsid w:val="00275089"/>
    <w:rsid w:val="002763A7"/>
    <w:rsid w:val="00281EEF"/>
    <w:rsid w:val="002824EE"/>
    <w:rsid w:val="00283232"/>
    <w:rsid w:val="0028361E"/>
    <w:rsid w:val="00286A8B"/>
    <w:rsid w:val="00287699"/>
    <w:rsid w:val="00287FCB"/>
    <w:rsid w:val="002905E6"/>
    <w:rsid w:val="00292CD0"/>
    <w:rsid w:val="00293749"/>
    <w:rsid w:val="00296FFF"/>
    <w:rsid w:val="002A29CF"/>
    <w:rsid w:val="002A34F2"/>
    <w:rsid w:val="002A491B"/>
    <w:rsid w:val="002A4C52"/>
    <w:rsid w:val="002A6040"/>
    <w:rsid w:val="002A78D0"/>
    <w:rsid w:val="002A78D2"/>
    <w:rsid w:val="002A7E8B"/>
    <w:rsid w:val="002B0077"/>
    <w:rsid w:val="002B1A40"/>
    <w:rsid w:val="002B1DBD"/>
    <w:rsid w:val="002B3DCA"/>
    <w:rsid w:val="002B4428"/>
    <w:rsid w:val="002B4B50"/>
    <w:rsid w:val="002B7008"/>
    <w:rsid w:val="002C0CB3"/>
    <w:rsid w:val="002C1BD0"/>
    <w:rsid w:val="002C41F6"/>
    <w:rsid w:val="002C51EF"/>
    <w:rsid w:val="002C559E"/>
    <w:rsid w:val="002C5841"/>
    <w:rsid w:val="002D0A4C"/>
    <w:rsid w:val="002D1FAD"/>
    <w:rsid w:val="002E19BF"/>
    <w:rsid w:val="002E381E"/>
    <w:rsid w:val="002E59D5"/>
    <w:rsid w:val="002E7309"/>
    <w:rsid w:val="002F1ED4"/>
    <w:rsid w:val="002F2439"/>
    <w:rsid w:val="002F4C1C"/>
    <w:rsid w:val="002F602A"/>
    <w:rsid w:val="002F608F"/>
    <w:rsid w:val="002F64BF"/>
    <w:rsid w:val="00302362"/>
    <w:rsid w:val="0030240E"/>
    <w:rsid w:val="00303812"/>
    <w:rsid w:val="00304F46"/>
    <w:rsid w:val="00305A05"/>
    <w:rsid w:val="00305EDB"/>
    <w:rsid w:val="003069E6"/>
    <w:rsid w:val="003105D1"/>
    <w:rsid w:val="003128F5"/>
    <w:rsid w:val="00313779"/>
    <w:rsid w:val="00314F50"/>
    <w:rsid w:val="00315136"/>
    <w:rsid w:val="00315247"/>
    <w:rsid w:val="003176D3"/>
    <w:rsid w:val="00321A9C"/>
    <w:rsid w:val="00322682"/>
    <w:rsid w:val="0032342B"/>
    <w:rsid w:val="003263BB"/>
    <w:rsid w:val="003277F0"/>
    <w:rsid w:val="003305A7"/>
    <w:rsid w:val="00335DD7"/>
    <w:rsid w:val="00340E69"/>
    <w:rsid w:val="00341BA4"/>
    <w:rsid w:val="00343E53"/>
    <w:rsid w:val="00345B66"/>
    <w:rsid w:val="00347207"/>
    <w:rsid w:val="00347C23"/>
    <w:rsid w:val="00350252"/>
    <w:rsid w:val="00352058"/>
    <w:rsid w:val="00352E38"/>
    <w:rsid w:val="00355C64"/>
    <w:rsid w:val="0035770B"/>
    <w:rsid w:val="00357EAB"/>
    <w:rsid w:val="0036178E"/>
    <w:rsid w:val="003628C3"/>
    <w:rsid w:val="00364FE1"/>
    <w:rsid w:val="00365BC3"/>
    <w:rsid w:val="0036730C"/>
    <w:rsid w:val="003673BE"/>
    <w:rsid w:val="003717AB"/>
    <w:rsid w:val="00372C7E"/>
    <w:rsid w:val="00372D59"/>
    <w:rsid w:val="003737E5"/>
    <w:rsid w:val="00373F66"/>
    <w:rsid w:val="00376CBB"/>
    <w:rsid w:val="00377F27"/>
    <w:rsid w:val="00380851"/>
    <w:rsid w:val="003830AB"/>
    <w:rsid w:val="00383682"/>
    <w:rsid w:val="00385AE9"/>
    <w:rsid w:val="00385CE9"/>
    <w:rsid w:val="00386E29"/>
    <w:rsid w:val="00392745"/>
    <w:rsid w:val="00394257"/>
    <w:rsid w:val="003944D3"/>
    <w:rsid w:val="00395C84"/>
    <w:rsid w:val="00397D03"/>
    <w:rsid w:val="003A1B32"/>
    <w:rsid w:val="003A4A3F"/>
    <w:rsid w:val="003A4C9C"/>
    <w:rsid w:val="003A71F1"/>
    <w:rsid w:val="003A7E25"/>
    <w:rsid w:val="003B029E"/>
    <w:rsid w:val="003B23D8"/>
    <w:rsid w:val="003B240F"/>
    <w:rsid w:val="003C0132"/>
    <w:rsid w:val="003C45EA"/>
    <w:rsid w:val="003D0D6D"/>
    <w:rsid w:val="003D1D14"/>
    <w:rsid w:val="003D33BF"/>
    <w:rsid w:val="003D466B"/>
    <w:rsid w:val="003D68A1"/>
    <w:rsid w:val="003E672F"/>
    <w:rsid w:val="003E7694"/>
    <w:rsid w:val="003F05CC"/>
    <w:rsid w:val="003F069E"/>
    <w:rsid w:val="003F1046"/>
    <w:rsid w:val="003F2216"/>
    <w:rsid w:val="003F2881"/>
    <w:rsid w:val="003F2DEA"/>
    <w:rsid w:val="003F6E62"/>
    <w:rsid w:val="00401637"/>
    <w:rsid w:val="00402FCB"/>
    <w:rsid w:val="00403140"/>
    <w:rsid w:val="004031B2"/>
    <w:rsid w:val="00404823"/>
    <w:rsid w:val="004054A9"/>
    <w:rsid w:val="00406BDC"/>
    <w:rsid w:val="0041042F"/>
    <w:rsid w:val="0041092B"/>
    <w:rsid w:val="00411110"/>
    <w:rsid w:val="0041264D"/>
    <w:rsid w:val="00412E32"/>
    <w:rsid w:val="0041403F"/>
    <w:rsid w:val="00414A88"/>
    <w:rsid w:val="00414DB5"/>
    <w:rsid w:val="00421F7F"/>
    <w:rsid w:val="00422DC2"/>
    <w:rsid w:val="004260D3"/>
    <w:rsid w:val="00426958"/>
    <w:rsid w:val="00432C39"/>
    <w:rsid w:val="00435475"/>
    <w:rsid w:val="00435C0F"/>
    <w:rsid w:val="004375DE"/>
    <w:rsid w:val="004423E5"/>
    <w:rsid w:val="00444C43"/>
    <w:rsid w:val="00447625"/>
    <w:rsid w:val="00450CEE"/>
    <w:rsid w:val="0045110C"/>
    <w:rsid w:val="0045250D"/>
    <w:rsid w:val="0045447F"/>
    <w:rsid w:val="00457738"/>
    <w:rsid w:val="00460CD7"/>
    <w:rsid w:val="0046209B"/>
    <w:rsid w:val="0046258E"/>
    <w:rsid w:val="0046425E"/>
    <w:rsid w:val="00464269"/>
    <w:rsid w:val="004700E6"/>
    <w:rsid w:val="0047470C"/>
    <w:rsid w:val="004756CE"/>
    <w:rsid w:val="00476584"/>
    <w:rsid w:val="00476897"/>
    <w:rsid w:val="00480B5E"/>
    <w:rsid w:val="00482E3E"/>
    <w:rsid w:val="004837F0"/>
    <w:rsid w:val="00484220"/>
    <w:rsid w:val="004847EA"/>
    <w:rsid w:val="00485EDD"/>
    <w:rsid w:val="004911DB"/>
    <w:rsid w:val="004931B2"/>
    <w:rsid w:val="00493FD7"/>
    <w:rsid w:val="00497CDE"/>
    <w:rsid w:val="004A17CA"/>
    <w:rsid w:val="004A21BE"/>
    <w:rsid w:val="004A32FA"/>
    <w:rsid w:val="004A7BC9"/>
    <w:rsid w:val="004B2428"/>
    <w:rsid w:val="004B2776"/>
    <w:rsid w:val="004B52C8"/>
    <w:rsid w:val="004B5F68"/>
    <w:rsid w:val="004B7DD4"/>
    <w:rsid w:val="004C1890"/>
    <w:rsid w:val="004C223B"/>
    <w:rsid w:val="004C31E4"/>
    <w:rsid w:val="004C3613"/>
    <w:rsid w:val="004C3988"/>
    <w:rsid w:val="004C4913"/>
    <w:rsid w:val="004C730D"/>
    <w:rsid w:val="004D0CF5"/>
    <w:rsid w:val="004D34A5"/>
    <w:rsid w:val="004D4301"/>
    <w:rsid w:val="004D478F"/>
    <w:rsid w:val="004D4829"/>
    <w:rsid w:val="004D6F81"/>
    <w:rsid w:val="004D7C98"/>
    <w:rsid w:val="004E020C"/>
    <w:rsid w:val="004E2592"/>
    <w:rsid w:val="004E2A43"/>
    <w:rsid w:val="004E2E21"/>
    <w:rsid w:val="004E35B1"/>
    <w:rsid w:val="004E36F0"/>
    <w:rsid w:val="004E6C78"/>
    <w:rsid w:val="004F0563"/>
    <w:rsid w:val="004F0602"/>
    <w:rsid w:val="004F4285"/>
    <w:rsid w:val="004F4564"/>
    <w:rsid w:val="00501267"/>
    <w:rsid w:val="005029F5"/>
    <w:rsid w:val="00503F22"/>
    <w:rsid w:val="0051035A"/>
    <w:rsid w:val="00510DDB"/>
    <w:rsid w:val="005111C6"/>
    <w:rsid w:val="005111F4"/>
    <w:rsid w:val="00511C1B"/>
    <w:rsid w:val="0051574B"/>
    <w:rsid w:val="00516AB1"/>
    <w:rsid w:val="00516ECC"/>
    <w:rsid w:val="00524ED9"/>
    <w:rsid w:val="0052648B"/>
    <w:rsid w:val="005271C0"/>
    <w:rsid w:val="00527319"/>
    <w:rsid w:val="00527378"/>
    <w:rsid w:val="00530D28"/>
    <w:rsid w:val="0053172C"/>
    <w:rsid w:val="00532459"/>
    <w:rsid w:val="0053410C"/>
    <w:rsid w:val="005364F1"/>
    <w:rsid w:val="00536E1A"/>
    <w:rsid w:val="00540321"/>
    <w:rsid w:val="00540362"/>
    <w:rsid w:val="00540415"/>
    <w:rsid w:val="00540802"/>
    <w:rsid w:val="00541F95"/>
    <w:rsid w:val="0054270F"/>
    <w:rsid w:val="00542821"/>
    <w:rsid w:val="00550C58"/>
    <w:rsid w:val="005533C7"/>
    <w:rsid w:val="00553FBF"/>
    <w:rsid w:val="00554A8B"/>
    <w:rsid w:val="0055593F"/>
    <w:rsid w:val="00557052"/>
    <w:rsid w:val="0056114C"/>
    <w:rsid w:val="005616AD"/>
    <w:rsid w:val="00561A35"/>
    <w:rsid w:val="0056328F"/>
    <w:rsid w:val="00566EC5"/>
    <w:rsid w:val="0057010D"/>
    <w:rsid w:val="005722A6"/>
    <w:rsid w:val="00574221"/>
    <w:rsid w:val="005742C4"/>
    <w:rsid w:val="00576587"/>
    <w:rsid w:val="0057731B"/>
    <w:rsid w:val="00577969"/>
    <w:rsid w:val="005809EC"/>
    <w:rsid w:val="005812DA"/>
    <w:rsid w:val="00581EFC"/>
    <w:rsid w:val="00583AB9"/>
    <w:rsid w:val="00584923"/>
    <w:rsid w:val="00584C14"/>
    <w:rsid w:val="00584D88"/>
    <w:rsid w:val="00585C8F"/>
    <w:rsid w:val="0058735F"/>
    <w:rsid w:val="005903AB"/>
    <w:rsid w:val="00593F0F"/>
    <w:rsid w:val="005948BD"/>
    <w:rsid w:val="00596B72"/>
    <w:rsid w:val="005977FA"/>
    <w:rsid w:val="005A3814"/>
    <w:rsid w:val="005A52CB"/>
    <w:rsid w:val="005A77B3"/>
    <w:rsid w:val="005B049E"/>
    <w:rsid w:val="005C2320"/>
    <w:rsid w:val="005C3ECC"/>
    <w:rsid w:val="005C4BB9"/>
    <w:rsid w:val="005C5D9C"/>
    <w:rsid w:val="005C6363"/>
    <w:rsid w:val="005C6806"/>
    <w:rsid w:val="005C767B"/>
    <w:rsid w:val="005C777F"/>
    <w:rsid w:val="005D1732"/>
    <w:rsid w:val="005D3F4B"/>
    <w:rsid w:val="005D442B"/>
    <w:rsid w:val="005D4D1C"/>
    <w:rsid w:val="005D4E15"/>
    <w:rsid w:val="005D78ED"/>
    <w:rsid w:val="005E185F"/>
    <w:rsid w:val="005E283E"/>
    <w:rsid w:val="005E383E"/>
    <w:rsid w:val="005E3BB4"/>
    <w:rsid w:val="005E3E12"/>
    <w:rsid w:val="005E4A50"/>
    <w:rsid w:val="005E4EB5"/>
    <w:rsid w:val="005E56B1"/>
    <w:rsid w:val="005E6DF9"/>
    <w:rsid w:val="005F0F29"/>
    <w:rsid w:val="005F0FFF"/>
    <w:rsid w:val="005F3B86"/>
    <w:rsid w:val="005F7AD5"/>
    <w:rsid w:val="00600799"/>
    <w:rsid w:val="00601B63"/>
    <w:rsid w:val="00602AF8"/>
    <w:rsid w:val="00611326"/>
    <w:rsid w:val="00612712"/>
    <w:rsid w:val="0061299D"/>
    <w:rsid w:val="0061379D"/>
    <w:rsid w:val="006137E3"/>
    <w:rsid w:val="00617F41"/>
    <w:rsid w:val="00622390"/>
    <w:rsid w:val="0062680B"/>
    <w:rsid w:val="00631C1E"/>
    <w:rsid w:val="00632CD5"/>
    <w:rsid w:val="00633199"/>
    <w:rsid w:val="006334F2"/>
    <w:rsid w:val="00635A6E"/>
    <w:rsid w:val="00636891"/>
    <w:rsid w:val="0064308E"/>
    <w:rsid w:val="00644582"/>
    <w:rsid w:val="00644729"/>
    <w:rsid w:val="006479DE"/>
    <w:rsid w:val="00647F8C"/>
    <w:rsid w:val="00653CEE"/>
    <w:rsid w:val="00653EC3"/>
    <w:rsid w:val="0065532C"/>
    <w:rsid w:val="0065666E"/>
    <w:rsid w:val="00664D11"/>
    <w:rsid w:val="00665B12"/>
    <w:rsid w:val="00666A31"/>
    <w:rsid w:val="006718C8"/>
    <w:rsid w:val="00672ADC"/>
    <w:rsid w:val="00672FA8"/>
    <w:rsid w:val="00675883"/>
    <w:rsid w:val="00677054"/>
    <w:rsid w:val="00677483"/>
    <w:rsid w:val="006806E0"/>
    <w:rsid w:val="006814E2"/>
    <w:rsid w:val="00683AF3"/>
    <w:rsid w:val="0068439B"/>
    <w:rsid w:val="006846C7"/>
    <w:rsid w:val="00684ACC"/>
    <w:rsid w:val="00684CEB"/>
    <w:rsid w:val="00685262"/>
    <w:rsid w:val="00685EA8"/>
    <w:rsid w:val="006860BB"/>
    <w:rsid w:val="006864FA"/>
    <w:rsid w:val="006913BC"/>
    <w:rsid w:val="00692D6B"/>
    <w:rsid w:val="00693A7A"/>
    <w:rsid w:val="00693AD4"/>
    <w:rsid w:val="006941D8"/>
    <w:rsid w:val="0069756A"/>
    <w:rsid w:val="006A31D6"/>
    <w:rsid w:val="006A3443"/>
    <w:rsid w:val="006A570D"/>
    <w:rsid w:val="006A6B1F"/>
    <w:rsid w:val="006A6E4B"/>
    <w:rsid w:val="006B2693"/>
    <w:rsid w:val="006B44DD"/>
    <w:rsid w:val="006B4DD1"/>
    <w:rsid w:val="006B6511"/>
    <w:rsid w:val="006C03D0"/>
    <w:rsid w:val="006C0449"/>
    <w:rsid w:val="006C0B88"/>
    <w:rsid w:val="006C1061"/>
    <w:rsid w:val="006C4636"/>
    <w:rsid w:val="006C6221"/>
    <w:rsid w:val="006D0A1F"/>
    <w:rsid w:val="006D10A3"/>
    <w:rsid w:val="006D1172"/>
    <w:rsid w:val="006D4FC5"/>
    <w:rsid w:val="006D559B"/>
    <w:rsid w:val="006D5616"/>
    <w:rsid w:val="006D7895"/>
    <w:rsid w:val="006E15ED"/>
    <w:rsid w:val="006E2865"/>
    <w:rsid w:val="006E61F7"/>
    <w:rsid w:val="006F122E"/>
    <w:rsid w:val="006F1FCE"/>
    <w:rsid w:val="006F3260"/>
    <w:rsid w:val="006F39F0"/>
    <w:rsid w:val="006F3FA8"/>
    <w:rsid w:val="006F551D"/>
    <w:rsid w:val="006F64AC"/>
    <w:rsid w:val="006F6DCB"/>
    <w:rsid w:val="007002C8"/>
    <w:rsid w:val="0070052E"/>
    <w:rsid w:val="0070218E"/>
    <w:rsid w:val="00705A26"/>
    <w:rsid w:val="0070657C"/>
    <w:rsid w:val="00707960"/>
    <w:rsid w:val="00710224"/>
    <w:rsid w:val="00710C95"/>
    <w:rsid w:val="007120E6"/>
    <w:rsid w:val="00712B1B"/>
    <w:rsid w:val="00713DBA"/>
    <w:rsid w:val="00717CCB"/>
    <w:rsid w:val="0072047D"/>
    <w:rsid w:val="00720701"/>
    <w:rsid w:val="00721A9A"/>
    <w:rsid w:val="00721E74"/>
    <w:rsid w:val="0072201D"/>
    <w:rsid w:val="00722CDA"/>
    <w:rsid w:val="00723BB7"/>
    <w:rsid w:val="00723F89"/>
    <w:rsid w:val="007241F7"/>
    <w:rsid w:val="007254D7"/>
    <w:rsid w:val="007269F8"/>
    <w:rsid w:val="00727CFD"/>
    <w:rsid w:val="00730F72"/>
    <w:rsid w:val="007328B4"/>
    <w:rsid w:val="007366B4"/>
    <w:rsid w:val="00740420"/>
    <w:rsid w:val="0074360D"/>
    <w:rsid w:val="00743E14"/>
    <w:rsid w:val="0074437A"/>
    <w:rsid w:val="0074514B"/>
    <w:rsid w:val="00746448"/>
    <w:rsid w:val="0074700D"/>
    <w:rsid w:val="007514F8"/>
    <w:rsid w:val="00751DC3"/>
    <w:rsid w:val="007543EF"/>
    <w:rsid w:val="0075546A"/>
    <w:rsid w:val="00755A0E"/>
    <w:rsid w:val="00755A35"/>
    <w:rsid w:val="00761783"/>
    <w:rsid w:val="00764F7E"/>
    <w:rsid w:val="00765DEE"/>
    <w:rsid w:val="00771069"/>
    <w:rsid w:val="00772B45"/>
    <w:rsid w:val="00772D26"/>
    <w:rsid w:val="0077550E"/>
    <w:rsid w:val="00775A31"/>
    <w:rsid w:val="0078356A"/>
    <w:rsid w:val="00791D74"/>
    <w:rsid w:val="00797300"/>
    <w:rsid w:val="007A1780"/>
    <w:rsid w:val="007A69DB"/>
    <w:rsid w:val="007A6BA4"/>
    <w:rsid w:val="007A7AD1"/>
    <w:rsid w:val="007B05D4"/>
    <w:rsid w:val="007B0B76"/>
    <w:rsid w:val="007B580C"/>
    <w:rsid w:val="007B6A3E"/>
    <w:rsid w:val="007B7870"/>
    <w:rsid w:val="007B7A83"/>
    <w:rsid w:val="007C0138"/>
    <w:rsid w:val="007C1476"/>
    <w:rsid w:val="007C6571"/>
    <w:rsid w:val="007C6584"/>
    <w:rsid w:val="007D4D81"/>
    <w:rsid w:val="007D52E8"/>
    <w:rsid w:val="007D5AC7"/>
    <w:rsid w:val="007D62EC"/>
    <w:rsid w:val="007D6A14"/>
    <w:rsid w:val="007D7238"/>
    <w:rsid w:val="007E1333"/>
    <w:rsid w:val="007E23E4"/>
    <w:rsid w:val="007E2B94"/>
    <w:rsid w:val="007E533D"/>
    <w:rsid w:val="007E53B3"/>
    <w:rsid w:val="007E6120"/>
    <w:rsid w:val="007E6963"/>
    <w:rsid w:val="007F112A"/>
    <w:rsid w:val="007F17F4"/>
    <w:rsid w:val="007F3903"/>
    <w:rsid w:val="007F6730"/>
    <w:rsid w:val="00800890"/>
    <w:rsid w:val="00801759"/>
    <w:rsid w:val="00804431"/>
    <w:rsid w:val="008048ED"/>
    <w:rsid w:val="00806616"/>
    <w:rsid w:val="00806901"/>
    <w:rsid w:val="0080719C"/>
    <w:rsid w:val="0081035B"/>
    <w:rsid w:val="008104F6"/>
    <w:rsid w:val="00810E03"/>
    <w:rsid w:val="008127C0"/>
    <w:rsid w:val="008131C1"/>
    <w:rsid w:val="00814DE0"/>
    <w:rsid w:val="00817694"/>
    <w:rsid w:val="0082196D"/>
    <w:rsid w:val="00822558"/>
    <w:rsid w:val="0082306C"/>
    <w:rsid w:val="00824161"/>
    <w:rsid w:val="00825AA5"/>
    <w:rsid w:val="00825BE6"/>
    <w:rsid w:val="00826EEE"/>
    <w:rsid w:val="008270BD"/>
    <w:rsid w:val="00827DA2"/>
    <w:rsid w:val="00830FB1"/>
    <w:rsid w:val="00831147"/>
    <w:rsid w:val="00832EA8"/>
    <w:rsid w:val="008409FF"/>
    <w:rsid w:val="008422BE"/>
    <w:rsid w:val="00842534"/>
    <w:rsid w:val="00843FEC"/>
    <w:rsid w:val="00844350"/>
    <w:rsid w:val="0084467D"/>
    <w:rsid w:val="00845DBD"/>
    <w:rsid w:val="00846C61"/>
    <w:rsid w:val="00850121"/>
    <w:rsid w:val="008518D1"/>
    <w:rsid w:val="008526F0"/>
    <w:rsid w:val="00853BE7"/>
    <w:rsid w:val="00854547"/>
    <w:rsid w:val="00857027"/>
    <w:rsid w:val="00860C44"/>
    <w:rsid w:val="00864419"/>
    <w:rsid w:val="00871342"/>
    <w:rsid w:val="0087229B"/>
    <w:rsid w:val="00873D43"/>
    <w:rsid w:val="00874891"/>
    <w:rsid w:val="008769EF"/>
    <w:rsid w:val="00877DF7"/>
    <w:rsid w:val="00880282"/>
    <w:rsid w:val="00884221"/>
    <w:rsid w:val="00884518"/>
    <w:rsid w:val="0088461A"/>
    <w:rsid w:val="00884652"/>
    <w:rsid w:val="00885A40"/>
    <w:rsid w:val="00886CFC"/>
    <w:rsid w:val="008901B7"/>
    <w:rsid w:val="008939C4"/>
    <w:rsid w:val="00894105"/>
    <w:rsid w:val="008952CC"/>
    <w:rsid w:val="008968C3"/>
    <w:rsid w:val="008976CB"/>
    <w:rsid w:val="008A0D1A"/>
    <w:rsid w:val="008A5EFB"/>
    <w:rsid w:val="008A77DB"/>
    <w:rsid w:val="008B0CAD"/>
    <w:rsid w:val="008B388C"/>
    <w:rsid w:val="008B59EF"/>
    <w:rsid w:val="008C0307"/>
    <w:rsid w:val="008C1720"/>
    <w:rsid w:val="008C2C30"/>
    <w:rsid w:val="008C3393"/>
    <w:rsid w:val="008C48A1"/>
    <w:rsid w:val="008C544F"/>
    <w:rsid w:val="008D3895"/>
    <w:rsid w:val="008D39CD"/>
    <w:rsid w:val="008D5359"/>
    <w:rsid w:val="008E194B"/>
    <w:rsid w:val="008E679B"/>
    <w:rsid w:val="008F240D"/>
    <w:rsid w:val="008F3B00"/>
    <w:rsid w:val="008F3C55"/>
    <w:rsid w:val="008F4D51"/>
    <w:rsid w:val="008F7A0D"/>
    <w:rsid w:val="009007B5"/>
    <w:rsid w:val="00901D49"/>
    <w:rsid w:val="009027FD"/>
    <w:rsid w:val="009039CE"/>
    <w:rsid w:val="009073EE"/>
    <w:rsid w:val="0091060E"/>
    <w:rsid w:val="009121B0"/>
    <w:rsid w:val="00913175"/>
    <w:rsid w:val="00914DB0"/>
    <w:rsid w:val="00915D7D"/>
    <w:rsid w:val="00922E46"/>
    <w:rsid w:val="00926750"/>
    <w:rsid w:val="0092755A"/>
    <w:rsid w:val="0093092D"/>
    <w:rsid w:val="00931730"/>
    <w:rsid w:val="009327C6"/>
    <w:rsid w:val="00934319"/>
    <w:rsid w:val="0093436F"/>
    <w:rsid w:val="00935FEB"/>
    <w:rsid w:val="0094200E"/>
    <w:rsid w:val="00942108"/>
    <w:rsid w:val="00942E98"/>
    <w:rsid w:val="00945992"/>
    <w:rsid w:val="009461BE"/>
    <w:rsid w:val="00946C2E"/>
    <w:rsid w:val="00947EBF"/>
    <w:rsid w:val="00951BA8"/>
    <w:rsid w:val="00952062"/>
    <w:rsid w:val="0095384C"/>
    <w:rsid w:val="00953B6F"/>
    <w:rsid w:val="00954125"/>
    <w:rsid w:val="00955A74"/>
    <w:rsid w:val="0096066E"/>
    <w:rsid w:val="009608DD"/>
    <w:rsid w:val="00960CE0"/>
    <w:rsid w:val="0097529D"/>
    <w:rsid w:val="00975312"/>
    <w:rsid w:val="009762C7"/>
    <w:rsid w:val="00986963"/>
    <w:rsid w:val="009871F5"/>
    <w:rsid w:val="00987214"/>
    <w:rsid w:val="00987E53"/>
    <w:rsid w:val="00992326"/>
    <w:rsid w:val="00992A45"/>
    <w:rsid w:val="009946C8"/>
    <w:rsid w:val="009968C7"/>
    <w:rsid w:val="00996BB2"/>
    <w:rsid w:val="009A3A1C"/>
    <w:rsid w:val="009A5ABE"/>
    <w:rsid w:val="009A6621"/>
    <w:rsid w:val="009B075A"/>
    <w:rsid w:val="009B0EF1"/>
    <w:rsid w:val="009B19B4"/>
    <w:rsid w:val="009B35BF"/>
    <w:rsid w:val="009B5090"/>
    <w:rsid w:val="009B6010"/>
    <w:rsid w:val="009B7049"/>
    <w:rsid w:val="009C0F89"/>
    <w:rsid w:val="009C1CF4"/>
    <w:rsid w:val="009C3070"/>
    <w:rsid w:val="009C3118"/>
    <w:rsid w:val="009C7D63"/>
    <w:rsid w:val="009D03A8"/>
    <w:rsid w:val="009D4E8A"/>
    <w:rsid w:val="009E0200"/>
    <w:rsid w:val="009E053C"/>
    <w:rsid w:val="009E19F3"/>
    <w:rsid w:val="009E278F"/>
    <w:rsid w:val="009E4005"/>
    <w:rsid w:val="009E4F38"/>
    <w:rsid w:val="009E64C9"/>
    <w:rsid w:val="009E78C0"/>
    <w:rsid w:val="009F0291"/>
    <w:rsid w:val="009F2D94"/>
    <w:rsid w:val="009F7558"/>
    <w:rsid w:val="00A01489"/>
    <w:rsid w:val="00A01F11"/>
    <w:rsid w:val="00A021F3"/>
    <w:rsid w:val="00A02A78"/>
    <w:rsid w:val="00A054EA"/>
    <w:rsid w:val="00A07C9A"/>
    <w:rsid w:val="00A13C93"/>
    <w:rsid w:val="00A15573"/>
    <w:rsid w:val="00A16692"/>
    <w:rsid w:val="00A22068"/>
    <w:rsid w:val="00A24BE6"/>
    <w:rsid w:val="00A2556C"/>
    <w:rsid w:val="00A25738"/>
    <w:rsid w:val="00A274E9"/>
    <w:rsid w:val="00A315C7"/>
    <w:rsid w:val="00A31640"/>
    <w:rsid w:val="00A334A3"/>
    <w:rsid w:val="00A3390D"/>
    <w:rsid w:val="00A36930"/>
    <w:rsid w:val="00A371E3"/>
    <w:rsid w:val="00A373EA"/>
    <w:rsid w:val="00A40C34"/>
    <w:rsid w:val="00A41673"/>
    <w:rsid w:val="00A41EE4"/>
    <w:rsid w:val="00A4203D"/>
    <w:rsid w:val="00A43A6E"/>
    <w:rsid w:val="00A4478E"/>
    <w:rsid w:val="00A50031"/>
    <w:rsid w:val="00A50CBC"/>
    <w:rsid w:val="00A51717"/>
    <w:rsid w:val="00A53830"/>
    <w:rsid w:val="00A54CC5"/>
    <w:rsid w:val="00A56F55"/>
    <w:rsid w:val="00A632FD"/>
    <w:rsid w:val="00A6385E"/>
    <w:rsid w:val="00A63AF4"/>
    <w:rsid w:val="00A65FBB"/>
    <w:rsid w:val="00A71F16"/>
    <w:rsid w:val="00A7412C"/>
    <w:rsid w:val="00A75C0E"/>
    <w:rsid w:val="00A8085A"/>
    <w:rsid w:val="00A832E6"/>
    <w:rsid w:val="00A85CB1"/>
    <w:rsid w:val="00A860F6"/>
    <w:rsid w:val="00A87E1D"/>
    <w:rsid w:val="00A9246C"/>
    <w:rsid w:val="00A9657F"/>
    <w:rsid w:val="00AA0278"/>
    <w:rsid w:val="00AA1207"/>
    <w:rsid w:val="00AA17CB"/>
    <w:rsid w:val="00AA37CF"/>
    <w:rsid w:val="00AB0FDA"/>
    <w:rsid w:val="00AB1058"/>
    <w:rsid w:val="00AB342D"/>
    <w:rsid w:val="00AB4A87"/>
    <w:rsid w:val="00AB6D4C"/>
    <w:rsid w:val="00AC0DC9"/>
    <w:rsid w:val="00AC1648"/>
    <w:rsid w:val="00AC1C1A"/>
    <w:rsid w:val="00AC2682"/>
    <w:rsid w:val="00AC38C0"/>
    <w:rsid w:val="00AC3B8D"/>
    <w:rsid w:val="00AC43A6"/>
    <w:rsid w:val="00AC49EF"/>
    <w:rsid w:val="00AC4DDE"/>
    <w:rsid w:val="00AC5D5E"/>
    <w:rsid w:val="00AC64F2"/>
    <w:rsid w:val="00AC76A3"/>
    <w:rsid w:val="00AD1A29"/>
    <w:rsid w:val="00AD1C09"/>
    <w:rsid w:val="00AD2C7A"/>
    <w:rsid w:val="00AD37F9"/>
    <w:rsid w:val="00AD45DD"/>
    <w:rsid w:val="00AD5EA8"/>
    <w:rsid w:val="00AD61FA"/>
    <w:rsid w:val="00AE07E1"/>
    <w:rsid w:val="00AE2B7E"/>
    <w:rsid w:val="00AF3F8B"/>
    <w:rsid w:val="00AF6250"/>
    <w:rsid w:val="00AF73E8"/>
    <w:rsid w:val="00AF78F2"/>
    <w:rsid w:val="00B03382"/>
    <w:rsid w:val="00B0341B"/>
    <w:rsid w:val="00B04E65"/>
    <w:rsid w:val="00B07FE6"/>
    <w:rsid w:val="00B1246A"/>
    <w:rsid w:val="00B1314E"/>
    <w:rsid w:val="00B1522D"/>
    <w:rsid w:val="00B1669A"/>
    <w:rsid w:val="00B17584"/>
    <w:rsid w:val="00B20F86"/>
    <w:rsid w:val="00B219F3"/>
    <w:rsid w:val="00B221DD"/>
    <w:rsid w:val="00B23041"/>
    <w:rsid w:val="00B243FC"/>
    <w:rsid w:val="00B25603"/>
    <w:rsid w:val="00B25A82"/>
    <w:rsid w:val="00B267B7"/>
    <w:rsid w:val="00B26EB4"/>
    <w:rsid w:val="00B31A23"/>
    <w:rsid w:val="00B33203"/>
    <w:rsid w:val="00B358F3"/>
    <w:rsid w:val="00B3676D"/>
    <w:rsid w:val="00B37E82"/>
    <w:rsid w:val="00B41CD3"/>
    <w:rsid w:val="00B53C99"/>
    <w:rsid w:val="00B53FEB"/>
    <w:rsid w:val="00B542B6"/>
    <w:rsid w:val="00B548F9"/>
    <w:rsid w:val="00B55CAE"/>
    <w:rsid w:val="00B5763A"/>
    <w:rsid w:val="00B577FC"/>
    <w:rsid w:val="00B57975"/>
    <w:rsid w:val="00B60FB7"/>
    <w:rsid w:val="00B61080"/>
    <w:rsid w:val="00B615E4"/>
    <w:rsid w:val="00B615F9"/>
    <w:rsid w:val="00B63127"/>
    <w:rsid w:val="00B64483"/>
    <w:rsid w:val="00B667D4"/>
    <w:rsid w:val="00B672C2"/>
    <w:rsid w:val="00B73087"/>
    <w:rsid w:val="00B75D53"/>
    <w:rsid w:val="00B77AA4"/>
    <w:rsid w:val="00B82231"/>
    <w:rsid w:val="00B85F09"/>
    <w:rsid w:val="00B863EB"/>
    <w:rsid w:val="00B91B05"/>
    <w:rsid w:val="00B92FE0"/>
    <w:rsid w:val="00B944CB"/>
    <w:rsid w:val="00B9621D"/>
    <w:rsid w:val="00B96F51"/>
    <w:rsid w:val="00B9717B"/>
    <w:rsid w:val="00BA0082"/>
    <w:rsid w:val="00BA077D"/>
    <w:rsid w:val="00BA12C8"/>
    <w:rsid w:val="00BA2795"/>
    <w:rsid w:val="00BA4049"/>
    <w:rsid w:val="00BA449F"/>
    <w:rsid w:val="00BA4DF4"/>
    <w:rsid w:val="00BB29D1"/>
    <w:rsid w:val="00BB2D9D"/>
    <w:rsid w:val="00BB3825"/>
    <w:rsid w:val="00BB3890"/>
    <w:rsid w:val="00BB72C6"/>
    <w:rsid w:val="00BB769E"/>
    <w:rsid w:val="00BC0AB0"/>
    <w:rsid w:val="00BC1BE4"/>
    <w:rsid w:val="00BC434A"/>
    <w:rsid w:val="00BC52EF"/>
    <w:rsid w:val="00BC5990"/>
    <w:rsid w:val="00BD61F7"/>
    <w:rsid w:val="00BD6635"/>
    <w:rsid w:val="00BD6AF0"/>
    <w:rsid w:val="00BE110D"/>
    <w:rsid w:val="00BE1A4D"/>
    <w:rsid w:val="00BE3BF4"/>
    <w:rsid w:val="00BE4992"/>
    <w:rsid w:val="00BE55D1"/>
    <w:rsid w:val="00BE69CF"/>
    <w:rsid w:val="00BE75DD"/>
    <w:rsid w:val="00BF0839"/>
    <w:rsid w:val="00BF202E"/>
    <w:rsid w:val="00BF278A"/>
    <w:rsid w:val="00BF6480"/>
    <w:rsid w:val="00C008F0"/>
    <w:rsid w:val="00C00EB9"/>
    <w:rsid w:val="00C03C5E"/>
    <w:rsid w:val="00C06FE8"/>
    <w:rsid w:val="00C1340F"/>
    <w:rsid w:val="00C136E0"/>
    <w:rsid w:val="00C14299"/>
    <w:rsid w:val="00C150F7"/>
    <w:rsid w:val="00C151BC"/>
    <w:rsid w:val="00C16C2B"/>
    <w:rsid w:val="00C17357"/>
    <w:rsid w:val="00C2278D"/>
    <w:rsid w:val="00C23F81"/>
    <w:rsid w:val="00C255A5"/>
    <w:rsid w:val="00C25CD2"/>
    <w:rsid w:val="00C279C3"/>
    <w:rsid w:val="00C27AE1"/>
    <w:rsid w:val="00C309D0"/>
    <w:rsid w:val="00C310A1"/>
    <w:rsid w:val="00C317BF"/>
    <w:rsid w:val="00C35346"/>
    <w:rsid w:val="00C36993"/>
    <w:rsid w:val="00C37D70"/>
    <w:rsid w:val="00C40DEB"/>
    <w:rsid w:val="00C43951"/>
    <w:rsid w:val="00C43A58"/>
    <w:rsid w:val="00C457BD"/>
    <w:rsid w:val="00C47746"/>
    <w:rsid w:val="00C51F25"/>
    <w:rsid w:val="00C54494"/>
    <w:rsid w:val="00C5504D"/>
    <w:rsid w:val="00C55998"/>
    <w:rsid w:val="00C5635E"/>
    <w:rsid w:val="00C6371B"/>
    <w:rsid w:val="00C63A56"/>
    <w:rsid w:val="00C646A9"/>
    <w:rsid w:val="00C64D00"/>
    <w:rsid w:val="00C665E0"/>
    <w:rsid w:val="00C66AEA"/>
    <w:rsid w:val="00C70AFC"/>
    <w:rsid w:val="00C73008"/>
    <w:rsid w:val="00C7334C"/>
    <w:rsid w:val="00C75ACE"/>
    <w:rsid w:val="00C764FE"/>
    <w:rsid w:val="00C772E1"/>
    <w:rsid w:val="00C7781E"/>
    <w:rsid w:val="00C8127B"/>
    <w:rsid w:val="00C81DD2"/>
    <w:rsid w:val="00C83A20"/>
    <w:rsid w:val="00C853AC"/>
    <w:rsid w:val="00C85440"/>
    <w:rsid w:val="00C8641A"/>
    <w:rsid w:val="00C91B32"/>
    <w:rsid w:val="00C91DD9"/>
    <w:rsid w:val="00C9497E"/>
    <w:rsid w:val="00CA12A1"/>
    <w:rsid w:val="00CA2A2B"/>
    <w:rsid w:val="00CA4DF7"/>
    <w:rsid w:val="00CA603D"/>
    <w:rsid w:val="00CA701B"/>
    <w:rsid w:val="00CA72B6"/>
    <w:rsid w:val="00CB110C"/>
    <w:rsid w:val="00CB1CEF"/>
    <w:rsid w:val="00CB37D5"/>
    <w:rsid w:val="00CB3927"/>
    <w:rsid w:val="00CC079A"/>
    <w:rsid w:val="00CC07C0"/>
    <w:rsid w:val="00CC1508"/>
    <w:rsid w:val="00CC178D"/>
    <w:rsid w:val="00CC2ADA"/>
    <w:rsid w:val="00CC3859"/>
    <w:rsid w:val="00CC65C8"/>
    <w:rsid w:val="00CC682C"/>
    <w:rsid w:val="00CD11DD"/>
    <w:rsid w:val="00CD2977"/>
    <w:rsid w:val="00CD5B96"/>
    <w:rsid w:val="00CD602C"/>
    <w:rsid w:val="00CD671C"/>
    <w:rsid w:val="00CD7210"/>
    <w:rsid w:val="00CD7E37"/>
    <w:rsid w:val="00CE0B60"/>
    <w:rsid w:val="00CE2245"/>
    <w:rsid w:val="00CE3F40"/>
    <w:rsid w:val="00CE5C7B"/>
    <w:rsid w:val="00CE5EBD"/>
    <w:rsid w:val="00CE7B09"/>
    <w:rsid w:val="00CF0AB5"/>
    <w:rsid w:val="00CF1EBE"/>
    <w:rsid w:val="00CF20A1"/>
    <w:rsid w:val="00CF29EB"/>
    <w:rsid w:val="00CF4408"/>
    <w:rsid w:val="00CF597D"/>
    <w:rsid w:val="00CF6210"/>
    <w:rsid w:val="00D000D7"/>
    <w:rsid w:val="00D03113"/>
    <w:rsid w:val="00D061D6"/>
    <w:rsid w:val="00D1119D"/>
    <w:rsid w:val="00D14189"/>
    <w:rsid w:val="00D1461A"/>
    <w:rsid w:val="00D2074D"/>
    <w:rsid w:val="00D21B49"/>
    <w:rsid w:val="00D23E3E"/>
    <w:rsid w:val="00D2429A"/>
    <w:rsid w:val="00D243EC"/>
    <w:rsid w:val="00D2486A"/>
    <w:rsid w:val="00D24929"/>
    <w:rsid w:val="00D24EF1"/>
    <w:rsid w:val="00D25175"/>
    <w:rsid w:val="00D256B4"/>
    <w:rsid w:val="00D270CB"/>
    <w:rsid w:val="00D27A42"/>
    <w:rsid w:val="00D320DA"/>
    <w:rsid w:val="00D336BC"/>
    <w:rsid w:val="00D340FE"/>
    <w:rsid w:val="00D369A0"/>
    <w:rsid w:val="00D41F1D"/>
    <w:rsid w:val="00D44D03"/>
    <w:rsid w:val="00D451F1"/>
    <w:rsid w:val="00D54B4D"/>
    <w:rsid w:val="00D55CA7"/>
    <w:rsid w:val="00D603B2"/>
    <w:rsid w:val="00D61554"/>
    <w:rsid w:val="00D62252"/>
    <w:rsid w:val="00D6301E"/>
    <w:rsid w:val="00D63FA1"/>
    <w:rsid w:val="00D647E9"/>
    <w:rsid w:val="00D661AE"/>
    <w:rsid w:val="00D67413"/>
    <w:rsid w:val="00D67AF4"/>
    <w:rsid w:val="00D67C0E"/>
    <w:rsid w:val="00D715F0"/>
    <w:rsid w:val="00D71EFB"/>
    <w:rsid w:val="00D7370E"/>
    <w:rsid w:val="00D74532"/>
    <w:rsid w:val="00D75E62"/>
    <w:rsid w:val="00D8177C"/>
    <w:rsid w:val="00D82A8C"/>
    <w:rsid w:val="00D847FF"/>
    <w:rsid w:val="00D85026"/>
    <w:rsid w:val="00D85753"/>
    <w:rsid w:val="00D8603F"/>
    <w:rsid w:val="00D90B0A"/>
    <w:rsid w:val="00D91410"/>
    <w:rsid w:val="00D94397"/>
    <w:rsid w:val="00DA090D"/>
    <w:rsid w:val="00DA1262"/>
    <w:rsid w:val="00DA429E"/>
    <w:rsid w:val="00DA53D1"/>
    <w:rsid w:val="00DA5CCB"/>
    <w:rsid w:val="00DB562A"/>
    <w:rsid w:val="00DB7D67"/>
    <w:rsid w:val="00DC0568"/>
    <w:rsid w:val="00DC05B0"/>
    <w:rsid w:val="00DC14BF"/>
    <w:rsid w:val="00DC20E0"/>
    <w:rsid w:val="00DC5168"/>
    <w:rsid w:val="00DC67A2"/>
    <w:rsid w:val="00DC7771"/>
    <w:rsid w:val="00DD31B1"/>
    <w:rsid w:val="00DD3EE5"/>
    <w:rsid w:val="00DD4378"/>
    <w:rsid w:val="00DD7722"/>
    <w:rsid w:val="00DE0696"/>
    <w:rsid w:val="00DE22E8"/>
    <w:rsid w:val="00DE39C9"/>
    <w:rsid w:val="00DE3C90"/>
    <w:rsid w:val="00DE6A2A"/>
    <w:rsid w:val="00DE75A0"/>
    <w:rsid w:val="00DE75BE"/>
    <w:rsid w:val="00DF25EA"/>
    <w:rsid w:val="00DF4482"/>
    <w:rsid w:val="00DF4B48"/>
    <w:rsid w:val="00DF7AF8"/>
    <w:rsid w:val="00E0019A"/>
    <w:rsid w:val="00E004B3"/>
    <w:rsid w:val="00E018EA"/>
    <w:rsid w:val="00E02312"/>
    <w:rsid w:val="00E036C0"/>
    <w:rsid w:val="00E05143"/>
    <w:rsid w:val="00E055A9"/>
    <w:rsid w:val="00E0638D"/>
    <w:rsid w:val="00E13E07"/>
    <w:rsid w:val="00E216D6"/>
    <w:rsid w:val="00E21733"/>
    <w:rsid w:val="00E23783"/>
    <w:rsid w:val="00E23B29"/>
    <w:rsid w:val="00E24676"/>
    <w:rsid w:val="00E26FB1"/>
    <w:rsid w:val="00E278B3"/>
    <w:rsid w:val="00E31B38"/>
    <w:rsid w:val="00E31BE5"/>
    <w:rsid w:val="00E34411"/>
    <w:rsid w:val="00E36576"/>
    <w:rsid w:val="00E411E2"/>
    <w:rsid w:val="00E4551E"/>
    <w:rsid w:val="00E46395"/>
    <w:rsid w:val="00E4697B"/>
    <w:rsid w:val="00E505AF"/>
    <w:rsid w:val="00E50FA7"/>
    <w:rsid w:val="00E5190F"/>
    <w:rsid w:val="00E51C47"/>
    <w:rsid w:val="00E53EA3"/>
    <w:rsid w:val="00E53FD4"/>
    <w:rsid w:val="00E552C3"/>
    <w:rsid w:val="00E57662"/>
    <w:rsid w:val="00E57CC1"/>
    <w:rsid w:val="00E57DCD"/>
    <w:rsid w:val="00E61923"/>
    <w:rsid w:val="00E639C7"/>
    <w:rsid w:val="00E64854"/>
    <w:rsid w:val="00E64E7B"/>
    <w:rsid w:val="00E65E22"/>
    <w:rsid w:val="00E70FB7"/>
    <w:rsid w:val="00E73B87"/>
    <w:rsid w:val="00E73D39"/>
    <w:rsid w:val="00E741B4"/>
    <w:rsid w:val="00E74AB6"/>
    <w:rsid w:val="00E75DA2"/>
    <w:rsid w:val="00E764B0"/>
    <w:rsid w:val="00E767D3"/>
    <w:rsid w:val="00E77D10"/>
    <w:rsid w:val="00E82D8D"/>
    <w:rsid w:val="00E84A23"/>
    <w:rsid w:val="00E85CB7"/>
    <w:rsid w:val="00E87C90"/>
    <w:rsid w:val="00E90CE3"/>
    <w:rsid w:val="00E91B1B"/>
    <w:rsid w:val="00E927D9"/>
    <w:rsid w:val="00E92D2E"/>
    <w:rsid w:val="00E97491"/>
    <w:rsid w:val="00E974FD"/>
    <w:rsid w:val="00EA0E97"/>
    <w:rsid w:val="00EA326B"/>
    <w:rsid w:val="00EA6FE5"/>
    <w:rsid w:val="00EB3781"/>
    <w:rsid w:val="00EB6DE0"/>
    <w:rsid w:val="00EB7FB2"/>
    <w:rsid w:val="00EC1AD5"/>
    <w:rsid w:val="00EC2ECE"/>
    <w:rsid w:val="00EC4820"/>
    <w:rsid w:val="00EC5231"/>
    <w:rsid w:val="00ED0D48"/>
    <w:rsid w:val="00ED28F3"/>
    <w:rsid w:val="00ED330A"/>
    <w:rsid w:val="00ED3867"/>
    <w:rsid w:val="00ED3E07"/>
    <w:rsid w:val="00ED647E"/>
    <w:rsid w:val="00EE0311"/>
    <w:rsid w:val="00EE033A"/>
    <w:rsid w:val="00EE24BF"/>
    <w:rsid w:val="00EE2E5C"/>
    <w:rsid w:val="00EE3E0E"/>
    <w:rsid w:val="00EE57BB"/>
    <w:rsid w:val="00EE6A72"/>
    <w:rsid w:val="00EF2368"/>
    <w:rsid w:val="00EF35D6"/>
    <w:rsid w:val="00EF7F23"/>
    <w:rsid w:val="00F033F0"/>
    <w:rsid w:val="00F04658"/>
    <w:rsid w:val="00F074B1"/>
    <w:rsid w:val="00F11C20"/>
    <w:rsid w:val="00F13BE2"/>
    <w:rsid w:val="00F166C4"/>
    <w:rsid w:val="00F177F1"/>
    <w:rsid w:val="00F20172"/>
    <w:rsid w:val="00F23657"/>
    <w:rsid w:val="00F25E7E"/>
    <w:rsid w:val="00F3039C"/>
    <w:rsid w:val="00F3162A"/>
    <w:rsid w:val="00F32205"/>
    <w:rsid w:val="00F32EE8"/>
    <w:rsid w:val="00F33039"/>
    <w:rsid w:val="00F345C6"/>
    <w:rsid w:val="00F357CD"/>
    <w:rsid w:val="00F36855"/>
    <w:rsid w:val="00F41FF2"/>
    <w:rsid w:val="00F4233E"/>
    <w:rsid w:val="00F42F2A"/>
    <w:rsid w:val="00F44390"/>
    <w:rsid w:val="00F44CBE"/>
    <w:rsid w:val="00F45565"/>
    <w:rsid w:val="00F5011F"/>
    <w:rsid w:val="00F508CE"/>
    <w:rsid w:val="00F52FBC"/>
    <w:rsid w:val="00F55990"/>
    <w:rsid w:val="00F60AED"/>
    <w:rsid w:val="00F6321D"/>
    <w:rsid w:val="00F64476"/>
    <w:rsid w:val="00F64BD2"/>
    <w:rsid w:val="00F65295"/>
    <w:rsid w:val="00F6726A"/>
    <w:rsid w:val="00F6763B"/>
    <w:rsid w:val="00F71F71"/>
    <w:rsid w:val="00F72335"/>
    <w:rsid w:val="00F741E4"/>
    <w:rsid w:val="00F772D5"/>
    <w:rsid w:val="00F777D5"/>
    <w:rsid w:val="00F83D23"/>
    <w:rsid w:val="00F84B22"/>
    <w:rsid w:val="00F851BD"/>
    <w:rsid w:val="00F86915"/>
    <w:rsid w:val="00F86A90"/>
    <w:rsid w:val="00F87B74"/>
    <w:rsid w:val="00F91817"/>
    <w:rsid w:val="00F945AA"/>
    <w:rsid w:val="00F9609A"/>
    <w:rsid w:val="00F97F90"/>
    <w:rsid w:val="00FA0EE2"/>
    <w:rsid w:val="00FA11B1"/>
    <w:rsid w:val="00FA1AAE"/>
    <w:rsid w:val="00FA317B"/>
    <w:rsid w:val="00FA4704"/>
    <w:rsid w:val="00FA494E"/>
    <w:rsid w:val="00FA4B4A"/>
    <w:rsid w:val="00FA77BF"/>
    <w:rsid w:val="00FB03B0"/>
    <w:rsid w:val="00FB0B89"/>
    <w:rsid w:val="00FB1854"/>
    <w:rsid w:val="00FB2666"/>
    <w:rsid w:val="00FB3842"/>
    <w:rsid w:val="00FB5757"/>
    <w:rsid w:val="00FB5D32"/>
    <w:rsid w:val="00FB7997"/>
    <w:rsid w:val="00FB7D96"/>
    <w:rsid w:val="00FC15E6"/>
    <w:rsid w:val="00FC2893"/>
    <w:rsid w:val="00FC447D"/>
    <w:rsid w:val="00FC5D3B"/>
    <w:rsid w:val="00FD0CBD"/>
    <w:rsid w:val="00FD28EC"/>
    <w:rsid w:val="00FD28F8"/>
    <w:rsid w:val="00FD325D"/>
    <w:rsid w:val="00FD3A13"/>
    <w:rsid w:val="00FE3F23"/>
    <w:rsid w:val="00FE4CD5"/>
    <w:rsid w:val="00FE5A42"/>
    <w:rsid w:val="00FE5C86"/>
    <w:rsid w:val="00FE6C42"/>
    <w:rsid w:val="00FE6F98"/>
    <w:rsid w:val="00FF0409"/>
    <w:rsid w:val="00FF0695"/>
    <w:rsid w:val="00FF1FFA"/>
    <w:rsid w:val="00FF23FC"/>
    <w:rsid w:val="00FF3701"/>
    <w:rsid w:val="00FF4BF6"/>
    <w:rsid w:val="00FF6CC2"/>
    <w:rsid w:val="00FF7991"/>
    <w:rsid w:val="00FF7BF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CABD74"/>
  <w15:docId w15:val="{356F575A-829D-419B-B904-EDAF4621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7A"/>
    <w:rPr>
      <w:rFonts w:ascii="Arial" w:hAnsi="Arial"/>
      <w:szCs w:val="24"/>
      <w:lang w:val="en-US"/>
    </w:rPr>
  </w:style>
  <w:style w:type="paragraph" w:styleId="Heading1">
    <w:name w:val="heading 1"/>
    <w:aliases w:val="ECC Heading 1"/>
    <w:basedOn w:val="Normal"/>
    <w:next w:val="ECCParagraph"/>
    <w:autoRedefine/>
    <w:qFormat/>
    <w:rsid w:val="00827DA2"/>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qFormat/>
    <w:rsid w:val="002261DD"/>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link w:val="ECCParagraphChar"/>
    <w:qFormat/>
    <w:rsid w:val="004E66F0"/>
    <w:pPr>
      <w:spacing w:after="240"/>
      <w:jc w:val="both"/>
    </w:pPr>
    <w:rPr>
      <w:lang w:val="en-GB"/>
    </w:rPr>
  </w:style>
  <w:style w:type="paragraph" w:customStyle="1" w:styleId="ECCParBulleted">
    <w:name w:val="ECC Par Bulleted"/>
    <w:basedOn w:val="ECCParagraph"/>
    <w:rsid w:val="00FE1795"/>
    <w:pPr>
      <w:numPr>
        <w:numId w:val="7"/>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554A8B"/>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uiPriority w:val="99"/>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uiPriority w:val="39"/>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uiPriority w:val="99"/>
    <w:rsid w:val="002A78D2"/>
    <w:pPr>
      <w:keepNext/>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aliases w:val="footnote text,ALTS FOOTNOTE,Footnote Text Char3 Char,Footnote Text Char2 Char Char,Footnote Text Char Char Char1 Char Char,Footnote Text Char1 Char1 Char Char,Footnote Text Char Char Char2 Char,ALTS FOOTNOTE Char"/>
    <w:basedOn w:val="Normal"/>
    <w:link w:val="FootnoteTextChar"/>
    <w:uiPriority w:val="99"/>
    <w:qFormat/>
    <w:rsid w:val="008935B9"/>
    <w:rPr>
      <w:szCs w:val="20"/>
    </w:rPr>
  </w:style>
  <w:style w:type="character" w:styleId="FootnoteReference">
    <w:name w:val="footnote reference"/>
    <w:aliases w:val="Appel note de bas de p,Nota,Footnote symbol,Footnote,ECC Footnote number,Appel note de bas de p + (Asian) Batang,Black,(NECG) Footnote Reference,BVI fnr,SUPERS,(Footnote Reference),Voetnootverwijzing,Times 10 Point,o"/>
    <w:basedOn w:val="DefaultParagraphFont"/>
    <w:qForma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qFormat/>
    <w:rsid w:val="003628C3"/>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ind w:left="576"/>
      <w:textAlignment w:val="baseline"/>
    </w:pPr>
    <w:rPr>
      <w:b/>
      <w:caps/>
    </w:rPr>
  </w:style>
  <w:style w:type="paragraph" w:customStyle="1" w:styleId="ECCAnnexheading3">
    <w:name w:val="ECC Annex heading3"/>
    <w:basedOn w:val="Normal"/>
    <w:next w:val="ECCParagraph"/>
    <w:rsid w:val="00E36576"/>
    <w:pPr>
      <w:numPr>
        <w:ilvl w:val="2"/>
        <w:numId w:val="4"/>
      </w:numPr>
      <w:overflowPunct w:val="0"/>
      <w:autoSpaceDE w:val="0"/>
      <w:autoSpaceDN w:val="0"/>
      <w:adjustRightInd w:val="0"/>
      <w:spacing w:before="360" w:after="120"/>
      <w:ind w:left="7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5"/>
      </w:numPr>
    </w:pPr>
  </w:style>
  <w:style w:type="paragraph" w:customStyle="1" w:styleId="WGNNA-bulleted">
    <w:name w:val="WGNNA-bulleted"/>
    <w:basedOn w:val="Normal"/>
    <w:rsid w:val="00FE1795"/>
    <w:pPr>
      <w:numPr>
        <w:numId w:val="6"/>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9"/>
      </w:numPr>
      <w:spacing w:after="120"/>
      <w:jc w:val="both"/>
    </w:pPr>
  </w:style>
  <w:style w:type="paragraph" w:customStyle="1" w:styleId="NumberedList">
    <w:name w:val="Numbered List"/>
    <w:basedOn w:val="ECCParagraph"/>
    <w:rsid w:val="007C6571"/>
    <w:pPr>
      <w:numPr>
        <w:numId w:val="11"/>
      </w:numPr>
    </w:pPr>
  </w:style>
  <w:style w:type="numbering" w:customStyle="1" w:styleId="ECCNumbers-Letters">
    <w:name w:val="ECC Numbers-Letters"/>
    <w:uiPriority w:val="99"/>
    <w:rsid w:val="007C6571"/>
    <w:pPr>
      <w:numPr>
        <w:numId w:val="10"/>
      </w:numPr>
    </w:pPr>
  </w:style>
  <w:style w:type="numbering" w:customStyle="1" w:styleId="ECCNumberedList">
    <w:name w:val="ECC Numbered List"/>
    <w:uiPriority w:val="99"/>
    <w:rsid w:val="007C6571"/>
    <w:pPr>
      <w:numPr>
        <w:numId w:val="11"/>
      </w:numPr>
    </w:pPr>
  </w:style>
  <w:style w:type="paragraph" w:customStyle="1" w:styleId="ECCNumbered-LetteredList">
    <w:name w:val="ECC Numbered-Lettered List"/>
    <w:basedOn w:val="Normal"/>
    <w:qFormat/>
    <w:rsid w:val="007C6571"/>
    <w:pPr>
      <w:numPr>
        <w:numId w:val="10"/>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ECCParagraphChar">
    <w:name w:val="ECC Paragraph Char"/>
    <w:link w:val="ECCParagraph"/>
    <w:qFormat/>
    <w:locked/>
    <w:rsid w:val="00C150F7"/>
    <w:rPr>
      <w:rFonts w:ascii="Arial" w:hAnsi="Arial"/>
      <w:szCs w:val="24"/>
    </w:rPr>
  </w:style>
  <w:style w:type="character" w:customStyle="1" w:styleId="Heading2Char">
    <w:name w:val="Heading 2 Char"/>
    <w:aliases w:val="ECC Heading 2 Char"/>
    <w:basedOn w:val="DefaultParagraphFont"/>
    <w:link w:val="Heading2"/>
    <w:rsid w:val="002261DD"/>
    <w:rPr>
      <w:rFonts w:ascii="Arial" w:hAnsi="Arial" w:cs="Arial"/>
      <w:b/>
      <w:bCs/>
      <w:iCs/>
      <w:caps/>
      <w:color w:val="D2232A"/>
      <w:szCs w:val="28"/>
      <w:lang w:val="en-US"/>
    </w:rPr>
  </w:style>
  <w:style w:type="character" w:styleId="CommentReference">
    <w:name w:val="annotation reference"/>
    <w:basedOn w:val="DefaultParagraphFont"/>
    <w:uiPriority w:val="99"/>
    <w:semiHidden/>
    <w:unhideWhenUsed/>
    <w:rsid w:val="008409FF"/>
    <w:rPr>
      <w:sz w:val="16"/>
      <w:szCs w:val="16"/>
    </w:rPr>
  </w:style>
  <w:style w:type="paragraph" w:styleId="CommentText">
    <w:name w:val="annotation text"/>
    <w:basedOn w:val="Normal"/>
    <w:link w:val="CommentTextChar"/>
    <w:uiPriority w:val="99"/>
    <w:unhideWhenUsed/>
    <w:rsid w:val="008409FF"/>
    <w:rPr>
      <w:szCs w:val="20"/>
    </w:rPr>
  </w:style>
  <w:style w:type="character" w:customStyle="1" w:styleId="CommentTextChar">
    <w:name w:val="Comment Text Char"/>
    <w:basedOn w:val="DefaultParagraphFont"/>
    <w:link w:val="CommentText"/>
    <w:uiPriority w:val="99"/>
    <w:rsid w:val="008409FF"/>
    <w:rPr>
      <w:rFonts w:ascii="Arial" w:hAnsi="Arial"/>
      <w:lang w:val="en-US"/>
    </w:rPr>
  </w:style>
  <w:style w:type="paragraph" w:styleId="CommentSubject">
    <w:name w:val="annotation subject"/>
    <w:basedOn w:val="CommentText"/>
    <w:next w:val="CommentText"/>
    <w:link w:val="CommentSubjectChar"/>
    <w:uiPriority w:val="99"/>
    <w:semiHidden/>
    <w:unhideWhenUsed/>
    <w:rsid w:val="008409FF"/>
    <w:rPr>
      <w:b/>
      <w:bCs/>
    </w:rPr>
  </w:style>
  <w:style w:type="character" w:customStyle="1" w:styleId="CommentSubjectChar">
    <w:name w:val="Comment Subject Char"/>
    <w:basedOn w:val="CommentTextChar"/>
    <w:link w:val="CommentSubject"/>
    <w:uiPriority w:val="99"/>
    <w:semiHidden/>
    <w:rsid w:val="008409FF"/>
    <w:rPr>
      <w:rFonts w:ascii="Arial" w:hAnsi="Arial"/>
      <w:b/>
      <w:bCs/>
      <w:lang w:val="en-US"/>
    </w:rPr>
  </w:style>
  <w:style w:type="character" w:customStyle="1" w:styleId="UnresolvedMention1">
    <w:name w:val="Unresolved Mention1"/>
    <w:basedOn w:val="DefaultParagraphFont"/>
    <w:uiPriority w:val="99"/>
    <w:semiHidden/>
    <w:unhideWhenUsed/>
    <w:rsid w:val="00235AE4"/>
    <w:rPr>
      <w:color w:val="605E5C"/>
      <w:shd w:val="clear" w:color="auto" w:fill="E1DFDD"/>
    </w:rPr>
  </w:style>
  <w:style w:type="character" w:styleId="FollowedHyperlink">
    <w:name w:val="FollowedHyperlink"/>
    <w:basedOn w:val="DefaultParagraphFont"/>
    <w:uiPriority w:val="99"/>
    <w:semiHidden/>
    <w:unhideWhenUsed/>
    <w:rsid w:val="00235AE4"/>
    <w:rPr>
      <w:color w:val="800080" w:themeColor="followedHyperlink"/>
      <w:u w:val="single"/>
    </w:rPr>
  </w:style>
  <w:style w:type="paragraph" w:customStyle="1" w:styleId="ECCBulletsLv1">
    <w:name w:val="ECC Bullets Lv1"/>
    <w:basedOn w:val="Normal"/>
    <w:qFormat/>
    <w:rsid w:val="00BB3825"/>
    <w:pPr>
      <w:numPr>
        <w:numId w:val="13"/>
      </w:numPr>
      <w:tabs>
        <w:tab w:val="left" w:pos="340"/>
      </w:tabs>
      <w:spacing w:before="60"/>
      <w:ind w:left="340" w:hanging="340"/>
      <w:jc w:val="both"/>
    </w:pPr>
    <w:rPr>
      <w:rFonts w:eastAsia="Calibri"/>
      <w:szCs w:val="22"/>
      <w:lang w:val="en-GB"/>
    </w:rPr>
  </w:style>
  <w:style w:type="paragraph" w:styleId="Revision">
    <w:name w:val="Revision"/>
    <w:hidden/>
    <w:uiPriority w:val="99"/>
    <w:semiHidden/>
    <w:rsid w:val="0093092D"/>
    <w:rPr>
      <w:rFonts w:ascii="Arial" w:hAnsi="Arial"/>
      <w:szCs w:val="24"/>
      <w:lang w:val="en-US"/>
    </w:rPr>
  </w:style>
  <w:style w:type="character" w:customStyle="1" w:styleId="ECCHLbold">
    <w:name w:val="ECC HL bold"/>
    <w:basedOn w:val="Strong"/>
    <w:uiPriority w:val="1"/>
    <w:qFormat/>
    <w:rsid w:val="009B6010"/>
    <w:rPr>
      <w:b/>
      <w:bCs/>
    </w:rPr>
  </w:style>
  <w:style w:type="character" w:styleId="Strong">
    <w:name w:val="Strong"/>
    <w:basedOn w:val="DefaultParagraphFont"/>
    <w:uiPriority w:val="22"/>
    <w:qFormat/>
    <w:rsid w:val="009B6010"/>
    <w:rPr>
      <w:b/>
      <w:bCs/>
    </w:rPr>
  </w:style>
  <w:style w:type="paragraph" w:customStyle="1" w:styleId="ECCAnnexheading1">
    <w:name w:val="ECC Annex heading1"/>
    <w:basedOn w:val="Heading1"/>
    <w:next w:val="ECCParagraph"/>
    <w:rsid w:val="005F0F29"/>
    <w:pPr>
      <w:tabs>
        <w:tab w:val="num" w:pos="360"/>
      </w:tabs>
      <w:spacing w:before="600"/>
    </w:pPr>
  </w:style>
  <w:style w:type="paragraph" w:styleId="NormalWeb">
    <w:name w:val="Normal (Web)"/>
    <w:basedOn w:val="Normal"/>
    <w:uiPriority w:val="99"/>
    <w:semiHidden/>
    <w:unhideWhenUsed/>
    <w:rsid w:val="00EB7FB2"/>
    <w:pPr>
      <w:spacing w:before="100" w:beforeAutospacing="1" w:after="100" w:afterAutospacing="1"/>
    </w:pPr>
    <w:rPr>
      <w:rFonts w:ascii="Times New Roman" w:hAnsi="Times New Roman"/>
      <w:sz w:val="24"/>
      <w:lang w:val="sl-SI" w:eastAsia="sl-SI"/>
    </w:rPr>
  </w:style>
  <w:style w:type="paragraph" w:customStyle="1" w:styleId="ECCLetteredList">
    <w:name w:val="ECC Lettered List"/>
    <w:qFormat/>
    <w:rsid w:val="00D67413"/>
    <w:pPr>
      <w:spacing w:before="240"/>
      <w:jc w:val="both"/>
    </w:pPr>
    <w:rPr>
      <w:rFonts w:ascii="Arial" w:hAnsi="Arial"/>
      <w:lang w:val="da-DK"/>
    </w:rPr>
  </w:style>
  <w:style w:type="character" w:customStyle="1" w:styleId="FootnoteTextChar">
    <w:name w:val="Footnote Text Char"/>
    <w:aliases w:val="footnote text Char,ALTS FOOTNOTE Char1,Footnote Text Char3 Char Char,Footnote Text Char2 Char Char Char,Footnote Text Char Char Char1 Char Char Char,Footnote Text Char1 Char1 Char Char Char,Footnote Text Char Char Char2 Char Char"/>
    <w:basedOn w:val="DefaultParagraphFont"/>
    <w:link w:val="FootnoteText"/>
    <w:uiPriority w:val="99"/>
    <w:qFormat/>
    <w:rsid w:val="005742C4"/>
    <w:rPr>
      <w:rFonts w:ascii="Arial" w:hAnsi="Arial"/>
      <w:lang w:val="en-US"/>
    </w:rPr>
  </w:style>
  <w:style w:type="paragraph" w:customStyle="1" w:styleId="messagetext">
    <w:name w:val="message__text"/>
    <w:basedOn w:val="Normal"/>
    <w:rsid w:val="005742C4"/>
    <w:pPr>
      <w:spacing w:before="100" w:beforeAutospacing="1" w:after="100" w:afterAutospacing="1"/>
    </w:pPr>
    <w:rPr>
      <w:rFonts w:ascii="Times New Roman" w:hAnsi="Times New Roman"/>
      <w:sz w:val="24"/>
      <w:lang w:val="sl-SI" w:eastAsia="sl-SI"/>
    </w:rPr>
  </w:style>
  <w:style w:type="character" w:customStyle="1" w:styleId="Mentionnonrsolue1">
    <w:name w:val="Mention non résolue1"/>
    <w:basedOn w:val="DefaultParagraphFont"/>
    <w:uiPriority w:val="99"/>
    <w:semiHidden/>
    <w:unhideWhenUsed/>
    <w:rsid w:val="00801759"/>
    <w:rPr>
      <w:color w:val="605E5C"/>
      <w:shd w:val="clear" w:color="auto" w:fill="E1DFDD"/>
    </w:rPr>
  </w:style>
  <w:style w:type="character" w:customStyle="1" w:styleId="UnresolvedMention2">
    <w:name w:val="Unresolved Mention2"/>
    <w:basedOn w:val="DefaultParagraphFont"/>
    <w:uiPriority w:val="99"/>
    <w:semiHidden/>
    <w:unhideWhenUsed/>
    <w:rsid w:val="00DB562A"/>
    <w:rPr>
      <w:color w:val="605E5C"/>
      <w:shd w:val="clear" w:color="auto" w:fill="E1DFDD"/>
    </w:rPr>
  </w:style>
  <w:style w:type="character" w:styleId="UnresolvedMention">
    <w:name w:val="Unresolved Mention"/>
    <w:basedOn w:val="DefaultParagraphFont"/>
    <w:uiPriority w:val="99"/>
    <w:semiHidden/>
    <w:unhideWhenUsed/>
    <w:rsid w:val="00362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246">
      <w:bodyDiv w:val="1"/>
      <w:marLeft w:val="0"/>
      <w:marRight w:val="0"/>
      <w:marTop w:val="0"/>
      <w:marBottom w:val="0"/>
      <w:divBdr>
        <w:top w:val="none" w:sz="0" w:space="0" w:color="auto"/>
        <w:left w:val="none" w:sz="0" w:space="0" w:color="auto"/>
        <w:bottom w:val="none" w:sz="0" w:space="0" w:color="auto"/>
        <w:right w:val="none" w:sz="0" w:space="0" w:color="auto"/>
      </w:divBdr>
    </w:div>
    <w:div w:id="138814138">
      <w:bodyDiv w:val="1"/>
      <w:marLeft w:val="0"/>
      <w:marRight w:val="0"/>
      <w:marTop w:val="0"/>
      <w:marBottom w:val="0"/>
      <w:divBdr>
        <w:top w:val="none" w:sz="0" w:space="0" w:color="auto"/>
        <w:left w:val="none" w:sz="0" w:space="0" w:color="auto"/>
        <w:bottom w:val="none" w:sz="0" w:space="0" w:color="auto"/>
        <w:right w:val="none" w:sz="0" w:space="0" w:color="auto"/>
      </w:divBdr>
    </w:div>
    <w:div w:id="431048311">
      <w:bodyDiv w:val="1"/>
      <w:marLeft w:val="0"/>
      <w:marRight w:val="0"/>
      <w:marTop w:val="0"/>
      <w:marBottom w:val="0"/>
      <w:divBdr>
        <w:top w:val="none" w:sz="0" w:space="0" w:color="auto"/>
        <w:left w:val="none" w:sz="0" w:space="0" w:color="auto"/>
        <w:bottom w:val="none" w:sz="0" w:space="0" w:color="auto"/>
        <w:right w:val="none" w:sz="0" w:space="0" w:color="auto"/>
      </w:divBdr>
    </w:div>
    <w:div w:id="485898008">
      <w:bodyDiv w:val="1"/>
      <w:marLeft w:val="0"/>
      <w:marRight w:val="0"/>
      <w:marTop w:val="0"/>
      <w:marBottom w:val="0"/>
      <w:divBdr>
        <w:top w:val="none" w:sz="0" w:space="0" w:color="auto"/>
        <w:left w:val="none" w:sz="0" w:space="0" w:color="auto"/>
        <w:bottom w:val="none" w:sz="0" w:space="0" w:color="auto"/>
        <w:right w:val="none" w:sz="0" w:space="0" w:color="auto"/>
      </w:divBdr>
    </w:div>
    <w:div w:id="520778624">
      <w:bodyDiv w:val="1"/>
      <w:marLeft w:val="0"/>
      <w:marRight w:val="0"/>
      <w:marTop w:val="0"/>
      <w:marBottom w:val="0"/>
      <w:divBdr>
        <w:top w:val="none" w:sz="0" w:space="0" w:color="auto"/>
        <w:left w:val="none" w:sz="0" w:space="0" w:color="auto"/>
        <w:bottom w:val="none" w:sz="0" w:space="0" w:color="auto"/>
        <w:right w:val="none" w:sz="0" w:space="0" w:color="auto"/>
      </w:divBdr>
    </w:div>
    <w:div w:id="847329137">
      <w:bodyDiv w:val="1"/>
      <w:marLeft w:val="45"/>
      <w:marRight w:val="45"/>
      <w:marTop w:val="45"/>
      <w:marBottom w:val="45"/>
      <w:divBdr>
        <w:top w:val="none" w:sz="0" w:space="0" w:color="auto"/>
        <w:left w:val="none" w:sz="0" w:space="0" w:color="auto"/>
        <w:bottom w:val="none" w:sz="0" w:space="0" w:color="auto"/>
        <w:right w:val="none" w:sz="0" w:space="0" w:color="auto"/>
      </w:divBdr>
      <w:divsChild>
        <w:div w:id="156967249">
          <w:marLeft w:val="0"/>
          <w:marRight w:val="0"/>
          <w:marTop w:val="0"/>
          <w:marBottom w:val="75"/>
          <w:divBdr>
            <w:top w:val="none" w:sz="0" w:space="0" w:color="auto"/>
            <w:left w:val="none" w:sz="0" w:space="0" w:color="auto"/>
            <w:bottom w:val="none" w:sz="0" w:space="0" w:color="auto"/>
            <w:right w:val="none" w:sz="0" w:space="0" w:color="auto"/>
          </w:divBdr>
        </w:div>
      </w:divsChild>
    </w:div>
    <w:div w:id="1398166303">
      <w:bodyDiv w:val="1"/>
      <w:marLeft w:val="0"/>
      <w:marRight w:val="0"/>
      <w:marTop w:val="0"/>
      <w:marBottom w:val="0"/>
      <w:divBdr>
        <w:top w:val="none" w:sz="0" w:space="0" w:color="auto"/>
        <w:left w:val="none" w:sz="0" w:space="0" w:color="auto"/>
        <w:bottom w:val="none" w:sz="0" w:space="0" w:color="auto"/>
        <w:right w:val="none" w:sz="0" w:space="0" w:color="auto"/>
      </w:divBdr>
    </w:div>
    <w:div w:id="1438602519">
      <w:bodyDiv w:val="1"/>
      <w:marLeft w:val="45"/>
      <w:marRight w:val="45"/>
      <w:marTop w:val="45"/>
      <w:marBottom w:val="45"/>
      <w:divBdr>
        <w:top w:val="none" w:sz="0" w:space="0" w:color="auto"/>
        <w:left w:val="none" w:sz="0" w:space="0" w:color="auto"/>
        <w:bottom w:val="none" w:sz="0" w:space="0" w:color="auto"/>
        <w:right w:val="none" w:sz="0" w:space="0" w:color="auto"/>
      </w:divBdr>
      <w:divsChild>
        <w:div w:id="1345208143">
          <w:marLeft w:val="0"/>
          <w:marRight w:val="0"/>
          <w:marTop w:val="0"/>
          <w:marBottom w:val="75"/>
          <w:divBdr>
            <w:top w:val="none" w:sz="0" w:space="0" w:color="auto"/>
            <w:left w:val="none" w:sz="0" w:space="0" w:color="auto"/>
            <w:bottom w:val="none" w:sz="0" w:space="0" w:color="auto"/>
            <w:right w:val="none" w:sz="0" w:space="0" w:color="auto"/>
          </w:divBdr>
        </w:div>
      </w:divsChild>
    </w:div>
    <w:div w:id="1450708033">
      <w:bodyDiv w:val="1"/>
      <w:marLeft w:val="0"/>
      <w:marRight w:val="0"/>
      <w:marTop w:val="0"/>
      <w:marBottom w:val="0"/>
      <w:divBdr>
        <w:top w:val="none" w:sz="0" w:space="0" w:color="auto"/>
        <w:left w:val="none" w:sz="0" w:space="0" w:color="auto"/>
        <w:bottom w:val="none" w:sz="0" w:space="0" w:color="auto"/>
        <w:right w:val="none" w:sz="0" w:space="0" w:color="auto"/>
      </w:divBdr>
    </w:div>
    <w:div w:id="1453742396">
      <w:bodyDiv w:val="1"/>
      <w:marLeft w:val="0"/>
      <w:marRight w:val="0"/>
      <w:marTop w:val="0"/>
      <w:marBottom w:val="0"/>
      <w:divBdr>
        <w:top w:val="none" w:sz="0" w:space="0" w:color="auto"/>
        <w:left w:val="none" w:sz="0" w:space="0" w:color="auto"/>
        <w:bottom w:val="none" w:sz="0" w:space="0" w:color="auto"/>
        <w:right w:val="none" w:sz="0" w:space="0" w:color="auto"/>
      </w:divBdr>
    </w:div>
    <w:div w:id="1601180171">
      <w:bodyDiv w:val="1"/>
      <w:marLeft w:val="45"/>
      <w:marRight w:val="45"/>
      <w:marTop w:val="45"/>
      <w:marBottom w:val="45"/>
      <w:divBdr>
        <w:top w:val="none" w:sz="0" w:space="0" w:color="auto"/>
        <w:left w:val="none" w:sz="0" w:space="0" w:color="auto"/>
        <w:bottom w:val="none" w:sz="0" w:space="0" w:color="auto"/>
        <w:right w:val="none" w:sz="0" w:space="0" w:color="auto"/>
      </w:divBdr>
      <w:divsChild>
        <w:div w:id="39286304">
          <w:marLeft w:val="0"/>
          <w:marRight w:val="0"/>
          <w:marTop w:val="0"/>
          <w:marBottom w:val="75"/>
          <w:divBdr>
            <w:top w:val="none" w:sz="0" w:space="0" w:color="auto"/>
            <w:left w:val="none" w:sz="0" w:space="0" w:color="auto"/>
            <w:bottom w:val="none" w:sz="0" w:space="0" w:color="auto"/>
            <w:right w:val="none" w:sz="0" w:space="0" w:color="auto"/>
          </w:divBdr>
        </w:div>
      </w:divsChild>
    </w:div>
    <w:div w:id="1657686247">
      <w:bodyDiv w:val="1"/>
      <w:marLeft w:val="0"/>
      <w:marRight w:val="0"/>
      <w:marTop w:val="0"/>
      <w:marBottom w:val="0"/>
      <w:divBdr>
        <w:top w:val="none" w:sz="0" w:space="0" w:color="auto"/>
        <w:left w:val="none" w:sz="0" w:space="0" w:color="auto"/>
        <w:bottom w:val="none" w:sz="0" w:space="0" w:color="auto"/>
        <w:right w:val="none" w:sz="0" w:space="0" w:color="auto"/>
      </w:divBdr>
    </w:div>
    <w:div w:id="1680620573">
      <w:bodyDiv w:val="1"/>
      <w:marLeft w:val="0"/>
      <w:marRight w:val="0"/>
      <w:marTop w:val="0"/>
      <w:marBottom w:val="0"/>
      <w:divBdr>
        <w:top w:val="none" w:sz="0" w:space="0" w:color="auto"/>
        <w:left w:val="none" w:sz="0" w:space="0" w:color="auto"/>
        <w:bottom w:val="none" w:sz="0" w:space="0" w:color="auto"/>
        <w:right w:val="none" w:sz="0" w:space="0" w:color="auto"/>
      </w:divBdr>
    </w:div>
    <w:div w:id="1868566193">
      <w:bodyDiv w:val="1"/>
      <w:marLeft w:val="0"/>
      <w:marRight w:val="0"/>
      <w:marTop w:val="0"/>
      <w:marBottom w:val="0"/>
      <w:divBdr>
        <w:top w:val="none" w:sz="0" w:space="0" w:color="auto"/>
        <w:left w:val="none" w:sz="0" w:space="0" w:color="auto"/>
        <w:bottom w:val="none" w:sz="0" w:space="0" w:color="auto"/>
        <w:right w:val="none" w:sz="0" w:space="0" w:color="auto"/>
      </w:divBdr>
    </w:div>
    <w:div w:id="2106537440">
      <w:bodyDiv w:val="1"/>
      <w:marLeft w:val="0"/>
      <w:marRight w:val="0"/>
      <w:marTop w:val="0"/>
      <w:marBottom w:val="0"/>
      <w:divBdr>
        <w:top w:val="none" w:sz="0" w:space="0" w:color="auto"/>
        <w:left w:val="none" w:sz="0" w:space="0" w:color="auto"/>
        <w:bottom w:val="none" w:sz="0" w:space="0" w:color="auto"/>
        <w:right w:val="none" w:sz="0" w:space="0" w:color="auto"/>
      </w:divBdr>
    </w:div>
    <w:div w:id="21231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dms_ties/itu-r/md/15/tg5.1/c/R15-TG5.1-C-0478!N05!MSW-E.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cdb.cept.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573436D761B4095AC662A111489A0" ma:contentTypeVersion="13" ma:contentTypeDescription="Create a new document." ma:contentTypeScope="" ma:versionID="681117ffb2268100557be0d95ee55035">
  <xsd:schema xmlns:xsd="http://www.w3.org/2001/XMLSchema" xmlns:xs="http://www.w3.org/2001/XMLSchema" xmlns:p="http://schemas.microsoft.com/office/2006/metadata/properties" xmlns:ns3="ed1405a1-578d-47ad-a272-5ed16773c14e" xmlns:ns4="3280b507-aca7-44bc-9d35-909c802bb4fe" targetNamespace="http://schemas.microsoft.com/office/2006/metadata/properties" ma:root="true" ma:fieldsID="439b3f22f5bd07008049a0c3e2df0f9e" ns3:_="" ns4:_="">
    <xsd:import namespace="ed1405a1-578d-47ad-a272-5ed16773c14e"/>
    <xsd:import namespace="3280b507-aca7-44bc-9d35-909c802bb4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405a1-578d-47ad-a272-5ed16773c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80b507-aca7-44bc-9d35-909c802bb4f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D4C8A-67A4-489D-94A1-2864B2CB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405a1-578d-47ad-a272-5ed16773c14e"/>
    <ds:schemaRef ds:uri="3280b507-aca7-44bc-9d35-909c802bb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6448B-8D48-4A39-85EE-0E724E056E5D}">
  <ds:schemaRefs>
    <ds:schemaRef ds:uri="http://schemas.microsoft.com/sharepoint/v3/contenttype/forms"/>
  </ds:schemaRefs>
</ds:datastoreItem>
</file>

<file path=customXml/itemProps3.xml><?xml version="1.0" encoding="utf-8"?>
<ds:datastoreItem xmlns:ds="http://schemas.openxmlformats.org/officeDocument/2006/customXml" ds:itemID="{9E8D3629-40B1-4B90-8763-C0B285A81A5D}">
  <ds:schemaRefs>
    <ds:schemaRef ds:uri="http://schemas.openxmlformats.org/officeDocument/2006/bibliography"/>
  </ds:schemaRefs>
</ds:datastoreItem>
</file>

<file path=customXml/itemProps4.xml><?xml version="1.0" encoding="utf-8"?>
<ds:datastoreItem xmlns:ds="http://schemas.openxmlformats.org/officeDocument/2006/customXml" ds:itemID="{F384743C-6FE3-439E-8788-7852BD357B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5788</Words>
  <Characters>31201</Characters>
  <Application>Microsoft Office Word</Application>
  <DocSecurity>0</DocSecurity>
  <Lines>557</Lines>
  <Paragraphs>269</Paragraphs>
  <ScaleCrop>false</ScaleCrop>
  <HeadingPairs>
    <vt:vector size="8" baseType="variant">
      <vt:variant>
        <vt:lpstr>Title</vt:lpstr>
      </vt:variant>
      <vt:variant>
        <vt:i4>1</vt:i4>
      </vt:variant>
      <vt:variant>
        <vt:lpstr>Titre</vt:lpstr>
      </vt:variant>
      <vt:variant>
        <vt:i4>1</vt:i4>
      </vt:variant>
      <vt:variant>
        <vt:lpstr>Naslov</vt:lpstr>
      </vt:variant>
      <vt:variant>
        <vt:i4>1</vt:i4>
      </vt:variant>
      <vt:variant>
        <vt:lpstr>Titel</vt:lpstr>
      </vt:variant>
      <vt:variant>
        <vt:i4>1</vt:i4>
      </vt:variant>
    </vt:vector>
  </HeadingPairs>
  <TitlesOfParts>
    <vt:vector size="4" baseType="lpstr">
      <vt:lpstr>New ECC Report Style</vt:lpstr>
      <vt:lpstr>New ECC Report Style</vt:lpstr>
      <vt:lpstr>New ECC Report Style</vt:lpstr>
      <vt:lpstr>New ECC Report Style</vt:lpstr>
    </vt:vector>
  </TitlesOfParts>
  <Company>ECO</Company>
  <LinksUpToDate>false</LinksUpToDate>
  <CharactersWithSpaces>36720</CharactersWithSpaces>
  <SharedDoc>false</SharedDoc>
  <HLinks>
    <vt:vector size="6" baseType="variant">
      <vt:variant>
        <vt:i4>6029316</vt:i4>
      </vt:variant>
      <vt:variant>
        <vt:i4>57</vt:i4>
      </vt:variant>
      <vt:variant>
        <vt:i4>0</vt:i4>
      </vt:variant>
      <vt:variant>
        <vt:i4>5</vt:i4>
      </vt:variant>
      <vt:variant>
        <vt:lpwstr>https://www.itu.int/pub/R-HDB-22-2013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(22)06</dc:title>
  <dc:creator>ECC</dc:creator>
  <cp:keywords>ECC Decision (22)06</cp:keywords>
  <dc:description>This template is used as guidance to draft ECC Reports.</dc:description>
  <cp:lastModifiedBy>ECO </cp:lastModifiedBy>
  <cp:revision>8</cp:revision>
  <cp:lastPrinted>1901-01-01T08:00:00Z</cp:lastPrinted>
  <dcterms:created xsi:type="dcterms:W3CDTF">2022-11-24T10:34:00Z</dcterms:created>
  <dcterms:modified xsi:type="dcterms:W3CDTF">2022-11-24T11:02:00Z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0x01010062D573436D761B4095AC662A111489A0</vt:lpwstr>
  </property>
  <property fmtid="{D5CDD505-2E9C-101B-9397-08002B2CF9AE}" pid="3" name="MSIP_Label_5a50d26f-5c2c-4137-8396-1b24eb24286c_Enabled">
    <vt:lpwstr>true</vt:lpwstr>
  </property>
  <property fmtid="{D5CDD505-2E9C-101B-9397-08002B2CF9AE}" pid="4" name="MSIP_Label_5a50d26f-5c2c-4137-8396-1b24eb24286c_SetDate">
    <vt:lpwstr>2021-08-19T09:43:28Z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73f7865d-48ef-477c-922e-4ad669ffcf71</vt:lpwstr>
  </property>
  <property fmtid="{D5CDD505-2E9C-101B-9397-08002B2CF9AE}" pid="9" name="MSIP_Label_5a50d26f-5c2c-4137-8396-1b24eb24286c_ContentBits">
    <vt:lpwstr>0</vt:lpwstr>
  </property>
</Properties>
</file>